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outlineLvl w:val="0"/>
        <w:keepLines/>
        <w:keepNext/>
        <w:ind w:right="-30"/>
      </w:pPr>
      <w:bookmarkStart w:id="0" w:name="OLE_LINK2"/>
      <w:bookmarkEnd w:id="0"/>
      <w:r>
        <w:rPr>
          <w:b/>
          <w:u w:val="single" w:color="000000"/>
          <w:sz w:val="22"/>
        </w:rPr>
        <w:t>ESTUDO TÉCNICO PRELIMINAR – ETP</w:t>
      </w:r>
    </w:p>
    <w:p>
      <w:pPr>
        <w:jc w:val="both"/>
        <w:keepLines/>
        <w:keepNext/>
        <w:ind w:right="-30"/>
      </w:pPr>
      <w:r>
        <w:rPr>
          <w:b/>
          <w:sz w:val="22"/>
        </w:rPr>
        <w:t xml:space="preserve">    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OBJETO: AQUISIÇÃO DE CARNES E DERIVADOS PARA ATENDER AS NECESSIDADES DAS SECRETARIAS MUNICIPAIS DO MUNICÍPIO DE GUAIRAÇÁ-PR.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1. INTRODUÇÃO</w:t>
      </w:r>
    </w:p>
    <w:p>
      <w:pPr>
        <w:jc w:val="both"/>
        <w:keepLines/>
        <w:keepNext/>
        <w:ind w:right="-30"/>
      </w:pPr>
      <w:r>
        <w:rPr>
          <w:sz w:val="22"/>
        </w:rPr>
        <w:t>As</w:t>
      </w:r>
      <w:r>
        <w:rPr>
          <w:sz w:val="22"/>
          <w:spacing w:val="-1"/>
        </w:rPr>
        <w:t xml:space="preserve"> </w:t>
      </w:r>
      <w:r>
        <w:rPr>
          <w:sz w:val="22"/>
        </w:rPr>
        <w:t>contratações</w:t>
      </w:r>
      <w:r>
        <w:rPr>
          <w:sz w:val="22"/>
          <w:spacing w:val="-1"/>
        </w:rPr>
        <w:t xml:space="preserve"> </w:t>
      </w:r>
      <w:r>
        <w:rPr>
          <w:sz w:val="22"/>
        </w:rPr>
        <w:t>governamentais</w:t>
      </w:r>
      <w:r>
        <w:rPr>
          <w:sz w:val="22"/>
          <w:spacing w:val="-1"/>
        </w:rPr>
        <w:t xml:space="preserve"> </w:t>
      </w:r>
      <w:r>
        <w:rPr>
          <w:sz w:val="22"/>
        </w:rPr>
        <w:t>produzem</w:t>
      </w:r>
      <w:r>
        <w:rPr>
          <w:sz w:val="22"/>
          <w:spacing w:val="-1"/>
        </w:rPr>
        <w:t xml:space="preserve"> </w:t>
      </w:r>
      <w:r>
        <w:rPr>
          <w:sz w:val="22"/>
        </w:rPr>
        <w:t>significativo</w:t>
      </w:r>
      <w:r>
        <w:rPr>
          <w:sz w:val="22"/>
          <w:spacing w:val="-1"/>
        </w:rPr>
        <w:t xml:space="preserve"> </w:t>
      </w:r>
      <w:r>
        <w:rPr>
          <w:sz w:val="22"/>
        </w:rPr>
        <w:t>impacto</w:t>
      </w:r>
      <w:r>
        <w:rPr>
          <w:sz w:val="22"/>
          <w:spacing w:val="-1"/>
        </w:rPr>
        <w:t xml:space="preserve"> </w:t>
      </w:r>
      <w:r>
        <w:rPr>
          <w:sz w:val="22"/>
        </w:rPr>
        <w:t>na</w:t>
      </w:r>
      <w:r>
        <w:rPr>
          <w:sz w:val="22"/>
          <w:spacing w:val="-1"/>
        </w:rPr>
        <w:t xml:space="preserve"> </w:t>
      </w:r>
      <w:r>
        <w:rPr>
          <w:sz w:val="22"/>
        </w:rPr>
        <w:t>atividade</w:t>
      </w:r>
      <w:r>
        <w:rPr>
          <w:sz w:val="22"/>
          <w:spacing w:val="-1"/>
        </w:rPr>
        <w:t xml:space="preserve"> </w:t>
      </w:r>
      <w:r>
        <w:rPr>
          <w:sz w:val="22"/>
        </w:rPr>
        <w:t>econômica,</w:t>
      </w:r>
      <w:r>
        <w:rPr>
          <w:sz w:val="22"/>
          <w:spacing w:val="-1"/>
        </w:rPr>
        <w:t xml:space="preserve"> </w:t>
      </w:r>
      <w:r>
        <w:rPr>
          <w:sz w:val="22"/>
        </w:rPr>
        <w:t>tendo</w:t>
      </w:r>
      <w:r>
        <w:rPr>
          <w:sz w:val="22"/>
          <w:spacing w:val="-1"/>
        </w:rPr>
        <w:t xml:space="preserve"> </w:t>
      </w:r>
      <w:r>
        <w:rPr>
          <w:sz w:val="22"/>
        </w:rPr>
        <w:t>em</w:t>
      </w:r>
      <w:r>
        <w:rPr>
          <w:sz w:val="22"/>
          <w:spacing w:val="-3"/>
        </w:rPr>
        <w:t xml:space="preserve">  </w:t>
      </w:r>
      <w:r>
        <w:rPr>
          <w:sz w:val="22"/>
        </w:rPr>
        <w:t>vista o volume de recursos envolvidos, os quais, em grande parte, são instrumentos de realização de políticas públicas. Neste sentido, um planejamento bem elaborado propicia contratações potencialmente mais eficientes, posto que a realização de estudos previamente delineados conduz</w:t>
      </w:r>
      <w:r>
        <w:rPr>
          <w:sz w:val="22"/>
          <w:spacing w:val="-3"/>
        </w:rPr>
        <w:t xml:space="preserve"> </w:t>
      </w:r>
      <w:r>
        <w:rPr>
          <w:sz w:val="22"/>
        </w:rPr>
        <w:t>ao</w:t>
      </w:r>
      <w:r>
        <w:rPr>
          <w:sz w:val="22"/>
          <w:spacing w:val="-1"/>
        </w:rPr>
        <w:t xml:space="preserve"> </w:t>
      </w:r>
      <w:r>
        <w:rPr>
          <w:sz w:val="22"/>
        </w:rPr>
        <w:t>conhecimento</w:t>
      </w:r>
      <w:r>
        <w:rPr>
          <w:sz w:val="22"/>
          <w:spacing w:val="-1"/>
        </w:rPr>
        <w:t xml:space="preserve"> </w:t>
      </w:r>
      <w:r>
        <w:rPr>
          <w:sz w:val="22"/>
        </w:rPr>
        <w:t>de</w:t>
      </w:r>
      <w:r>
        <w:rPr>
          <w:sz w:val="22"/>
          <w:spacing w:val="-1"/>
        </w:rPr>
        <w:t xml:space="preserve"> </w:t>
      </w:r>
      <w:r>
        <w:rPr>
          <w:sz w:val="22"/>
        </w:rPr>
        <w:t>novas</w:t>
      </w:r>
      <w:r>
        <w:rPr>
          <w:sz w:val="22"/>
          <w:spacing w:val="-1"/>
        </w:rPr>
        <w:t xml:space="preserve"> </w:t>
      </w:r>
      <w:r>
        <w:rPr>
          <w:sz w:val="22"/>
        </w:rPr>
        <w:t>modelagens/metodologias</w:t>
      </w:r>
      <w:r>
        <w:rPr>
          <w:sz w:val="22"/>
          <w:spacing w:val="-1"/>
        </w:rPr>
        <w:t xml:space="preserve"> </w:t>
      </w:r>
      <w:r>
        <w:rPr>
          <w:sz w:val="22"/>
        </w:rPr>
        <w:t>ofertadas</w:t>
      </w:r>
      <w:r>
        <w:rPr>
          <w:sz w:val="22"/>
          <w:spacing w:val="-1"/>
        </w:rPr>
        <w:t xml:space="preserve"> </w:t>
      </w:r>
      <w:r>
        <w:rPr>
          <w:sz w:val="22"/>
        </w:rPr>
        <w:t>pelo</w:t>
      </w:r>
      <w:r>
        <w:rPr>
          <w:sz w:val="22"/>
          <w:spacing w:val="-1"/>
        </w:rPr>
        <w:t xml:space="preserve"> </w:t>
      </w:r>
      <w:r>
        <w:rPr>
          <w:sz w:val="22"/>
        </w:rPr>
        <w:t>mercado,</w:t>
      </w:r>
      <w:r>
        <w:rPr>
          <w:sz w:val="22"/>
          <w:spacing w:val="-1"/>
        </w:rPr>
        <w:t xml:space="preserve"> </w:t>
      </w:r>
      <w:r>
        <w:rPr>
          <w:sz w:val="22"/>
        </w:rPr>
        <w:t>resultado</w:t>
      </w:r>
      <w:r>
        <w:rPr>
          <w:sz w:val="22"/>
          <w:spacing w:val="-1"/>
        </w:rPr>
        <w:t xml:space="preserve"> </w:t>
      </w:r>
      <w:r>
        <w:rPr>
          <w:sz w:val="22"/>
        </w:rPr>
        <w:t>na</w:t>
      </w:r>
      <w:r>
        <w:rPr>
          <w:sz w:val="22"/>
          <w:spacing w:val="-1"/>
        </w:rPr>
        <w:t xml:space="preserve"> </w:t>
      </w:r>
      <w:r>
        <w:rPr>
          <w:sz w:val="22"/>
        </w:rPr>
        <w:t>melhor qualidade do gasto e em uma gestão eficiente dos recursos públicos.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Neste contexto, o presente documento apresenta os estudos técnicos preliminares que visam assegurar a viabilidade (técnica e econômica) da contratação pretendida e o levantamento dos elementos essenciais que servirão para compor Termo de Referência.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Este estudo consiste na primeira etapa do planejamento de uma contratação, de modo a assegurar a viabilidade e embasar o termo de referência, conforme previsto na Lei 14.133/2021, art. 6°, inciso XX.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2. NECESSIDADE/JUSTIFICATIVA DE CONTRATAÇÃO</w:t>
      </w:r>
    </w:p>
    <w:p>
      <w:pPr>
        <w:keepLines/>
        <w:keepNext/>
        <w:ind w:right="-30"/>
      </w:pPr>
      <w:r>
        <w:rPr>
          <w:b/>
          <w:sz w:val="22"/>
          <w:color w:val="FF0000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A presente justificativa tem como objetivo respaldar a necessidade da aquisição de carnes e derivados para atender às demandas das diversas secretarias municipais do município de Guairaçá-PR.</w:t>
      </w:r>
    </w:p>
    <w:p>
      <w:pPr>
        <w:jc w:val="both"/>
        <w:keepLines/>
        <w:keepNext/>
        <w:ind w:right="-30"/>
      </w:pPr>
      <w:r>
        <w:rPr>
          <w:sz w:val="22"/>
        </w:rPr>
        <w:t>Os produtos de origem animal, como carnes e derivados, são insumos essenciais para a execução de diversas atividades e programas desenvolvidos pelas secretarias municipais, incluindo:</w:t>
      </w:r>
    </w:p>
    <w:p>
      <w:pPr>
        <w:jc w:val="both"/>
        <w:keepLines/>
        <w:keepNext/>
        <w:ind w:right="-30"/>
      </w:pPr>
      <w:r>
        <w:rPr>
          <w:sz w:val="22"/>
        </w:rPr>
        <w:t>Secretaria de Educação: Utilização em merendas escolares para garantir uma alimentação balanceada e nutritiva aos alunos da rede municipal de ensino.</w:t>
      </w:r>
    </w:p>
    <w:p>
      <w:pPr>
        <w:jc w:val="both"/>
        <w:keepLines/>
        <w:keepNext/>
        <w:ind w:right="-30"/>
      </w:pPr>
      <w:r>
        <w:rPr>
          <w:sz w:val="22"/>
        </w:rPr>
        <w:t>Secretaria de Assistência Social: Atendimento a programas de distribuição de alimentos para famílias em situação de vulnerabilidade social.</w:t>
      </w:r>
    </w:p>
    <w:p>
      <w:pPr>
        <w:jc w:val="both"/>
        <w:keepLines/>
        <w:keepNext/>
        <w:ind w:right="-30"/>
      </w:pPr>
      <w:r>
        <w:rPr>
          <w:sz w:val="22"/>
        </w:rPr>
        <w:t>Secretaria de Saúde: Fornecimento de refeições para pacientes e funcionários em determinadas unidades de atendimento.</w:t>
      </w:r>
    </w:p>
    <w:p>
      <w:pPr>
        <w:jc w:val="both"/>
        <w:keepLines/>
        <w:keepNext/>
        <w:ind w:right="-30"/>
      </w:pPr>
      <w:r>
        <w:rPr>
          <w:sz w:val="22"/>
        </w:rPr>
        <w:t>Outros Setores: Realização de eventos, reuniões e atividades que necessitam de alimentação para colaboradores e/ou participantes.</w:t>
      </w:r>
    </w:p>
    <w:p>
      <w:pPr>
        <w:jc w:val="both"/>
        <w:keepLines/>
        <w:keepNext/>
        <w:ind w:right="-30"/>
      </w:pPr>
      <w:r>
        <w:rPr>
          <w:sz w:val="22"/>
        </w:rPr>
        <w:t>Portanto, a aquisição de carnes e derivados é imprescindível para a continuidade e eficiência das ações e programas desenvolvidos pelas secretarias municipais. Tal medida reflete o compromisso da administração pública com a promoção do bem-estar e a qualidade de vida da população do município de Guairaçá-PR.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3. ALINHAMENTO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ENTRE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A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CONTRATAÇÃO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E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PLANO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DE</w:t>
      </w:r>
      <w:r>
        <w:rPr>
          <w:b/>
          <w:sz w:val="22"/>
          <w:spacing w:val="1"/>
        </w:rPr>
        <w:t xml:space="preserve"> CONTRATAÇÕES ANUAL- 2024</w:t>
      </w:r>
    </w:p>
    <w:p>
      <w:pPr>
        <w:keepLines/>
        <w:keepNext/>
        <w:ind w:right="-30"/>
        <w:tabs>
          <w:tab w:val="left" w:pos="2730"/>
        </w:tabs>
      </w:pPr>
      <w:r>
        <w:rPr>
          <w:sz w:val="22"/>
        </w:rPr>
        <w:t>A necessidade da presente contratação encontra-se respaldada no Plano de Contratações Anual da Prefeitura Municipal de Guairaçá.</w:t>
      </w:r>
    </w:p>
    <w:p>
      <w:pPr>
        <w:keepLines/>
        <w:keepNext/>
        <w:ind w:right="-30"/>
        <w:tabs>
          <w:tab w:val="left" w:pos="2730"/>
        </w:tabs>
      </w:pPr>
      <w:r>
        <w:rPr>
          <w:b/>
          <w:sz w:val="22"/>
        </w:rPr>
        <w:t/>
      </w:r>
    </w:p>
    <w:p>
      <w:pPr>
        <w:keepLines/>
        <w:keepNext/>
        <w:ind w:right="-30"/>
        <w:tabs>
          <w:tab w:val="left" w:pos="2730"/>
        </w:tabs>
      </w:pPr>
      <w:r>
        <w:rPr>
          <w:b/>
          <w:sz w:val="22"/>
        </w:rPr>
        <w:t>4. REQUISITOS DA CONTRATAÇÃO</w:t>
      </w:r>
    </w:p>
    <w:p>
      <w:pPr>
        <w:keepLines/>
        <w:keepNext/>
      </w:pPr>
      <w:r>
        <w:rPr>
          <w:sz w:val="22"/>
        </w:rPr>
        <w:t/>
      </w:r>
    </w:p>
    <w:p>
      <w:pPr>
        <w:keepLines/>
        <w:keepNext/>
      </w:pPr>
      <w:r>
        <w:rPr>
          <w:sz w:val="22"/>
        </w:rPr>
        <w:t>A contratação deverá observar os seguintes</w:t>
      </w:r>
      <w:r>
        <w:rPr>
          <w:sz w:val="22"/>
          <w:spacing w:val="-1"/>
        </w:rPr>
        <w:t xml:space="preserve"> </w:t>
      </w:r>
      <w:r>
        <w:rPr>
          <w:sz w:val="22"/>
        </w:rPr>
        <w:t>requisitos:</w:t>
      </w:r>
    </w:p>
    <w:p>
      <w:pPr>
        <w:keepLines/>
        <w:keepNext/>
        <w:ind w:left="435"/>
      </w:pPr>
      <w:r>
        <w:rPr>
          <w:sz w:val="22"/>
        </w:rPr>
        <w:t xml:space="preserve">1. O critério de julgamento a ser utilizado no presente certame será o </w:t>
      </w:r>
      <w:r>
        <w:rPr>
          <w:b/>
          <w:sz w:val="22"/>
        </w:rPr>
        <w:t>menor preço por item;</w:t>
      </w:r>
    </w:p>
    <w:p>
      <w:pPr>
        <w:jc w:val="both"/>
        <w:keepLines/>
        <w:keepNext/>
        <w:ind w:left="435"/>
      </w:pPr>
      <w:r>
        <w:rPr>
          <w:sz w:val="22"/>
        </w:rPr>
        <w:t>2. Não serão aplicadas a indicação e/ou a vedação de marcas;</w:t>
      </w:r>
    </w:p>
    <w:p>
      <w:pPr>
        <w:jc w:val="both"/>
        <w:keepLines/>
        <w:keepNext/>
        <w:ind w:left="435"/>
      </w:pPr>
      <w:r>
        <w:rPr>
          <w:sz w:val="22"/>
        </w:rPr>
        <w:t>3. Não será admitida a subcontratação do objeto contratual;</w:t>
      </w:r>
    </w:p>
    <w:p>
      <w:pPr>
        <w:jc w:val="both"/>
        <w:keepLines/>
        <w:keepNext/>
        <w:ind w:left="435"/>
      </w:pPr>
      <w:r>
        <w:rPr>
          <w:sz w:val="22"/>
        </w:rPr>
        <w:t>4. Não haverá exigência da garantia da contratação dos arts. 96 e seguintes da Lei nº 14.133/21.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b/>
          <w:sz w:val="22"/>
        </w:rPr>
        <w:t>5. RELAÇÃO ENTRE A DEMANDA PREVISTA E QUANTIDADES DE CADA ITEM</w:t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b/>
          <w:sz w:val="22"/>
          <w:color w:val="FF0000"/>
        </w:rP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>RELAÇÃO DE ITENS EM CONFORMIDADE A SOLICITAÇÃO DE COMPRAS N. 107/2024</w:t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 xml:space="preserve">Esta Entidade Pública adotou tais moldes na tentativa de tornar o procedimento licitatório em questão mais transparente, sem qualquer tipo de combinação de valores prévios entre possíveis fornecedores, evitando assim a possibilidade de conluio entre empresas, frustrando assim qualquer tipo de sobrepreço ao itens a serem licitados.  Não possuindo assim qualquer falha na metodologia utilizada por esta Administração para definição dos valores estimados, não se limitando a 03 (três) cotações de empresas. </w:t>
      </w:r>
    </w:p>
    <w:p>
      <w:pPr>
        <w:jc w:val="both"/>
        <w:widowControl/>
      </w:pPr>
      <w:r>
        <w:rPr>
          <w:sz w:val="22"/>
        </w:rPr>
        <w:t>Segue anexo os preços levantados por empresas do ramo e consulta pelo Site BancodePrecos.com.br, de onde foram colhidos os valores.</w:t>
      </w:r>
    </w:p>
    <w:p>
      <w:pPr>
        <w:jc w:val="both"/>
        <w:widowControl/>
      </w:pPr>
      <w:r>
        <w:rPr>
          <w:sz w:val="22"/>
        </w:rPr>
        <w:t/>
      </w:r>
    </w:p>
    <w:tbl>
      <w:tblPr>
        <w:tblW w:w="11130" w:type="dxa"/>
        <w:tblLayout w:type="fixed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auto"/>
          <w:insideV w:val="single" w:sz="6" w:color="auto"/>
        </w:tblBorders>
        <w:tblCellMar>
          <w:top w:w="15" w:type="dxa"/>
          <w:left w:w="15" w:type="dxa"/>
          <w:bottom w:w="15" w:type="dxa"/>
          <w:right w:w="15" w:type="dxa"/>
        </w:tblCellMar>
        <w:tblCellSpacing w:w="15" w:type="dxa"/>
      </w:tblPr>
      <w:tblGrid>
        <w:gridCol w:w="1560"/>
        <w:gridCol w:w="9540"/>
      </w:tblGrid>
      <w:tr>
        <w:tc>
          <w:tcPr>
            <w:tcW w:w="1515" w:type="dxa"/>
          </w:tcPr>
          <w:p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495" w:type="dxa"/>
          </w:tcPr>
          <w:p>
            <w:pPr>
              <w:jc w:val="center"/>
            </w:pPr>
            <w:r>
              <w:rPr>
                <w:b/>
              </w:rPr>
              <w:t>Fornecedores/Fontes</w:t>
            </w:r>
          </w:p>
        </w:tc>
      </w:tr>
      <w:tr>
        <w:tc>
          <w:tcPr>
            <w:tcW w:w="1515" w:type="dxa"/>
          </w:tcPr>
          <w:p>
            <w:r>
              <w:t>1</w:t>
            </w:r>
          </w:p>
        </w:tc>
        <w:tc>
          <w:tcPr>
            <w:tcW w:w="9495" w:type="dxa"/>
          </w:tcPr>
          <w:p>
            <w:r>
              <w:t>ANJ'OS DISTRIBUIDORA DE ALIMENTOS LTDA</w:t>
            </w:r>
          </w:p>
        </w:tc>
      </w:tr>
      <w:tr>
        <w:tc>
          <w:tcPr>
            <w:tcW w:w="1515" w:type="dxa"/>
          </w:tcPr>
          <w:p>
            <w:r>
              <w:t>2</w:t>
            </w:r>
          </w:p>
        </w:tc>
        <w:tc>
          <w:tcPr>
            <w:tcW w:w="9495" w:type="dxa"/>
          </w:tcPr>
          <w:p>
            <w:r>
              <w:t>ALONSO E SANTANA COMERCIO DE FRIOS LTDA</w:t>
            </w:r>
          </w:p>
        </w:tc>
      </w:tr>
      <w:tr>
        <w:tc>
          <w:tcPr>
            <w:tcW w:w="1515" w:type="dxa"/>
          </w:tcPr>
          <w:p>
            <w:r>
              <w:t>3</w:t>
            </w:r>
          </w:p>
        </w:tc>
        <w:tc>
          <w:tcPr>
            <w:tcW w:w="9495" w:type="dxa"/>
          </w:tcPr>
          <w:p>
            <w:r>
              <w:t>N63 COMERCIO DE PRODUTOS DE LIMPEZA LTDA</w:t>
            </w:r>
          </w:p>
        </w:tc>
      </w:tr>
      <w:tr>
        <w:tc>
          <w:tcPr>
            <w:tcW w:w="1515" w:type="dxa"/>
          </w:tcPr>
          <w:p>
            <w:r>
              <w:t>4</w:t>
            </w:r>
          </w:p>
        </w:tc>
        <w:tc>
          <w:tcPr>
            <w:tcW w:w="9495" w:type="dxa"/>
          </w:tcPr>
          <w:p>
            <w:r>
              <w:t>NP TECNOLOGIA E GESTÃO DE DADOS LTDA (BANCO DE PREÇO)</w:t>
            </w:r>
          </w:p>
        </w:tc>
      </w:tr>
    </w:tbl>
    <w:p>
      <w:pPr>
        <w:jc w:val="both"/>
        <w:widowControl/>
      </w:pPr>
      <w:r>
        <w:rPr>
          <w:sz w:val="22"/>
        </w:rPr>
        <w:t>As pesquisas de preços enviadas juntamente a esta solicitação de compras, foram por mim realizadas e são verdadeiras, conforme rubrica/assinatura em cada um deles.</w:t>
      </w:r>
    </w:p>
    <w:p>
      <w:pPr>
        <w:jc w:val="both"/>
        <w:keepLines/>
        <w:keepNext/>
        <w:ind w:right="-30"/>
      </w:pPr>
      <w:r>
        <w:rPr>
          <w:rFonts w:ascii="Arial MT" w:hAnsi="Arial MT" w:cs="Arial MT" w:eastAsia="Arial MT"/>
          <w:sz w:val="19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Os produtos deverão ser entregues nos locais informados na Nota de Empenho ou Ordem de Serviço emitidas, acompanhada preferencialmente pelo Fiscal do Contrato ou por outro servidor designado para esse fim.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6. PRAZO DE ENTREGA/EXECUÇÃO, VIGÊNCIA E VALOR MÁXIMO</w:t>
      </w:r>
    </w:p>
    <w:p>
      <w:pPr>
        <w:jc w:val="both"/>
        <w:keepLines/>
        <w:keepNext/>
        <w:ind w:right="-30"/>
      </w:pPr>
      <w:r>
        <w:rPr>
          <w:sz w:val="22"/>
        </w:rPr>
        <w:t xml:space="preserve">A entrega produtos deverá ocorrer em até </w:t>
      </w:r>
      <w:r>
        <w:rPr>
          <w:b/>
          <w:sz w:val="22"/>
          <w:color w:val="FF0000"/>
        </w:rPr>
        <w:t xml:space="preserve"> </w:t>
      </w:r>
      <w:r>
        <w:rPr>
          <w:sz w:val="22"/>
        </w:rPr>
        <w:t>10 (dez) dias úteis, a contar da solicitação do órgão competente, por conta e risco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empresa</w:t>
      </w:r>
      <w:r>
        <w:rPr>
          <w:sz w:val="22"/>
          <w:spacing w:val="2"/>
        </w:rPr>
        <w:t xml:space="preserve"> </w:t>
      </w:r>
      <w:r>
        <w:rPr>
          <w:sz w:val="22"/>
        </w:rPr>
        <w:t>vencedora</w:t>
      </w:r>
      <w:r>
        <w:rPr>
          <w:sz w:val="22"/>
          <w:spacing w:val="2"/>
        </w:rPr>
        <w:t xml:space="preserve"> </w:t>
      </w:r>
      <w:r>
        <w:rPr>
          <w:sz w:val="22"/>
        </w:rPr>
        <w:t>do</w:t>
      </w:r>
      <w:r>
        <w:rPr>
          <w:sz w:val="22"/>
          <w:spacing w:val="2"/>
        </w:rPr>
        <w:t xml:space="preserve"> </w:t>
      </w:r>
      <w:r>
        <w:rPr>
          <w:sz w:val="22"/>
        </w:rPr>
        <w:t>certame</w:t>
      </w:r>
      <w:r>
        <w:rPr>
          <w:sz w:val="22"/>
          <w:spacing w:val="2"/>
        </w:rPr>
        <w:t xml:space="preserve"> </w:t>
      </w:r>
      <w:r>
        <w:rPr>
          <w:sz w:val="22"/>
        </w:rPr>
        <w:t>licitatório,</w:t>
      </w:r>
      <w:r>
        <w:rPr>
          <w:sz w:val="22"/>
          <w:spacing w:val="2"/>
        </w:rPr>
        <w:t xml:space="preserve"> </w:t>
      </w:r>
      <w:r>
        <w:rPr>
          <w:sz w:val="22"/>
        </w:rPr>
        <w:t>mediante</w:t>
      </w:r>
      <w:r>
        <w:rPr>
          <w:sz w:val="22"/>
          <w:spacing w:val="2"/>
        </w:rPr>
        <w:t xml:space="preserve"> </w:t>
      </w:r>
      <w:r>
        <w:rPr>
          <w:sz w:val="22"/>
        </w:rPr>
        <w:t>requisição</w:t>
      </w:r>
      <w:r>
        <w:rPr>
          <w:sz w:val="22"/>
          <w:spacing w:val="2"/>
        </w:rPr>
        <w:t xml:space="preserve"> </w:t>
      </w:r>
      <w:r>
        <w:rPr>
          <w:sz w:val="22"/>
        </w:rPr>
        <w:t>formalizada</w:t>
      </w:r>
      <w:r>
        <w:rPr>
          <w:sz w:val="22"/>
          <w:spacing w:val="2"/>
        </w:rPr>
        <w:t xml:space="preserve"> </w:t>
      </w:r>
      <w:r>
        <w:rPr>
          <w:sz w:val="22"/>
        </w:rPr>
        <w:t>pelo</w:t>
      </w:r>
      <w:r>
        <w:rPr>
          <w:sz w:val="22"/>
          <w:spacing w:val="2"/>
        </w:rPr>
        <w:t xml:space="preserve"> </w:t>
      </w:r>
      <w:r>
        <w:rPr>
          <w:sz w:val="22"/>
        </w:rPr>
        <w:t>Município,</w:t>
      </w:r>
      <w:r>
        <w:rPr>
          <w:sz w:val="22"/>
          <w:spacing w:val="2"/>
        </w:rPr>
        <w:t xml:space="preserve"> </w:t>
      </w:r>
      <w:r>
        <w:rPr>
          <w:sz w:val="22"/>
        </w:rPr>
        <w:t>correndo</w:t>
      </w:r>
      <w:r>
        <w:rPr>
          <w:sz w:val="22"/>
          <w:spacing w:val="2"/>
        </w:rPr>
        <w:t xml:space="preserve"> </w:t>
      </w:r>
      <w:r>
        <w:rPr>
          <w:sz w:val="22"/>
        </w:rPr>
        <w:t>por conta da licitante vencedora contratada as despesas de seguros, transportes, tributos, encargos trabalhistas e previdenciários decorrentes da execução do objeto da licitação.</w:t>
      </w:r>
    </w:p>
    <w:p>
      <w:pPr>
        <w:jc w:val="both"/>
        <w:keepLines/>
        <w:keepNext/>
        <w:ind w:right="-30"/>
      </w:pPr>
      <w:r>
        <w:rPr>
          <w:b/>
          <w:sz w:val="22"/>
          <w:color w:val="FF0000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</w:t>
      </w:r>
      <w:r>
        <w:rPr>
          <w:sz w:val="22"/>
          <w:spacing w:val="2"/>
        </w:rPr>
        <w:t xml:space="preserve"> </w:t>
      </w:r>
      <w:r>
        <w:rPr>
          <w:sz w:val="22"/>
        </w:rPr>
        <w:t>prazo</w:t>
      </w:r>
      <w:r>
        <w:rPr>
          <w:sz w:val="22"/>
          <w:spacing w:val="2"/>
        </w:rPr>
        <w:t xml:space="preserve"> </w:t>
      </w:r>
      <w:r>
        <w:rPr>
          <w:sz w:val="22"/>
        </w:rPr>
        <w:t>de</w:t>
      </w:r>
      <w:r>
        <w:rPr>
          <w:sz w:val="22"/>
          <w:spacing w:val="2"/>
        </w:rPr>
        <w:t xml:space="preserve"> </w:t>
      </w:r>
      <w:r>
        <w:rPr>
          <w:sz w:val="22"/>
        </w:rPr>
        <w:t>vigência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contratação</w:t>
      </w:r>
      <w:r>
        <w:rPr>
          <w:sz w:val="22"/>
          <w:spacing w:val="2"/>
        </w:rPr>
        <w:t xml:space="preserve"> </w:t>
      </w:r>
      <w:r>
        <w:rPr>
          <w:sz w:val="22"/>
        </w:rPr>
        <w:t>será</w:t>
      </w:r>
      <w:r>
        <w:rPr>
          <w:sz w:val="22"/>
          <w:spacing w:val="2"/>
        </w:rPr>
        <w:t xml:space="preserve"> </w:t>
      </w:r>
      <w:r>
        <w:rPr>
          <w:sz w:val="22"/>
        </w:rPr>
        <w:t>de</w:t>
      </w:r>
      <w:r>
        <w:rPr>
          <w:sz w:val="22"/>
          <w:spacing w:val="2"/>
        </w:rPr>
        <w:t xml:space="preserve"> </w:t>
      </w:r>
      <w:r>
        <w:rPr>
          <w:b/>
          <w:sz w:val="22"/>
        </w:rPr>
        <w:t>até</w:t>
      </w:r>
      <w:r>
        <w:rPr>
          <w:b/>
          <w:sz w:val="22"/>
          <w:spacing w:val="2"/>
        </w:rPr>
        <w:t xml:space="preserve"> 12</w:t>
      </w:r>
      <w:r>
        <w:rPr>
          <w:b/>
          <w:sz w:val="22"/>
          <w:spacing w:val="2"/>
          <w:color w:val="FF0000"/>
        </w:rPr>
        <w:t xml:space="preserve"> </w:t>
      </w:r>
      <w:r>
        <w:rPr>
          <w:b/>
          <w:sz w:val="22"/>
        </w:rPr>
        <w:t>(doze)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meses</w:t>
      </w:r>
      <w:r>
        <w:rPr>
          <w:sz w:val="22"/>
        </w:rPr>
        <w:t>,</w:t>
      </w:r>
      <w:r>
        <w:rPr>
          <w:sz w:val="22"/>
          <w:spacing w:val="2"/>
        </w:rPr>
        <w:t xml:space="preserve"> </w:t>
      </w:r>
      <w:r>
        <w:rPr>
          <w:sz w:val="22"/>
        </w:rPr>
        <w:t>contados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data</w:t>
      </w:r>
      <w:r>
        <w:rPr>
          <w:sz w:val="22"/>
          <w:spacing w:val="2"/>
        </w:rPr>
        <w:t xml:space="preserve"> </w:t>
      </w:r>
      <w:r>
        <w:rPr>
          <w:sz w:val="22"/>
        </w:rPr>
        <w:t>indicada</w:t>
      </w:r>
      <w:r>
        <w:rPr>
          <w:sz w:val="22"/>
          <w:spacing w:val="2"/>
        </w:rPr>
        <w:t xml:space="preserve"> </w:t>
      </w:r>
      <w:r>
        <w:rPr>
          <w:sz w:val="22"/>
        </w:rPr>
        <w:t>no</w:t>
      </w:r>
      <w:r>
        <w:rPr>
          <w:sz w:val="22"/>
          <w:spacing w:val="2"/>
        </w:rPr>
        <w:t xml:space="preserve"> </w:t>
      </w:r>
      <w:r>
        <w:rPr>
          <w:sz w:val="22"/>
        </w:rPr>
        <w:t>instrumento contratual, na forma do artigo 105, da Lei n° 14.133/2021.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 custo estimado total da</w:t>
      </w:r>
      <w:r>
        <w:rPr>
          <w:sz w:val="22"/>
          <w:spacing w:val="1"/>
        </w:rPr>
        <w:t xml:space="preserve"> </w:t>
      </w:r>
      <w:r>
        <w:rPr>
          <w:sz w:val="22"/>
        </w:rPr>
        <w:t>contratação é</w:t>
      </w:r>
      <w:r>
        <w:rPr>
          <w:sz w:val="22"/>
          <w:spacing w:val="1"/>
        </w:rPr>
        <w:t xml:space="preserve"> </w:t>
      </w:r>
      <w:r>
        <w:rPr>
          <w:sz w:val="22"/>
        </w:rPr>
        <w:t>de</w:t>
      </w:r>
      <w:r>
        <w:rPr>
          <w:sz w:val="22"/>
          <w:spacing w:val="1"/>
          <w:color w:val="FF0000"/>
        </w:rPr>
        <w:t xml:space="preserve"> </w:t>
      </w:r>
      <w:r>
        <w:rPr>
          <w:b/>
          <w:sz w:val="22"/>
        </w:rPr>
        <w:t>R$</w:t>
      </w:r>
      <w:r>
        <w:rPr>
          <w:b/>
          <w:sz w:val="22"/>
          <w:spacing w:val="1"/>
        </w:rPr>
        <w:t xml:space="preserve"> 824.912,00 </w:t>
      </w:r>
      <w:r>
        <w:rPr>
          <w:b/>
          <w:sz w:val="22"/>
        </w:rPr>
        <w:t>(Oitocentos e Vinte e Quatro Mil e Novecentos e Doze Reais).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</w:t>
      </w:r>
      <w:r>
        <w:rPr>
          <w:sz w:val="22"/>
          <w:spacing w:val="1"/>
        </w:rPr>
        <w:t xml:space="preserve"> </w:t>
      </w:r>
      <w:r>
        <w:rPr>
          <w:sz w:val="22"/>
        </w:rPr>
        <w:t>objeto</w:t>
      </w:r>
      <w:r>
        <w:rPr>
          <w:sz w:val="22"/>
          <w:spacing w:val="1"/>
        </w:rPr>
        <w:t xml:space="preserve"> </w:t>
      </w:r>
      <w:r>
        <w:rPr>
          <w:sz w:val="22"/>
        </w:rPr>
        <w:t>desta</w:t>
      </w:r>
      <w:r>
        <w:rPr>
          <w:sz w:val="22"/>
          <w:spacing w:val="1"/>
        </w:rPr>
        <w:t xml:space="preserve"> </w:t>
      </w:r>
      <w:r>
        <w:rPr>
          <w:sz w:val="22"/>
        </w:rPr>
        <w:t>contratação</w:t>
      </w:r>
      <w:r>
        <w:rPr>
          <w:sz w:val="22"/>
          <w:spacing w:val="1"/>
        </w:rPr>
        <w:t xml:space="preserve"> </w:t>
      </w:r>
      <w:r>
        <w:rPr>
          <w:sz w:val="22"/>
        </w:rPr>
        <w:t>não</w:t>
      </w:r>
      <w:r>
        <w:rPr>
          <w:sz w:val="22"/>
          <w:spacing w:val="1"/>
        </w:rPr>
        <w:t xml:space="preserve"> </w:t>
      </w:r>
      <w:r>
        <w:rPr>
          <w:sz w:val="22"/>
        </w:rPr>
        <w:t>se enquadra</w:t>
      </w:r>
      <w:r>
        <w:rPr>
          <w:sz w:val="22"/>
          <w:spacing w:val="1"/>
        </w:rPr>
        <w:t xml:space="preserve"> </w:t>
      </w:r>
      <w:r>
        <w:rPr>
          <w:sz w:val="22"/>
        </w:rPr>
        <w:t>como</w:t>
      </w:r>
      <w:r>
        <w:rPr>
          <w:sz w:val="22"/>
          <w:spacing w:val="1"/>
        </w:rPr>
        <w:t xml:space="preserve"> </w:t>
      </w:r>
      <w:r>
        <w:rPr>
          <w:sz w:val="22"/>
        </w:rPr>
        <w:t>sendo de bem</w:t>
      </w:r>
      <w:r>
        <w:rPr>
          <w:sz w:val="22"/>
          <w:spacing w:val="1"/>
        </w:rPr>
        <w:t xml:space="preserve"> </w:t>
      </w:r>
      <w:r>
        <w:rPr>
          <w:sz w:val="22"/>
        </w:rPr>
        <w:t>de luxo, conforme Decreto</w:t>
      </w:r>
      <w:r>
        <w:rPr>
          <w:sz w:val="22"/>
          <w:spacing w:val="1"/>
        </w:rPr>
        <w:t xml:space="preserve"> </w:t>
      </w:r>
      <w:r>
        <w:rPr>
          <w:sz w:val="22"/>
        </w:rPr>
        <w:t>nº</w:t>
      </w:r>
      <w:r>
        <w:rPr>
          <w:sz w:val="22"/>
          <w:spacing w:val="1"/>
        </w:rPr>
        <w:t xml:space="preserve"> </w:t>
      </w:r>
      <w:r>
        <w:rPr>
          <w:sz w:val="22"/>
        </w:rPr>
        <w:t>10.818, de</w:t>
      </w:r>
      <w:r>
        <w:rPr>
          <w:sz w:val="22"/>
          <w:spacing w:val="1"/>
        </w:rPr>
        <w:t xml:space="preserve"> </w:t>
      </w:r>
      <w:r>
        <w:rPr>
          <w:sz w:val="22"/>
        </w:rPr>
        <w:t>2021.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7. JUSTIFICATIVAS PARA O PARCELAMENTO OU NÃO DA SOLUÇÃO</w:t>
      </w:r>
    </w:p>
    <w:p>
      <w:pPr>
        <w:jc w:val="both"/>
      </w:pPr>
      <w:r>
        <w:rPr>
          <w:sz w:val="22"/>
        </w:rPr>
        <w:t>A aquisição é divisível, portanto há possibilidade de separá-lo(s) em cotas sem causar prejuízo a</w:t>
      </w:r>
      <w:r>
        <w:rPr>
          <w:sz w:val="22"/>
          <w:color w:val="FF0000"/>
        </w:rPr>
        <w:t xml:space="preserve"> </w:t>
      </w:r>
      <w:r>
        <w:rPr>
          <w:sz w:val="22"/>
        </w:rPr>
        <w:t xml:space="preserve">execução do contrato. Havendo um melhor aproveitamento do mercado e ampliação da competitividade. </w:t>
      </w:r>
    </w:p>
    <w:p>
      <w:pPr>
        <w:jc w:val="both"/>
      </w:pPr>
      <w:r>
        <w:rPr>
          <w:sz w:val="22"/>
        </w:rPr>
        <w:t/>
      </w:r>
    </w:p>
    <w:p>
      <w:pPr>
        <w:jc w:val="both"/>
      </w:pPr>
      <w:r>
        <w:rPr>
          <w:b/>
          <w:sz w:val="22"/>
        </w:rPr>
        <w:t xml:space="preserve">8. - RESULTADOS PRETENDIDOS </w:t>
      </w:r>
    </w:p>
    <w:p>
      <w:pPr>
        <w:jc w:val="both"/>
      </w:pPr>
      <w:r>
        <w:rPr>
          <w:sz w:val="22"/>
        </w:rPr>
        <w:t xml:space="preserve">A solução deverá permitir o alcance dos seguintes resultados: </w:t>
      </w:r>
    </w:p>
    <w:p>
      <w:pPr>
        <w:jc w:val="both"/>
      </w:pPr>
      <w:r>
        <w:rPr>
          <w:sz w:val="22"/>
        </w:rPr>
        <w:t>1) Atender</w:t>
      </w:r>
      <w:r>
        <w:rPr>
          <w:sz w:val="22"/>
          <w:spacing w:val="3"/>
        </w:rPr>
        <w:t xml:space="preserve"> </w:t>
      </w:r>
      <w:r>
        <w:rPr>
          <w:sz w:val="22"/>
        </w:rPr>
        <w:t>com</w:t>
      </w:r>
      <w:r>
        <w:rPr>
          <w:sz w:val="22"/>
          <w:spacing w:val="3"/>
        </w:rPr>
        <w:t xml:space="preserve"> </w:t>
      </w:r>
      <w:r>
        <w:rPr>
          <w:sz w:val="22"/>
        </w:rPr>
        <w:t>eficiência</w:t>
      </w:r>
      <w:r>
        <w:rPr>
          <w:sz w:val="22"/>
          <w:spacing w:val="3"/>
        </w:rPr>
        <w:t xml:space="preserve"> </w:t>
      </w:r>
      <w:r>
        <w:rPr>
          <w:sz w:val="22"/>
        </w:rPr>
        <w:t>as</w:t>
      </w:r>
      <w:r>
        <w:rPr>
          <w:sz w:val="22"/>
          <w:spacing w:val="3"/>
        </w:rPr>
        <w:t xml:space="preserve"> </w:t>
      </w:r>
      <w:r>
        <w:rPr>
          <w:sz w:val="22"/>
        </w:rPr>
        <w:t>constantes</w:t>
      </w:r>
      <w:r>
        <w:rPr>
          <w:sz w:val="22"/>
          <w:spacing w:val="3"/>
        </w:rPr>
        <w:t xml:space="preserve"> </w:t>
      </w:r>
      <w:r>
        <w:rPr>
          <w:sz w:val="22"/>
        </w:rPr>
        <w:t>demandas das Secretarias Municipais de Guairaçá, dos seus munícipes com a prestação de serviços satisfatória e ainda atender as determinações dos órgãos fiscalizadores;</w:t>
      </w:r>
    </w:p>
    <w:p>
      <w:pPr>
        <w:jc w:val="both"/>
      </w:pPr>
      <w:r>
        <w:rPr>
          <w:sz w:val="22"/>
        </w:rPr>
        <w:t>2) Evitar</w:t>
      </w:r>
      <w:r>
        <w:rPr>
          <w:sz w:val="22"/>
          <w:spacing w:val="3"/>
        </w:rPr>
        <w:t xml:space="preserve"> </w:t>
      </w:r>
      <w:r>
        <w:rPr>
          <w:sz w:val="22"/>
        </w:rPr>
        <w:t>a</w:t>
      </w:r>
      <w:r>
        <w:rPr>
          <w:sz w:val="22"/>
          <w:spacing w:val="3"/>
        </w:rPr>
        <w:t xml:space="preserve"> </w:t>
      </w:r>
      <w:r>
        <w:rPr>
          <w:sz w:val="22"/>
        </w:rPr>
        <w:t>realização</w:t>
      </w:r>
      <w:r>
        <w:rPr>
          <w:sz w:val="22"/>
          <w:spacing w:val="3"/>
        </w:rPr>
        <w:t xml:space="preserve"> </w:t>
      </w:r>
      <w:r>
        <w:rPr>
          <w:sz w:val="22"/>
        </w:rPr>
        <w:t>de</w:t>
      </w:r>
      <w:r>
        <w:rPr>
          <w:sz w:val="22"/>
          <w:spacing w:val="3"/>
        </w:rPr>
        <w:t xml:space="preserve"> </w:t>
      </w:r>
      <w:r>
        <w:rPr>
          <w:sz w:val="22"/>
        </w:rPr>
        <w:t>várias</w:t>
      </w:r>
      <w:r>
        <w:rPr>
          <w:sz w:val="22"/>
          <w:spacing w:val="3"/>
        </w:rPr>
        <w:t xml:space="preserve"> </w:t>
      </w:r>
      <w:r>
        <w:rPr>
          <w:sz w:val="22"/>
        </w:rPr>
        <w:t>contratações</w:t>
      </w:r>
      <w:r>
        <w:rPr>
          <w:sz w:val="22"/>
          <w:spacing w:val="3"/>
        </w:rPr>
        <w:t xml:space="preserve"> </w:t>
      </w:r>
      <w:r>
        <w:rPr>
          <w:sz w:val="22"/>
        </w:rPr>
        <w:t>referentes</w:t>
      </w:r>
      <w:r>
        <w:rPr>
          <w:sz w:val="22"/>
          <w:spacing w:val="3"/>
        </w:rPr>
        <w:t xml:space="preserve"> </w:t>
      </w:r>
      <w:r>
        <w:rPr>
          <w:sz w:val="22"/>
        </w:rPr>
        <w:t>a</w:t>
      </w:r>
      <w:r>
        <w:rPr>
          <w:sz w:val="22"/>
          <w:spacing w:val="3"/>
        </w:rPr>
        <w:t xml:space="preserve"> </w:t>
      </w:r>
      <w:r>
        <w:rPr>
          <w:sz w:val="22"/>
        </w:rPr>
        <w:t>um</w:t>
      </w:r>
      <w:r>
        <w:rPr>
          <w:sz w:val="22"/>
          <w:spacing w:val="3"/>
        </w:rPr>
        <w:t xml:space="preserve"> </w:t>
      </w:r>
      <w:r>
        <w:rPr>
          <w:sz w:val="22"/>
        </w:rPr>
        <w:t>mesmo</w:t>
      </w:r>
      <w:r>
        <w:rPr>
          <w:sz w:val="22"/>
          <w:spacing w:val="3"/>
        </w:rPr>
        <w:t xml:space="preserve"> </w:t>
      </w:r>
      <w:r>
        <w:rPr>
          <w:sz w:val="22"/>
        </w:rPr>
        <w:t>objeto,</w:t>
      </w:r>
      <w:r>
        <w:rPr>
          <w:sz w:val="22"/>
          <w:spacing w:val="3"/>
        </w:rPr>
        <w:t xml:space="preserve"> </w:t>
      </w:r>
      <w:r>
        <w:rPr>
          <w:sz w:val="22"/>
        </w:rPr>
        <w:t xml:space="preserve">num </w:t>
      </w:r>
      <w:r>
        <w:rPr>
          <w:sz w:val="22"/>
          <w:spacing w:val="-3"/>
        </w:rPr>
        <w:t xml:space="preserve"> </w:t>
      </w:r>
      <w:r>
        <w:rPr>
          <w:sz w:val="22"/>
        </w:rPr>
        <w:t xml:space="preserve">mesmo exercício financeiro, evitando o sobrepreço e a ineficâcia da execução do contrato; 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9- PROVIDÊNCIAS PARA A ADEQUAÇÃO DO AMBIENTE DO ÓRGÃO</w:t>
      </w:r>
    </w:p>
    <w:p>
      <w:pPr>
        <w:jc w:val="both"/>
      </w:pPr>
      <w:r>
        <w:rPr>
          <w:b/>
          <w:sz w:val="22"/>
        </w:rPr>
        <w:t>Logística:</w:t>
      </w:r>
    </w:p>
    <w:p>
      <w:pPr>
        <w:jc w:val="both"/>
      </w:pPr>
      <w:r>
        <w:rPr>
          <w:sz w:val="22"/>
        </w:rPr>
        <w:t>Não há necessidade de adequação logística (fornecimento de materiais).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Infraestrutura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>tecnológica:</w:t>
      </w:r>
    </w:p>
    <w:p>
      <w:pPr>
        <w:jc w:val="both"/>
      </w:pPr>
      <w:r>
        <w:rPr>
          <w:sz w:val="22"/>
        </w:rPr>
        <w:t>Não há necessidade de adequação na infraestrutura tecnológica.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Infraestrutura elétrica:</w:t>
      </w:r>
    </w:p>
    <w:p>
      <w:pPr>
        <w:jc w:val="both"/>
      </w:pPr>
      <w:r>
        <w:rPr>
          <w:sz w:val="22"/>
        </w:rPr>
        <w:t>Não há necessidade de adequação na infraestrutura elétrica.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Espaço físico:</w:t>
      </w:r>
    </w:p>
    <w:p>
      <w:pPr>
        <w:jc w:val="both"/>
      </w:pPr>
      <w:r>
        <w:rPr>
          <w:sz w:val="22"/>
        </w:rPr>
        <w:t>Não há necessidade de adequação no espaço físico.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Mobiliário:</w:t>
      </w:r>
    </w:p>
    <w:p>
      <w:pPr>
        <w:jc w:val="both"/>
      </w:pPr>
      <w:r>
        <w:rPr>
          <w:sz w:val="22"/>
        </w:rPr>
        <w:t>Não há necessidade de adequação de mobiliário.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Impacto ambiental:</w:t>
      </w:r>
    </w:p>
    <w:p>
      <w:pPr>
        <w:jc w:val="both"/>
      </w:pPr>
      <w:r>
        <w:rPr>
          <w:sz w:val="22"/>
        </w:rPr>
        <w:t>Não há efeitos ambientais de considerável relevância na contratação pretendida.</w:t>
      </w:r>
    </w:p>
    <w:p>
      <w:pPr>
        <w:jc w:val="both"/>
      </w:pPr>
      <w:r>
        <w:rPr>
          <w:b/>
          <w:sz w:val="22"/>
          <w:w w:val="120"/>
        </w:rPr>
        <w:t/>
      </w:r>
    </w:p>
    <w:p>
      <w:pPr>
        <w:jc w:val="both"/>
      </w:pPr>
      <w:r>
        <w:rPr>
          <w:b/>
          <w:sz w:val="22"/>
          <w:w w:val="120"/>
        </w:rPr>
        <w:t>10-</w:t>
      </w:r>
      <w:r>
        <w:rPr>
          <w:b/>
          <w:sz w:val="22"/>
          <w:w w:val="120"/>
          <w:spacing w:val="-1"/>
        </w:rPr>
        <w:t xml:space="preserve"> </w:t>
      </w:r>
      <w:r>
        <w:rPr>
          <w:b/>
          <w:sz w:val="22"/>
        </w:rPr>
        <w:t>CRITÉRIOS E PRÁTICAS DE ACESSIBILIDADE, SE CABÍVEL:</w:t>
      </w:r>
    </w:p>
    <w:p>
      <w:pPr>
        <w:jc w:val="both"/>
      </w:pPr>
      <w:r>
        <w:rPr>
          <w:sz w:val="22"/>
          <w:w w:val="115"/>
        </w:rPr>
        <w:t>Não</w:t>
      </w:r>
      <w:r>
        <w:rPr>
          <w:sz w:val="22"/>
          <w:w w:val="115"/>
          <w:spacing w:val="1"/>
        </w:rPr>
        <w:t xml:space="preserve"> </w:t>
      </w:r>
      <w:r>
        <w:rPr>
          <w:sz w:val="22"/>
          <w:w w:val="115"/>
        </w:rPr>
        <w:t>se</w:t>
      </w:r>
      <w:r>
        <w:rPr>
          <w:sz w:val="22"/>
          <w:w w:val="115"/>
          <w:spacing w:val="1"/>
        </w:rPr>
        <w:t xml:space="preserve"> </w:t>
      </w:r>
      <w:r>
        <w:rPr>
          <w:sz w:val="22"/>
          <w:w w:val="115"/>
        </w:rPr>
        <w:t>aplica.</w:t>
      </w:r>
    </w:p>
    <w:p>
      <w:pPr>
        <w:jc w:val="both"/>
      </w:pPr>
      <w:r>
        <w:rPr>
          <w:sz w:val="22"/>
          <w:w w:val="115"/>
        </w:rPr>
        <w:t/>
      </w:r>
    </w:p>
    <w:p>
      <w:pPr>
        <w:jc w:val="both"/>
      </w:pPr>
      <w:r>
        <w:rPr>
          <w:b/>
          <w:sz w:val="22"/>
        </w:rPr>
        <w:t>11– MAPA DE RISCO</w:t>
      </w:r>
    </w:p>
    <w:p>
      <w:pPr>
        <w:jc w:val="both"/>
      </w:pPr>
      <w:r>
        <w:rPr>
          <w:sz w:val="22"/>
        </w:rPr>
        <w:t>Em anexo.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12 - CONTRATAÇÕES CORRELATAS E/OU INTERDEPENDENTES</w:t>
      </w:r>
    </w:p>
    <w:p>
      <w:pPr>
        <w:jc w:val="both"/>
      </w:pPr>
      <w:r>
        <w:rPr>
          <w:sz w:val="22"/>
        </w:rPr>
        <w:t>Não verifica-se contratações correlatas nem interdependentes para a viabilidade e contratação desta demanda.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13 - VIABILIDADE OU NÃO DA CONTRATAÇÃO</w:t>
      </w:r>
    </w:p>
    <w:p>
      <w:pPr>
        <w:jc w:val="both"/>
      </w:pPr>
      <w:r>
        <w:rPr>
          <w:sz w:val="22"/>
        </w:rPr>
        <w:t xml:space="preserve">Os estudos preliminares evidenciam que a contratação da solução ora descrita, mostra-se tecnicamente possível e </w:t>
      </w:r>
      <w:r>
        <w:rPr>
          <w:sz w:val="22"/>
          <w:spacing w:val="-3"/>
        </w:rPr>
        <w:t xml:space="preserve"> </w:t>
      </w:r>
      <w:r>
        <w:rPr>
          <w:sz w:val="22"/>
        </w:rPr>
        <w:t>fundamentadamente necessária.</w:t>
      </w:r>
    </w:p>
    <w:p>
      <w:pPr>
        <w:jc w:val="both"/>
      </w:pPr>
      <w:r>
        <w:rPr>
          <w:sz w:val="22"/>
        </w:rPr>
        <w:t/>
      </w:r>
    </w:p>
    <w:p>
      <w:pPr>
        <w:jc w:val="both"/>
      </w:pPr>
      <w:r>
        <w:rPr>
          <w:sz w:val="22"/>
        </w:rPr>
        <w:t>Diante do exposto, declara-se ser viável a contratação pretendida.</w:t>
      </w:r>
    </w:p>
    <w:p>
      <w:pPr>
        <w:jc w:val="both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Guairaçá-PR , 05 de dezembro de 2024.</w:t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b/>
          <w:sz w:val="22"/>
        </w:rPr>
        <w:t>_____________________________</w:t>
      </w:r>
    </w:p>
    <w:p>
      <w:pPr>
        <w:jc w:val="center"/>
      </w:pPr>
      <w:r>
        <w:rPr>
          <w:b/>
          <w:sz w:val="22"/>
        </w:rPr>
        <w:t>LUAN RODRIGUES BONI</w:t>
      </w:r>
    </w:p>
    <w:p>
      <w:pPr>
        <w:jc w:val="center"/>
      </w:pPr>
      <w:r>
        <w:rPr>
          <w:b/>
          <w:i/>
          <w:sz w:val="22"/>
        </w:rPr>
        <w:t>SECRETARIA MUNICIPAL DE ADMINISTRAÇÃO</w:t>
      </w:r>
    </w:p>
    <w:p>
      <w:pPr>
        <w:jc w:val="right"/>
      </w:pPr>
      <w:r>
        <w:rPr>
          <w:b/>
          <w:sz w:val="22"/>
        </w:rPr>
        <w:t/>
      </w:r>
    </w:p>
    <w:p>
      <w:r>
        <w:rPr>
          <w:sz w:val="22"/>
        </w:rPr>
        <w:t/>
      </w:r>
    </w:p>
    <w:p>
      <w:r>
        <w:br w:type="page"/>
      </w:r>
    </w:p>
    <w:p>
      <w:pPr>
        <w:jc w:val="right"/>
      </w:pPr>
      <w:r>
        <w:rPr>
          <w:sz w:val="22"/>
        </w:rPr>
        <w:t/>
      </w:r>
    </w:p>
    <w:p>
      <w:pPr>
        <w:jc w:val="center"/>
        <w:outlineLvl w:val="0"/>
        <w:keepLines/>
        <w:keepNext/>
        <w:ind w:right="1305"/>
      </w:pPr>
      <w:bookmarkStart w:id="1" w:name="MAPA_DE_RISCO"/>
      <w:bookmarkEnd w:id="1"/>
      <w:r>
        <w:rPr>
          <w:b/>
          <w:u w:val="single" w:color="000000"/>
          <w:sz w:val="22"/>
        </w:rPr>
        <w:t>MAPA DE RISCO</w:t>
      </w:r>
    </w:p>
    <w:p>
      <w:r>
        <w:rPr>
          <w:u w:val="single"/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</w:rPr>
        <w:t>O Município de Guairaçá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sobrepreço e superfaturamento quando das execuções contratuais; prevenir e reprimir práticas corruptas, práticas fraudulentas, práticas colusivas ou práticas obstrutivas nos processos de contratação pública; garantir que a contratação pública constitua efetivo instrumento de fomento da sustentabilidade em suas dimensões ambiental, social e econômica;  realizar o gerenciamento dos riscos das licitações e das contratações e reduzir os riscos a que estão sujeitas as licitaç</w:t>
      </w:r>
      <w:r>
        <w:rPr>
          <w:sz w:val="22"/>
          <w:shd w:val="clear" w:color="auto" w:fill="FFFFFF"/>
        </w:rPr>
        <w:t>ões e as contratações, como, dentre outros.</w:t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Os riscos serão avaliados de acordo com a seguinte </w:t>
      </w:r>
      <w:r>
        <w:rPr>
          <w:b/>
          <w:sz w:val="22"/>
          <w:shd w:val="clear" w:color="auto" w:fill="FFFFFF"/>
        </w:rPr>
        <w:t>escala de probabilidade</w:t>
      </w:r>
      <w:r>
        <w:rPr>
          <w:sz w:val="22"/>
          <w:shd w:val="clear" w:color="auto" w:fill="FFFFFF"/>
        </w:rPr>
        <w:t>: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raro:</w:t>
      </w:r>
      <w:r>
        <w:rPr>
          <w:sz w:val="22"/>
          <w:shd w:val="clear" w:color="auto" w:fill="FFFFFF"/>
        </w:rPr>
        <w:t xml:space="preserve"> acontece apenas em situações excepcionais; não há histórico conhecido do evento ou não há indícios que sinalizem sua ocorrência;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pouco provável:</w:t>
      </w:r>
      <w:r>
        <w:rPr>
          <w:sz w:val="22"/>
          <w:shd w:val="clear" w:color="auto" w:fill="FFFFFF"/>
        </w:rPr>
        <w:t xml:space="preserve"> o histórico conhecido aponta para baixa frequência de ocorrência no prazo associado ao objetivo;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provável:</w:t>
      </w:r>
      <w:r>
        <w:rPr>
          <w:sz w:val="22"/>
          <w:shd w:val="clear" w:color="auto" w:fill="FFFFFF"/>
        </w:rPr>
        <w:t xml:space="preserve"> repete-se com frequência razoável no prazo associado ao objetivo ou há indícios que possa ocorrer nesse horizonte;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IV - </w:t>
      </w:r>
      <w:r>
        <w:rPr>
          <w:b/>
          <w:sz w:val="22"/>
          <w:shd w:val="clear" w:color="auto" w:fill="FFFFFF"/>
        </w:rPr>
        <w:t>muito provável:</w:t>
      </w:r>
      <w:r>
        <w:rPr>
          <w:sz w:val="22"/>
          <w:shd w:val="clear" w:color="auto" w:fill="FFFFFF"/>
        </w:rPr>
        <w:t xml:space="preserve"> repete-se com elevada frequência no prazo associado ao objetivo ou há muitos indícios que ocorrerá nesse horizonte;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praticamente certo</w:t>
      </w:r>
      <w:r>
        <w:rPr>
          <w:sz w:val="22"/>
          <w:shd w:val="clear" w:color="auto" w:fill="FFFFFF"/>
        </w:rPr>
        <w:t>: ocorrência quase garantida no prazo associado ao objetivo.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Os riscos serão avaliados de acordo com a seguinte</w:t>
      </w:r>
      <w:r>
        <w:rPr>
          <w:b/>
          <w:sz w:val="22"/>
          <w:shd w:val="clear" w:color="auto" w:fill="FFFFFF"/>
        </w:rPr>
        <w:t xml:space="preserve"> escala de impacto</w:t>
      </w:r>
      <w:r>
        <w:rPr>
          <w:sz w:val="22"/>
          <w:shd w:val="clear" w:color="auto" w:fill="FFFFFF"/>
        </w:rPr>
        <w:t>: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muito baixo</w:t>
      </w:r>
      <w:r>
        <w:rPr>
          <w:sz w:val="22"/>
          <w:shd w:val="clear" w:color="auto" w:fill="FFFFFF"/>
        </w:rPr>
        <w:t>: compromete minimamente o atingimento do objetivo; para fins práticos, não altera o alcance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baixo</w:t>
      </w:r>
      <w:r>
        <w:rPr>
          <w:sz w:val="22"/>
          <w:shd w:val="clear" w:color="auto" w:fill="FFFFFF"/>
        </w:rPr>
        <w:t>: compromete em alguma medida o alcance do objetivo, mas não impede o alcance da maior parte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médio:</w:t>
      </w:r>
      <w:r>
        <w:rPr>
          <w:sz w:val="22"/>
          <w:shd w:val="clear" w:color="auto" w:fill="FFFFFF"/>
        </w:rPr>
        <w:t xml:space="preserve"> compromete razoavelmente o alcance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IV -</w:t>
      </w:r>
      <w:r>
        <w:rPr>
          <w:b/>
          <w:sz w:val="22"/>
          <w:shd w:val="clear" w:color="auto" w:fill="FFFFFF"/>
        </w:rPr>
        <w:t xml:space="preserve"> alto</w:t>
      </w:r>
      <w:r>
        <w:rPr>
          <w:sz w:val="22"/>
          <w:shd w:val="clear" w:color="auto" w:fill="FFFFFF"/>
        </w:rPr>
        <w:t>: compromete a maior parte do atingimento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muito alto</w:t>
      </w:r>
      <w:r>
        <w:rPr>
          <w:sz w:val="22"/>
          <w:shd w:val="clear" w:color="auto" w:fill="FFFFFF"/>
        </w:rPr>
        <w:t>: compromete totalmente ou quase totalmente o atingimento do objetivo/resultado.</w:t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jc w:val="both"/>
        <w:keepLines/>
        <w:keepNext/>
        <w:tabs>
          <w:tab w:val="left" w:pos="10125"/>
        </w:tabs>
      </w:pPr>
      <w:r>
        <w:rPr>
          <w:b/>
          <w:sz w:val="22"/>
        </w:rPr>
        <w:t>OBJETO: AQUISIÇÃO DE CARNES E DERIVADOS PARA ATENDER AS NECESSIDADES DAS SECRETARIAS MUNICIPAIS DO MUNICÍPIO DE GUAIRAÇÁ-PR.</w:t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jc w:val="center"/>
        <w:ind w:left="2010" w:right="2010"/>
        <w:spacing w:before="45"/>
      </w:pPr>
      <w:r>
        <w:rPr>
          <w:b/>
          <w:sz w:val="22"/>
        </w:rPr>
        <w:t>FASE DE PLANEJAMENTO</w:t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3" name="P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emf"/>
                    <pic:cNvPicPr/>
                  </pic:nvPicPr>
                  <pic:blipFill>
                    <a:blip r:embed="prI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590"/>
        <w:gridCol w:w="1005"/>
        <w:gridCol w:w="480"/>
        <w:gridCol w:w="1245"/>
        <w:gridCol w:w="1275"/>
        <w:gridCol w:w="150"/>
        <w:gridCol w:w="1785"/>
        <w:gridCol w:w="2325"/>
      </w:tblGrid>
      <w:tr>
        <w:trPr>
          <w:trHeight w:val="465" w:hRule="atLeast"/>
        </w:trPr>
        <w:tc>
          <w:tcPr>
            <w:tcW w:w="1086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60"/>
            </w:pPr>
            <w:r>
              <w:rPr>
                <w:b/>
                <w:sz w:val="16"/>
              </w:rPr>
              <w:t>RISCO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01.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AUSÊNCIA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PRIORIZAÇÃO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DAS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AQUISIÇÕES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BASEIAM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NAS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AÇÕES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ORGANIZACIONAIS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MAIS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RELEVANTES.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O ÓRGÃO NÃO ATINGIR OS OBJETIVOS ORGANIZACIONAIS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1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  <w:tabs>
                <w:tab w:val="left" w:pos="960"/>
                <w:tab w:val="left" w:pos="2430"/>
              </w:tabs>
            </w:pPr>
            <w:r>
              <w:rPr>
                <w:sz w:val="16"/>
              </w:rPr>
              <w:t xml:space="preserve">DEFINIR METODOLOGIA DE PRIORIZAÇÃO DE 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AQUISIÇÕES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8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  <w:tabs>
                <w:tab w:val="left" w:pos="720"/>
              </w:tabs>
            </w:pPr>
            <w:r>
              <w:rPr>
                <w:sz w:val="16"/>
              </w:rPr>
              <w:t>EFETIVO FUNCIONAMENTO DO SETOR DE PLANEJAMENTO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605"/>
        <w:gridCol w:w="1005"/>
        <w:gridCol w:w="495"/>
        <w:gridCol w:w="1275"/>
        <w:gridCol w:w="1320"/>
        <w:gridCol w:w="90"/>
        <w:gridCol w:w="1845"/>
        <w:gridCol w:w="2220"/>
      </w:tblGrid>
      <w:tr>
        <w:trPr>
          <w:trHeight w:val="465" w:hRule="atLeast"/>
        </w:trPr>
        <w:tc>
          <w:tcPr>
            <w:tcW w:w="1086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02.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 xml:space="preserve">ESTUDO TÉCNICO PRELIMINAR COM CONTEÚDO INSUFICIENTE PARA ATINGIR O OBJETIVO (MAL 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ELABORADO)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7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Pouco Provável</w:t>
            </w:r>
          </w:p>
        </w:tc>
        <w:tc>
          <w:tcPr>
            <w:tcW w:w="13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2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Alto</w:t>
            </w:r>
          </w:p>
        </w:tc>
        <w:tc>
          <w:tcPr>
            <w:tcW w:w="22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DESPERDÍCIO DE RECURSOS PÚBLICOS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5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  <w:tr>
        <w:trPr>
          <w:trHeight w:val="58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NOMEAÇÃO DE SERVIDORES COM CONHECIMENTO TÉCNICO DO OBJETO, DA LEGISLAÇÃO ESPECÍFICA E DOS PROCEDIMENTOS DA CONTRATAÇÃO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  <w:tabs>
                <w:tab w:val="left" w:pos="1620"/>
                <w:tab w:val="left" w:pos="3240"/>
              </w:tabs>
            </w:pPr>
            <w:r>
              <w:rPr>
                <w:sz w:val="16"/>
              </w:rPr>
              <w:t>REALIZAR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ANÁLISE,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CONFERÊNCIA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REVISÃO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ESTUDOS TÉCNICOS PRELIMINARES APRESENTADOS.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605"/>
        <w:gridCol w:w="1005"/>
        <w:gridCol w:w="495"/>
        <w:gridCol w:w="1245"/>
        <w:gridCol w:w="1275"/>
        <w:gridCol w:w="165"/>
        <w:gridCol w:w="1770"/>
        <w:gridCol w:w="2280"/>
      </w:tblGrid>
      <w:tr>
        <w:trPr>
          <w:trHeight w:val="465" w:hRule="atLeast"/>
        </w:trPr>
        <w:tc>
          <w:tcPr>
            <w:tcW w:w="1084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03. ELABORAÇÃO DE TERMO DE REFERÊNCIA INADEQUADO, QUE NÃO PERMITE A SELEÇÃO DA PROPOSTA MAIS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VANTAJOSA (INCOMPLETO OU INCONSISTENTE).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2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2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4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33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4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DESPERDÍCIO DE RECURSOS PÚBLICOS, RESULTANDO NUMA MÁ CONTRATAÇÃO OU ATÉ MESMO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INVIABILIZANDO-A.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2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  <w:tr>
        <w:trPr>
          <w:trHeight w:val="54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NOMEAÇÃO DE SERVIDORES  COM CONHECIMENTO TÉCNICO DO OBJETO, DA LEGISLAÇÃO ESPECÍFICA E DOS PROCEDIMENTOS DA CONTRATAÇÃO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  <w:tr>
        <w:trPr>
          <w:trHeight w:val="46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left="75" w:right="-30" w:hanging="75"/>
            </w:pPr>
            <w:r>
              <w:rPr>
                <w:sz w:val="16"/>
              </w:rPr>
              <w:t>REMANEJAMENTO DO QUADRO DE PESSOAL DO ÓRGÃO,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EVITANDO SOBRECARGA DE TRABALHO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DEVOLVER O PROCESSO AO DEMANDANTE PARA CONFERIR, REVISAR OU RATIFICAR O TERMO DE REFERÊNCIA/ESTUDO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DEMANDANTE</w:t>
            </w:r>
          </w:p>
        </w:tc>
      </w:tr>
      <w:tr>
        <w:trPr>
          <w:trHeight w:val="43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REALIZAR ANÁLISE, CONFERÊNCIA E REVISÃO 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TERMOS DE REFERÊNCIA/ESTUDOS APRESENTADOS.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575"/>
        <w:gridCol w:w="1005"/>
        <w:gridCol w:w="480"/>
        <w:gridCol w:w="1275"/>
        <w:gridCol w:w="1305"/>
        <w:gridCol w:w="105"/>
        <w:gridCol w:w="1740"/>
        <w:gridCol w:w="2325"/>
        <w:gridCol w:w="30"/>
      </w:tblGrid>
      <w:tr>
        <w:trPr>
          <w:trHeight w:val="285" w:hRule="atLeast"/>
        </w:trPr>
        <w:tc>
          <w:tcPr>
            <w:tcW w:w="1081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04. ESTIMATIVA INADEQUADA DO VALOR DE REFERÊNCIA DA CONTRATAÇÃO.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258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Pouco Provável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8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 ) Alto</w:t>
            </w:r>
          </w:p>
        </w:tc>
        <w:tc>
          <w:tcPr>
            <w:tcW w:w="23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1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1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UTILIZAÇÃO DE PARÂMETROS INADEQUADOS PARA ANALISAR A VIABILIDADE DA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9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COM ACUIDADE O LEVANTAMENTO DE QUANTITATIVOS E OS PREÇOS, ASSIM COMO CONFERIR TODOS OS DADOS QUANDO DA ELABORAÇÃO DO VALOR DE REFERÊNCIA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31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PREVISÃO DE METODOLOGIA PARA A REALIZAÇÃO DE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PESQUISA DE PREÇOS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2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10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NOVA CONFERÊNCIA DA PLANILHA ORÇAMENTÁRIA, DOS QUANTITATIVOS PREVISTOS NO ESTUDO TÉCNICO PRELIMINAR, TERMO DE REFERÊNCIA, ANTES DA PUBLICAÇÃO DO EDITAL, POR OUTRO SERVIDOR COM CONHECIMENTO TÉCNICO DO OBJETO.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center"/>
        <w:ind w:right="15"/>
        <w:spacing w:before="45"/>
      </w:pPr>
      <w:r>
        <w:rPr>
          <w:b/>
          <w:sz w:val="22"/>
        </w:rPr>
        <w:t>FASE DE ANÁLISE - SELEÇÃO DO FORNECEDOR</w:t>
      </w:r>
    </w:p>
    <w:p>
      <w:pPr>
        <w:jc w:val="center"/>
        <w:ind w:right="15"/>
        <w:spacing w:before="45"/>
      </w:pPr>
      <w:r>
        <w:rPr>
          <w:b/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4" name="P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emf"/>
                    <pic:cNvPicPr/>
                  </pic:nvPicPr>
                  <pic:blipFill>
                    <a:blip r:embed="prId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4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75"/>
        <w:gridCol w:w="1005"/>
        <w:gridCol w:w="480"/>
        <w:gridCol w:w="1230"/>
        <w:gridCol w:w="1365"/>
        <w:gridCol w:w="60"/>
        <w:gridCol w:w="1755"/>
        <w:gridCol w:w="2355"/>
        <w:gridCol w:w="30"/>
      </w:tblGrid>
      <w:tr>
        <w:trPr>
          <w:trHeight w:val="285" w:hRule="atLeast"/>
        </w:trPr>
        <w:tc>
          <w:tcPr>
            <w:tcW w:w="1080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01. CONTRATAÇÃO DE EMPRESA QUE NÃO TENHA CAPACIDADE DE EXECUTAR O CONTRATO.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3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1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1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3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4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6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NÃO OBTENÇÃO DO OBJETO CONTRATADO E DESCUMPRIMENTO, PELA CONTRATADA, DAS OBRIGAÇÕES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PREVISTAS EM LEGISLAÇÃO ESPECÍFICA E NO CONTRATO.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5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ANALISAR CRITERIOSAMENTE OS CRITÉRIOS DE QUALIFICAÇÃO ECONÔMICO-FINANCEIRA DA EMPRESA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39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ANALISAR CRITERIOSAMENTE OS CRITÉRIOS DE QUALIFICAÇÃO TÉCNICA DA EMPRESA LICITANTE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19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60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ANÁLISE CRITERIOSA DA QUALIFICAÇÃO ECONÔMICO-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FINANCEIRA DA LICITANTE POR SERVIDOR COM CONHECIMENTO TÉCNICO EM CONTABILIDADE E EM BALANÇOS PATRIMINIAIS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 / CONTABILIDADE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75"/>
        <w:gridCol w:w="1005"/>
        <w:gridCol w:w="480"/>
        <w:gridCol w:w="1275"/>
        <w:gridCol w:w="1275"/>
        <w:gridCol w:w="90"/>
        <w:gridCol w:w="1755"/>
        <w:gridCol w:w="2370"/>
      </w:tblGrid>
      <w:tr>
        <w:trPr>
          <w:trHeight w:val="465" w:hRule="atLeast"/>
        </w:trPr>
        <w:tc>
          <w:tcPr>
            <w:tcW w:w="1080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02. QUESTIONAMENTOS NO CERTAME (RECURSOS,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IMPUGNAÇÕES) E JUNTO A ÓRGÃOS EXTERNOS (PODER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JUDICIÁRIO, TCU)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3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PARALISAÇÃO DO CERTAME ATÉ QUE A EXIGÊNCIA SEJA COMPREENDIDA / SANADA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1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ADOÇÃO DE EDITAL CONFORME AS PREMISSAS DA LEI 14133/2021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>AGENTE DE CONTRATAÇÃO</w:t>
            </w:r>
          </w:p>
        </w:tc>
      </w:tr>
      <w:tr>
        <w:trPr>
          <w:trHeight w:val="5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INCLUIR REFERÊNCIAS A DISPOSITIVOS LEGAIS E/OU JURISPRUDÊNCIAS QUE FUNDAMENTEM A INCLUSÃO DE EXIGÊNCIAS NÃO USUAIS NA CONTRATAÇÃO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  <w:tr>
        <w:trPr>
          <w:trHeight w:val="18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3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CRIAR UM NÍVEL DE REVISÃO E SUPERVISÃO 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EDITAIS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8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990"/>
        <w:gridCol w:w="1605"/>
        <w:gridCol w:w="1005"/>
        <w:gridCol w:w="495"/>
        <w:gridCol w:w="1245"/>
        <w:gridCol w:w="1275"/>
        <w:gridCol w:w="120"/>
        <w:gridCol w:w="1875"/>
        <w:gridCol w:w="2160"/>
      </w:tblGrid>
      <w:tr>
        <w:trPr>
          <w:trHeight w:val="285" w:hRule="atLeast"/>
        </w:trPr>
        <w:tc>
          <w:tcPr>
            <w:tcW w:w="1077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03. LICITAÇÃO DESERTA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Muito Alto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8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18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8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RETRABALHO PARA REALIZAR A CONTRATAÇÃO OU NÃO ATENDIMENTO DA NECESSIDADE QUE A ORIGINOU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PREVISÃO DE LEVANTAMENTO DE MERCADO COMO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UMAS DAS FASES DO ESTUDO TÉCNICO PRELIMINAR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66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A LICITAÇÃO COM MÁXIMA ANTECEDÊNCIA, DE MODO A SER POSSÍVEL REPETIR TODO O PROCESSO EM TEMPO HÁBIL PARA EXECUTAR A CONTRATAÇÃO NO MESMO EXERCÍCIO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center"/>
        <w:ind w:right="15"/>
        <w:spacing w:before="45"/>
      </w:pPr>
      <w:r>
        <w:rPr>
          <w:b/>
          <w:sz w:val="22"/>
        </w:rPr>
        <w:t>FASE DE CONTRATAÇÃO</w:t>
      </w:r>
    </w:p>
    <w:p>
      <w:pPr>
        <w:jc w:val="center"/>
        <w:ind w:right="15"/>
        <w:spacing w:before="45"/>
      </w:pPr>
      <w:r>
        <w:rPr>
          <w:b/>
          <w:sz w:val="22"/>
        </w:rPr>
        <w:t/>
      </w:r>
    </w:p>
    <w:p>
      <w:pPr>
        <w:jc w:val="center"/>
        <w:ind w:right="15"/>
        <w:spacing w:before="45"/>
      </w:pPr>
      <w:r>
        <w:rPr>
          <w:rFonts w:ascii="Times New Roman" w:hAnsi="Times New Roman" w:cs="Times New Roman" w:eastAsia="Times New Roman"/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5" name="P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.emf"/>
                    <pic:cNvPicPr/>
                  </pic:nvPicPr>
                  <pic:blipFill>
                    <a:blip r:embed="prId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77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30"/>
        <w:gridCol w:w="975"/>
        <w:gridCol w:w="1590"/>
        <w:gridCol w:w="1005"/>
        <w:gridCol w:w="480"/>
        <w:gridCol w:w="1260"/>
        <w:gridCol w:w="1230"/>
        <w:gridCol w:w="180"/>
        <w:gridCol w:w="1680"/>
        <w:gridCol w:w="2325"/>
      </w:tblGrid>
      <w:tr>
        <w:trPr>
          <w:trHeight w:val="285" w:hRule="atLeast"/>
        </w:trPr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1072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01. FORMALIZAÇÃO INCORRETA DO TERMO CONTRATUAL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3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Pouco Provável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6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3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Médio</w:t>
            </w:r>
          </w:p>
        </w:tc>
        <w:tc>
          <w:tcPr>
            <w:tcW w:w="186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5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46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5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PROBLEMAS CONSTANTES NA EXECUÇÃO DO OBJETO, QUER POR FALTA, QUER POR EXCESSO DE CLÁUSULAS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CONTRATUAIS</w:t>
            </w:r>
            <w:r>
              <w:rPr>
                <w:sz w:val="16"/>
              </w:rPr>
              <w:t>.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55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CRIAR NÍVEL DE REVISÃO NOS PROCEDIMENTOS DE ELABORAÇÃO DE MINUTA CONTRATUAL E CONTRATO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PROPRIAMENTE DITO.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90"/>
        <w:gridCol w:w="1005"/>
        <w:gridCol w:w="480"/>
        <w:gridCol w:w="1290"/>
        <w:gridCol w:w="1305"/>
        <w:gridCol w:w="60"/>
        <w:gridCol w:w="1875"/>
        <w:gridCol w:w="2160"/>
      </w:tblGrid>
      <w:tr>
        <w:trPr>
          <w:trHeight w:val="285" w:hRule="atLeast"/>
        </w:trPr>
        <w:tc>
          <w:tcPr>
            <w:tcW w:w="1074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02. FISCAL COM POUCO TEMPO PARA EXECUTAR SUAS ATRIBUIÇÕES REFERENTES AO CONTRATO</w:t>
            </w:r>
          </w:p>
        </w:tc>
      </w:tr>
      <w:tr>
        <w:trPr>
          <w:trHeight w:val="270" w:hRule="atLeast"/>
        </w:trPr>
        <w:tc>
          <w:tcPr>
            <w:tcW w:w="25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7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Pouco Provável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 ) Alto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6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46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6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NÃO ACOMPANHAMENTO DE VÁRIOS ASPECTOS IMPORTANTES DA CONTRATAÇÃO OU RECEBIMENTO DE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SERVIÇOS EM DESCONFORMIDADE COM ESPECIFICAÇÕES TÉCNICAS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3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DISTRIBUIÇÃO MAIS EQUITATIVA DE CONTRATOS 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SEREM FISCALIZADOS ENTRE OS VÁRIOS</w:t>
            </w:r>
            <w:r>
              <w:rPr>
                <w:sz w:val="16"/>
                <w:spacing w:val="3"/>
              </w:rPr>
              <w:t xml:space="preserve"> </w:t>
            </w:r>
            <w:r>
              <w:rPr>
                <w:sz w:val="16"/>
              </w:rPr>
              <w:t>SERVIDORES DO TRIBUNAL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  <w:tr>
        <w:trPr>
          <w:trHeight w:val="22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5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 INDICAÇÃO DO FISCAL DEVE RECAIR SOBRE SERVIDOR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4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30"/>
        <w:gridCol w:w="960"/>
        <w:gridCol w:w="1635"/>
        <w:gridCol w:w="1005"/>
        <w:gridCol w:w="495"/>
        <w:gridCol w:w="1170"/>
        <w:gridCol w:w="1350"/>
        <w:gridCol w:w="135"/>
        <w:gridCol w:w="1860"/>
        <w:gridCol w:w="2085"/>
      </w:tblGrid>
      <w:tr>
        <w:trPr>
          <w:trHeight w:val="285" w:hRule="atLeast"/>
        </w:trPr>
        <w:tc>
          <w:tcPr>
            <w:tcW w:w="10725" w:type="dxa"/>
            <w:gridSpan w:val="10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03. EXECUÇÃO DO OBJETO EM DESACORDO COM O CONTRATO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6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3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08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1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08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3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3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ATENDIMENTO INADEQUADO OU NÃO ATENDIMENTO DA NECESSIDADE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2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 INDICAÇÃO DO FISCAL DEVE RECAIR SOBRE SERVIDOR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  <w:tr>
        <w:trPr>
          <w:trHeight w:val="21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39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DISTRIBUIÇÃO MAIS EQUITATIVA DE CONTRATOS 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SEREM FISCALIZADOS ENTRE OS</w:t>
            </w:r>
            <w:r>
              <w:rPr>
                <w:sz w:val="16"/>
                <w:spacing w:val="3"/>
              </w:rPr>
              <w:t xml:space="preserve"> </w:t>
            </w:r>
            <w:r>
              <w:rPr>
                <w:sz w:val="16"/>
              </w:rPr>
              <w:t>SERVIDORES ENVOLVIDOS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SECRETARIA MUNICIPAL DE ADMINISTRAÇÃO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>Guairaçá-Pr, 05 de dezembro de 2024.</w:t>
      </w:r>
    </w:p>
    <w:p>
      <w:pPr>
        <w:jc w:val="right"/>
        <w:keepLines/>
        <w:keepNext/>
        <w:ind w:right="-30"/>
      </w:pPr>
      <w:r>
        <w:rPr>
          <w:sz w:val="22"/>
          <w:color w:val="FF0000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/>
      </w:r>
    </w:p>
    <w:p>
      <w:pPr>
        <w:jc w:val="center"/>
        <w:keepLines/>
        <w:keepNext/>
        <w:ind w:right="-30"/>
      </w:pPr>
      <w:r>
        <w:rPr>
          <w:b/>
          <w:sz w:val="22"/>
        </w:rPr>
        <w:t>_________________________</w:t>
      </w:r>
    </w:p>
    <w:p>
      <w:pPr>
        <w:jc w:val="center"/>
        <w:keepLines/>
        <w:keepNext/>
        <w:ind w:right="-30"/>
      </w:pPr>
      <w:r>
        <w:rPr>
          <w:b/>
          <w:sz w:val="22"/>
        </w:rPr>
        <w:t>LUAN RODRIGUES BONI</w:t>
      </w:r>
    </w:p>
    <w:p>
      <w:pPr>
        <w:jc w:val="center"/>
        <w:keepLines/>
        <w:keepNext/>
        <w:ind w:right="-30"/>
      </w:pPr>
      <w:r>
        <w:rPr>
          <w:b/>
          <w:i/>
          <w:sz w:val="22"/>
        </w:rPr>
        <w:t>SECRETARIA MUNICIPAL DE ADMINISTRAÇÃO</w:t>
      </w:r>
    </w:p>
    <w:sectPr>
      <w:headerReference w:type="default" r:id="rIdHF0"/>
      <w:footerReference w:type="default" r:id="rIdHF1"/>
      <w:pgSz w:w="11906" w:h="16838"/>
      <w:pgMar w:top="340" w:right="340" w:bottom="340" w:left="34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  <w:font w:name="Arial MT">
    <w:charset w:val="00"/>
  </w:font>
  <w:font w:name="Times New Roman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  <w:widowControl/>
    </w:pPr>
    <w:r>
      <w:drawing>
        <wp:inline distT="0" distB="0" distL="0" distR="0">
          <wp:extent cx="57435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7435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p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Relationship Id="prId1" Type="http://schemas.openxmlformats.org/officeDocument/2006/relationships/image" Target="media/img3.emf"/><Relationship Id="prId2" Type="http://schemas.openxmlformats.org/officeDocument/2006/relationships/image" Target="media/img4.emf"/><Relationship Id="prId3" Type="http://schemas.openxmlformats.org/officeDocument/2006/relationships/image" Target="media/img5.emf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Relationship Id="prId2" Type="http://schemas.openxmlformats.org/officeDocument/2006/relationships/image" Target="media/img2.jpg"/></Relationships>
</file>