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outlineLvl w:val="0"/>
        <w:keepLines/>
        <w:keepNext/>
        <w:ind w:right="-30"/>
      </w:pPr>
      <w:bookmarkStart w:id="0" w:name="OLE_LINK2"/>
      <w:bookmarkEnd w:id="0"/>
      <w:r>
        <w:rPr>
          <w:b/>
          <w:u w:val="single" w:color="000000"/>
          <w:sz w:val="22"/>
        </w:rPr>
        <w:t>ESTUDO TÉCNICO PRELIMINAR – ETP</w:t>
      </w:r>
    </w:p>
    <w:p>
      <w:pPr>
        <w:jc w:val="both"/>
        <w:keepLines/>
        <w:keepNext/>
        <w:ind w:right="-30"/>
      </w:pPr>
      <w:r>
        <w:rPr>
          <w:b/>
          <w:sz w:val="22"/>
        </w:rPr>
        <w:t xml:space="preserve">    </w:t>
      </w:r>
    </w:p>
    <w:p>
      <w:pPr>
        <w:jc w:val="both"/>
        <w:keepLines/>
        <w:keepNext/>
        <w:ind w:right="-30"/>
      </w:pPr>
      <w:r>
        <w:rPr>
          <w:b/>
          <w:sz w:val="22"/>
        </w:rPr>
        <w:t/>
      </w:r>
    </w:p>
    <w:p>
      <w:pPr>
        <w:jc w:val="both"/>
        <w:keepLines/>
        <w:keepNext/>
        <w:ind w:right="-30"/>
      </w:pPr>
      <w:r>
        <w:rPr>
          <w:b/>
          <w:sz w:val="22"/>
        </w:rPr>
        <w:t>OBJETO: REGISTRO DE PREÇO PARA FUTURA E EVENTUAL AQUISIÇÃO DE MOCHILAS E TÊNIS ESCOLARES PARA ALUNOS DA REDE MUNICIPAL, EM ATENÇÃO A SECRETARIA MUNICIPAL DE EDUCAÇÃO DE GUAIRAÇÁ/PR.</w:t>
      </w:r>
    </w:p>
    <w:p>
      <w:pPr>
        <w:jc w:val="both"/>
        <w:keepLines/>
        <w:keepNext/>
        <w:ind w:right="-30"/>
      </w:pPr>
      <w:r>
        <w:rPr>
          <w:b/>
          <w:sz w:val="22"/>
        </w:rPr>
        <w:t/>
      </w:r>
    </w:p>
    <w:p>
      <w:pPr>
        <w:jc w:val="both"/>
        <w:keepLines/>
        <w:keepNext/>
        <w:ind w:right="-30"/>
      </w:pPr>
      <w:r>
        <w:rPr>
          <w:b/>
          <w:sz w:val="22"/>
        </w:rPr>
        <w:t>1. INTRODUÇÃO</w:t>
      </w:r>
    </w:p>
    <w:p>
      <w:pPr>
        <w:jc w:val="both"/>
        <w:keepLines/>
        <w:keepNext/>
        <w:ind w:right="-30"/>
      </w:pPr>
      <w:r>
        <w:rPr>
          <w:sz w:val="22"/>
        </w:rPr>
        <w:t>As</w:t>
      </w:r>
      <w:r>
        <w:rPr>
          <w:sz w:val="22"/>
          <w:spacing w:val="-1"/>
        </w:rPr>
        <w:t xml:space="preserve"> </w:t>
      </w:r>
      <w:r>
        <w:rPr>
          <w:sz w:val="22"/>
        </w:rPr>
        <w:t>contratações</w:t>
      </w:r>
      <w:r>
        <w:rPr>
          <w:sz w:val="22"/>
          <w:spacing w:val="-1"/>
        </w:rPr>
        <w:t xml:space="preserve"> </w:t>
      </w:r>
      <w:r>
        <w:rPr>
          <w:sz w:val="22"/>
        </w:rPr>
        <w:t>governamentais</w:t>
      </w:r>
      <w:r>
        <w:rPr>
          <w:sz w:val="22"/>
          <w:spacing w:val="-1"/>
        </w:rPr>
        <w:t xml:space="preserve"> </w:t>
      </w:r>
      <w:r>
        <w:rPr>
          <w:sz w:val="22"/>
        </w:rPr>
        <w:t>produzem</w:t>
      </w:r>
      <w:r>
        <w:rPr>
          <w:sz w:val="22"/>
          <w:spacing w:val="-1"/>
        </w:rPr>
        <w:t xml:space="preserve"> </w:t>
      </w:r>
      <w:r>
        <w:rPr>
          <w:sz w:val="22"/>
        </w:rPr>
        <w:t>significativo</w:t>
      </w:r>
      <w:r>
        <w:rPr>
          <w:sz w:val="22"/>
          <w:spacing w:val="-1"/>
        </w:rPr>
        <w:t xml:space="preserve"> </w:t>
      </w:r>
      <w:r>
        <w:rPr>
          <w:sz w:val="22"/>
        </w:rPr>
        <w:t>impacto</w:t>
      </w:r>
      <w:r>
        <w:rPr>
          <w:sz w:val="22"/>
          <w:spacing w:val="-1"/>
        </w:rPr>
        <w:t xml:space="preserve"> </w:t>
      </w:r>
      <w:r>
        <w:rPr>
          <w:sz w:val="22"/>
        </w:rPr>
        <w:t>na</w:t>
      </w:r>
      <w:r>
        <w:rPr>
          <w:sz w:val="22"/>
          <w:spacing w:val="-1"/>
        </w:rPr>
        <w:t xml:space="preserve"> </w:t>
      </w:r>
      <w:r>
        <w:rPr>
          <w:sz w:val="22"/>
        </w:rPr>
        <w:t>atividade</w:t>
      </w:r>
      <w:r>
        <w:rPr>
          <w:sz w:val="22"/>
          <w:spacing w:val="-1"/>
        </w:rPr>
        <w:t xml:space="preserve"> </w:t>
      </w:r>
      <w:r>
        <w:rPr>
          <w:sz w:val="22"/>
        </w:rPr>
        <w:t>econômica,</w:t>
      </w:r>
      <w:r>
        <w:rPr>
          <w:sz w:val="22"/>
          <w:spacing w:val="-1"/>
        </w:rPr>
        <w:t xml:space="preserve"> </w:t>
      </w:r>
      <w:r>
        <w:rPr>
          <w:sz w:val="22"/>
        </w:rPr>
        <w:t>tendo</w:t>
      </w:r>
      <w:r>
        <w:rPr>
          <w:sz w:val="22"/>
          <w:spacing w:val="-1"/>
        </w:rPr>
        <w:t xml:space="preserve"> </w:t>
      </w:r>
      <w:r>
        <w:rPr>
          <w:sz w:val="22"/>
        </w:rPr>
        <w:t>em</w:t>
      </w:r>
      <w:r>
        <w:rPr>
          <w:sz w:val="22"/>
          <w:spacing w:val="-3"/>
        </w:rPr>
        <w:t xml:space="preserve">  </w:t>
      </w:r>
      <w:r>
        <w:rPr>
          <w:sz w:val="22"/>
        </w:rPr>
        <w:t>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w:t>
      </w:r>
      <w:r>
        <w:rPr>
          <w:sz w:val="22"/>
          <w:spacing w:val="-3"/>
        </w:rPr>
        <w:t xml:space="preserve"> </w:t>
      </w:r>
      <w:r>
        <w:rPr>
          <w:sz w:val="22"/>
        </w:rPr>
        <w:t>ao</w:t>
      </w:r>
      <w:r>
        <w:rPr>
          <w:sz w:val="22"/>
          <w:spacing w:val="-1"/>
        </w:rPr>
        <w:t xml:space="preserve"> </w:t>
      </w:r>
      <w:r>
        <w:rPr>
          <w:sz w:val="22"/>
        </w:rPr>
        <w:t>conhecimento</w:t>
      </w:r>
      <w:r>
        <w:rPr>
          <w:sz w:val="22"/>
          <w:spacing w:val="-1"/>
        </w:rPr>
        <w:t xml:space="preserve"> </w:t>
      </w:r>
      <w:r>
        <w:rPr>
          <w:sz w:val="22"/>
        </w:rPr>
        <w:t>de</w:t>
      </w:r>
      <w:r>
        <w:rPr>
          <w:sz w:val="22"/>
          <w:spacing w:val="-1"/>
        </w:rPr>
        <w:t xml:space="preserve"> </w:t>
      </w:r>
      <w:r>
        <w:rPr>
          <w:sz w:val="22"/>
        </w:rPr>
        <w:t>novas</w:t>
      </w:r>
      <w:r>
        <w:rPr>
          <w:sz w:val="22"/>
          <w:spacing w:val="-1"/>
        </w:rPr>
        <w:t xml:space="preserve"> </w:t>
      </w:r>
      <w:r>
        <w:rPr>
          <w:sz w:val="22"/>
        </w:rPr>
        <w:t>modelagens/metodologias</w:t>
      </w:r>
      <w:r>
        <w:rPr>
          <w:sz w:val="22"/>
          <w:spacing w:val="-1"/>
        </w:rPr>
        <w:t xml:space="preserve"> </w:t>
      </w:r>
      <w:r>
        <w:rPr>
          <w:sz w:val="22"/>
        </w:rPr>
        <w:t>ofertadas</w:t>
      </w:r>
      <w:r>
        <w:rPr>
          <w:sz w:val="22"/>
          <w:spacing w:val="-1"/>
        </w:rPr>
        <w:t xml:space="preserve"> </w:t>
      </w:r>
      <w:r>
        <w:rPr>
          <w:sz w:val="22"/>
        </w:rPr>
        <w:t>pelo</w:t>
      </w:r>
      <w:r>
        <w:rPr>
          <w:sz w:val="22"/>
          <w:spacing w:val="-1"/>
        </w:rPr>
        <w:t xml:space="preserve"> </w:t>
      </w:r>
      <w:r>
        <w:rPr>
          <w:sz w:val="22"/>
        </w:rPr>
        <w:t>mercado,</w:t>
      </w:r>
      <w:r>
        <w:rPr>
          <w:sz w:val="22"/>
          <w:spacing w:val="-1"/>
        </w:rPr>
        <w:t xml:space="preserve"> </w:t>
      </w:r>
      <w:r>
        <w:rPr>
          <w:sz w:val="22"/>
        </w:rPr>
        <w:t>resultado</w:t>
      </w:r>
      <w:r>
        <w:rPr>
          <w:sz w:val="22"/>
          <w:spacing w:val="-1"/>
        </w:rPr>
        <w:t xml:space="preserve"> </w:t>
      </w:r>
      <w:r>
        <w:rPr>
          <w:sz w:val="22"/>
        </w:rPr>
        <w:t>na</w:t>
      </w:r>
      <w:r>
        <w:rPr>
          <w:sz w:val="22"/>
          <w:spacing w:val="-1"/>
        </w:rPr>
        <w:t xml:space="preserve"> </w:t>
      </w:r>
      <w:r>
        <w:rPr>
          <w:sz w:val="22"/>
        </w:rPr>
        <w:t>melhor qualidade do gasto e em uma gestão eficiente dos recursos públicos.</w:t>
      </w:r>
    </w:p>
    <w:p>
      <w:pPr>
        <w:jc w:val="both"/>
        <w:keepLines/>
        <w:keepNext/>
        <w:ind w:right="-30"/>
      </w:pPr>
      <w:r>
        <w:rPr>
          <w:sz w:val="22"/>
        </w:rPr>
        <w:t/>
      </w:r>
    </w:p>
    <w:p>
      <w:pPr>
        <w:jc w:val="both"/>
        <w:keepLines/>
        <w:keepNext/>
        <w:ind w:right="-30"/>
      </w:pPr>
      <w:r>
        <w:rPr>
          <w:sz w:val="22"/>
        </w:rPr>
        <w:t>Neste contexto, o presente documento apresenta os estudos técnicos preliminares que visam assegurar a viabilidade (técnica e econômica) da contratação pretendida e o levantamento dos elementos essenciais que servirão para compor Termo de Referência.</w:t>
      </w:r>
    </w:p>
    <w:p>
      <w:pPr>
        <w:jc w:val="both"/>
        <w:keepLines/>
        <w:keepNext/>
        <w:ind w:right="-30"/>
      </w:pPr>
      <w:r>
        <w:rPr>
          <w:sz w:val="22"/>
        </w:rPr>
        <w:t/>
      </w:r>
    </w:p>
    <w:p>
      <w:pPr>
        <w:jc w:val="both"/>
        <w:keepLines/>
        <w:keepNext/>
        <w:ind w:right="-30"/>
      </w:pPr>
      <w:r>
        <w:rPr>
          <w:sz w:val="22"/>
        </w:rPr>
        <w:t>Este estudo consiste na primeira etapa do planejamento de uma contratação, de modo a assegurar a viabilidade e embasar o termo de referência, conforme previsto na Lei 14.133/2021, art. 6°, inciso XX.</w:t>
      </w:r>
    </w:p>
    <w:p>
      <w:pPr>
        <w:jc w:val="both"/>
        <w:keepLines/>
        <w:keepNext/>
        <w:ind w:right="-30"/>
      </w:pPr>
      <w:r>
        <w:rPr>
          <w:b/>
          <w:sz w:val="22"/>
        </w:rPr>
        <w:t/>
      </w:r>
    </w:p>
    <w:p>
      <w:pPr>
        <w:jc w:val="both"/>
        <w:keepLines/>
        <w:keepNext/>
        <w:ind w:right="-30"/>
      </w:pPr>
      <w:r>
        <w:rPr>
          <w:b/>
          <w:sz w:val="22"/>
        </w:rPr>
        <w:t>2. NECESSIDADE/JUSTIFICATIVA DE CONTRATAÇÃO</w:t>
      </w:r>
    </w:p>
    <w:p>
      <w:pPr>
        <w:keepLines/>
        <w:keepNext/>
        <w:ind w:right="-30"/>
      </w:pPr>
      <w:r>
        <w:rPr>
          <w:b/>
          <w:sz w:val="22"/>
          <w:color w:val="FF0000"/>
        </w:rPr>
        <w:t/>
      </w:r>
    </w:p>
    <w:p>
      <w:pPr>
        <w:jc w:val="both"/>
        <w:keepLines/>
        <w:keepNext/>
        <w:ind w:right="-30"/>
      </w:pPr>
      <w:r>
        <w:rPr>
          <w:sz w:val="22"/>
        </w:rPr>
        <w:t xml:space="preserve">A presente licitação tem por objeto a aquisição de Mochilas e Tênis para a Rede De Ensino Escolar do Município de Guairaçá, ao qual objetiva a inserção e equidade nas diferenças entre os materiais escolares portados pelos alunos e os calçados utilizados pelos mesmos buscando evitar a comparação e distinção no âmbito escolar, tendo em vista diminuir e mitigar os efeitos da desigualdade social. Assim os itens em questão proporcionam grande praticidade e utilidade para os alunos, também gerando economia para os pais, garantindo que os que detêm menor poder aquisitivo tenham igualdade de condições referente aos seus colegas, promovendo também uma padronização e aproveitamento por parte dos usuários dentro e fora do ambiente escolar, desde que a mochila proporciona maior proteção aos itens que nela serão guardados e o tênis gera proteção e permite que os alunos possam realizar suas atividades físicas de forma segura e adequada. Assim a Secretaria de Educação visa realizar um melhor atendimento e contribuição a todos os alunos da rede pública de ensino desta municipalidade.  </w:t>
      </w:r>
    </w:p>
    <w:p>
      <w:pPr>
        <w:jc w:val="both"/>
        <w:keepLines/>
        <w:keepNext/>
        <w:ind w:right="-30"/>
      </w:pPr>
      <w:r>
        <w:rPr>
          <w:sz w:val="22"/>
        </w:rPr>
        <w:t>Adquirir mochilas escolares e tênis do mesmo fabricante garante a uniformidade na qualidade dos produtos. Isso é crucial para assegurar que todas as mochilas, independentemente do tamanho, possuam a mesma durabilidade, resistência e acabamento.A padronização é essencial, especialmente em contextos educacionais onde a igualdade é um valor importante. Mochilas e tênis do mesmo fabricante tendem a manter padrões de design, material e construção, evitando disparidades que poderiam causar desconforto ou insatisfação entre os alunos. A compra desses produtos do mesmo fornecedor simplifica a logística e a gestão de estoque, pois facilita o controle de qualidade, a reposição e a distribuição dos itens.</w:t>
      </w:r>
    </w:p>
    <w:p>
      <w:pPr>
        <w:jc w:val="both"/>
        <w:keepLines/>
        <w:keepNext/>
        <w:ind w:right="-30"/>
      </w:pPr>
      <w:r>
        <w:rPr>
          <w:sz w:val="22"/>
        </w:rPr>
        <w:t>Aquisições em lote geralmente resultam em preços mais competitivos devido à economia de escala. Isso pode resultar em um melhor aproveitamento dos recursos financeiros disponíveis, permitindo a aquisição de produtos de maior qualidade por um custo-benefício mais favorável. Adquirir mochilas e tênis do mesmo fabricante facilita a gestão de garantias e o suporte pós-venda. Caso haja necessidade de assistência técnica ou substituição de produtos, lidar com um único fornecedor pode simplificar e acelerar esses processos.</w:t>
      </w:r>
    </w:p>
    <w:p>
      <w:pPr>
        <w:jc w:val="both"/>
        <w:keepLines/>
        <w:keepNext/>
        <w:ind w:right="-30"/>
      </w:pPr>
      <w:r>
        <w:rPr>
          <w:sz w:val="22"/>
        </w:rPr>
        <w:t>A aquisição de mochilas escolares de tamanhos fundamental e infantil e Tênis do mesmo fabricante é justificada pela necessidade de garantir a qualidade, padronização, eficiência logística e economia financeira. Além disso, contribui para a satisfação e bem-estar dos alunos, proporcionando uma experiência educacional mais equitativa e harmoniosa.</w:t>
      </w:r>
    </w:p>
    <w:p>
      <w:pPr>
        <w:jc w:val="both"/>
        <w:keepLines/>
        <w:keepNext/>
        <w:ind w:right="-30"/>
      </w:pPr>
      <w:r>
        <w:rPr>
          <w:b/>
          <w:sz w:val="22"/>
        </w:rPr>
        <w:t/>
      </w:r>
    </w:p>
    <w:p>
      <w:pPr>
        <w:jc w:val="both"/>
        <w:keepLines/>
        <w:keepNext/>
        <w:ind w:right="-30"/>
      </w:pPr>
      <w:r>
        <w:rPr>
          <w:b/>
          <w:sz w:val="22"/>
        </w:rPr>
        <w:t>3. ALINHAMENTO</w:t>
      </w:r>
      <w:r>
        <w:rPr>
          <w:b/>
          <w:sz w:val="22"/>
          <w:spacing w:val="2"/>
        </w:rPr>
        <w:t xml:space="preserve"> </w:t>
      </w:r>
      <w:r>
        <w:rPr>
          <w:b/>
          <w:sz w:val="22"/>
        </w:rPr>
        <w:t>ENTRE</w:t>
      </w:r>
      <w:r>
        <w:rPr>
          <w:b/>
          <w:sz w:val="22"/>
          <w:spacing w:val="1"/>
        </w:rPr>
        <w:t xml:space="preserve"> </w:t>
      </w:r>
      <w:r>
        <w:rPr>
          <w:b/>
          <w:sz w:val="22"/>
        </w:rPr>
        <w:t>A</w:t>
      </w:r>
      <w:r>
        <w:rPr>
          <w:b/>
          <w:sz w:val="22"/>
          <w:spacing w:val="1"/>
        </w:rPr>
        <w:t xml:space="preserve"> </w:t>
      </w:r>
      <w:r>
        <w:rPr>
          <w:b/>
          <w:sz w:val="22"/>
        </w:rPr>
        <w:t>CONTRATAÇÃO</w:t>
      </w:r>
      <w:r>
        <w:rPr>
          <w:b/>
          <w:sz w:val="22"/>
          <w:spacing w:val="1"/>
        </w:rPr>
        <w:t xml:space="preserve"> </w:t>
      </w:r>
      <w:r>
        <w:rPr>
          <w:b/>
          <w:sz w:val="22"/>
        </w:rPr>
        <w:t>E</w:t>
      </w:r>
      <w:r>
        <w:rPr>
          <w:b/>
          <w:sz w:val="22"/>
          <w:spacing w:val="1"/>
        </w:rPr>
        <w:t xml:space="preserve"> </w:t>
      </w:r>
      <w:r>
        <w:rPr>
          <w:b/>
          <w:sz w:val="22"/>
        </w:rPr>
        <w:t>O</w:t>
      </w:r>
      <w:r>
        <w:rPr>
          <w:b/>
          <w:sz w:val="22"/>
          <w:spacing w:val="1"/>
        </w:rPr>
        <w:t xml:space="preserve"> </w:t>
      </w:r>
      <w:r>
        <w:rPr>
          <w:b/>
          <w:sz w:val="22"/>
        </w:rPr>
        <w:t>PLANO</w:t>
      </w:r>
      <w:r>
        <w:rPr>
          <w:b/>
          <w:sz w:val="22"/>
          <w:spacing w:val="2"/>
        </w:rPr>
        <w:t xml:space="preserve"> </w:t>
      </w:r>
      <w:r>
        <w:rPr>
          <w:b/>
          <w:sz w:val="22"/>
        </w:rPr>
        <w:t>DE</w:t>
      </w:r>
      <w:r>
        <w:rPr>
          <w:b/>
          <w:sz w:val="22"/>
          <w:spacing w:val="1"/>
        </w:rPr>
        <w:t xml:space="preserve"> CONTRATAÇÕES ANUAL- 2024</w:t>
      </w:r>
    </w:p>
    <w:p>
      <w:pPr>
        <w:keepLines/>
        <w:keepNext/>
        <w:ind w:right="-30"/>
        <w:tabs>
          <w:tab w:val="left" w:pos="2730"/>
        </w:tabs>
      </w:pPr>
      <w:r>
        <w:rPr>
          <w:sz w:val="22"/>
        </w:rPr>
        <w:t>A necessidade da presente contratação encontra-se respaldada no Plano de Contratações Anual da Prefeitura Municipal de Guairaçá.</w:t>
      </w:r>
    </w:p>
    <w:p>
      <w:pPr>
        <w:keepLines/>
        <w:keepNext/>
        <w:ind w:right="-30"/>
        <w:tabs>
          <w:tab w:val="left" w:pos="2730"/>
        </w:tabs>
      </w:pPr>
      <w:r>
        <w:rPr>
          <w:b/>
          <w:sz w:val="22"/>
        </w:rPr>
        <w:t/>
      </w:r>
    </w:p>
    <w:p>
      <w:pPr>
        <w:keepLines/>
        <w:keepNext/>
        <w:ind w:right="-30"/>
        <w:tabs>
          <w:tab w:val="left" w:pos="2730"/>
        </w:tabs>
      </w:pPr>
      <w:r>
        <w:rPr>
          <w:b/>
          <w:sz w:val="22"/>
        </w:rPr>
        <w:t>4. REQUISITOS DA CONTRATAÇÃO</w:t>
      </w:r>
    </w:p>
    <w:p>
      <w:pPr>
        <w:keepLines/>
        <w:keepNext/>
      </w:pPr>
      <w:r>
        <w:rPr>
          <w:sz w:val="22"/>
        </w:rPr>
        <w:t/>
      </w:r>
    </w:p>
    <w:p>
      <w:pPr>
        <w:keepLines/>
        <w:keepNext/>
      </w:pPr>
      <w:r>
        <w:rPr>
          <w:sz w:val="22"/>
        </w:rPr>
        <w:t>A contratação deverá observar os seguintes</w:t>
      </w:r>
      <w:r>
        <w:rPr>
          <w:sz w:val="22"/>
          <w:spacing w:val="-1"/>
        </w:rPr>
        <w:t xml:space="preserve"> </w:t>
      </w:r>
      <w:r>
        <w:rPr>
          <w:sz w:val="22"/>
        </w:rPr>
        <w:t>requisitos:</w:t>
      </w:r>
    </w:p>
    <w:p>
      <w:pPr>
        <w:keepLines/>
        <w:keepNext/>
        <w:ind w:left="435"/>
      </w:pPr>
      <w:r>
        <w:rPr>
          <w:sz w:val="22"/>
        </w:rPr>
        <w:t xml:space="preserve">1. O critério de julgamento a ser utilizado no presente certame será o </w:t>
      </w:r>
      <w:r>
        <w:rPr>
          <w:b/>
          <w:sz w:val="22"/>
        </w:rPr>
        <w:t>menor preço por lote;</w:t>
      </w:r>
    </w:p>
    <w:p>
      <w:pPr>
        <w:jc w:val="both"/>
        <w:keepLines/>
        <w:keepNext/>
        <w:ind w:left="435"/>
      </w:pPr>
      <w:r>
        <w:rPr>
          <w:sz w:val="22"/>
        </w:rPr>
        <w:t>2. Não serão aplicadas a indicação e/ou a vedação de marcas;</w:t>
      </w:r>
    </w:p>
    <w:p>
      <w:pPr>
        <w:jc w:val="both"/>
        <w:keepLines/>
        <w:keepNext/>
        <w:ind w:left="435"/>
      </w:pPr>
      <w:r>
        <w:rPr>
          <w:sz w:val="22"/>
        </w:rPr>
        <w:t>3. Não será admitida a subcontratação do objeto contratual;</w:t>
      </w:r>
    </w:p>
    <w:p>
      <w:pPr>
        <w:jc w:val="both"/>
        <w:keepLines/>
        <w:keepNext/>
        <w:ind w:left="435"/>
      </w:pPr>
      <w:r>
        <w:rPr>
          <w:sz w:val="22"/>
        </w:rPr>
        <w:t>4. Não haverá exigência da garantia da contratação dos arts. 96 e seguintes da Lei nº 14.133/21.</w:t>
      </w:r>
    </w:p>
    <w:p>
      <w:pPr>
        <w:jc w:val="both"/>
        <w:keepLines/>
        <w:keepNext/>
        <w:ind w:right="-30"/>
      </w:pPr>
      <w:r>
        <w:rPr>
          <w:sz w:val="22"/>
        </w:rPr>
        <w:t/>
      </w:r>
    </w:p>
    <w:p>
      <w:pPr>
        <w:jc w:val="both"/>
        <w:keepLines/>
        <w:keepNext/>
        <w:ind w:right="-30"/>
      </w:pPr>
      <w:r>
        <w:rPr>
          <w:sz w:val="22"/>
        </w:rPr>
        <w:t/>
      </w:r>
    </w:p>
    <w:p>
      <w:pPr>
        <w:outlineLvl w:val="1"/>
        <w:keepLines/>
        <w:keepNext/>
        <w:ind w:firstLine="30"/>
        <w:tabs>
          <w:tab w:val="left" w:pos="375"/>
        </w:tabs>
      </w:pPr>
      <w:r>
        <w:rPr>
          <w:b/>
          <w:sz w:val="22"/>
        </w:rPr>
        <w:t>5. RELAÇÃO ENTRE A DEMANDA PREVISTA E QUANTIDADES DE CADA ITEM</w:t>
      </w:r>
    </w:p>
    <w:p>
      <w:pPr>
        <w:outlineLvl w:val="1"/>
        <w:keepLines/>
        <w:keepNext/>
        <w:ind w:firstLine="30"/>
        <w:tabs>
          <w:tab w:val="left" w:pos="375"/>
        </w:tabs>
      </w:pPr>
      <w:r>
        <w:rPr>
          <w:b/>
          <w:sz w:val="22"/>
          <w:color w:val="FF0000"/>
        </w:rPr>
        <w:t/>
      </w:r>
    </w:p>
    <w:p>
      <w:pPr>
        <w:jc w:val="both"/>
        <w:outlineLvl w:val="1"/>
        <w:keepLines/>
        <w:keepNext/>
        <w:ind w:firstLine="30"/>
        <w:tabs>
          <w:tab w:val="left" w:pos="375"/>
        </w:tabs>
      </w:pPr>
      <w:r>
        <w:rPr>
          <w:sz w:val="22"/>
        </w:rPr>
        <w:t>RELAÇÃO DE ITENS EM CONFORMIDADE A SOLICITAÇÃO DE COMPRAS N. 59/2024</w:t>
      </w:r>
    </w:p>
    <w:p>
      <w:pPr>
        <w:outlineLvl w:val="1"/>
        <w:keepLines/>
        <w:keepNext/>
        <w:ind w:firstLine="30"/>
        <w:tabs>
          <w:tab w:val="left" w:pos="375"/>
        </w:tabs>
      </w:pPr>
      <w:r>
        <w:rPr>
          <w:sz w:val="22"/>
        </w:rPr>
        <w:t/>
      </w:r>
    </w:p>
    <w:p>
      <w:pPr>
        <w:jc w:val="both"/>
        <w:outlineLvl w:val="1"/>
        <w:keepLines/>
        <w:keepNext/>
        <w:ind w:firstLine="30"/>
        <w:tabs>
          <w:tab w:val="left" w:pos="375"/>
        </w:tabs>
      </w:pPr>
      <w:r>
        <w:rPr>
          <w:sz w:val="22"/>
        </w:rPr>
        <w:t xml:space="preserve">O orçamento detalhado é obrigatório na fase interna da licitação para o objeto da presente licitação, como verificação de preços concorrentes no mercado e parâmetro para fixação de critérios de aceitabilidade de preços globais e unitário no edital a ser lançado. Nesse sentido, a pesquisa de preços prévia, foi devidamente realizada de acordo com os moldes da Instrução Normativa SEGES/ME n. 65/2021 que dispõe sobre o procedimento administrativo para a realização de pesquisa de preços para aquisição de bens e contratação de serviços em geral, no âmbito da administração pública federal direta, autárquica e fundacional. </w:t>
      </w:r>
    </w:p>
    <w:p>
      <w:pPr>
        <w:jc w:val="both"/>
        <w:outlineLvl w:val="1"/>
        <w:keepLines/>
        <w:keepNext/>
        <w:ind w:firstLine="30"/>
        <w:tabs>
          <w:tab w:val="left" w:pos="375"/>
        </w:tabs>
      </w:pPr>
      <w:r>
        <w:rPr>
          <w:sz w:val="22"/>
        </w:rPr>
        <w:t xml:space="preserve">Esta Entidade Pública adotou tais moldes na tentativa de tornar o procedimento licitatório em questão mais transparente, sem qualquer tipo de combinação de valores prévios entre possíveis fornecedores, evitando assim a possibilidade de conluio entre empresas, frustrando assim qualquer tipo de sobrepreço ao itens a serem licitados.  Não possuindo assim qualquer falha na metodologia utilizada por esta Administração para definição dos valores estimados, não se limitando a 03 (três) cotações de empresas. Porém, após uma vasta pesquisa no banco de preços (www.bancodeprecos.com.br), não foi possível encontrar itens e valores similares ao presente objeto. </w:t>
      </w:r>
    </w:p>
    <w:p>
      <w:pPr>
        <w:jc w:val="both"/>
        <w:outlineLvl w:val="1"/>
        <w:keepLines/>
        <w:keepNext/>
        <w:ind w:firstLine="30"/>
        <w:tabs>
          <w:tab w:val="left" w:pos="375"/>
        </w:tabs>
      </w:pPr>
      <w:r>
        <w:t/>
      </w:r>
    </w:p>
    <w:p>
      <w:pPr>
        <w:jc w:val="both"/>
        <w:widowControl/>
      </w:pPr>
      <w:r>
        <w:rPr>
          <w:sz w:val="22"/>
        </w:rPr>
        <w:t>Segue anexo os preços levantados por empresas do ramo e consulta pelo, TCE-PR (Informação para Todos), de onde foram colhidos os valores.</w:t>
      </w:r>
    </w:p>
    <w:p>
      <w:pPr>
        <w:jc w:val="both"/>
        <w:widowControl/>
      </w:pPr>
      <w:r>
        <w:rPr>
          <w:sz w:val="22"/>
        </w:rPr>
        <w:t/>
      </w:r>
    </w:p>
    <w:tbl>
      <w:tblPr>
        <w:tblW w:w="11130" w:type="dxa"/>
        <w:tblLayout w:type="fixed"/>
        <w:tblBorders>
          <w:left w:val="single" w:sz="6" w:color="auto"/>
          <w:top w:val="single" w:sz="6" w:color="auto"/>
          <w:right w:val="single" w:sz="6" w:color="auto"/>
          <w:bottom w:val="single" w:sz="6" w:color="auto"/>
          <w:insideH w:val="single" w:sz="6" w:color="auto"/>
          <w:insideV w:val="single" w:sz="6" w:color="auto"/>
        </w:tblBorders>
        <w:tblCellMar>
          <w:top w:w="15" w:type="dxa"/>
          <w:left w:w="15" w:type="dxa"/>
          <w:bottom w:w="15" w:type="dxa"/>
          <w:right w:w="15" w:type="dxa"/>
        </w:tblCellMar>
        <w:tblCellSpacing w:w="15" w:type="dxa"/>
      </w:tblPr>
      <w:tblGrid>
        <w:gridCol w:w="1560"/>
        <w:gridCol w:w="9540"/>
      </w:tblGrid>
      <w:tr>
        <w:tc>
          <w:tcPr>
            <w:tcW w:w="1515" w:type="dxa"/>
          </w:tcPr>
          <w:p>
            <w:pPr>
              <w:jc w:val="center"/>
            </w:pPr>
            <w:r>
              <w:rPr>
                <w:b/>
              </w:rPr>
              <w:t>Ordem</w:t>
            </w:r>
          </w:p>
        </w:tc>
        <w:tc>
          <w:tcPr>
            <w:tcW w:w="9495" w:type="dxa"/>
          </w:tcPr>
          <w:p>
            <w:pPr>
              <w:jc w:val="center"/>
            </w:pPr>
            <w:r>
              <w:rPr>
                <w:b/>
              </w:rPr>
              <w:t>Fornecedores/Fontes</w:t>
            </w:r>
          </w:p>
        </w:tc>
      </w:tr>
      <w:tr>
        <w:tc>
          <w:tcPr>
            <w:tcW w:w="1515" w:type="dxa"/>
          </w:tcPr>
          <w:p>
            <w:r>
              <w:t>1</w:t>
            </w:r>
          </w:p>
        </w:tc>
        <w:tc>
          <w:tcPr>
            <w:tcW w:w="9495" w:type="dxa"/>
          </w:tcPr>
          <w:p>
            <w:r>
              <w:t>LM DE SOUZA ZANOLLI E CIA LTDA</w:t>
            </w:r>
          </w:p>
        </w:tc>
      </w:tr>
      <w:tr>
        <w:tc>
          <w:tcPr>
            <w:tcW w:w="1515" w:type="dxa"/>
          </w:tcPr>
          <w:p>
            <w:r>
              <w:t>2</w:t>
            </w:r>
          </w:p>
        </w:tc>
        <w:tc>
          <w:tcPr>
            <w:tcW w:w="9495" w:type="dxa"/>
          </w:tcPr>
          <w:p>
            <w:r>
              <w:t>PERSONALIT INDUSTRIA E COMERCIO EIRELI - ME</w:t>
            </w:r>
          </w:p>
        </w:tc>
      </w:tr>
      <w:tr>
        <w:tc>
          <w:tcPr>
            <w:tcW w:w="1515" w:type="dxa"/>
          </w:tcPr>
          <w:p>
            <w:r>
              <w:t>3</w:t>
            </w:r>
          </w:p>
        </w:tc>
        <w:tc>
          <w:tcPr>
            <w:tcW w:w="9495" w:type="dxa"/>
          </w:tcPr>
          <w:p>
            <w:r>
              <w:t>G.F. CONFECÇÕES LTDA EPP</w:t>
            </w:r>
          </w:p>
        </w:tc>
      </w:tr>
      <w:tr>
        <w:tc>
          <w:tcPr>
            <w:tcW w:w="1515" w:type="dxa"/>
          </w:tcPr>
          <w:p>
            <w:r>
              <w:t>4</w:t>
            </w:r>
          </w:p>
        </w:tc>
        <w:tc>
          <w:tcPr>
            <w:tcW w:w="9495" w:type="dxa"/>
          </w:tcPr>
          <w:p>
            <w:r>
              <w:t>TATIANE CHAGAS COMERCIO E SERVIÇOS</w:t>
            </w:r>
          </w:p>
        </w:tc>
      </w:tr>
    </w:tbl>
    <w:p>
      <w:pPr>
        <w:jc w:val="both"/>
        <w:widowControl/>
      </w:pPr>
      <w:r>
        <w:rPr>
          <w:sz w:val="22"/>
        </w:rPr>
        <w:t>As pesquisas de preços enviadas juntamente a esta solicitação de compras, foram por mim realizadas e são verdadeiras, conforme rubrica/assinatura em cada um deles.</w:t>
      </w:r>
    </w:p>
    <w:p>
      <w:pPr>
        <w:jc w:val="both"/>
        <w:keepLines/>
        <w:keepNext/>
        <w:ind w:right="-30"/>
      </w:pPr>
      <w:r>
        <w:rPr>
          <w:rFonts w:ascii="Arial MT" w:hAnsi="Arial MT" w:cs="Arial MT" w:eastAsia="Arial MT"/>
          <w:sz w:val="19"/>
        </w:rPr>
        <w:t/>
      </w:r>
    </w:p>
    <w:p>
      <w:pPr>
        <w:jc w:val="both"/>
        <w:keepLines/>
        <w:keepNext/>
        <w:ind w:right="-30"/>
      </w:pPr>
      <w:r>
        <w:rPr>
          <w:sz w:val="22"/>
        </w:rPr>
        <w:t>Os materiais deverão ser entregues no Secretaria Municipal de Educação ou nos locais informados na Nota de Empenho ou Ordem de Serviço emitidas, acompanhada preferencialmente pelo Fiscal do Contrato ou por outro servidor designado para esse fim.</w:t>
      </w:r>
    </w:p>
    <w:p>
      <w:pPr>
        <w:jc w:val="both"/>
        <w:keepLines/>
        <w:keepNext/>
        <w:ind w:right="-30"/>
      </w:pPr>
      <w:r>
        <w:rPr>
          <w:sz w:val="22"/>
        </w:rPr>
        <w:t/>
      </w:r>
    </w:p>
    <w:p>
      <w:pPr>
        <w:jc w:val="both"/>
        <w:keepLines/>
        <w:keepNext/>
        <w:ind w:right="-30"/>
      </w:pPr>
      <w:r>
        <w:rPr>
          <w:b/>
          <w:sz w:val="22"/>
        </w:rPr>
        <w:t>6. PRAZO DE ENTREGA/EXECUÇÃO, VIGÊNCIA E VALOR MÁXIMO</w:t>
      </w:r>
    </w:p>
    <w:p>
      <w:pPr>
        <w:jc w:val="both"/>
        <w:keepLines/>
        <w:keepNext/>
        <w:ind w:right="-30"/>
      </w:pPr>
      <w:r>
        <w:rPr>
          <w:sz w:val="22"/>
        </w:rPr>
        <w:t>A entrega materiais deverá ocorrer em até 60</w:t>
      </w:r>
      <w:r>
        <w:rPr>
          <w:b/>
          <w:sz w:val="22"/>
        </w:rPr>
        <w:t xml:space="preserve"> (sessenta) dias</w:t>
      </w:r>
      <w:r>
        <w:rPr>
          <w:sz w:val="22"/>
        </w:rPr>
        <w:t>,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keepLines/>
        <w:keepNext/>
        <w:ind w:right="-30"/>
      </w:pPr>
      <w:r>
        <w:rPr>
          <w:b/>
          <w:sz w:val="22"/>
          <w:color w:val="FF0000"/>
        </w:rPr>
        <w:t/>
      </w:r>
    </w:p>
    <w:p>
      <w:pPr>
        <w:jc w:val="both"/>
        <w:keepLines/>
        <w:keepNext/>
        <w:ind w:right="-30"/>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12 </w:t>
      </w:r>
      <w:r>
        <w:rPr>
          <w:b/>
          <w:sz w:val="22"/>
        </w:rPr>
        <w:t>(doze)</w:t>
      </w:r>
      <w:r>
        <w:rPr>
          <w:b/>
          <w:sz w:val="22"/>
          <w:spacing w:val="2"/>
        </w:rPr>
        <w:t xml:space="preserve"> </w:t>
      </w:r>
      <w:r>
        <w:rPr>
          <w:b/>
          <w:sz w:val="22"/>
        </w:rPr>
        <w:t>meses</w:t>
      </w:r>
      <w:r>
        <w:rPr>
          <w:sz w:val="22"/>
        </w:rPr>
        <w:t>,</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keepLines/>
        <w:keepNext/>
        <w:ind w:right="-30"/>
      </w:pPr>
      <w:r>
        <w:rPr>
          <w:sz w:val="22"/>
        </w:rPr>
        <w:t/>
      </w:r>
    </w:p>
    <w:p>
      <w:pPr>
        <w:jc w:val="both"/>
        <w:keepLines/>
        <w:keepNext/>
        <w:ind w:right="-30"/>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color w:val="FF0000"/>
        </w:rPr>
        <w:t xml:space="preserve"> </w:t>
      </w:r>
      <w:r>
        <w:rPr>
          <w:b/>
          <w:sz w:val="22"/>
        </w:rPr>
        <w:t>R$</w:t>
      </w:r>
      <w:r>
        <w:rPr>
          <w:b/>
          <w:sz w:val="22"/>
          <w:spacing w:val="1"/>
        </w:rPr>
        <w:t xml:space="preserve"> 194.376,00</w:t>
      </w:r>
      <w:r>
        <w:rPr>
          <w:b/>
          <w:sz w:val="22"/>
        </w:rPr>
        <w:t xml:space="preserve"> (Cento e Noventa e Quatro Mil, Trezentos e Setenta e Seis Reais).</w:t>
      </w:r>
    </w:p>
    <w:p>
      <w:pPr>
        <w:jc w:val="both"/>
        <w:keepLines/>
        <w:keepNext/>
        <w:ind w:right="-30"/>
      </w:pPr>
      <w:r>
        <w:rPr>
          <w:sz w:val="22"/>
        </w:rPr>
        <w:t/>
      </w:r>
    </w:p>
    <w:p>
      <w:pPr>
        <w:jc w:val="both"/>
        <w:keepLines/>
        <w:keepNext/>
        <w:ind w:right="-3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jc w:val="both"/>
        <w:keepLines/>
        <w:keepNext/>
        <w:ind w:right="-30"/>
      </w:pPr>
      <w:r>
        <w:rPr>
          <w:sz w:val="22"/>
        </w:rPr>
        <w:t/>
      </w:r>
    </w:p>
    <w:p>
      <w:pPr>
        <w:jc w:val="both"/>
        <w:keepLines/>
        <w:keepNext/>
        <w:ind w:right="-30"/>
      </w:pPr>
      <w:r>
        <w:rPr>
          <w:b/>
          <w:sz w:val="22"/>
        </w:rPr>
        <w:t>7. JUSTIFICATIVAS PARA O PARCELAMENTO OU NÃO DA SOLUÇÃO</w:t>
      </w:r>
    </w:p>
    <w:p>
      <w:pPr>
        <w:jc w:val="both"/>
      </w:pPr>
      <w:r>
        <w:rPr>
          <w:sz w:val="22"/>
        </w:rPr>
        <w:t/>
      </w:r>
    </w:p>
    <w:p>
      <w:pPr>
        <w:jc w:val="both"/>
        <w:tabs>
          <w:tab w:val="left" w:pos="7020"/>
          <w:tab w:val="left" w:pos="8025"/>
          <w:tab w:val="left" w:pos="8730"/>
        </w:tabs>
      </w:pPr>
      <w:r>
        <w:rPr>
          <w:sz w:val="22"/>
        </w:rPr>
        <w:t>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deverá ser aplicado à presente contratação.</w:t>
      </w:r>
    </w:p>
    <w:p>
      <w:pPr>
        <w:jc w:val="both"/>
      </w:pPr>
      <w:r>
        <w:rPr>
          <w:b/>
          <w:sz w:val="22"/>
          <w:color w:val="FF0000"/>
        </w:rPr>
        <w:t/>
      </w:r>
    </w:p>
    <w:p>
      <w:pPr>
        <w:jc w:val="both"/>
      </w:pPr>
      <w:r>
        <w:rPr>
          <w:b/>
          <w:sz w:val="22"/>
        </w:rPr>
        <w:t xml:space="preserve">8. - RESULTADOS PRETENDIDOS </w:t>
      </w:r>
    </w:p>
    <w:p>
      <w:pPr>
        <w:jc w:val="both"/>
      </w:pPr>
      <w:r>
        <w:rPr>
          <w:sz w:val="22"/>
        </w:rPr>
        <w:t xml:space="preserve">A solução deverá permitir o alcance dos seguintes resultados: </w:t>
      </w:r>
    </w:p>
    <w:p>
      <w:pPr>
        <w:jc w:val="both"/>
      </w:pPr>
      <w:r>
        <w:rPr>
          <w:sz w:val="22"/>
        </w:rPr>
        <w:t>1) Atender</w:t>
      </w:r>
      <w:r>
        <w:rPr>
          <w:sz w:val="22"/>
          <w:spacing w:val="3"/>
        </w:rPr>
        <w:t xml:space="preserve"> </w:t>
      </w:r>
      <w:r>
        <w:rPr>
          <w:sz w:val="22"/>
        </w:rPr>
        <w:t>com</w:t>
      </w:r>
      <w:r>
        <w:rPr>
          <w:sz w:val="22"/>
          <w:spacing w:val="3"/>
        </w:rPr>
        <w:t xml:space="preserve"> </w:t>
      </w:r>
      <w:r>
        <w:rPr>
          <w:sz w:val="22"/>
        </w:rPr>
        <w:t>eficiência</w:t>
      </w:r>
      <w:r>
        <w:rPr>
          <w:sz w:val="22"/>
          <w:spacing w:val="3"/>
        </w:rPr>
        <w:t xml:space="preserve"> </w:t>
      </w:r>
      <w:r>
        <w:rPr>
          <w:sz w:val="22"/>
        </w:rPr>
        <w:t>as</w:t>
      </w:r>
      <w:r>
        <w:rPr>
          <w:sz w:val="22"/>
          <w:spacing w:val="3"/>
        </w:rPr>
        <w:t xml:space="preserve"> </w:t>
      </w:r>
      <w:r>
        <w:rPr>
          <w:sz w:val="22"/>
        </w:rPr>
        <w:t>constante</w:t>
      </w:r>
      <w:r>
        <w:rPr>
          <w:sz w:val="22"/>
          <w:spacing w:val="3"/>
        </w:rPr>
        <w:t xml:space="preserve"> </w:t>
      </w:r>
      <w:r>
        <w:rPr>
          <w:sz w:val="22"/>
        </w:rPr>
        <w:t>demanda da Secretarias Municipal de Educação de Guairaçá, dos seus munícipes com a prestação de serviços satisfatória e ainda atender as determinações dos órgãos fiscalizadores;</w:t>
      </w:r>
    </w:p>
    <w:p>
      <w:pPr>
        <w:jc w:val="both"/>
      </w:pPr>
      <w:r>
        <w:rPr>
          <w:sz w:val="22"/>
        </w:rPr>
        <w:t>2) Evitar</w:t>
      </w:r>
      <w:r>
        <w:rPr>
          <w:sz w:val="22"/>
          <w:spacing w:val="3"/>
        </w:rPr>
        <w:t xml:space="preserve"> </w:t>
      </w:r>
      <w:r>
        <w:rPr>
          <w:sz w:val="22"/>
        </w:rPr>
        <w:t>a</w:t>
      </w:r>
      <w:r>
        <w:rPr>
          <w:sz w:val="22"/>
          <w:spacing w:val="3"/>
        </w:rPr>
        <w:t xml:space="preserve"> </w:t>
      </w:r>
      <w:r>
        <w:rPr>
          <w:sz w:val="22"/>
        </w:rPr>
        <w:t>realização</w:t>
      </w:r>
      <w:r>
        <w:rPr>
          <w:sz w:val="22"/>
          <w:spacing w:val="3"/>
        </w:rPr>
        <w:t xml:space="preserve"> </w:t>
      </w:r>
      <w:r>
        <w:rPr>
          <w:sz w:val="22"/>
        </w:rPr>
        <w:t>de</w:t>
      </w:r>
      <w:r>
        <w:rPr>
          <w:sz w:val="22"/>
          <w:spacing w:val="3"/>
        </w:rPr>
        <w:t xml:space="preserve"> </w:t>
      </w:r>
      <w:r>
        <w:rPr>
          <w:sz w:val="22"/>
        </w:rPr>
        <w:t>várias</w:t>
      </w:r>
      <w:r>
        <w:rPr>
          <w:sz w:val="22"/>
          <w:spacing w:val="3"/>
        </w:rPr>
        <w:t xml:space="preserve"> </w:t>
      </w:r>
      <w:r>
        <w:rPr>
          <w:sz w:val="22"/>
        </w:rPr>
        <w:t>contratações</w:t>
      </w:r>
      <w:r>
        <w:rPr>
          <w:sz w:val="22"/>
          <w:spacing w:val="3"/>
        </w:rPr>
        <w:t xml:space="preserve"> </w:t>
      </w:r>
      <w:r>
        <w:rPr>
          <w:sz w:val="22"/>
        </w:rPr>
        <w:t>referentes</w:t>
      </w:r>
      <w:r>
        <w:rPr>
          <w:sz w:val="22"/>
          <w:spacing w:val="3"/>
        </w:rPr>
        <w:t xml:space="preserve"> </w:t>
      </w:r>
      <w:r>
        <w:rPr>
          <w:sz w:val="22"/>
        </w:rPr>
        <w:t>a</w:t>
      </w:r>
      <w:r>
        <w:rPr>
          <w:sz w:val="22"/>
          <w:spacing w:val="3"/>
        </w:rPr>
        <w:t xml:space="preserve"> </w:t>
      </w:r>
      <w:r>
        <w:rPr>
          <w:sz w:val="22"/>
        </w:rPr>
        <w:t>um</w:t>
      </w:r>
      <w:r>
        <w:rPr>
          <w:sz w:val="22"/>
          <w:spacing w:val="3"/>
        </w:rPr>
        <w:t xml:space="preserve"> </w:t>
      </w:r>
      <w:r>
        <w:rPr>
          <w:sz w:val="22"/>
        </w:rPr>
        <w:t>mesmo</w:t>
      </w:r>
      <w:r>
        <w:rPr>
          <w:sz w:val="22"/>
          <w:spacing w:val="3"/>
        </w:rPr>
        <w:t xml:space="preserve"> </w:t>
      </w:r>
      <w:r>
        <w:rPr>
          <w:sz w:val="22"/>
        </w:rPr>
        <w:t>objeto,</w:t>
      </w:r>
      <w:r>
        <w:rPr>
          <w:sz w:val="22"/>
          <w:spacing w:val="3"/>
        </w:rPr>
        <w:t xml:space="preserve"> </w:t>
      </w:r>
      <w:r>
        <w:rPr>
          <w:sz w:val="22"/>
        </w:rPr>
        <w:t xml:space="preserve">num </w:t>
      </w:r>
      <w:r>
        <w:rPr>
          <w:sz w:val="22"/>
          <w:spacing w:val="-3"/>
        </w:rPr>
        <w:t xml:space="preserve"> </w:t>
      </w:r>
      <w:r>
        <w:rPr>
          <w:sz w:val="22"/>
        </w:rPr>
        <w:t xml:space="preserve">mesmo exercício financeiro, evitando o sobrepreço e a ineficâcia da execução do contrato; </w:t>
      </w:r>
    </w:p>
    <w:p>
      <w:pPr>
        <w:jc w:val="both"/>
      </w:pPr>
      <w:r>
        <w:rPr>
          <w:b/>
          <w:sz w:val="22"/>
        </w:rPr>
        <w:t/>
      </w:r>
    </w:p>
    <w:p>
      <w:pPr>
        <w:jc w:val="both"/>
      </w:pPr>
      <w:r>
        <w:rPr>
          <w:b/>
          <w:sz w:val="22"/>
        </w:rPr>
        <w:t>9- PROVIDÊNCIAS PARA A ADEQUAÇÃO DO AMBIENTE DO ÓRGÃO</w:t>
      </w:r>
    </w:p>
    <w:p>
      <w:pPr>
        <w:jc w:val="both"/>
      </w:pPr>
      <w:r>
        <w:rPr>
          <w:b/>
          <w:sz w:val="22"/>
        </w:rPr>
        <w:t>Logística:</w:t>
      </w:r>
    </w:p>
    <w:p>
      <w:pPr>
        <w:jc w:val="both"/>
      </w:pPr>
      <w:r>
        <w:rPr>
          <w:sz w:val="22"/>
        </w:rPr>
        <w:t>Não há necessidade de adequação logística (fornecimento de materiais).</w:t>
      </w:r>
    </w:p>
    <w:p>
      <w:pPr>
        <w:jc w:val="both"/>
      </w:pPr>
      <w:r>
        <w:rPr>
          <w:b/>
          <w:sz w:val="22"/>
        </w:rPr>
        <w:t/>
      </w:r>
    </w:p>
    <w:p>
      <w:pPr>
        <w:jc w:val="both"/>
      </w:pPr>
      <w:r>
        <w:rPr>
          <w:b/>
          <w:sz w:val="22"/>
        </w:rPr>
        <w:t>Infraestrutura</w:t>
      </w:r>
      <w:r>
        <w:rPr>
          <w:b/>
          <w:sz w:val="22"/>
          <w:spacing w:val="-1"/>
        </w:rPr>
        <w:t xml:space="preserve"> </w:t>
      </w:r>
      <w:r>
        <w:rPr>
          <w:b/>
          <w:sz w:val="22"/>
        </w:rPr>
        <w:t>tecnológica:</w:t>
      </w:r>
    </w:p>
    <w:p>
      <w:pPr>
        <w:jc w:val="both"/>
      </w:pPr>
      <w:r>
        <w:rPr>
          <w:sz w:val="22"/>
        </w:rPr>
        <w:t>Não há necessidade de adequação na infraestrutura tecnológica.</w:t>
      </w:r>
    </w:p>
    <w:p>
      <w:pPr>
        <w:jc w:val="both"/>
      </w:pPr>
      <w:r>
        <w:rPr>
          <w:b/>
          <w:sz w:val="22"/>
        </w:rPr>
        <w:t/>
      </w:r>
    </w:p>
    <w:p>
      <w:pPr>
        <w:jc w:val="both"/>
      </w:pPr>
      <w:r>
        <w:rPr>
          <w:b/>
          <w:sz w:val="22"/>
        </w:rPr>
        <w:t>Infraestrutura elétrica:</w:t>
      </w:r>
    </w:p>
    <w:p>
      <w:pPr>
        <w:jc w:val="both"/>
      </w:pPr>
      <w:r>
        <w:rPr>
          <w:sz w:val="22"/>
        </w:rPr>
        <w:t>Não há necessidade de adequação na infraestrutura elétrica.</w:t>
      </w:r>
    </w:p>
    <w:p>
      <w:pPr>
        <w:jc w:val="both"/>
      </w:pPr>
      <w:r>
        <w:rPr>
          <w:b/>
          <w:sz w:val="22"/>
        </w:rPr>
        <w:t/>
      </w:r>
    </w:p>
    <w:p>
      <w:pPr>
        <w:jc w:val="both"/>
      </w:pPr>
      <w:r>
        <w:rPr>
          <w:b/>
          <w:sz w:val="22"/>
        </w:rPr>
        <w:t>Espaço físico:</w:t>
      </w:r>
    </w:p>
    <w:p>
      <w:pPr>
        <w:jc w:val="both"/>
      </w:pPr>
      <w:r>
        <w:rPr>
          <w:sz w:val="22"/>
        </w:rPr>
        <w:t>Não há necessidade de adequação no espaço físico.</w:t>
      </w:r>
    </w:p>
    <w:p>
      <w:pPr>
        <w:jc w:val="both"/>
      </w:pPr>
      <w:r>
        <w:rPr>
          <w:b/>
          <w:sz w:val="22"/>
        </w:rPr>
        <w:t/>
      </w:r>
    </w:p>
    <w:p>
      <w:pPr>
        <w:jc w:val="both"/>
      </w:pPr>
      <w:r>
        <w:rPr>
          <w:b/>
          <w:sz w:val="22"/>
        </w:rPr>
        <w:t>Mobiliário:</w:t>
      </w:r>
    </w:p>
    <w:p>
      <w:pPr>
        <w:jc w:val="both"/>
      </w:pPr>
      <w:r>
        <w:rPr>
          <w:sz w:val="22"/>
        </w:rPr>
        <w:t>Não há necessidade de adequação de mobiliário.</w:t>
      </w:r>
    </w:p>
    <w:p>
      <w:pPr>
        <w:jc w:val="both"/>
      </w:pPr>
      <w:r>
        <w:rPr>
          <w:b/>
          <w:sz w:val="22"/>
        </w:rPr>
        <w:t/>
      </w:r>
    </w:p>
    <w:p>
      <w:pPr>
        <w:jc w:val="both"/>
      </w:pPr>
      <w:r>
        <w:rPr>
          <w:b/>
          <w:sz w:val="22"/>
        </w:rPr>
        <w:t>Impacto ambiental:</w:t>
      </w:r>
    </w:p>
    <w:p>
      <w:pPr>
        <w:jc w:val="both"/>
      </w:pPr>
      <w:r>
        <w:rPr>
          <w:sz w:val="22"/>
        </w:rPr>
        <w:t>Não há efeitos ambientais de considerável relevância na contratação pretendida.</w:t>
      </w:r>
    </w:p>
    <w:p>
      <w:pPr>
        <w:jc w:val="both"/>
      </w:pPr>
      <w:r>
        <w:rPr>
          <w:b/>
          <w:sz w:val="22"/>
          <w:w w:val="120"/>
        </w:rPr>
        <w:t/>
      </w:r>
    </w:p>
    <w:p>
      <w:pPr>
        <w:jc w:val="both"/>
      </w:pPr>
      <w:r>
        <w:rPr>
          <w:b/>
          <w:sz w:val="22"/>
          <w:w w:val="120"/>
        </w:rPr>
        <w:t>10-</w:t>
      </w:r>
      <w:r>
        <w:rPr>
          <w:b/>
          <w:sz w:val="22"/>
          <w:w w:val="120"/>
          <w:spacing w:val="-1"/>
        </w:rPr>
        <w:t xml:space="preserve"> </w:t>
      </w:r>
      <w:r>
        <w:rPr>
          <w:b/>
          <w:sz w:val="22"/>
        </w:rPr>
        <w:t>CRITÉRIOS E PRÁTICAS DE ACESSIBILIDADE, SE CABÍVEL:</w:t>
      </w:r>
    </w:p>
    <w:p>
      <w:pPr>
        <w:jc w:val="both"/>
      </w:pPr>
      <w:r>
        <w:rPr>
          <w:sz w:val="22"/>
          <w:w w:val="115"/>
        </w:rPr>
        <w:t>Não</w:t>
      </w:r>
      <w:r>
        <w:rPr>
          <w:sz w:val="22"/>
          <w:w w:val="115"/>
          <w:spacing w:val="1"/>
        </w:rPr>
        <w:t xml:space="preserve"> </w:t>
      </w:r>
      <w:r>
        <w:rPr>
          <w:sz w:val="22"/>
          <w:w w:val="115"/>
        </w:rPr>
        <w:t>se</w:t>
      </w:r>
      <w:r>
        <w:rPr>
          <w:sz w:val="22"/>
          <w:w w:val="115"/>
          <w:spacing w:val="1"/>
        </w:rPr>
        <w:t xml:space="preserve"> </w:t>
      </w:r>
      <w:r>
        <w:rPr>
          <w:sz w:val="22"/>
          <w:w w:val="115"/>
        </w:rPr>
        <w:t>aplica.</w:t>
      </w:r>
    </w:p>
    <w:p>
      <w:pPr>
        <w:jc w:val="both"/>
      </w:pPr>
      <w:r>
        <w:rPr>
          <w:sz w:val="22"/>
          <w:w w:val="115"/>
        </w:rPr>
        <w:t/>
      </w:r>
    </w:p>
    <w:p>
      <w:pPr>
        <w:jc w:val="both"/>
      </w:pPr>
      <w:r>
        <w:rPr>
          <w:b/>
          <w:sz w:val="22"/>
        </w:rPr>
        <w:t>11– MAPA DE RISCO</w:t>
      </w:r>
    </w:p>
    <w:p>
      <w:pPr>
        <w:jc w:val="both"/>
      </w:pPr>
      <w:r>
        <w:rPr>
          <w:sz w:val="22"/>
        </w:rPr>
        <w:t>Em anexo.</w:t>
      </w:r>
    </w:p>
    <w:p>
      <w:pPr>
        <w:jc w:val="both"/>
      </w:pPr>
      <w:r>
        <w:rPr>
          <w:b/>
          <w:sz w:val="22"/>
        </w:rPr>
        <w:t/>
      </w:r>
    </w:p>
    <w:p>
      <w:pPr>
        <w:jc w:val="both"/>
      </w:pPr>
      <w:r>
        <w:rPr>
          <w:b/>
          <w:sz w:val="22"/>
        </w:rPr>
        <w:t>12 - CONTRATAÇÕES CORRELATAS E/OU INTERDEPENDENTES</w:t>
      </w:r>
    </w:p>
    <w:p>
      <w:pPr>
        <w:jc w:val="both"/>
      </w:pPr>
      <w:r>
        <w:rPr>
          <w:sz w:val="22"/>
        </w:rPr>
        <w:t>Não verifica-se contratações correlatas nem interdependentes para a viabilidade e contratação desta demanda.</w:t>
      </w:r>
    </w:p>
    <w:p>
      <w:pPr>
        <w:jc w:val="both"/>
      </w:pPr>
      <w:r>
        <w:rPr>
          <w:b/>
          <w:sz w:val="22"/>
        </w:rPr>
        <w:t/>
      </w:r>
    </w:p>
    <w:p>
      <w:pPr>
        <w:jc w:val="both"/>
      </w:pPr>
      <w:r>
        <w:rPr>
          <w:b/>
          <w:sz w:val="22"/>
        </w:rPr>
        <w:t>13 - VIABILIDADE OU NÃO DA CONTRATAÇÃO</w:t>
      </w:r>
    </w:p>
    <w:p>
      <w:pPr>
        <w:jc w:val="both"/>
      </w:pPr>
      <w:r>
        <w:rPr>
          <w:sz w:val="22"/>
        </w:rPr>
        <w:t xml:space="preserve">Os estudos preliminares evidenciam que a contratação da solução ora descrita, mostra-se tecnicamente possível e </w:t>
      </w:r>
      <w:r>
        <w:rPr>
          <w:sz w:val="22"/>
          <w:spacing w:val="-3"/>
        </w:rPr>
        <w:t xml:space="preserve"> </w:t>
      </w:r>
      <w:r>
        <w:rPr>
          <w:sz w:val="22"/>
        </w:rPr>
        <w:t>fundamentadamente necessária.</w:t>
      </w:r>
    </w:p>
    <w:p>
      <w:pPr>
        <w:jc w:val="both"/>
      </w:pPr>
      <w:r>
        <w:rPr>
          <w:sz w:val="22"/>
        </w:rPr>
        <w:t/>
      </w:r>
    </w:p>
    <w:p>
      <w:pPr>
        <w:jc w:val="both"/>
      </w:pPr>
      <w:r>
        <w:rPr>
          <w:sz w:val="22"/>
        </w:rPr>
        <w:t>Diante do exposto, declara-se ser viável a contratação pretendida.</w:t>
      </w:r>
    </w:p>
    <w:p>
      <w:pPr>
        <w:jc w:val="both"/>
      </w:pPr>
      <w:r>
        <w:rPr>
          <w:sz w:val="22"/>
        </w:rPr>
        <w:t/>
      </w:r>
    </w:p>
    <w:p>
      <w:pPr>
        <w:jc w:val="right"/>
      </w:pPr>
      <w:r>
        <w:rPr>
          <w:sz w:val="22"/>
        </w:rPr>
        <w:t>Guairaçá-PR , 29 de julho de 2024.</w:t>
      </w:r>
    </w:p>
    <w:p>
      <w:pPr>
        <w:jc w:val="right"/>
      </w:pPr>
      <w:r>
        <w:rPr>
          <w:sz w:val="22"/>
        </w:rPr>
        <w:t/>
      </w:r>
    </w:p>
    <w:p>
      <w:pPr>
        <w:jc w:val="right"/>
      </w:pPr>
      <w:r>
        <w:rPr>
          <w:sz w:val="22"/>
        </w:rPr>
        <w:t/>
      </w:r>
    </w:p>
    <w:p>
      <w:pPr>
        <w:jc w:val="center"/>
      </w:pPr>
      <w:r>
        <w:rPr>
          <w:b/>
          <w:sz w:val="22"/>
        </w:rPr>
        <w:t>_____________________________</w:t>
      </w:r>
    </w:p>
    <w:p>
      <w:pPr>
        <w:jc w:val="center"/>
      </w:pPr>
      <w:r>
        <w:rPr>
          <w:b/>
          <w:sz w:val="22"/>
        </w:rPr>
        <w:t>SILVANA APARECIDA DE SOUZA MINUZZO</w:t>
      </w:r>
    </w:p>
    <w:p>
      <w:pPr>
        <w:jc w:val="center"/>
      </w:pPr>
      <w:r>
        <w:rPr>
          <w:b/>
          <w:i/>
          <w:sz w:val="22"/>
        </w:rPr>
        <w:t>SECRETARIA MUNICIPAL DE EDUCAÇÃO</w:t>
      </w:r>
    </w:p>
    <w:p>
      <w:pPr>
        <w:jc w:val="right"/>
      </w:pPr>
      <w:r>
        <w:rPr>
          <w:b/>
          <w:sz w:val="22"/>
        </w:rPr>
        <w:t/>
      </w:r>
    </w:p>
    <w:p>
      <w:r>
        <w:rPr>
          <w:sz w:val="22"/>
        </w:rPr>
        <w:t/>
      </w:r>
    </w:p>
    <w:p>
      <w:r>
        <w:br w:type="page"/>
      </w:r>
    </w:p>
    <w:p>
      <w:pPr>
        <w:jc w:val="right"/>
      </w:pPr>
      <w:r>
        <w:rPr>
          <w:sz w:val="22"/>
        </w:rPr>
        <w:t/>
      </w:r>
    </w:p>
    <w:p>
      <w:pPr>
        <w:jc w:val="center"/>
        <w:outlineLvl w:val="0"/>
        <w:keepLines/>
        <w:keepNext/>
        <w:ind w:right="1305"/>
      </w:pPr>
      <w:bookmarkStart w:id="1" w:name="MAPA_DE_RISCO"/>
      <w:bookmarkEnd w:id="1"/>
      <w:r>
        <w:rPr>
          <w:b/>
          <w:u w:val="single" w:color="000000"/>
          <w:sz w:val="22"/>
        </w:rPr>
        <w:t>MAPA DE RISCO</w:t>
      </w:r>
    </w:p>
    <w:p>
      <w:r>
        <w:rPr>
          <w:u w:val="single"/>
          <w:sz w:val="22"/>
        </w:rPr>
        <w:t/>
      </w:r>
    </w:p>
    <w:p>
      <w:pPr>
        <w:jc w:val="both"/>
        <w:keepLines/>
        <w:keepNext/>
        <w:widowControl/>
        <w:tabs>
          <w:tab w:val="left" w:pos="10125"/>
        </w:tabs>
      </w:pPr>
      <w:r>
        <w:rPr>
          <w:sz w:val="22"/>
        </w:rPr>
        <w:t>O Município de Guairaçá deverá adotar todas as condutas necessárias para avaliar, direcionar e monitorar os processos licitatórios e os respectivos contratos, com o intuito de obter a excelência nos resultados das contratações celebradas; evitar inexecuções contratuais que possam comprometer os objetivos de gestão pretendidos; evitar sobrepreço e superfaturamento quando das execuções contratuais; prevenir e reprimir práticas corruptas, práticas fraudulentas, práticas colusivas ou práticas obstrutivas nos processos de contratação pública; garantir que a contratação pública constitua efetivo instrumento de fomento da sustentabilidade em suas dimensões ambiental, social e econômica;  realizar o gerenciamento dos riscos das licitações e das contratações e reduzir os riscos a que estão sujeitas as licitaç</w:t>
      </w:r>
      <w:r>
        <w:rPr>
          <w:sz w:val="22"/>
          <w:shd w:val="clear" w:color="auto" w:fill="FFFFFF"/>
        </w:rPr>
        <w:t>ões e as contratações, como, dentre outros.</w:t>
      </w:r>
    </w:p>
    <w:p>
      <w:pPr>
        <w:keepLines/>
        <w:keepNext/>
        <w:tabs>
          <w:tab w:val="left" w:pos="10125"/>
        </w:tabs>
      </w:pPr>
      <w:r>
        <w:rPr>
          <w:b/>
          <w:sz w:val="22"/>
        </w:rPr>
        <w:t/>
      </w:r>
    </w:p>
    <w:p>
      <w:pPr>
        <w:jc w:val="both"/>
        <w:keepLines/>
        <w:keepNext/>
        <w:widowControl/>
        <w:tabs>
          <w:tab w:val="left" w:pos="10125"/>
        </w:tabs>
      </w:pPr>
      <w:r>
        <w:rPr>
          <w:sz w:val="22"/>
          <w:shd w:val="clear" w:color="auto" w:fill="FFFFFF"/>
        </w:rPr>
        <w:t xml:space="preserve">Os riscos serão avaliados de acordo com a seguinte </w:t>
      </w:r>
      <w:r>
        <w:rPr>
          <w:b/>
          <w:sz w:val="22"/>
          <w:shd w:val="clear" w:color="auto" w:fill="FFFFFF"/>
        </w:rPr>
        <w:t>escala de probabilidade</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raro:</w:t>
      </w:r>
      <w:r>
        <w:rPr>
          <w:sz w:val="22"/>
          <w:shd w:val="clear" w:color="auto" w:fill="FFFFFF"/>
        </w:rPr>
        <w:t xml:space="preserve"> acontece apenas em situações excepcionais; não há histórico conhecido do evento ou não há indícios que sinalizem sua ocorrência;</w:t>
      </w:r>
    </w:p>
    <w:p>
      <w:pPr>
        <w:jc w:val="both"/>
        <w:keepLines/>
        <w:keepNext/>
        <w:widowControl/>
        <w:tabs>
          <w:tab w:val="left" w:pos="10125"/>
        </w:tabs>
      </w:pPr>
      <w:r>
        <w:rPr>
          <w:sz w:val="22"/>
          <w:shd w:val="clear" w:color="auto" w:fill="FFFFFF"/>
        </w:rPr>
        <w:t xml:space="preserve">II - </w:t>
      </w:r>
      <w:r>
        <w:rPr>
          <w:b/>
          <w:sz w:val="22"/>
          <w:shd w:val="clear" w:color="auto" w:fill="FFFFFF"/>
        </w:rPr>
        <w:t>pouco provável:</w:t>
      </w:r>
      <w:r>
        <w:rPr>
          <w:sz w:val="22"/>
          <w:shd w:val="clear" w:color="auto" w:fill="FFFFFF"/>
        </w:rPr>
        <w:t xml:space="preserve"> o histórico conhecido aponta para baixa frequência de ocorrência no prazo associado ao objetivo;</w:t>
      </w:r>
    </w:p>
    <w:p>
      <w:pPr>
        <w:jc w:val="both"/>
        <w:keepLines/>
        <w:keepNext/>
        <w:widowControl/>
        <w:tabs>
          <w:tab w:val="left" w:pos="10125"/>
        </w:tabs>
      </w:pPr>
      <w:r>
        <w:rPr>
          <w:sz w:val="22"/>
          <w:shd w:val="clear" w:color="auto" w:fill="FFFFFF"/>
        </w:rPr>
        <w:t xml:space="preserve">III - </w:t>
      </w:r>
      <w:r>
        <w:rPr>
          <w:b/>
          <w:sz w:val="22"/>
          <w:shd w:val="clear" w:color="auto" w:fill="FFFFFF"/>
        </w:rPr>
        <w:t>provável:</w:t>
      </w:r>
      <w:r>
        <w:rPr>
          <w:sz w:val="22"/>
          <w:shd w:val="clear" w:color="auto" w:fill="FFFFFF"/>
        </w:rPr>
        <w:t xml:space="preserve"> repete-se com frequência razoável no prazo associado ao objetivo ou há indícios que possa ocorrer nesse horizonte;</w:t>
      </w:r>
    </w:p>
    <w:p>
      <w:pPr>
        <w:jc w:val="both"/>
        <w:keepLines/>
        <w:keepNext/>
        <w:widowControl/>
        <w:tabs>
          <w:tab w:val="left" w:pos="10125"/>
        </w:tabs>
      </w:pPr>
      <w:r>
        <w:rPr>
          <w:sz w:val="22"/>
          <w:shd w:val="clear" w:color="auto" w:fill="FFFFFF"/>
        </w:rPr>
        <w:t xml:space="preserve">IV - </w:t>
      </w:r>
      <w:r>
        <w:rPr>
          <w:b/>
          <w:sz w:val="22"/>
          <w:shd w:val="clear" w:color="auto" w:fill="FFFFFF"/>
        </w:rPr>
        <w:t>muito provável:</w:t>
      </w:r>
      <w:r>
        <w:rPr>
          <w:sz w:val="22"/>
          <w:shd w:val="clear" w:color="auto" w:fill="FFFFFF"/>
        </w:rPr>
        <w:t xml:space="preserve"> repete-se com elevada frequência no prazo associado ao objetivo ou há muitos indícios que ocorrerá nesse horizonte;</w:t>
      </w:r>
    </w:p>
    <w:p>
      <w:pPr>
        <w:jc w:val="both"/>
        <w:keepLines/>
        <w:keepNext/>
        <w:widowControl/>
        <w:tabs>
          <w:tab w:val="left" w:pos="10125"/>
        </w:tabs>
      </w:pPr>
      <w:r>
        <w:rPr>
          <w:sz w:val="22"/>
          <w:shd w:val="clear" w:color="auto" w:fill="FFFFFF"/>
        </w:rPr>
        <w:t xml:space="preserve">V - </w:t>
      </w:r>
      <w:r>
        <w:rPr>
          <w:b/>
          <w:sz w:val="22"/>
          <w:shd w:val="clear" w:color="auto" w:fill="FFFFFF"/>
        </w:rPr>
        <w:t>praticamente certo</w:t>
      </w:r>
      <w:r>
        <w:rPr>
          <w:sz w:val="22"/>
          <w:shd w:val="clear" w:color="auto" w:fill="FFFFFF"/>
        </w:rPr>
        <w:t>: ocorrência quase garantida no prazo associado ao objetivo.</w:t>
      </w:r>
    </w:p>
    <w:p>
      <w:pPr>
        <w:jc w:val="both"/>
        <w:keepLines/>
        <w:keepNext/>
        <w:widowControl/>
        <w:tabs>
          <w:tab w:val="left" w:pos="10125"/>
        </w:tabs>
      </w:pPr>
      <w:r>
        <w:rPr>
          <w:sz w:val="22"/>
          <w:shd w:val="clear" w:color="auto" w:fill="FFFFFF"/>
        </w:rPr>
        <w:t/>
      </w:r>
    </w:p>
    <w:p>
      <w:pPr>
        <w:jc w:val="both"/>
        <w:keepLines/>
        <w:keepNext/>
        <w:widowControl/>
        <w:tabs>
          <w:tab w:val="left" w:pos="10125"/>
        </w:tabs>
      </w:pPr>
      <w:r>
        <w:rPr>
          <w:sz w:val="22"/>
          <w:shd w:val="clear" w:color="auto" w:fill="FFFFFF"/>
        </w:rPr>
        <w:t>Os riscos serão avaliados de acordo com a seguinte</w:t>
      </w:r>
      <w:r>
        <w:rPr>
          <w:b/>
          <w:sz w:val="22"/>
          <w:shd w:val="clear" w:color="auto" w:fill="FFFFFF"/>
        </w:rPr>
        <w:t xml:space="preserve"> escala de impacto</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muito baixo</w:t>
      </w:r>
      <w:r>
        <w:rPr>
          <w:sz w:val="22"/>
          <w:shd w:val="clear" w:color="auto" w:fill="FFFFFF"/>
        </w:rPr>
        <w:t>: compromete minimamente o atingimento do objetivo; para fins práticos, não altera o alcance do objetivo/resultado;</w:t>
      </w:r>
    </w:p>
    <w:p>
      <w:pPr>
        <w:jc w:val="both"/>
        <w:keepLines/>
        <w:keepNext/>
        <w:widowControl/>
        <w:tabs>
          <w:tab w:val="left" w:pos="10125"/>
        </w:tabs>
      </w:pPr>
      <w:r>
        <w:rPr>
          <w:sz w:val="22"/>
          <w:shd w:val="clear" w:color="auto" w:fill="FFFFFF"/>
        </w:rPr>
        <w:t xml:space="preserve">II - </w:t>
      </w:r>
      <w:r>
        <w:rPr>
          <w:b/>
          <w:sz w:val="22"/>
          <w:shd w:val="clear" w:color="auto" w:fill="FFFFFF"/>
        </w:rPr>
        <w:t>baixo</w:t>
      </w:r>
      <w:r>
        <w:rPr>
          <w:sz w:val="22"/>
          <w:shd w:val="clear" w:color="auto" w:fill="FFFFFF"/>
        </w:rPr>
        <w:t>: compromete em alguma medida o alcance do objetivo, mas não impede o alcance da maior parte do objetivo/resultado;</w:t>
      </w:r>
    </w:p>
    <w:p>
      <w:pPr>
        <w:jc w:val="both"/>
        <w:keepLines/>
        <w:keepNext/>
        <w:widowControl/>
        <w:tabs>
          <w:tab w:val="left" w:pos="10125"/>
        </w:tabs>
      </w:pPr>
      <w:r>
        <w:rPr>
          <w:sz w:val="22"/>
          <w:shd w:val="clear" w:color="auto" w:fill="FFFFFF"/>
        </w:rPr>
        <w:t xml:space="preserve">III - </w:t>
      </w:r>
      <w:r>
        <w:rPr>
          <w:b/>
          <w:sz w:val="22"/>
          <w:shd w:val="clear" w:color="auto" w:fill="FFFFFF"/>
        </w:rPr>
        <w:t>médio:</w:t>
      </w:r>
      <w:r>
        <w:rPr>
          <w:sz w:val="22"/>
          <w:shd w:val="clear" w:color="auto" w:fill="FFFFFF"/>
        </w:rPr>
        <w:t xml:space="preserve"> compromete razoavelmente o alcance do objetivo/resultado;</w:t>
      </w:r>
    </w:p>
    <w:p>
      <w:pPr>
        <w:jc w:val="both"/>
        <w:keepLines/>
        <w:keepNext/>
        <w:widowControl/>
        <w:tabs>
          <w:tab w:val="left" w:pos="10125"/>
        </w:tabs>
      </w:pPr>
      <w:r>
        <w:rPr>
          <w:sz w:val="22"/>
          <w:shd w:val="clear" w:color="auto" w:fill="FFFFFF"/>
        </w:rPr>
        <w:t>IV -</w:t>
      </w:r>
      <w:r>
        <w:rPr>
          <w:b/>
          <w:sz w:val="22"/>
          <w:shd w:val="clear" w:color="auto" w:fill="FFFFFF"/>
        </w:rPr>
        <w:t xml:space="preserve"> alto</w:t>
      </w:r>
      <w:r>
        <w:rPr>
          <w:sz w:val="22"/>
          <w:shd w:val="clear" w:color="auto" w:fill="FFFFFF"/>
        </w:rPr>
        <w:t>: compromete a maior parte do atingimento do objetivo/resultado;</w:t>
      </w:r>
    </w:p>
    <w:p>
      <w:pPr>
        <w:jc w:val="both"/>
        <w:keepLines/>
        <w:keepNext/>
        <w:widowControl/>
        <w:tabs>
          <w:tab w:val="left" w:pos="10125"/>
        </w:tabs>
      </w:pPr>
      <w:r>
        <w:rPr>
          <w:sz w:val="22"/>
          <w:shd w:val="clear" w:color="auto" w:fill="FFFFFF"/>
        </w:rPr>
        <w:t xml:space="preserve">V - </w:t>
      </w:r>
      <w:r>
        <w:rPr>
          <w:b/>
          <w:sz w:val="22"/>
          <w:shd w:val="clear" w:color="auto" w:fill="FFFFFF"/>
        </w:rPr>
        <w:t>muito alto</w:t>
      </w:r>
      <w:r>
        <w:rPr>
          <w:sz w:val="22"/>
          <w:shd w:val="clear" w:color="auto" w:fill="FFFFFF"/>
        </w:rPr>
        <w:t>: compromete totalmente ou quase totalmente o atingimento do objetivo/resultado.</w:t>
      </w:r>
    </w:p>
    <w:p>
      <w:pPr>
        <w:keepLines/>
        <w:keepNext/>
        <w:tabs>
          <w:tab w:val="left" w:pos="10125"/>
        </w:tabs>
      </w:pPr>
      <w:r>
        <w:rPr>
          <w:b/>
          <w:sz w:val="22"/>
        </w:rPr>
        <w:t/>
      </w:r>
    </w:p>
    <w:p>
      <w:pPr>
        <w:keepLines/>
        <w:keepNext/>
        <w:tabs>
          <w:tab w:val="left" w:pos="10125"/>
        </w:tabs>
      </w:pPr>
      <w:r>
        <w:rPr>
          <w:b/>
          <w:sz w:val="22"/>
        </w:rPr>
        <w:t/>
      </w:r>
    </w:p>
    <w:p>
      <w:pPr>
        <w:jc w:val="both"/>
        <w:keepLines/>
        <w:keepNext/>
        <w:tabs>
          <w:tab w:val="left" w:pos="10125"/>
        </w:tabs>
      </w:pPr>
      <w:r>
        <w:rPr>
          <w:b/>
          <w:sz w:val="22"/>
        </w:rPr>
        <w:t>OBJETO: REGISTRO DE PREÇO PARA FUTURA E EVENTUAL AQUISIÇÃO DE MOCHILAS E TÊNIS ESCOLARES PARA ALUNOS DA REDE MUNICIPAL, EM ATENÇÃO A SECRETARIA MUNICIPAL DE EDUCAÇÃO DE GUAIRAÇÁ/PR.</w:t>
      </w:r>
    </w:p>
    <w:p>
      <w:pPr>
        <w:jc w:val="both"/>
        <w:keepLines/>
        <w:keepNext/>
        <w:tabs>
          <w:tab w:val="left" w:pos="10125"/>
        </w:tabs>
      </w:pPr>
      <w:r>
        <w:rPr>
          <w:sz w:val="22"/>
        </w:rPr>
        <w:t/>
      </w:r>
    </w:p>
    <w:p>
      <w:pPr>
        <w:jc w:val="both"/>
        <w:keepLines/>
        <w:keepNext/>
        <w:tabs>
          <w:tab w:val="left" w:pos="10125"/>
        </w:tabs>
      </w:pPr>
      <w:r>
        <w:rPr>
          <w:sz w:val="22"/>
        </w:rPr>
        <w:t/>
      </w:r>
    </w:p>
    <w:p>
      <w:pPr>
        <w:jc w:val="both"/>
        <w:keepLines/>
        <w:keepNext/>
        <w:tabs>
          <w:tab w:val="left" w:pos="10125"/>
        </w:tabs>
      </w:pPr>
      <w:r>
        <w:rPr>
          <w:sz w:val="22"/>
        </w:rPr>
        <w:t/>
      </w:r>
    </w:p>
    <w:p>
      <w:pPr>
        <w:jc w:val="center"/>
        <w:ind w:left="2010" w:right="2010"/>
        <w:spacing w:before="45"/>
      </w:pPr>
      <w:r>
        <w:rPr>
          <w:b/>
          <w:sz w:val="22"/>
        </w:rPr>
        <w:t>FASE DE PLANEJAMENTO</w:t>
      </w:r>
    </w:p>
    <w:p>
      <w:pPr>
        <w:jc w:val="center"/>
        <w:ind w:left="2010" w:right="2010"/>
        <w:spacing w:before="45"/>
      </w:pPr>
      <w:r>
        <w:rPr>
          <w:b/>
          <w:sz w:val="22"/>
        </w:rPr>
        <w:t/>
      </w:r>
    </w:p>
    <w:p>
      <w:pPr>
        <w:jc w:val="both"/>
        <w:keepLines/>
        <w:keepNext/>
        <w:tabs>
          <w:tab w:val="left" w:pos="10125"/>
        </w:tabs>
      </w:pPr>
      <w:r>
        <w:rPr>
          <w:sz w:val="22"/>
        </w:rPr>
        <w:t/>
      </w:r>
    </w:p>
    <w:p>
      <w:pPr>
        <w:keepLines/>
        <w:keepNext/>
        <w:ind w:right="-30"/>
      </w:pPr>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tbl>
      <w:tblPr>
        <w:tblW w:w="10875" w:type="dxa"/>
        <w:tblLayout w:type="fixed"/>
        <w:tblCellMar>
          <w:top w:w="0" w:type="dxa"/>
          <w:left w:w="0" w:type="dxa"/>
          <w:bottom w:w="0" w:type="dxa"/>
          <w:right w:w="0" w:type="dxa"/>
        </w:tblCellMar>
        <w:tblInd w:w="15" w:type="dxa"/>
      </w:tblPr>
      <w:tblGrid>
        <w:gridCol w:w="1005"/>
        <w:gridCol w:w="1590"/>
        <w:gridCol w:w="1005"/>
        <w:gridCol w:w="480"/>
        <w:gridCol w:w="1245"/>
        <w:gridCol w:w="1275"/>
        <w:gridCol w:w="150"/>
        <w:gridCol w:w="1785"/>
        <w:gridCol w:w="2325"/>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60"/>
            </w:pPr>
            <w:r>
              <w:rPr>
                <w:b/>
                <w:sz w:val="16"/>
              </w:rPr>
              <w:t>RISCO</w:t>
            </w:r>
            <w:r>
              <w:rPr>
                <w:b/>
                <w:sz w:val="16"/>
                <w:spacing w:val="1"/>
              </w:rPr>
              <w:t xml:space="preserve"> </w:t>
            </w:r>
            <w:r>
              <w:rPr>
                <w:b/>
                <w:sz w:val="16"/>
              </w:rPr>
              <w:t>01.</w:t>
            </w:r>
            <w:r>
              <w:rPr>
                <w:b/>
                <w:sz w:val="16"/>
                <w:spacing w:val="1"/>
              </w:rPr>
              <w:t xml:space="preserve"> </w:t>
            </w:r>
            <w:r>
              <w:rPr>
                <w:b/>
                <w:sz w:val="16"/>
              </w:rPr>
              <w:t>AUSÊNCIA</w:t>
            </w:r>
            <w:r>
              <w:rPr>
                <w:b/>
                <w:sz w:val="16"/>
                <w:spacing w:val="1"/>
              </w:rPr>
              <w:t xml:space="preserve"> </w:t>
            </w:r>
            <w:r>
              <w:rPr>
                <w:b/>
                <w:sz w:val="16"/>
              </w:rPr>
              <w:t>DE</w:t>
            </w:r>
            <w:r>
              <w:rPr>
                <w:b/>
                <w:sz w:val="16"/>
                <w:spacing w:val="1"/>
              </w:rPr>
              <w:t xml:space="preserve"> </w:t>
            </w:r>
            <w:r>
              <w:rPr>
                <w:b/>
                <w:sz w:val="16"/>
              </w:rPr>
              <w:t>PRIORIZAÇÃO</w:t>
            </w:r>
            <w:r>
              <w:rPr>
                <w:b/>
                <w:sz w:val="16"/>
                <w:spacing w:val="1"/>
              </w:rPr>
              <w:t xml:space="preserve"> </w:t>
            </w:r>
            <w:r>
              <w:rPr>
                <w:b/>
                <w:sz w:val="16"/>
              </w:rPr>
              <w:t>DAS</w:t>
            </w:r>
            <w:r>
              <w:rPr>
                <w:b/>
                <w:sz w:val="16"/>
                <w:spacing w:val="1"/>
              </w:rPr>
              <w:t xml:space="preserve"> </w:t>
            </w:r>
            <w:r>
              <w:rPr>
                <w:b/>
                <w:sz w:val="16"/>
              </w:rPr>
              <w:t>AQUISIÇÕES</w:t>
            </w:r>
            <w:r>
              <w:rPr>
                <w:b/>
                <w:sz w:val="16"/>
                <w:spacing w:val="1"/>
              </w:rPr>
              <w:t xml:space="preserve"> </w:t>
            </w:r>
            <w:r>
              <w:rPr>
                <w:b/>
                <w:sz w:val="16"/>
              </w:rPr>
              <w:t>QUE</w:t>
            </w:r>
            <w:r>
              <w:rPr>
                <w:b/>
                <w:sz w:val="16"/>
                <w:spacing w:val="1"/>
              </w:rPr>
              <w:t xml:space="preserve"> </w:t>
            </w:r>
            <w:r>
              <w:rPr>
                <w:b/>
                <w:sz w:val="16"/>
              </w:rPr>
              <w:t>SE</w:t>
            </w:r>
            <w:r>
              <w:rPr>
                <w:b/>
                <w:sz w:val="16"/>
                <w:spacing w:val="1"/>
              </w:rPr>
              <w:t xml:space="preserve"> </w:t>
            </w:r>
            <w:r>
              <w:rPr>
                <w:b/>
                <w:sz w:val="16"/>
              </w:rPr>
              <w:t>BASEIAM</w:t>
            </w:r>
            <w:r>
              <w:rPr>
                <w:b/>
                <w:sz w:val="16"/>
                <w:spacing w:val="1"/>
              </w:rPr>
              <w:t xml:space="preserve"> </w:t>
            </w:r>
            <w:r>
              <w:rPr>
                <w:b/>
                <w:sz w:val="16"/>
              </w:rPr>
              <w:t>NAS</w:t>
            </w:r>
            <w:r>
              <w:rPr>
                <w:b/>
                <w:sz w:val="16"/>
                <w:spacing w:val="1"/>
              </w:rPr>
              <w:t xml:space="preserve"> </w:t>
            </w:r>
            <w:r>
              <w:rPr>
                <w:b/>
                <w:sz w:val="16"/>
              </w:rPr>
              <w:t>AÇÕES</w:t>
            </w:r>
            <w:r>
              <w:rPr>
                <w:b/>
                <w:sz w:val="16"/>
                <w:spacing w:val="1"/>
              </w:rPr>
              <w:t xml:space="preserve"> </w:t>
            </w:r>
            <w:r>
              <w:rPr>
                <w:b/>
                <w:sz w:val="16"/>
              </w:rPr>
              <w:t>ORGANIZACIONAIS</w:t>
            </w:r>
            <w:r>
              <w:rPr>
                <w:b/>
                <w:sz w:val="16"/>
                <w:spacing w:val="1"/>
              </w:rPr>
              <w:t xml:space="preserve"> </w:t>
            </w:r>
            <w:r>
              <w:rPr>
                <w:b/>
                <w:sz w:val="16"/>
              </w:rPr>
              <w:t>MAIS</w:t>
            </w:r>
            <w:r>
              <w:rPr>
                <w:b/>
                <w:sz w:val="16"/>
                <w:spacing w:val="-2"/>
              </w:rPr>
              <w:t xml:space="preserve"> </w:t>
            </w:r>
            <w:r>
              <w:rPr>
                <w:b/>
                <w:sz w:val="16"/>
              </w:rPr>
              <w:t>RELEVANTES.</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2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O ÓRGÃO NÃO ATINGIR OS OBJETIVOS ORGANIZACIONAIS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1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960"/>
                <w:tab w:val="left" w:pos="2430"/>
              </w:tabs>
            </w:pPr>
            <w:r>
              <w:rPr>
                <w:sz w:val="16"/>
              </w:rPr>
              <w:t xml:space="preserve">DEFINIR METODOLOGIA DE PRIORIZAÇÃO DE </w:t>
            </w:r>
            <w:r>
              <w:rPr>
                <w:sz w:val="16"/>
                <w:spacing w:val="-2"/>
              </w:rPr>
              <w:t xml:space="preserve"> </w:t>
            </w:r>
            <w:r>
              <w:rPr>
                <w:sz w:val="16"/>
              </w:rPr>
              <w:t>AQUISIÇÕES</w:t>
            </w:r>
          </w:p>
        </w:tc>
        <w:tc>
          <w:tcPr>
            <w:tcW w:w="4110"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18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720"/>
              </w:tabs>
            </w:pPr>
            <w:r>
              <w:rPr>
                <w:sz w:val="16"/>
              </w:rPr>
              <w:t>EFETIVO FUNCIONAMENTO DO SETOR DE PLANEJAMENTO</w:t>
            </w:r>
          </w:p>
        </w:tc>
        <w:tc>
          <w:tcPr>
            <w:tcW w:w="4110"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bl>
    <w:p>
      <w:pPr>
        <w:keepLines/>
        <w:keepNext/>
        <w:ind w:right="-30"/>
      </w:pPr>
      <w:r>
        <w:rPr>
          <w:sz w:val="22"/>
        </w:rPr>
        <w:t/>
      </w:r>
    </w:p>
    <w:p>
      <w:pPr>
        <w:keepLines/>
        <w:keepNext/>
        <w:ind w:right="-30"/>
      </w:pPr>
      <w:r>
        <w:rPr>
          <w:sz w:val="22"/>
        </w:rPr>
        <w:t/>
      </w:r>
    </w:p>
    <w:tbl>
      <w:tblPr>
        <w:tblW w:w="10875" w:type="dxa"/>
        <w:tblLayout w:type="fixed"/>
        <w:tblCellMar>
          <w:top w:w="0" w:type="dxa"/>
          <w:left w:w="0" w:type="dxa"/>
          <w:bottom w:w="0" w:type="dxa"/>
          <w:right w:w="0" w:type="dxa"/>
        </w:tblCellMar>
        <w:tblInd w:w="15" w:type="dxa"/>
      </w:tblPr>
      <w:tblGrid>
        <w:gridCol w:w="1005"/>
        <w:gridCol w:w="1605"/>
        <w:gridCol w:w="1005"/>
        <w:gridCol w:w="495"/>
        <w:gridCol w:w="1275"/>
        <w:gridCol w:w="1320"/>
        <w:gridCol w:w="90"/>
        <w:gridCol w:w="1845"/>
        <w:gridCol w:w="2220"/>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02.</w:t>
            </w:r>
            <w:r>
              <w:rPr>
                <w:sz w:val="16"/>
                <w:spacing w:val="1"/>
              </w:rPr>
              <w:t xml:space="preserve"> </w:t>
            </w:r>
            <w:r>
              <w:rPr>
                <w:b/>
                <w:sz w:val="16"/>
              </w:rPr>
              <w:t xml:space="preserve">ESTUDO TÉCNICO PRELIMINAR COM CONTEÚDO INSUFICIENTE PARA ATINGIR O OBJETIVO (MAL </w:t>
            </w:r>
            <w:r>
              <w:rPr>
                <w:b/>
                <w:sz w:val="16"/>
                <w:spacing w:val="-2"/>
              </w:rPr>
              <w:t xml:space="preserve"> </w:t>
            </w:r>
            <w:r>
              <w:rPr>
                <w:b/>
                <w:sz w:val="16"/>
              </w:rPr>
              <w:t>ELABORADO)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DESPERDÍCIO DE RECURSOS PÚBLICOS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5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58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EDUCAÇÃO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tabs>
                <w:tab w:val="left" w:pos="1620"/>
                <w:tab w:val="left" w:pos="3240"/>
              </w:tabs>
            </w:pPr>
            <w:r>
              <w:rPr>
                <w:sz w:val="16"/>
              </w:rPr>
              <w:t>REALIZAR</w:t>
            </w:r>
            <w:r>
              <w:rPr>
                <w:sz w:val="16"/>
                <w:spacing w:val="1"/>
              </w:rPr>
              <w:t xml:space="preserve"> </w:t>
            </w:r>
            <w:r>
              <w:rPr>
                <w:sz w:val="16"/>
              </w:rPr>
              <w:t>ANÁLISE,</w:t>
            </w:r>
            <w:r>
              <w:rPr>
                <w:sz w:val="16"/>
                <w:spacing w:val="1"/>
              </w:rPr>
              <w:t xml:space="preserve"> </w:t>
            </w:r>
            <w:r>
              <w:rPr>
                <w:sz w:val="16"/>
              </w:rPr>
              <w:t>CONFERÊNCIA</w:t>
            </w:r>
            <w:r>
              <w:rPr>
                <w:sz w:val="16"/>
                <w:spacing w:val="1"/>
              </w:rPr>
              <w:t xml:space="preserve"> </w:t>
            </w:r>
            <w:r>
              <w:rPr>
                <w:sz w:val="16"/>
              </w:rPr>
              <w:t>E</w:t>
            </w:r>
            <w:r>
              <w:rPr>
                <w:sz w:val="16"/>
                <w:spacing w:val="1"/>
              </w:rPr>
              <w:t xml:space="preserve"> </w:t>
            </w:r>
            <w:r>
              <w:rPr>
                <w:sz w:val="16"/>
              </w:rPr>
              <w:t>REVISÃO</w:t>
            </w:r>
            <w:r>
              <w:rPr>
                <w:sz w:val="16"/>
                <w:spacing w:val="1"/>
              </w:rPr>
              <w:t xml:space="preserve"> </w:t>
            </w:r>
            <w:r>
              <w:rPr>
                <w:sz w:val="16"/>
              </w:rPr>
              <w:t>DOS</w:t>
            </w:r>
            <w:r>
              <w:rPr>
                <w:sz w:val="16"/>
                <w:spacing w:val="-2"/>
              </w:rPr>
              <w:t xml:space="preserve"> </w:t>
            </w:r>
            <w:r>
              <w:rPr>
                <w:sz w:val="16"/>
              </w:rPr>
              <w:t>ESTUDOS TÉCNICOS PRELIMINARES APRESENTADOS.</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605"/>
        <w:gridCol w:w="1005"/>
        <w:gridCol w:w="495"/>
        <w:gridCol w:w="1245"/>
        <w:gridCol w:w="1275"/>
        <w:gridCol w:w="165"/>
        <w:gridCol w:w="1770"/>
        <w:gridCol w:w="2280"/>
      </w:tblGrid>
      <w:tr>
        <w:trPr>
          <w:trHeight w:val="465" w:hRule="atLeast"/>
        </w:trPr>
        <w:tc>
          <w:tcPr>
            <w:tcW w:w="1084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03. ELABORAÇÃO DE TERMO DE REFERÊNCIA INADEQUADO, QUE NÃO PERMITE A SELEÇÃO DA PROPOSTA MAIS</w:t>
            </w:r>
            <w:r>
              <w:rPr>
                <w:b/>
                <w:sz w:val="16"/>
                <w:spacing w:val="-2"/>
              </w:rPr>
              <w:t xml:space="preserve"> </w:t>
            </w:r>
            <w:r>
              <w:rPr>
                <w:b/>
                <w:sz w:val="16"/>
              </w:rPr>
              <w:t>VANTAJOSA (INCOMPLETO OU INCONSISTENTE).</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4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33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4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DESPERDÍCIO DE RECURSOS PÚBLICOS, RESULTANDO NUMA MÁ CONTRATAÇÃO OU ATÉ MESMO</w:t>
            </w:r>
            <w:r>
              <w:rPr>
                <w:b/>
                <w:sz w:val="16"/>
                <w:spacing w:val="-2"/>
              </w:rPr>
              <w:t xml:space="preserve"> </w:t>
            </w:r>
            <w:r>
              <w:rPr>
                <w:b/>
                <w:sz w:val="16"/>
              </w:rPr>
              <w:t>INVIABILIZANDO-A.</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50"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54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EDUCAÇÃO</w:t>
            </w:r>
          </w:p>
        </w:tc>
      </w:tr>
      <w:tr>
        <w:trPr>
          <w:trHeight w:val="46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90" w:type="dxa"/>
            <w:gridSpan w:val="6"/>
            <w:tcBorders>
              <w:left w:val="single" w:sz="6" w:color="000000"/>
              <w:top w:val="single" w:sz="6" w:color="000000"/>
              <w:right w:val="single" w:sz="6" w:color="000000"/>
              <w:bottom w:val="single" w:sz="6" w:color="000000"/>
            </w:tcBorders>
          </w:tcPr>
          <w:p>
            <w:pPr>
              <w:jc w:val="both"/>
              <w:keepLines/>
              <w:keepNext/>
              <w:ind w:left="75" w:right="-30" w:hanging="75"/>
            </w:pPr>
            <w:r>
              <w:rPr>
                <w:sz w:val="16"/>
              </w:rPr>
              <w:t>REMANEJAMENTO DO QUADRO DE PESSOAL DO ÓRGÃO,</w:t>
            </w:r>
            <w:r>
              <w:rPr>
                <w:sz w:val="16"/>
                <w:spacing w:val="-2"/>
              </w:rPr>
              <w:t xml:space="preserve"> </w:t>
            </w:r>
            <w:r>
              <w:rPr>
                <w:sz w:val="16"/>
              </w:rPr>
              <w:t>EVITANDO SOBRECARGA DE TRABALHO</w:t>
            </w:r>
          </w:p>
        </w:tc>
        <w:tc>
          <w:tcPr>
            <w:tcW w:w="4050"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DEVOLVER O PROCESSO AO DEMANDANTE PARA CONFERIR, REVISAR OU RATIFICAR O TERMO DE REFERÊNCIA/ESTUDO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DEMANDANTE</w:t>
            </w:r>
          </w:p>
        </w:tc>
      </w:tr>
      <w:tr>
        <w:trPr>
          <w:trHeight w:val="43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REALIZAR ANÁLISE, CONFERÊNCIA E REVISÃO DOS</w:t>
            </w:r>
            <w:r>
              <w:rPr>
                <w:sz w:val="16"/>
                <w:spacing w:val="-2"/>
              </w:rPr>
              <w:t xml:space="preserve"> </w:t>
            </w:r>
            <w:r>
              <w:rPr>
                <w:sz w:val="16"/>
              </w:rPr>
              <w:t>TERMOS DE REFERÊNCIA/ESTUDOS APRESENTADOS.</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575"/>
        <w:gridCol w:w="1005"/>
        <w:gridCol w:w="480"/>
        <w:gridCol w:w="1275"/>
        <w:gridCol w:w="1305"/>
        <w:gridCol w:w="105"/>
        <w:gridCol w:w="1740"/>
        <w:gridCol w:w="2325"/>
        <w:gridCol w:w="30"/>
      </w:tblGrid>
      <w:tr>
        <w:trPr>
          <w:trHeight w:val="285" w:hRule="atLeast"/>
        </w:trPr>
        <w:tc>
          <w:tcPr>
            <w:tcW w:w="1081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04. ESTIMATIVA INADEQUADA DO VALOR DE REFERÊNCIA DA CONTRATAÇÃO.</w:t>
            </w:r>
          </w:p>
        </w:tc>
        <w:tc>
          <w:tcPr>
            <w:tcW w:w="30" w:type="dxa"/>
            <w:tcBorders>
              <w:left w:val="nil"/>
              <w:top w:val="nil"/>
              <w:right w:val="nil"/>
              <w:bottom w:val="nil"/>
            </w:tcBorders>
          </w:tcPr>
          <w:p>
            <w:r>
              <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1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1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UTILIZAÇÃO DE PARÂMETROS INADEQUADOS PARA ANALISAR A VIABILIDADE DA CONTRATAÇÃO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9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COM ACUIDADE O LEVANTAMENTO DE QUANTITATIVOS E OS PREÇOS, ASSIM COMO CONFERIR TODOS OS DADOS QUANDO DA ELABORAÇÃO DO VALOR DE REFERÊNCIA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EDUCAÇÃO</w:t>
            </w:r>
          </w:p>
        </w:tc>
        <w:tc>
          <w:tcPr>
            <w:tcW w:w="30" w:type="dxa"/>
            <w:tcBorders>
              <w:left w:val="nil"/>
              <w:top w:val="nil"/>
              <w:right w:val="nil"/>
              <w:bottom w:val="nil"/>
            </w:tcBorders>
          </w:tcPr>
          <w:p>
            <w:r>
              <w:t/>
            </w:r>
          </w:p>
        </w:tc>
      </w:tr>
      <w:tr>
        <w:trPr>
          <w:trHeight w:val="31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METODOLOGIA PARA A REALIZAÇÃO DE</w:t>
            </w:r>
            <w:r>
              <w:rPr>
                <w:sz w:val="16"/>
                <w:spacing w:val="-2"/>
              </w:rPr>
              <w:t xml:space="preserve"> </w:t>
            </w:r>
            <w:r>
              <w:rPr>
                <w:sz w:val="16"/>
              </w:rPr>
              <w:t>PESQUISA DE PREÇOS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c>
          <w:tcPr>
            <w:tcW w:w="30" w:type="dxa"/>
            <w:tcBorders>
              <w:left w:val="nil"/>
              <w:top w:val="nil"/>
              <w:right w:val="nil"/>
              <w:bottom w:val="nil"/>
            </w:tcBorders>
          </w:tcPr>
          <w:p>
            <w:r>
              <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10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NOVA CONFERÊNCIA DA PLANILHA ORÇAMENTÁRIA, DOS QUANTITATIVOS PREVISTOS NO ESTUDO TÉCNICO PRELIMINAR, TERMO DE REFERÊNCIA, ANTES DA PUBLICAÇÃO DO EDITAL, POR OUTRO SERVIDOR COM CONHECIMENTO TÉCNICO DO OBJETO.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EDUCAÇÃO</w:t>
            </w:r>
          </w:p>
        </w:tc>
        <w:tc>
          <w:tcPr>
            <w:tcW w:w="30" w:type="dxa"/>
            <w:tcBorders>
              <w:left w:val="nil"/>
              <w:top w:val="nil"/>
              <w:right w:val="nil"/>
              <w:bottom w:val="nil"/>
            </w:tcBorders>
          </w:tcPr>
          <w:p>
            <w:r>
              <w:t/>
            </w:r>
          </w:p>
        </w:tc>
      </w:tr>
    </w:tbl>
    <w:p>
      <w:pPr>
        <w:keepLines/>
        <w:keepNext/>
        <w:ind w:right="-30"/>
      </w:pPr>
      <w:r>
        <w:rPr>
          <w:sz w:val="22"/>
        </w:rPr>
        <w:t/>
      </w:r>
    </w:p>
    <w:p>
      <w:pPr>
        <w:keepLines/>
        <w:keepNext/>
        <w:ind w:right="-30"/>
      </w:pPr>
      <w:r>
        <w:rPr>
          <w:sz w:val="22"/>
        </w:rPr>
        <w:t/>
      </w:r>
    </w:p>
    <w:p>
      <w:pPr>
        <w:jc w:val="center"/>
        <w:ind w:right="15"/>
        <w:spacing w:before="45"/>
      </w:pPr>
      <w:r>
        <w:rPr>
          <w:b/>
          <w:sz w:val="22"/>
        </w:rPr>
        <w:t>FASE DE ANÁLISE - SELEÇÃO DO FORNECEDOR</w:t>
      </w:r>
    </w:p>
    <w:p>
      <w:pPr>
        <w:jc w:val="center"/>
        <w:ind w:right="15"/>
        <w:spacing w:before="45"/>
      </w:pPr>
      <w:r>
        <w:rPr>
          <w:b/>
          <w:sz w:val="22"/>
        </w:rPr>
        <w:t/>
      </w:r>
    </w:p>
    <w:p>
      <w:pPr>
        <w:keepLines/>
        <w:keepNext/>
        <w:ind w:right="-30"/>
      </w:pPr>
      <w:r>
        <w:rPr>
          <w:sz w:val="22"/>
        </w:rPr>
        <w:t/>
      </w:r>
    </w:p>
    <w:p>
      <w:pPr>
        <w:keepLines/>
        <w:keepNext/>
        <w:ind w:right="-30"/>
      </w:pPr>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tbl>
      <w:tblPr>
        <w:tblW w:w="10845" w:type="dxa"/>
        <w:tblLayout w:type="fixed"/>
        <w:tblCellMar>
          <w:top w:w="0" w:type="dxa"/>
          <w:left w:w="0" w:type="dxa"/>
          <w:bottom w:w="0" w:type="dxa"/>
          <w:right w:w="0" w:type="dxa"/>
        </w:tblCellMar>
        <w:tblInd w:w="45" w:type="dxa"/>
      </w:tblPr>
      <w:tblGrid>
        <w:gridCol w:w="975"/>
        <w:gridCol w:w="1575"/>
        <w:gridCol w:w="1005"/>
        <w:gridCol w:w="480"/>
        <w:gridCol w:w="1230"/>
        <w:gridCol w:w="1365"/>
        <w:gridCol w:w="60"/>
        <w:gridCol w:w="1755"/>
        <w:gridCol w:w="2355"/>
        <w:gridCol w:w="30"/>
      </w:tblGrid>
      <w:tr>
        <w:trPr>
          <w:trHeight w:val="28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CONTRATAÇÃO DE EMPRESA QUE NÃO TENHA CAPACIDADE DE EXECUTAR O CONTRATO.</w:t>
            </w:r>
          </w:p>
        </w:tc>
        <w:tc>
          <w:tcPr>
            <w:tcW w:w="30" w:type="dxa"/>
            <w:tcBorders>
              <w:left w:val="nil"/>
              <w:top w:val="nil"/>
              <w:right w:val="nil"/>
              <w:bottom w:val="nil"/>
            </w:tcBorders>
          </w:tcPr>
          <w:p>
            <w:r>
              <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1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4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OBTENÇÃO DO OBJETO CONTRATADO E DESCUMPRIMENTO, PELA CONTRATADA, DAS OBRIGAÇÕES</w:t>
            </w:r>
            <w:r>
              <w:rPr>
                <w:b/>
                <w:sz w:val="16"/>
                <w:spacing w:val="-2"/>
              </w:rPr>
              <w:t xml:space="preserve"> </w:t>
            </w:r>
            <w:r>
              <w:rPr>
                <w:b/>
                <w:sz w:val="16"/>
              </w:rPr>
              <w:t>PREVISTAS EM LEGISLAÇÃO ESPECÍFICA E NO CONTRATO.</w:t>
            </w:r>
          </w:p>
        </w:tc>
        <w:tc>
          <w:tcPr>
            <w:tcW w:w="30" w:type="dxa"/>
            <w:tcBorders>
              <w:left w:val="nil"/>
              <w:top w:val="nil"/>
              <w:right w:val="nil"/>
              <w:bottom w:val="nil"/>
            </w:tcBorders>
          </w:tcPr>
          <w:p>
            <w:r>
              <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ANALISAR CRITERIOSAMENTE OS CRITÉRIOS DE QUALIFICAÇÃO ECONÔMICO-FINANCEIRA DA EMPRESA</w:t>
            </w:r>
            <w:r>
              <w:rPr>
                <w:sz w:val="16"/>
                <w:spacing w:val="-2"/>
              </w:rPr>
              <w:t xml:space="preserve"> </w:t>
            </w:r>
            <w:r>
              <w:rPr>
                <w:sz w:val="16"/>
              </w:rPr>
              <w:t>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39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15" w:type="dxa"/>
            <w:gridSpan w:val="6"/>
            <w:tcBorders>
              <w:left w:val="single" w:sz="6" w:color="000000"/>
              <w:top w:val="single" w:sz="6" w:color="000000"/>
              <w:right w:val="single" w:sz="6" w:color="000000"/>
              <w:bottom w:val="single" w:sz="6" w:color="000000"/>
            </w:tcBorders>
          </w:tcPr>
          <w:p>
            <w:pPr>
              <w:keepLines/>
              <w:keepNext/>
              <w:ind w:right="-30"/>
            </w:pPr>
            <w:r>
              <w:rPr>
                <w:sz w:val="16"/>
              </w:rPr>
              <w:t>ANALISAR CRITERIOSAMENTE OS CRITÉRIOS DE QUALIFICAÇÃO TÉCNICA DA EMPRESA 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19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60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ANÁLISE CRITERIOSA DA QUALIFICAÇÃO ECONÔMICO-</w:t>
            </w:r>
            <w:r>
              <w:rPr>
                <w:sz w:val="16"/>
                <w:spacing w:val="-2"/>
              </w:rPr>
              <w:t xml:space="preserve"> </w:t>
            </w:r>
            <w:r>
              <w:rPr>
                <w:sz w:val="16"/>
              </w:rPr>
              <w:t>FINANCEIRA DA LICITANTE POR SERVIDOR COM CONHECIMENTO TÉCNICO EM CONTABILIDADE E EM BALANÇOS PATRIMINIAIS</w:t>
            </w:r>
          </w:p>
        </w:tc>
        <w:tc>
          <w:tcPr>
            <w:tcW w:w="411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keepLines/>
              <w:keepNext/>
              <w:ind w:right="-30"/>
            </w:pPr>
            <w:r>
              <w:rPr>
                <w:sz w:val="16"/>
              </w:rPr>
              <w:t/>
            </w:r>
          </w:p>
          <w:p>
            <w:pPr>
              <w:jc w:val="center"/>
              <w:keepLines/>
              <w:keepNext/>
              <w:ind w:right="-30"/>
            </w:pPr>
            <w:r>
              <w:rPr>
                <w:sz w:val="16"/>
              </w:rPr>
              <w:t>AGENTE DE CONTRATAÇÃO / CONTABILIDADE</w:t>
            </w:r>
          </w:p>
        </w:tc>
        <w:tc>
          <w:tcPr>
            <w:tcW w:w="30" w:type="dxa"/>
            <w:tcBorders>
              <w:left w:val="nil"/>
              <w:top w:val="nil"/>
              <w:right w:val="nil"/>
              <w:bottom w:val="nil"/>
            </w:tcBorders>
          </w:tcPr>
          <w:p>
            <w:r>
              <w:t/>
            </w:r>
          </w:p>
        </w:tc>
      </w:tr>
    </w:tbl>
    <w:p>
      <w:pPr>
        <w:keepLines/>
        <w:keepNext/>
        <w:ind w:right="-30"/>
      </w:pPr>
      <w:r>
        <w:rPr>
          <w:sz w:val="22"/>
        </w:rPr>
        <w:t/>
      </w:r>
    </w:p>
    <w:p>
      <w:pPr>
        <w:keepLines/>
        <w:keepNext/>
        <w:ind w:right="-30"/>
      </w:pPr>
      <w:r>
        <w:rPr>
          <w:sz w:val="22"/>
        </w:rPr>
        <w:t/>
      </w:r>
    </w:p>
    <w:tbl>
      <w:tblPr>
        <w:tblW w:w="10815" w:type="dxa"/>
        <w:tblLayout w:type="fixed"/>
        <w:tblCellMar>
          <w:top w:w="0" w:type="dxa"/>
          <w:left w:w="0" w:type="dxa"/>
          <w:bottom w:w="0" w:type="dxa"/>
          <w:right w:w="0" w:type="dxa"/>
        </w:tblCellMar>
        <w:tblInd w:w="45" w:type="dxa"/>
      </w:tblPr>
      <w:tblGrid>
        <w:gridCol w:w="975"/>
        <w:gridCol w:w="1575"/>
        <w:gridCol w:w="1005"/>
        <w:gridCol w:w="480"/>
        <w:gridCol w:w="1275"/>
        <w:gridCol w:w="1275"/>
        <w:gridCol w:w="90"/>
        <w:gridCol w:w="1755"/>
        <w:gridCol w:w="2370"/>
      </w:tblGrid>
      <w:tr>
        <w:trPr>
          <w:trHeight w:val="46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QUESTIONAMENTOS NO CERTAME (RECURSOS,</w:t>
            </w:r>
            <w:r>
              <w:rPr>
                <w:b/>
                <w:sz w:val="16"/>
                <w:spacing w:val="1"/>
              </w:rPr>
              <w:t xml:space="preserve"> </w:t>
            </w:r>
            <w:r>
              <w:rPr>
                <w:b/>
                <w:sz w:val="16"/>
              </w:rPr>
              <w:t>IMPUGNAÇÕES) E JUNTO A ÓRGÃOS EXTERNOS (PODER</w:t>
            </w:r>
            <w:r>
              <w:rPr>
                <w:b/>
                <w:sz w:val="16"/>
                <w:spacing w:val="-2"/>
              </w:rPr>
              <w:t xml:space="preserve"> </w:t>
            </w:r>
            <w:r>
              <w:rPr>
                <w:b/>
                <w:sz w:val="16"/>
              </w:rPr>
              <w:t>JUDICIÁRIO, TCU)</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keepLines/>
              <w:keepNext/>
              <w:ind w:right="-30"/>
            </w:pPr>
            <w:r>
              <w:rPr>
                <w:b/>
                <w:sz w:val="16"/>
              </w:rPr>
              <w:t>PARALISAÇÃO DO CERTAME ATÉ QUE A EXIGÊNCIA SEJA COMPREENDIDA / SANADA</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21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ADOÇÃO DE EDITAL CONFORME AS PREMISSAS DA LEI 14133/2021</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AGENTE DE CONTRATAÇÃO</w:t>
            </w:r>
          </w:p>
        </w:tc>
      </w:tr>
      <w:tr>
        <w:trPr>
          <w:trHeight w:val="5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INCLUIR REFERÊNCIAS A DISPOSITIVOS LEGAIS E/OU JURISPRUDÊNCIAS QUE FUNDAMENTEM A INCLUSÃO DE EXIGÊNCIAS NÃO USUAIS NA CONTRATAÇÃO</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
            </w:r>
          </w:p>
          <w:p>
            <w:pPr>
              <w:jc w:val="center"/>
            </w:pPr>
            <w:r>
              <w:rPr>
                <w:i/>
                <w:sz w:val="16"/>
              </w:rPr>
              <w:t>SECRETARIA MUNICIPAL DE EDUCAÇÃO</w:t>
            </w:r>
          </w:p>
        </w:tc>
      </w:tr>
      <w:tr>
        <w:trPr>
          <w:trHeight w:val="18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1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sz w:val="16"/>
              </w:rPr>
              <w:t>CRIAR UM NÍVEL DE REVISÃO E SUPERVISÃO DOS</w:t>
            </w:r>
            <w:r>
              <w:rPr>
                <w:sz w:val="16"/>
                <w:spacing w:val="-2"/>
              </w:rPr>
              <w:t xml:space="preserve"> </w:t>
            </w:r>
            <w:r>
              <w:rPr>
                <w:sz w:val="16"/>
              </w:rPr>
              <w:t>EDITAIS</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SETOR DE LICITAÇÕES</w:t>
            </w:r>
          </w:p>
        </w:tc>
      </w:tr>
    </w:tbl>
    <w:p>
      <w:pPr>
        <w:keepLines/>
        <w:keepNext/>
        <w:ind w:right="-30"/>
      </w:pPr>
      <w:r>
        <w:rPr>
          <w:sz w:val="22"/>
        </w:rPr>
        <w:t/>
      </w:r>
    </w:p>
    <w:p>
      <w:pPr>
        <w:keepLines/>
        <w:keepNext/>
        <w:ind w:right="-30"/>
      </w:pPr>
      <w:r>
        <w:rPr>
          <w:sz w:val="22"/>
        </w:rPr>
        <w:t/>
      </w:r>
    </w:p>
    <w:tbl>
      <w:tblPr>
        <w:tblW w:w="10785" w:type="dxa"/>
        <w:tblLayout w:type="fixed"/>
        <w:tblCellMar>
          <w:top w:w="0" w:type="dxa"/>
          <w:left w:w="0" w:type="dxa"/>
          <w:bottom w:w="0" w:type="dxa"/>
          <w:right w:w="0" w:type="dxa"/>
        </w:tblCellMar>
        <w:tblInd w:w="30" w:type="dxa"/>
      </w:tblPr>
      <w:tblGrid>
        <w:gridCol w:w="990"/>
        <w:gridCol w:w="1605"/>
        <w:gridCol w:w="1005"/>
        <w:gridCol w:w="495"/>
        <w:gridCol w:w="1245"/>
        <w:gridCol w:w="1275"/>
        <w:gridCol w:w="120"/>
        <w:gridCol w:w="1875"/>
        <w:gridCol w:w="2160"/>
      </w:tblGrid>
      <w:tr>
        <w:trPr>
          <w:trHeight w:val="285" w:hRule="atLeast"/>
        </w:trPr>
        <w:tc>
          <w:tcPr>
            <w:tcW w:w="1077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03. LICITAÇÃO DESERTA</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8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18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80" w:type="dxa"/>
            <w:gridSpan w:val="8"/>
            <w:tcBorders>
              <w:left w:val="single" w:sz="6" w:color="000000"/>
              <w:top w:val="single" w:sz="6" w:color="000000"/>
              <w:right w:val="single" w:sz="6" w:color="000000"/>
              <w:bottom w:val="single" w:sz="6" w:color="000000"/>
            </w:tcBorders>
          </w:tcPr>
          <w:p>
            <w:pPr>
              <w:keepLines/>
              <w:keepNext/>
              <w:ind w:right="-30"/>
            </w:pPr>
            <w:r>
              <w:rPr>
                <w:b/>
                <w:sz w:val="16"/>
              </w:rPr>
              <w:t>RETRABALHO PARA REALIZAR A CONTRATAÇÃO OU NÃO ATENDIMENTO DA NECESSIDADE QUE A ORIGINOU</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LEVANTAMENTO DE MERCADO COMO</w:t>
            </w:r>
            <w:r>
              <w:rPr>
                <w:sz w:val="16"/>
                <w:spacing w:val="-2"/>
              </w:rPr>
              <w:t xml:space="preserve"> </w:t>
            </w:r>
            <w:r>
              <w:rPr>
                <w:sz w:val="16"/>
              </w:rPr>
              <w:t>UMAS DAS FASES DO ESTUDO TÉCNICO PRELIMINAR</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66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A LICITAÇÃO COM MÁXIMA ANTECEDÊNCIA, DE MODO A SER POSSÍVEL REPETIR TODO O PROCESSO EM TEMPO HÁBIL PARA EXECUTAR A CONTRATAÇÃO NO MESMO EXERCÍCIO</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bl>
    <w:p>
      <w:pPr>
        <w:keepLines/>
        <w:keepNext/>
        <w:ind w:right="-30"/>
      </w:pPr>
      <w:r>
        <w:rPr>
          <w:sz w:val="22"/>
        </w:rPr>
        <w:t/>
      </w:r>
    </w:p>
    <w:p>
      <w:pPr>
        <w:keepLines/>
        <w:keepNext/>
        <w:ind w:right="-30"/>
      </w:pPr>
      <w:r>
        <w:rPr>
          <w:sz w:val="22"/>
        </w:rPr>
        <w:t/>
      </w:r>
    </w:p>
    <w:p>
      <w:pPr>
        <w:jc w:val="center"/>
        <w:ind w:right="15"/>
        <w:spacing w:before="45"/>
      </w:pPr>
      <w:r>
        <w:rPr>
          <w:b/>
          <w:sz w:val="22"/>
        </w:rPr>
        <w:t>FASE DE CONTRATAÇÃO</w:t>
      </w:r>
    </w:p>
    <w:p>
      <w:pPr>
        <w:jc w:val="center"/>
        <w:ind w:right="15"/>
        <w:spacing w:before="45"/>
      </w:pPr>
      <w:r>
        <w:rPr>
          <w:b/>
          <w:sz w:val="22"/>
        </w:rPr>
        <w:t/>
      </w:r>
    </w:p>
    <w:p>
      <w:pPr>
        <w:jc w:val="center"/>
        <w:ind w:right="15"/>
        <w:spacing w:before="45"/>
      </w:pPr>
      <w:r>
        <w:rPr>
          <w:rFonts w:ascii="Times New Roman" w:hAnsi="Times New Roman" w:cs="Times New Roman" w:eastAsia="Times New Roman"/>
          <w:sz w:val="22"/>
        </w:rPr>
        <w:t/>
      </w:r>
    </w:p>
    <w:p>
      <w:pPr>
        <w:keepLines/>
        <w:keepNext/>
        <w:ind w:right="-30"/>
      </w:pPr>
      <w: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0" cy="0"/>
                    </a:xfrm>
                    <a:prstGeom prst="rect">
                      <a:avLst/>
                    </a:prstGeom>
                  </pic:spPr>
                </pic:pic>
              </a:graphicData>
            </a:graphic>
          </wp:inline>
        </w:drawing>
      </w:r>
    </w:p>
    <w:tbl>
      <w:tblPr>
        <w:tblW w:w="10770" w:type="dxa"/>
        <w:tblLayout w:type="fixed"/>
        <w:tblCellMar>
          <w:top w:w="0" w:type="dxa"/>
          <w:left w:w="0" w:type="dxa"/>
          <w:bottom w:w="0" w:type="dxa"/>
          <w:right w:w="0" w:type="dxa"/>
        </w:tblCellMar>
        <w:tblInd w:w="30" w:type="dxa"/>
      </w:tblPr>
      <w:tblGrid>
        <w:gridCol w:w="30"/>
        <w:gridCol w:w="975"/>
        <w:gridCol w:w="1590"/>
        <w:gridCol w:w="1005"/>
        <w:gridCol w:w="480"/>
        <w:gridCol w:w="1260"/>
        <w:gridCol w:w="1230"/>
        <w:gridCol w:w="180"/>
        <w:gridCol w:w="1680"/>
        <w:gridCol w:w="2325"/>
      </w:tblGrid>
      <w:tr>
        <w:trPr>
          <w:trHeight w:val="285" w:hRule="atLeast"/>
        </w:trPr>
        <w:tc>
          <w:tcPr>
            <w:tcBorders>
              <w:left w:val="nil"/>
              <w:top w:val="nil"/>
              <w:right w:val="nil"/>
              <w:bottom w:val="nil"/>
            </w:tcBorders>
          </w:tcPr>
          <w:p>
            <w:r>
              <w:t/>
            </w:r>
          </w:p>
        </w:tc>
        <w:tc>
          <w:tcPr>
            <w:tcW w:w="10725"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FORMALIZAÇÃO INCORRETA DO TERMO CONTRATUAL</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6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5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50" w:type="dxa"/>
            <w:gridSpan w:val="8"/>
            <w:tcBorders>
              <w:left w:val="single" w:sz="6" w:color="000000"/>
              <w:top w:val="single" w:sz="6" w:color="000000"/>
              <w:right w:val="single" w:sz="6" w:color="000000"/>
              <w:bottom w:val="single" w:sz="6" w:color="000000"/>
            </w:tcBorders>
          </w:tcPr>
          <w:p>
            <w:pPr>
              <w:keepLines/>
              <w:keepNext/>
              <w:ind w:right="-30"/>
            </w:pPr>
            <w:r>
              <w:rPr>
                <w:b/>
                <w:sz w:val="16"/>
              </w:rPr>
              <w:t>PROBLEMAS CONSTANTES NA EXECUÇÃO DO OBJETO, QUER POR FALTA, QUER POR EXCESSO DE CLÁUSULAS</w:t>
            </w:r>
            <w:r>
              <w:rPr>
                <w:b/>
                <w:sz w:val="16"/>
                <w:spacing w:val="-2"/>
              </w:rPr>
              <w:t xml:space="preserve"> </w:t>
            </w:r>
            <w:r>
              <w:rPr>
                <w:b/>
                <w:sz w:val="16"/>
              </w:rPr>
              <w:t>CONTRATUAIS</w:t>
            </w:r>
            <w:r>
              <w:rPr>
                <w:sz w:val="16"/>
              </w:rPr>
              <w:t>.</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55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LEVANTAMENTO PRÉVIO E CONFERIR ATENTAMENTE AS INFORMAÇÕES ANTES DA PUBLICAÇÃO DO EDITAL COM A MINUTA DO CONTRATO E ANTES DA ASSINATURA DO CONTRATO.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CRIAR NÍVEL DE REVISÃO NOS PROCEDIMENTOS DE ELABORAÇÃO DE MINUTA CONTRATUAL E CONTRATO</w:t>
            </w:r>
            <w:r>
              <w:rPr>
                <w:sz w:val="16"/>
                <w:spacing w:val="-2"/>
              </w:rPr>
              <w:t xml:space="preserve"> </w:t>
            </w:r>
            <w:r>
              <w:rPr>
                <w:sz w:val="16"/>
              </w:rPr>
              <w:t>PROPRIAMENTE DITO.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755" w:type="dxa"/>
        <w:tblLayout w:type="fixed"/>
        <w:tblCellMar>
          <w:top w:w="0" w:type="dxa"/>
          <w:left w:w="0" w:type="dxa"/>
          <w:bottom w:w="0" w:type="dxa"/>
          <w:right w:w="0" w:type="dxa"/>
        </w:tblCellMar>
        <w:tblInd w:w="45" w:type="dxa"/>
      </w:tblPr>
      <w:tblGrid>
        <w:gridCol w:w="975"/>
        <w:gridCol w:w="1590"/>
        <w:gridCol w:w="1005"/>
        <w:gridCol w:w="480"/>
        <w:gridCol w:w="1290"/>
        <w:gridCol w:w="1305"/>
        <w:gridCol w:w="60"/>
        <w:gridCol w:w="1875"/>
        <w:gridCol w:w="2160"/>
      </w:tblGrid>
      <w:tr>
        <w:trPr>
          <w:trHeight w:val="285" w:hRule="atLeast"/>
        </w:trPr>
        <w:tc>
          <w:tcPr>
            <w:tcW w:w="1074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FISCAL COM POUCO TEMPO PARA EXECUTAR SUAS ATRIBUIÇÕES REFERENTES AO CONTRATO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9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6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6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ACOMPANHAMENTO DE VÁRIOS ASPECTOS IMPORTANTES DA CONTRATAÇÃO OU RECEBIMENTO DE</w:t>
            </w:r>
            <w:r>
              <w:rPr>
                <w:b/>
                <w:sz w:val="16"/>
                <w:spacing w:val="-2"/>
              </w:rPr>
              <w:t xml:space="preserve"> </w:t>
            </w:r>
            <w:r>
              <w:rPr>
                <w:b/>
                <w:sz w:val="16"/>
              </w:rPr>
              <w:t>SERVIÇOS EM DESCONFORMIDADE COM ESPECIFICAÇÕES TÉCNICAS</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 VÁRIOS</w:t>
            </w:r>
            <w:r>
              <w:rPr>
                <w:sz w:val="16"/>
                <w:spacing w:val="3"/>
              </w:rPr>
              <w:t xml:space="preserve"> </w:t>
            </w:r>
            <w:r>
              <w:rPr>
                <w:sz w:val="16"/>
              </w:rPr>
              <w:t>SERVIDORES DO TRIBUNAL</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22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3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bl>
    <w:p>
      <w:pPr>
        <w:keepLines/>
        <w:keepNext/>
        <w:ind w:right="-30"/>
      </w:pPr>
      <w:r>
        <w:rPr>
          <w:sz w:val="22"/>
        </w:rPr>
        <w:t/>
      </w:r>
    </w:p>
    <w:p>
      <w:pPr>
        <w:keepLines/>
        <w:keepNext/>
        <w:ind w:right="-30"/>
      </w:pPr>
      <w:r>
        <w:rPr>
          <w:sz w:val="22"/>
        </w:rPr>
        <w:t/>
      </w:r>
    </w:p>
    <w:tbl>
      <w:tblPr>
        <w:tblW w:w="10740" w:type="dxa"/>
        <w:tblLayout w:type="fixed"/>
        <w:tblCellMar>
          <w:top w:w="0" w:type="dxa"/>
          <w:left w:w="0" w:type="dxa"/>
          <w:bottom w:w="0" w:type="dxa"/>
          <w:right w:w="0" w:type="dxa"/>
        </w:tblCellMar>
        <w:tblInd w:w="30" w:type="dxa"/>
      </w:tblPr>
      <w:tblGrid>
        <w:gridCol w:w="30"/>
        <w:gridCol w:w="960"/>
        <w:gridCol w:w="1635"/>
        <w:gridCol w:w="1005"/>
        <w:gridCol w:w="495"/>
        <w:gridCol w:w="1170"/>
        <w:gridCol w:w="1350"/>
        <w:gridCol w:w="135"/>
        <w:gridCol w:w="1860"/>
        <w:gridCol w:w="2085"/>
      </w:tblGrid>
      <w:tr>
        <w:trPr>
          <w:trHeight w:val="285" w:hRule="atLeast"/>
        </w:trPr>
        <w:tc>
          <w:tcPr>
            <w:tcW w:w="10725" w:type="dxa"/>
            <w:gridSpan w:val="10"/>
            <w:tcBorders>
              <w:left w:val="single" w:sz="6" w:color="000000"/>
              <w:top w:val="single" w:sz="6" w:color="000000"/>
              <w:right w:val="nil"/>
              <w:bottom w:val="single" w:sz="6" w:color="000000"/>
            </w:tcBorders>
            <w:shd w:val="clear" w:color="auto" w:fill="C0C0C0"/>
          </w:tcPr>
          <w:p>
            <w:pPr>
              <w:keepLines/>
              <w:keepNext/>
              <w:ind w:right="-30"/>
            </w:pPr>
            <w:r>
              <w:rPr>
                <w:b/>
                <w:sz w:val="16"/>
              </w:rPr>
              <w:t>RISCO 03. EXECUÇÃO DO OBJETO EM DESACORDO COM O CONTRATO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66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17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3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35" w:type="dxa"/>
            <w:gridSpan w:val="8"/>
            <w:tcBorders>
              <w:left w:val="single" w:sz="6" w:color="000000"/>
              <w:top w:val="single" w:sz="6" w:color="000000"/>
              <w:right w:val="single" w:sz="6" w:color="000000"/>
              <w:bottom w:val="single" w:sz="6" w:color="000000"/>
            </w:tcBorders>
          </w:tcPr>
          <w:p>
            <w:pPr>
              <w:keepLines/>
              <w:keepNext/>
              <w:ind w:right="-30"/>
            </w:pPr>
            <w:r>
              <w:rPr>
                <w:b/>
                <w:sz w:val="16"/>
              </w:rPr>
              <w:t>ATENDIMENTO INADEQUADO OU NÃO ATENDIMENTO DA NECESSIDADE</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2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394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21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3945" w:type="dxa"/>
            <w:gridSpan w:val="2"/>
            <w:tcBorders>
              <w:left w:val="single" w:sz="6" w:color="000000"/>
              <w:top w:val="single" w:sz="6" w:color="000000"/>
              <w:right w:val="single" w:sz="6" w:color="000000"/>
              <w:bottom w:val="single" w:sz="6" w:color="000000"/>
            </w:tcBorders>
          </w:tcPr>
          <w:p>
            <w:pPr>
              <w:jc w:val="center"/>
            </w:pPr>
            <w:r>
              <w:rPr>
                <w:i/>
                <w:sz w:val="16"/>
              </w:rPr>
              <w:t>SECRETARIA MUNICIPAL DE EDUCAÇÃO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390" w:hRule="atLeast"/>
        </w:trPr>
        <w:tc>
          <w:tcPr>
            <w:tcW w:w="99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w:t>
            </w:r>
            <w:r>
              <w:rPr>
                <w:sz w:val="16"/>
                <w:spacing w:val="3"/>
              </w:rPr>
              <w:t xml:space="preserve"> </w:t>
            </w:r>
            <w:r>
              <w:rPr>
                <w:sz w:val="16"/>
              </w:rPr>
              <w:t>SERVIDORES ENVOLVIDOS</w:t>
            </w:r>
          </w:p>
        </w:tc>
        <w:tc>
          <w:tcPr>
            <w:tcW w:w="3945"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pPr>
            <w:r>
              <w:rPr>
                <w:i/>
                <w:sz w:val="16"/>
              </w:rPr>
              <w:t>SECRETARIA MUNICIPAL DE EDUCAÇÃO</w:t>
            </w:r>
          </w:p>
        </w:tc>
      </w:tr>
    </w:tbl>
    <w:p>
      <w:pPr>
        <w:keepLines/>
        <w:keepNext/>
        <w:ind w:right="-30"/>
      </w:pPr>
      <w:r>
        <w:rPr>
          <w:sz w:val="22"/>
        </w:rPr>
        <w:t/>
      </w:r>
    </w:p>
    <w:p>
      <w:pPr>
        <w:keepLines/>
        <w:keepNext/>
        <w:ind w:right="-30"/>
      </w:pPr>
      <w:r>
        <w:rPr>
          <w:sz w:val="22"/>
        </w:rPr>
        <w:t/>
      </w:r>
    </w:p>
    <w:p>
      <w:pPr>
        <w:keepLines/>
        <w:keepNext/>
        <w:ind w:right="-30"/>
      </w:pPr>
      <w:r>
        <w:rPr>
          <w:sz w:val="22"/>
        </w:rPr>
        <w:t/>
      </w:r>
    </w:p>
    <w:p>
      <w:pPr>
        <w:keepLines/>
        <w:keepNext/>
        <w:ind w:right="-30"/>
      </w:pPr>
      <w:r>
        <w:rPr>
          <w:sz w:val="22"/>
        </w:rPr>
        <w:t/>
      </w:r>
    </w:p>
    <w:p>
      <w:pPr>
        <w:jc w:val="right"/>
        <w:keepLines/>
        <w:keepNext/>
        <w:ind w:right="-30"/>
      </w:pPr>
      <w:r>
        <w:rPr>
          <w:sz w:val="22"/>
        </w:rPr>
        <w:t>Guairaçá-Pr, 29 de julho de 2024.</w:t>
      </w:r>
    </w:p>
    <w:p>
      <w:pPr>
        <w:jc w:val="right"/>
        <w:keepLines/>
        <w:keepNext/>
        <w:ind w:right="-30"/>
      </w:pPr>
      <w:r>
        <w:rPr>
          <w:sz w:val="22"/>
        </w:rPr>
        <w:t/>
      </w:r>
    </w:p>
    <w:p>
      <w:pPr>
        <w:jc w:val="right"/>
        <w:keepLines/>
        <w:keepNext/>
        <w:ind w:right="-30"/>
      </w:pPr>
      <w:r>
        <w:rPr>
          <w:sz w:val="22"/>
        </w:rPr>
        <w:t/>
      </w:r>
    </w:p>
    <w:p>
      <w:pPr>
        <w:jc w:val="right"/>
        <w:keepLines/>
        <w:keepNext/>
        <w:ind w:right="-30"/>
      </w:pPr>
      <w:r>
        <w:rPr>
          <w:sz w:val="22"/>
          <w:color w:val="FF0000"/>
        </w:rPr>
        <w:t/>
      </w:r>
    </w:p>
    <w:p>
      <w:pPr>
        <w:jc w:val="right"/>
        <w:keepLines/>
        <w:keepNext/>
        <w:ind w:right="-30"/>
      </w:pPr>
      <w:r>
        <w:rPr>
          <w:sz w:val="22"/>
        </w:rPr>
        <w:t/>
      </w:r>
    </w:p>
    <w:p>
      <w:pPr>
        <w:jc w:val="right"/>
        <w:keepLines/>
        <w:keepNext/>
        <w:ind w:right="-30"/>
      </w:pPr>
      <w:r>
        <w:rPr>
          <w:sz w:val="22"/>
        </w:rPr>
        <w:t/>
      </w:r>
    </w:p>
    <w:p>
      <w:pPr>
        <w:jc w:val="center"/>
        <w:keepLines/>
        <w:keepNext/>
        <w:ind w:right="-30"/>
      </w:pPr>
      <w:r>
        <w:rPr>
          <w:b/>
          <w:sz w:val="22"/>
        </w:rPr>
        <w:t>_________________________</w:t>
      </w:r>
    </w:p>
    <w:p>
      <w:pPr>
        <w:jc w:val="center"/>
        <w:keepLines/>
        <w:keepNext/>
        <w:ind w:right="-30"/>
      </w:pPr>
      <w:r>
        <w:rPr>
          <w:b/>
          <w:sz w:val="22"/>
        </w:rPr>
        <w:t>SILVANA APARECIDA DE SOUZA MINUZZO</w:t>
      </w:r>
    </w:p>
    <w:p>
      <w:pPr>
        <w:jc w:val="center"/>
        <w:keepLines/>
        <w:keepNext/>
        <w:ind w:right="-30"/>
      </w:pPr>
      <w:r>
        <w:rPr>
          <w:b/>
          <w:i/>
          <w:sz w:val="22"/>
        </w:rPr>
        <w:t>SECRETARIA MUNICIPAL DE EDUCAÇÃO</w:t>
      </w:r>
    </w:p>
    <w:sectPr>
      <w:headerReference w:type="default" r:id="rIdHF0"/>
      <w:footerReference w:type="default" r:id="rIdHF1"/>
      <w:pgSz w:w="11906" w:h="16838"/>
      <w:pgMar w:top="340" w:right="340" w:bottom="340" w:left="34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widowControl/>
    </w:pPr>
    <w:r>
      <w:drawing>
        <wp:inline distT="0" distB="0" distL="0" distR="0">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p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Set" Type="http://schemas.openxmlformats.org/officeDocument/2006/relationships/settings" Target="settings.xm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s>
</file>

<file path=word/_rels/header.xml.rels><?xml version="1.0" encoding="UTF-8" standalone="yes"?>
<Relationships xmlns="http://schemas.openxmlformats.org/package/2006/relationships"><Relationship Id="prId1" Type="http://schemas.openxmlformats.org/officeDocument/2006/relationships/image" Target="media/img1.emf"/></Relationships>
</file>