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emf" ContentType="image/x-emf"/>
  <Default Extension="jpg" ContentType="image/jp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center"/>
        <w:outlineLvl w:val="0"/>
        <w:keepLines/>
        <w:keepNext/>
        <w:ind w:right="-30"/>
      </w:pPr>
      <w:bookmarkStart w:id="0" w:name="OLE_LINK2"/>
      <w:bookmarkEnd w:id="0"/>
      <w:r>
        <w:rPr>
          <w:b/>
          <w:u w:val="single" w:color="000000"/>
          <w:sz w:val="22"/>
        </w:rPr>
        <w:t>ESTUDO TÉCNICO PRELIMINAR – ETP</w:t>
      </w:r>
    </w:p>
    <w:p>
      <w:pPr>
        <w:jc w:val="both"/>
        <w:keepLines/>
        <w:keepNext/>
        <w:ind w:right="-30"/>
      </w:pPr>
      <w:r>
        <w:rPr>
          <w:b/>
          <w:sz w:val="22"/>
        </w:rPr>
        <w:t xml:space="preserve">    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OBJETO: REGISTRO DE PREÇOS PARA FUTURA E EVENTUAL AQUISIÇÃO DE KIT NATALIDADE PARA ATENDER OS PROJETOS SOCIAIS EM ATENÇÃO À SECRETARIA MUNICIPAL DE ASSISTÊNCIA SOCIAL DO MUNICÍPIO DE GUAIRAÇÁ-PR.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1. INTRODUÇÃO</w:t>
      </w:r>
    </w:p>
    <w:p>
      <w:pPr>
        <w:jc w:val="both"/>
        <w:keepLines/>
        <w:keepNext/>
        <w:ind w:right="-30"/>
      </w:pPr>
      <w:r>
        <w:rPr>
          <w:sz w:val="22"/>
        </w:rPr>
        <w:t>As</w:t>
      </w:r>
      <w:r>
        <w:rPr>
          <w:sz w:val="22"/>
          <w:spacing w:val="-1"/>
        </w:rPr>
        <w:t xml:space="preserve"> </w:t>
      </w:r>
      <w:r>
        <w:rPr>
          <w:sz w:val="22"/>
        </w:rPr>
        <w:t>contratações</w:t>
      </w:r>
      <w:r>
        <w:rPr>
          <w:sz w:val="22"/>
          <w:spacing w:val="-1"/>
        </w:rPr>
        <w:t xml:space="preserve"> </w:t>
      </w:r>
      <w:r>
        <w:rPr>
          <w:sz w:val="22"/>
        </w:rPr>
        <w:t>governamentais</w:t>
      </w:r>
      <w:r>
        <w:rPr>
          <w:sz w:val="22"/>
          <w:spacing w:val="-1"/>
        </w:rPr>
        <w:t xml:space="preserve"> </w:t>
      </w:r>
      <w:r>
        <w:rPr>
          <w:sz w:val="22"/>
        </w:rPr>
        <w:t>produzem</w:t>
      </w:r>
      <w:r>
        <w:rPr>
          <w:sz w:val="22"/>
          <w:spacing w:val="-1"/>
        </w:rPr>
        <w:t xml:space="preserve"> </w:t>
      </w:r>
      <w:r>
        <w:rPr>
          <w:sz w:val="22"/>
        </w:rPr>
        <w:t>significativo</w:t>
      </w:r>
      <w:r>
        <w:rPr>
          <w:sz w:val="22"/>
          <w:spacing w:val="-1"/>
        </w:rPr>
        <w:t xml:space="preserve"> </w:t>
      </w:r>
      <w:r>
        <w:rPr>
          <w:sz w:val="22"/>
        </w:rPr>
        <w:t>impacto</w:t>
      </w:r>
      <w:r>
        <w:rPr>
          <w:sz w:val="22"/>
          <w:spacing w:val="-1"/>
        </w:rPr>
        <w:t xml:space="preserve"> </w:t>
      </w:r>
      <w:r>
        <w:rPr>
          <w:sz w:val="22"/>
        </w:rPr>
        <w:t>na</w:t>
      </w:r>
      <w:r>
        <w:rPr>
          <w:sz w:val="22"/>
          <w:spacing w:val="-1"/>
        </w:rPr>
        <w:t xml:space="preserve"> </w:t>
      </w:r>
      <w:r>
        <w:rPr>
          <w:sz w:val="22"/>
        </w:rPr>
        <w:t>atividade</w:t>
      </w:r>
      <w:r>
        <w:rPr>
          <w:sz w:val="22"/>
          <w:spacing w:val="-1"/>
        </w:rPr>
        <w:t xml:space="preserve"> </w:t>
      </w:r>
      <w:r>
        <w:rPr>
          <w:sz w:val="22"/>
        </w:rPr>
        <w:t>econômica,</w:t>
      </w:r>
      <w:r>
        <w:rPr>
          <w:sz w:val="22"/>
          <w:spacing w:val="-1"/>
        </w:rPr>
        <w:t xml:space="preserve"> </w:t>
      </w:r>
      <w:r>
        <w:rPr>
          <w:sz w:val="22"/>
        </w:rPr>
        <w:t>tendo</w:t>
      </w:r>
      <w:r>
        <w:rPr>
          <w:sz w:val="22"/>
          <w:spacing w:val="-1"/>
        </w:rPr>
        <w:t xml:space="preserve"> </w:t>
      </w:r>
      <w:r>
        <w:rPr>
          <w:sz w:val="22"/>
        </w:rPr>
        <w:t>em</w:t>
      </w:r>
      <w:r>
        <w:rPr>
          <w:sz w:val="22"/>
          <w:spacing w:val="-3"/>
        </w:rPr>
        <w:t xml:space="preserve">  </w:t>
      </w:r>
      <w:r>
        <w:rPr>
          <w:sz w:val="22"/>
        </w:rPr>
        <w:t>vista o volume de recursos envolvidos, os quais, em grande parte, são instrumentos de realização de políticas públicas. Neste sentido, um planejamento bem elaborado propicia contratações potencialmente mais eficientes, posto que a realização de estudos previamente delineados conduz</w:t>
      </w:r>
      <w:r>
        <w:rPr>
          <w:sz w:val="22"/>
          <w:spacing w:val="-3"/>
        </w:rPr>
        <w:t xml:space="preserve"> </w:t>
      </w:r>
      <w:r>
        <w:rPr>
          <w:sz w:val="22"/>
        </w:rPr>
        <w:t>ao</w:t>
      </w:r>
      <w:r>
        <w:rPr>
          <w:sz w:val="22"/>
          <w:spacing w:val="-1"/>
        </w:rPr>
        <w:t xml:space="preserve"> </w:t>
      </w:r>
      <w:r>
        <w:rPr>
          <w:sz w:val="22"/>
        </w:rPr>
        <w:t>conhecimento</w:t>
      </w:r>
      <w:r>
        <w:rPr>
          <w:sz w:val="22"/>
          <w:spacing w:val="-1"/>
        </w:rPr>
        <w:t xml:space="preserve"> </w:t>
      </w:r>
      <w:r>
        <w:rPr>
          <w:sz w:val="22"/>
        </w:rPr>
        <w:t>de</w:t>
      </w:r>
      <w:r>
        <w:rPr>
          <w:sz w:val="22"/>
          <w:spacing w:val="-1"/>
        </w:rPr>
        <w:t xml:space="preserve"> </w:t>
      </w:r>
      <w:r>
        <w:rPr>
          <w:sz w:val="22"/>
        </w:rPr>
        <w:t>novas</w:t>
      </w:r>
      <w:r>
        <w:rPr>
          <w:sz w:val="22"/>
          <w:spacing w:val="-1"/>
        </w:rPr>
        <w:t xml:space="preserve"> </w:t>
      </w:r>
      <w:r>
        <w:rPr>
          <w:sz w:val="22"/>
        </w:rPr>
        <w:t>modelagens/metodologias</w:t>
      </w:r>
      <w:r>
        <w:rPr>
          <w:sz w:val="22"/>
          <w:spacing w:val="-1"/>
        </w:rPr>
        <w:t xml:space="preserve"> </w:t>
      </w:r>
      <w:r>
        <w:rPr>
          <w:sz w:val="22"/>
        </w:rPr>
        <w:t>ofertadas</w:t>
      </w:r>
      <w:r>
        <w:rPr>
          <w:sz w:val="22"/>
          <w:spacing w:val="-1"/>
        </w:rPr>
        <w:t xml:space="preserve"> </w:t>
      </w:r>
      <w:r>
        <w:rPr>
          <w:sz w:val="22"/>
        </w:rPr>
        <w:t>pelo</w:t>
      </w:r>
      <w:r>
        <w:rPr>
          <w:sz w:val="22"/>
          <w:spacing w:val="-1"/>
        </w:rPr>
        <w:t xml:space="preserve"> </w:t>
      </w:r>
      <w:r>
        <w:rPr>
          <w:sz w:val="22"/>
        </w:rPr>
        <w:t>mercado,</w:t>
      </w:r>
      <w:r>
        <w:rPr>
          <w:sz w:val="22"/>
          <w:spacing w:val="-1"/>
        </w:rPr>
        <w:t xml:space="preserve"> </w:t>
      </w:r>
      <w:r>
        <w:rPr>
          <w:sz w:val="22"/>
        </w:rPr>
        <w:t>resultado</w:t>
      </w:r>
      <w:r>
        <w:rPr>
          <w:sz w:val="22"/>
          <w:spacing w:val="-1"/>
        </w:rPr>
        <w:t xml:space="preserve"> </w:t>
      </w:r>
      <w:r>
        <w:rPr>
          <w:sz w:val="22"/>
        </w:rPr>
        <w:t>na</w:t>
      </w:r>
      <w:r>
        <w:rPr>
          <w:sz w:val="22"/>
          <w:spacing w:val="-1"/>
        </w:rPr>
        <w:t xml:space="preserve"> </w:t>
      </w:r>
      <w:r>
        <w:rPr>
          <w:sz w:val="22"/>
        </w:rPr>
        <w:t>melhor qualidade do gasto e em uma gestão eficiente dos recursos públicos.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Neste contexto, o presente documento apresenta os estudos técnicos preliminares que visam assegurar a viabilidade (técnica e econômica) da contratação pretendida e o levantamento dos elementos essenciais que servirão para compor Termo de Referência.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Este estudo consiste na primeira etapa do planejamento de uma contratação, de modo a assegurar a viabilidade e embasar o termo de referência, conforme previsto na Lei 14.133/2021, art. 6°, inciso XX.</w:t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2. NECESSIDADE/JUSTIFICATIVA DE CONTRATAÇÃO</w:t>
      </w:r>
    </w:p>
    <w:p>
      <w:pPr>
        <w:keepLines/>
        <w:keepNext/>
        <w:ind w:right="-30"/>
      </w:pPr>
      <w:r>
        <w:rPr>
          <w:b/>
          <w:sz w:val="22"/>
          <w:color w:val="FF0000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 xml:space="preserve">O benefício eventual na forma de auxílio natalidade constitui-se em uma prestação temporária, não contributiva da Assistência Social para atendimento social de pessoas em situação de vulnerabilidade social e ou risco e pessoal. Tal benefício esta amparado na Lei 8.742/1993 a LOAS - Lei Orgânica da Assistência Social em seu Art. 22º que dispoe: </w:t>
      </w:r>
    </w:p>
    <w:p>
      <w:pPr>
        <w:jc w:val="both"/>
        <w:keepLines/>
        <w:keepNext/>
        <w:ind w:right="-30"/>
      </w:pPr>
      <w:r>
        <w:rPr>
          <w:sz w:val="22"/>
        </w:rPr>
        <w:t xml:space="preserve">Art.22º. Entendem-se por benefício eventuais as previsões suplementares e provi'sorias que integram organicamente as garantias do Suas e são prestadas aos cidadãos e as famílias em virtude de nascimento, morte, situações de vulnerabilidade temporária e de calamidade pública. </w:t>
      </w:r>
    </w:p>
    <w:p>
      <w:pPr>
        <w:jc w:val="both"/>
        <w:keepLines/>
        <w:keepNext/>
        <w:ind w:right="-30"/>
      </w:pPr>
      <w:r>
        <w:rPr>
          <w:sz w:val="22"/>
        </w:rPr>
        <w:t xml:space="preserve">Dessa forma vale ressaltar que a demanda pelo respectivo benefício se dá por demanda espontânea e busca ativa dos beneficiários, objetivando a promoção da proteção social. 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3. ALINHAMENTO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ENTRE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A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CONTRATAÇÃO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E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O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PLANO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DE</w:t>
      </w:r>
      <w:r>
        <w:rPr>
          <w:b/>
          <w:sz w:val="22"/>
          <w:spacing w:val="1"/>
        </w:rPr>
        <w:t xml:space="preserve"> CONTRATAÇÕES ANUAL- 2025</w:t>
      </w:r>
    </w:p>
    <w:p>
      <w:pPr>
        <w:keepLines/>
        <w:keepNext/>
        <w:ind w:right="-30"/>
        <w:tabs>
          <w:tab w:val="left" w:pos="2730"/>
        </w:tabs>
      </w:pPr>
      <w:r>
        <w:rPr>
          <w:sz w:val="22"/>
        </w:rPr>
        <w:t>A necessidade da presente contratação encontra-se respaldada no Plano de Contratações Anual da Prefeitura Municipal de Guairaçá.</w:t>
      </w:r>
    </w:p>
    <w:p>
      <w:pPr>
        <w:keepLines/>
        <w:keepNext/>
        <w:ind w:right="-30"/>
        <w:tabs>
          <w:tab w:val="left" w:pos="2730"/>
        </w:tabs>
      </w:pPr>
      <w:r>
        <w:rPr>
          <w:b/>
          <w:sz w:val="22"/>
        </w:rPr>
        <w:t/>
      </w:r>
    </w:p>
    <w:p>
      <w:pPr>
        <w:keepLines/>
        <w:keepNext/>
        <w:ind w:right="-30"/>
        <w:tabs>
          <w:tab w:val="left" w:pos="2730"/>
        </w:tabs>
      </w:pPr>
      <w:r>
        <w:rPr>
          <w:b/>
          <w:sz w:val="22"/>
        </w:rPr>
        <w:t>4. REQUISITOS DA CONTRATAÇÃO</w:t>
      </w:r>
    </w:p>
    <w:p>
      <w:pPr>
        <w:keepLines/>
        <w:keepNext/>
      </w:pPr>
      <w:r>
        <w:rPr>
          <w:sz w:val="22"/>
        </w:rPr>
        <w:t/>
      </w:r>
    </w:p>
    <w:p>
      <w:pPr>
        <w:keepLines/>
        <w:keepNext/>
      </w:pPr>
      <w:r>
        <w:rPr>
          <w:sz w:val="22"/>
        </w:rPr>
        <w:t>A contratação deverá observar os seguintes</w:t>
      </w:r>
      <w:r>
        <w:rPr>
          <w:sz w:val="22"/>
          <w:spacing w:val="-1"/>
        </w:rPr>
        <w:t xml:space="preserve"> </w:t>
      </w:r>
      <w:r>
        <w:rPr>
          <w:sz w:val="22"/>
        </w:rPr>
        <w:t>requisitos:</w:t>
      </w:r>
    </w:p>
    <w:p>
      <w:pPr>
        <w:keepLines/>
        <w:keepNext/>
        <w:ind w:left="435"/>
      </w:pPr>
      <w:r>
        <w:rPr>
          <w:sz w:val="22"/>
        </w:rPr>
        <w:t xml:space="preserve">1. O critério de julgamento a ser utilizado no presente certame será o </w:t>
      </w:r>
      <w:r>
        <w:rPr>
          <w:b/>
          <w:sz w:val="22"/>
        </w:rPr>
        <w:t>menor preço por lote;</w:t>
      </w:r>
    </w:p>
    <w:p>
      <w:pPr>
        <w:jc w:val="both"/>
        <w:keepLines/>
        <w:keepNext/>
        <w:ind w:left="435"/>
      </w:pPr>
      <w:r>
        <w:rPr>
          <w:sz w:val="22"/>
        </w:rPr>
        <w:t>2. Não serão aplicadas a indicação e/ou a vedação de marcas;</w:t>
      </w:r>
    </w:p>
    <w:p>
      <w:pPr>
        <w:jc w:val="both"/>
        <w:keepLines/>
        <w:keepNext/>
        <w:ind w:left="435"/>
      </w:pPr>
      <w:r>
        <w:rPr>
          <w:sz w:val="22"/>
        </w:rPr>
        <w:t>3. Não será admitida a subcontratação do objeto contratual;</w:t>
      </w:r>
    </w:p>
    <w:p>
      <w:pPr>
        <w:jc w:val="both"/>
        <w:keepLines/>
        <w:keepNext/>
        <w:ind w:left="435"/>
      </w:pPr>
      <w:r>
        <w:rPr>
          <w:sz w:val="22"/>
        </w:rPr>
        <w:t>4. Não haverá exigência da garantia da contratação dos arts. 96 e seguintes da Lei nº 14.133/21.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b/>
          <w:sz w:val="22"/>
        </w:rPr>
        <w:t>5. RELAÇÃO ENTRE A DEMANDA PREVISTA E QUANTIDADES DE CADA ITEM</w:t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b/>
          <w:sz w:val="22"/>
          <w:color w:val="FF0000"/>
        </w:rP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>RELAÇÃO DE ITENS EM CONFORMIDADE A SOLICITAÇÃO DE COMPRAS N. 66/2025</w:t>
      </w:r>
    </w:p>
    <w:p>
      <w:pPr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 xml:space="preserve">O orçamento detalhado é obrigatório na fase interna da licitação para o objeto da presente licitação, como verificação de preços concorrentes no mercado e parâmetro para fixação de critérios de aceitabilidade de preços globais e unitário no edital a ser lançado. Nesse sentido, a pesquisa de preços prévia, foi devidamente realizada de acordo com os moldes da Instrução Normativa SEGES/ME n. 65/2021 que dispõe sobre o procedimento administrativo para a realização de pesquisa de preços para aquisição de bens e contratação de serviços em geral, no âmbito da administração pública federal direta, autárquica e fundacional. </w:t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sz w:val="22"/>
        </w:rPr>
        <w:t xml:space="preserve">Esta Entidade Pública adotou tais moldes na tentativa de tornar o procedimento licitatório em questão mais transparente, sem qualquer tipo de combinação de valores prévios entre possíveis fornecedores, evitando assim a possibilidade de conluio entre empresas, frustrando assim qualquer tipo de sobrepreço ao itens a serem licitados.  Não possuindo assim qualquer falha na metodologia utilizada por esta Administração para definição dos valores estimados, não se limitando a 03 (três) cotações de empresas. Porém, após uma vasta pesquisa no banco de preços (www.bancodeprecos.com.br), não foi possível encontrar itens e valores similares ao presente objeto. </w:t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rPr>
          <w:color w:val="FF0000"/>
        </w:rPr>
        <w:t/>
      </w:r>
    </w:p>
    <w:p>
      <w:pPr>
        <w:jc w:val="both"/>
        <w:outlineLvl w:val="1"/>
        <w:keepLines/>
        <w:keepNext/>
        <w:ind w:firstLine="30"/>
        <w:tabs>
          <w:tab w:val="left" w:pos="375"/>
        </w:tabs>
      </w:pPr>
      <w:r>
        <w:t/>
      </w:r>
    </w:p>
    <w:p>
      <w:pPr>
        <w:jc w:val="both"/>
        <w:widowControl/>
      </w:pPr>
      <w:r>
        <w:rPr>
          <w:sz w:val="22"/>
        </w:rPr>
        <w:t>Segue anexo os preços levantados por empresas do ramo de onde foram colhidos os valores.</w:t>
      </w:r>
    </w:p>
    <w:p>
      <w:pPr>
        <w:jc w:val="both"/>
        <w:widowControl/>
      </w:pPr>
      <w:r>
        <w:rPr>
          <w:sz w:val="22"/>
        </w:rPr>
        <w:t/>
      </w:r>
    </w:p>
    <w:tbl>
      <w:tblPr>
        <w:tblW w:w="11130" w:type="dxa"/>
        <w:tblLayout w:type="fixed"/>
        <w:tblBorders>
          <w:left w:val="single" w:sz="6" w:color="auto"/>
          <w:top w:val="single" w:sz="6" w:color="auto"/>
          <w:right w:val="single" w:sz="6" w:color="auto"/>
          <w:bottom w:val="single" w:sz="6" w:color="auto"/>
          <w:insideH w:val="single" w:sz="6" w:color="auto"/>
          <w:insideV w:val="single" w:sz="6" w:color="auto"/>
        </w:tblBorders>
        <w:tblCellMar>
          <w:top w:w="15" w:type="dxa"/>
          <w:left w:w="15" w:type="dxa"/>
          <w:bottom w:w="15" w:type="dxa"/>
          <w:right w:w="15" w:type="dxa"/>
        </w:tblCellMar>
        <w:tblCellSpacing w:w="15" w:type="dxa"/>
      </w:tblPr>
      <w:tblGrid>
        <w:gridCol w:w="1560"/>
        <w:gridCol w:w="9540"/>
      </w:tblGrid>
      <w:tr>
        <w:tc>
          <w:tcPr>
            <w:tcW w:w="1515" w:type="dxa"/>
          </w:tcPr>
          <w:p>
            <w:pPr>
              <w:jc w:val="center"/>
            </w:pPr>
            <w:r>
              <w:rPr>
                <w:b/>
              </w:rPr>
              <w:t>Ordem</w:t>
            </w:r>
          </w:p>
        </w:tc>
        <w:tc>
          <w:tcPr>
            <w:tcW w:w="9495" w:type="dxa"/>
          </w:tcPr>
          <w:p>
            <w:pPr>
              <w:jc w:val="center"/>
            </w:pPr>
            <w:r>
              <w:rPr>
                <w:b/>
              </w:rPr>
              <w:t>Fornecedores/Fontes</w:t>
            </w:r>
          </w:p>
        </w:tc>
      </w:tr>
      <w:tr>
        <w:tc>
          <w:tcPr>
            <w:tcW w:w="1515" w:type="dxa"/>
          </w:tcPr>
          <w:p>
            <w:r>
              <w:t>1</w:t>
            </w:r>
          </w:p>
        </w:tc>
        <w:tc>
          <w:tcPr>
            <w:tcW w:w="9495" w:type="dxa"/>
          </w:tcPr>
          <w:p>
            <w:r>
              <w:t>CELIA REGINA MAZUTI AMADEU</w:t>
            </w:r>
          </w:p>
        </w:tc>
      </w:tr>
      <w:tr>
        <w:tc>
          <w:tcPr>
            <w:tcW w:w="1515" w:type="dxa"/>
          </w:tcPr>
          <w:p>
            <w:r>
              <w:t>2</w:t>
            </w:r>
          </w:p>
        </w:tc>
        <w:tc>
          <w:tcPr>
            <w:tcW w:w="9495" w:type="dxa"/>
          </w:tcPr>
          <w:p>
            <w:r>
              <w:t>ALTAIR JOSE SOARES</w:t>
            </w:r>
          </w:p>
        </w:tc>
      </w:tr>
      <w:tr>
        <w:tc>
          <w:tcPr>
            <w:tcW w:w="1515" w:type="dxa"/>
          </w:tcPr>
          <w:p>
            <w:r>
              <w:t>3</w:t>
            </w:r>
          </w:p>
        </w:tc>
        <w:tc>
          <w:tcPr>
            <w:tcW w:w="9495" w:type="dxa"/>
          </w:tcPr>
          <w:p>
            <w:r>
              <w:t>TKY MATERIAIS ELETRICOS E FERRAGENS LTDA</w:t>
            </w:r>
          </w:p>
        </w:tc>
      </w:tr>
    </w:tbl>
    <w:p>
      <w:pPr>
        <w:jc w:val="both"/>
        <w:widowControl/>
      </w:pPr>
      <w:r>
        <w:rPr>
          <w:sz w:val="22"/>
        </w:rPr>
        <w:t>As pesquisas de preços enviadas juntamente a esta solicitação de compras, foram por mim realizadas e são verdadeiras, conforme rubrica/assinatura em cada um deles.</w:t>
      </w:r>
    </w:p>
    <w:p>
      <w:pPr>
        <w:jc w:val="both"/>
        <w:keepLines/>
        <w:keepNext/>
        <w:ind w:right="-30"/>
      </w:pPr>
      <w:r>
        <w:rPr>
          <w:rFonts w:ascii="Arial MT" w:hAnsi="Arial MT" w:cs="Arial MT" w:eastAsia="Arial MT"/>
          <w:sz w:val="19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 xml:space="preserve">Os materiais deverão ser entregues na </w:t>
      </w:r>
      <w:r>
        <w:rPr>
          <w:sz w:val="18"/>
        </w:rPr>
        <w:t>SECRETARIA MUNICIPAL DE ASSISTENCIA SOCIAL</w:t>
      </w:r>
      <w:r>
        <w:rPr>
          <w:sz w:val="22"/>
        </w:rPr>
        <w:t xml:space="preserve"> nos locais informados na Nota de Empenho ou Ordem de Serviço emitidas, acompanhada preferencialmente pelo Fiscal do Contrato ou por outro servidor designado para esse fim.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6. PRAZO DE ENTREGA/EXECUÇÃO, VIGÊNCIA E VALOR MÁXIMO</w:t>
      </w:r>
    </w:p>
    <w:p>
      <w:pPr>
        <w:jc w:val="both"/>
        <w:keepLines/>
        <w:keepNext/>
        <w:ind w:right="-30"/>
      </w:pPr>
      <w:r>
        <w:rPr>
          <w:sz w:val="22"/>
        </w:rPr>
        <w:t>A entrega dos materiais deverá ocorrer em até 10 (dez) dias úteis, a contar da solicitação do órgão competente, por conta e risco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empresa</w:t>
      </w:r>
      <w:r>
        <w:rPr>
          <w:sz w:val="22"/>
          <w:spacing w:val="2"/>
        </w:rPr>
        <w:t xml:space="preserve"> </w:t>
      </w:r>
      <w:r>
        <w:rPr>
          <w:sz w:val="22"/>
        </w:rPr>
        <w:t>vencedora</w:t>
      </w:r>
      <w:r>
        <w:rPr>
          <w:sz w:val="22"/>
          <w:spacing w:val="2"/>
        </w:rPr>
        <w:t xml:space="preserve"> </w:t>
      </w:r>
      <w:r>
        <w:rPr>
          <w:sz w:val="22"/>
        </w:rPr>
        <w:t>do</w:t>
      </w:r>
      <w:r>
        <w:rPr>
          <w:sz w:val="22"/>
          <w:spacing w:val="2"/>
        </w:rPr>
        <w:t xml:space="preserve"> </w:t>
      </w:r>
      <w:r>
        <w:rPr>
          <w:sz w:val="22"/>
        </w:rPr>
        <w:t>certame</w:t>
      </w:r>
      <w:r>
        <w:rPr>
          <w:sz w:val="22"/>
          <w:spacing w:val="2"/>
        </w:rPr>
        <w:t xml:space="preserve"> </w:t>
      </w:r>
      <w:r>
        <w:rPr>
          <w:sz w:val="22"/>
        </w:rPr>
        <w:t>licitatório,</w:t>
      </w:r>
      <w:r>
        <w:rPr>
          <w:sz w:val="22"/>
          <w:spacing w:val="2"/>
        </w:rPr>
        <w:t xml:space="preserve"> </w:t>
      </w:r>
      <w:r>
        <w:rPr>
          <w:sz w:val="22"/>
        </w:rPr>
        <w:t>mediante</w:t>
      </w:r>
      <w:r>
        <w:rPr>
          <w:sz w:val="22"/>
          <w:spacing w:val="2"/>
        </w:rPr>
        <w:t xml:space="preserve"> </w:t>
      </w:r>
      <w:r>
        <w:rPr>
          <w:sz w:val="22"/>
        </w:rPr>
        <w:t>requisição</w:t>
      </w:r>
      <w:r>
        <w:rPr>
          <w:sz w:val="22"/>
          <w:spacing w:val="2"/>
        </w:rPr>
        <w:t xml:space="preserve"> </w:t>
      </w:r>
      <w:r>
        <w:rPr>
          <w:sz w:val="22"/>
        </w:rPr>
        <w:t>formalizada</w:t>
      </w:r>
      <w:r>
        <w:rPr>
          <w:sz w:val="22"/>
          <w:spacing w:val="2"/>
        </w:rPr>
        <w:t xml:space="preserve"> </w:t>
      </w:r>
      <w:r>
        <w:rPr>
          <w:sz w:val="22"/>
        </w:rPr>
        <w:t>pelo</w:t>
      </w:r>
      <w:r>
        <w:rPr>
          <w:sz w:val="22"/>
          <w:spacing w:val="2"/>
        </w:rPr>
        <w:t xml:space="preserve"> </w:t>
      </w:r>
      <w:r>
        <w:rPr>
          <w:sz w:val="22"/>
        </w:rPr>
        <w:t>Município,</w:t>
      </w:r>
      <w:r>
        <w:rPr>
          <w:sz w:val="22"/>
          <w:spacing w:val="2"/>
        </w:rPr>
        <w:t xml:space="preserve"> </w:t>
      </w:r>
      <w:r>
        <w:rPr>
          <w:sz w:val="22"/>
        </w:rPr>
        <w:t>correndo</w:t>
      </w:r>
      <w:r>
        <w:rPr>
          <w:sz w:val="22"/>
          <w:spacing w:val="2"/>
        </w:rPr>
        <w:t xml:space="preserve"> </w:t>
      </w:r>
      <w:r>
        <w:rPr>
          <w:sz w:val="22"/>
        </w:rPr>
        <w:t>por conta da licitante vencedora contratada as despesas de seguros, transportes, tributos, encargos trabalhistas e previdenciários decorrentes da execução do objeto da licitação.</w:t>
      </w:r>
    </w:p>
    <w:p>
      <w:pPr>
        <w:jc w:val="both"/>
        <w:keepLines/>
        <w:keepNext/>
        <w:ind w:right="-30"/>
      </w:pPr>
      <w:r>
        <w:rPr>
          <w:b/>
          <w:sz w:val="22"/>
          <w:color w:val="FF0000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</w:t>
      </w:r>
      <w:r>
        <w:rPr>
          <w:sz w:val="22"/>
          <w:spacing w:val="2"/>
        </w:rPr>
        <w:t xml:space="preserve"> </w:t>
      </w:r>
      <w:r>
        <w:rPr>
          <w:sz w:val="22"/>
        </w:rPr>
        <w:t>prazo</w:t>
      </w:r>
      <w:r>
        <w:rPr>
          <w:sz w:val="22"/>
          <w:spacing w:val="2"/>
        </w:rPr>
        <w:t xml:space="preserve"> </w:t>
      </w:r>
      <w:r>
        <w:rPr>
          <w:sz w:val="22"/>
        </w:rPr>
        <w:t>de</w:t>
      </w:r>
      <w:r>
        <w:rPr>
          <w:sz w:val="22"/>
          <w:spacing w:val="2"/>
        </w:rPr>
        <w:t xml:space="preserve"> </w:t>
      </w:r>
      <w:r>
        <w:rPr>
          <w:sz w:val="22"/>
        </w:rPr>
        <w:t>vigência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contratação</w:t>
      </w:r>
      <w:r>
        <w:rPr>
          <w:sz w:val="22"/>
          <w:spacing w:val="2"/>
        </w:rPr>
        <w:t xml:space="preserve"> </w:t>
      </w:r>
      <w:r>
        <w:rPr>
          <w:sz w:val="22"/>
        </w:rPr>
        <w:t>será</w:t>
      </w:r>
      <w:r>
        <w:rPr>
          <w:sz w:val="22"/>
          <w:spacing w:val="2"/>
        </w:rPr>
        <w:t xml:space="preserve"> </w:t>
      </w:r>
      <w:r>
        <w:rPr>
          <w:sz w:val="22"/>
        </w:rPr>
        <w:t>de</w:t>
      </w:r>
      <w:r>
        <w:rPr>
          <w:sz w:val="22"/>
          <w:spacing w:val="2"/>
        </w:rPr>
        <w:t xml:space="preserve"> </w:t>
      </w:r>
      <w:r>
        <w:rPr>
          <w:b/>
          <w:sz w:val="22"/>
        </w:rPr>
        <w:t>até</w:t>
      </w:r>
      <w:r>
        <w:rPr>
          <w:b/>
          <w:sz w:val="22"/>
          <w:spacing w:val="2"/>
        </w:rPr>
        <w:t xml:space="preserve"> 12 </w:t>
      </w:r>
      <w:r>
        <w:rPr>
          <w:b/>
          <w:sz w:val="22"/>
        </w:rPr>
        <w:t>(doze)</w:t>
      </w:r>
      <w:r>
        <w:rPr>
          <w:b/>
          <w:sz w:val="22"/>
          <w:spacing w:val="2"/>
        </w:rPr>
        <w:t xml:space="preserve"> </w:t>
      </w:r>
      <w:r>
        <w:rPr>
          <w:b/>
          <w:sz w:val="22"/>
        </w:rPr>
        <w:t>meses</w:t>
      </w:r>
      <w:r>
        <w:rPr>
          <w:sz w:val="22"/>
        </w:rPr>
        <w:t>,</w:t>
      </w:r>
      <w:r>
        <w:rPr>
          <w:sz w:val="22"/>
          <w:spacing w:val="2"/>
        </w:rPr>
        <w:t xml:space="preserve"> </w:t>
      </w:r>
      <w:r>
        <w:rPr>
          <w:sz w:val="22"/>
        </w:rPr>
        <w:t>contados</w:t>
      </w:r>
      <w:r>
        <w:rPr>
          <w:sz w:val="22"/>
          <w:spacing w:val="2"/>
        </w:rPr>
        <w:t xml:space="preserve"> </w:t>
      </w:r>
      <w:r>
        <w:rPr>
          <w:sz w:val="22"/>
        </w:rPr>
        <w:t>da</w:t>
      </w:r>
      <w:r>
        <w:rPr>
          <w:sz w:val="22"/>
          <w:spacing w:val="2"/>
        </w:rPr>
        <w:t xml:space="preserve"> </w:t>
      </w:r>
      <w:r>
        <w:rPr>
          <w:sz w:val="22"/>
        </w:rPr>
        <w:t>data</w:t>
      </w:r>
      <w:r>
        <w:rPr>
          <w:sz w:val="22"/>
          <w:spacing w:val="2"/>
        </w:rPr>
        <w:t xml:space="preserve"> </w:t>
      </w:r>
      <w:r>
        <w:rPr>
          <w:sz w:val="22"/>
        </w:rPr>
        <w:t>indicada</w:t>
      </w:r>
      <w:r>
        <w:rPr>
          <w:sz w:val="22"/>
          <w:spacing w:val="2"/>
        </w:rPr>
        <w:t xml:space="preserve"> </w:t>
      </w:r>
      <w:r>
        <w:rPr>
          <w:sz w:val="22"/>
        </w:rPr>
        <w:t>no</w:t>
      </w:r>
      <w:r>
        <w:rPr>
          <w:sz w:val="22"/>
          <w:spacing w:val="2"/>
        </w:rPr>
        <w:t xml:space="preserve"> </w:t>
      </w:r>
      <w:r>
        <w:rPr>
          <w:sz w:val="22"/>
        </w:rPr>
        <w:t>instrumento contratual, na forma do artigo 105, da Lei n° 14.133/2021.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 custo estimado total da</w:t>
      </w:r>
      <w:r>
        <w:rPr>
          <w:sz w:val="22"/>
          <w:spacing w:val="1"/>
        </w:rPr>
        <w:t xml:space="preserve"> </w:t>
      </w:r>
      <w:r>
        <w:rPr>
          <w:sz w:val="22"/>
        </w:rPr>
        <w:t>contratação é</w:t>
      </w:r>
      <w:r>
        <w:rPr>
          <w:sz w:val="22"/>
          <w:spacing w:val="1"/>
        </w:rPr>
        <w:t xml:space="preserve"> </w:t>
      </w:r>
      <w:r>
        <w:rPr>
          <w:sz w:val="22"/>
        </w:rPr>
        <w:t>de</w:t>
      </w:r>
      <w:r>
        <w:rPr>
          <w:sz w:val="22"/>
          <w:spacing w:val="1"/>
          <w:color w:val="FF0000"/>
        </w:rPr>
        <w:t xml:space="preserve"> </w:t>
      </w:r>
      <w:r>
        <w:rPr>
          <w:b/>
          <w:sz w:val="22"/>
        </w:rPr>
        <w:t>R$</w:t>
      </w:r>
      <w:r>
        <w:rPr>
          <w:b/>
          <w:sz w:val="22"/>
          <w:spacing w:val="1"/>
        </w:rPr>
        <w:t xml:space="preserve"> </w:t>
      </w:r>
      <w:r>
        <w:rPr>
          <w:b/>
          <w:sz w:val="22"/>
        </w:rPr>
        <w:t>78.499,50 (setenta e oito mil, quatrocentos e noventa e nove reais e cinquenta centavos).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sz w:val="22"/>
        </w:rPr>
        <w:t>O</w:t>
      </w:r>
      <w:r>
        <w:rPr>
          <w:sz w:val="22"/>
          <w:spacing w:val="1"/>
        </w:rPr>
        <w:t xml:space="preserve"> </w:t>
      </w:r>
      <w:r>
        <w:rPr>
          <w:sz w:val="22"/>
        </w:rPr>
        <w:t>objeto</w:t>
      </w:r>
      <w:r>
        <w:rPr>
          <w:sz w:val="22"/>
          <w:spacing w:val="1"/>
        </w:rPr>
        <w:t xml:space="preserve"> </w:t>
      </w:r>
      <w:r>
        <w:rPr>
          <w:sz w:val="22"/>
        </w:rPr>
        <w:t>desta</w:t>
      </w:r>
      <w:r>
        <w:rPr>
          <w:sz w:val="22"/>
          <w:spacing w:val="1"/>
        </w:rPr>
        <w:t xml:space="preserve"> </w:t>
      </w:r>
      <w:r>
        <w:rPr>
          <w:sz w:val="22"/>
        </w:rPr>
        <w:t>contratação</w:t>
      </w:r>
      <w:r>
        <w:rPr>
          <w:sz w:val="22"/>
          <w:spacing w:val="1"/>
        </w:rPr>
        <w:t xml:space="preserve"> </w:t>
      </w:r>
      <w:r>
        <w:rPr>
          <w:sz w:val="22"/>
        </w:rPr>
        <w:t>não</w:t>
      </w:r>
      <w:r>
        <w:rPr>
          <w:sz w:val="22"/>
          <w:spacing w:val="1"/>
        </w:rPr>
        <w:t xml:space="preserve"> </w:t>
      </w:r>
      <w:r>
        <w:rPr>
          <w:sz w:val="22"/>
        </w:rPr>
        <w:t>se enquadra</w:t>
      </w:r>
      <w:r>
        <w:rPr>
          <w:sz w:val="22"/>
          <w:spacing w:val="1"/>
        </w:rPr>
        <w:t xml:space="preserve"> </w:t>
      </w:r>
      <w:r>
        <w:rPr>
          <w:sz w:val="22"/>
        </w:rPr>
        <w:t>como</w:t>
      </w:r>
      <w:r>
        <w:rPr>
          <w:sz w:val="22"/>
          <w:spacing w:val="1"/>
        </w:rPr>
        <w:t xml:space="preserve"> </w:t>
      </w:r>
      <w:r>
        <w:rPr>
          <w:sz w:val="22"/>
        </w:rPr>
        <w:t>sendo de bem</w:t>
      </w:r>
      <w:r>
        <w:rPr>
          <w:sz w:val="22"/>
          <w:spacing w:val="1"/>
        </w:rPr>
        <w:t xml:space="preserve"> </w:t>
      </w:r>
      <w:r>
        <w:rPr>
          <w:sz w:val="22"/>
        </w:rPr>
        <w:t>de luxo, conforme Decreto</w:t>
      </w:r>
      <w:r>
        <w:rPr>
          <w:sz w:val="22"/>
          <w:spacing w:val="1"/>
        </w:rPr>
        <w:t xml:space="preserve"> </w:t>
      </w:r>
      <w:r>
        <w:rPr>
          <w:sz w:val="22"/>
        </w:rPr>
        <w:t>nº</w:t>
      </w:r>
      <w:r>
        <w:rPr>
          <w:sz w:val="22"/>
          <w:spacing w:val="1"/>
        </w:rPr>
        <w:t xml:space="preserve"> </w:t>
      </w:r>
      <w:r>
        <w:rPr>
          <w:sz w:val="22"/>
        </w:rPr>
        <w:t>10.818, de</w:t>
      </w:r>
      <w:r>
        <w:rPr>
          <w:sz w:val="22"/>
          <w:spacing w:val="1"/>
        </w:rPr>
        <w:t xml:space="preserve"> </w:t>
      </w:r>
      <w:r>
        <w:rPr>
          <w:sz w:val="22"/>
        </w:rPr>
        <w:t>2021.</w:t>
      </w:r>
    </w:p>
    <w:p>
      <w:pPr>
        <w:jc w:val="both"/>
        <w:keepLines/>
        <w:keepNext/>
        <w:ind w:right="-30"/>
      </w:pPr>
      <w:r>
        <w:rPr>
          <w:sz w:val="22"/>
        </w:rPr>
        <w:t/>
      </w:r>
    </w:p>
    <w:p>
      <w:pPr>
        <w:jc w:val="both"/>
        <w:keepLines/>
        <w:keepNext/>
        <w:ind w:right="-30"/>
      </w:pPr>
      <w:r>
        <w:rPr>
          <w:b/>
          <w:sz w:val="22"/>
        </w:rPr>
        <w:t>7. JUSTIFICATIVAS PARA O PARCELAMENTO OU NÃO DA SOLUÇÃO</w:t>
      </w:r>
    </w:p>
    <w:p>
      <w:pPr>
        <w:jc w:val="both"/>
        <w:outlineLvl w:val="0"/>
        <w:widowControl/>
        <w:ind w:hanging="15"/>
        <w:spacing w:lineRule="auto" w:line="276"/>
      </w:pPr>
      <w:r>
        <w:rPr>
          <w:rFonts w:ascii="Times New Roman" w:hAnsi="Times New Roman" w:cs="Times New Roman" w:eastAsia="Times New Roman"/>
          <w:sz w:val="22"/>
          <w:position w:val="-1"/>
          <w:color w:val="000000"/>
        </w:rPr>
        <w:t/>
      </w:r>
    </w:p>
    <w:p>
      <w:pPr>
        <w:jc w:val="both"/>
        <w:outlineLvl w:val="0"/>
        <w:widowControl/>
        <w:ind w:hanging="15"/>
        <w:spacing w:lineRule="auto" w:line="276"/>
      </w:pPr>
      <w:r>
        <w:rPr>
          <w:sz w:val="22"/>
          <w:position w:val="-1"/>
          <w:color w:val="000000"/>
        </w:rPr>
        <w:t>Nos termos do art. 47, inciso II, da Lei Federal nº 14.133/2021, as licitações atenderão ao princípio do parcelamento, quando tecnicamente viável e economicamente vantajoso. Na aplicação deste princípio, o § 1º do mesmo art. 47 estabelece que deverão ser considerados a responsabilidade técnica, o custo para a Administração de vários contratos frente às vantagens da redução de custos, com divisão do objeto em itens, e o dever de buscar a ampliação da competição e de evitar a concentração de mercado.</w:t>
      </w:r>
    </w:p>
    <w:p>
      <w:pPr>
        <w:jc w:val="both"/>
        <w:outlineLvl w:val="0"/>
        <w:widowControl/>
        <w:ind w:hanging="15"/>
        <w:spacing w:lineRule="auto" w:line="276"/>
      </w:pPr>
      <w:r>
        <w:rPr>
          <w:sz w:val="22"/>
          <w:position w:val="-1"/>
          <w:color w:val="000000"/>
        </w:rPr>
        <w:t xml:space="preserve">Em vista disto, o princípio do </w:t>
      </w:r>
      <w:r>
        <w:rPr>
          <w:sz w:val="22"/>
          <w:position w:val="-1"/>
        </w:rPr>
        <w:t>parcelamento não deverá ser aplicado</w:t>
      </w:r>
      <w:r>
        <w:rPr>
          <w:sz w:val="22"/>
          <w:position w:val="-1"/>
          <w:color w:val="000000"/>
        </w:rPr>
        <w:t xml:space="preserve"> à presente contratação, tendo em vista que eventual divisão do objeto geraria perda de economia de escala e causaria inviabilidade técnica, pois geraria maior trabalho de fiscalização contratual frente à falta de padronização e uniformização. </w:t>
      </w:r>
    </w:p>
    <w:p>
      <w:pPr>
        <w:jc w:val="both"/>
        <w:outlineLvl w:val="0"/>
        <w:widowControl/>
        <w:ind w:hanging="15"/>
        <w:spacing w:lineRule="auto" w:line="276"/>
      </w:pPr>
      <w:r>
        <w:rPr>
          <w:sz w:val="22"/>
          <w:position w:val="-1"/>
          <w:color w:val="000000"/>
        </w:rPr>
        <w:t>Ademais, a existência de mais de uma empresa contratada poderia trazer uma série de transtornos quanto à eventual responsabilização por eventuais sinistros ocorridos.</w:t>
      </w:r>
    </w:p>
    <w:p>
      <w:pPr>
        <w:jc w:val="both"/>
        <w:outlineLvl w:val="0"/>
        <w:widowControl/>
        <w:ind w:hanging="15"/>
        <w:spacing w:lineRule="auto" w:line="276"/>
      </w:pPr>
      <w:r>
        <w:rPr>
          <w:rFonts w:ascii="Times New Roman" w:hAnsi="Times New Roman" w:cs="Times New Roman" w:eastAsia="Times New Roman"/>
          <w:sz w:val="24"/>
          <w:position w:val="-1"/>
          <w:color w:val="000000"/>
        </w:rPr>
        <w:t/>
      </w:r>
    </w:p>
    <w:p>
      <w:pPr>
        <w:jc w:val="both"/>
      </w:pPr>
      <w:r>
        <w:rPr>
          <w:b/>
          <w:sz w:val="22"/>
        </w:rPr>
        <w:t xml:space="preserve">8. - RESULTADOS PRETENDIDOS </w:t>
      </w:r>
    </w:p>
    <w:p>
      <w:pPr>
        <w:jc w:val="both"/>
      </w:pPr>
      <w:r>
        <w:rPr>
          <w:sz w:val="22"/>
        </w:rPr>
        <w:t xml:space="preserve">A solução deverá permitir o alcance dos seguintes resultados: </w:t>
      </w:r>
    </w:p>
    <w:p>
      <w:pPr>
        <w:jc w:val="both"/>
      </w:pPr>
      <w:r>
        <w:rPr>
          <w:sz w:val="22"/>
        </w:rPr>
        <w:t>1) Atender</w:t>
      </w:r>
      <w:r>
        <w:rPr>
          <w:sz w:val="22"/>
          <w:spacing w:val="3"/>
        </w:rPr>
        <w:t xml:space="preserve"> </w:t>
      </w:r>
      <w:r>
        <w:rPr>
          <w:sz w:val="22"/>
        </w:rPr>
        <w:t>com</w:t>
      </w:r>
      <w:r>
        <w:rPr>
          <w:sz w:val="22"/>
          <w:spacing w:val="3"/>
        </w:rPr>
        <w:t xml:space="preserve"> </w:t>
      </w:r>
      <w:r>
        <w:rPr>
          <w:sz w:val="22"/>
        </w:rPr>
        <w:t>eficiência</w:t>
      </w:r>
      <w:r>
        <w:rPr>
          <w:sz w:val="22"/>
          <w:spacing w:val="3"/>
        </w:rPr>
        <w:t xml:space="preserve"> </w:t>
      </w:r>
      <w:r>
        <w:rPr>
          <w:sz w:val="22"/>
        </w:rPr>
        <w:t>as</w:t>
      </w:r>
      <w:r>
        <w:rPr>
          <w:sz w:val="22"/>
          <w:spacing w:val="3"/>
        </w:rPr>
        <w:t xml:space="preserve"> </w:t>
      </w:r>
      <w:r>
        <w:rPr>
          <w:sz w:val="22"/>
        </w:rPr>
        <w:t>constante</w:t>
      </w:r>
      <w:r>
        <w:rPr>
          <w:sz w:val="22"/>
          <w:spacing w:val="3"/>
        </w:rPr>
        <w:t xml:space="preserve"> </w:t>
      </w:r>
      <w:r>
        <w:rPr>
          <w:sz w:val="22"/>
        </w:rPr>
        <w:t xml:space="preserve">demanda da </w:t>
      </w:r>
      <w:r>
        <w:rPr>
          <w:sz w:val="18"/>
        </w:rPr>
        <w:t>SECRETARIA MUNICIPAL DE ASSISTENCIA SOCIAL</w:t>
      </w:r>
      <w:r>
        <w:rPr>
          <w:sz w:val="22"/>
          <w:color w:val="FF0000"/>
        </w:rPr>
        <w:t xml:space="preserve"> </w:t>
      </w:r>
      <w:r>
        <w:rPr>
          <w:sz w:val="22"/>
        </w:rPr>
        <w:t>de Guairaçá, dos seus munícipes com a prestação de serviços satisfatória e ainda atender as determinações dos órgãos fiscalizadores;</w:t>
      </w:r>
    </w:p>
    <w:p>
      <w:pPr>
        <w:jc w:val="both"/>
      </w:pPr>
      <w:r>
        <w:rPr>
          <w:sz w:val="22"/>
        </w:rPr>
        <w:t>2) Evitar</w:t>
      </w:r>
      <w:r>
        <w:rPr>
          <w:sz w:val="22"/>
          <w:spacing w:val="3"/>
        </w:rPr>
        <w:t xml:space="preserve"> </w:t>
      </w:r>
      <w:r>
        <w:rPr>
          <w:sz w:val="22"/>
        </w:rPr>
        <w:t>a</w:t>
      </w:r>
      <w:r>
        <w:rPr>
          <w:sz w:val="22"/>
          <w:spacing w:val="3"/>
        </w:rPr>
        <w:t xml:space="preserve"> </w:t>
      </w:r>
      <w:r>
        <w:rPr>
          <w:sz w:val="22"/>
        </w:rPr>
        <w:t>realização</w:t>
      </w:r>
      <w:r>
        <w:rPr>
          <w:sz w:val="22"/>
          <w:spacing w:val="3"/>
        </w:rPr>
        <w:t xml:space="preserve"> </w:t>
      </w:r>
      <w:r>
        <w:rPr>
          <w:sz w:val="22"/>
        </w:rPr>
        <w:t>de</w:t>
      </w:r>
      <w:r>
        <w:rPr>
          <w:sz w:val="22"/>
          <w:spacing w:val="3"/>
        </w:rPr>
        <w:t xml:space="preserve"> </w:t>
      </w:r>
      <w:r>
        <w:rPr>
          <w:sz w:val="22"/>
        </w:rPr>
        <w:t>várias</w:t>
      </w:r>
      <w:r>
        <w:rPr>
          <w:sz w:val="22"/>
          <w:spacing w:val="3"/>
        </w:rPr>
        <w:t xml:space="preserve"> </w:t>
      </w:r>
      <w:r>
        <w:rPr>
          <w:sz w:val="22"/>
        </w:rPr>
        <w:t>contratações</w:t>
      </w:r>
      <w:r>
        <w:rPr>
          <w:sz w:val="22"/>
          <w:spacing w:val="3"/>
        </w:rPr>
        <w:t xml:space="preserve"> </w:t>
      </w:r>
      <w:r>
        <w:rPr>
          <w:sz w:val="22"/>
        </w:rPr>
        <w:t>referentes</w:t>
      </w:r>
      <w:r>
        <w:rPr>
          <w:sz w:val="22"/>
          <w:spacing w:val="3"/>
        </w:rPr>
        <w:t xml:space="preserve"> </w:t>
      </w:r>
      <w:r>
        <w:rPr>
          <w:sz w:val="22"/>
        </w:rPr>
        <w:t>a</w:t>
      </w:r>
      <w:r>
        <w:rPr>
          <w:sz w:val="22"/>
          <w:spacing w:val="3"/>
        </w:rPr>
        <w:t xml:space="preserve"> </w:t>
      </w:r>
      <w:r>
        <w:rPr>
          <w:sz w:val="22"/>
        </w:rPr>
        <w:t>um</w:t>
      </w:r>
      <w:r>
        <w:rPr>
          <w:sz w:val="22"/>
          <w:spacing w:val="3"/>
        </w:rPr>
        <w:t xml:space="preserve"> </w:t>
      </w:r>
      <w:r>
        <w:rPr>
          <w:sz w:val="22"/>
        </w:rPr>
        <w:t>mesmo</w:t>
      </w:r>
      <w:r>
        <w:rPr>
          <w:sz w:val="22"/>
          <w:spacing w:val="3"/>
        </w:rPr>
        <w:t xml:space="preserve"> </w:t>
      </w:r>
      <w:r>
        <w:rPr>
          <w:sz w:val="22"/>
        </w:rPr>
        <w:t>objeto,</w:t>
      </w:r>
      <w:r>
        <w:rPr>
          <w:sz w:val="22"/>
          <w:spacing w:val="3"/>
        </w:rPr>
        <w:t xml:space="preserve"> </w:t>
      </w:r>
      <w:r>
        <w:rPr>
          <w:sz w:val="22"/>
        </w:rPr>
        <w:t xml:space="preserve">num </w:t>
      </w:r>
      <w:r>
        <w:rPr>
          <w:sz w:val="22"/>
          <w:spacing w:val="-3"/>
        </w:rPr>
        <w:t xml:space="preserve"> </w:t>
      </w:r>
      <w:r>
        <w:rPr>
          <w:sz w:val="22"/>
        </w:rPr>
        <w:t xml:space="preserve">mesmo exercício financeiro, evitando o sobrepreço e a ineficâcia da execução do contrato; 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9- PROVIDÊNCIAS PARA A ADEQUAÇÃO DO AMBIENTE DO ÓRGÃO</w:t>
      </w:r>
    </w:p>
    <w:p>
      <w:pPr>
        <w:jc w:val="both"/>
      </w:pPr>
      <w:r>
        <w:rPr>
          <w:b/>
          <w:sz w:val="22"/>
        </w:rPr>
        <w:t>Logística:</w:t>
      </w:r>
    </w:p>
    <w:p>
      <w:pPr>
        <w:jc w:val="both"/>
      </w:pPr>
      <w:r>
        <w:rPr>
          <w:sz w:val="22"/>
        </w:rPr>
        <w:t>Não há necessidade de adequação logística (fornecimento de materiais).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Infraestrutura</w:t>
      </w:r>
      <w:r>
        <w:rPr>
          <w:b/>
          <w:sz w:val="22"/>
          <w:spacing w:val="-1"/>
        </w:rPr>
        <w:t xml:space="preserve"> </w:t>
      </w:r>
      <w:r>
        <w:rPr>
          <w:b/>
          <w:sz w:val="22"/>
        </w:rPr>
        <w:t>tecnológica:</w:t>
      </w:r>
    </w:p>
    <w:p>
      <w:pPr>
        <w:jc w:val="both"/>
      </w:pPr>
      <w:r>
        <w:rPr>
          <w:sz w:val="22"/>
        </w:rPr>
        <w:t>Não há necessidade de adequação na infraestrutura tecnológica.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Infraestrutura elétrica:</w:t>
      </w:r>
    </w:p>
    <w:p>
      <w:pPr>
        <w:jc w:val="both"/>
      </w:pPr>
      <w:r>
        <w:rPr>
          <w:sz w:val="22"/>
        </w:rPr>
        <w:t>Não há necessidade de adequação na infraestrutura elétrica.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Espaço físico:</w:t>
      </w:r>
    </w:p>
    <w:p>
      <w:pPr>
        <w:jc w:val="both"/>
      </w:pPr>
      <w:r>
        <w:rPr>
          <w:sz w:val="22"/>
        </w:rPr>
        <w:t>Não há necessidade de adequação no espaço físico.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Mobiliário:</w:t>
      </w:r>
    </w:p>
    <w:p>
      <w:pPr>
        <w:jc w:val="both"/>
      </w:pPr>
      <w:r>
        <w:rPr>
          <w:sz w:val="22"/>
        </w:rPr>
        <w:t>Não há necessidade de adequação de mobiliário.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Impacto ambiental:</w:t>
      </w:r>
    </w:p>
    <w:p>
      <w:pPr>
        <w:jc w:val="both"/>
      </w:pPr>
      <w:r>
        <w:rPr>
          <w:sz w:val="22"/>
        </w:rPr>
        <w:t>Não há efeitos ambientais de considerável relevância na contratação pretendida.</w:t>
      </w:r>
    </w:p>
    <w:p>
      <w:pPr>
        <w:jc w:val="both"/>
      </w:pPr>
      <w:r>
        <w:rPr>
          <w:b/>
          <w:sz w:val="22"/>
          <w:w w:val="120"/>
        </w:rPr>
        <w:t/>
      </w:r>
    </w:p>
    <w:p>
      <w:pPr>
        <w:jc w:val="both"/>
      </w:pPr>
      <w:r>
        <w:rPr>
          <w:b/>
          <w:sz w:val="22"/>
          <w:w w:val="120"/>
        </w:rPr>
        <w:t>10-</w:t>
      </w:r>
      <w:r>
        <w:rPr>
          <w:b/>
          <w:sz w:val="22"/>
          <w:w w:val="120"/>
          <w:spacing w:val="-1"/>
        </w:rPr>
        <w:t xml:space="preserve"> </w:t>
      </w:r>
      <w:r>
        <w:rPr>
          <w:b/>
          <w:sz w:val="22"/>
        </w:rPr>
        <w:t>CRITÉRIOS E PRÁTICAS DE ACESSIBILIDADE, SE CABÍVEL:</w:t>
      </w:r>
    </w:p>
    <w:p>
      <w:pPr>
        <w:jc w:val="both"/>
      </w:pPr>
      <w:r>
        <w:rPr>
          <w:sz w:val="22"/>
          <w:w w:val="115"/>
        </w:rPr>
        <w:t>Não</w:t>
      </w:r>
      <w:r>
        <w:rPr>
          <w:sz w:val="22"/>
          <w:w w:val="115"/>
          <w:spacing w:val="1"/>
        </w:rPr>
        <w:t xml:space="preserve"> </w:t>
      </w:r>
      <w:r>
        <w:rPr>
          <w:sz w:val="22"/>
          <w:w w:val="115"/>
        </w:rPr>
        <w:t>se</w:t>
      </w:r>
      <w:r>
        <w:rPr>
          <w:sz w:val="22"/>
          <w:w w:val="115"/>
          <w:spacing w:val="1"/>
        </w:rPr>
        <w:t xml:space="preserve"> </w:t>
      </w:r>
      <w:r>
        <w:rPr>
          <w:sz w:val="22"/>
          <w:w w:val="115"/>
        </w:rPr>
        <w:t>aplica.</w:t>
      </w:r>
    </w:p>
    <w:p>
      <w:pPr>
        <w:jc w:val="both"/>
      </w:pPr>
      <w:r>
        <w:rPr>
          <w:sz w:val="22"/>
          <w:w w:val="115"/>
        </w:rPr>
        <w:t/>
      </w:r>
    </w:p>
    <w:p>
      <w:pPr>
        <w:jc w:val="both"/>
      </w:pPr>
      <w:r>
        <w:rPr>
          <w:b/>
          <w:sz w:val="22"/>
        </w:rPr>
        <w:t>11– MAPA DE RISCO</w:t>
      </w:r>
    </w:p>
    <w:p>
      <w:pPr>
        <w:jc w:val="both"/>
      </w:pPr>
      <w:r>
        <w:rPr>
          <w:sz w:val="22"/>
        </w:rPr>
        <w:t>Em anexo.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12 - CONTRATAÇÕES CORRELATAS E/OU INTERDEPENDENTES</w:t>
      </w:r>
    </w:p>
    <w:p>
      <w:pPr>
        <w:jc w:val="both"/>
      </w:pPr>
      <w:r>
        <w:rPr>
          <w:sz w:val="22"/>
        </w:rPr>
        <w:t>Não verifica-se contratações correlatas nem interdependentes para a viabilidade e contratação desta demanda.</w:t>
      </w:r>
    </w:p>
    <w:p>
      <w:pPr>
        <w:jc w:val="both"/>
      </w:pPr>
      <w:r>
        <w:rPr>
          <w:b/>
          <w:sz w:val="22"/>
        </w:rPr>
        <w:t/>
      </w:r>
    </w:p>
    <w:p>
      <w:pPr>
        <w:jc w:val="both"/>
      </w:pPr>
      <w:r>
        <w:rPr>
          <w:b/>
          <w:sz w:val="22"/>
        </w:rPr>
        <w:t>13 - VIABILIDADE OU NÃO DA CONTRATAÇÃO</w:t>
      </w:r>
    </w:p>
    <w:p>
      <w:pPr>
        <w:jc w:val="both"/>
      </w:pPr>
      <w:r>
        <w:rPr>
          <w:sz w:val="22"/>
        </w:rPr>
        <w:t xml:space="preserve">Os estudos preliminares evidenciam que a contratação da solução ora descrita, mostra-se tecnicamente possível e </w:t>
      </w:r>
      <w:r>
        <w:rPr>
          <w:sz w:val="22"/>
          <w:spacing w:val="-3"/>
        </w:rPr>
        <w:t xml:space="preserve"> </w:t>
      </w:r>
      <w:r>
        <w:rPr>
          <w:sz w:val="22"/>
        </w:rPr>
        <w:t>fundamentadamente necessária.</w:t>
      </w:r>
    </w:p>
    <w:p>
      <w:pPr>
        <w:jc w:val="both"/>
      </w:pPr>
      <w:r>
        <w:rPr>
          <w:sz w:val="22"/>
        </w:rPr>
        <w:t/>
      </w:r>
    </w:p>
    <w:p>
      <w:pPr>
        <w:jc w:val="both"/>
      </w:pPr>
      <w:r>
        <w:rPr>
          <w:sz w:val="22"/>
        </w:rPr>
        <w:t>Diante do exposto, declara-se ser viável a contratação pretendida.</w:t>
      </w:r>
    </w:p>
    <w:p>
      <w:pPr>
        <w:jc w:val="both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>Guairaçá-PR , 24 de abril de 2025.</w:t>
      </w:r>
    </w:p>
    <w:p>
      <w:pPr>
        <w:jc w:val="right"/>
      </w:pPr>
      <w:r>
        <w:rPr>
          <w:sz w:val="22"/>
        </w:rPr>
        <w:t/>
      </w:r>
    </w:p>
    <w:p>
      <w:pPr>
        <w:jc w:val="right"/>
      </w:pPr>
      <w:r>
        <w:rPr>
          <w:sz w:val="22"/>
        </w:rPr>
        <w:t/>
      </w:r>
    </w:p>
    <w:p>
      <w:pPr>
        <w:jc w:val="center"/>
      </w:pPr>
      <w:r>
        <w:rPr>
          <w:b/>
          <w:sz w:val="22"/>
        </w:rPr>
        <w:t>_____________________________</w:t>
      </w:r>
    </w:p>
    <w:p>
      <w:pPr>
        <w:jc w:val="center"/>
      </w:pPr>
      <w:r>
        <w:rPr>
          <w:b/>
          <w:sz w:val="22"/>
        </w:rPr>
        <w:t>MARIA CRISTINA LOPES DE OLIVEIRA</w:t>
      </w:r>
    </w:p>
    <w:p>
      <w:pPr>
        <w:jc w:val="center"/>
      </w:pPr>
      <w:r>
        <w:rPr>
          <w:b/>
          <w:sz w:val="22"/>
        </w:rPr>
        <w:t>SECRETARIA MUNICIPAL DE ASSISTENCIA SOCIAL</w:t>
      </w:r>
    </w:p>
    <w:p>
      <w:pPr>
        <w:jc w:val="right"/>
      </w:pPr>
      <w:r>
        <w:rPr>
          <w:b/>
          <w:sz w:val="22"/>
        </w:rPr>
        <w:t/>
      </w:r>
    </w:p>
    <w:p>
      <w:r>
        <w:rPr>
          <w:sz w:val="22"/>
        </w:rPr>
        <w:t/>
      </w:r>
    </w:p>
    <w:p>
      <w:r>
        <w:br w:type="page"/>
      </w:r>
    </w:p>
    <w:p>
      <w:pPr>
        <w:jc w:val="right"/>
      </w:pPr>
      <w:r>
        <w:rPr>
          <w:sz w:val="22"/>
        </w:rPr>
        <w:t/>
      </w:r>
    </w:p>
    <w:p>
      <w:pPr>
        <w:jc w:val="center"/>
        <w:outlineLvl w:val="0"/>
        <w:keepLines/>
        <w:keepNext/>
        <w:ind w:right="1305"/>
      </w:pPr>
      <w:bookmarkStart w:id="1" w:name="MAPA_DE_RISCO"/>
      <w:bookmarkEnd w:id="1"/>
      <w:r>
        <w:rPr>
          <w:b/>
          <w:u w:val="single" w:color="000000"/>
          <w:sz w:val="22"/>
        </w:rPr>
        <w:t>MAPA DE RISCO</w:t>
      </w:r>
    </w:p>
    <w:p>
      <w:r>
        <w:rPr>
          <w:u w:val="single"/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</w:rPr>
        <w:t>O Município de Guairaçá deverá adotar todas as condutas necessárias para avaliar, direcionar e monitorar os processos licitatórios e os respectivos contratos, com o intuito de obter a excelência nos resultados das contratações celebradas; evitar inexecuções contratuais que possam comprometer os objetivos de gestão pretendidos; evitar sobrepreço e superfaturamento quando das execuções contratuais; prevenir e reprimir práticas corruptas, práticas fraudulentas, práticas colusivas ou práticas obstrutivas nos processos de contratação pública; garantir que a contratação pública constitua efetivo instrumento de fomento da sustentabilidade em suas dimensões ambiental, social e econômica;  realizar o gerenciamento dos riscos das licitações e das contratações e reduzir os riscos a que estão sujeitas as licitaç</w:t>
      </w:r>
      <w:r>
        <w:rPr>
          <w:sz w:val="22"/>
          <w:shd w:val="clear" w:color="auto" w:fill="FFFFFF"/>
        </w:rPr>
        <w:t>ões e as contratações, como, dentre outros.</w:t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Os riscos serão avaliados de acordo com a seguinte </w:t>
      </w:r>
      <w:r>
        <w:rPr>
          <w:b/>
          <w:sz w:val="22"/>
          <w:shd w:val="clear" w:color="auto" w:fill="FFFFFF"/>
        </w:rPr>
        <w:t>escala de probabilidade</w:t>
      </w:r>
      <w:r>
        <w:rPr>
          <w:sz w:val="22"/>
          <w:shd w:val="clear" w:color="auto" w:fill="FFFFFF"/>
        </w:rPr>
        <w:t>: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raro:</w:t>
      </w:r>
      <w:r>
        <w:rPr>
          <w:sz w:val="22"/>
          <w:shd w:val="clear" w:color="auto" w:fill="FFFFFF"/>
        </w:rPr>
        <w:t xml:space="preserve"> acontece apenas em situações excepcionais; não há histórico conhecido do evento ou não há indícios que sinalizem sua ocorrência;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pouco provável:</w:t>
      </w:r>
      <w:r>
        <w:rPr>
          <w:sz w:val="22"/>
          <w:shd w:val="clear" w:color="auto" w:fill="FFFFFF"/>
        </w:rPr>
        <w:t xml:space="preserve"> o histórico conhecido aponta para baixa frequência de ocorrência no prazo associado ao objetivo;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provável:</w:t>
      </w:r>
      <w:r>
        <w:rPr>
          <w:sz w:val="22"/>
          <w:shd w:val="clear" w:color="auto" w:fill="FFFFFF"/>
        </w:rPr>
        <w:t xml:space="preserve"> repete-se com frequência razoável no prazo associado ao objetivo ou há indícios que possa ocorrer nesse horizonte;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IV - </w:t>
      </w:r>
      <w:r>
        <w:rPr>
          <w:b/>
          <w:sz w:val="22"/>
          <w:shd w:val="clear" w:color="auto" w:fill="FFFFFF"/>
        </w:rPr>
        <w:t>muito provável:</w:t>
      </w:r>
      <w:r>
        <w:rPr>
          <w:sz w:val="22"/>
          <w:shd w:val="clear" w:color="auto" w:fill="FFFFFF"/>
        </w:rPr>
        <w:t xml:space="preserve"> repete-se com elevada frequência no prazo associado ao objetivo ou há muitos indícios que ocorrerá nesse horizonte;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praticamente certo</w:t>
      </w:r>
      <w:r>
        <w:rPr>
          <w:sz w:val="22"/>
          <w:shd w:val="clear" w:color="auto" w:fill="FFFFFF"/>
        </w:rPr>
        <w:t>: ocorrência quase garantida no prazo associado ao objetivo.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/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Os riscos serão avaliados de acordo com a seguinte</w:t>
      </w:r>
      <w:r>
        <w:rPr>
          <w:b/>
          <w:sz w:val="22"/>
          <w:shd w:val="clear" w:color="auto" w:fill="FFFFFF"/>
        </w:rPr>
        <w:t xml:space="preserve"> escala de impacto</w:t>
      </w:r>
      <w:r>
        <w:rPr>
          <w:sz w:val="22"/>
          <w:shd w:val="clear" w:color="auto" w:fill="FFFFFF"/>
        </w:rPr>
        <w:t>: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 - </w:t>
      </w:r>
      <w:r>
        <w:rPr>
          <w:b/>
          <w:sz w:val="22"/>
          <w:shd w:val="clear" w:color="auto" w:fill="FFFFFF"/>
        </w:rPr>
        <w:t>muito baixo</w:t>
      </w:r>
      <w:r>
        <w:rPr>
          <w:sz w:val="22"/>
          <w:shd w:val="clear" w:color="auto" w:fill="FFFFFF"/>
        </w:rPr>
        <w:t>: compromete minimamente o atingimento do objetivo; para fins práticos, não altera o alcance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 - </w:t>
      </w:r>
      <w:r>
        <w:rPr>
          <w:b/>
          <w:sz w:val="22"/>
          <w:shd w:val="clear" w:color="auto" w:fill="FFFFFF"/>
        </w:rPr>
        <w:t>baixo</w:t>
      </w:r>
      <w:r>
        <w:rPr>
          <w:sz w:val="22"/>
          <w:shd w:val="clear" w:color="auto" w:fill="FFFFFF"/>
        </w:rPr>
        <w:t>: compromete em alguma medida o alcance do objetivo, mas não impede o alcance da maior parte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III - </w:t>
      </w:r>
      <w:r>
        <w:rPr>
          <w:b/>
          <w:sz w:val="22"/>
          <w:shd w:val="clear" w:color="auto" w:fill="FFFFFF"/>
        </w:rPr>
        <w:t>médio:</w:t>
      </w:r>
      <w:r>
        <w:rPr>
          <w:sz w:val="22"/>
          <w:shd w:val="clear" w:color="auto" w:fill="FFFFFF"/>
        </w:rPr>
        <w:t xml:space="preserve"> compromete razoavelmente o alcance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>IV -</w:t>
      </w:r>
      <w:r>
        <w:rPr>
          <w:b/>
          <w:sz w:val="22"/>
          <w:shd w:val="clear" w:color="auto" w:fill="FFFFFF"/>
        </w:rPr>
        <w:t xml:space="preserve"> alto</w:t>
      </w:r>
      <w:r>
        <w:rPr>
          <w:sz w:val="22"/>
          <w:shd w:val="clear" w:color="auto" w:fill="FFFFFF"/>
        </w:rPr>
        <w:t>: compromete a maior parte do atingimento do objetivo/resultado;</w:t>
      </w:r>
    </w:p>
    <w:p>
      <w:pPr>
        <w:jc w:val="both"/>
        <w:keepLines/>
        <w:keepNext/>
        <w:widowControl/>
        <w:tabs>
          <w:tab w:val="left" w:pos="10125"/>
        </w:tabs>
      </w:pPr>
      <w:r>
        <w:rPr>
          <w:sz w:val="22"/>
          <w:shd w:val="clear" w:color="auto" w:fill="FFFFFF"/>
        </w:rPr>
        <w:t xml:space="preserve">V - </w:t>
      </w:r>
      <w:r>
        <w:rPr>
          <w:b/>
          <w:sz w:val="22"/>
          <w:shd w:val="clear" w:color="auto" w:fill="FFFFFF"/>
        </w:rPr>
        <w:t>muito alto</w:t>
      </w:r>
      <w:r>
        <w:rPr>
          <w:sz w:val="22"/>
          <w:shd w:val="clear" w:color="auto" w:fill="FFFFFF"/>
        </w:rPr>
        <w:t>: compromete totalmente ou quase totalmente o atingimento do objetivo/resultado.</w:t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keepLines/>
        <w:keepNext/>
        <w:tabs>
          <w:tab w:val="left" w:pos="10125"/>
        </w:tabs>
      </w:pPr>
      <w:r>
        <w:rPr>
          <w:b/>
          <w:sz w:val="22"/>
        </w:rPr>
        <w:t/>
      </w:r>
    </w:p>
    <w:p>
      <w:pPr>
        <w:jc w:val="both"/>
        <w:keepLines/>
        <w:keepNext/>
        <w:tabs>
          <w:tab w:val="left" w:pos="10125"/>
        </w:tabs>
      </w:pPr>
      <w:r>
        <w:rPr>
          <w:b/>
          <w:sz w:val="22"/>
        </w:rPr>
        <w:t>OBJETO: REGISTRO DE PREÇOS PARA FUTURA E EVENTUAL AQUISIÇÃO DE KIT NATALIDADE PARA ATENDER OS PROJETOS SOCIAIS EM ATENÇÃO À SECRETARIA MUNICIPAL DE ASSISTÊNCIA SOCIAL DO MUNICÍPIO DE GUAIRAÇÁ-PR.</w:t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jc w:val="center"/>
        <w:ind w:left="2010" w:right="2010"/>
        <w:spacing w:before="45"/>
      </w:pPr>
      <w:r>
        <w:rPr>
          <w:b/>
          <w:sz w:val="22"/>
        </w:rPr>
        <w:t>FASE DE PLANEJAMENTO</w:t>
      </w:r>
    </w:p>
    <w:p>
      <w:pPr>
        <w:jc w:val="center"/>
        <w:ind w:left="2010" w:right="2010"/>
        <w:spacing w:before="45"/>
      </w:pPr>
      <w:r>
        <w:rPr>
          <w:b/>
          <w:sz w:val="22"/>
        </w:rPr>
        <w:t/>
      </w:r>
    </w:p>
    <w:p>
      <w:pPr>
        <w:jc w:val="both"/>
        <w:keepLines/>
        <w:keepNext/>
        <w:tabs>
          <w:tab w:val="left" w:pos="10125"/>
        </w:tabs>
      </w:pPr>
      <w:r>
        <w:rPr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3" name="P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3.emf"/>
                    <pic:cNvPicPr/>
                  </pic:nvPicPr>
                  <pic:blipFill>
                    <a:blip r:embed="prId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590"/>
        <w:gridCol w:w="1005"/>
        <w:gridCol w:w="480"/>
        <w:gridCol w:w="1245"/>
        <w:gridCol w:w="1275"/>
        <w:gridCol w:w="150"/>
        <w:gridCol w:w="1785"/>
        <w:gridCol w:w="2325"/>
      </w:tblGrid>
      <w:tr>
        <w:trPr>
          <w:trHeight w:val="465" w:hRule="atLeast"/>
        </w:trPr>
        <w:tc>
          <w:tcPr>
            <w:tcW w:w="1086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60"/>
            </w:pPr>
            <w:r>
              <w:rPr>
                <w:b/>
                <w:sz w:val="16"/>
              </w:rPr>
              <w:t>RISCO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01.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AUSÊNCIA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PRIORIZAÇÃO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DAS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AQUISIÇÕES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QUE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SE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BASEIAM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NAS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AÇÕES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ORGANIZACIONAIS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MAIS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RELEVANTES.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O ÓRGÃO NÃO ATINGIR OS OBJETIVOS ORGANIZACIONAIS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1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  <w:tabs>
                <w:tab w:val="left" w:pos="960"/>
                <w:tab w:val="left" w:pos="2430"/>
              </w:tabs>
            </w:pPr>
            <w:r>
              <w:rPr>
                <w:sz w:val="16"/>
              </w:rPr>
              <w:t xml:space="preserve">DEFINIR METODOLOGIA DE PRIORIZAÇÃO DE 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AQUISIÇÕES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8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  <w:tabs>
                <w:tab w:val="left" w:pos="720"/>
              </w:tabs>
            </w:pPr>
            <w:r>
              <w:rPr>
                <w:sz w:val="16"/>
              </w:rPr>
              <w:t>EFETIVO FUNCIONAMENTO DO SETOR DE PLANEJAMENTO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7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605"/>
        <w:gridCol w:w="1005"/>
        <w:gridCol w:w="495"/>
        <w:gridCol w:w="1275"/>
        <w:gridCol w:w="1320"/>
        <w:gridCol w:w="90"/>
        <w:gridCol w:w="1845"/>
        <w:gridCol w:w="2220"/>
      </w:tblGrid>
      <w:tr>
        <w:trPr>
          <w:trHeight w:val="465" w:hRule="atLeast"/>
        </w:trPr>
        <w:tc>
          <w:tcPr>
            <w:tcW w:w="1086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02.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 xml:space="preserve">ESTUDO TÉCNICO PRELIMINAR COM CONTEÚDO INSUFICIENTE PARA ATINGIR O OBJETIVO (MAL 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ELABORADO)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7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Pouco Provável</w:t>
            </w:r>
          </w:p>
        </w:tc>
        <w:tc>
          <w:tcPr>
            <w:tcW w:w="13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2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Alto</w:t>
            </w:r>
          </w:p>
        </w:tc>
        <w:tc>
          <w:tcPr>
            <w:tcW w:w="222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5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DESPERDÍCIO DE RECURSOS PÚBLICOS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5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  <w:tr>
        <w:trPr>
          <w:trHeight w:val="58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NOMEAÇÃO DE SERVIDORES COM CONHECIMENTO TÉCNICO DO OBJETO, DA LEGISLAÇÃO ESPECÍFICA E DOS PROCEDIMENTOS DA CONTRATAÇÃO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  <w:tabs>
                <w:tab w:val="left" w:pos="1620"/>
                <w:tab w:val="left" w:pos="3240"/>
              </w:tabs>
            </w:pPr>
            <w:r>
              <w:rPr>
                <w:sz w:val="16"/>
              </w:rPr>
              <w:t>REALIZAR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ANÁLISE,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CONFERÊNCIA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E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REVISÃO</w:t>
            </w:r>
            <w:r>
              <w:rPr>
                <w:sz w:val="16"/>
                <w:spacing w:val="1"/>
              </w:rPr>
              <w:t xml:space="preserve"> </w:t>
            </w:r>
            <w:r>
              <w:rPr>
                <w:sz w:val="16"/>
              </w:rPr>
              <w:t>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ESTUDOS TÉCNICOS PRELIMINARES APRESENTADOS.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605"/>
        <w:gridCol w:w="1005"/>
        <w:gridCol w:w="495"/>
        <w:gridCol w:w="1245"/>
        <w:gridCol w:w="1275"/>
        <w:gridCol w:w="165"/>
        <w:gridCol w:w="1770"/>
        <w:gridCol w:w="2280"/>
      </w:tblGrid>
      <w:tr>
        <w:trPr>
          <w:trHeight w:val="465" w:hRule="atLeast"/>
        </w:trPr>
        <w:tc>
          <w:tcPr>
            <w:tcW w:w="1084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03. ELABORAÇÃO DE TERMO DE REFERÊNCIA INADEQUADO, QUE NÃO PERMITE A SELEÇÃO DA PROPOSTA MAIS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VANTAJOSA (INCOMPLETO OU INCONSISTENTE).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2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6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28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4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33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4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DESPERDÍCIO DE RECURSOS PÚBLICOS, RESULTANDO NUMA MÁ CONTRATAÇÃO OU ATÉ MESMO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INVIABILIZANDO-A.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2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  <w:tr>
        <w:trPr>
          <w:trHeight w:val="54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NOMEAÇÃO DE SERVIDORES  COM CONHECIMENTO TÉCNICO DO OBJETO, DA LEGISLAÇÃO ESPECÍFICA E DOS PROCEDIMENTOS DA CONTRATAÇÃO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  <w:tr>
        <w:trPr>
          <w:trHeight w:val="46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left="75" w:right="-30" w:hanging="75"/>
            </w:pPr>
            <w:r>
              <w:rPr>
                <w:sz w:val="16"/>
              </w:rPr>
              <w:t>REMANEJAMENTO DO QUADRO DE PESSOAL DO ÓRGÃO,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EVITANDO SOBRECARGA DE TRABALHO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DEVOLVER O PROCESSO AO DEMANDANTE PARA CONFERIR, REVISAR OU RATIFICAR O TERMO DE REFERÊNCIA/ESTUDO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DEMANDANTE</w:t>
            </w:r>
          </w:p>
        </w:tc>
      </w:tr>
      <w:tr>
        <w:trPr>
          <w:trHeight w:val="43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REALIZAR ANÁLISE, CONFERÊNCIA E REVISÃO 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TERMOS DE REFERÊNCIA/ESTUDOS APRESENTADOS.</w:t>
            </w:r>
          </w:p>
        </w:tc>
        <w:tc>
          <w:tcPr>
            <w:tcW w:w="40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6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15" w:type="dxa"/>
      </w:tblPr>
      <w:tblGrid>
        <w:gridCol w:w="1005"/>
        <w:gridCol w:w="1575"/>
        <w:gridCol w:w="1005"/>
        <w:gridCol w:w="480"/>
        <w:gridCol w:w="1275"/>
        <w:gridCol w:w="1305"/>
        <w:gridCol w:w="105"/>
        <w:gridCol w:w="1740"/>
        <w:gridCol w:w="2325"/>
        <w:gridCol w:w="30"/>
      </w:tblGrid>
      <w:tr>
        <w:trPr>
          <w:trHeight w:val="285" w:hRule="atLeast"/>
        </w:trPr>
        <w:tc>
          <w:tcPr>
            <w:tcW w:w="1081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RISCO 04. ESTIMATIVA INADEQUADA DO VALOR DE REFERÊNCIA DA CONTRATAÇÃO.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258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Pouco Provável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8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 ) Alto</w:t>
            </w:r>
          </w:p>
        </w:tc>
        <w:tc>
          <w:tcPr>
            <w:tcW w:w="23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1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1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UTILIZAÇÃO DE PARÂMETROS INADEQUADOS PARA ANALISAR A VIABILIDADE DA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9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COM ACUIDADE O LEVANTAMENTO DE QUANTITATIVOS E OS PREÇOS, ASSIM COMO CONFERIR TODOS OS DADOS QUANDO DA ELABORAÇÃO DO VALOR DE REFERÊNCIA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31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PREVISÃO DE METODOLOGIA PARA A REALIZAÇÃO DE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PESQUISA DE PREÇOS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2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1005" w:hRule="atLeast"/>
        </w:trPr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NOVA CONFERÊNCIA DA PLANILHA ORÇAMENTÁRIA, DOS QUANTITATIVOS PREVISTOS NO ESTUDO TÉCNICO PRELIMINAR, TERMO DE REFERÊNCIA, ANTES DA PUBLICAÇÃO DO EDITAL, POR OUTRO SERVIDOR COM CONHECIMENTO TÉCNICO DO OBJETO.</w:t>
            </w:r>
          </w:p>
        </w:tc>
        <w:tc>
          <w:tcPr>
            <w:tcW w:w="40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center"/>
        <w:ind w:right="15"/>
        <w:spacing w:before="45"/>
      </w:pPr>
      <w:r>
        <w:rPr>
          <w:b/>
          <w:sz w:val="22"/>
        </w:rPr>
        <w:t>FASE DE ANÁLISE - SELEÇÃO DO FORNECEDOR</w:t>
      </w:r>
    </w:p>
    <w:p>
      <w:pPr>
        <w:jc w:val="center"/>
        <w:ind w:right="15"/>
        <w:spacing w:before="45"/>
      </w:pPr>
      <w:r>
        <w:rPr>
          <w:b/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4" name="P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4.emf"/>
                    <pic:cNvPicPr/>
                  </pic:nvPicPr>
                  <pic:blipFill>
                    <a:blip r:embed="prId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84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75"/>
        <w:gridCol w:w="1005"/>
        <w:gridCol w:w="480"/>
        <w:gridCol w:w="1230"/>
        <w:gridCol w:w="1365"/>
        <w:gridCol w:w="60"/>
        <w:gridCol w:w="1755"/>
        <w:gridCol w:w="2355"/>
        <w:gridCol w:w="30"/>
      </w:tblGrid>
      <w:tr>
        <w:trPr>
          <w:trHeight w:val="285" w:hRule="atLeast"/>
        </w:trPr>
        <w:tc>
          <w:tcPr>
            <w:tcW w:w="1080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01. CONTRATAÇÃO DE EMPRESA QUE NÃO TENHA CAPACIDADE DE EXECUTAR O CONTRATO.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3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1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6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1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3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4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6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NÃO OBTENÇÃO DO OBJETO CONTRATADO E DESCUMPRIMENTO, PELA CONTRATADA, DAS OBRIGAÇÕES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PREVISTAS EM LEGISLAÇÃO ESPECÍFICA E NO CONTRATO.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45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ANALISAR CRITERIOSAMENTE OS CRITÉRIOS DE QUALIFICAÇÃO ECONÔMICO-FINANCEIRA DA EMPRESA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LICITANTE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39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ANALISAR CRITERIOSAMENTE OS CRITÉRIOS DE QUALIFICAÇÃO TÉCNICA DA EMPRESA LICITANTE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19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  <w:tr>
        <w:trPr>
          <w:trHeight w:val="60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1.</w:t>
            </w:r>
          </w:p>
        </w:tc>
        <w:tc>
          <w:tcPr>
            <w:tcW w:w="571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ANÁLISE CRITERIOSA DA QUALIFICAÇÃO ECONÔMICO-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FINANCEIRA DA LICITANTE POR SERVIDOR COM CONHECIMENTO TÉCNICO EM CONTABILIDADE E EM BALANÇOS PATRIMINIAIS</w:t>
            </w:r>
          </w:p>
        </w:tc>
        <w:tc>
          <w:tcPr>
            <w:tcW w:w="411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AGENTE DE CONTRATAÇÃO / CONTABILIDADE</w:t>
            </w:r>
          </w:p>
        </w:tc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81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75"/>
        <w:gridCol w:w="1005"/>
        <w:gridCol w:w="480"/>
        <w:gridCol w:w="1275"/>
        <w:gridCol w:w="1275"/>
        <w:gridCol w:w="90"/>
        <w:gridCol w:w="1755"/>
        <w:gridCol w:w="2370"/>
      </w:tblGrid>
      <w:tr>
        <w:trPr>
          <w:trHeight w:val="465" w:hRule="atLeast"/>
        </w:trPr>
        <w:tc>
          <w:tcPr>
            <w:tcW w:w="1080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02. QUESTIONAMENTOS NO CERTAME (RECURSOS,</w:t>
            </w:r>
            <w:r>
              <w:rPr>
                <w:b/>
                <w:sz w:val="16"/>
                <w:spacing w:val="1"/>
              </w:rPr>
              <w:t xml:space="preserve"> </w:t>
            </w:r>
            <w:r>
              <w:rPr>
                <w:b/>
                <w:sz w:val="16"/>
              </w:rPr>
              <w:t>IMPUGNAÇÕES) E JUNTO A ÓRGÃOS EXTERNOS (PODER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JUDICIÁRIO, TCU)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5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5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8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3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82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PARALISAÇÃO DO CERTAME ATÉ QUE A EXIGÊNCIA SEJA COMPREENDIDA / SANADA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21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ADOÇÃO DE EDITAL CONFORME AS PREMISSAS DA LEI 14133/2021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>AGENTE DE CONTRATAÇÃO</w:t>
            </w:r>
          </w:p>
        </w:tc>
      </w:tr>
      <w:tr>
        <w:trPr>
          <w:trHeight w:val="5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INCLUIR REFERÊNCIAS A DISPOSITIVOS LEGAIS E/OU JURISPRUDÊNCIAS QUE FUNDAMENTEM A INCLUSÃO DE EXIGÊNCIAS NÃO USUAIS NA CONTRATAÇÃO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  <w:tr>
        <w:trPr>
          <w:trHeight w:val="18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13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0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CRIAR UM NÍVEL DE REVISÃO E SUPERVISÃO DOS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EDITAIS</w:t>
            </w:r>
          </w:p>
        </w:tc>
        <w:tc>
          <w:tcPr>
            <w:tcW w:w="412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18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8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990"/>
        <w:gridCol w:w="1605"/>
        <w:gridCol w:w="1005"/>
        <w:gridCol w:w="495"/>
        <w:gridCol w:w="1245"/>
        <w:gridCol w:w="1275"/>
        <w:gridCol w:w="120"/>
        <w:gridCol w:w="1875"/>
        <w:gridCol w:w="2160"/>
      </w:tblGrid>
      <w:tr>
        <w:trPr>
          <w:trHeight w:val="285" w:hRule="atLeast"/>
        </w:trPr>
        <w:tc>
          <w:tcPr>
            <w:tcW w:w="1077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03. LICITAÇÃO DESERTA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) Pouco Provável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4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Muito Alto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8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18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8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RETRABALHO PARA REALIZAR A CONTRATAÇÃO OU NÃO ATENDIMENTO DA NECESSIDADE QUE A ORIGINOU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PREVISÃO DE LEVANTAMENTO DE MERCADO COMO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UMAS DAS FASES DO ESTUDO TÉCNICO PRELIMINAR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  <w:tr>
        <w:trPr>
          <w:trHeight w:val="27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660" w:hRule="atLeast"/>
        </w:trPr>
        <w:tc>
          <w:tcPr>
            <w:tcW w:w="9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A LICITAÇÃO COM MÁXIMA ANTECEDÊNCIA, DE MODO A SER POSSÍVEL REPETIR TODO O PROCESSO EM TEMPO HÁBIL PARA EXECUTAR A CONTRATAÇÃO NO MESMO EXERCÍCIO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center"/>
        <w:ind w:right="15"/>
        <w:spacing w:before="45"/>
      </w:pPr>
      <w:r>
        <w:rPr>
          <w:b/>
          <w:sz w:val="22"/>
        </w:rPr>
        <w:t>FASE DE CONTRATAÇÃO</w:t>
      </w:r>
    </w:p>
    <w:p>
      <w:pPr>
        <w:jc w:val="center"/>
        <w:ind w:right="15"/>
        <w:spacing w:before="45"/>
      </w:pPr>
      <w:r>
        <w:rPr>
          <w:rFonts w:ascii="Times New Roman" w:hAnsi="Times New Roman" w:cs="Times New Roman" w:eastAsia="Times New Roman"/>
          <w:sz w:val="22"/>
        </w:rPr>
        <w:t/>
      </w:r>
    </w:p>
    <w:p>
      <w:pPr>
        <w:jc w:val="center"/>
        <w:ind w:right="15"/>
        <w:spacing w:before="45"/>
      </w:pPr>
      <w:r>
        <w:rPr>
          <w:rFonts w:ascii="Times New Roman" w:hAnsi="Times New Roman" w:cs="Times New Roman" w:eastAsia="Times New Roman"/>
          <w:sz w:val="22"/>
        </w:rPr>
        <w:t/>
      </w:r>
    </w:p>
    <w:p>
      <w:pPr>
        <w:keepLines/>
        <w:keepNext/>
        <w:ind w:right="-30"/>
      </w:pPr>
      <w:r>
        <w:drawing>
          <wp:inline distT="0" distB="0" distL="0" distR="0">
            <wp:extent cx="0" cy="0"/>
            <wp:effectExtent l="0" t="0" r="0" b="0"/>
            <wp:docPr id="5" name="P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5.emf"/>
                    <pic:cNvPicPr/>
                  </pic:nvPicPr>
                  <pic:blipFill>
                    <a:blip r:embed="prId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0" cy="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77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30"/>
        <w:gridCol w:w="975"/>
        <w:gridCol w:w="1590"/>
        <w:gridCol w:w="1005"/>
        <w:gridCol w:w="480"/>
        <w:gridCol w:w="1260"/>
        <w:gridCol w:w="1230"/>
        <w:gridCol w:w="180"/>
        <w:gridCol w:w="1680"/>
        <w:gridCol w:w="2325"/>
      </w:tblGrid>
      <w:tr>
        <w:trPr>
          <w:trHeight w:val="285" w:hRule="atLeast"/>
        </w:trPr>
        <w:tc>
          <w:tcPr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10725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01. FORMALIZAÇÃO INCORRETA DO TERMO CONTRATUAL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3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4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 ) Pouco Provável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86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95" w:type="dxa"/>
            <w:gridSpan w:val="3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23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Médio</w:t>
            </w:r>
          </w:p>
        </w:tc>
        <w:tc>
          <w:tcPr>
            <w:tcW w:w="186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x  ) Alto</w:t>
            </w:r>
          </w:p>
        </w:tc>
        <w:tc>
          <w:tcPr>
            <w:tcW w:w="232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5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46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50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PROBLEMAS CONSTANTES NA EXECUÇÃO DO OBJETO, QUER POR FALTA, QUER POR EXCESSO DE CLÁUSULAS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CONTRATUAIS</w:t>
            </w:r>
            <w:r>
              <w:rPr>
                <w:sz w:val="16"/>
              </w:rPr>
              <w:t>.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55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REALIZAR LEVANTAMENTO PRÉVIO E CONFERIR ATENTAMENTE AS INFORMAÇÕES ANTES DA PUBLICAÇÃO DO EDITAL COM A MINUTA DO CONTRATO E ANTES DA ASSINATURA DO CONTRATO.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05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45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CRIAR NÍVEL DE REVISÃO NOS PROCEDIMENTOS DE ELABORAÇÃO DE MINUTA CONTRATUAL E CONTRATO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PROPRIAMENTE DITO.</w:t>
            </w:r>
          </w:p>
        </w:tc>
        <w:tc>
          <w:tcPr>
            <w:tcW w:w="400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SETOR DE LICITAÇÕES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55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45" w:type="dxa"/>
      </w:tblPr>
      <w:tblGrid>
        <w:gridCol w:w="975"/>
        <w:gridCol w:w="1590"/>
        <w:gridCol w:w="1005"/>
        <w:gridCol w:w="480"/>
        <w:gridCol w:w="1290"/>
        <w:gridCol w:w="1305"/>
        <w:gridCol w:w="60"/>
        <w:gridCol w:w="1875"/>
        <w:gridCol w:w="2160"/>
      </w:tblGrid>
      <w:tr>
        <w:trPr>
          <w:trHeight w:val="285" w:hRule="atLeast"/>
        </w:trPr>
        <w:tc>
          <w:tcPr>
            <w:tcW w:w="10740" w:type="dxa"/>
            <w:gridSpan w:val="9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02. FISCAL COM POUCO TEMPO PARA EXECUTAR SUAS ATRIBUIÇÕES REFERENTES AO CONTRATO</w:t>
            </w:r>
          </w:p>
        </w:tc>
      </w:tr>
      <w:tr>
        <w:trPr>
          <w:trHeight w:val="270" w:hRule="atLeast"/>
        </w:trPr>
        <w:tc>
          <w:tcPr>
            <w:tcW w:w="25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77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Pouco Provável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25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48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29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 ) Alto</w:t>
            </w:r>
          </w:p>
        </w:tc>
        <w:tc>
          <w:tcPr>
            <w:tcW w:w="216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6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46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6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b/>
                <w:sz w:val="16"/>
              </w:rPr>
              <w:t>NÃO ACOMPANHAMENTO DE VÁRIOS ASPECTOS IMPORTANTES DA CONTRATAÇÃO OU RECEBIMENTO DE</w:t>
            </w:r>
            <w:r>
              <w:rPr>
                <w:b/>
                <w:sz w:val="16"/>
                <w:spacing w:val="-2"/>
              </w:rPr>
              <w:t xml:space="preserve"> </w:t>
            </w:r>
            <w:r>
              <w:rPr>
                <w:b/>
                <w:sz w:val="16"/>
              </w:rPr>
              <w:t>SERVIÇOS EM DESCONFORMIDADE COM ESPECIFICAÇÕES TÉCNICAS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3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DISTRIBUIÇÃO MAIS EQUITATIVA DE CONTRATOS 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SEREM FISCALIZADOS ENTRE OS VÁRIOS</w:t>
            </w:r>
            <w:r>
              <w:rPr>
                <w:sz w:val="16"/>
                <w:spacing w:val="3"/>
              </w:rPr>
              <w:t xml:space="preserve"> </w:t>
            </w:r>
            <w:r>
              <w:rPr>
                <w:sz w:val="16"/>
              </w:rPr>
              <w:t>SERVIDORES DO TRIBUNAL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  <w:tr>
        <w:trPr>
          <w:trHeight w:val="225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  <w:tr>
        <w:trPr>
          <w:trHeight w:val="27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50" w:hRule="atLeast"/>
        </w:trPr>
        <w:tc>
          <w:tcPr>
            <w:tcW w:w="97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3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 INDICAÇÃO DO FISCAL DEVE RECAIR SOBRE SERVIDOR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403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tbl>
      <w:tblPr>
        <w:tblW w:w="1074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Ind w:w="30" w:type="dxa"/>
      </w:tblPr>
      <w:tblGrid>
        <w:gridCol w:w="30"/>
        <w:gridCol w:w="960"/>
        <w:gridCol w:w="1635"/>
        <w:gridCol w:w="1005"/>
        <w:gridCol w:w="495"/>
        <w:gridCol w:w="1170"/>
        <w:gridCol w:w="1350"/>
        <w:gridCol w:w="135"/>
        <w:gridCol w:w="1860"/>
        <w:gridCol w:w="2085"/>
      </w:tblGrid>
      <w:tr>
        <w:trPr>
          <w:trHeight w:val="285" w:hRule="atLeast"/>
        </w:trPr>
        <w:tc>
          <w:tcPr>
            <w:tcW w:w="10725" w:type="dxa"/>
            <w:gridSpan w:val="10"/>
            <w:tcBorders>
              <w:left w:val="single" w:sz="6" w:color="000000"/>
              <w:top w:val="single" w:sz="6" w:color="000000"/>
              <w:right w:val="nil"/>
              <w:bottom w:val="single" w:sz="6" w:color="000000"/>
            </w:tcBorders>
            <w:shd w:val="clear" w:color="auto" w:fill="C0C0C0"/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RISCO 03. EXECUÇÃO DO OBJETO EM DESACORDO COM O CONTRATO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Probabilidade:</w:t>
            </w:r>
          </w:p>
        </w:tc>
        <w:tc>
          <w:tcPr>
            <w:tcW w:w="100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Raro</w:t>
            </w:r>
          </w:p>
        </w:tc>
        <w:tc>
          <w:tcPr>
            <w:tcW w:w="166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x ) Pouco Provável</w:t>
            </w:r>
          </w:p>
        </w:tc>
        <w:tc>
          <w:tcPr>
            <w:tcW w:w="13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Provável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Muito Provável</w:t>
            </w:r>
          </w:p>
        </w:tc>
        <w:tc>
          <w:tcPr>
            <w:tcW w:w="208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Praticamente Certo</w:t>
            </w:r>
          </w:p>
        </w:tc>
      </w:tr>
      <w:tr>
        <w:trPr>
          <w:trHeight w:val="270" w:hRule="atLeast"/>
        </w:trPr>
        <w:tc>
          <w:tcPr>
            <w:tcW w:w="30" w:type="dxa"/>
            <w:tcBorders>
              <w:left w:val="nil"/>
              <w:top w:val="nil"/>
              <w:right w:val="nil"/>
              <w:bottom w:val="nil"/>
            </w:tcBorders>
          </w:tcPr>
          <w:p>
            <w:r>
              <w:t/>
            </w:r>
          </w:p>
        </w:tc>
        <w:tc>
          <w:tcPr>
            <w:tcW w:w="25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Impacto:</w:t>
            </w:r>
          </w:p>
        </w:tc>
        <w:tc>
          <w:tcPr>
            <w:tcW w:w="150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(   )  Mto Baixo</w:t>
            </w:r>
          </w:p>
        </w:tc>
        <w:tc>
          <w:tcPr>
            <w:tcW w:w="117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) Baixo</w:t>
            </w:r>
          </w:p>
        </w:tc>
        <w:tc>
          <w:tcPr>
            <w:tcW w:w="1350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 ) Médio</w:t>
            </w:r>
          </w:p>
        </w:tc>
        <w:tc>
          <w:tcPr>
            <w:tcW w:w="199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x  ) Alto</w:t>
            </w:r>
          </w:p>
        </w:tc>
        <w:tc>
          <w:tcPr>
            <w:tcW w:w="2085" w:type="dxa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 xml:space="preserve"> (    ) Muito Alto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973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DANO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9735" w:type="dxa"/>
            <w:gridSpan w:val="8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b/>
                <w:sz w:val="16"/>
              </w:rPr>
              <w:t>ATENDIMENTO INADEQUADO OU NÃO ATENDIMENTO DA NECESSIDADE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Preventiva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42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A INDICAÇÃO DO FISCAL DEVE RECAIR SOBRE SERVIDOR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COM COMPETÊNCIAS E CAPACIDADE PARA FISCALIZAR O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OBJETO.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  <w:tr>
        <w:trPr>
          <w:trHeight w:val="21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>TREINAMENTO E CAPACITAÇÃO DE SERVIDORES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  <w:tr>
        <w:trPr>
          <w:trHeight w:val="27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Id.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Ação de Contingência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Responsável</w:t>
            </w:r>
          </w:p>
        </w:tc>
      </w:tr>
      <w:tr>
        <w:trPr>
          <w:trHeight w:val="390" w:hRule="atLeast"/>
        </w:trPr>
        <w:tc>
          <w:tcPr>
            <w:tcW w:w="990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5790" w:type="dxa"/>
            <w:gridSpan w:val="6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jc w:val="both"/>
              <w:keepLines/>
              <w:keepNext/>
              <w:ind w:right="-30"/>
            </w:pPr>
            <w:r>
              <w:rPr>
                <w:sz w:val="16"/>
              </w:rPr>
              <w:t>DISTRIBUIÇÃO MAIS EQUITATIVA DE CONTRATOS A</w:t>
            </w:r>
            <w:r>
              <w:rPr>
                <w:sz w:val="16"/>
                <w:spacing w:val="-2"/>
              </w:rPr>
              <w:t xml:space="preserve"> </w:t>
            </w:r>
            <w:r>
              <w:rPr>
                <w:sz w:val="16"/>
              </w:rPr>
              <w:t>SEREM FISCALIZADOS ENTRE OS</w:t>
            </w:r>
            <w:r>
              <w:rPr>
                <w:sz w:val="16"/>
                <w:spacing w:val="3"/>
              </w:rPr>
              <w:t xml:space="preserve"> </w:t>
            </w:r>
            <w:r>
              <w:rPr>
                <w:sz w:val="16"/>
              </w:rPr>
              <w:t>SERVIDORES ENVOLVIDOS</w:t>
            </w:r>
          </w:p>
        </w:tc>
        <w:tc>
          <w:tcPr>
            <w:tcW w:w="3945" w:type="dxa"/>
            <w:gridSpan w:val="2"/>
            <w:tcBorders>
              <w:left w:val="single" w:sz="6" w:color="000000"/>
              <w:top w:val="single" w:sz="6" w:color="000000"/>
              <w:right w:val="single" w:sz="6" w:color="000000"/>
              <w:bottom w:val="single" w:sz="6" w:color="000000"/>
            </w:tcBorders>
          </w:tcPr>
          <w:p>
            <w:pPr>
              <w:keepLines/>
              <w:keepNext/>
              <w:ind w:right="-30"/>
            </w:pPr>
            <w:r>
              <w:rPr>
                <w:sz w:val="16"/>
              </w:rPr>
              <w:t/>
            </w:r>
          </w:p>
          <w:p>
            <w:pPr>
              <w:jc w:val="center"/>
              <w:keepLines/>
              <w:keepNext/>
              <w:ind w:right="-30"/>
            </w:pPr>
            <w:r>
              <w:rPr>
                <w:sz w:val="16"/>
              </w:rPr>
              <w:t>SECRETARIA MUNICIPAL DE ASSISTENCIA SOCIAL</w:t>
            </w:r>
          </w:p>
        </w:tc>
      </w:tr>
    </w:tbl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keepLines/>
        <w:keepNext/>
        <w:ind w:right="-30"/>
      </w:pPr>
      <w:r>
        <w:rPr>
          <w:sz w:val="22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>Guairaçá-Pr, 24 de abril de 2025.</w:t>
      </w:r>
    </w:p>
    <w:p>
      <w:pPr>
        <w:jc w:val="right"/>
        <w:keepLines/>
        <w:keepNext/>
        <w:ind w:right="-30"/>
      </w:pPr>
      <w:r>
        <w:rPr>
          <w:sz w:val="22"/>
          <w:color w:val="FF0000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/>
      </w:r>
    </w:p>
    <w:p>
      <w:pPr>
        <w:jc w:val="right"/>
        <w:keepLines/>
        <w:keepNext/>
        <w:ind w:right="-30"/>
      </w:pPr>
      <w:r>
        <w:rPr>
          <w:sz w:val="22"/>
        </w:rPr>
        <w:t/>
      </w:r>
    </w:p>
    <w:p>
      <w:pPr>
        <w:jc w:val="center"/>
        <w:keepLines/>
        <w:keepNext/>
        <w:ind w:right="-30"/>
      </w:pPr>
      <w:r>
        <w:rPr>
          <w:b/>
          <w:sz w:val="22"/>
        </w:rPr>
        <w:t>_________________________</w:t>
      </w:r>
    </w:p>
    <w:p>
      <w:pPr>
        <w:jc w:val="center"/>
        <w:keepLines/>
        <w:keepNext/>
        <w:ind w:right="-30"/>
      </w:pPr>
      <w:r>
        <w:rPr>
          <w:b/>
          <w:sz w:val="22"/>
        </w:rPr>
        <w:t>MARIA CRISTINA LOPES DE OLIVEIRA</w:t>
      </w:r>
    </w:p>
    <w:p>
      <w:pPr>
        <w:jc w:val="center"/>
        <w:keepLines/>
        <w:keepNext/>
        <w:ind w:right="-30"/>
      </w:pPr>
      <w:r>
        <w:rPr>
          <w:b/>
          <w:sz w:val="22"/>
        </w:rPr>
        <w:t>SECRETARIA MUNICIPAL DE ASSISTENCIA SOCIAL</w:t>
      </w:r>
    </w:p>
    <w:sectPr>
      <w:headerReference w:type="default" r:id="rIdHF0"/>
      <w:footerReference w:type="default" r:id="rIdHF1"/>
      <w:pgSz w:w="11906" w:h="16838"/>
      <w:pgMar w:top="340" w:right="340" w:bottom="340" w:left="340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Arial">
    <w:charset w:val="00"/>
  </w:font>
  <w:font w:name="Arial MT">
    <w:charset w:val="00"/>
  </w:font>
  <w:font w:name="Aptos">
    <w:charset w:val="00"/>
  </w:font>
  <w:font w:name="Times New Roman">
    <w:charset w:val="00"/>
  </w:font>
  <w:font w:name="Times New Roman">
    <w:charset w:val="01"/>
  </w:font>
</w:fonts>
</file>

<file path=word/footer.xml><?xml version="1.0" encoding="utf-8"?>
<w:ft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r>
      <w:t/>
    </w:r>
  </w:p>
</w:ftr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jc w:val="center"/>
      <w:widowControl/>
    </w:pPr>
    <w:r>
      <w:drawing>
        <wp:inline distT="0" distB="0" distL="0" distR="0">
          <wp:extent cx="5743575" cy="12382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emf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743575" cy="1238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drawing>
        <wp:inline distT="0" distB="0" distL="0" distR="0">
          <wp:extent cx="933450" cy="981075"/>
          <wp:effectExtent l="0" t="0" r="0" b="0"/>
          <wp:docPr id="2" name="Pic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2.jpg"/>
                  <pic:cNvPicPr/>
                </pic:nvPicPr>
                <pic:blipFill>
                  <a:blip r:embed="prId2" cstate="print"/>
                  <a:stretch>
                    <a:fillRect/>
                  </a:stretch>
                </pic:blipFill>
                <pic:spPr>
                  <a:xfrm>
                    <a:off x="0" y="0"/>
                    <a:ext cx="933450" cy="981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Set" Type="http://schemas.openxmlformats.org/officeDocument/2006/relationships/settings" Target="settings.xml"/><Relationship Id="prId1" Type="http://schemas.openxmlformats.org/officeDocument/2006/relationships/image" Target="media/img3.emf"/><Relationship Id="prId2" Type="http://schemas.openxmlformats.org/officeDocument/2006/relationships/image" Target="media/img4.emf"/><Relationship Id="prId3" Type="http://schemas.openxmlformats.org/officeDocument/2006/relationships/image" Target="media/img5.emf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emf"/><Relationship Id="prId2" Type="http://schemas.openxmlformats.org/officeDocument/2006/relationships/image" Target="media/img2.jpg"/></Relationships>
</file>