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outlineLvl w:val="0"/>
        <w:keepLines/>
        <w:keepNext/>
        <w:ind w:right="-30"/>
      </w:pPr>
      <w:bookmarkStart w:id="0" w:name="OLE_LINK2"/>
      <w:bookmarkEnd w:id="0"/>
      <w:r>
        <w:rPr>
          <w:b/>
          <w:u w:val="single" w:color="000000"/>
          <w:sz w:val="22"/>
        </w:rPr>
        <w:t>ESTUDO TÉCNICO PRELIMINAR – ETP</w:t>
      </w:r>
    </w:p>
    <w:p>
      <w:pPr>
        <w:jc w:val="both"/>
        <w:keepLines/>
        <w:keepNext/>
        <w:ind w:right="-30"/>
      </w:pPr>
      <w:r>
        <w:rPr>
          <w:b/>
          <w:sz w:val="22"/>
        </w:rPr>
        <w:t xml:space="preserve">    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OBJETO: CONTRATAÇÃO DE EMPRESA PARA FORNECIMENTO DE SERVIÇOS DE INTERNET POR LINK DEDICADO DUAL STACK COM IPV4 VÁLIDO FIXO E IPV6 EM ATENÇÃO A PREFEITURA MUNICIPAL DE GUAIRAÇÁ.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1. INTRODUÇÃO</w:t>
      </w:r>
    </w:p>
    <w:p>
      <w:pPr>
        <w:jc w:val="both"/>
        <w:keepLines/>
        <w:keepNext/>
        <w:ind w:right="-30"/>
      </w:pPr>
      <w:r>
        <w:rPr>
          <w:sz w:val="22"/>
        </w:rPr>
        <w:t>As</w:t>
      </w:r>
      <w:r>
        <w:rPr>
          <w:sz w:val="22"/>
          <w:spacing w:val="-1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-1"/>
        </w:rPr>
        <w:t xml:space="preserve"> </w:t>
      </w:r>
      <w:r>
        <w:rPr>
          <w:sz w:val="22"/>
        </w:rPr>
        <w:t>governamentais</w:t>
      </w:r>
      <w:r>
        <w:rPr>
          <w:sz w:val="22"/>
          <w:spacing w:val="-1"/>
        </w:rPr>
        <w:t xml:space="preserve"> </w:t>
      </w:r>
      <w:r>
        <w:rPr>
          <w:sz w:val="22"/>
        </w:rPr>
        <w:t>produzem</w:t>
      </w:r>
      <w:r>
        <w:rPr>
          <w:sz w:val="22"/>
          <w:spacing w:val="-1"/>
        </w:rPr>
        <w:t xml:space="preserve"> </w:t>
      </w:r>
      <w:r>
        <w:rPr>
          <w:sz w:val="22"/>
        </w:rPr>
        <w:t>significativo</w:t>
      </w:r>
      <w:r>
        <w:rPr>
          <w:sz w:val="22"/>
          <w:spacing w:val="-1"/>
        </w:rPr>
        <w:t xml:space="preserve"> </w:t>
      </w:r>
      <w:r>
        <w:rPr>
          <w:sz w:val="22"/>
        </w:rPr>
        <w:t>impacto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atividade</w:t>
      </w:r>
      <w:r>
        <w:rPr>
          <w:sz w:val="22"/>
          <w:spacing w:val="-1"/>
        </w:rPr>
        <w:t xml:space="preserve"> </w:t>
      </w:r>
      <w:r>
        <w:rPr>
          <w:sz w:val="22"/>
        </w:rPr>
        <w:t>econômica,</w:t>
      </w:r>
      <w:r>
        <w:rPr>
          <w:sz w:val="22"/>
          <w:spacing w:val="-1"/>
        </w:rPr>
        <w:t xml:space="preserve"> </w:t>
      </w:r>
      <w:r>
        <w:rPr>
          <w:sz w:val="22"/>
        </w:rPr>
        <w:t>tendo</w:t>
      </w:r>
      <w:r>
        <w:rPr>
          <w:sz w:val="22"/>
          <w:spacing w:val="-1"/>
        </w:rPr>
        <w:t xml:space="preserve"> </w:t>
      </w:r>
      <w:r>
        <w:rPr>
          <w:sz w:val="22"/>
        </w:rPr>
        <w:t>em</w:t>
      </w:r>
      <w:r>
        <w:rPr>
          <w:sz w:val="22"/>
          <w:spacing w:val="-3"/>
        </w:rPr>
        <w:t xml:space="preserve">  </w:t>
      </w:r>
      <w:r>
        <w:rPr>
          <w:sz w:val="22"/>
        </w:rPr>
        <w:t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conduz</w:t>
      </w:r>
      <w:r>
        <w:rPr>
          <w:sz w:val="22"/>
          <w:spacing w:val="-3"/>
        </w:rPr>
        <w:t xml:space="preserve"> </w:t>
      </w:r>
      <w:r>
        <w:rPr>
          <w:sz w:val="22"/>
        </w:rPr>
        <w:t>ao</w:t>
      </w:r>
      <w:r>
        <w:rPr>
          <w:sz w:val="22"/>
          <w:spacing w:val="-1"/>
        </w:rPr>
        <w:t xml:space="preserve"> </w:t>
      </w:r>
      <w:r>
        <w:rPr>
          <w:sz w:val="22"/>
        </w:rPr>
        <w:t>conhecimento</w:t>
      </w:r>
      <w:r>
        <w:rPr>
          <w:sz w:val="22"/>
          <w:spacing w:val="-1"/>
        </w:rPr>
        <w:t xml:space="preserve"> </w:t>
      </w:r>
      <w:r>
        <w:rPr>
          <w:sz w:val="22"/>
        </w:rPr>
        <w:t>de</w:t>
      </w:r>
      <w:r>
        <w:rPr>
          <w:sz w:val="22"/>
          <w:spacing w:val="-1"/>
        </w:rPr>
        <w:t xml:space="preserve"> </w:t>
      </w:r>
      <w:r>
        <w:rPr>
          <w:sz w:val="22"/>
        </w:rPr>
        <w:t>novas</w:t>
      </w:r>
      <w:r>
        <w:rPr>
          <w:sz w:val="22"/>
          <w:spacing w:val="-1"/>
        </w:rPr>
        <w:t xml:space="preserve"> </w:t>
      </w:r>
      <w:r>
        <w:rPr>
          <w:sz w:val="22"/>
        </w:rPr>
        <w:t>modelagens/metodologias</w:t>
      </w:r>
      <w:r>
        <w:rPr>
          <w:sz w:val="22"/>
          <w:spacing w:val="-1"/>
        </w:rPr>
        <w:t xml:space="preserve"> </w:t>
      </w:r>
      <w:r>
        <w:rPr>
          <w:sz w:val="22"/>
        </w:rPr>
        <w:t>ofertadas</w:t>
      </w:r>
      <w:r>
        <w:rPr>
          <w:sz w:val="22"/>
          <w:spacing w:val="-1"/>
        </w:rPr>
        <w:t xml:space="preserve"> </w:t>
      </w:r>
      <w:r>
        <w:rPr>
          <w:sz w:val="22"/>
        </w:rPr>
        <w:t>pelo</w:t>
      </w:r>
      <w:r>
        <w:rPr>
          <w:sz w:val="22"/>
          <w:spacing w:val="-1"/>
        </w:rPr>
        <w:t xml:space="preserve"> </w:t>
      </w:r>
      <w:r>
        <w:rPr>
          <w:sz w:val="22"/>
        </w:rPr>
        <w:t>mercado,</w:t>
      </w:r>
      <w:r>
        <w:rPr>
          <w:sz w:val="22"/>
          <w:spacing w:val="-1"/>
        </w:rPr>
        <w:t xml:space="preserve"> </w:t>
      </w:r>
      <w:r>
        <w:rPr>
          <w:sz w:val="22"/>
        </w:rPr>
        <w:t>resultado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melhor qualidade do gasto e em uma gestão eficiente dos recursos públicos.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2. NECESSIDADE/JUSTIFICATIVA DE CONTRATAÇÃO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A presente licitação justifica-se pela necessidade de acesso à internet por link dedicado Dual Stack com IPV4 válido fixo e IPV6 um ponto de acesso para Prefeitura, para uso em diversas tarefas diárias, como acesso ao sistema de gestão municipal.</w:t>
      </w:r>
    </w:p>
    <w:p>
      <w:pPr>
        <w:jc w:val="both"/>
        <w:keepLines/>
        <w:keepNext/>
        <w:ind w:right="-30"/>
      </w:pPr>
      <w:r>
        <w:rPr>
          <w:sz w:val="22"/>
        </w:rPr>
        <w:t>Devido grande dificuldade dos serviços de internet prestados ao município, a internet hoje utilizada não atende a demanda necessária além de ocorrer várias paralisações que interrompe os serviços desta municipalidade, prejudicando os serviços internos e externos, bem como atendimento aos munícipes são bem prejudicados.</w:t>
      </w:r>
    </w:p>
    <w:p>
      <w:pPr>
        <w:jc w:val="both"/>
        <w:keepLines/>
        <w:keepNext/>
        <w:ind w:right="-30"/>
      </w:pPr>
      <w:r>
        <w:rPr>
          <w:sz w:val="22"/>
        </w:rPr>
        <w:t>Além disso, a intenção desta prefeitura a promover uma interligação entre todos os órgãos e secretarias deste município, centralizando em um só link, no intuito de diminuir despesas e aumentar a qualidade da internet utilizada nos órgãos públicos, a fim de agilizar os serviços e o atendimento a comunidade.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3. ALINHAMENTO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ENTRE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A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CONTRATAÇÃO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PLANO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DE</w:t>
      </w:r>
      <w:r>
        <w:rPr>
          <w:b/>
          <w:sz w:val="22"/>
          <w:spacing w:val="1"/>
        </w:rPr>
        <w:t xml:space="preserve"> CONTRATAÇÕES ANUAL- 2025</w:t>
      </w:r>
    </w:p>
    <w:p>
      <w:pPr>
        <w:keepLines/>
        <w:keepNext/>
        <w:ind w:right="-30"/>
        <w:tabs>
          <w:tab w:val="left" w:pos="2730"/>
        </w:tabs>
      </w:pPr>
      <w:r>
        <w:rPr>
          <w:sz w:val="22"/>
        </w:rPr>
        <w:t>A necessidade da presente contratação encontra-se respaldada no Plano de Contratações Anual da Prefeitura Municipal de Guairaçá.</w:t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/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>4. REQUISITOS DA CONTRATAÇÃO</w:t>
      </w:r>
    </w:p>
    <w:p>
      <w:pPr>
        <w:keepLines/>
        <w:keepNext/>
      </w:pPr>
      <w:r>
        <w:rPr>
          <w:sz w:val="22"/>
        </w:rPr>
        <w:t/>
      </w:r>
    </w:p>
    <w:p>
      <w:pPr>
        <w:keepLines/>
        <w:keepNext/>
      </w:pPr>
      <w:r>
        <w:rPr>
          <w:sz w:val="22"/>
        </w:rPr>
        <w:t>A contratação deverá observar os seguintes</w:t>
      </w:r>
      <w:r>
        <w:rPr>
          <w:sz w:val="22"/>
          <w:spacing w:val="-1"/>
        </w:rPr>
        <w:t xml:space="preserve"> </w:t>
      </w:r>
      <w:r>
        <w:rPr>
          <w:sz w:val="22"/>
        </w:rPr>
        <w:t>requisitos:</w:t>
      </w:r>
    </w:p>
    <w:p>
      <w:pPr>
        <w:keepLines/>
        <w:keepNext/>
        <w:ind w:left="435"/>
      </w:pPr>
      <w:r>
        <w:rPr>
          <w:sz w:val="22"/>
        </w:rPr>
        <w:t xml:space="preserve">1. O critério de julgamento a ser utilizado no presente certame será o </w:t>
      </w:r>
      <w:r>
        <w:rPr>
          <w:b/>
          <w:sz w:val="22"/>
        </w:rPr>
        <w:t>menor preço por item;</w:t>
      </w:r>
    </w:p>
    <w:p>
      <w:pPr>
        <w:jc w:val="both"/>
        <w:keepLines/>
        <w:keepNext/>
        <w:ind w:left="435"/>
      </w:pPr>
      <w:r>
        <w:rPr>
          <w:sz w:val="22"/>
        </w:rPr>
        <w:t>2. Não serão aplicadas a indicação e/ou a vedação de marcas;</w:t>
      </w:r>
    </w:p>
    <w:p>
      <w:pPr>
        <w:jc w:val="both"/>
        <w:keepLines/>
        <w:keepNext/>
        <w:ind w:left="435"/>
      </w:pPr>
      <w:r>
        <w:rPr>
          <w:sz w:val="22"/>
        </w:rPr>
        <w:t>3. Não será admitida a subcontratação do objeto contratual;</w:t>
      </w:r>
    </w:p>
    <w:p>
      <w:pPr>
        <w:jc w:val="both"/>
        <w:keepLines/>
        <w:keepNext/>
        <w:ind w:left="435"/>
      </w:pPr>
      <w:r>
        <w:rPr>
          <w:sz w:val="22"/>
        </w:rPr>
        <w:t>4. Não haverá exigência da garantia da contratação dos arts. 96 e seguintes da Lei nº 14.133/21.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</w:rPr>
        <w:t>5. RELAÇÃO ENTRE A DEMANDA PREVISTA E QUANTIDADES DE CADA ITEM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  <w:color w:val="FF0000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>RELAÇÃO DE ITENS EM CONFORMIDADE A SOLICITAÇÃO DE COMPRAS N. 78/2025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sobrepreço ao itens a serem licitados.  Não possuindo assim qualquer falha na metodologia utilizada por esta Administração para definição dos valores estimados, não se limitando a 03 (três) cotações de empresas. Porém, após uma vasta pesquisa no banco de preços (www.bancodeprecos.com.br), não foi possível encontrar itens e valores similares ao presente objeto. </w:t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t/>
      </w:r>
    </w:p>
    <w:p>
      <w:pPr>
        <w:jc w:val="both"/>
        <w:widowControl/>
      </w:pPr>
      <w:r>
        <w:rPr>
          <w:sz w:val="22"/>
        </w:rPr>
        <w:t>Segue anexo os preços levantados por empresas do ramo, de onde foram colhidos os valores.</w:t>
      </w:r>
    </w:p>
    <w:p>
      <w:pPr>
        <w:jc w:val="both"/>
        <w:widowControl/>
      </w:pPr>
      <w:r>
        <w:rPr>
          <w:sz w:val="22"/>
        </w:rPr>
        <w:t/>
      </w:r>
    </w:p>
    <w:tbl>
      <w:tblPr>
        <w:tblW w:w="11130" w:type="dxa"/>
        <w:tblLayout w:type="fixed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auto"/>
          <w:insideV w:val="single" w:sz="6" w:color="auto"/>
        </w:tblBorders>
        <w:tblCellMar>
          <w:top w:w="15" w:type="dxa"/>
          <w:left w:w="15" w:type="dxa"/>
          <w:bottom w:w="15" w:type="dxa"/>
          <w:right w:w="15" w:type="dxa"/>
        </w:tblCellMar>
        <w:tblCellSpacing w:w="15" w:type="dxa"/>
      </w:tblPr>
      <w:tblGrid>
        <w:gridCol w:w="1560"/>
        <w:gridCol w:w="9540"/>
      </w:tblGrid>
      <w:tr>
        <w:tc>
          <w:tcPr>
            <w:tcW w:w="1515" w:type="dxa"/>
          </w:tcPr>
          <w:p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>
            <w:pPr>
              <w:jc w:val="center"/>
            </w:pPr>
            <w:r>
              <w:rPr>
                <w:b/>
              </w:rPr>
              <w:t>Fornecedores/Fontes</w:t>
            </w:r>
          </w:p>
        </w:tc>
      </w:tr>
      <w:tr>
        <w:tc>
          <w:tcPr>
            <w:tcW w:w="1515" w:type="dxa"/>
          </w:tcPr>
          <w:p>
            <w:r>
              <w:t>1</w:t>
            </w:r>
          </w:p>
        </w:tc>
        <w:tc>
          <w:tcPr>
            <w:tcW w:w="9495" w:type="dxa"/>
          </w:tcPr>
          <w:p>
            <w:r>
              <w:t>IFIBER TELECOMUNIICAÇÕES LTDA ME</w:t>
            </w:r>
          </w:p>
        </w:tc>
      </w:tr>
      <w:tr>
        <w:tc>
          <w:tcPr>
            <w:tcW w:w="1515" w:type="dxa"/>
          </w:tcPr>
          <w:p>
            <w:r>
              <w:t>2</w:t>
            </w:r>
          </w:p>
        </w:tc>
        <w:tc>
          <w:tcPr>
            <w:tcW w:w="9495" w:type="dxa"/>
          </w:tcPr>
          <w:p>
            <w:r>
              <w:t>MEGA REDES TELECOM LTDA</w:t>
            </w:r>
          </w:p>
        </w:tc>
      </w:tr>
      <w:tr>
        <w:tc>
          <w:tcPr>
            <w:tcW w:w="1515" w:type="dxa"/>
          </w:tcPr>
          <w:p>
            <w:r>
              <w:t>3</w:t>
            </w:r>
          </w:p>
        </w:tc>
        <w:tc>
          <w:tcPr>
            <w:tcW w:w="9495" w:type="dxa"/>
          </w:tcPr>
          <w:p>
            <w:r>
              <w:t>AGM TELECOM</w:t>
            </w:r>
          </w:p>
        </w:tc>
      </w:tr>
    </w:tbl>
    <w:p>
      <w:pPr>
        <w:jc w:val="both"/>
        <w:widowControl/>
      </w:pPr>
      <w:r>
        <w:rPr>
          <w:sz w:val="22"/>
        </w:rPr>
        <w:t>As pesquisas de preços enviadas juntamente a esta solicitação de compras, foram por mim realizadas e são verdadeiras, conforme rubrica/assinatura em cada um deles.</w:t>
      </w:r>
    </w:p>
    <w:p>
      <w:pPr>
        <w:jc w:val="both"/>
        <w:keepLines/>
        <w:keepNext/>
        <w:ind w:right="-30"/>
      </w:pPr>
      <w:r>
        <w:rPr>
          <w:rFonts w:ascii="Arial MT" w:hAnsi="Arial MT" w:cs="Arial MT" w:eastAsia="Arial MT"/>
          <w:sz w:val="19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6. PRAZO DE ENTREGA/EXECUÇÃO, VIGÊNCIA E VALOR MÁXIMO</w:t>
      </w:r>
    </w:p>
    <w:p>
      <w:pPr>
        <w:jc w:val="both"/>
        <w:keepLines/>
        <w:keepNext/>
        <w:ind w:right="-30"/>
      </w:pPr>
      <w:r>
        <w:rPr>
          <w:sz w:val="22"/>
        </w:rPr>
        <w:t>A execução dos serviços deverá ocorrer mensalmente, a contar da solicitação do órgão competente, por conta e risco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empresa</w:t>
      </w:r>
      <w:r>
        <w:rPr>
          <w:sz w:val="22"/>
          <w:spacing w:val="2"/>
        </w:rPr>
        <w:t xml:space="preserve"> </w:t>
      </w:r>
      <w:r>
        <w:rPr>
          <w:sz w:val="22"/>
        </w:rPr>
        <w:t>vencedora</w:t>
      </w:r>
      <w:r>
        <w:rPr>
          <w:sz w:val="22"/>
          <w:spacing w:val="2"/>
        </w:rPr>
        <w:t xml:space="preserve"> </w:t>
      </w:r>
      <w:r>
        <w:rPr>
          <w:sz w:val="22"/>
        </w:rPr>
        <w:t>do</w:t>
      </w:r>
      <w:r>
        <w:rPr>
          <w:sz w:val="22"/>
          <w:spacing w:val="2"/>
        </w:rPr>
        <w:t xml:space="preserve"> </w:t>
      </w:r>
      <w:r>
        <w:rPr>
          <w:sz w:val="22"/>
        </w:rPr>
        <w:t>certame</w:t>
      </w:r>
      <w:r>
        <w:rPr>
          <w:sz w:val="22"/>
          <w:spacing w:val="2"/>
        </w:rPr>
        <w:t xml:space="preserve"> </w:t>
      </w:r>
      <w:r>
        <w:rPr>
          <w:sz w:val="22"/>
        </w:rPr>
        <w:t>licitatório,</w:t>
      </w:r>
      <w:r>
        <w:rPr>
          <w:sz w:val="22"/>
          <w:spacing w:val="2"/>
        </w:rPr>
        <w:t xml:space="preserve"> </w:t>
      </w:r>
      <w:r>
        <w:rPr>
          <w:sz w:val="22"/>
        </w:rPr>
        <w:t>mediante</w:t>
      </w:r>
      <w:r>
        <w:rPr>
          <w:sz w:val="22"/>
          <w:spacing w:val="2"/>
        </w:rPr>
        <w:t xml:space="preserve"> </w:t>
      </w:r>
      <w:r>
        <w:rPr>
          <w:sz w:val="22"/>
        </w:rPr>
        <w:t>requisição</w:t>
      </w:r>
      <w:r>
        <w:rPr>
          <w:sz w:val="22"/>
          <w:spacing w:val="2"/>
        </w:rPr>
        <w:t xml:space="preserve"> </w:t>
      </w:r>
      <w:r>
        <w:rPr>
          <w:sz w:val="22"/>
        </w:rPr>
        <w:t>formalizada</w:t>
      </w:r>
      <w:r>
        <w:rPr>
          <w:sz w:val="22"/>
          <w:spacing w:val="2"/>
        </w:rPr>
        <w:t xml:space="preserve"> </w:t>
      </w:r>
      <w:r>
        <w:rPr>
          <w:sz w:val="22"/>
        </w:rPr>
        <w:t>pelo</w:t>
      </w:r>
      <w:r>
        <w:rPr>
          <w:sz w:val="22"/>
          <w:spacing w:val="2"/>
        </w:rPr>
        <w:t xml:space="preserve"> </w:t>
      </w:r>
      <w:r>
        <w:rPr>
          <w:sz w:val="22"/>
        </w:rPr>
        <w:t>Município,</w:t>
      </w:r>
      <w:r>
        <w:rPr>
          <w:sz w:val="22"/>
          <w:spacing w:val="2"/>
        </w:rPr>
        <w:t xml:space="preserve"> </w:t>
      </w:r>
      <w:r>
        <w:rPr>
          <w:sz w:val="22"/>
        </w:rPr>
        <w:t>correndo</w:t>
      </w:r>
      <w:r>
        <w:rPr>
          <w:sz w:val="22"/>
          <w:spacing w:val="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2"/>
        </w:rPr>
        <w:t xml:space="preserve"> </w:t>
      </w:r>
      <w:r>
        <w:rPr>
          <w:sz w:val="22"/>
        </w:rPr>
        <w:t>prazo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sz w:val="22"/>
        </w:rPr>
        <w:t>vigência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2"/>
        </w:rPr>
        <w:t xml:space="preserve"> </w:t>
      </w:r>
      <w:r>
        <w:rPr>
          <w:sz w:val="22"/>
        </w:rPr>
        <w:t>será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b/>
          <w:sz w:val="22"/>
        </w:rPr>
        <w:t>até</w:t>
      </w:r>
      <w:r>
        <w:rPr>
          <w:b/>
          <w:sz w:val="22"/>
          <w:spacing w:val="2"/>
        </w:rPr>
        <w:t xml:space="preserve"> 12 </w:t>
      </w:r>
      <w:r>
        <w:rPr>
          <w:b/>
          <w:sz w:val="22"/>
        </w:rPr>
        <w:t>(doze)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z w:val="22"/>
          <w:spacing w:val="2"/>
        </w:rPr>
        <w:t xml:space="preserve"> </w:t>
      </w:r>
      <w:r>
        <w:rPr>
          <w:sz w:val="22"/>
        </w:rPr>
        <w:t>contados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data</w:t>
      </w:r>
      <w:r>
        <w:rPr>
          <w:sz w:val="22"/>
          <w:spacing w:val="2"/>
        </w:rPr>
        <w:t xml:space="preserve"> </w:t>
      </w:r>
      <w:r>
        <w:rPr>
          <w:sz w:val="22"/>
        </w:rPr>
        <w:t>indicada</w:t>
      </w:r>
      <w:r>
        <w:rPr>
          <w:sz w:val="22"/>
          <w:spacing w:val="2"/>
        </w:rPr>
        <w:t xml:space="preserve"> </w:t>
      </w:r>
      <w:r>
        <w:rPr>
          <w:sz w:val="22"/>
        </w:rPr>
        <w:t>no</w:t>
      </w:r>
      <w:r>
        <w:rPr>
          <w:sz w:val="22"/>
          <w:spacing w:val="2"/>
        </w:rPr>
        <w:t xml:space="preserve"> </w:t>
      </w:r>
      <w:r>
        <w:rPr>
          <w:sz w:val="22"/>
        </w:rPr>
        <w:t>instrumento contratual, na forma do artigo 105, da Lei n° 14.133/2021.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 custo estimado total da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 é</w:t>
      </w:r>
      <w:r>
        <w:rPr>
          <w:sz w:val="22"/>
          <w:spacing w:val="1"/>
        </w:rPr>
        <w:t xml:space="preserve"> </w:t>
      </w:r>
      <w:r>
        <w:rPr>
          <w:sz w:val="22"/>
        </w:rPr>
        <w:t>de</w:t>
      </w:r>
      <w:r>
        <w:rPr>
          <w:sz w:val="22"/>
          <w:spacing w:val="1"/>
        </w:rPr>
        <w:t xml:space="preserve"> </w:t>
      </w:r>
      <w:r>
        <w:rPr>
          <w:b/>
          <w:sz w:val="22"/>
        </w:rPr>
        <w:t>R$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17.040,00 (dezessete mil e quarenta reais).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1"/>
        </w:rPr>
        <w:t xml:space="preserve"> </w:t>
      </w:r>
      <w:r>
        <w:rPr>
          <w:sz w:val="22"/>
        </w:rPr>
        <w:t>objeto</w:t>
      </w:r>
      <w:r>
        <w:rPr>
          <w:sz w:val="22"/>
          <w:spacing w:val="1"/>
        </w:rPr>
        <w:t xml:space="preserve"> </w:t>
      </w:r>
      <w:r>
        <w:rPr>
          <w:sz w:val="22"/>
        </w:rPr>
        <w:t>desta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1"/>
        </w:rPr>
        <w:t xml:space="preserve"> </w:t>
      </w:r>
      <w:r>
        <w:rPr>
          <w:sz w:val="22"/>
        </w:rPr>
        <w:t>não</w:t>
      </w:r>
      <w:r>
        <w:rPr>
          <w:sz w:val="22"/>
          <w:spacing w:val="1"/>
        </w:rPr>
        <w:t xml:space="preserve"> </w:t>
      </w:r>
      <w:r>
        <w:rPr>
          <w:sz w:val="22"/>
        </w:rPr>
        <w:t>se enquadra</w:t>
      </w:r>
      <w:r>
        <w:rPr>
          <w:sz w:val="22"/>
          <w:spacing w:val="1"/>
        </w:rPr>
        <w:t xml:space="preserve"> </w:t>
      </w:r>
      <w:r>
        <w:rPr>
          <w:sz w:val="22"/>
        </w:rPr>
        <w:t>como</w:t>
      </w:r>
      <w:r>
        <w:rPr>
          <w:sz w:val="22"/>
          <w:spacing w:val="1"/>
        </w:rPr>
        <w:t xml:space="preserve"> </w:t>
      </w:r>
      <w:r>
        <w:rPr>
          <w:sz w:val="22"/>
        </w:rPr>
        <w:t>sendo de bem</w:t>
      </w:r>
      <w:r>
        <w:rPr>
          <w:sz w:val="22"/>
          <w:spacing w:val="1"/>
        </w:rPr>
        <w:t xml:space="preserve"> </w:t>
      </w:r>
      <w:r>
        <w:rPr>
          <w:sz w:val="22"/>
        </w:rPr>
        <w:t>de luxo, conforme Decreto</w:t>
      </w:r>
      <w:r>
        <w:rPr>
          <w:sz w:val="22"/>
          <w:spacing w:val="1"/>
        </w:rPr>
        <w:t xml:space="preserve"> </w:t>
      </w:r>
      <w:r>
        <w:rPr>
          <w:sz w:val="22"/>
        </w:rPr>
        <w:t>nº</w:t>
      </w:r>
      <w:r>
        <w:rPr>
          <w:sz w:val="22"/>
          <w:spacing w:val="1"/>
        </w:rPr>
        <w:t xml:space="preserve"> </w:t>
      </w:r>
      <w:r>
        <w:rPr>
          <w:sz w:val="22"/>
        </w:rPr>
        <w:t>10.818, de</w:t>
      </w:r>
      <w:r>
        <w:rPr>
          <w:sz w:val="22"/>
          <w:spacing w:val="1"/>
        </w:rPr>
        <w:t xml:space="preserve"> </w:t>
      </w:r>
      <w:r>
        <w:rPr>
          <w:sz w:val="22"/>
        </w:rPr>
        <w:t>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7. JUSTIFICATIVAS PARA O PARCELAMENTO OU NÃO DA SOLUÇÃO</w:t>
      </w:r>
    </w:p>
    <w:p>
      <w:pPr>
        <w:jc w:val="both"/>
      </w:pPr>
      <w:r>
        <w:rPr>
          <w:sz w:val="22"/>
        </w:rPr>
        <w:t>Considerando a complexidade técnica, a economia de recurso, os prazos, o risco reduzido de falhas e a vibialidade financeira, optamos por não parcelar a solução durante o processo de licitação.</w:t>
      </w:r>
    </w:p>
    <w:p>
      <w:pPr>
        <w:jc w:val="both"/>
      </w:pPr>
      <w:r>
        <w:rPr>
          <w:sz w:val="22"/>
        </w:rPr>
        <w:t/>
      </w:r>
    </w:p>
    <w:p>
      <w:pPr>
        <w:jc w:val="both"/>
      </w:pPr>
      <w:r>
        <w:rPr>
          <w:b/>
          <w:sz w:val="22"/>
        </w:rPr>
        <w:t xml:space="preserve">8. - RESULTADOS PRETENDIDOS </w:t>
      </w:r>
    </w:p>
    <w:p>
      <w:pPr>
        <w:jc w:val="both"/>
      </w:pPr>
      <w:r>
        <w:rPr>
          <w:sz w:val="22"/>
        </w:rPr>
        <w:t xml:space="preserve">A solução deverá permitir o alcance dos seguintes resultados: </w:t>
      </w:r>
    </w:p>
    <w:p>
      <w:pPr>
        <w:jc w:val="both"/>
      </w:pPr>
      <w:r>
        <w:rPr>
          <w:sz w:val="22"/>
        </w:rPr>
        <w:t>1) Atender</w:t>
      </w:r>
      <w:r>
        <w:rPr>
          <w:sz w:val="22"/>
          <w:spacing w:val="3"/>
        </w:rPr>
        <w:t xml:space="preserve"> </w:t>
      </w:r>
      <w:r>
        <w:rPr>
          <w:sz w:val="22"/>
        </w:rPr>
        <w:t>com</w:t>
      </w:r>
      <w:r>
        <w:rPr>
          <w:sz w:val="22"/>
          <w:spacing w:val="3"/>
        </w:rPr>
        <w:t xml:space="preserve"> </w:t>
      </w:r>
      <w:r>
        <w:rPr>
          <w:sz w:val="22"/>
        </w:rPr>
        <w:t>eficiência</w:t>
      </w:r>
      <w:r>
        <w:rPr>
          <w:sz w:val="22"/>
          <w:spacing w:val="3"/>
        </w:rPr>
        <w:t xml:space="preserve"> </w:t>
      </w:r>
      <w:r>
        <w:rPr>
          <w:sz w:val="22"/>
        </w:rPr>
        <w:t>as</w:t>
      </w:r>
      <w:r>
        <w:rPr>
          <w:sz w:val="22"/>
          <w:spacing w:val="3"/>
        </w:rPr>
        <w:t xml:space="preserve"> </w:t>
      </w:r>
      <w:r>
        <w:rPr>
          <w:sz w:val="22"/>
        </w:rPr>
        <w:t>constante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demanda da </w:t>
      </w:r>
      <w:r>
        <w:rPr>
          <w:b/>
          <w:i/>
          <w:sz w:val="22"/>
        </w:rPr>
        <w:t>GABINETE DO PREFEITO</w:t>
      </w:r>
      <w:r>
        <w:rPr>
          <w:sz w:val="22"/>
          <w:color w:val="FF0000"/>
        </w:rPr>
        <w:t xml:space="preserve"> de Guairaçá</w:t>
      </w:r>
      <w:r>
        <w:rPr>
          <w:sz w:val="22"/>
        </w:rPr>
        <w:t>, dos seus munícipes com a prestação de serviços satisfatória e ainda atender as determinações dos órgãos fiscalizadores;</w:t>
      </w:r>
    </w:p>
    <w:p>
      <w:pPr>
        <w:jc w:val="both"/>
      </w:pPr>
      <w:r>
        <w:rPr>
          <w:sz w:val="22"/>
        </w:rPr>
        <w:t>2) Evitar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realização</w:t>
      </w:r>
      <w:r>
        <w:rPr>
          <w:sz w:val="22"/>
          <w:spacing w:val="3"/>
        </w:rPr>
        <w:t xml:space="preserve"> </w:t>
      </w:r>
      <w:r>
        <w:rPr>
          <w:sz w:val="22"/>
        </w:rPr>
        <w:t>de</w:t>
      </w:r>
      <w:r>
        <w:rPr>
          <w:sz w:val="22"/>
          <w:spacing w:val="3"/>
        </w:rPr>
        <w:t xml:space="preserve"> </w:t>
      </w:r>
      <w:r>
        <w:rPr>
          <w:sz w:val="22"/>
        </w:rPr>
        <w:t>várias</w:t>
      </w:r>
      <w:r>
        <w:rPr>
          <w:sz w:val="22"/>
          <w:spacing w:val="3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3"/>
        </w:rPr>
        <w:t xml:space="preserve"> </w:t>
      </w:r>
      <w:r>
        <w:rPr>
          <w:sz w:val="22"/>
        </w:rPr>
        <w:t>referentes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um</w:t>
      </w:r>
      <w:r>
        <w:rPr>
          <w:sz w:val="22"/>
          <w:spacing w:val="3"/>
        </w:rPr>
        <w:t xml:space="preserve"> </w:t>
      </w:r>
      <w:r>
        <w:rPr>
          <w:sz w:val="22"/>
        </w:rPr>
        <w:t>mesmo</w:t>
      </w:r>
      <w:r>
        <w:rPr>
          <w:sz w:val="22"/>
          <w:spacing w:val="3"/>
        </w:rPr>
        <w:t xml:space="preserve"> </w:t>
      </w:r>
      <w:r>
        <w:rPr>
          <w:sz w:val="22"/>
        </w:rPr>
        <w:t>objeto,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num </w:t>
      </w:r>
      <w:r>
        <w:rPr>
          <w:sz w:val="22"/>
          <w:spacing w:val="-3"/>
        </w:rPr>
        <w:t xml:space="preserve"> </w:t>
      </w:r>
      <w:r>
        <w:rPr>
          <w:sz w:val="22"/>
        </w:rPr>
        <w:t xml:space="preserve">mesmo exercício financeiro, evitando o sobrepreço e a ineficâcia da execução do contrato; 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9- PROVIDÊNCIAS PARA A ADEQUAÇÃO DO AMBIENTE DO ÓRGÃO</w:t>
      </w:r>
    </w:p>
    <w:p>
      <w:pPr>
        <w:jc w:val="both"/>
      </w:pPr>
      <w:r>
        <w:rPr>
          <w:b/>
          <w:sz w:val="22"/>
        </w:rPr>
        <w:t>Logística:</w:t>
      </w:r>
    </w:p>
    <w:p>
      <w:pPr>
        <w:jc w:val="both"/>
      </w:pPr>
      <w:r>
        <w:rPr>
          <w:sz w:val="22"/>
        </w:rPr>
        <w:t>Não há necessidade de adequação logística (fornecimento de materiais).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>tecnológica:</w:t>
      </w:r>
    </w:p>
    <w:p>
      <w:pPr>
        <w:jc w:val="both"/>
      </w:pPr>
      <w:r>
        <w:rPr>
          <w:sz w:val="22"/>
        </w:rPr>
        <w:t>Não há necessidade de adequação na infraestrutura tecnológica.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 elétrica:</w:t>
      </w:r>
    </w:p>
    <w:p>
      <w:pPr>
        <w:jc w:val="both"/>
      </w:pPr>
      <w:r>
        <w:rPr>
          <w:sz w:val="22"/>
        </w:rPr>
        <w:t>Não há necessidade de adequação na infraestrutura elétrica.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Espaço físico:</w:t>
      </w:r>
    </w:p>
    <w:p>
      <w:pPr>
        <w:jc w:val="both"/>
      </w:pPr>
      <w:r>
        <w:rPr>
          <w:sz w:val="22"/>
        </w:rPr>
        <w:t>Não há necessidade de adequação no espaço físico.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Mobiliário:</w:t>
      </w:r>
    </w:p>
    <w:p>
      <w:pPr>
        <w:jc w:val="both"/>
      </w:pPr>
      <w:r>
        <w:rPr>
          <w:sz w:val="22"/>
        </w:rPr>
        <w:t>Não há necessidade de adequação de mobiliário.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Impacto ambiental:</w:t>
      </w:r>
    </w:p>
    <w:p>
      <w:pPr>
        <w:jc w:val="both"/>
      </w:pPr>
      <w:r>
        <w:rPr>
          <w:sz w:val="22"/>
        </w:rPr>
        <w:t>Não há efeitos ambientais de considerável relevância na contratação pretendida.</w:t>
      </w:r>
    </w:p>
    <w:p>
      <w:pPr>
        <w:jc w:val="both"/>
      </w:pPr>
      <w:r>
        <w:rPr>
          <w:b/>
          <w:sz w:val="22"/>
          <w:w w:val="120"/>
        </w:rPr>
        <w:t/>
      </w:r>
    </w:p>
    <w:p>
      <w:pPr>
        <w:jc w:val="both"/>
      </w:pPr>
      <w:r>
        <w:rPr>
          <w:b/>
          <w:sz w:val="22"/>
          <w:w w:val="120"/>
        </w:rPr>
        <w:t>10-</w:t>
      </w:r>
      <w:r>
        <w:rPr>
          <w:b/>
          <w:sz w:val="22"/>
          <w:w w:val="120"/>
          <w:spacing w:val="-1"/>
        </w:rPr>
        <w:t xml:space="preserve"> </w:t>
      </w:r>
      <w:r>
        <w:rPr>
          <w:b/>
          <w:sz w:val="22"/>
        </w:rPr>
        <w:t>CRITÉRIOS E PRÁTICAS DE ACESSIBILIDADE, SE CABÍVEL:</w:t>
      </w:r>
    </w:p>
    <w:p>
      <w:pPr>
        <w:jc w:val="both"/>
      </w:pPr>
      <w:r>
        <w:rPr>
          <w:sz w:val="22"/>
          <w:w w:val="115"/>
        </w:rPr>
        <w:t>Não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se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aplica.</w:t>
      </w:r>
    </w:p>
    <w:p>
      <w:pPr>
        <w:jc w:val="both"/>
      </w:pPr>
      <w:r>
        <w:rPr>
          <w:sz w:val="22"/>
          <w:w w:val="115"/>
        </w:rPr>
        <w:t/>
      </w:r>
    </w:p>
    <w:p>
      <w:pPr>
        <w:jc w:val="both"/>
      </w:pPr>
      <w:r>
        <w:rPr>
          <w:b/>
          <w:sz w:val="22"/>
        </w:rPr>
        <w:t>11– MAPA DE RISCO</w:t>
      </w:r>
    </w:p>
    <w:p>
      <w:pPr>
        <w:jc w:val="both"/>
      </w:pPr>
      <w:r>
        <w:rPr>
          <w:sz w:val="22"/>
        </w:rPr>
        <w:t>Em anexo.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12 - CONTRATAÇÕES CORRELATAS E/OU INTERDEPENDENTES</w:t>
      </w:r>
    </w:p>
    <w:p>
      <w:pPr>
        <w:jc w:val="both"/>
      </w:pPr>
      <w:r>
        <w:rPr>
          <w:sz w:val="22"/>
        </w:rPr>
        <w:t>Não verifica-se contratações correlatas nem interdependentes para a viabilidade e contratação desta demanda.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13 - VIABILIDADE OU NÃO DA CONTRATAÇÃO</w:t>
      </w:r>
    </w:p>
    <w:p>
      <w:pPr>
        <w:jc w:val="both"/>
      </w:pPr>
      <w:r>
        <w:rPr>
          <w:sz w:val="22"/>
        </w:rPr>
        <w:t xml:space="preserve">Os estudos preliminares evidenciam que a contratação da solução ora descrita, mostra-se tecnicamente possível e </w:t>
      </w:r>
      <w:r>
        <w:rPr>
          <w:sz w:val="22"/>
          <w:spacing w:val="-3"/>
        </w:rPr>
        <w:t xml:space="preserve"> </w:t>
      </w:r>
      <w:r>
        <w:rPr>
          <w:sz w:val="22"/>
        </w:rPr>
        <w:t>fundamentadamente necessária.</w:t>
      </w:r>
    </w:p>
    <w:p>
      <w:pPr>
        <w:jc w:val="both"/>
      </w:pPr>
      <w:r>
        <w:rPr>
          <w:sz w:val="22"/>
        </w:rPr>
        <w:t/>
      </w:r>
    </w:p>
    <w:p>
      <w:pPr>
        <w:jc w:val="both"/>
      </w:pPr>
      <w:r>
        <w:rPr>
          <w:sz w:val="22"/>
        </w:rPr>
        <w:t>Diante do exposto, declara-se ser viável a contratação pretendida.</w:t>
      </w:r>
    </w:p>
    <w:p>
      <w:pPr>
        <w:jc w:val="both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Guairaçá-PR , 20 de maio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b/>
          <w:sz w:val="22"/>
        </w:rPr>
        <w:t>_____________________________</w:t>
      </w:r>
    </w:p>
    <w:p>
      <w:pPr>
        <w:jc w:val="center"/>
      </w:pPr>
      <w:r>
        <w:rPr>
          <w:b/>
          <w:sz w:val="22"/>
        </w:rPr>
        <w:t>LUAN RODRIGUES BONI</w:t>
      </w:r>
    </w:p>
    <w:p>
      <w:pPr>
        <w:jc w:val="center"/>
      </w:pPr>
      <w:r>
        <w:rPr>
          <w:b/>
          <w:i/>
          <w:sz w:val="22"/>
        </w:rPr>
        <w:t>GABINETE DO PREFEITO</w:t>
      </w:r>
    </w:p>
    <w:p>
      <w:pPr>
        <w:jc w:val="right"/>
      </w:pPr>
      <w:r>
        <w:rPr>
          <w:b/>
          <w:sz w:val="22"/>
        </w:rPr>
        <w:t/>
      </w:r>
    </w:p>
    <w:p>
      <w:r>
        <w:rPr>
          <w:sz w:val="22"/>
        </w:rPr>
        <w:t/>
      </w:r>
    </w:p>
    <w:p>
      <w:r>
        <w:br w:type="page"/>
      </w:r>
    </w:p>
    <w:p>
      <w:pPr>
        <w:jc w:val="right"/>
      </w:pPr>
      <w:r>
        <w:rPr>
          <w:sz w:val="22"/>
        </w:rPr>
        <w:t/>
      </w:r>
    </w:p>
    <w:p>
      <w:pPr>
        <w:jc w:val="center"/>
        <w:outlineLvl w:val="0"/>
        <w:keepLines/>
        <w:keepNext/>
        <w:ind w:right="1305"/>
      </w:pPr>
      <w:bookmarkStart w:id="1" w:name="MAPA_DE_RISCO"/>
      <w:bookmarkEnd w:id="1"/>
      <w:r>
        <w:rPr>
          <w:b/>
          <w:u w:val="single" w:color="000000"/>
          <w:sz w:val="22"/>
        </w:rPr>
        <w:t>MAPA DE RISCO</w:t>
      </w:r>
    </w:p>
    <w:p>
      <w:pPr>
        <w:jc w:val="center"/>
        <w:outlineLvl w:val="0"/>
        <w:keepLines/>
        <w:keepNext/>
        <w:ind w:right="1305"/>
      </w:pPr>
      <w:r>
        <w:rPr>
          <w:b/>
          <w:u w:val="single" w:color="000000"/>
          <w:sz w:val="22"/>
        </w:rPr>
        <w:t/>
      </w:r>
    </w:p>
    <w:p>
      <w:r>
        <w:rPr>
          <w:u w:val="single"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>O Município de Guairaçá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sobrepreço e superfaturamento quando das execuções contratuais; prevenir e reprimir práticas corruptas, práticas fraudulentas, práticas colusivas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>
        <w:rPr>
          <w:sz w:val="22"/>
          <w:shd w:val="clear" w:color="auto" w:fill="FFFFFF"/>
        </w:rPr>
        <w:t>ões e as contratações, como, dentre outros.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b/>
          <w:sz w:val="22"/>
        </w:rPr>
        <w:t>OBJETO: CONTRATAÇÃO DE EMPRESA PARA FORNECIMENTO DE SERVIÇOS DE INTERNET POR LINK DEDICADO DUAL STACK COM IPV4 VÁLIDO FIXO E IPV6 EM ATENÇÃO A PREFEITURA MUNICIPAL DE GUAIRAÇÁ.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jc w:val="center"/>
        <w:ind w:left="2010" w:right="2010"/>
        <w:spacing w:before="45"/>
      </w:pPr>
      <w:r>
        <w:rPr>
          <w:b/>
          <w:sz w:val="22"/>
        </w:rPr>
        <w:t>FASE DE PLANEJAMENTO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90"/>
        <w:gridCol w:w="1005"/>
        <w:gridCol w:w="480"/>
        <w:gridCol w:w="1245"/>
        <w:gridCol w:w="1275"/>
        <w:gridCol w:w="150"/>
        <w:gridCol w:w="1785"/>
        <w:gridCol w:w="2325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60"/>
            </w:pPr>
            <w:r>
              <w:rPr>
                <w:b/>
                <w:sz w:val="16"/>
              </w:rPr>
              <w:t>RISCO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960"/>
                <w:tab w:val="left" w:pos="2430"/>
              </w:tabs>
            </w:pPr>
            <w:r>
              <w:rPr>
                <w:sz w:val="16"/>
              </w:rPr>
              <w:t xml:space="preserve">DEFINIR METODOLOGIA DE PRIORIZAÇÃO DE 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AQUISIÇÕES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8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720"/>
              </w:tabs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75"/>
        <w:gridCol w:w="1320"/>
        <w:gridCol w:w="90"/>
        <w:gridCol w:w="1845"/>
        <w:gridCol w:w="2220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02.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 xml:space="preserve">ESTUDO TÉCNICO PRELIMINAR COM CONTEÚDO INSUFICIENTE PARA ATINGIR O OBJETIVO (MAL 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ELABORADO)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Alto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5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58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COM CONHECIMENTO TÉCNICO DO OBJETO, DA LEGISLAÇÃO ESPECÍFICA E DOS PROCEDIMENTOS DA CONTRATAÇÃO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  <w:tabs>
                <w:tab w:val="left" w:pos="1620"/>
                <w:tab w:val="left" w:pos="3240"/>
              </w:tabs>
            </w:pPr>
            <w:r>
              <w:rPr>
                <w:sz w:val="16"/>
              </w:rPr>
              <w:t>REALIZAR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45"/>
        <w:gridCol w:w="1275"/>
        <w:gridCol w:w="165"/>
        <w:gridCol w:w="1770"/>
        <w:gridCol w:w="2280"/>
      </w:tblGrid>
      <w:tr>
        <w:trPr>
          <w:trHeight w:val="465" w:hRule="atLeast"/>
        </w:trPr>
        <w:tc>
          <w:tcPr>
            <w:tcW w:w="1084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33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54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 COM CONHECIMENTO TÉCNICO DO OBJETO, DA LEGISLAÇÃO ESPECÍFICA E DOS PROCEDIMENTOS DA CONTRATAÇÃO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46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left="75" w:right="-30" w:hanging="75"/>
            </w:pPr>
            <w:r>
              <w:rPr>
                <w:sz w:val="16"/>
              </w:rPr>
              <w:t>REMANEJAMENTO DO QUADRO DE PESSOAL DO ÓRGÃO,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EVITANDO SOBRECARGA DE TRABALHO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DEVOLVER O PROCESSO AO DEMANDANTE PARA CONFERIR, REVISAR OU RATIFICAR O TERMO DE REFERÊNCIA/ESTUDO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DEMANDANTE</w:t>
            </w:r>
          </w:p>
        </w:tc>
      </w:tr>
      <w:tr>
        <w:trPr>
          <w:trHeight w:val="43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75"/>
        <w:gridCol w:w="1005"/>
        <w:gridCol w:w="480"/>
        <w:gridCol w:w="1275"/>
        <w:gridCol w:w="1305"/>
        <w:gridCol w:w="105"/>
        <w:gridCol w:w="1740"/>
        <w:gridCol w:w="2325"/>
        <w:gridCol w:w="30"/>
      </w:tblGrid>
      <w:tr>
        <w:trPr>
          <w:trHeight w:val="285" w:hRule="atLeast"/>
        </w:trPr>
        <w:tc>
          <w:tcPr>
            <w:tcW w:w="1081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9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COM ACUIDADE O LEVANTAMENTO DE QUANTITATIVOS E OS PREÇOS, ASSIM COMO CONFERIR TODOS OS DADOS QUANDO DA ELABORAÇÃO DO VALOR DE REFERÊNCIA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1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METODOLOGIA PARA A REALIZAÇÃO DE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PESQUISA DE PREÇOS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0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ANÁLISE - SELEÇÃO DO FORNECEDOR</w:t>
      </w:r>
    </w:p>
    <w:p>
      <w:pPr>
        <w:jc w:val="center"/>
        <w:ind w:right="15"/>
        <w:spacing w:before="45"/>
      </w:pPr>
      <w:r>
        <w:rPr>
          <w:b/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p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30"/>
        <w:gridCol w:w="1365"/>
        <w:gridCol w:w="60"/>
        <w:gridCol w:w="1755"/>
        <w:gridCol w:w="2355"/>
        <w:gridCol w:w="30"/>
      </w:tblGrid>
      <w:tr>
        <w:trPr>
          <w:trHeight w:val="28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4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9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9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60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ANÁLISE CRITERIOSA DA QUALIFICAÇÃO ECONÔMICO-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75"/>
        <w:gridCol w:w="1275"/>
        <w:gridCol w:w="90"/>
        <w:gridCol w:w="1755"/>
        <w:gridCol w:w="2370"/>
      </w:tblGrid>
      <w:tr>
        <w:trPr>
          <w:trHeight w:val="46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JUDICIÁRIO, TCU)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AGENTE DE CONTRATAÇÃO</w:t>
            </w:r>
          </w:p>
        </w:tc>
      </w:tr>
      <w:tr>
        <w:trPr>
          <w:trHeight w:val="5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18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8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990"/>
        <w:gridCol w:w="1605"/>
        <w:gridCol w:w="1005"/>
        <w:gridCol w:w="495"/>
        <w:gridCol w:w="1245"/>
        <w:gridCol w:w="1275"/>
        <w:gridCol w:w="120"/>
        <w:gridCol w:w="1875"/>
        <w:gridCol w:w="2160"/>
      </w:tblGrid>
      <w:tr>
        <w:trPr>
          <w:trHeight w:val="285" w:hRule="atLeast"/>
        </w:trPr>
        <w:tc>
          <w:tcPr>
            <w:tcW w:w="1077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18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33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66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A LICITAÇÃO COM MÁXIMA ANTECEDÊNCIA, DE MODO A SER POSSÍVEL REPETIR TODO O PROCESSO EM TEMPO HÁBIL PARA EXECUTAR A CONTRATAÇÃO NO MESMO EXERCÍCIO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CONTRATAÇÃO</w:t>
      </w:r>
    </w:p>
    <w:p>
      <w:pPr>
        <w:jc w:val="center"/>
        <w:ind w:right="15"/>
        <w:spacing w:before="45"/>
      </w:pPr>
      <w:r>
        <w:rPr>
          <w:rFonts w:ascii="Times New Roman" w:hAnsi="Times New Roman" w:cs="Times New Roman" w:eastAsia="Times New Roman"/>
          <w:sz w:val="22"/>
        </w:rPr>
        <w:t/>
      </w:r>
    </w:p>
    <w:p>
      <w:pPr>
        <w:jc w:val="center"/>
        <w:ind w:right="15"/>
        <w:spacing w:before="45"/>
      </w:pPr>
      <w:r>
        <w:rPr>
          <w:rFonts w:ascii="Times New Roman" w:hAnsi="Times New Roman" w:cs="Times New Roman" w:eastAsia="Times New Roman"/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5" name="P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.emf"/>
                    <pic:cNvPicPr/>
                  </pic:nvPicPr>
                  <pic:blipFill>
                    <a:blip r:embed="prId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75"/>
        <w:gridCol w:w="1590"/>
        <w:gridCol w:w="1005"/>
        <w:gridCol w:w="480"/>
        <w:gridCol w:w="1260"/>
        <w:gridCol w:w="1230"/>
        <w:gridCol w:w="180"/>
        <w:gridCol w:w="1680"/>
        <w:gridCol w:w="2325"/>
      </w:tblGrid>
      <w:tr>
        <w:trPr>
          <w:trHeight w:val="285" w:hRule="atLeast"/>
        </w:trPr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1072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Médio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PROBLEMAS CONSTANTES NA EXECUÇÃO DO OBJETO, QUER POR FALTA, QUER POR EXCESSO DE CLÁUSULAS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55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90"/>
        <w:gridCol w:w="1005"/>
        <w:gridCol w:w="480"/>
        <w:gridCol w:w="1290"/>
        <w:gridCol w:w="1305"/>
        <w:gridCol w:w="60"/>
        <w:gridCol w:w="1875"/>
        <w:gridCol w:w="2160"/>
      </w:tblGrid>
      <w:tr>
        <w:trPr>
          <w:trHeight w:val="285" w:hRule="atLeast"/>
        </w:trPr>
        <w:tc>
          <w:tcPr>
            <w:tcW w:w="1074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DO TRIBUNAL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22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4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60"/>
        <w:gridCol w:w="1635"/>
        <w:gridCol w:w="1005"/>
        <w:gridCol w:w="495"/>
        <w:gridCol w:w="1170"/>
        <w:gridCol w:w="1350"/>
        <w:gridCol w:w="135"/>
        <w:gridCol w:w="1860"/>
        <w:gridCol w:w="2085"/>
      </w:tblGrid>
      <w:tr>
        <w:trPr>
          <w:trHeight w:val="285" w:hRule="atLeast"/>
        </w:trPr>
        <w:tc>
          <w:tcPr>
            <w:tcW w:w="10725" w:type="dxa"/>
            <w:gridSpan w:val="10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6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1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2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21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39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GABINETE DO PREFEITO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>Guairaçá-Pr, 20 de maio de 2025.</w:t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center"/>
        <w:keepLines/>
        <w:keepNext/>
        <w:ind w:right="-30"/>
      </w:pPr>
      <w:r>
        <w:rPr>
          <w:b/>
          <w:sz w:val="22"/>
        </w:rPr>
        <w:t>_________________________</w:t>
      </w:r>
    </w:p>
    <w:p>
      <w:pPr>
        <w:jc w:val="center"/>
        <w:keepLines/>
        <w:keepNext/>
        <w:ind w:right="-30"/>
      </w:pPr>
      <w:r>
        <w:rPr>
          <w:b/>
          <w:sz w:val="22"/>
        </w:rPr>
        <w:t>LUAN RODRIGUES BONI</w:t>
      </w:r>
    </w:p>
    <w:p>
      <w:pPr>
        <w:jc w:val="center"/>
        <w:keepLines/>
        <w:keepNext/>
        <w:ind w:right="-30"/>
      </w:pPr>
      <w:r>
        <w:rPr>
          <w:b/>
          <w:i/>
          <w:sz w:val="22"/>
        </w:rPr>
        <w:t>GABINETE DO PREFEITO</w:t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  <w:font w:name="Arial MT">
    <w:charset w:val="00"/>
  </w:font>
  <w:font w:name="Aptos">
    <w:charset w:val="00"/>
  </w:font>
  <w:font w:name="Times New Roman">
    <w:charset w:val="00"/>
  </w:font>
  <w:font w:name="Times New Roman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widowControl/>
    </w:pPr>
    <w:r>
      <w:drawing>
        <wp:inline distT="0" distB="0" distL="0" distR="0">
          <wp:extent cx="57435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7435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prId1" Type="http://schemas.openxmlformats.org/officeDocument/2006/relationships/image" Target="media/img3.emf"/><Relationship Id="prId2" Type="http://schemas.openxmlformats.org/officeDocument/2006/relationships/image" Target="media/img4.emf"/><Relationship Id="prId3" Type="http://schemas.openxmlformats.org/officeDocument/2006/relationships/image" Target="media/img5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