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ind w:right="-30"/>
      </w:pPr>
      <w:bookmarkStart w:id="0" w:name="OLE_LINK2"/>
      <w:bookmarkEnd w:id="0"/>
      <w:r>
        <w:rPr>
          <w:b/>
          <w:u w:val="single" w:color="000000"/>
          <w:sz w:val="22"/>
        </w:rPr>
        <w:t>ESTUDO TÉCNICO PRELIMINAR – ETP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  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OBJETO: REGISTRO DE PREÇO PARA FUTURA E EVENTUAL AQUISIÇÃO DE TUBOS DE CONCRETOS PARA DRENAGEM DE AGUAS PLUVIAIS  EM A SECRETARIA MUNICIPAL DE VIAÇÃO, OBRAS E SERVIÇOS URBANOS DO MUNICIPIO DE GUAIRAÇÁ/PR.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1. INTRODUÇÃO</w:t>
      </w:r>
    </w:p>
    <w:p>
      <w:pPr>
        <w:jc w:val="both"/>
        <w:keepLines/>
        <w:keepNext/>
        <w:ind w:right="-30"/>
      </w:pPr>
      <w:r>
        <w:rPr>
          <w:sz w:val="22"/>
        </w:rPr>
        <w:t>As</w:t>
      </w:r>
      <w:r>
        <w:rPr>
          <w:sz w:val="22"/>
          <w:spacing w:val="-1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-1"/>
        </w:rPr>
        <w:t xml:space="preserve"> </w:t>
      </w:r>
      <w:r>
        <w:rPr>
          <w:sz w:val="22"/>
        </w:rPr>
        <w:t>governamentais</w:t>
      </w:r>
      <w:r>
        <w:rPr>
          <w:sz w:val="22"/>
          <w:spacing w:val="-1"/>
        </w:rPr>
        <w:t xml:space="preserve"> </w:t>
      </w:r>
      <w:r>
        <w:rPr>
          <w:sz w:val="22"/>
        </w:rPr>
        <w:t>produzem</w:t>
      </w:r>
      <w:r>
        <w:rPr>
          <w:sz w:val="22"/>
          <w:spacing w:val="-1"/>
        </w:rPr>
        <w:t xml:space="preserve"> </w:t>
      </w:r>
      <w:r>
        <w:rPr>
          <w:sz w:val="22"/>
        </w:rPr>
        <w:t>significativo</w:t>
      </w:r>
      <w:r>
        <w:rPr>
          <w:sz w:val="22"/>
          <w:spacing w:val="-1"/>
        </w:rPr>
        <w:t xml:space="preserve"> </w:t>
      </w:r>
      <w:r>
        <w:rPr>
          <w:sz w:val="22"/>
        </w:rPr>
        <w:t>impacto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atividade</w:t>
      </w:r>
      <w:r>
        <w:rPr>
          <w:sz w:val="22"/>
          <w:spacing w:val="-1"/>
        </w:rPr>
        <w:t xml:space="preserve"> </w:t>
      </w:r>
      <w:r>
        <w:rPr>
          <w:sz w:val="22"/>
        </w:rPr>
        <w:t>econômica,</w:t>
      </w:r>
      <w:r>
        <w:rPr>
          <w:sz w:val="22"/>
          <w:spacing w:val="-1"/>
        </w:rPr>
        <w:t xml:space="preserve"> </w:t>
      </w:r>
      <w:r>
        <w:rPr>
          <w:sz w:val="22"/>
        </w:rPr>
        <w:t>tendo</w:t>
      </w:r>
      <w:r>
        <w:rPr>
          <w:sz w:val="22"/>
          <w:spacing w:val="-1"/>
        </w:rPr>
        <w:t xml:space="preserve"> </w:t>
      </w:r>
      <w:r>
        <w:rPr>
          <w:sz w:val="22"/>
        </w:rPr>
        <w:t>em</w:t>
      </w:r>
      <w:r>
        <w:rPr>
          <w:sz w:val="22"/>
          <w:spacing w:val="-3"/>
        </w:rPr>
        <w:t xml:space="preserve"> 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z w:val="22"/>
          <w:spacing w:val="-3"/>
        </w:rPr>
        <w:t xml:space="preserve"> </w:t>
      </w:r>
      <w:r>
        <w:rPr>
          <w:sz w:val="22"/>
        </w:rPr>
        <w:t>ao</w:t>
      </w:r>
      <w:r>
        <w:rPr>
          <w:sz w:val="22"/>
          <w:spacing w:val="-1"/>
        </w:rPr>
        <w:t xml:space="preserve"> </w:t>
      </w:r>
      <w:r>
        <w:rPr>
          <w:sz w:val="22"/>
        </w:rPr>
        <w:t>conhecimento</w:t>
      </w:r>
      <w:r>
        <w:rPr>
          <w:sz w:val="22"/>
          <w:spacing w:val="-1"/>
        </w:rPr>
        <w:t xml:space="preserve"> </w:t>
      </w:r>
      <w:r>
        <w:rPr>
          <w:sz w:val="22"/>
        </w:rPr>
        <w:t>de</w:t>
      </w:r>
      <w:r>
        <w:rPr>
          <w:sz w:val="22"/>
          <w:spacing w:val="-1"/>
        </w:rPr>
        <w:t xml:space="preserve"> </w:t>
      </w:r>
      <w:r>
        <w:rPr>
          <w:sz w:val="22"/>
        </w:rPr>
        <w:t>novas</w:t>
      </w:r>
      <w:r>
        <w:rPr>
          <w:sz w:val="22"/>
          <w:spacing w:val="-1"/>
        </w:rPr>
        <w:t xml:space="preserve"> </w:t>
      </w:r>
      <w:r>
        <w:rPr>
          <w:sz w:val="22"/>
        </w:rPr>
        <w:t>modelagens/metodologias</w:t>
      </w:r>
      <w:r>
        <w:rPr>
          <w:sz w:val="22"/>
          <w:spacing w:val="-1"/>
        </w:rPr>
        <w:t xml:space="preserve"> </w:t>
      </w:r>
      <w:r>
        <w:rPr>
          <w:sz w:val="22"/>
        </w:rPr>
        <w:t>ofertadas</w:t>
      </w:r>
      <w:r>
        <w:rPr>
          <w:sz w:val="22"/>
          <w:spacing w:val="-1"/>
        </w:rPr>
        <w:t xml:space="preserve"> </w:t>
      </w:r>
      <w:r>
        <w:rPr>
          <w:sz w:val="22"/>
        </w:rPr>
        <w:t>pelo</w:t>
      </w:r>
      <w:r>
        <w:rPr>
          <w:sz w:val="22"/>
          <w:spacing w:val="-1"/>
        </w:rPr>
        <w:t xml:space="preserve"> </w:t>
      </w:r>
      <w:r>
        <w:rPr>
          <w:sz w:val="22"/>
        </w:rPr>
        <w:t>mercado,</w:t>
      </w:r>
      <w:r>
        <w:rPr>
          <w:sz w:val="22"/>
          <w:spacing w:val="-1"/>
        </w:rPr>
        <w:t xml:space="preserve"> </w:t>
      </w:r>
      <w:r>
        <w:rPr>
          <w:sz w:val="22"/>
        </w:rPr>
        <w:t>resultado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melhor qualidade do gasto e em uma gestão eficiente dos recursos públicos.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2. NECESSIDADE/JUSTIFICATIVA DE CONTRATAÇÃO</w:t>
      </w:r>
    </w:p>
    <w:p>
      <w:pPr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A grande preocupação do município é contribuir e suprir as necessidades da população dando condições de ir e vir, para isso, melhorar as condições físicas de infraestrutura urbana é uma das prioridades uma vez que tem influência direta na qualidade de vida e na saúde das pessoas.</w:t>
      </w:r>
    </w:p>
    <w:p>
      <w:pPr>
        <w:jc w:val="both"/>
        <w:keepLines/>
        <w:keepNext/>
        <w:ind w:right="-30"/>
      </w:pPr>
      <w:r>
        <w:rPr>
          <w:sz w:val="22"/>
        </w:rPr>
        <w:t>Hoje temos grandes problemas de coleta e destinação das águas de precipitação, com grave problema no emissário existente e falta de galerias em grande parte da cidade, o que impede o desenvolvimento e melhorias na infraestrutura.</w:t>
      </w:r>
    </w:p>
    <w:p>
      <w:pPr>
        <w:jc w:val="both"/>
        <w:keepLines/>
        <w:keepNext/>
        <w:ind w:right="-30"/>
      </w:pPr>
      <w:r>
        <w:rPr>
          <w:sz w:val="22"/>
        </w:rPr>
        <w:t>Oferecer infraestrutura logística a população e assegurar o direito de ir e vir dos munícipes só será possível com execução e melhorias no sistema de drenagem, o que possibilitará a execução de pavimentação em todas as ruas e avenidas do nosso município.</w:t>
      </w:r>
    </w:p>
    <w:p>
      <w:pPr>
        <w:jc w:val="both"/>
        <w:keepLines/>
        <w:keepNext/>
        <w:ind w:right="-30"/>
      </w:pPr>
      <w:r>
        <w:rPr>
          <w:sz w:val="22"/>
        </w:rPr>
        <w:t>A qualidade de vida dos habitantes é melhorada através de ações que consolidem e atendem os direitos básicos de maneira igualitária a todas as regiões da cidade.</w:t>
      </w:r>
    </w:p>
    <w:p>
      <w:pPr>
        <w:jc w:val="both"/>
        <w:keepLines/>
        <w:keepNext/>
        <w:ind w:right="-30"/>
      </w:pPr>
      <w:r>
        <w:rPr>
          <w:sz w:val="22"/>
        </w:rPr>
        <w:t>Com o objetivo de melhorar e aumentar o sistema de drenagem de águas pluviais do município, realizamos estudo e desenvolvimento de projeto o que possibilita a real visualização das condições e necessidades para melhoria na captação. Com base no projeto elaborado extraímos o quantitativo de tubos e serviços a serem realizados.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EXECUÇÃO DE GALERIAS PARA DRENAGEM DE ÁGUAS PLUVIAIS NOS TRECHOS – COLETORES A; B; C; EMISSÁRIO.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Rua Eliodório G. da Silva ENTRE: Rua José H. Santana e Av. Paraná - Ø 0,80 - 295,00 metros;</w:t>
      </w:r>
    </w:p>
    <w:p>
      <w:pPr>
        <w:jc w:val="both"/>
        <w:keepLines/>
        <w:keepNext/>
        <w:ind w:right="-30"/>
      </w:pPr>
      <w:r>
        <w:rPr>
          <w:sz w:val="22"/>
        </w:rPr>
        <w:t>Rua José H. Santana ENTRE: Rua Vila Nova e Rua Eliodório G. da Silva - Ø 0,40 - 34,00 metros;</w:t>
      </w:r>
    </w:p>
    <w:p>
      <w:pPr>
        <w:jc w:val="both"/>
        <w:keepLines/>
        <w:keepNext/>
        <w:ind w:right="-30"/>
      </w:pPr>
      <w:r>
        <w:rPr>
          <w:sz w:val="22"/>
        </w:rPr>
        <w:t>Rua Leonel Almeida Costa ENTRE: Rua Vila Nova e Rua Eliodório G. da Silva - Ø 0,60 - 30,00 metros;</w:t>
      </w:r>
    </w:p>
    <w:p>
      <w:pPr>
        <w:jc w:val="both"/>
        <w:keepLines/>
        <w:keepNext/>
        <w:ind w:right="-30"/>
      </w:pPr>
      <w:r>
        <w:rPr>
          <w:sz w:val="22"/>
        </w:rPr>
        <w:t>Rua José Luiz Vieira ENTRE: Rua Vila Nova e Rua Eliodório G. da Silva - Ø 0,60 - 26,00 metros;</w:t>
      </w:r>
    </w:p>
    <w:p>
      <w:pPr>
        <w:jc w:val="both"/>
        <w:keepLines/>
        <w:keepNext/>
        <w:ind w:right="-30"/>
      </w:pPr>
      <w:r>
        <w:rPr>
          <w:sz w:val="22"/>
        </w:rPr>
        <w:t>Av. Paraná ENTRE: Vila Nova e Rua Eliodório G. da Silva - Ø 0,60 - 19,00 metros;</w:t>
      </w:r>
    </w:p>
    <w:p>
      <w:pPr>
        <w:jc w:val="both"/>
        <w:keepLines/>
        <w:keepNext/>
        <w:ind w:right="-30"/>
      </w:pPr>
      <w:r>
        <w:rPr>
          <w:sz w:val="22"/>
        </w:rPr>
        <w:t>Rua José H. Santana ENTRE: Rua Eliodório G. da Silva e Rua Junzo Nagai - Ø 1,00 - 116,00 metros - Ø 0,80 - 233,00 metros;</w:t>
      </w:r>
    </w:p>
    <w:p>
      <w:pPr>
        <w:jc w:val="both"/>
        <w:keepLines/>
        <w:keepNext/>
        <w:ind w:right="-30"/>
      </w:pPr>
      <w:r>
        <w:rPr>
          <w:sz w:val="22"/>
        </w:rPr>
        <w:t>Rua Antônio C. Donadom ENTRE: Rua Leonel Almeida Costa e Av. Paraná - Ø 0,60 - 199,00 metros;</w:t>
      </w:r>
    </w:p>
    <w:p>
      <w:pPr>
        <w:jc w:val="both"/>
        <w:keepLines/>
        <w:keepNext/>
        <w:ind w:right="-30"/>
      </w:pPr>
      <w:r>
        <w:rPr>
          <w:sz w:val="22"/>
        </w:rPr>
        <w:t>Rua Leonel A. Costa ENTRE: Rua Antonio C. Donadom e Av. Margarida Mewes - Ø 0,60 - 116,00 metros;</w:t>
      </w:r>
    </w:p>
    <w:p>
      <w:pPr>
        <w:jc w:val="both"/>
        <w:keepLines/>
        <w:keepNext/>
        <w:ind w:right="-30"/>
      </w:pPr>
      <w:r>
        <w:rPr>
          <w:sz w:val="22"/>
        </w:rPr>
        <w:t>Av. Margarida Mewes ENTRE: Rua Leonel A. Costa e Av. Paraná - Ø 0,80 - 100,00 metros - Ø 0,60 - 99,00 metros;</w:t>
      </w:r>
    </w:p>
    <w:p>
      <w:pPr>
        <w:jc w:val="both"/>
        <w:keepLines/>
        <w:keepNext/>
        <w:ind w:right="-30"/>
      </w:pPr>
      <w:r>
        <w:rPr>
          <w:sz w:val="22"/>
        </w:rPr>
        <w:t>Rua Daniel dos S. Viais ENTRE: Rua Leonel A. Costa e Av. Paraná - Ø 0,60 - 200,00 metros;</w:t>
      </w:r>
    </w:p>
    <w:p>
      <w:pPr>
        <w:jc w:val="both"/>
        <w:keepLines/>
        <w:keepNext/>
        <w:ind w:right="-30"/>
      </w:pPr>
      <w:r>
        <w:rPr>
          <w:sz w:val="22"/>
        </w:rPr>
        <w:t>Av. Paraná ENTRE: Rua João Cessel e Rua Daniel dos S. Viais - Ø 0,60 - 116,00 metros;</w:t>
      </w:r>
    </w:p>
    <w:p>
      <w:pPr>
        <w:jc w:val="both"/>
        <w:keepLines/>
        <w:keepNext/>
        <w:ind w:right="-30"/>
      </w:pPr>
      <w:r>
        <w:rPr>
          <w:sz w:val="22"/>
        </w:rPr>
        <w:t>Rua Bento de A. Sampaio ENTRE: Rua Tamandaré e Av. Paraná - Ø 0,40 - 100,00 metros;</w:t>
      </w:r>
    </w:p>
    <w:p>
      <w:pPr>
        <w:jc w:val="both"/>
        <w:keepLines/>
        <w:keepNext/>
        <w:ind w:right="-30"/>
      </w:pPr>
      <w:r>
        <w:rPr>
          <w:sz w:val="22"/>
        </w:rPr>
        <w:t>Rua Oswaldo Cruz ENTRE: Rua Leonel A. Costa e Av. Paraná - Ø 0,60 - 100,00 metros - Ø 0,40 - 100,00 metros;</w:t>
      </w:r>
    </w:p>
    <w:p>
      <w:pPr>
        <w:jc w:val="both"/>
        <w:keepLines/>
        <w:keepNext/>
        <w:ind w:right="-30"/>
      </w:pPr>
      <w:r>
        <w:rPr>
          <w:sz w:val="22"/>
        </w:rPr>
        <w:t>Rua Maria C. Correia ENTRE: Rua Leonel A. Costa e Av. Paraná - Ø 0,60 - 100,00 metros - Ø 0,40 - 100,00 metros;</w:t>
      </w:r>
    </w:p>
    <w:p>
      <w:pPr>
        <w:jc w:val="both"/>
        <w:keepLines/>
        <w:keepNext/>
        <w:ind w:right="-30"/>
      </w:pPr>
      <w:r>
        <w:rPr>
          <w:sz w:val="22"/>
        </w:rPr>
        <w:t>Rua Leonel A. Costa ENTRE: Rua Maria C. Correia e Rua Avelino Rizzato - Ø 0,80 - 116,00 metros;</w:t>
      </w:r>
    </w:p>
    <w:p>
      <w:pPr>
        <w:jc w:val="both"/>
        <w:keepLines/>
        <w:keepNext/>
        <w:ind w:right="-30"/>
      </w:pPr>
      <w:r>
        <w:rPr>
          <w:sz w:val="22"/>
        </w:rPr>
        <w:t>Rua Avelino Rizzato ENTRE: Rua Leonel A. Costa e Av. Paraná - Ø 0,80 - 50,00 metros - Ø 0,60 - 150,00 metros;</w:t>
      </w:r>
    </w:p>
    <w:p>
      <w:pPr>
        <w:jc w:val="both"/>
        <w:keepLines/>
        <w:keepNext/>
        <w:ind w:right="-30"/>
      </w:pPr>
      <w:r>
        <w:rPr>
          <w:sz w:val="22"/>
        </w:rPr>
        <w:t>Av. Prof. Antônio Sampaio ENTRE: Rua Maranhão e Rua Moisés Lupion - Ø 1,00 - 100,00 metros - Ø 0,80 - 100,00 metros - Ø 0,60 - 112,00 metros;</w:t>
      </w:r>
    </w:p>
    <w:p>
      <w:pPr>
        <w:jc w:val="both"/>
        <w:keepLines/>
        <w:keepNext/>
        <w:ind w:right="-30"/>
      </w:pPr>
      <w:r>
        <w:rPr>
          <w:sz w:val="22"/>
        </w:rPr>
        <w:t>Rua Moisés Lupion ENTRE: Av. Prof. Antônio Sampaio e Rua Rodrigo Ayres de O. - Ø 0,60 - 117,00 metros - Ø 0,40 - 73,00 metros;</w:t>
      </w:r>
    </w:p>
    <w:p>
      <w:pPr>
        <w:jc w:val="both"/>
        <w:keepLines/>
        <w:keepNext/>
        <w:ind w:right="-30"/>
      </w:pPr>
      <w:r>
        <w:rPr>
          <w:sz w:val="22"/>
        </w:rPr>
        <w:t>Rua Minasse Massato ENTRE: Av. Prof. Antônio Sampaio e Rua Rodrigo Ayres de O. - Ø 0,60 - 116,00 metros - Ø 0,40 - 74,00 metros;</w:t>
      </w:r>
    </w:p>
    <w:p>
      <w:pPr>
        <w:jc w:val="both"/>
        <w:keepLines/>
        <w:keepNext/>
        <w:ind w:right="-30"/>
      </w:pPr>
      <w:r>
        <w:rPr>
          <w:sz w:val="22"/>
        </w:rPr>
        <w:t>Rua Pedro Costa ENTRE: Av. Prof. Antônio Sampaio e Rua Rodrigo Ayres de O. - Ø 0,60 - 116,00 metros - Ø 0,40 - 66,00 metros;</w:t>
      </w:r>
    </w:p>
    <w:p>
      <w:pPr>
        <w:jc w:val="both"/>
        <w:keepLines/>
        <w:keepNext/>
        <w:ind w:right="-30"/>
      </w:pPr>
      <w:r>
        <w:rPr>
          <w:sz w:val="22"/>
        </w:rPr>
        <w:t>Rua Hercílio Barreto ENTRE: Av. Prof. Antônio Sampaio e Rua Caetano Ruiz Neto - Ø 0,60 - 166,00 metros - Ø 0,40 - 128,00 metros;</w:t>
      </w:r>
    </w:p>
    <w:p>
      <w:pPr>
        <w:jc w:val="both"/>
        <w:keepLines/>
        <w:keepNext/>
        <w:ind w:right="-30"/>
      </w:pPr>
      <w:r>
        <w:rPr>
          <w:sz w:val="22"/>
        </w:rPr>
        <w:t>Rua Yoshio Hamamura ENTRE: Rua Constâncio Cucato e Rua Hercílio Barreto - Ø 0,40 - 99,00 metros;</w:t>
      </w:r>
    </w:p>
    <w:p>
      <w:pPr>
        <w:jc w:val="both"/>
        <w:keepLines/>
        <w:keepNext/>
        <w:ind w:right="-30"/>
      </w:pPr>
      <w:r>
        <w:rPr>
          <w:sz w:val="22"/>
        </w:rPr>
        <w:t>Rua Constâncio Cucato ENTRE: Rua Yoshio Hamamura e Av. Prof. Antônio Sampaio - Ø 0,40 - 50,00 metros;</w:t>
      </w:r>
    </w:p>
    <w:p>
      <w:pPr>
        <w:jc w:val="both"/>
        <w:keepLines/>
        <w:keepNext/>
        <w:ind w:right="-30"/>
      </w:pPr>
      <w:r>
        <w:rPr>
          <w:sz w:val="22"/>
        </w:rPr>
        <w:t>Rua Antonio Marengoni ENTRE: Rua Yoshio Hamamura e PV14E/21C - Ø 1,20 - 120,00 metros - Ø 1,00 - 179,00 metros;</w:t>
      </w:r>
    </w:p>
    <w:p>
      <w:pPr>
        <w:jc w:val="both"/>
        <w:keepLines/>
        <w:keepNext/>
        <w:ind w:right="-30"/>
      </w:pPr>
      <w:r>
        <w:rPr>
          <w:sz w:val="22"/>
        </w:rPr>
        <w:t>PV14E/21C ATÉ Dissipador de Energia (VA) - Ø 1,20 - 560,00 metros - Ø 1,00 - 180,00 metros;</w:t>
      </w:r>
    </w:p>
    <w:p>
      <w:pPr>
        <w:jc w:val="both"/>
        <w:keepLines/>
        <w:keepNext/>
        <w:ind w:right="-30"/>
      </w:pPr>
      <w:r>
        <w:rPr>
          <w:sz w:val="22"/>
        </w:rPr>
        <w:t xml:space="preserve">Ligação Boca de Lobo - Ø 0,40 - 200,00 metros; 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3. ALINHAMENTO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ENTRE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A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CONTRATAÇÃO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PLANO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DE</w:t>
      </w:r>
      <w:r>
        <w:rPr>
          <w:b/>
          <w:sz w:val="22"/>
          <w:spacing w:val="1"/>
        </w:rPr>
        <w:t xml:space="preserve"> CONTRATAÇÕES ANUAL- 2025</w:t>
      </w:r>
    </w:p>
    <w:p>
      <w:pPr>
        <w:keepLines/>
        <w:keepNext/>
        <w:ind w:right="-30"/>
        <w:tabs>
          <w:tab w:val="left" w:pos="2730"/>
        </w:tabs>
      </w:pPr>
      <w:r>
        <w:rPr>
          <w:sz w:val="22"/>
        </w:rPr>
        <w:t>A necessidade da presente contratação encontra-se respaldada no Plano de Contratações Anual da Prefeitura Municipal de Guairaçá.</w:t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/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>4. REQUISITOS DA CONTRATAÇÃO</w:t>
      </w:r>
    </w:p>
    <w:p>
      <w:pPr>
        <w:keepLines/>
        <w:keepNext/>
      </w:pPr>
      <w:r>
        <w:rPr>
          <w:sz w:val="22"/>
        </w:rPr>
        <w:t/>
      </w:r>
    </w:p>
    <w:p>
      <w:pPr>
        <w:keepLines/>
        <w:keepNext/>
      </w:pPr>
      <w:r>
        <w:rPr>
          <w:sz w:val="22"/>
        </w:rPr>
        <w:t>A contratação deverá observar os seguintes</w:t>
      </w:r>
      <w:r>
        <w:rPr>
          <w:sz w:val="22"/>
          <w:spacing w:val="-1"/>
        </w:rPr>
        <w:t xml:space="preserve"> </w:t>
      </w:r>
      <w:r>
        <w:rPr>
          <w:sz w:val="22"/>
        </w:rPr>
        <w:t>requisitos:</w:t>
      </w:r>
    </w:p>
    <w:p>
      <w:pPr>
        <w:keepLines/>
        <w:keepNext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sz w:val="22"/>
        </w:rPr>
        <w:t>menor preço por item;</w:t>
      </w:r>
    </w:p>
    <w:p>
      <w:pPr>
        <w:jc w:val="both"/>
        <w:keepLines/>
        <w:keepNext/>
        <w:ind w:left="435"/>
      </w:pPr>
      <w:r>
        <w:rPr>
          <w:sz w:val="22"/>
        </w:rPr>
        <w:t>2. Não serão aplicadas a indicação e/ou a vedação de marcas;</w:t>
      </w:r>
    </w:p>
    <w:p>
      <w:pPr>
        <w:jc w:val="both"/>
        <w:keepLines/>
        <w:keepNext/>
        <w:ind w:left="435"/>
      </w:pPr>
      <w:r>
        <w:rPr>
          <w:sz w:val="22"/>
        </w:rPr>
        <w:t>3. Não será admitida a subcontratação do objeto contratual;</w:t>
      </w:r>
    </w:p>
    <w:p>
      <w:pPr>
        <w:jc w:val="both"/>
        <w:keepLines/>
        <w:keepNext/>
        <w:ind w:left="435"/>
      </w:pPr>
      <w:r>
        <w:rPr>
          <w:sz w:val="22"/>
        </w:rPr>
        <w:t>4. Não haverá exigência da garantia da contratação dos arts. 96 e seguintes da Lei nº 14.133/21.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</w:rPr>
        <w:t>5. RELAÇÃO ENTRE A DEMANDA PREVISTA E QUANTIDADES DE CADA ITEM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>RELAÇÃO DE ITENS EM CONFORMIDADE A SOLICITAÇÃO DE COMPRAS N. 41/2025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widowControl/>
      </w:pPr>
      <w:r>
        <w:rPr>
          <w:sz w:val="22"/>
        </w:rPr>
        <w:t>Segue anexo os preços levantados através da Tabela SINAPI PR  12-2024 de onde foram colhidos os valores.</w:t>
      </w:r>
    </w:p>
    <w:p>
      <w:pPr>
        <w:jc w:val="both"/>
        <w:keepLines/>
        <w:keepNext/>
        <w:ind w:right="-30"/>
      </w:pPr>
      <w:r>
        <w:rPr>
          <w:rFonts w:ascii="Arial MT" w:hAnsi="Arial MT" w:cs="Arial MT" w:eastAsia="Arial MT"/>
          <w:sz w:val="19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Os materiais deverão ser entregues nos locais informados na Nota de Empenho ou Ordem de Serviço emitidas, acompanhada preferencialmente pelo Fiscal do Contrato ou por outro servidor designado para esse fim.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6. PRAZO DE ENTREGA/EXECUÇÃO, VIGÊNCIA E VALOR MÁXIMO</w:t>
      </w:r>
    </w:p>
    <w:p>
      <w:pPr>
        <w:jc w:val="both"/>
        <w:keepLines/>
        <w:keepNext/>
        <w:ind w:right="-30"/>
      </w:pPr>
      <w:r>
        <w:rPr>
          <w:sz w:val="22"/>
        </w:rPr>
        <w:t>A entrega dos materiais deverá ocorrer em até 10 (dez) dias úteis, a contar da solicitação do órgão competente, por conta e risco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empresa</w:t>
      </w:r>
      <w:r>
        <w:rPr>
          <w:sz w:val="22"/>
          <w:spacing w:val="2"/>
        </w:rPr>
        <w:t xml:space="preserve"> </w:t>
      </w:r>
      <w:r>
        <w:rPr>
          <w:sz w:val="22"/>
        </w:rPr>
        <w:t>vencedora</w:t>
      </w:r>
      <w:r>
        <w:rPr>
          <w:sz w:val="22"/>
          <w:spacing w:val="2"/>
        </w:rPr>
        <w:t xml:space="preserve"> </w:t>
      </w:r>
      <w:r>
        <w:rPr>
          <w:sz w:val="22"/>
        </w:rPr>
        <w:t>do</w:t>
      </w:r>
      <w:r>
        <w:rPr>
          <w:sz w:val="22"/>
          <w:spacing w:val="2"/>
        </w:rPr>
        <w:t xml:space="preserve"> </w:t>
      </w:r>
      <w:r>
        <w:rPr>
          <w:sz w:val="22"/>
        </w:rPr>
        <w:t>certame</w:t>
      </w:r>
      <w:r>
        <w:rPr>
          <w:sz w:val="22"/>
          <w:spacing w:val="2"/>
        </w:rPr>
        <w:t xml:space="preserve"> </w:t>
      </w:r>
      <w:r>
        <w:rPr>
          <w:sz w:val="22"/>
        </w:rPr>
        <w:t>licitatório,</w:t>
      </w:r>
      <w:r>
        <w:rPr>
          <w:sz w:val="22"/>
          <w:spacing w:val="2"/>
        </w:rPr>
        <w:t xml:space="preserve"> </w:t>
      </w:r>
      <w:r>
        <w:rPr>
          <w:sz w:val="22"/>
        </w:rPr>
        <w:t>mediante</w:t>
      </w:r>
      <w:r>
        <w:rPr>
          <w:sz w:val="22"/>
          <w:spacing w:val="2"/>
        </w:rPr>
        <w:t xml:space="preserve"> </w:t>
      </w:r>
      <w:r>
        <w:rPr>
          <w:sz w:val="22"/>
        </w:rPr>
        <w:t>requisição</w:t>
      </w:r>
      <w:r>
        <w:rPr>
          <w:sz w:val="22"/>
          <w:spacing w:val="2"/>
        </w:rPr>
        <w:t xml:space="preserve"> </w:t>
      </w:r>
      <w:r>
        <w:rPr>
          <w:sz w:val="22"/>
        </w:rPr>
        <w:t>formalizada</w:t>
      </w:r>
      <w:r>
        <w:rPr>
          <w:sz w:val="22"/>
          <w:spacing w:val="2"/>
        </w:rPr>
        <w:t xml:space="preserve"> </w:t>
      </w:r>
      <w:r>
        <w:rPr>
          <w:sz w:val="22"/>
        </w:rPr>
        <w:t>pelo</w:t>
      </w:r>
      <w:r>
        <w:rPr>
          <w:sz w:val="22"/>
          <w:spacing w:val="2"/>
        </w:rPr>
        <w:t xml:space="preserve"> </w:t>
      </w:r>
      <w:r>
        <w:rPr>
          <w:sz w:val="22"/>
        </w:rPr>
        <w:t>Município,</w:t>
      </w:r>
      <w:r>
        <w:rPr>
          <w:sz w:val="22"/>
          <w:spacing w:val="2"/>
        </w:rPr>
        <w:t xml:space="preserve"> </w:t>
      </w:r>
      <w:r>
        <w:rPr>
          <w:sz w:val="22"/>
        </w:rPr>
        <w:t>correndo</w:t>
      </w:r>
      <w:r>
        <w:rPr>
          <w:sz w:val="22"/>
          <w:spacing w:val="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>
      <w:pPr>
        <w:jc w:val="both"/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2"/>
        </w:rPr>
        <w:t xml:space="preserve"> </w:t>
      </w:r>
      <w:r>
        <w:rPr>
          <w:sz w:val="22"/>
        </w:rPr>
        <w:t>prazo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sz w:val="22"/>
        </w:rPr>
        <w:t>vigência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2"/>
        </w:rPr>
        <w:t xml:space="preserve"> </w:t>
      </w:r>
      <w:r>
        <w:rPr>
          <w:sz w:val="22"/>
        </w:rPr>
        <w:t>será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b/>
          <w:sz w:val="22"/>
        </w:rPr>
        <w:t>até</w:t>
      </w:r>
      <w:r>
        <w:rPr>
          <w:b/>
          <w:sz w:val="22"/>
          <w:spacing w:val="2"/>
        </w:rPr>
        <w:t xml:space="preserve"> 12 </w:t>
      </w:r>
      <w:r>
        <w:rPr>
          <w:b/>
          <w:sz w:val="22"/>
        </w:rPr>
        <w:t>(doze)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z w:val="22"/>
          <w:spacing w:val="2"/>
        </w:rPr>
        <w:t xml:space="preserve"> </w:t>
      </w:r>
      <w:r>
        <w:rPr>
          <w:sz w:val="22"/>
        </w:rPr>
        <w:t>contados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data</w:t>
      </w:r>
      <w:r>
        <w:rPr>
          <w:sz w:val="22"/>
          <w:spacing w:val="2"/>
        </w:rPr>
        <w:t xml:space="preserve"> </w:t>
      </w:r>
      <w:r>
        <w:rPr>
          <w:sz w:val="22"/>
        </w:rPr>
        <w:t>indicada</w:t>
      </w:r>
      <w:r>
        <w:rPr>
          <w:sz w:val="22"/>
          <w:spacing w:val="2"/>
        </w:rPr>
        <w:t xml:space="preserve"> </w:t>
      </w:r>
      <w:r>
        <w:rPr>
          <w:sz w:val="22"/>
        </w:rPr>
        <w:t>no</w:t>
      </w:r>
      <w:r>
        <w:rPr>
          <w:sz w:val="22"/>
          <w:spacing w:val="2"/>
        </w:rPr>
        <w:t xml:space="preserve"> </w:t>
      </w:r>
      <w:r>
        <w:rPr>
          <w:sz w:val="22"/>
        </w:rPr>
        <w:t>instrumento contratual, na forma do artigo 105, da Lei n° 14.133/2021.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 custo estimado total da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 é</w:t>
      </w:r>
      <w:r>
        <w:rPr>
          <w:sz w:val="22"/>
          <w:spacing w:val="1"/>
        </w:rPr>
        <w:t xml:space="preserve"> </w:t>
      </w:r>
      <w:r>
        <w:rPr>
          <w:sz w:val="22"/>
        </w:rPr>
        <w:t>de</w:t>
      </w:r>
      <w:r>
        <w:rPr>
          <w:sz w:val="22"/>
          <w:spacing w:val="1"/>
          <w:color w:val="FF0000"/>
        </w:rPr>
        <w:t xml:space="preserve"> </w:t>
      </w:r>
      <w:r>
        <w:rPr>
          <w:b/>
          <w:sz w:val="22"/>
        </w:rPr>
        <w:t>R$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2.125.289,21 (Dois Milhões, Cento e Vinte e Cinco Mil, Duzentos e Oitenta e Nove Reais e Vinte e Um Centavos).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1"/>
        </w:rPr>
        <w:t xml:space="preserve"> </w:t>
      </w:r>
      <w:r>
        <w:rPr>
          <w:sz w:val="22"/>
        </w:rPr>
        <w:t>objeto</w:t>
      </w:r>
      <w:r>
        <w:rPr>
          <w:sz w:val="22"/>
          <w:spacing w:val="1"/>
        </w:rPr>
        <w:t xml:space="preserve"> </w:t>
      </w:r>
      <w:r>
        <w:rPr>
          <w:sz w:val="22"/>
        </w:rPr>
        <w:t>desta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1"/>
        </w:rPr>
        <w:t xml:space="preserve"> </w:t>
      </w:r>
      <w:r>
        <w:rPr>
          <w:sz w:val="22"/>
        </w:rPr>
        <w:t>não</w:t>
      </w:r>
      <w:r>
        <w:rPr>
          <w:sz w:val="22"/>
          <w:spacing w:val="1"/>
        </w:rPr>
        <w:t xml:space="preserve"> </w:t>
      </w:r>
      <w:r>
        <w:rPr>
          <w:sz w:val="22"/>
        </w:rPr>
        <w:t>se enquadra</w:t>
      </w:r>
      <w:r>
        <w:rPr>
          <w:sz w:val="22"/>
          <w:spacing w:val="1"/>
        </w:rPr>
        <w:t xml:space="preserve"> </w:t>
      </w:r>
      <w:r>
        <w:rPr>
          <w:sz w:val="22"/>
        </w:rPr>
        <w:t>como</w:t>
      </w:r>
      <w:r>
        <w:rPr>
          <w:sz w:val="22"/>
          <w:spacing w:val="1"/>
        </w:rPr>
        <w:t xml:space="preserve"> </w:t>
      </w:r>
      <w:r>
        <w:rPr>
          <w:sz w:val="22"/>
        </w:rPr>
        <w:t>sendo de bem</w:t>
      </w:r>
      <w:r>
        <w:rPr>
          <w:sz w:val="22"/>
          <w:spacing w:val="1"/>
        </w:rPr>
        <w:t xml:space="preserve"> </w:t>
      </w:r>
      <w:r>
        <w:rPr>
          <w:sz w:val="22"/>
        </w:rPr>
        <w:t>de luxo, conforme Decreto</w:t>
      </w:r>
      <w:r>
        <w:rPr>
          <w:sz w:val="22"/>
          <w:spacing w:val="1"/>
        </w:rPr>
        <w:t xml:space="preserve"> </w:t>
      </w:r>
      <w:r>
        <w:rPr>
          <w:sz w:val="22"/>
        </w:rPr>
        <w:t>nº</w:t>
      </w:r>
      <w:r>
        <w:rPr>
          <w:sz w:val="22"/>
          <w:spacing w:val="1"/>
        </w:rPr>
        <w:t xml:space="preserve"> </w:t>
      </w:r>
      <w:r>
        <w:rPr>
          <w:sz w:val="22"/>
        </w:rPr>
        <w:t>10.818, de</w:t>
      </w:r>
      <w:r>
        <w:rPr>
          <w:sz w:val="22"/>
          <w:spacing w:val="1"/>
        </w:rPr>
        <w:t xml:space="preserve"> </w:t>
      </w:r>
      <w:r>
        <w:rPr>
          <w:sz w:val="22"/>
        </w:rPr>
        <w:t>2021.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7. JUSTIFICATIVAS PARA O PARCELAMENTO OU NÃO DA SOLUÇÃO</w:t>
      </w:r>
    </w:p>
    <w:p>
      <w:pPr>
        <w:jc w:val="both"/>
      </w:pPr>
      <w:r>
        <w:rPr>
          <w:sz w:val="22"/>
        </w:rPr>
        <w:t/>
      </w:r>
    </w:p>
    <w:p>
      <w:pPr>
        <w:jc w:val="both"/>
        <w:tabs>
          <w:tab w:val="left" w:pos="7020"/>
          <w:tab w:val="left" w:pos="8025"/>
          <w:tab w:val="left" w:pos="8730"/>
        </w:tabs>
      </w:pPr>
      <w:r>
        <w:rPr>
          <w:sz w:val="22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 Em vista disto, o princípio do parcelamento deverá ser aplicado à presente contratação.</w:t>
      </w:r>
    </w:p>
    <w:p>
      <w:pPr>
        <w:jc w:val="both"/>
      </w:pPr>
      <w:r>
        <w:rPr>
          <w:b/>
          <w:sz w:val="22"/>
          <w:color w:val="FF0000"/>
        </w:rPr>
        <w:t/>
      </w:r>
    </w:p>
    <w:p>
      <w:pPr>
        <w:jc w:val="both"/>
      </w:pPr>
      <w:r>
        <w:rPr>
          <w:b/>
          <w:sz w:val="22"/>
        </w:rPr>
        <w:t xml:space="preserve">8. - RESULTADOS PRETENDIDOS </w:t>
      </w:r>
    </w:p>
    <w:p>
      <w:pPr>
        <w:jc w:val="both"/>
      </w:pPr>
      <w:r>
        <w:rPr>
          <w:sz w:val="22"/>
        </w:rPr>
        <w:t xml:space="preserve">A solução deverá permitir o alcance dos seguintes resultados: </w:t>
      </w:r>
    </w:p>
    <w:p>
      <w:pPr>
        <w:jc w:val="both"/>
      </w:pPr>
      <w:r>
        <w:rPr>
          <w:sz w:val="22"/>
        </w:rPr>
        <w:t>1) Atender</w:t>
      </w:r>
      <w:r>
        <w:rPr>
          <w:sz w:val="22"/>
          <w:spacing w:val="3"/>
        </w:rPr>
        <w:t xml:space="preserve"> </w:t>
      </w:r>
      <w:r>
        <w:rPr>
          <w:sz w:val="22"/>
        </w:rPr>
        <w:t>com</w:t>
      </w:r>
      <w:r>
        <w:rPr>
          <w:sz w:val="22"/>
          <w:spacing w:val="3"/>
        </w:rPr>
        <w:t xml:space="preserve"> </w:t>
      </w:r>
      <w:r>
        <w:rPr>
          <w:sz w:val="22"/>
        </w:rPr>
        <w:t>eficiência</w:t>
      </w:r>
      <w:r>
        <w:rPr>
          <w:sz w:val="22"/>
          <w:spacing w:val="3"/>
        </w:rPr>
        <w:t xml:space="preserve"> </w:t>
      </w:r>
      <w:r>
        <w:rPr>
          <w:sz w:val="22"/>
        </w:rPr>
        <w:t>as</w:t>
      </w:r>
      <w:r>
        <w:rPr>
          <w:sz w:val="22"/>
          <w:spacing w:val="3"/>
        </w:rPr>
        <w:t xml:space="preserve"> </w:t>
      </w:r>
      <w:r>
        <w:rPr>
          <w:sz w:val="22"/>
        </w:rPr>
        <w:t>constante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demanda da </w:t>
      </w:r>
      <w:r>
        <w:rPr>
          <w:i/>
          <w:sz w:val="18"/>
        </w:rPr>
        <w:t>SECRETARIA MUNICIPAL DE VIAÇÃO, OBRAS E SERVIÇOS URBANOS</w:t>
      </w:r>
      <w:r>
        <w:rPr>
          <w:sz w:val="22"/>
          <w:color w:val="FF0000"/>
        </w:rPr>
        <w:t xml:space="preserve"> </w:t>
      </w:r>
      <w:r>
        <w:rPr>
          <w:sz w:val="22"/>
        </w:rPr>
        <w:t>de Guairaçá, dos seus munícipes com a prestação de serviços satisfatória e ainda atender as determinações dos órgãos fiscalizadores;</w:t>
      </w:r>
    </w:p>
    <w:p>
      <w:pPr>
        <w:jc w:val="both"/>
      </w:pPr>
      <w:r>
        <w:rPr>
          <w:sz w:val="22"/>
        </w:rPr>
        <w:t>2) Evitar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realização</w:t>
      </w:r>
      <w:r>
        <w:rPr>
          <w:sz w:val="22"/>
          <w:spacing w:val="3"/>
        </w:rPr>
        <w:t xml:space="preserve"> </w:t>
      </w:r>
      <w:r>
        <w:rPr>
          <w:sz w:val="22"/>
        </w:rPr>
        <w:t>de</w:t>
      </w:r>
      <w:r>
        <w:rPr>
          <w:sz w:val="22"/>
          <w:spacing w:val="3"/>
        </w:rPr>
        <w:t xml:space="preserve"> </w:t>
      </w:r>
      <w:r>
        <w:rPr>
          <w:sz w:val="22"/>
        </w:rPr>
        <w:t>várias</w:t>
      </w:r>
      <w:r>
        <w:rPr>
          <w:sz w:val="22"/>
          <w:spacing w:val="3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3"/>
        </w:rPr>
        <w:t xml:space="preserve"> </w:t>
      </w:r>
      <w:r>
        <w:rPr>
          <w:sz w:val="22"/>
        </w:rPr>
        <w:t>referentes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um</w:t>
      </w:r>
      <w:r>
        <w:rPr>
          <w:sz w:val="22"/>
          <w:spacing w:val="3"/>
        </w:rPr>
        <w:t xml:space="preserve"> </w:t>
      </w:r>
      <w:r>
        <w:rPr>
          <w:sz w:val="22"/>
        </w:rPr>
        <w:t>mesmo</w:t>
      </w:r>
      <w:r>
        <w:rPr>
          <w:sz w:val="22"/>
          <w:spacing w:val="3"/>
        </w:rPr>
        <w:t xml:space="preserve"> </w:t>
      </w:r>
      <w:r>
        <w:rPr>
          <w:sz w:val="22"/>
        </w:rPr>
        <w:t>objeto,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num </w:t>
      </w:r>
      <w:r>
        <w:rPr>
          <w:sz w:val="22"/>
          <w:spacing w:val="-3"/>
        </w:rPr>
        <w:t xml:space="preserve"> </w:t>
      </w:r>
      <w:r>
        <w:rPr>
          <w:sz w:val="22"/>
        </w:rPr>
        <w:t xml:space="preserve">mesmo exercício financeiro, evitando o sobrepreço e a ineficâcia da execução do contrato; 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9- PROVIDÊNCIAS PARA A ADEQUAÇÃO DO AMBIENTE DO ÓRGÃO</w:t>
      </w:r>
    </w:p>
    <w:p>
      <w:pPr>
        <w:jc w:val="both"/>
      </w:pPr>
      <w:r>
        <w:rPr>
          <w:b/>
          <w:sz w:val="22"/>
        </w:rPr>
        <w:t>Logística:</w:t>
      </w:r>
    </w:p>
    <w:p>
      <w:pPr>
        <w:jc w:val="both"/>
      </w:pPr>
      <w:r>
        <w:rPr>
          <w:sz w:val="22"/>
        </w:rPr>
        <w:t>Não há necessidade de adequação logística (fornecimento de materiais).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>tecnológica:</w:t>
      </w:r>
    </w:p>
    <w:p>
      <w:pPr>
        <w:jc w:val="both"/>
      </w:pPr>
      <w:r>
        <w:rPr>
          <w:sz w:val="22"/>
        </w:rPr>
        <w:t>Não há necessidade de adequação na infraestrutura tecnológica.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 elétrica:</w:t>
      </w:r>
    </w:p>
    <w:p>
      <w:pPr>
        <w:jc w:val="both"/>
      </w:pPr>
      <w:r>
        <w:rPr>
          <w:sz w:val="22"/>
        </w:rPr>
        <w:t>Não há necessidade de adequação na infraestrutura elétrica.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Espaço físico:</w:t>
      </w:r>
    </w:p>
    <w:p>
      <w:pPr>
        <w:jc w:val="both"/>
      </w:pPr>
      <w:r>
        <w:rPr>
          <w:sz w:val="22"/>
        </w:rPr>
        <w:t>Não há necessidade de adequação no espaço físico.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Mobiliário:</w:t>
      </w:r>
    </w:p>
    <w:p>
      <w:pPr>
        <w:jc w:val="both"/>
      </w:pPr>
      <w:r>
        <w:rPr>
          <w:sz w:val="22"/>
        </w:rPr>
        <w:t>Não há necessidade de adequação de mobiliário.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Impacto ambiental:</w:t>
      </w:r>
    </w:p>
    <w:p>
      <w:pPr>
        <w:jc w:val="both"/>
      </w:pPr>
      <w:r>
        <w:rPr>
          <w:sz w:val="22"/>
        </w:rPr>
        <w:t>Não há efeitos ambientais de considerável relevância na contratação pretendida.</w:t>
      </w:r>
    </w:p>
    <w:p>
      <w:pPr>
        <w:jc w:val="both"/>
      </w:pPr>
      <w:r>
        <w:rPr>
          <w:b/>
          <w:sz w:val="22"/>
          <w:w w:val="120"/>
        </w:rPr>
        <w:t/>
      </w:r>
    </w:p>
    <w:p>
      <w:pPr>
        <w:jc w:val="both"/>
      </w:pPr>
      <w:r>
        <w:rPr>
          <w:b/>
          <w:sz w:val="22"/>
          <w:w w:val="120"/>
        </w:rPr>
        <w:t>10-</w:t>
      </w:r>
      <w:r>
        <w:rPr>
          <w:b/>
          <w:sz w:val="22"/>
          <w:w w:val="120"/>
          <w:spacing w:val="-1"/>
        </w:rPr>
        <w:t xml:space="preserve"> </w:t>
      </w:r>
      <w:r>
        <w:rPr>
          <w:b/>
          <w:sz w:val="22"/>
        </w:rPr>
        <w:t>CRITÉRIOS E PRÁTICAS DE ACESSIBILIDADE, SE CABÍVEL:</w:t>
      </w:r>
    </w:p>
    <w:p>
      <w:pPr>
        <w:jc w:val="both"/>
      </w:pPr>
      <w:r>
        <w:rPr>
          <w:sz w:val="22"/>
          <w:w w:val="115"/>
        </w:rPr>
        <w:t>Não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se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aplica.</w:t>
      </w:r>
    </w:p>
    <w:p>
      <w:pPr>
        <w:jc w:val="both"/>
      </w:pPr>
      <w:r>
        <w:rPr>
          <w:sz w:val="22"/>
          <w:w w:val="115"/>
        </w:rPr>
        <w:t/>
      </w:r>
    </w:p>
    <w:p>
      <w:pPr>
        <w:jc w:val="both"/>
      </w:pPr>
      <w:r>
        <w:rPr>
          <w:b/>
          <w:sz w:val="22"/>
        </w:rPr>
        <w:t>11– MAPA DE RISCO</w:t>
      </w:r>
    </w:p>
    <w:p>
      <w:pPr>
        <w:jc w:val="both"/>
      </w:pPr>
      <w:r>
        <w:rPr>
          <w:sz w:val="22"/>
        </w:rPr>
        <w:t>Em anexo.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12 - CONTRATAÇÕES CORRELATAS E/OU INTERDEPENDENTES</w:t>
      </w:r>
    </w:p>
    <w:p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13 - VIABILIDADE OU NÃO DA CONTRATAÇÃO</w:t>
      </w:r>
    </w:p>
    <w:p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e </w:t>
      </w:r>
      <w:r>
        <w:rPr>
          <w:sz w:val="22"/>
          <w:spacing w:val="-3"/>
        </w:rPr>
        <w:t xml:space="preserve"> </w:t>
      </w:r>
      <w:r>
        <w:rPr>
          <w:sz w:val="22"/>
        </w:rPr>
        <w:t>fundamentadamente necessária.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sz w:val="22"/>
        </w:rPr>
        <w:t>Diante do exposto, declara-se ser viável a contratação pretendida.</w:t>
      </w:r>
    </w:p>
    <w:p>
      <w:pPr>
        <w:jc w:val="both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Guairaçá-PR , 26 de fevereiro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b/>
          <w:sz w:val="22"/>
        </w:rPr>
        <w:t>_____________________________</w:t>
      </w:r>
    </w:p>
    <w:p>
      <w:pPr>
        <w:jc w:val="center"/>
      </w:pPr>
      <w:r>
        <w:rPr>
          <w:b/>
          <w:sz w:val="22"/>
        </w:rPr>
        <w:t>CLAUDIO ROBERTO RIBEIRO</w:t>
      </w:r>
    </w:p>
    <w:p>
      <w:pPr>
        <w:jc w:val="center"/>
      </w:pPr>
      <w:r>
        <w:rPr>
          <w:b/>
          <w:i/>
          <w:sz w:val="22"/>
        </w:rPr>
        <w:t>SECRETARIA MUNICIPAL DE VIAÇÃO, OBRAS E SERVIÇOS URBANOS</w:t>
      </w:r>
    </w:p>
    <w:p>
      <w:pPr>
        <w:jc w:val="right"/>
      </w:pPr>
      <w:r>
        <w:rPr>
          <w:b/>
          <w:sz w:val="22"/>
        </w:rPr>
        <w:t/>
      </w:r>
    </w:p>
    <w:p>
      <w:r>
        <w:rPr>
          <w:sz w:val="22"/>
        </w:rPr>
        <w:t/>
      </w:r>
    </w:p>
    <w:p>
      <w:r>
        <w:br w:type="page"/>
      </w:r>
    </w:p>
    <w:p>
      <w:pPr>
        <w:jc w:val="right"/>
      </w:pPr>
      <w:r>
        <w:rPr>
          <w:sz w:val="22"/>
        </w:rPr>
        <w:t/>
      </w:r>
    </w:p>
    <w:p>
      <w:pPr>
        <w:jc w:val="center"/>
        <w:outlineLvl w:val="0"/>
        <w:keepLines/>
        <w:keepNext/>
        <w:ind w:right="1305"/>
      </w:pPr>
      <w:bookmarkStart w:id="1" w:name="MAPA_DE_RISCO"/>
      <w:bookmarkEnd w:id="1"/>
      <w:r>
        <w:rPr>
          <w:b/>
          <w:u w:val="single" w:color="000000"/>
          <w:sz w:val="22"/>
        </w:rPr>
        <w:t>MAPA DE RISCO</w:t>
      </w:r>
    </w:p>
    <w:p>
      <w:r>
        <w:rPr>
          <w:u w:val="single"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Município de Guairaçá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b/>
          <w:sz w:val="22"/>
        </w:rPr>
        <w:t>OBJETO: REGISTRO DE PREÇO PARA FUTURA E EVENTUAL AQUISIÇÃO DE TUBOS DE CONCRETOS PARA DRENAGEM DE AGUAS PLUVIAIS  EM A SECRETARIA MUNICIPAL DE VIAÇÃO, OBRAS E SERVIÇOS URBANOS DO MUNICIPIO DE GUAIRAÇÁ/PR.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>FASE DE PLANEJAMENTO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90"/>
        <w:gridCol w:w="1005"/>
        <w:gridCol w:w="480"/>
        <w:gridCol w:w="1245"/>
        <w:gridCol w:w="1275"/>
        <w:gridCol w:w="150"/>
        <w:gridCol w:w="1785"/>
        <w:gridCol w:w="2325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60"/>
            </w:pPr>
            <w:r>
              <w:rPr>
                <w:b/>
                <w:sz w:val="16"/>
              </w:rPr>
              <w:t>RISCO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 xml:space="preserve">DEFINIR METODOLOGIA DE PRIORIZAÇÃO DE 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75"/>
        <w:gridCol w:w="1320"/>
        <w:gridCol w:w="90"/>
        <w:gridCol w:w="1845"/>
        <w:gridCol w:w="2220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 xml:space="preserve">ESTUDO TÉCNICO PRELIMINAR COM CONTEÚDO INSUFICIENTE PARA ATINGIR O OBJETIVO (MAL 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ELABORADO)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Alto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58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45"/>
        <w:gridCol w:w="1275"/>
        <w:gridCol w:w="165"/>
        <w:gridCol w:w="1770"/>
        <w:gridCol w:w="2280"/>
      </w:tblGrid>
      <w:tr>
        <w:trPr>
          <w:trHeight w:val="465" w:hRule="atLeast"/>
        </w:trPr>
        <w:tc>
          <w:tcPr>
            <w:tcW w:w="1084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54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46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left="75" w:right="-30" w:hanging="75"/>
            </w:pPr>
            <w:r>
              <w:rPr>
                <w:sz w:val="16"/>
              </w:rPr>
              <w:t>REMANEJAMENTO DO QUADRO DE PESSOAL DO ÓRGÃO,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75"/>
        <w:gridCol w:w="1005"/>
        <w:gridCol w:w="480"/>
        <w:gridCol w:w="1275"/>
        <w:gridCol w:w="1305"/>
        <w:gridCol w:w="105"/>
        <w:gridCol w:w="1740"/>
        <w:gridCol w:w="2325"/>
        <w:gridCol w:w="30"/>
      </w:tblGrid>
      <w:tr>
        <w:trPr>
          <w:trHeight w:val="285" w:hRule="atLeast"/>
        </w:trPr>
        <w:tc>
          <w:tcPr>
            <w:tcW w:w="1081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9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1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0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ANÁLISE - SELEÇÃO DO FORNECEDOR</w:t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p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30"/>
        <w:gridCol w:w="1365"/>
        <w:gridCol w:w="60"/>
        <w:gridCol w:w="1755"/>
        <w:gridCol w:w="2355"/>
        <w:gridCol w:w="30"/>
      </w:tblGrid>
      <w:tr>
        <w:trPr>
          <w:trHeight w:val="28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9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9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0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ANÁLISE CRITERIOSA DA QUALIFICAÇÃO ECONÔMICO-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75"/>
        <w:gridCol w:w="1275"/>
        <w:gridCol w:w="90"/>
        <w:gridCol w:w="1755"/>
        <w:gridCol w:w="2370"/>
      </w:tblGrid>
      <w:tr>
        <w:trPr>
          <w:trHeight w:val="46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5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/>
            </w:r>
          </w:p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18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8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990"/>
        <w:gridCol w:w="1605"/>
        <w:gridCol w:w="1005"/>
        <w:gridCol w:w="495"/>
        <w:gridCol w:w="1245"/>
        <w:gridCol w:w="1275"/>
        <w:gridCol w:w="120"/>
        <w:gridCol w:w="1875"/>
        <w:gridCol w:w="2160"/>
      </w:tblGrid>
      <w:tr>
        <w:trPr>
          <w:trHeight w:val="285" w:hRule="atLeast"/>
        </w:trPr>
        <w:tc>
          <w:tcPr>
            <w:tcW w:w="1077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CONTRATAÇÃO</w:t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prI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75"/>
        <w:gridCol w:w="1590"/>
        <w:gridCol w:w="1005"/>
        <w:gridCol w:w="480"/>
        <w:gridCol w:w="1260"/>
        <w:gridCol w:w="1230"/>
        <w:gridCol w:w="180"/>
        <w:gridCol w:w="1680"/>
        <w:gridCol w:w="2325"/>
      </w:tblGrid>
      <w:tr>
        <w:trPr>
          <w:trHeight w:val="285" w:hRule="atLeast"/>
        </w:trPr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1072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55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90"/>
        <w:gridCol w:w="1005"/>
        <w:gridCol w:w="480"/>
        <w:gridCol w:w="1290"/>
        <w:gridCol w:w="1305"/>
        <w:gridCol w:w="60"/>
        <w:gridCol w:w="1875"/>
        <w:gridCol w:w="2160"/>
      </w:tblGrid>
      <w:tr>
        <w:trPr>
          <w:trHeight w:val="285" w:hRule="atLeast"/>
        </w:trPr>
        <w:tc>
          <w:tcPr>
            <w:tcW w:w="1074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2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60"/>
        <w:gridCol w:w="1635"/>
        <w:gridCol w:w="1005"/>
        <w:gridCol w:w="495"/>
        <w:gridCol w:w="1170"/>
        <w:gridCol w:w="1350"/>
        <w:gridCol w:w="135"/>
        <w:gridCol w:w="1860"/>
        <w:gridCol w:w="2085"/>
      </w:tblGrid>
      <w:tr>
        <w:trPr>
          <w:trHeight w:val="285" w:hRule="atLeast"/>
        </w:trPr>
        <w:tc>
          <w:tcPr>
            <w:tcW w:w="10725" w:type="dxa"/>
            <w:gridSpan w:val="10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6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1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1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widowControl/>
              <w:spacing w:after="165" w:lineRule="auto" w:line="254"/>
            </w:pPr>
            <w:r>
              <w:rPr>
                <w:i/>
                <w:sz w:val="16"/>
              </w:rPr>
              <w:t>SECRETARIA MUNICIPAL DE VIAÇÃO, OBRAS E SERVIÇOS URBANOS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>Guairaçá-Pr, 26 de fevereiro de 2025.</w:t>
      </w:r>
    </w:p>
    <w:p>
      <w:pPr>
        <w:jc w:val="right"/>
        <w:keepLines/>
        <w:keepNext/>
        <w:ind w:right="-30"/>
      </w:pPr>
      <w:r>
        <w:rPr>
          <w:sz w:val="22"/>
          <w:color w:val="FF0000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center"/>
        <w:keepLines/>
        <w:keepNext/>
        <w:ind w:right="-30"/>
      </w:pPr>
      <w:r>
        <w:rPr>
          <w:b/>
          <w:sz w:val="22"/>
        </w:rPr>
        <w:t>_________________________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CLAUDIO ROBERTO RIBEIRO</w:t>
      </w:r>
    </w:p>
    <w:p>
      <w:pPr>
        <w:jc w:val="center"/>
        <w:keepLines/>
        <w:keepNext/>
        <w:ind w:right="-30"/>
      </w:pPr>
      <w:r>
        <w:rPr>
          <w:b/>
          <w:i/>
          <w:sz w:val="22"/>
        </w:rPr>
        <w:t>SECRETARIA MUNICIPAL DE VIAÇÃO, OBRAS E SERVIÇOS URBANOS</w:t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Arial MT">
    <w:charset w:val="00"/>
  </w:font>
  <w:font w:name="Aptos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drawing>
        <wp:inline distT="0" distB="0" distL="0" distR="0">
          <wp:extent cx="57435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7435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prId1" Type="http://schemas.openxmlformats.org/officeDocument/2006/relationships/image" Target="media/img3.emf"/><Relationship Id="prId2" Type="http://schemas.openxmlformats.org/officeDocument/2006/relationships/image" Target="media/img4.emf"/><Relationship Id="prId3" Type="http://schemas.openxmlformats.org/officeDocument/2006/relationships/image" Target="media/img5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