
<file path=[Content_Types].xml><?xml version="1.0" encoding="utf-8"?>
<Types xmlns="http://schemas.openxmlformats.org/package/2006/content-types">
  <Default Extension="rels" ContentType="application/vnd.openxmlformats-package.relationships+xml"/>
  <Default Extension="xml" ContentType="application/xml"/>
  <Default Extension="emf" ContentType="image/x-emf"/>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pPr>
        <w:jc w:val="center"/>
        <w:widowControl/>
        <w:ind w:left="15" w:hanging="15"/>
        <w:spacing w:after="45"/>
      </w:pPr>
      <w:r>
        <w:rPr>
          <w:b/>
          <w:u w:val="single"/>
          <w:sz w:val="22"/>
        </w:rPr>
        <w:t>AVISO DE LICITAÇÃO</w:t>
      </w:r>
    </w:p>
    <w:p>
      <w:pPr>
        <w:jc w:val="center"/>
        <w:widowControl/>
        <w:ind w:left="15" w:hanging="15"/>
        <w:spacing w:after="45"/>
      </w:pPr>
      <w:r>
        <w:rPr>
          <w:rFonts w:ascii="Times New Roman" w:hAnsi="Times New Roman" w:cs="Times New Roman" w:eastAsia="Times New Roman"/>
        </w:rPr>
        <w:t/>
      </w:r>
    </w:p>
    <w:p>
      <w:pPr>
        <w:jc w:val="center"/>
        <w:widowControl/>
        <w:ind w:left="15" w:right="15" w:hanging="15"/>
        <w:spacing w:before="0" w:after="15"/>
        <w:pBdr>
          <w:top w:val="single" w:color="000000"/>
          <w:left w:val="single" w:color="000000"/>
          <w:bottom w:val="single" w:color="000000"/>
          <w:right w:val="single" w:color="000000"/>
        </w:pBdr>
      </w:pPr>
      <w:r>
        <w:rPr>
          <w:b/>
        </w:rPr>
        <w:t xml:space="preserve">CONCORRÊNCIA ELETRÔNICA Nº </w:t>
      </w:r>
      <w:r>
        <w:rPr>
          <w:rFonts w:ascii="Calibri" w:hAnsi="Calibri" w:cs="Calibri" w:eastAsia="Calibri"/>
          <w:b/>
          <w:sz w:val="22"/>
        </w:rPr>
        <w:t>3/2026.</w:t>
      </w:r>
      <w:r>
        <w:rPr>
          <w:b/>
        </w:rPr>
        <w:t xml:space="preserve"> </w:t>
      </w:r>
    </w:p>
    <w:p>
      <w:pPr>
        <w:jc w:val="center"/>
        <w:widowControl/>
        <w:ind w:left="15" w:right="15" w:hanging="15"/>
        <w:spacing w:before="0" w:after="15"/>
        <w:pBdr>
          <w:top w:val="single" w:color="000000"/>
          <w:left w:val="single" w:color="000000"/>
          <w:bottom w:val="single" w:color="000000"/>
          <w:right w:val="single" w:color="000000"/>
        </w:pBdr>
      </w:pPr>
      <w:r>
        <w:rPr>
          <w:b/>
        </w:rPr>
        <w:t>PROCESSO ADMINISTRATIVO N.°</w:t>
      </w:r>
      <w:r>
        <w:rPr>
          <w:b/>
          <w:sz w:val="24"/>
        </w:rPr>
        <w:t xml:space="preserve"> </w:t>
      </w:r>
      <w:r>
        <w:rPr>
          <w:rFonts w:ascii="Calibri" w:hAnsi="Calibri" w:cs="Calibri" w:eastAsia="Calibri"/>
          <w:b/>
          <w:sz w:val="22"/>
        </w:rPr>
        <w:t>20/2026</w:t>
      </w:r>
    </w:p>
    <w:p>
      <w:pPr>
        <w:jc w:val="both"/>
        <w:widowControl/>
        <w:ind w:left="60" w:right="45" w:hanging="15"/>
        <w:spacing w:after="45"/>
      </w:pPr>
      <w:r>
        <w:rPr>
          <w:rFonts w:ascii="Times New Roman" w:hAnsi="Times New Roman" w:cs="Times New Roman" w:eastAsia="Times New Roman"/>
        </w:rPr>
        <w:t/>
      </w:r>
    </w:p>
    <w:p>
      <w:pPr>
        <w:jc w:val="both"/>
        <w:widowControl/>
        <w:ind w:left="60" w:right="45" w:hanging="15"/>
        <w:spacing w:after="45"/>
      </w:pPr>
      <w:r>
        <w:rPr>
          <w:sz w:val="22"/>
        </w:rPr>
        <w:t>O MUNICÍPIO DE GUAIRAÇÁ, Estado do Paraná, torna público, para conhecimento de quem possa interessar, que realizará a licitação na modalidade CONCORRÊNCIA, na forma ELETRÔNICA, com critério de julgamento MENOR PREÇO GLOBAL, nos termos da Lei nº 14.133, de 1º de abril de 2021, da Instrução Normativa SEGES/ME nº 73/2024, das Leis Complementares nº 123/06, 147/2014 e 155/2016, do Decreto Municipal nº 92/2023, demais legislações aplicáveis e das exigências estabelecidas neste aviso, conforme os critérios e procedimentos a seguir definidos, objetivando obter a melhor proposta, observadas as datas e horários discriminados a seguir:</w:t>
      </w:r>
    </w:p>
    <w:p>
      <w:pPr>
        <w:jc w:val="both"/>
        <w:widowControl/>
        <w:ind w:left="60" w:right="45" w:hanging="15"/>
        <w:spacing w:after="45"/>
      </w:pPr>
      <w:r>
        <w:rPr>
          <w:sz w:val="22"/>
        </w:rPr>
        <w:t/>
      </w:r>
    </w:p>
    <w:p>
      <w:pPr>
        <w:jc w:val="both"/>
        <w:widowControl/>
        <w:ind w:left="60" w:right="45" w:hanging="15"/>
        <w:spacing w:after="45"/>
      </w:pPr>
      <w:r>
        <w:rPr>
          <w:b/>
          <w:sz w:val="22"/>
        </w:rPr>
        <w:t xml:space="preserve">OBJETO: </w:t>
      </w:r>
      <w:r>
        <w:rPr>
          <w:rFonts w:ascii="Calibri" w:hAnsi="Calibri" w:cs="Calibri" w:eastAsia="Calibri"/>
          <w:b/>
          <w:sz w:val="22"/>
        </w:rPr>
        <w:t>CONTRATAÇÃO DE EMPRESA ESPECIALIZADA EM RECAPEAMENTO DE VIAS URBANAS COM CONCRETO BETUMINOSO USINADO A QUENTE (CBUQ), COM REPERFILAMENTO E SINALIZAÇÃO HORIZONTAL, CONFORME PLANO DE AÇÃO: 09032024-069829 / 2024, EM ATENÇÃO A SECRETARIA MUNICIPAL DE VIAÇÃO, OBRAS E SERVIÇOS URBANOS DE GUAIRAÇÁ/PR..</w:t>
      </w:r>
    </w:p>
    <w:p>
      <w:pPr>
        <w:jc w:val="both"/>
        <w:widowControl/>
        <w:ind w:left="60" w:right="45" w:hanging="15"/>
        <w:spacing w:after="45"/>
      </w:pPr>
      <w:r>
        <w:rPr>
          <w:b/>
          <w:sz w:val="22"/>
        </w:rPr>
        <w:t xml:space="preserve"> </w:t>
      </w:r>
    </w:p>
    <w:p>
      <w:pPr>
        <w:widowControl/>
        <w:ind w:left="225"/>
      </w:pPr>
      <w:r>
        <w:rPr>
          <w:b/>
          <w:sz w:val="22"/>
        </w:rPr>
        <w:t xml:space="preserve">RECEBIMENTO DAS PROPOSTAS DE PREÇOS: </w:t>
      </w:r>
      <w:r>
        <w:rPr>
          <w:rFonts w:ascii="Arial MT" w:hAnsi="Arial MT" w:cs="Arial MT" w:eastAsia="Arial MT"/>
          <w:sz w:val="22"/>
        </w:rPr>
        <w:t>Até às 09:00 horas do dia 16/03/2026.</w:t>
      </w:r>
    </w:p>
    <w:p>
      <w:pPr>
        <w:widowControl/>
        <w:ind w:left="225"/>
      </w:pPr>
      <w:r>
        <w:rPr>
          <w:sz w:val="22"/>
        </w:rPr>
        <w:t/>
      </w:r>
    </w:p>
    <w:p>
      <w:pPr>
        <w:jc w:val="both"/>
        <w:widowControl/>
        <w:ind w:left="60" w:right="45" w:hanging="15"/>
        <w:spacing w:after="45"/>
      </w:pPr>
      <w:r>
        <w:rPr>
          <w:b/>
          <w:sz w:val="22"/>
        </w:rPr>
        <w:t xml:space="preserve">ABERTURA DAS PROPOSTAS: </w:t>
      </w:r>
      <w:r>
        <w:rPr>
          <w:sz w:val="22"/>
        </w:rPr>
        <w:t>à</w:t>
      </w:r>
      <w:r>
        <w:rPr>
          <w:rFonts w:ascii="Arial MT" w:hAnsi="Arial MT" w:cs="Arial MT" w:eastAsia="Arial MT"/>
          <w:sz w:val="22"/>
        </w:rPr>
        <w:t>s 09:00 horas do dia 16/03/2026</w:t>
      </w:r>
    </w:p>
    <w:p>
      <w:pPr>
        <w:widowControl/>
        <w:ind w:left="165"/>
        <w:spacing w:before="150"/>
      </w:pPr>
      <w:r>
        <w:rPr>
          <w:b/>
          <w:sz w:val="22"/>
        </w:rPr>
        <w:t xml:space="preserve">INÍCIO DA SESSÃO DE DISPUTA DE PREÇOS: </w:t>
      </w:r>
      <w:r>
        <w:rPr>
          <w:rFonts w:ascii="Arial MT" w:hAnsi="Arial MT" w:cs="Arial MT" w:eastAsia="Arial MT"/>
          <w:sz w:val="22"/>
        </w:rPr>
        <w:t>às 09:00 horas do dia 16/03/2026.</w:t>
      </w:r>
    </w:p>
    <w:p>
      <w:pPr>
        <w:widowControl/>
        <w:ind w:left="165"/>
        <w:spacing w:before="150"/>
      </w:pPr>
      <w:r>
        <w:rPr>
          <w:sz w:val="22"/>
        </w:rPr>
        <w:t/>
      </w:r>
    </w:p>
    <w:p>
      <w:pPr>
        <w:jc w:val="both"/>
        <w:widowControl/>
        <w:ind w:left="60" w:right="45" w:hanging="15"/>
        <w:spacing w:after="45"/>
      </w:pPr>
      <w:r>
        <w:rPr>
          <w:b/>
          <w:sz w:val="22"/>
        </w:rPr>
        <w:t>LINK PARA CADASTRO DAS PROPOSTAS INICIAIS E DISPUTA Compras BR (</w:t>
      </w:r>
      <w:r>
        <w:rPr>
          <w:b/>
          <w:u w:val="single" w:color="0000FF"/>
          <w:sz w:val="22"/>
        </w:rPr>
        <w:t>https://comprasbr.com.br/</w:t>
      </w:r>
      <w:r>
        <w:rPr>
          <w:b/>
          <w:sz w:val="22"/>
        </w:rPr>
        <w:t>)</w:t>
      </w:r>
    </w:p>
    <w:p>
      <w:pPr>
        <w:jc w:val="both"/>
        <w:widowControl/>
        <w:ind w:left="60" w:right="45" w:hanging="15"/>
        <w:spacing w:after="45"/>
      </w:pPr>
      <w:r>
        <w:rPr>
          <w:b/>
          <w:sz w:val="22"/>
        </w:rPr>
        <w:t/>
      </w:r>
    </w:p>
    <w:p>
      <w:pPr>
        <w:jc w:val="both"/>
        <w:widowControl/>
        <w:ind w:left="60" w:right="45" w:hanging="15"/>
        <w:spacing w:after="45"/>
      </w:pPr>
      <w:r>
        <w:rPr>
          <w:b/>
          <w:sz w:val="22"/>
        </w:rPr>
        <w:t xml:space="preserve">REGIME DE EXECUÇÃO: </w:t>
      </w:r>
      <w:r>
        <w:rPr>
          <w:sz w:val="22"/>
        </w:rPr>
        <w:t>EMPREITADA POR PREÇO GLOBAL</w:t>
      </w:r>
    </w:p>
    <w:p>
      <w:pPr>
        <w:jc w:val="both"/>
        <w:widowControl/>
        <w:ind w:left="60" w:right="45" w:hanging="15"/>
        <w:spacing w:after="45"/>
      </w:pPr>
      <w:r>
        <w:rPr>
          <w:sz w:val="22"/>
        </w:rPr>
        <w:t/>
      </w:r>
    </w:p>
    <w:p>
      <w:pPr>
        <w:jc w:val="both"/>
        <w:widowControl/>
        <w:ind w:left="60" w:right="45" w:hanging="15"/>
        <w:spacing w:after="45"/>
      </w:pPr>
      <w:r>
        <w:rPr>
          <w:b/>
          <w:sz w:val="22"/>
        </w:rPr>
        <w:t xml:space="preserve">CRITÉRIO DE JULGAMENTO: </w:t>
      </w:r>
      <w:r>
        <w:rPr>
          <w:sz w:val="22"/>
        </w:rPr>
        <w:t>MENOR PREÇO GLOBAL</w:t>
      </w:r>
    </w:p>
    <w:p>
      <w:pPr>
        <w:jc w:val="both"/>
        <w:widowControl/>
        <w:ind w:left="60" w:right="45" w:hanging="15"/>
        <w:spacing w:after="45"/>
      </w:pPr>
      <w:r>
        <w:rPr>
          <w:sz w:val="22"/>
        </w:rPr>
        <w:t/>
      </w:r>
    </w:p>
    <w:p>
      <w:pPr>
        <w:jc w:val="both"/>
        <w:widowControl/>
        <w:ind w:left="60" w:right="45" w:hanging="15"/>
        <w:spacing w:after="45"/>
      </w:pPr>
      <w:r>
        <w:rPr>
          <w:b/>
          <w:sz w:val="22"/>
        </w:rPr>
        <w:t xml:space="preserve">MODO DE DISPUTA: </w:t>
      </w:r>
      <w:r>
        <w:rPr>
          <w:sz w:val="22"/>
        </w:rPr>
        <w:t>ABERTO</w:t>
      </w:r>
    </w:p>
    <w:p>
      <w:pPr>
        <w:outlineLvl w:val="1"/>
        <w:widowControl/>
        <w:ind w:left="165"/>
        <w:spacing w:before="150" w:lineRule="auto" w:line="264"/>
      </w:pPr>
      <w:r>
        <w:rPr>
          <w:b/>
          <w:sz w:val="22"/>
        </w:rPr>
        <w:t>VALOR</w:t>
      </w:r>
      <w:r>
        <w:rPr>
          <w:b/>
          <w:sz w:val="22"/>
          <w:spacing w:val="1"/>
        </w:rPr>
        <w:t xml:space="preserve"> </w:t>
      </w:r>
      <w:r>
        <w:rPr>
          <w:b/>
          <w:sz w:val="22"/>
        </w:rPr>
        <w:t>ESTIMADO</w:t>
      </w:r>
      <w:r>
        <w:rPr>
          <w:b/>
          <w:sz w:val="22"/>
          <w:spacing w:val="1"/>
        </w:rPr>
        <w:t xml:space="preserve"> </w:t>
      </w:r>
      <w:r>
        <w:rPr>
          <w:b/>
          <w:sz w:val="22"/>
        </w:rPr>
        <w:t>PARA</w:t>
      </w:r>
      <w:r>
        <w:rPr>
          <w:b/>
          <w:sz w:val="22"/>
          <w:spacing w:val="1"/>
        </w:rPr>
        <w:t xml:space="preserve"> </w:t>
      </w:r>
      <w:r>
        <w:rPr>
          <w:b/>
          <w:sz w:val="22"/>
        </w:rPr>
        <w:t>A LICITAÇÃO:</w:t>
      </w:r>
      <w:r>
        <w:rPr>
          <w:b/>
          <w:sz w:val="22"/>
          <w:spacing w:val="1"/>
        </w:rPr>
        <w:t xml:space="preserve"> </w:t>
      </w:r>
      <w:r>
        <w:rPr>
          <w:b/>
          <w:sz w:val="22"/>
        </w:rPr>
        <w:t>R$ 493.287,76 (Quatrocentos e Noventa e Três Mil, Duzentos e Oitenta e Sete Reais e Setenta e Seis Centavos).</w:t>
      </w:r>
    </w:p>
    <w:p>
      <w:pPr>
        <w:jc w:val="both"/>
        <w:widowControl/>
        <w:ind w:left="60" w:right="45" w:hanging="15"/>
        <w:spacing w:after="45"/>
      </w:pPr>
      <w:r>
        <w:rPr>
          <w:b/>
          <w:sz w:val="22"/>
        </w:rPr>
        <w:t xml:space="preserve">REFERÊNCIA DE HORÁRIO: </w:t>
      </w:r>
      <w:r>
        <w:rPr>
          <w:sz w:val="22"/>
        </w:rPr>
        <w:t>Horário de Brasília/DF.</w:t>
      </w:r>
    </w:p>
    <w:p>
      <w:pPr>
        <w:jc w:val="both"/>
        <w:widowControl/>
        <w:ind w:left="60" w:right="45" w:hanging="15"/>
        <w:spacing w:after="45"/>
      </w:pPr>
      <w:r>
        <w:rPr>
          <w:sz w:val="22"/>
        </w:rPr>
        <w:t/>
      </w:r>
    </w:p>
    <w:p>
      <w:pPr>
        <w:jc w:val="both"/>
        <w:widowControl/>
        <w:ind w:left="60" w:right="45" w:hanging="15"/>
        <w:spacing w:after="45"/>
      </w:pPr>
      <w:r>
        <w:rPr>
          <w:sz w:val="18"/>
        </w:rPr>
        <w:t>O EDITAL FICARÁ DISPONÍVEL: No site do Município de Guairaçá (</w:t>
      </w:r>
      <w:hyperlink r:id="hrId1">
        <w:r>
          <w:rPr>
            <w:u w:val="single" w:color="0000FF"/>
            <w:sz w:val="18"/>
          </w:rPr>
          <w:t>www.guairaca.pr.gov.br</w:t>
        </w:r>
      </w:hyperlink>
      <w:r>
        <w:rPr>
          <w:u w:val="single" w:color="0000FF"/>
          <w:sz w:val="18"/>
        </w:rPr>
        <w:t>)</w:t>
      </w:r>
      <w:r>
        <w:rPr>
          <w:sz w:val="18"/>
        </w:rPr>
        <w:t>; no Setor de Licitações e Contratos da Prefeitura Municipal de Guairaçá, situado à Rua Francisco Vieira 1181 - centro E/OU no Portal Compras BR (</w:t>
      </w:r>
      <w:r>
        <w:rPr>
          <w:b/>
          <w:u w:val="single" w:color="0000FF"/>
          <w:sz w:val="18"/>
        </w:rPr>
        <w:t>https://comprasbr.com.br/</w:t>
      </w:r>
      <w:r>
        <w:rPr>
          <w:sz w:val="18"/>
        </w:rPr>
        <w:t>).</w:t>
      </w:r>
    </w:p>
    <w:p>
      <w:pPr>
        <w:jc w:val="both"/>
        <w:widowControl/>
        <w:ind w:left="60" w:right="45" w:hanging="15"/>
        <w:spacing w:after="45"/>
      </w:pPr>
      <w:r>
        <w:rPr>
          <w:sz w:val="18"/>
        </w:rPr>
        <w:t>Eventuais esclarecimentos poderão ser fornecidos diretamente na Diretoria de Licitações e Contratos, situada na Rua francisco Vieira 1181 - centro – Guairaçá-Pr, E/OU por meio do Telefone (44) 3442-1772 ou e-mail: licitacao@guairaca.pr.gov.br</w:t>
      </w:r>
    </w:p>
    <w:p>
      <w:pPr>
        <w:jc w:val="both"/>
        <w:widowControl/>
        <w:ind w:left="60" w:right="45" w:hanging="15"/>
        <w:spacing w:after="45"/>
      </w:pPr>
      <w:r>
        <w:rPr>
          <w:sz w:val="22"/>
        </w:rPr>
        <w:t/>
      </w:r>
    </w:p>
    <w:p>
      <w:pPr>
        <w:jc w:val="right"/>
        <w:widowControl/>
        <w:spacing w:after="165" w:lineRule="auto" w:line="252"/>
      </w:pPr>
      <w:r>
        <w:rPr>
          <w:rFonts w:ascii="Arial MT" w:hAnsi="Arial MT" w:cs="Arial MT" w:eastAsia="Arial MT"/>
          <w:sz w:val="18"/>
        </w:rPr>
        <w:t>Guairaçá/Pr, doze dias de fevereiro de 2026</w:t>
      </w:r>
      <w:r>
        <w:rPr>
          <w:sz w:val="18"/>
        </w:rPr>
        <w:t>.</w:t>
      </w:r>
    </w:p>
    <w:p>
      <w:pPr>
        <w:jc w:val="center"/>
        <w:outlineLvl w:val="1"/>
        <w:widowControl/>
        <w:ind w:left="1335" w:right="1335"/>
      </w:pPr>
      <w:r>
        <w:rPr>
          <w:b/>
          <w:sz w:val="22"/>
        </w:rPr>
        <w:t>MARCELO ALVES DE OLIVEIRA</w:t>
      </w:r>
    </w:p>
    <w:p>
      <w:pPr>
        <w:jc w:val="center"/>
        <w:widowControl/>
        <w:ind w:left="1335" w:right="1335"/>
      </w:pPr>
      <w:r>
        <w:rPr>
          <w:rFonts w:ascii="Arial MT" w:hAnsi="Arial MT" w:cs="Arial MT" w:eastAsia="Arial MT"/>
          <w:sz w:val="22"/>
        </w:rPr>
        <w:t>Prefeito Municipal</w:t>
      </w:r>
    </w:p>
    <w:p>
      <w:r>
        <w:br w:type="page"/>
      </w:r>
    </w:p>
    <w:p>
      <w:pPr>
        <w:jc w:val="center"/>
        <w:widowControl/>
        <w:ind w:left="15" w:hanging="15"/>
        <w:spacing w:after="45"/>
      </w:pPr>
      <w:r>
        <w:rPr>
          <w:b/>
          <w:u w:val="single"/>
          <w:sz w:val="22"/>
        </w:rPr>
        <w:t>EDITAL DE LICITAÇÃO</w:t>
      </w:r>
    </w:p>
    <w:p>
      <w:pPr>
        <w:jc w:val="center"/>
        <w:widowControl/>
        <w:ind w:left="15" w:hanging="15"/>
        <w:spacing w:after="45"/>
      </w:pPr>
      <w:r>
        <w:rPr>
          <w:rFonts w:ascii="Times New Roman" w:hAnsi="Times New Roman" w:cs="Times New Roman" w:eastAsia="Times New Roman"/>
          <w:sz w:val="22"/>
        </w:rPr>
        <w:t/>
      </w:r>
    </w:p>
    <w:p>
      <w:pPr>
        <w:jc w:val="center"/>
        <w:widowControl/>
        <w:ind w:left="15" w:right="15" w:hanging="15"/>
        <w:spacing w:before="0" w:after="15"/>
        <w:pBdr>
          <w:top w:val="single" w:color="000000"/>
          <w:left w:val="single" w:color="000000"/>
          <w:bottom w:val="single" w:color="000000"/>
          <w:right w:val="single" w:color="000000"/>
        </w:pBdr>
      </w:pPr>
      <w:r>
        <w:rPr>
          <w:b/>
          <w:sz w:val="22"/>
        </w:rPr>
        <w:t xml:space="preserve">CONCORRÊNCIA ELETRÔNICA Nº </w:t>
      </w:r>
      <w:r>
        <w:rPr>
          <w:rFonts w:ascii="Calibri" w:hAnsi="Calibri" w:cs="Calibri" w:eastAsia="Calibri"/>
          <w:b/>
          <w:sz w:val="22"/>
        </w:rPr>
        <w:t>3/2026</w:t>
      </w:r>
      <w:r>
        <w:rPr>
          <w:b/>
          <w:sz w:val="22"/>
        </w:rPr>
        <w:t xml:space="preserve"> </w:t>
      </w:r>
    </w:p>
    <w:p>
      <w:pPr>
        <w:jc w:val="center"/>
        <w:widowControl/>
        <w:ind w:left="15" w:right="15" w:hanging="15"/>
        <w:spacing w:before="0" w:after="15"/>
        <w:pBdr>
          <w:top w:val="single" w:color="000000"/>
          <w:left w:val="single" w:color="000000"/>
          <w:bottom w:val="single" w:color="000000"/>
          <w:right w:val="single" w:color="000000"/>
        </w:pBdr>
      </w:pPr>
      <w:r>
        <w:rPr>
          <w:b/>
          <w:sz w:val="22"/>
        </w:rPr>
        <w:t xml:space="preserve">PROCESSO ADMINISTRATIVO N.° </w:t>
      </w:r>
      <w:r>
        <w:rPr>
          <w:rFonts w:ascii="Calibri" w:hAnsi="Calibri" w:cs="Calibri" w:eastAsia="Calibri"/>
          <w:b/>
          <w:sz w:val="22"/>
        </w:rPr>
        <w:t>20/2026</w:t>
      </w:r>
    </w:p>
    <w:p>
      <w:pPr>
        <w:jc w:val="both"/>
        <w:widowControl/>
        <w:ind w:left="60" w:right="45" w:hanging="15"/>
        <w:spacing w:after="45"/>
      </w:pPr>
      <w:r>
        <w:rPr>
          <w:rFonts w:ascii="Times New Roman" w:hAnsi="Times New Roman" w:cs="Times New Roman" w:eastAsia="Times New Roman"/>
          <w:sz w:val="22"/>
        </w:rPr>
        <w:t/>
      </w:r>
    </w:p>
    <w:p>
      <w:pPr>
        <w:jc w:val="both"/>
        <w:widowControl/>
        <w:ind w:left="60" w:right="45" w:hanging="15"/>
        <w:spacing w:after="45"/>
      </w:pPr>
      <w:r>
        <w:rPr>
          <w:sz w:val="22"/>
        </w:rPr>
        <w:t xml:space="preserve">A Prefeitura do Município de Guairaçá, torna público que realizará licitação, na modalidade de CONCORRÊNCIA PÚBLICA, do tipo MENOR PREÇO GLOBAL, tendo por objeto a  </w:t>
      </w:r>
      <w:r>
        <w:rPr>
          <w:rFonts w:ascii="Calibri" w:hAnsi="Calibri" w:cs="Calibri" w:eastAsia="Calibri"/>
          <w:b/>
          <w:sz w:val="22"/>
        </w:rPr>
        <w:t>CONTRATAÇÃO DE EMPRESA ESPECIALIZADA EM RECAPEAMENTO DE VIAS URBANAS COM CONCRETO BETUMINOSO USINADO A QUENTE (CBUQ), COM REPERFILAMENTO E SINALIZAÇÃO HORIZONTAL, CONFORME PLANO DE AÇÃO: 09032024-069829 / 2024, EM ATENÇÃO A SECRETARIA MUNICIPAL DE VIAÇÃO, OBRAS E SERVIÇOS URBANOS DE GUAIRAÇÁ/PR.</w:t>
      </w:r>
      <w:r>
        <w:rPr>
          <w:sz w:val="22"/>
        </w:rPr>
        <w:t>, conforme projetos, planilha orçamentária e demais documentos em anexos ao processo, nos termos da Lei nº 14.133, de 1º de abril de 2021, da Instrução Normativa SEGES/ME nº 73/2022, das Leis Complementares nº 123/06, 147/2014, 155/2016, dos Decreto Municipal nº 92/2023 e demais legislações aplicáveis.</w:t>
      </w:r>
    </w:p>
    <w:p>
      <w:pPr>
        <w:jc w:val="both"/>
        <w:widowControl/>
        <w:ind w:left="60" w:right="45" w:hanging="15"/>
        <w:spacing w:after="45"/>
      </w:pPr>
      <w:r>
        <w:rPr>
          <w:sz w:val="22"/>
        </w:rPr>
        <w:t/>
      </w:r>
    </w:p>
    <w:p>
      <w:pPr>
        <w:widowControl/>
        <w:ind w:left="135" w:hanging="30"/>
      </w:pPr>
      <w:r>
        <w:rPr>
          <w:b/>
          <w:sz w:val="22"/>
        </w:rPr>
        <w:t xml:space="preserve">RECEBIMENTO DAS PROPOSTAS DE PREÇOS: </w:t>
      </w:r>
      <w:r>
        <w:rPr>
          <w:rFonts w:ascii="Arial MT" w:hAnsi="Arial MT" w:cs="Arial MT" w:eastAsia="Arial MT"/>
          <w:sz w:val="22"/>
        </w:rPr>
        <w:t>Até às 09:00 horas do dia 16/03/2026.</w:t>
      </w:r>
    </w:p>
    <w:p>
      <w:pPr>
        <w:widowControl/>
        <w:ind w:firstLine="345"/>
      </w:pPr>
      <w:r>
        <w:rPr>
          <w:sz w:val="22"/>
        </w:rPr>
        <w:t/>
      </w:r>
    </w:p>
    <w:p>
      <w:pPr>
        <w:widowControl/>
        <w:ind w:left="165" w:firstLine="15"/>
      </w:pPr>
      <w:r>
        <w:rPr>
          <w:b/>
          <w:sz w:val="22"/>
        </w:rPr>
        <w:t>ABERTURA E JULGAMENTO DAS PROPOSTAS:</w:t>
      </w:r>
      <w:r>
        <w:rPr>
          <w:sz w:val="22"/>
        </w:rPr>
        <w:t xml:space="preserve"> às</w:t>
      </w:r>
      <w:r>
        <w:rPr>
          <w:rFonts w:ascii="Arial MT" w:hAnsi="Arial MT" w:cs="Arial MT" w:eastAsia="Arial MT"/>
          <w:sz w:val="22"/>
          <w:color w:val="FF0000"/>
        </w:rPr>
        <w:t xml:space="preserve"> </w:t>
      </w:r>
      <w:r>
        <w:rPr>
          <w:rFonts w:ascii="Arial MT" w:hAnsi="Arial MT" w:cs="Arial MT" w:eastAsia="Arial MT"/>
          <w:sz w:val="22"/>
        </w:rPr>
        <w:t>09:00 do dia 16/03/2026.</w:t>
      </w:r>
    </w:p>
    <w:p>
      <w:pPr>
        <w:widowControl/>
        <w:ind w:left="225" w:firstLine="345"/>
      </w:pPr>
      <w:r>
        <w:rPr>
          <w:rFonts w:ascii="Arial MT" w:hAnsi="Arial MT" w:cs="Arial MT" w:eastAsia="Arial MT"/>
          <w:sz w:val="22"/>
        </w:rPr>
        <w:t/>
      </w:r>
    </w:p>
    <w:p>
      <w:pPr>
        <w:widowControl/>
        <w:ind w:left="150"/>
        <w:spacing w:after="165" w:lineRule="auto" w:line="252"/>
      </w:pPr>
      <w:r>
        <w:rPr>
          <w:rFonts w:ascii="Calibri" w:hAnsi="Calibri" w:cs="Calibri" w:eastAsia="Calibri"/>
          <w:b/>
          <w:sz w:val="22"/>
        </w:rPr>
        <w:t xml:space="preserve">INÍCIO DA SESSÃO DE DISPUTA DE PREÇOS: </w:t>
      </w:r>
      <w:r>
        <w:rPr>
          <w:rFonts w:ascii="Arial MT" w:hAnsi="Arial MT" w:cs="Arial MT" w:eastAsia="Arial MT"/>
          <w:sz w:val="22"/>
        </w:rPr>
        <w:t>às 09:00 horas do dia 16/03/2026</w:t>
      </w:r>
    </w:p>
    <w:p>
      <w:pPr>
        <w:jc w:val="both"/>
        <w:widowControl/>
        <w:ind w:left="60" w:right="45" w:hanging="15"/>
        <w:spacing w:after="45"/>
      </w:pPr>
      <w:r>
        <w:rPr>
          <w:sz w:val="22"/>
        </w:rPr>
        <w:t/>
      </w:r>
    </w:p>
    <w:p>
      <w:pPr>
        <w:jc w:val="both"/>
        <w:outlineLvl w:val="0"/>
        <w:keepLines/>
        <w:keepNext/>
        <w:widowControl/>
        <w:ind w:left="60" w:right="915" w:hanging="15"/>
        <w:spacing w:after="45"/>
      </w:pPr>
      <w:r>
        <w:rPr>
          <w:b/>
          <w:sz w:val="22"/>
        </w:rPr>
        <w:t xml:space="preserve">CADASTRO DE PROPOSTAS INICIAIS E DISPUTA: Compras BR </w:t>
      </w:r>
      <w:r>
        <w:rPr>
          <w:b/>
          <w:u w:val="single" w:color="0000FF"/>
          <w:sz w:val="22"/>
        </w:rPr>
        <w:t xml:space="preserve">https://comprasbr.com.br/ </w:t>
      </w:r>
      <w:r>
        <w:rPr>
          <w:b/>
          <w:sz w:val="22"/>
        </w:rPr>
        <w:t>(acesso identificado).</w:t>
      </w:r>
    </w:p>
    <w:p>
      <w:pPr>
        <w:jc w:val="both"/>
        <w:widowControl/>
        <w:ind w:left="60" w:right="45" w:hanging="15"/>
        <w:spacing w:after="45"/>
      </w:pPr>
      <w:r>
        <w:rPr>
          <w:rFonts w:ascii="Times New Roman" w:hAnsi="Times New Roman" w:cs="Times New Roman" w:eastAsia="Times New Roman"/>
          <w:sz w:val="22"/>
          <w:color w:val="FF9900"/>
        </w:rPr>
        <w:t/>
      </w:r>
    </w:p>
    <w:p>
      <w:pPr>
        <w:jc w:val="both"/>
        <w:outlineLvl w:val="0"/>
        <w:keepLines/>
        <w:keepNext/>
        <w:widowControl/>
        <w:ind w:left="60" w:right="45" w:hanging="15"/>
        <w:spacing w:after="45"/>
        <w:shd w:val="clear" w:color="auto" w:fill="0D0D0D"/>
      </w:pPr>
      <w:r>
        <w:rPr>
          <w:b/>
          <w:sz w:val="22"/>
          <w:color w:val="FFFFFF"/>
        </w:rPr>
        <w:t>1 - DISPOSIÇÕES PRELIMINARES</w:t>
      </w:r>
    </w:p>
    <w:p>
      <w:pPr>
        <w:jc w:val="both"/>
        <w:widowControl/>
        <w:ind w:right="45" w:hanging="15"/>
        <w:spacing w:after="45"/>
      </w:pPr>
      <w:r>
        <w:rPr>
          <w:b/>
          <w:sz w:val="22"/>
        </w:rPr>
        <w:t>1.1</w:t>
      </w:r>
      <w:r>
        <w:rPr>
          <w:sz w:val="22"/>
        </w:rPr>
        <w:t xml:space="preserve"> – A Concorrência, na forma Eletrônica será realizado em sessão pública, por meio da INTERNET, mediante condições de segurança - criptografia e autenticação - em todas as suas fases através do Sistema de Concorrência, na Forma Eletrônica (licitações) da Compras BR </w:t>
      </w:r>
      <w:r>
        <w:rPr>
          <w:b/>
          <w:u w:val="single" w:color="0000FF"/>
          <w:sz w:val="22"/>
        </w:rPr>
        <w:t>comprasbr.com.br</w:t>
      </w:r>
      <w:r>
        <w:rPr>
          <w:sz w:val="22"/>
        </w:rPr>
        <w:t>, conforme convênio de cooperação técnica celebrado entre a Prefeitura Municipal de Guairaçá e o Compras BR.</w:t>
      </w:r>
    </w:p>
    <w:p>
      <w:pPr>
        <w:jc w:val="both"/>
        <w:widowControl/>
        <w:ind w:right="45" w:hanging="15"/>
        <w:spacing w:after="45"/>
      </w:pPr>
      <w:r>
        <w:rPr>
          <w:b/>
          <w:sz w:val="22"/>
        </w:rPr>
        <w:t xml:space="preserve">1.2 </w:t>
      </w:r>
      <w:r>
        <w:rPr>
          <w:sz w:val="22"/>
        </w:rPr>
        <w:t xml:space="preserve">- Os trabalhos serão conduzidos pelo Agente de contratação ou equipe de apoio formada por servidores indicados através de Portaria especial, mediante a inserção e monitoramento de dados gerados ou transferidos para o aplicativo “Licitações” constante da página eletrônica da Compras BR </w:t>
      </w:r>
      <w:r>
        <w:rPr>
          <w:b/>
          <w:u w:val="single" w:color="0000FF"/>
          <w:sz w:val="22"/>
        </w:rPr>
        <w:t>comprasbr.com.br</w:t>
      </w:r>
      <w:r>
        <w:rPr>
          <w:rFonts w:ascii="Times New Roman" w:hAnsi="Times New Roman" w:cs="Times New Roman" w:eastAsia="Times New Roman"/>
          <w:sz w:val="22"/>
        </w:rPr>
        <w:t>.</w:t>
      </w:r>
    </w:p>
    <w:p>
      <w:pPr>
        <w:jc w:val="both"/>
        <w:widowControl/>
        <w:ind w:right="45" w:hanging="15"/>
        <w:spacing w:after="45"/>
      </w:pPr>
      <w:r>
        <w:rPr>
          <w:b/>
          <w:sz w:val="22"/>
        </w:rPr>
        <w:t>1.3</w:t>
      </w:r>
      <w:r>
        <w:rPr>
          <w:sz w:val="22"/>
        </w:rPr>
        <w:t xml:space="preserve"> – Integram o edital, dele fazendo parte como se transcritos em seu corpo, os seguintes anexos, que especificam o serviço:</w:t>
      </w:r>
    </w:p>
    <w:p>
      <w:pPr>
        <w:jc w:val="both"/>
        <w:widowControl/>
        <w:ind w:left="285" w:right="45" w:hanging="15"/>
        <w:spacing w:after="45"/>
      </w:pPr>
      <w:r>
        <w:rPr>
          <w:b/>
          <w:sz w:val="22"/>
        </w:rPr>
        <w:t>Anexo I –</w:t>
      </w:r>
      <w:r>
        <w:rPr>
          <w:sz w:val="22"/>
        </w:rPr>
        <w:t xml:space="preserve"> Termo de referência;</w:t>
      </w:r>
    </w:p>
    <w:p>
      <w:pPr>
        <w:jc w:val="both"/>
        <w:widowControl/>
        <w:ind w:left="285" w:right="45" w:hanging="15"/>
        <w:spacing w:after="45"/>
      </w:pPr>
      <w:r>
        <w:rPr>
          <w:b/>
          <w:sz w:val="22"/>
        </w:rPr>
        <w:t>Anexo II –</w:t>
      </w:r>
      <w:r>
        <w:rPr>
          <w:sz w:val="22"/>
        </w:rPr>
        <w:t xml:space="preserve"> Modelo declaração de responsabilidade técnica;</w:t>
      </w:r>
    </w:p>
    <w:p>
      <w:pPr>
        <w:jc w:val="both"/>
        <w:widowControl/>
        <w:ind w:left="285" w:right="45" w:hanging="15"/>
        <w:spacing w:after="45"/>
      </w:pPr>
      <w:r>
        <w:rPr>
          <w:b/>
          <w:sz w:val="22"/>
        </w:rPr>
        <w:t>Anexo III –</w:t>
      </w:r>
      <w:r>
        <w:rPr>
          <w:sz w:val="22"/>
        </w:rPr>
        <w:t xml:space="preserve"> Modelo de tratamento diferenciado (ME/EPP);</w:t>
      </w:r>
    </w:p>
    <w:p>
      <w:pPr>
        <w:jc w:val="both"/>
        <w:widowControl/>
        <w:ind w:left="285" w:right="45" w:hanging="15"/>
        <w:spacing w:after="45"/>
      </w:pPr>
      <w:r>
        <w:rPr>
          <w:b/>
          <w:sz w:val="22"/>
        </w:rPr>
        <w:t>Anexo IV –</w:t>
      </w:r>
      <w:r>
        <w:rPr>
          <w:sz w:val="22"/>
        </w:rPr>
        <w:t xml:space="preserve"> Modelo de Atestado do Visita;</w:t>
      </w:r>
    </w:p>
    <w:p>
      <w:pPr>
        <w:jc w:val="both"/>
        <w:widowControl/>
        <w:ind w:left="285" w:right="45" w:hanging="15"/>
        <w:spacing w:after="45"/>
      </w:pPr>
      <w:r>
        <w:rPr>
          <w:b/>
          <w:sz w:val="22"/>
        </w:rPr>
        <w:t>Anexo V –</w:t>
      </w:r>
      <w:r>
        <w:rPr>
          <w:sz w:val="22"/>
        </w:rPr>
        <w:t xml:space="preserve"> Modelo declaração unificada;</w:t>
      </w:r>
    </w:p>
    <w:p>
      <w:pPr>
        <w:jc w:val="both"/>
        <w:widowControl/>
        <w:ind w:left="285" w:right="45" w:hanging="15"/>
        <w:spacing w:after="45"/>
      </w:pPr>
      <w:r>
        <w:rPr>
          <w:b/>
          <w:sz w:val="22"/>
        </w:rPr>
        <w:t>Anexo VI –</w:t>
      </w:r>
      <w:r>
        <w:rPr>
          <w:sz w:val="22"/>
        </w:rPr>
        <w:t xml:space="preserve"> Modelo de Proposta de Preço Reajustada, Planilha Orçamentária e BDI;(</w:t>
      </w:r>
      <w:r>
        <w:rPr>
          <w:sz w:val="22"/>
          <w:shd w:val="clear" w:color="auto" w:fill="FFFF00"/>
        </w:rPr>
        <w:t>após encerrado o processo licitatório )</w:t>
      </w:r>
    </w:p>
    <w:p>
      <w:pPr>
        <w:jc w:val="both"/>
        <w:widowControl/>
        <w:ind w:left="285" w:right="45" w:hanging="15"/>
        <w:spacing w:after="45"/>
      </w:pPr>
      <w:r>
        <w:rPr>
          <w:b/>
          <w:sz w:val="22"/>
        </w:rPr>
        <w:t>Anexo VII –</w:t>
      </w:r>
      <w:r>
        <w:rPr>
          <w:sz w:val="22"/>
        </w:rPr>
        <w:t xml:space="preserve"> Minuta de Contrato;</w:t>
      </w:r>
    </w:p>
    <w:p>
      <w:pPr>
        <w:jc w:val="both"/>
        <w:widowControl/>
        <w:ind w:left="60" w:right="45" w:hanging="15"/>
        <w:spacing w:after="45"/>
      </w:pPr>
      <w:r>
        <w:rPr>
          <w:rFonts w:ascii="Times New Roman" w:hAnsi="Times New Roman" w:cs="Times New Roman" w:eastAsia="Times New Roman"/>
          <w:sz w:val="22"/>
        </w:rPr>
        <w:t/>
      </w:r>
    </w:p>
    <w:p>
      <w:pPr>
        <w:jc w:val="both"/>
        <w:widowControl/>
        <w:ind w:right="45" w:hanging="15"/>
        <w:spacing w:after="45"/>
      </w:pPr>
      <w:r>
        <w:rPr>
          <w:b/>
          <w:sz w:val="22"/>
        </w:rPr>
        <w:t>1.4</w:t>
      </w:r>
      <w:r>
        <w:rPr>
          <w:sz w:val="22"/>
        </w:rPr>
        <w:t xml:space="preserve"> - O inteiro teor deste ato convocatório e de seus anexos encontram-se à disposição dos interessados no </w:t>
      </w:r>
      <w:r>
        <w:rPr>
          <w:u w:val="single" w:color="000000"/>
          <w:sz w:val="22"/>
        </w:rPr>
        <w:t xml:space="preserve">site </w:t>
      </w:r>
      <w:hyperlink r:id="hrId2">
        <w:r>
          <w:rPr>
            <w:u w:val="single" w:color="000000"/>
            <w:sz w:val="22"/>
          </w:rPr>
          <w:t>www.guairaca.pr.gov.br</w:t>
        </w:r>
      </w:hyperlink>
      <w:r>
        <w:rPr>
          <w:sz w:val="22"/>
        </w:rPr>
        <w:t xml:space="preserve"> (portal de transparência) no link licitações, E/OU na Compras BR </w:t>
      </w:r>
      <w:r>
        <w:rPr>
          <w:b/>
          <w:u w:val="single" w:color="0000FF"/>
          <w:sz w:val="22"/>
        </w:rPr>
        <w:t>comprasbr.com.br</w:t>
      </w:r>
      <w:r>
        <w:rPr>
          <w:rFonts w:ascii="Times New Roman" w:hAnsi="Times New Roman" w:cs="Times New Roman" w:eastAsia="Times New Roman"/>
          <w:sz w:val="22"/>
        </w:rPr>
        <w:t>.</w:t>
      </w:r>
    </w:p>
    <w:p>
      <w:pPr>
        <w:jc w:val="both"/>
        <w:widowControl/>
        <w:ind w:right="45" w:hanging="15"/>
        <w:spacing w:after="45"/>
      </w:pPr>
      <w:r>
        <w:rPr>
          <w:rFonts w:ascii="Times New Roman" w:hAnsi="Times New Roman" w:cs="Times New Roman" w:eastAsia="Times New Roman"/>
          <w:sz w:val="22"/>
        </w:rPr>
        <w:t/>
      </w:r>
    </w:p>
    <w:p>
      <w:pPr>
        <w:jc w:val="both"/>
        <w:widowControl/>
        <w:ind w:right="45" w:hanging="15"/>
        <w:spacing w:after="45"/>
      </w:pPr>
      <w:r>
        <w:rPr>
          <w:b/>
          <w:sz w:val="22"/>
        </w:rPr>
        <w:t xml:space="preserve">1.5 - </w:t>
      </w:r>
      <w:r>
        <w:rPr>
          <w:sz w:val="22"/>
        </w:rPr>
        <w:t xml:space="preserve"> </w:t>
      </w:r>
      <w:r>
        <w:rPr>
          <w:b/>
          <w:sz w:val="22"/>
        </w:rPr>
        <w:t>VALOR</w:t>
      </w:r>
      <w:r>
        <w:rPr>
          <w:b/>
          <w:sz w:val="22"/>
          <w:spacing w:val="1"/>
        </w:rPr>
        <w:t xml:space="preserve"> </w:t>
      </w:r>
      <w:r>
        <w:rPr>
          <w:b/>
          <w:sz w:val="22"/>
        </w:rPr>
        <w:t>ESTIMADO</w:t>
      </w:r>
      <w:r>
        <w:rPr>
          <w:b/>
          <w:sz w:val="22"/>
          <w:spacing w:val="1"/>
        </w:rPr>
        <w:t xml:space="preserve"> </w:t>
      </w:r>
      <w:r>
        <w:rPr>
          <w:b/>
          <w:sz w:val="22"/>
        </w:rPr>
        <w:t>PARA</w:t>
      </w:r>
      <w:r>
        <w:rPr>
          <w:b/>
          <w:sz w:val="22"/>
          <w:spacing w:val="1"/>
        </w:rPr>
        <w:t xml:space="preserve"> </w:t>
      </w:r>
      <w:r>
        <w:rPr>
          <w:b/>
          <w:sz w:val="22"/>
        </w:rPr>
        <w:t>A LICITAÇÃO:</w:t>
      </w:r>
      <w:r>
        <w:rPr>
          <w:b/>
          <w:sz w:val="22"/>
          <w:spacing w:val="1"/>
        </w:rPr>
        <w:t xml:space="preserve"> </w:t>
      </w:r>
      <w:r>
        <w:rPr>
          <w:b/>
          <w:sz w:val="22"/>
        </w:rPr>
        <w:t>R$ 493.287,76 (Quatrocentos e Noventa e Três Mil, Duzentos e Oitenta e Sete Reais e Setenta e Seis Centavos).</w:t>
      </w:r>
    </w:p>
    <w:p>
      <w:pPr>
        <w:jc w:val="both"/>
        <w:widowControl/>
        <w:ind w:left="60" w:right="45" w:hanging="15"/>
        <w:spacing w:after="45"/>
      </w:pPr>
      <w:r>
        <w:rPr>
          <w:rFonts w:ascii="Times New Roman" w:hAnsi="Times New Roman" w:cs="Times New Roman" w:eastAsia="Times New Roman"/>
          <w:sz w:val="22"/>
          <w:color w:val="FFFFFF"/>
        </w:rPr>
        <w:t/>
      </w:r>
    </w:p>
    <w:p>
      <w:pPr>
        <w:jc w:val="both"/>
        <w:outlineLvl w:val="0"/>
        <w:keepLines/>
        <w:keepNext/>
        <w:widowControl/>
        <w:ind w:left="60" w:right="45" w:hanging="15"/>
        <w:spacing w:after="45"/>
        <w:shd w:val="clear" w:color="auto" w:fill="0D0D0D"/>
      </w:pPr>
      <w:r>
        <w:rPr>
          <w:b/>
          <w:sz w:val="22"/>
          <w:color w:val="FFFFFF"/>
        </w:rPr>
        <w:t>2 - FORMALIZAÇÃO DE CONSULTAS</w:t>
      </w:r>
    </w:p>
    <w:p>
      <w:pPr>
        <w:jc w:val="both"/>
        <w:widowControl/>
        <w:ind w:left="60" w:right="45" w:hanging="15"/>
        <w:spacing w:after="45"/>
      </w:pPr>
      <w:r>
        <w:rPr>
          <w:b/>
          <w:sz w:val="22"/>
        </w:rPr>
        <w:t>2.1</w:t>
      </w:r>
      <w:r>
        <w:rPr>
          <w:sz w:val="22"/>
        </w:rPr>
        <w:t xml:space="preserve"> - Os pedidos de esclarecimentos e impugnações referentes a este processo licitatório deverão ser enviados até 03 (três) dias úteis antes da data da abertura do certame, conforme disposição elencada no art. 164 da Lei nº 14.133/2021, por meio eletrônico, via sistema Compras BR (em local especifico), via e-mail: </w:t>
      </w:r>
      <w:r>
        <w:rPr>
          <w:u w:val="single" w:color="000000"/>
          <w:sz w:val="22"/>
        </w:rPr>
        <w:t>licitacao@guairaca.pr.gov.br</w:t>
      </w:r>
      <w:r>
        <w:rPr>
          <w:sz w:val="22"/>
        </w:rPr>
        <w:t>, ou ser protocolizado no horário de expediente da Prefeitura (das 08:00 às 17:00) – no Setor de Licitações e Contratos, situado à Rua Francisco Vieira 1181 - centro Guairaçá-Pr.</w:t>
      </w:r>
    </w:p>
    <w:p>
      <w:pPr>
        <w:jc w:val="both"/>
        <w:widowControl/>
        <w:ind w:left="420" w:right="45" w:hanging="15"/>
        <w:spacing w:after="45"/>
      </w:pPr>
      <w:r>
        <w:rPr>
          <w:sz w:val="22"/>
        </w:rPr>
        <w:t>2.1.1 - As informações administrativas relativas a este Edital poderão ser obtidas junto ao Setor de Licitações pelo telefone (44) 3442-1772.</w:t>
      </w:r>
    </w:p>
    <w:p>
      <w:pPr>
        <w:jc w:val="both"/>
        <w:widowControl/>
        <w:ind w:left="420" w:right="45" w:hanging="15"/>
        <w:spacing w:after="45"/>
      </w:pPr>
      <w:r>
        <w:rPr>
          <w:sz w:val="22"/>
        </w:rPr>
        <w:t>2.1.2 - As questões estritamente técnicas referentes ao objeto licitado serão prestadas pelo Departamento de Engenharia, pelo telefone nº (44) 3442-1772.</w:t>
      </w:r>
    </w:p>
    <w:p>
      <w:pPr>
        <w:jc w:val="both"/>
        <w:widowControl/>
        <w:ind w:left="60" w:right="45" w:hanging="15"/>
        <w:spacing w:after="45"/>
      </w:pPr>
      <w:r>
        <w:rPr>
          <w:b/>
          <w:sz w:val="22"/>
        </w:rPr>
        <w:t>2.2</w:t>
      </w:r>
      <w:r>
        <w:rPr>
          <w:sz w:val="22"/>
        </w:rPr>
        <w:t xml:space="preserve"> - Nos termos do Art. 164 da Lei nº 14.133/2021, qualquer pessoa é parte legítima para impugnar edital de licitação por irregularidade na aplicação desta Lei, devendo protocolar o pedido até </w:t>
      </w:r>
      <w:r>
        <w:rPr>
          <w:b/>
          <w:sz w:val="22"/>
        </w:rPr>
        <w:t>3 (três) dias úteis</w:t>
      </w:r>
      <w:r>
        <w:rPr>
          <w:sz w:val="22"/>
        </w:rPr>
        <w:t xml:space="preserve"> antes da data de abertura do certame.</w:t>
      </w:r>
    </w:p>
    <w:p>
      <w:pPr>
        <w:jc w:val="both"/>
        <w:widowControl/>
        <w:ind w:left="420" w:right="45" w:hanging="15"/>
        <w:spacing w:after="45"/>
      </w:pPr>
      <w:r>
        <w:rPr>
          <w:sz w:val="22"/>
        </w:rPr>
        <w:t>2.2.1 - Não serão conhecidas as impugnações e os recursos apresentados fora do prazo legal e/ou subscritos por representante não habilitado legalmente ou não identificado no processo para responder pelo proponente.</w:t>
      </w:r>
    </w:p>
    <w:p>
      <w:pPr>
        <w:jc w:val="both"/>
        <w:widowControl/>
        <w:ind w:left="60" w:right="45" w:hanging="15"/>
        <w:spacing w:after="45"/>
      </w:pPr>
      <w:r>
        <w:rPr>
          <w:b/>
          <w:sz w:val="22"/>
        </w:rPr>
        <w:t>2.3</w:t>
      </w:r>
      <w:r>
        <w:rPr>
          <w:sz w:val="22"/>
        </w:rPr>
        <w:t xml:space="preserve"> - Caberá ao Agente de Contratação e ou equipe de apoio, auxiliado pelos responsáveis requisitantes pela elaboração deste Edital e seus anexos, decidir sobre a impugnação no prazo de até 2 (dois) dias úteis contados da data de recebimento da impugnação.</w:t>
      </w:r>
    </w:p>
    <w:p>
      <w:pPr>
        <w:jc w:val="both"/>
        <w:widowControl/>
        <w:ind w:left="60" w:right="45" w:hanging="15"/>
        <w:spacing w:after="45"/>
      </w:pPr>
      <w:r>
        <w:rPr>
          <w:b/>
          <w:sz w:val="22"/>
        </w:rPr>
        <w:t>2.4</w:t>
      </w:r>
      <w:r>
        <w:rPr>
          <w:sz w:val="22"/>
        </w:rPr>
        <w:t xml:space="preserve"> - Acolhida a impugnação, será definida e publicada nova data para a realização do certame.</w:t>
      </w:r>
    </w:p>
    <w:p>
      <w:pPr>
        <w:jc w:val="both"/>
        <w:widowControl/>
        <w:ind w:left="60" w:right="45" w:hanging="15"/>
        <w:spacing w:after="45"/>
      </w:pPr>
      <w:r>
        <w:rPr>
          <w:b/>
          <w:sz w:val="22"/>
        </w:rPr>
        <w:t>2.5</w:t>
      </w:r>
      <w:r>
        <w:rPr>
          <w:sz w:val="22"/>
        </w:rPr>
        <w:t xml:space="preserve"> - As impugnações e pedidos de esclarecimentos não suspendem os prazos previstos no certame.</w:t>
      </w:r>
    </w:p>
    <w:p>
      <w:pPr>
        <w:jc w:val="both"/>
        <w:widowControl/>
        <w:ind w:left="420" w:right="45" w:hanging="15"/>
        <w:spacing w:after="45"/>
      </w:pPr>
      <w:r>
        <w:rPr>
          <w:sz w:val="22"/>
        </w:rPr>
        <w:t>2.5.1 - A concessão de efeito suspensivo à impugnação é medida excepcional e deverá ser motivada pelo agente de contratação e ou equipe de apoio, nos autos do processo de licitação.</w:t>
      </w:r>
    </w:p>
    <w:p>
      <w:pPr>
        <w:jc w:val="both"/>
        <w:widowControl/>
        <w:ind w:left="60" w:right="45" w:hanging="15"/>
        <w:spacing w:after="45"/>
      </w:pPr>
      <w:r>
        <w:rPr>
          <w:b/>
          <w:sz w:val="22"/>
        </w:rPr>
        <w:t>2.6</w:t>
      </w:r>
      <w:r>
        <w:rPr>
          <w:sz w:val="22"/>
        </w:rPr>
        <w:t xml:space="preserve"> - Se das consultas ou impugnações resultar a necessidade de modificar o edital, a alteração será divulgada pela mesma forma em que se deu o texto original do instrumento convocatório.</w:t>
      </w:r>
    </w:p>
    <w:p>
      <w:pPr>
        <w:jc w:val="both"/>
        <w:widowControl/>
        <w:ind w:left="60" w:right="45" w:hanging="15"/>
        <w:spacing w:after="45"/>
      </w:pPr>
      <w:r>
        <w:rPr>
          <w:b/>
          <w:sz w:val="22"/>
        </w:rPr>
        <w:t>2.7</w:t>
      </w:r>
      <w:r>
        <w:rPr>
          <w:sz w:val="22"/>
        </w:rPr>
        <w:t xml:space="preserve"> - Em caso de divergência existente entre o detalhamento dos descritivos dos itens registrados na página eletrônica da Compras BR </w:t>
      </w:r>
      <w:r>
        <w:rPr>
          <w:b/>
          <w:u w:val="single" w:color="0000FF"/>
          <w:sz w:val="22"/>
        </w:rPr>
        <w:t xml:space="preserve">comprasbr.com.br </w:t>
      </w:r>
      <w:r>
        <w:rPr>
          <w:sz w:val="22"/>
        </w:rPr>
        <w:t>e as especificações constantes no Termo de Referência, PARA EFEITO DE PROPOSTA, ENTREGA E RECEBIMENTO DO OBJETO prevalecerão às últimas.</w:t>
      </w:r>
    </w:p>
    <w:p>
      <w:pPr>
        <w:jc w:val="both"/>
        <w:widowControl/>
        <w:ind w:left="60" w:right="45" w:hanging="15"/>
        <w:spacing w:after="45"/>
      </w:pPr>
      <w:r>
        <w:rPr>
          <w:sz w:val="22"/>
          <w:color w:val="FFFFFF"/>
        </w:rPr>
        <w:t/>
      </w:r>
    </w:p>
    <w:p>
      <w:pPr>
        <w:jc w:val="both"/>
        <w:outlineLvl w:val="0"/>
        <w:keepLines/>
        <w:keepNext/>
        <w:widowControl/>
        <w:ind w:left="60" w:right="45" w:hanging="15"/>
        <w:spacing w:after="45"/>
        <w:shd w:val="clear" w:color="auto" w:fill="0D0D0D"/>
      </w:pPr>
      <w:r>
        <w:rPr>
          <w:b/>
          <w:sz w:val="22"/>
          <w:color w:val="FFFFFF"/>
        </w:rPr>
        <w:t>3 - REFERÊNCIAS DE TEMPO</w:t>
      </w:r>
    </w:p>
    <w:p>
      <w:pPr>
        <w:jc w:val="both"/>
        <w:widowControl/>
        <w:ind w:left="60" w:right="45" w:hanging="15"/>
        <w:spacing w:after="45"/>
      </w:pPr>
      <w:r>
        <w:rPr>
          <w:b/>
          <w:sz w:val="22"/>
        </w:rPr>
        <w:t>3.1</w:t>
      </w:r>
      <w:r>
        <w:rPr>
          <w:sz w:val="22"/>
        </w:rPr>
        <w:t xml:space="preserve"> - Todas as referências de tempo no Edital, no Aviso e durante a Sessão Pública observarão obrigatoriamente o horário de Brasília – DF e, dessa forma, serão registradas no sistema eletrônico e na documentação relativa ao certame.</w:t>
      </w:r>
    </w:p>
    <w:p>
      <w:pPr>
        <w:jc w:val="both"/>
        <w:widowControl/>
        <w:ind w:left="60" w:right="45" w:hanging="15"/>
        <w:spacing w:after="45"/>
      </w:pPr>
      <w:r>
        <w:rPr>
          <w:sz w:val="22"/>
        </w:rPr>
        <w:t/>
      </w:r>
    </w:p>
    <w:p>
      <w:pPr>
        <w:jc w:val="both"/>
        <w:outlineLvl w:val="0"/>
        <w:keepLines/>
        <w:keepNext/>
        <w:widowControl/>
        <w:ind w:left="60" w:right="45" w:hanging="15"/>
        <w:spacing w:after="45"/>
        <w:shd w:val="clear" w:color="auto" w:fill="0D0D0D"/>
      </w:pPr>
      <w:r>
        <w:rPr>
          <w:b/>
          <w:sz w:val="22"/>
          <w:color w:val="FFFFFF"/>
        </w:rPr>
        <w:t>4 - CONDIÇÕES PARA PARTICIPAÇÃO</w:t>
      </w:r>
    </w:p>
    <w:p>
      <w:pPr>
        <w:jc w:val="both"/>
        <w:widowControl/>
        <w:ind w:left="60" w:right="45" w:hanging="15"/>
        <w:spacing w:after="45"/>
      </w:pPr>
      <w:r>
        <w:rPr>
          <w:b/>
          <w:sz w:val="22"/>
        </w:rPr>
        <w:t>4.1</w:t>
      </w:r>
      <w:r>
        <w:rPr>
          <w:sz w:val="22"/>
        </w:rPr>
        <w:t xml:space="preserve"> - Poderá participar desta licitação qualquer pessoa jurídica legalmente estabelecida no País, que atenda às exigências deste Edital e seus Anexos, que esteja devidamente credenciada, munida de chave de identificação e de senha, cujo objeto social seja compatível com o objeto do certame e que satisfaçam as condições deste Edital.</w:t>
      </w:r>
    </w:p>
    <w:p>
      <w:pPr>
        <w:jc w:val="both"/>
        <w:widowControl/>
        <w:ind w:left="60" w:right="45" w:hanging="15"/>
        <w:spacing w:after="45"/>
      </w:pPr>
      <w:r>
        <w:rPr>
          <w:b/>
          <w:sz w:val="22"/>
        </w:rPr>
        <w:t>4.2</w:t>
      </w:r>
      <w:r>
        <w:rPr>
          <w:sz w:val="22"/>
        </w:rPr>
        <w:t xml:space="preserve"> - Consórcio: será permitida a participação de consórcio.</w:t>
      </w:r>
    </w:p>
    <w:p>
      <w:pPr>
        <w:jc w:val="both"/>
        <w:widowControl/>
        <w:ind w:left="420" w:right="45" w:hanging="15"/>
        <w:spacing w:after="45"/>
      </w:pPr>
      <w:r>
        <w:rPr>
          <w:sz w:val="22"/>
        </w:rPr>
        <w:t>4.2.1 - A empresa líder deverá ser nacional e de maior participação no Consórcio. No caso de participações iguais, a líder deverá ser a consorciada de maior Capital Social.</w:t>
      </w:r>
    </w:p>
    <w:p>
      <w:pPr>
        <w:jc w:val="both"/>
        <w:widowControl/>
        <w:ind w:left="420" w:right="45" w:hanging="15"/>
        <w:spacing w:after="45"/>
      </w:pPr>
      <w:r>
        <w:rPr>
          <w:sz w:val="22"/>
        </w:rPr>
        <w:t>4.2.2 - A constituição do Consórcio será feita observando-se as seguintes normas:</w:t>
      </w:r>
    </w:p>
    <w:p>
      <w:pPr>
        <w:jc w:val="both"/>
        <w:widowControl/>
        <w:ind w:left="420" w:right="45" w:hanging="15"/>
        <w:spacing w:after="45"/>
      </w:pPr>
      <w:r>
        <w:rPr>
          <w:sz w:val="22"/>
        </w:rPr>
        <w:t>4.2.3 - Comprovação do compromisso, público ou particular, de constituição do Consórcio, subscrito pelos consorciados, incluindo os seguintes itens:</w:t>
      </w:r>
    </w:p>
    <w:p>
      <w:pPr>
        <w:jc w:val="both"/>
        <w:widowControl/>
        <w:ind w:right="45"/>
        <w:spacing w:after="45"/>
        <w:numPr>
          <w:ilvl w:val="0"/>
          <w:numId w:val="53"/>
        </w:numPr>
      </w:pPr>
      <w:r/>
      <w:r>
        <w:rPr>
          <w:sz w:val="22"/>
        </w:rPr>
        <w:t>Designação do Consórcio e sua composição;</w:t>
      </w:r>
    </w:p>
    <w:p>
      <w:pPr>
        <w:jc w:val="both"/>
        <w:widowControl/>
        <w:ind w:right="45"/>
        <w:spacing w:after="45"/>
        <w:numPr>
          <w:ilvl w:val="0"/>
          <w:numId w:val="53"/>
        </w:numPr>
      </w:pPr>
      <w:r/>
      <w:r>
        <w:rPr>
          <w:sz w:val="22"/>
        </w:rPr>
        <w:t>Finalidade do Consórcio;</w:t>
      </w:r>
    </w:p>
    <w:p>
      <w:pPr>
        <w:jc w:val="both"/>
        <w:widowControl/>
        <w:ind w:right="45"/>
        <w:spacing w:after="45"/>
        <w:numPr>
          <w:ilvl w:val="0"/>
          <w:numId w:val="53"/>
        </w:numPr>
      </w:pPr>
      <w:r/>
      <w:r>
        <w:rPr>
          <w:sz w:val="22"/>
        </w:rPr>
        <w:t>Prazo de duração do Consórcio, que deve coincidir, no mínimo, com o prazo contratual, acrescido de 03 (três)meses, bem como o endereço do Consórcio e o foro competente para dirimir eventuais demandas entre as partes;</w:t>
      </w:r>
    </w:p>
    <w:p>
      <w:pPr>
        <w:jc w:val="both"/>
        <w:widowControl/>
        <w:ind w:right="45"/>
        <w:spacing w:after="45"/>
        <w:numPr>
          <w:ilvl w:val="0"/>
          <w:numId w:val="53"/>
        </w:numPr>
      </w:pPr>
      <w:r/>
      <w:r>
        <w:rPr>
          <w:sz w:val="22"/>
        </w:rPr>
        <w:t>Definição das obrigações e responsabilidades de cada consorciada e das prestações específicas (participação em porcentual do valor total), em relação ao objeto da licitação;</w:t>
      </w:r>
    </w:p>
    <w:p>
      <w:pPr>
        <w:jc w:val="both"/>
        <w:widowControl/>
        <w:ind w:right="45"/>
        <w:spacing w:after="45"/>
        <w:numPr>
          <w:ilvl w:val="0"/>
          <w:numId w:val="53"/>
        </w:numPr>
      </w:pPr>
      <w:r/>
      <w:r>
        <w:rPr>
          <w:sz w:val="22"/>
        </w:rPr>
        <w:t>Compromisso expresso de que cada consorciado responderá por todos os atos do consórcio, sendo obrigatória à assinatura do contrato com o Município de Guairaçá por todos os consorciados;</w:t>
      </w:r>
    </w:p>
    <w:p>
      <w:pPr>
        <w:jc w:val="both"/>
        <w:widowControl/>
        <w:ind w:right="270"/>
        <w:spacing w:after="45"/>
        <w:numPr>
          <w:ilvl w:val="0"/>
          <w:numId w:val="53"/>
        </w:numPr>
      </w:pPr>
      <w:r/>
      <w:r>
        <w:rPr>
          <w:sz w:val="22"/>
        </w:rPr>
        <w:t xml:space="preserve">Indicação da empresa líder, responsável pelo consórcio, que será sua única representante perante o Município de Guairaçá, com quem, por meio da pessoa do seu representante legal, serão mantidos todos os entendimentos relativos à licitação e ao contrato, devendo atender as condições de liderança fixadas no edital; </w:t>
      </w:r>
    </w:p>
    <w:p>
      <w:pPr>
        <w:jc w:val="both"/>
        <w:widowControl/>
        <w:ind w:right="270"/>
        <w:spacing w:after="45"/>
        <w:numPr>
          <w:ilvl w:val="0"/>
          <w:numId w:val="53"/>
        </w:numPr>
      </w:pPr>
      <w:r/>
      <w:r>
        <w:rPr>
          <w:sz w:val="22"/>
        </w:rPr>
        <w:t>Designação do representante legal do consórcio;</w:t>
      </w:r>
    </w:p>
    <w:p>
      <w:pPr>
        <w:jc w:val="both"/>
        <w:widowControl/>
        <w:ind w:right="45"/>
        <w:spacing w:after="45"/>
        <w:numPr>
          <w:ilvl w:val="0"/>
          <w:numId w:val="92"/>
        </w:numPr>
      </w:pPr>
      <w:r/>
      <w:r>
        <w:rPr>
          <w:sz w:val="22"/>
        </w:rPr>
        <w:t>Compromisso das consorciadas de que não terão a sua constituição ou composição alteradas ou modificadas, sem a prévia e expressa anuência do Município de Guairaçá, até o cumprimento do objeto da licitação, mediante termo de recebimento, observado o prazo de duração do consórcio, definido na alínea “c”, supra;</w:t>
      </w:r>
    </w:p>
    <w:p>
      <w:pPr>
        <w:jc w:val="both"/>
        <w:widowControl/>
        <w:ind w:right="45"/>
        <w:spacing w:after="45"/>
        <w:numPr>
          <w:ilvl w:val="0"/>
          <w:numId w:val="92"/>
        </w:numPr>
      </w:pPr>
      <w:r/>
      <w:r>
        <w:rPr>
          <w:sz w:val="22"/>
        </w:rPr>
        <w:t>Compromisso expresso das consorciadas de que apresentarão, antes da assinatura do eventual termo do contrato decorrente da licitação, o instrumento de constituição do consórcio, arquivado no registro do comércio local de sua sede ou o registro no cartório de Títulos e Documentos, conforme a natureza das pessoas consorciadas;</w:t>
      </w:r>
    </w:p>
    <w:p>
      <w:pPr>
        <w:jc w:val="both"/>
        <w:widowControl/>
        <w:ind w:right="45"/>
        <w:spacing w:after="45"/>
        <w:numPr>
          <w:ilvl w:val="0"/>
          <w:numId w:val="92"/>
        </w:numPr>
      </w:pPr>
      <w:r/>
      <w:r>
        <w:rPr>
          <w:sz w:val="22"/>
        </w:rPr>
        <w:t>Que cada consorciado apresente a documentação relacionada item 6.2 – DOCUMENTAÇÃO DE HABILITAÇÂO deste edital, e suas subdivisões, admitindo-se, para efeito de qualificação técnica, o somatório dos quantitativos de cada consorciado;</w:t>
      </w:r>
    </w:p>
    <w:p>
      <w:pPr>
        <w:jc w:val="both"/>
        <w:widowControl/>
        <w:ind w:left="420" w:right="45" w:hanging="15"/>
        <w:spacing w:after="45"/>
      </w:pPr>
      <w:r>
        <w:rPr>
          <w:sz w:val="22"/>
        </w:rPr>
        <w:t>4.2.4 - A empresa consorciada não poderá participar da mesma licitação isoladamente ou em outra formação de consórcio;</w:t>
      </w:r>
    </w:p>
    <w:p>
      <w:pPr>
        <w:jc w:val="both"/>
        <w:widowControl/>
        <w:ind w:left="420" w:right="45" w:hanging="15"/>
        <w:spacing w:after="45"/>
      </w:pPr>
      <w:r>
        <w:rPr>
          <w:sz w:val="22"/>
        </w:rPr>
        <w:t>4.2.5 - No caso de consórcio entre empresas brasileiras e estrangeiras, a liderança caberá obrigatoriamente à empresa brasileira, respeitada a alínea “f”, supra.</w:t>
      </w:r>
    </w:p>
    <w:p>
      <w:pPr>
        <w:jc w:val="both"/>
        <w:widowControl/>
        <w:ind w:left="60" w:right="45" w:hanging="15"/>
        <w:spacing w:after="45"/>
      </w:pPr>
      <w:r>
        <w:rPr>
          <w:b/>
          <w:sz w:val="22"/>
        </w:rPr>
        <w:t>4.3</w:t>
      </w:r>
      <w:r>
        <w:rPr>
          <w:sz w:val="22"/>
        </w:rPr>
        <w:t xml:space="preserve"> - Não poderão participar direta ou indiretamente desta licitação, os interessados que se enquadrarem em uma ou mais das situações a seguir:</w:t>
      </w:r>
    </w:p>
    <w:p>
      <w:pPr>
        <w:jc w:val="both"/>
        <w:widowControl/>
        <w:ind w:left="990" w:right="45" w:hanging="570"/>
        <w:spacing w:after="45"/>
      </w:pPr>
      <w:r>
        <w:rPr>
          <w:sz w:val="22"/>
        </w:rPr>
        <w:t>4.3.1</w:t>
      </w:r>
      <w:r>
        <w:rPr>
          <w:sz w:val="22"/>
        </w:rPr>
        <w:tab/>
      </w:r>
      <w:r>
        <w:rPr>
          <w:sz w:val="22"/>
        </w:rPr>
        <w:t>- Que não atendam às condições deste Edital e seus anexos</w:t>
      </w:r>
    </w:p>
    <w:p>
      <w:pPr>
        <w:jc w:val="both"/>
        <w:widowControl/>
        <w:ind w:left="990" w:right="45" w:hanging="570"/>
        <w:spacing w:after="45"/>
      </w:pPr>
      <w:r>
        <w:rPr>
          <w:sz w:val="22"/>
        </w:rPr>
        <w:t>4.3.2</w:t>
      </w:r>
      <w:r>
        <w:rPr>
          <w:sz w:val="22"/>
        </w:rPr>
        <w:tab/>
      </w:r>
      <w:r>
        <w:rPr>
          <w:sz w:val="22"/>
        </w:rPr>
        <w:t>- Estrangeiros que não tenham representação legal no Brasil com poderes expressos para receber citação e responder administrativa ou judicialmente;</w:t>
      </w:r>
    </w:p>
    <w:p>
      <w:pPr>
        <w:jc w:val="both"/>
        <w:widowControl/>
        <w:ind w:left="990" w:right="45" w:hanging="570"/>
        <w:spacing w:after="45"/>
      </w:pPr>
      <w:r>
        <w:rPr>
          <w:sz w:val="22"/>
        </w:rPr>
        <w:t>4.3.3</w:t>
      </w:r>
      <w:r>
        <w:rPr>
          <w:sz w:val="22"/>
        </w:rPr>
        <w:tab/>
      </w:r>
      <w:r>
        <w:rPr>
          <w:sz w:val="22"/>
        </w:rPr>
        <w:t>- Que se enquadrem nas vedações previstas no artigo 14 da Lei nº 14.133/2021;</w:t>
      </w:r>
    </w:p>
    <w:p>
      <w:pPr>
        <w:jc w:val="both"/>
        <w:widowControl/>
        <w:ind w:left="990" w:right="45" w:hanging="570"/>
        <w:spacing w:after="45"/>
      </w:pPr>
      <w:r>
        <w:rPr>
          <w:sz w:val="22"/>
        </w:rPr>
        <w:t>4.3.4</w:t>
      </w:r>
      <w:r>
        <w:rPr>
          <w:sz w:val="22"/>
        </w:rPr>
        <w:tab/>
      </w:r>
      <w:r>
        <w:rPr>
          <w:sz w:val="22"/>
        </w:rPr>
        <w:t>- Que estejam sob falência, concurso de credores, concordata ou insolvência, em processo de dissolução ou liquidação;</w:t>
      </w:r>
    </w:p>
    <w:p>
      <w:pPr>
        <w:jc w:val="both"/>
        <w:widowControl/>
        <w:ind w:left="990" w:right="45" w:hanging="570"/>
        <w:spacing w:after="45"/>
      </w:pPr>
      <w:r>
        <w:rPr>
          <w:sz w:val="22"/>
        </w:rPr>
        <w:t>4.3.5</w:t>
      </w:r>
      <w:r>
        <w:rPr>
          <w:sz w:val="22"/>
        </w:rPr>
        <w:tab/>
      </w:r>
      <w:r>
        <w:rPr>
          <w:sz w:val="22"/>
        </w:rPr>
        <w:t xml:space="preserve">- Proibidos de participar de licitações e celebrar contratos administrativos, na forma da legislação vigente; </w:t>
      </w:r>
    </w:p>
    <w:p>
      <w:pPr>
        <w:jc w:val="both"/>
        <w:widowControl/>
        <w:ind w:left="990" w:right="45" w:hanging="570"/>
        <w:spacing w:after="45"/>
      </w:pPr>
      <w:r>
        <w:rPr>
          <w:b/>
          <w:sz w:val="22"/>
        </w:rPr>
        <w:t>4.4</w:t>
      </w:r>
      <w:r>
        <w:rPr>
          <w:sz w:val="22"/>
        </w:rPr>
        <w:t xml:space="preserve"> - Nos termos do art. 7° do Decreto n° 7.203, de 2010, é vedada, ainda, a utilização, na execução dos serviços contratados, de empregado da futura Contratada que seja familiar de agente público ocupante de cargo em comissão ou função de confiança neste órgão contratante.</w:t>
      </w:r>
    </w:p>
    <w:p>
      <w:pPr>
        <w:jc w:val="both"/>
        <w:widowControl/>
        <w:ind w:left="60" w:right="45" w:hanging="15"/>
        <w:spacing w:after="45"/>
        <w:tabs>
          <w:tab w:val="left" w:pos="420"/>
        </w:tabs>
      </w:pPr>
      <w:r>
        <w:rPr>
          <w:b/>
          <w:sz w:val="22"/>
        </w:rPr>
        <w:t>4.5</w:t>
      </w:r>
      <w:r>
        <w:rPr>
          <w:sz w:val="22"/>
        </w:rPr>
        <w:tab/>
      </w:r>
      <w:r>
        <w:rPr>
          <w:sz w:val="22"/>
        </w:rPr>
        <w:t>- É proibida a participação de empresa que já esteja contratada para serviços de assistência a fiscalização e gerenciamento de obras do Município, se o objeto da presente licitação estiver entre os contratos a serem fiscalizados ou gerenciados.</w:t>
      </w:r>
    </w:p>
    <w:p>
      <w:pPr>
        <w:jc w:val="both"/>
        <w:widowControl/>
        <w:ind w:left="60" w:right="45" w:hanging="15"/>
        <w:spacing w:after="45"/>
        <w:tabs>
          <w:tab w:val="left" w:pos="420"/>
        </w:tabs>
      </w:pPr>
      <w:r>
        <w:rPr>
          <w:b/>
          <w:sz w:val="22"/>
        </w:rPr>
        <w:t>4.6</w:t>
      </w:r>
      <w:r>
        <w:rPr>
          <w:sz w:val="22"/>
        </w:rPr>
        <w:tab/>
      </w:r>
      <w:r>
        <w:rPr>
          <w:sz w:val="22"/>
        </w:rPr>
        <w:t>- A participação na presente licitação implica a aceitação plena e irrevogável de todos os termos, cláusulas e condições constantes deste Edital e de seus Anexos, bem como a observância dos preceitos legais e regulamentares em vigor e a responsabilidade pela fidelidade e legitimidade das informações e dos documentos apresentados em qualquer fase do processo.</w:t>
      </w:r>
    </w:p>
    <w:p>
      <w:pPr>
        <w:jc w:val="both"/>
        <w:widowControl/>
        <w:ind w:left="60" w:right="45" w:hanging="15"/>
        <w:spacing w:after="45"/>
        <w:tabs>
          <w:tab w:val="left" w:pos="420"/>
        </w:tabs>
      </w:pPr>
      <w:r>
        <w:rPr>
          <w:b/>
          <w:sz w:val="22"/>
        </w:rPr>
        <w:t>4.7</w:t>
      </w:r>
      <w:r>
        <w:rPr>
          <w:sz w:val="22"/>
        </w:rPr>
        <w:tab/>
      </w:r>
      <w:r>
        <w:rPr>
          <w:sz w:val="22"/>
        </w:rPr>
        <w:t xml:space="preserve">- O licitante deverá promover a sua inscrição e credenciamento para participar da licitação diretamente ou através de empresas associadas ao Compras BR </w:t>
      </w:r>
      <w:r>
        <w:rPr>
          <w:b/>
          <w:u w:val="single" w:color="0000FF"/>
          <w:sz w:val="22"/>
        </w:rPr>
        <w:t>comprasbr.com.br</w:t>
      </w:r>
      <w:r>
        <w:rPr>
          <w:sz w:val="22"/>
        </w:rPr>
        <w:t xml:space="preserve">, por ele indicada, até o horário fixado no edital para inscrição e cadastramento, que poderá ser feito através dos telefones (67) 3303-2730 e (67) 3303-2702 ou através do site  </w:t>
      </w:r>
      <w:r>
        <w:rPr>
          <w:b/>
          <w:u w:val="single" w:color="0000FF"/>
          <w:sz w:val="22"/>
        </w:rPr>
        <w:t>comprasbr.com.br</w:t>
      </w:r>
      <w:r>
        <w:rPr>
          <w:sz w:val="22"/>
        </w:rPr>
        <w:t xml:space="preserve"> no link CADASTRAMENTO.</w:t>
      </w:r>
    </w:p>
    <w:p>
      <w:pPr>
        <w:jc w:val="both"/>
        <w:widowControl/>
        <w:ind w:left="60" w:right="45" w:hanging="15"/>
        <w:spacing w:after="45"/>
        <w:tabs>
          <w:tab w:val="left" w:pos="420"/>
        </w:tabs>
      </w:pPr>
      <w:r>
        <w:rPr>
          <w:b/>
          <w:sz w:val="22"/>
        </w:rPr>
        <w:t>4.8</w:t>
      </w:r>
      <w:r>
        <w:rPr>
          <w:sz w:val="22"/>
        </w:rPr>
        <w:tab/>
      </w:r>
      <w:r>
        <w:rPr>
          <w:sz w:val="22"/>
        </w:rPr>
        <w:t>- Os licitantes deverão responsabilizar-se formalmente pelas transações efetuadas em seu nome, assumindo como firmes e verdadeiras suas propostas e lances, inclusive os atos praticados diretamente ou por seu representante, não cabendo ao provedor do sistema ou ao Município de Guairaçá a responsabilidade por eventuais danos decorrentes de uso indevido da senha, ainda que por terceiros;</w:t>
      </w:r>
    </w:p>
    <w:p>
      <w:pPr>
        <w:jc w:val="both"/>
        <w:widowControl/>
        <w:ind w:left="60" w:right="45" w:hanging="15"/>
        <w:spacing w:after="45"/>
        <w:tabs>
          <w:tab w:val="left" w:pos="420"/>
        </w:tabs>
      </w:pPr>
      <w:r>
        <w:rPr>
          <w:b/>
          <w:sz w:val="22"/>
        </w:rPr>
        <w:t>4.9</w:t>
      </w:r>
      <w:r>
        <w:rPr>
          <w:sz w:val="22"/>
        </w:rPr>
        <w:tab/>
      </w:r>
      <w:r>
        <w:rPr>
          <w:sz w:val="22"/>
        </w:rPr>
        <w:t xml:space="preserve">– O custo de operacionalização e uso do sistema, ficará a cargo do licitante, que pagará a Compras BR conforme o Regulamento Operacional da Compras BR, que pode ser verificado no site  </w:t>
      </w:r>
      <w:r>
        <w:rPr>
          <w:b/>
          <w:u w:val="single" w:color="0000FF"/>
          <w:sz w:val="22"/>
        </w:rPr>
        <w:t>comprasbr.com.br</w:t>
      </w:r>
      <w:r>
        <w:rPr>
          <w:sz w:val="22"/>
        </w:rPr>
        <w:t>, a título de taxa pela utilização dos recursos de tecnologia da informação.</w:t>
      </w:r>
    </w:p>
    <w:p>
      <w:pPr>
        <w:jc w:val="both"/>
        <w:widowControl/>
        <w:ind w:left="60" w:right="45" w:hanging="15"/>
        <w:spacing w:after="45"/>
        <w:tabs>
          <w:tab w:val="left" w:pos="570"/>
        </w:tabs>
      </w:pPr>
      <w:r>
        <w:rPr>
          <w:b/>
          <w:sz w:val="22"/>
        </w:rPr>
        <w:t>4.10</w:t>
      </w:r>
      <w:r>
        <w:rPr>
          <w:sz w:val="22"/>
        </w:rPr>
        <w:tab/>
      </w:r>
      <w:r>
        <w:rPr>
          <w:sz w:val="22"/>
        </w:rPr>
        <w:t>- O Licitante arcará integralmente com todos os custos de preparação e apresentação de sua proposta de preços, independente do resultado do procedimento licitatório.</w:t>
      </w:r>
    </w:p>
    <w:p>
      <w:pPr>
        <w:jc w:val="both"/>
        <w:widowControl/>
        <w:ind w:left="60" w:right="45" w:hanging="15"/>
        <w:spacing w:after="45"/>
      </w:pPr>
      <w:r>
        <w:rPr>
          <w:rFonts w:ascii="Times New Roman" w:hAnsi="Times New Roman" w:cs="Times New Roman" w:eastAsia="Times New Roman"/>
          <w:sz w:val="22"/>
        </w:rPr>
        <w:t/>
      </w:r>
    </w:p>
    <w:p>
      <w:pPr>
        <w:jc w:val="both"/>
        <w:outlineLvl w:val="0"/>
        <w:keepLines/>
        <w:keepNext/>
        <w:widowControl/>
        <w:ind w:left="60" w:right="45" w:hanging="15"/>
        <w:spacing w:after="45"/>
        <w:shd w:val="clear" w:color="auto" w:fill="0D0D0D"/>
      </w:pPr>
      <w:r>
        <w:rPr>
          <w:b/>
          <w:sz w:val="22"/>
          <w:color w:val="FFFFFF"/>
        </w:rPr>
        <w:t>5 - CREDENCIAMENTOS NO APLICATIVO LICITAÇÕES</w:t>
      </w:r>
    </w:p>
    <w:p>
      <w:pPr>
        <w:jc w:val="both"/>
        <w:widowControl/>
        <w:ind w:left="60" w:right="45" w:hanging="15"/>
        <w:spacing w:after="45"/>
      </w:pPr>
      <w:r>
        <w:rPr>
          <w:b/>
          <w:sz w:val="22"/>
        </w:rPr>
        <w:t>5.1</w:t>
      </w:r>
      <w:r>
        <w:rPr>
          <w:sz w:val="22"/>
        </w:rPr>
        <w:t xml:space="preserve"> - As pessoas jurídicas ou firmas individuais interessadas deverão nomear operador devidamente credenciado em qualquer empresa associada à Compras BR, atribuindo poderes para formular lances de preços e praticar todos os demais atos e operações no site: </w:t>
      </w:r>
      <w:r>
        <w:rPr>
          <w:b/>
          <w:u w:val="single" w:color="0000FF"/>
          <w:sz w:val="22"/>
        </w:rPr>
        <w:t>comprasbr.com.br</w:t>
      </w:r>
      <w:r>
        <w:rPr>
          <w:rFonts w:ascii="Times New Roman" w:hAnsi="Times New Roman" w:cs="Times New Roman" w:eastAsia="Times New Roman"/>
          <w:sz w:val="22"/>
        </w:rPr>
        <w:t>.</w:t>
      </w:r>
    </w:p>
    <w:p>
      <w:pPr>
        <w:jc w:val="both"/>
        <w:widowControl/>
        <w:ind w:left="60" w:right="45" w:hanging="15"/>
        <w:spacing w:after="45"/>
      </w:pPr>
      <w:r>
        <w:rPr>
          <w:b/>
          <w:sz w:val="22"/>
        </w:rPr>
        <w:t>5.2</w:t>
      </w:r>
      <w:r>
        <w:rPr>
          <w:sz w:val="22"/>
        </w:rPr>
        <w:t xml:space="preserve"> - A participação do licitante nesta Concorrência Eletrônica se dará por meio de participação direta ou através de empresas associadas à Compras BR, a qual deverá manifestar, por meio de seu operador designado, em campo próprio do sistema, pleno conhecimento, aceitação e atendimento às exigências de habilitação previstas no Edital;</w:t>
      </w:r>
    </w:p>
    <w:p>
      <w:pPr>
        <w:jc w:val="both"/>
        <w:widowControl/>
        <w:ind w:left="60" w:right="45" w:hanging="15"/>
        <w:spacing w:after="45"/>
      </w:pPr>
      <w:r>
        <w:rPr>
          <w:b/>
          <w:sz w:val="22"/>
        </w:rPr>
        <w:t>5.3</w:t>
      </w:r>
      <w:r>
        <w:rPr>
          <w:sz w:val="22"/>
        </w:rPr>
        <w:t xml:space="preserve"> - O acesso do operador ao certame, para efeito de encaminhamento da documentação de habilitação, proposta de preços e lances sucessivos de preços, em nome do licitante, somente se dará mediante prévia definição de senha privativa;</w:t>
      </w:r>
    </w:p>
    <w:p>
      <w:pPr>
        <w:jc w:val="both"/>
        <w:widowControl/>
        <w:ind w:left="60" w:right="45" w:hanging="15"/>
        <w:spacing w:after="45"/>
      </w:pPr>
      <w:r>
        <w:rPr>
          <w:b/>
          <w:sz w:val="22"/>
        </w:rPr>
        <w:t>5.4</w:t>
      </w:r>
      <w:r>
        <w:rPr>
          <w:sz w:val="22"/>
        </w:rPr>
        <w:t xml:space="preserve"> - A chave de identificação e a senha dos operadores poderão ser utilizadas em qualquer licitação eletrônica, salvo quando canceladas por solicitação do credenciado ou por iniciativa da Compras BR;</w:t>
      </w:r>
    </w:p>
    <w:p>
      <w:pPr>
        <w:jc w:val="both"/>
        <w:widowControl/>
        <w:ind w:left="60" w:right="45" w:hanging="15"/>
        <w:spacing w:after="45"/>
      </w:pPr>
      <w:r>
        <w:rPr>
          <w:b/>
          <w:sz w:val="22"/>
        </w:rPr>
        <w:t>5.5</w:t>
      </w:r>
      <w:r>
        <w:rPr>
          <w:sz w:val="22"/>
        </w:rPr>
        <w:t xml:space="preserve"> - É de exclusiva responsabilidade do usuário o sigilo da senha, bem como seu uso em qualquer transação efetuada diretamente ou por seu representante, não cabendo a Compras BR a responsabilidade por eventuais danos decorrentes de uso indevido da senha, ainda que por terceiros;</w:t>
      </w:r>
    </w:p>
    <w:p>
      <w:pPr>
        <w:jc w:val="both"/>
        <w:widowControl/>
        <w:ind w:left="60" w:right="45" w:hanging="15"/>
        <w:spacing w:after="45"/>
      </w:pPr>
      <w:r>
        <w:rPr>
          <w:b/>
          <w:sz w:val="22"/>
        </w:rPr>
        <w:t>5.6</w:t>
      </w:r>
      <w:r>
        <w:rPr>
          <w:sz w:val="22"/>
        </w:rPr>
        <w:t xml:space="preserve"> - O credenciamento do fornecedor e de seu representante legal junto ao sistema eletrônico implica a responsabilidade legal pelos atos praticados e a presunção de capacidade técnica para realização das transações inerentes a concorrência eletrônica;</w:t>
      </w:r>
    </w:p>
    <w:p>
      <w:pPr>
        <w:jc w:val="both"/>
        <w:widowControl/>
        <w:ind w:left="60" w:right="45" w:hanging="15"/>
        <w:spacing w:after="45"/>
      </w:pPr>
      <w:r>
        <w:rPr>
          <w:b/>
          <w:sz w:val="22"/>
        </w:rPr>
        <w:t>5.7</w:t>
      </w:r>
      <w:r>
        <w:rPr>
          <w:sz w:val="22"/>
        </w:rPr>
        <w:t xml:space="preserve"> - Qualquer dúvida em relação ao acesso no sistema operacional poderá ser esclarecida através de uma empresa associada ou pelos telefones:  (67) 3303-2730 e (67) 3303-2702 ou através da Compras BR, pelo site: </w:t>
      </w:r>
      <w:r>
        <w:rPr>
          <w:b/>
          <w:u w:val="single" w:color="0000FF"/>
          <w:sz w:val="22"/>
        </w:rPr>
        <w:t>comprasbr.com.br</w:t>
      </w:r>
      <w:r>
        <w:rPr>
          <w:rFonts w:ascii="Times New Roman" w:hAnsi="Times New Roman" w:cs="Times New Roman" w:eastAsia="Times New Roman"/>
          <w:sz w:val="22"/>
        </w:rPr>
        <w:t>.</w:t>
      </w:r>
    </w:p>
    <w:p>
      <w:pPr>
        <w:jc w:val="both"/>
        <w:widowControl/>
        <w:ind w:left="60" w:right="45" w:hanging="15"/>
        <w:spacing w:after="45"/>
      </w:pPr>
      <w:r>
        <w:rPr>
          <w:rFonts w:ascii="Times New Roman" w:hAnsi="Times New Roman" w:cs="Times New Roman" w:eastAsia="Times New Roman"/>
          <w:sz w:val="22"/>
        </w:rPr>
        <w:t/>
      </w:r>
    </w:p>
    <w:p>
      <w:pPr>
        <w:jc w:val="both"/>
        <w:outlineLvl w:val="0"/>
        <w:keepLines/>
        <w:keepNext/>
        <w:widowControl/>
        <w:ind w:left="60" w:right="45" w:hanging="15"/>
        <w:spacing w:after="45"/>
        <w:shd w:val="clear" w:color="auto" w:fill="0D0D0D"/>
      </w:pPr>
      <w:r>
        <w:rPr>
          <w:b/>
          <w:sz w:val="22"/>
          <w:color w:val="FFFFFF"/>
        </w:rPr>
        <w:t>6 - DA APRESENTAÇÃO DA PROPOSTA</w:t>
      </w:r>
    </w:p>
    <w:p>
      <w:pPr>
        <w:jc w:val="both"/>
        <w:widowControl/>
        <w:ind w:left="60" w:right="45" w:hanging="15"/>
        <w:spacing w:after="45"/>
      </w:pPr>
      <w:r>
        <w:rPr>
          <w:b/>
          <w:sz w:val="22"/>
        </w:rPr>
        <w:t>6.1</w:t>
      </w:r>
      <w:r>
        <w:rPr>
          <w:sz w:val="22"/>
        </w:rPr>
        <w:t xml:space="preserve"> - A participação no certame Eletrônico ocorrerá mediante utilização da chave de identificação e de senha privativa do Licitante e subsequente encaminhamento da PROPOSTA, no valor total do item/grupo ou percentual de menor preço.</w:t>
      </w:r>
    </w:p>
    <w:p>
      <w:pPr>
        <w:jc w:val="both"/>
        <w:widowControl/>
        <w:ind w:left="60" w:right="45" w:hanging="15"/>
        <w:spacing w:after="45"/>
      </w:pPr>
      <w:r>
        <w:rPr>
          <w:b/>
          <w:sz w:val="22"/>
        </w:rPr>
        <w:t>6.2</w:t>
      </w:r>
      <w:r>
        <w:rPr>
          <w:sz w:val="22"/>
        </w:rPr>
        <w:t xml:space="preserve"> - Após a divulgação do edital, os Licitantes deverão encaminhar PROPOSTA inicial com o valor na Moeda Real ou MENOR PREÇO, mediante maior percentual de desconto, até a data e hora marcadas para a abertura da sessão, exclusivamente por meio do sistema eletrônico da Compras BR </w:t>
      </w:r>
      <w:r>
        <w:rPr>
          <w:b/>
          <w:u w:val="single" w:color="0000FF"/>
          <w:sz w:val="22"/>
        </w:rPr>
        <w:t>comprasbr.com.br</w:t>
      </w:r>
      <w:r>
        <w:rPr>
          <w:u w:val="single" w:color="0000FF"/>
          <w:sz w:val="22"/>
        </w:rPr>
        <w:t xml:space="preserve"> </w:t>
      </w:r>
      <w:r>
        <w:rPr>
          <w:sz w:val="22"/>
        </w:rPr>
        <w:t>- quando, então, encerrar-se-á, automaticamente, a fase de recebimento de propostas.</w:t>
      </w:r>
    </w:p>
    <w:p>
      <w:pPr>
        <w:jc w:val="both"/>
        <w:widowControl/>
        <w:ind w:left="60" w:right="45" w:hanging="15"/>
        <w:spacing w:after="45"/>
      </w:pPr>
      <w:r>
        <w:rPr>
          <w:b/>
          <w:sz w:val="22"/>
        </w:rPr>
        <w:t>6.3</w:t>
      </w:r>
      <w:r>
        <w:rPr>
          <w:sz w:val="22"/>
        </w:rPr>
        <w:t xml:space="preserve"> - A licitante se responsabilizará por todas as transações que forem efetuadas em seu nome no sistema eletrônico, assumindo como firmes e verdadeiras suas propostas, assim como os lances inseridos durante a sessão pública.</w:t>
      </w:r>
    </w:p>
    <w:p>
      <w:pPr>
        <w:jc w:val="both"/>
        <w:widowControl/>
        <w:ind w:left="60" w:right="45" w:hanging="15"/>
        <w:spacing w:after="45"/>
      </w:pPr>
      <w:r>
        <w:rPr>
          <w:b/>
          <w:sz w:val="22"/>
        </w:rPr>
        <w:t>6.4</w:t>
      </w:r>
      <w:r>
        <w:rPr>
          <w:sz w:val="22"/>
        </w:rPr>
        <w:t xml:space="preserve"> - Incumbirá, à licitante, acompanhar as operações no sistema eletrônico durante a sessão pública da concorrência eletrônica, ficando responsável pelo ônus decorrente da perda de negócios diante da inobservância de qualquer mensagem emitida pelo+ sistema ou de sua desconexão.</w:t>
      </w:r>
    </w:p>
    <w:p>
      <w:pPr>
        <w:jc w:val="both"/>
        <w:widowControl/>
        <w:ind w:left="60" w:right="45" w:hanging="15"/>
        <w:spacing w:after="45"/>
      </w:pPr>
      <w:r>
        <w:rPr>
          <w:b/>
          <w:sz w:val="22"/>
        </w:rPr>
        <w:t>6.5</w:t>
      </w:r>
      <w:r>
        <w:rPr>
          <w:sz w:val="22"/>
        </w:rPr>
        <w:t xml:space="preserve"> - Os itens das propostas que eventualmente contemplem objeto que não corresponda às especificações contidas no ANEXO I deste Edital serão desconsiderados.</w:t>
      </w:r>
    </w:p>
    <w:p>
      <w:pPr>
        <w:jc w:val="both"/>
        <w:widowControl/>
        <w:ind w:left="60" w:right="45" w:hanging="15"/>
        <w:spacing w:after="45"/>
      </w:pPr>
      <w:r>
        <w:rPr>
          <w:b/>
          <w:sz w:val="22"/>
        </w:rPr>
        <w:t>6.6</w:t>
      </w:r>
      <w:r>
        <w:rPr>
          <w:sz w:val="22"/>
        </w:rPr>
        <w:t xml:space="preserve"> - Nas propostas, serão consideradas obrigatoriamente:</w:t>
      </w:r>
    </w:p>
    <w:p>
      <w:pPr>
        <w:jc w:val="both"/>
        <w:widowControl/>
        <w:ind w:right="45"/>
        <w:spacing w:after="45"/>
        <w:numPr>
          <w:ilvl w:val="0"/>
          <w:numId w:val="35"/>
        </w:numPr>
      </w:pPr>
      <w:r/>
      <w:r>
        <w:rPr>
          <w:sz w:val="22"/>
        </w:rPr>
        <w:t>Preço unitário de cada item, objeto licitado, de acordo com os preços praticados no mercado, conforme estabelece o art. 12, inciso II, da Lei Federal nº 14.133/21 em moeda corrente nacional, em algarismo com no máximo duas casas decimais;</w:t>
      </w:r>
    </w:p>
    <w:p>
      <w:pPr>
        <w:jc w:val="both"/>
        <w:widowControl/>
        <w:ind w:right="45"/>
        <w:spacing w:after="45"/>
        <w:numPr>
          <w:ilvl w:val="0"/>
          <w:numId w:val="35"/>
        </w:numPr>
      </w:pPr>
      <w:r/>
      <w:r>
        <w:rPr>
          <w:sz w:val="22"/>
        </w:rPr>
        <w:t>Marca e especificações detalhadas dos objetos ofertados, no que couber.</w:t>
      </w:r>
    </w:p>
    <w:p>
      <w:pPr>
        <w:jc w:val="both"/>
        <w:widowControl/>
        <w:ind w:right="45"/>
        <w:spacing w:after="45"/>
        <w:numPr>
          <w:ilvl w:val="0"/>
          <w:numId w:val="35"/>
        </w:numPr>
      </w:pPr>
      <w:r/>
      <w:r>
        <w:rPr>
          <w:sz w:val="22"/>
        </w:rPr>
        <w:t>Inclusão de todas as despesas que influem nos custos, tais como: transporte, seguro e frete, tributos (impostos, taxas, emolumentos, contribuições fiscais e parafiscais), obrigações sociais, trabalhistas, encargos comerciais ou de qualquer natureza e todos os ônus diretos e indiretos;</w:t>
      </w:r>
    </w:p>
    <w:p>
      <w:pPr>
        <w:jc w:val="both"/>
        <w:widowControl/>
        <w:ind w:right="45"/>
        <w:spacing w:after="45"/>
        <w:numPr>
          <w:ilvl w:val="0"/>
          <w:numId w:val="35"/>
        </w:numPr>
      </w:pPr>
      <w:r/>
      <w:r>
        <w:rPr>
          <w:sz w:val="22"/>
        </w:rPr>
        <w:t>Prazo de validade da proposta de, no mínimo, 60 (sessenta) dias, a contar da data da sessão desta concorrência eletrônica;</w:t>
      </w:r>
    </w:p>
    <w:p>
      <w:pPr>
        <w:jc w:val="both"/>
        <w:widowControl/>
        <w:ind w:left="60" w:right="45" w:hanging="15"/>
        <w:spacing w:after="45"/>
        <w:tabs>
          <w:tab w:val="left" w:pos="420"/>
        </w:tabs>
      </w:pPr>
      <w:r>
        <w:rPr>
          <w:b/>
          <w:sz w:val="22"/>
        </w:rPr>
        <w:t>6.7</w:t>
      </w:r>
      <w:r>
        <w:rPr>
          <w:sz w:val="22"/>
        </w:rPr>
        <w:tab/>
      </w:r>
      <w:r>
        <w:rPr>
          <w:sz w:val="22"/>
        </w:rPr>
        <w:t>- Poderão ser admitidos pelo Agente de Contratação e ou equipe de apoio, erros de natureza formal, desde que não comprometam o interesse público e da Administração.</w:t>
      </w:r>
    </w:p>
    <w:p>
      <w:pPr>
        <w:jc w:val="both"/>
        <w:widowControl/>
        <w:ind w:left="60" w:right="45" w:hanging="15"/>
        <w:spacing w:after="45"/>
        <w:tabs>
          <w:tab w:val="left" w:pos="420"/>
        </w:tabs>
      </w:pPr>
      <w:r>
        <w:rPr>
          <w:b/>
          <w:sz w:val="22"/>
        </w:rPr>
        <w:t>6.8</w:t>
      </w:r>
      <w:r>
        <w:rPr>
          <w:sz w:val="22"/>
        </w:rPr>
        <w:tab/>
      </w:r>
      <w:r>
        <w:rPr>
          <w:sz w:val="22"/>
        </w:rPr>
        <w:t>- A apresentação da proposta implicará plena aceitação, por parte do proponente das condições estabelecidas neste Edital e seus anexos, implicando na plena aceitação destas pelo proponente.</w:t>
      </w:r>
    </w:p>
    <w:p>
      <w:pPr>
        <w:jc w:val="both"/>
        <w:widowControl/>
        <w:ind w:left="60" w:right="45" w:hanging="15"/>
        <w:spacing w:after="45"/>
        <w:tabs>
          <w:tab w:val="left" w:pos="420"/>
        </w:tabs>
      </w:pPr>
      <w:r>
        <w:rPr>
          <w:b/>
          <w:sz w:val="22"/>
        </w:rPr>
        <w:t>6.9</w:t>
      </w:r>
      <w:r>
        <w:rPr>
          <w:sz w:val="22"/>
        </w:rPr>
        <w:tab/>
      </w:r>
      <w:r>
        <w:rPr>
          <w:sz w:val="22"/>
        </w:rPr>
        <w:t>- Serão desclassificadas as propostas que não atenderem as exigências do presente edital e seus anexos, que forem omissas ou apresentarem irregularidades insanáveis.</w:t>
      </w:r>
    </w:p>
    <w:p>
      <w:pPr>
        <w:jc w:val="both"/>
        <w:widowControl/>
        <w:ind w:left="60" w:right="45" w:hanging="15"/>
        <w:spacing w:after="45"/>
        <w:tabs>
          <w:tab w:val="left" w:pos="570"/>
        </w:tabs>
      </w:pPr>
      <w:r>
        <w:rPr>
          <w:b/>
          <w:sz w:val="22"/>
        </w:rPr>
        <w:t>6.10</w:t>
      </w:r>
      <w:r>
        <w:rPr>
          <w:sz w:val="22"/>
        </w:rPr>
        <w:tab/>
      </w:r>
      <w:r>
        <w:rPr>
          <w:sz w:val="22"/>
        </w:rPr>
        <w:t>- O menor preço proposto será de exclusiva responsabilidade do Licitante, não lhe assistindo o direito de pleitear qualquer alteração do mesmo, sob a alegação de erro, omissão ou qualquer outro pretexto.</w:t>
      </w:r>
    </w:p>
    <w:p>
      <w:pPr>
        <w:jc w:val="both"/>
        <w:widowControl/>
        <w:ind w:left="60" w:right="45" w:hanging="15"/>
        <w:spacing w:after="45"/>
        <w:tabs>
          <w:tab w:val="left" w:pos="570"/>
        </w:tabs>
      </w:pPr>
      <w:r>
        <w:rPr>
          <w:b/>
          <w:sz w:val="22"/>
        </w:rPr>
        <w:t>6.11</w:t>
      </w:r>
      <w:r>
        <w:rPr>
          <w:sz w:val="22"/>
        </w:rPr>
        <w:tab/>
      </w:r>
      <w:r>
        <w:rPr>
          <w:sz w:val="22"/>
        </w:rPr>
        <w:t>- A omissão de qualquer despesa necessária ao perfeito cumprimento do objeto deste certame será interpretada como não existente ou já incluída no preço, não podendo o Licitante pleitear acréscimo após a abertura da sessão pública.</w:t>
      </w:r>
    </w:p>
    <w:p>
      <w:pPr>
        <w:jc w:val="both"/>
        <w:widowControl/>
        <w:ind w:left="510" w:right="45" w:hanging="465"/>
        <w:spacing w:after="45"/>
        <w:tabs>
          <w:tab w:val="left" w:pos="420"/>
        </w:tabs>
      </w:pPr>
      <w:r>
        <w:rPr>
          <w:b/>
          <w:sz w:val="22"/>
        </w:rPr>
        <w:t>6.12</w:t>
      </w:r>
      <w:r>
        <w:rPr>
          <w:sz w:val="22"/>
        </w:rPr>
        <w:tab/>
      </w:r>
      <w:r>
        <w:rPr>
          <w:sz w:val="22"/>
        </w:rPr>
        <w:t>- A proposta da licitante deverá considerar a tributação que efetivamente incidirá durante a execução do contrato.</w:t>
      </w:r>
    </w:p>
    <w:p>
      <w:pPr>
        <w:jc w:val="both"/>
        <w:widowControl/>
        <w:ind w:left="510" w:right="45" w:hanging="465"/>
        <w:spacing w:after="45"/>
        <w:tabs>
          <w:tab w:val="left" w:pos="420"/>
        </w:tabs>
      </w:pPr>
      <w:r>
        <w:rPr>
          <w:b/>
          <w:sz w:val="22"/>
        </w:rPr>
        <w:t>6.13</w:t>
      </w:r>
      <w:r>
        <w:rPr>
          <w:sz w:val="22"/>
        </w:rPr>
        <w:tab/>
      </w:r>
      <w:r>
        <w:rPr>
          <w:sz w:val="22"/>
        </w:rPr>
        <w:t>- Qualquer elemento que possa identificar o Licitante importará na desclassificação da proposta, sem prejuízo das sanções previstas neste Edital.</w:t>
      </w:r>
    </w:p>
    <w:p>
      <w:pPr>
        <w:jc w:val="both"/>
        <w:widowControl/>
        <w:ind w:left="510" w:right="45" w:hanging="465"/>
        <w:spacing w:after="45"/>
      </w:pPr>
      <w:r>
        <w:rPr>
          <w:b/>
          <w:sz w:val="22"/>
        </w:rPr>
        <w:t>6.14</w:t>
      </w:r>
      <w:r>
        <w:rPr>
          <w:sz w:val="22"/>
        </w:rPr>
        <w:tab/>
      </w:r>
      <w:r>
        <w:rPr>
          <w:sz w:val="22"/>
        </w:rPr>
        <w:t>- As propostas e eventuais anexos ficarão disponíveis no sistema eletrônico.</w:t>
      </w:r>
    </w:p>
    <w:p>
      <w:pPr>
        <w:jc w:val="both"/>
        <w:widowControl/>
        <w:ind w:left="510" w:right="45" w:hanging="465"/>
        <w:spacing w:after="45"/>
      </w:pPr>
      <w:r>
        <w:rPr>
          <w:sz w:val="22"/>
          <w:color w:val="FFFFFF"/>
        </w:rPr>
        <w:t/>
      </w:r>
    </w:p>
    <w:p>
      <w:pPr>
        <w:jc w:val="both"/>
        <w:outlineLvl w:val="0"/>
        <w:keepLines/>
        <w:keepNext/>
        <w:widowControl/>
        <w:ind w:left="60" w:right="45" w:hanging="15"/>
        <w:spacing w:after="45"/>
        <w:shd w:val="clear" w:color="auto" w:fill="0D0D0D"/>
      </w:pPr>
      <w:r>
        <w:rPr>
          <w:b/>
          <w:sz w:val="22"/>
          <w:color w:val="FFFFFF"/>
        </w:rPr>
        <w:t>7 - DA ABERTURA DA SESSÃO, CLASSIFICAÇÃO DAS PROPOSTAS E FORMULAÇÃO DE LANCES</w:t>
      </w:r>
    </w:p>
    <w:p>
      <w:pPr>
        <w:jc w:val="both"/>
        <w:widowControl/>
        <w:ind w:left="60" w:right="45" w:hanging="15"/>
        <w:spacing w:after="45"/>
      </w:pPr>
      <w:r>
        <w:rPr>
          <w:b/>
          <w:sz w:val="22"/>
        </w:rPr>
        <w:t>7.1</w:t>
      </w:r>
      <w:r>
        <w:rPr>
          <w:sz w:val="22"/>
        </w:rPr>
        <w:t xml:space="preserve"> - O Agente de Contratação e ou equipe de apoio, via sistema eletrônico, dará início à Sessão Pública, na data e horário previstos neste Edital, com a divulgação da melhor proposta para o item licitado.</w:t>
      </w:r>
    </w:p>
    <w:p>
      <w:pPr>
        <w:jc w:val="both"/>
        <w:widowControl/>
        <w:ind w:left="60" w:right="45" w:hanging="15"/>
        <w:spacing w:after="45"/>
      </w:pPr>
      <w:r>
        <w:rPr>
          <w:b/>
          <w:sz w:val="22"/>
        </w:rPr>
        <w:t>7.2</w:t>
      </w:r>
      <w:r>
        <w:rPr>
          <w:sz w:val="22"/>
        </w:rPr>
        <w:t xml:space="preserve"> - Aberta a etapa competitiva, os Licitantes classificados poderão encaminhar lances públicos, sucessivos e com menor preço, exclusivamente por meio do sistema eletrônico, sendo imediatamente informados do horário e percentual consignados no registro de cada lance.</w:t>
      </w:r>
    </w:p>
    <w:p>
      <w:pPr>
        <w:jc w:val="both"/>
        <w:widowControl/>
        <w:ind w:left="60" w:right="45" w:hanging="15"/>
        <w:spacing w:after="45"/>
      </w:pPr>
      <w:r>
        <w:rPr>
          <w:b/>
          <w:sz w:val="22"/>
        </w:rPr>
        <w:t>7.3</w:t>
      </w:r>
      <w:r>
        <w:rPr>
          <w:sz w:val="22"/>
        </w:rPr>
        <w:t xml:space="preserve"> - Durante o transcurso da sessão, os Licitantes terão informações, em tempo real, do valor de menor preço registrado, mantendo-se em sigilo a identificação do ofertante.</w:t>
      </w:r>
    </w:p>
    <w:p>
      <w:pPr>
        <w:widowControl/>
        <w:ind w:left="60"/>
        <w:spacing w:after="45"/>
      </w:pPr>
      <w:r>
        <w:rPr>
          <w:b/>
          <w:sz w:val="22"/>
        </w:rPr>
        <w:t>7.4</w:t>
      </w:r>
      <w:r>
        <w:rPr>
          <w:sz w:val="22"/>
        </w:rPr>
        <w:t xml:space="preserve"> - Será permitido aos Licitantes a apresentação de lances intermediários durante a disputa. Serão considerados intermediários os lances cujos descontos percentuais forem iguais ou superiores ao menor ofertado, mas inferiores ao último lance dado pelo próprio licitante, e registrado no sistema eletrônico pela própria Licitante.</w:t>
      </w:r>
    </w:p>
    <w:p>
      <w:pPr>
        <w:jc w:val="both"/>
        <w:widowControl/>
        <w:ind w:left="60" w:right="45" w:hanging="15"/>
        <w:spacing w:after="45"/>
      </w:pPr>
      <w:r>
        <w:rPr>
          <w:b/>
          <w:sz w:val="22"/>
        </w:rPr>
        <w:t>7.5</w:t>
      </w:r>
      <w:r>
        <w:rPr>
          <w:sz w:val="22"/>
        </w:rPr>
        <w:t xml:space="preserve"> - Não poderá haver desistência dos lances ofertados após a abertura da seção, sujeitando-se a Licitante desistente às sanções previstas neste Edital.</w:t>
      </w:r>
    </w:p>
    <w:p>
      <w:pPr>
        <w:jc w:val="both"/>
        <w:widowControl/>
        <w:ind w:left="60" w:right="45" w:hanging="15"/>
        <w:spacing w:after="45"/>
      </w:pPr>
      <w:r>
        <w:rPr>
          <w:b/>
          <w:sz w:val="22"/>
        </w:rPr>
        <w:t>7.6</w:t>
      </w:r>
      <w:r>
        <w:rPr>
          <w:sz w:val="22"/>
        </w:rPr>
        <w:t xml:space="preserve"> - Durante a fase de lances, o Agente de Contratação e ou equipe de apoio poderá excluir, justificadamente, lance cujo valor seja manifestamente inexequível.</w:t>
      </w:r>
    </w:p>
    <w:p>
      <w:pPr>
        <w:jc w:val="both"/>
        <w:widowControl/>
        <w:ind w:left="420" w:right="45" w:hanging="15"/>
        <w:spacing w:after="45"/>
      </w:pPr>
      <w:r>
        <w:rPr>
          <w:b/>
          <w:sz w:val="22"/>
        </w:rPr>
        <w:t>7.6.1 - O LANCE DEVERÁ SER OFERTADO PELO VALOR GLOBAL.</w:t>
      </w:r>
    </w:p>
    <w:p>
      <w:pPr>
        <w:jc w:val="both"/>
        <w:widowControl/>
        <w:ind w:left="60" w:right="45" w:hanging="15"/>
        <w:spacing w:after="45"/>
      </w:pPr>
      <w:r>
        <w:rPr>
          <w:b/>
          <w:sz w:val="22"/>
        </w:rPr>
        <w:t>7.7</w:t>
      </w:r>
      <w:r>
        <w:rPr>
          <w:sz w:val="22"/>
        </w:rPr>
        <w:t xml:space="preserve"> - Fica previsto o intervalo mínimo de diferença de valor de</w:t>
      </w:r>
      <w:r>
        <w:rPr>
          <w:b/>
          <w:sz w:val="22"/>
        </w:rPr>
        <w:t xml:space="preserve"> </w:t>
      </w:r>
      <w:r>
        <w:rPr>
          <w:b/>
          <w:u w:val="single"/>
          <w:sz w:val="22"/>
        </w:rPr>
        <w:t>R$ 100,00 (cem reais)</w:t>
      </w:r>
      <w:r>
        <w:rPr>
          <w:b/>
          <w:sz w:val="22"/>
          <w:color w:val="FF0000"/>
        </w:rPr>
        <w:t xml:space="preserve"> </w:t>
      </w:r>
      <w:r>
        <w:rPr>
          <w:sz w:val="22"/>
        </w:rPr>
        <w:t>entre os lances, que incidirá tanto em relação aos lances intermediários quanto em relação ao lance que cobrir a melhor oferta, podendo ser alterado pelo agente de contratação ou equipe de apoio.</w:t>
      </w:r>
    </w:p>
    <w:p>
      <w:pPr>
        <w:jc w:val="both"/>
        <w:widowControl/>
        <w:ind w:left="60" w:right="45" w:hanging="15"/>
        <w:spacing w:after="45"/>
      </w:pPr>
      <w:r>
        <w:rPr>
          <w:b/>
          <w:sz w:val="22"/>
        </w:rPr>
        <w:t>7.8</w:t>
      </w:r>
      <w:r>
        <w:rPr>
          <w:sz w:val="22"/>
        </w:rPr>
        <w:t xml:space="preserve"> - Será adotado para o envio de lances na presente Concorrência Eletrônica o MODO DE DISPUTA “ABERTO”, onde os licitantes apresentarão lances públicos e sucessivos, com prorrogações, conforme o critério de julgamento adotado neste edital.</w:t>
      </w:r>
    </w:p>
    <w:p>
      <w:pPr>
        <w:jc w:val="both"/>
        <w:widowControl/>
        <w:ind w:left="420" w:right="45" w:hanging="15"/>
        <w:spacing w:after="45"/>
      </w:pPr>
      <w:r>
        <w:rPr>
          <w:sz w:val="22"/>
        </w:rPr>
        <w:t>7.8.1 - Neste modo de disputa, a etapa de envio de lances na sessão pública durará dez minutos e, após isso, será prorrogada automaticamente pelo sistema quando houver lance ofertado nos últimos dois minutos do período de duração da sessão pública.</w:t>
      </w:r>
    </w:p>
    <w:p>
      <w:pPr>
        <w:jc w:val="both"/>
        <w:widowControl/>
        <w:ind w:left="420" w:right="45" w:hanging="15"/>
        <w:spacing w:after="45"/>
      </w:pPr>
      <w:r>
        <w:rPr>
          <w:sz w:val="22"/>
        </w:rPr>
        <w:t>7.8.2 - A prorrogação automática da etapa de envio de lances, de que trata o item anterior será de dois minutos e ocorrerá sucessivamente sempre que houver lances enviados nesse período de prorrogação, inclusive quando se tratar de lances intermediários.</w:t>
      </w:r>
    </w:p>
    <w:p>
      <w:pPr>
        <w:jc w:val="both"/>
        <w:widowControl/>
        <w:ind w:left="420" w:right="45" w:hanging="15"/>
        <w:spacing w:after="45"/>
      </w:pPr>
      <w:r>
        <w:rPr>
          <w:sz w:val="22"/>
        </w:rPr>
        <w:t>7.8.3 - Na hipótese de não haver novos lances na forma estabelecida neste edital, a sessão pública será encerrada automaticamente.</w:t>
      </w:r>
    </w:p>
    <w:p>
      <w:pPr>
        <w:jc w:val="both"/>
        <w:widowControl/>
        <w:ind w:left="60" w:right="45" w:hanging="15"/>
        <w:spacing w:after="45"/>
      </w:pPr>
      <w:r>
        <w:rPr>
          <w:b/>
          <w:sz w:val="22"/>
        </w:rPr>
        <w:t>7.9</w:t>
      </w:r>
      <w:r>
        <w:rPr>
          <w:sz w:val="22"/>
        </w:rPr>
        <w:t xml:space="preserve"> - No caso de desconexão com o Agente de Contratação e ou equipe de apoio, no decorrer da etapa competitiva da Concorrência Eletrônica, o sistema eletrônico poderá permanecer acessível às licitantes, para a recepção dos lances, retornando o Agente de Contratação e ou equipe de apoio, quando possível, sua atuação no certame, sem prejuízo dos atos realizados.</w:t>
      </w:r>
    </w:p>
    <w:p>
      <w:pPr>
        <w:jc w:val="both"/>
        <w:widowControl/>
        <w:ind w:left="60" w:right="45" w:hanging="15"/>
        <w:spacing w:after="45"/>
      </w:pPr>
      <w:r>
        <w:rPr>
          <w:b/>
          <w:sz w:val="22"/>
        </w:rPr>
        <w:t>7.10</w:t>
      </w:r>
      <w:r>
        <w:rPr>
          <w:sz w:val="22"/>
        </w:rPr>
        <w:t xml:space="preserve"> - Quando a desconexão persistir por tempo superior a 10 (dez) minutos, a sessão da Concorrência Eletrônica será suspensa e terá reinício somente após comunicação expressa aos participantes, através de mensagem eletrônica diretamente no Portal Eletrônico da Compras BR, através do endereço </w:t>
      </w:r>
      <w:hyperlink r:id="hrId3">
        <w:r>
          <w:rPr>
            <w:sz w:val="22"/>
          </w:rPr>
          <w:t>https://comprasbr.com/</w:t>
        </w:r>
      </w:hyperlink>
      <w:r>
        <w:rPr>
          <w:sz w:val="22"/>
        </w:rPr>
        <w:t>, divulgando data e hora da reabertura da sessão.</w:t>
      </w:r>
    </w:p>
    <w:p>
      <w:pPr>
        <w:jc w:val="both"/>
        <w:widowControl/>
        <w:ind w:left="60" w:right="45" w:hanging="15"/>
        <w:spacing w:after="45"/>
      </w:pPr>
      <w:r>
        <w:rPr>
          <w:b/>
          <w:sz w:val="22"/>
        </w:rPr>
        <w:t>7.11</w:t>
      </w:r>
      <w:r>
        <w:rPr>
          <w:sz w:val="22"/>
        </w:rPr>
        <w:t xml:space="preserve"> - O Critério de julgamento adotado será o menor preço, conforme definido neste Edital e seus anexos.</w:t>
      </w:r>
    </w:p>
    <w:p>
      <w:pPr>
        <w:jc w:val="both"/>
        <w:widowControl/>
        <w:ind w:left="60" w:right="45" w:hanging="15"/>
        <w:spacing w:after="45"/>
      </w:pPr>
      <w:r>
        <w:rPr>
          <w:b/>
          <w:sz w:val="22"/>
        </w:rPr>
        <w:t>7.12</w:t>
      </w:r>
      <w:r>
        <w:rPr>
          <w:sz w:val="22"/>
        </w:rPr>
        <w:t xml:space="preserve"> - Caso o licitante não apresente lances, concorrerá com o valor de sua proposta.</w:t>
      </w:r>
    </w:p>
    <w:p>
      <w:pPr>
        <w:jc w:val="both"/>
        <w:widowControl/>
        <w:ind w:left="60" w:right="45" w:hanging="15"/>
        <w:spacing w:after="45"/>
      </w:pPr>
      <w:r>
        <w:rPr>
          <w:b/>
          <w:sz w:val="22"/>
        </w:rPr>
        <w:t>7.13</w:t>
      </w:r>
      <w:r>
        <w:rPr>
          <w:sz w:val="22"/>
        </w:rPr>
        <w:t xml:space="preserve"> – O valor de sua proposta será o valor inicial ofertado.</w:t>
      </w:r>
    </w:p>
    <w:p>
      <w:pPr>
        <w:jc w:val="both"/>
        <w:widowControl/>
        <w:ind w:left="60" w:right="45" w:hanging="15"/>
        <w:spacing w:after="45"/>
      </w:pPr>
      <w:r>
        <w:rPr>
          <w:b/>
          <w:sz w:val="22"/>
        </w:rPr>
        <w:t>7.14</w:t>
      </w:r>
      <w:r>
        <w:rPr>
          <w:sz w:val="22"/>
        </w:rPr>
        <w:t xml:space="preserve"> – No caso em que a sessão pública se encerrar sem prorrogação automática pelo sistema, o Agente de</w:t>
      </w:r>
    </w:p>
    <w:p>
      <w:pPr>
        <w:jc w:val="both"/>
        <w:widowControl/>
        <w:ind w:left="60" w:right="45" w:hanging="15"/>
        <w:spacing w:after="45"/>
      </w:pPr>
      <w:r>
        <w:rPr>
          <w:sz w:val="22"/>
        </w:rPr>
        <w:t>Contratação poderá, assessorado pela equipe de apoio, admitir o reinício da etapa de envio de lances, em prol da consecução do melhor preço, mediante justificativa.</w:t>
      </w:r>
    </w:p>
    <w:p>
      <w:pPr>
        <w:jc w:val="both"/>
        <w:widowControl/>
        <w:ind w:left="60" w:right="45" w:hanging="15"/>
        <w:spacing w:after="45"/>
      </w:pPr>
      <w:r>
        <w:rPr>
          <w:b/>
          <w:sz w:val="22"/>
        </w:rPr>
        <w:t>7.15</w:t>
      </w:r>
      <w:r>
        <w:rPr>
          <w:sz w:val="22"/>
        </w:rPr>
        <w:t xml:space="preserve"> - Após o encerramento da etapa de lances, e não tendo sido a menor proposta ou lance apresentado por microempresa ou empresa de pequeno porte, caso se verifique a ocorrência de empate, será assegurado como critério de desempate, preferência de contratação para as microempresas e empresas de pequeno porte, conforme Lei Complementar nº 123/06;</w:t>
      </w:r>
    </w:p>
    <w:p>
      <w:pPr>
        <w:jc w:val="both"/>
        <w:widowControl/>
        <w:ind w:left="570" w:right="45" w:hanging="15"/>
        <w:spacing w:after="45"/>
      </w:pPr>
      <w:r>
        <w:rPr>
          <w:sz w:val="22"/>
        </w:rPr>
        <w:t>7.15.1 - Entende-se por empate, nos termos da LC 123/06, aquelas situações em que as propostas ou lances apresentados pelas ME e EPP sejam iguais ou até 10% (dez por cento) superiores à proposta ou lance melhor classificado durante a etapa de lances;</w:t>
      </w:r>
    </w:p>
    <w:p>
      <w:pPr>
        <w:jc w:val="both"/>
        <w:widowControl/>
        <w:ind w:left="570" w:right="45" w:hanging="15"/>
        <w:spacing w:after="45"/>
      </w:pPr>
      <w:r>
        <w:rPr>
          <w:sz w:val="22"/>
        </w:rPr>
        <w:t>7.15.2. Na ocorrência de empate, proceder-se-á da seguinte forma:</w:t>
      </w:r>
    </w:p>
    <w:p>
      <w:pPr>
        <w:jc w:val="both"/>
        <w:widowControl/>
        <w:ind w:right="45"/>
        <w:spacing w:after="45"/>
        <w:numPr>
          <w:ilvl w:val="0"/>
          <w:numId w:val="83"/>
        </w:numPr>
      </w:pPr>
      <w:r/>
      <w:r>
        <w:rPr>
          <w:sz w:val="22"/>
        </w:rPr>
        <w:t xml:space="preserve"> A  ME ou EPP melhor classificada no intervalo percentual de até 10% (dez por cento), definido nos termos deste subitem, será convocada automaticamente pelo sistema eletrônico para, desejando, apresentar nova proposta de preço inferior àquela classificada com o menor preço ou lance, no prazo máximo de 05 (cinco) minutos após o encerramento dos lances, sob pena de preclusão. É de responsabilidade da licitante a sua conexão com o sistema eletrônico durante o prazo acima referido para o exercício do direito sob comento. Apresentada a proposta nas condições acima referidas, será analisada sua documentação de habilitação;</w:t>
      </w:r>
    </w:p>
    <w:p>
      <w:pPr>
        <w:jc w:val="both"/>
        <w:widowControl/>
        <w:ind w:right="45"/>
        <w:spacing w:after="45"/>
        <w:numPr>
          <w:ilvl w:val="0"/>
          <w:numId w:val="83"/>
        </w:numPr>
      </w:pPr>
      <w:r/>
      <w:r>
        <w:rPr>
          <w:sz w:val="22"/>
        </w:rPr>
        <w:t xml:space="preserve"> Não sendo declarada vencedora a ME ou EPP, na forma da alínea anterior, serão convocadas automaticamente pelo sistema eletrônico as remanescentes que porventura se enquadrem na hipótese do subitem 7.15.1, na ordem classificatória, com vistas ao exercício do mesmo direito;</w:t>
      </w:r>
    </w:p>
    <w:p>
      <w:pPr>
        <w:jc w:val="both"/>
        <w:widowControl/>
        <w:ind w:left="1140" w:right="45" w:hanging="15"/>
        <w:spacing w:after="45"/>
      </w:pPr>
      <w:r>
        <w:rPr>
          <w:sz w:val="22"/>
        </w:rPr>
        <w:t>c) No caso de equivalência dos valores apresentados por ME ou EPP que se encontrem no intervalo estabelecido no subitem 7.15.1, será realizado sorteio eletrônico entre as mesmas, pelo próprio sistema, definindo e convocando automaticamente a vencedora para, caso queira, encaminhar uma melhor proposta.</w:t>
      </w:r>
    </w:p>
    <w:p>
      <w:pPr>
        <w:jc w:val="both"/>
        <w:widowControl/>
        <w:ind w:left="60" w:right="45" w:hanging="15"/>
        <w:spacing w:after="45"/>
      </w:pPr>
      <w:r>
        <w:rPr>
          <w:b/>
          <w:sz w:val="22"/>
        </w:rPr>
        <w:t>7.16</w:t>
      </w:r>
      <w:r>
        <w:rPr>
          <w:sz w:val="22"/>
        </w:rPr>
        <w:t xml:space="preserve"> - Na hipótese da não contratação de Micro Empresa ou Empresa de Pequeno Porte, o objeto licitado será adjudicado em favor da proposta originalmente vencedora do certame, após a negociação do preço ofertado para que seja obtido preço melhor.</w:t>
      </w:r>
    </w:p>
    <w:p>
      <w:pPr>
        <w:jc w:val="both"/>
        <w:widowControl/>
        <w:ind w:left="60" w:right="45" w:hanging="15"/>
        <w:spacing w:after="45"/>
      </w:pPr>
      <w:r>
        <w:rPr>
          <w:b/>
          <w:sz w:val="22"/>
        </w:rPr>
        <w:t>7.17</w:t>
      </w:r>
      <w:r>
        <w:rPr>
          <w:sz w:val="22"/>
        </w:rPr>
        <w:t xml:space="preserve"> - Após o encerramento da etapa de lances, o Agente de Contratação poderá encaminhar, pelo sistema eletrônico, contraproposta diretamente à licitante que tenha apresentado o lance mais vantajoso, para que seja obtida melhor proposta, observado o critério de julgamento, não se admitindo negociar condições diferentes daquelas previstas neste Edital;</w:t>
      </w:r>
    </w:p>
    <w:p>
      <w:pPr>
        <w:jc w:val="both"/>
        <w:widowControl/>
        <w:ind w:left="570" w:right="45" w:hanging="15"/>
        <w:spacing w:after="45"/>
      </w:pPr>
      <w:r>
        <w:rPr>
          <w:sz w:val="22"/>
        </w:rPr>
        <w:t>7.17.1 - Também nas hipóteses em que o Agente de Contratação não aceitar a proposta e passar à subsequente, poderá negociar com o licitante para que seja obtido preço melhor.</w:t>
      </w:r>
    </w:p>
    <w:p>
      <w:pPr>
        <w:jc w:val="both"/>
        <w:widowControl/>
        <w:ind w:left="60" w:right="45" w:hanging="15"/>
        <w:spacing w:after="45"/>
      </w:pPr>
      <w:r>
        <w:rPr>
          <w:b/>
          <w:sz w:val="22"/>
        </w:rPr>
        <w:t>7.18</w:t>
      </w:r>
      <w:r>
        <w:rPr>
          <w:sz w:val="22"/>
        </w:rPr>
        <w:t xml:space="preserve"> - A negociação será realizada por meio do sistema, podendo ser acompanhada pelos demais licitantes.</w:t>
      </w:r>
    </w:p>
    <w:p>
      <w:pPr>
        <w:jc w:val="both"/>
        <w:widowControl/>
        <w:ind w:left="60" w:right="45" w:hanging="15"/>
        <w:spacing w:after="45"/>
      </w:pPr>
      <w:r>
        <w:rPr>
          <w:b/>
          <w:sz w:val="22"/>
        </w:rPr>
        <w:t>7.19</w:t>
      </w:r>
      <w:r>
        <w:rPr>
          <w:sz w:val="22"/>
        </w:rPr>
        <w:t xml:space="preserve"> - É vedada a desistência dos lances já ofertados sujeitando-se o proponente às sanções previstas nas leis pertinentes.</w:t>
      </w:r>
    </w:p>
    <w:p>
      <w:pPr>
        <w:jc w:val="both"/>
        <w:widowControl/>
        <w:ind w:left="60" w:right="45" w:hanging="15"/>
        <w:spacing w:after="45"/>
      </w:pPr>
      <w:r>
        <w:rPr>
          <w:sz w:val="22"/>
          <w:color w:val="FFFFFF"/>
        </w:rPr>
        <w:t/>
      </w:r>
    </w:p>
    <w:p>
      <w:pPr>
        <w:jc w:val="both"/>
        <w:outlineLvl w:val="0"/>
        <w:keepLines/>
        <w:keepNext/>
        <w:widowControl/>
        <w:ind w:left="60" w:right="45" w:hanging="15"/>
        <w:spacing w:after="45"/>
        <w:shd w:val="clear" w:color="auto" w:fill="0D0D0D"/>
      </w:pPr>
      <w:r>
        <w:rPr>
          <w:b/>
          <w:sz w:val="22"/>
          <w:color w:val="FFFFFF"/>
        </w:rPr>
        <w:t>8 - DA ACEITABILIDADE DA PROPOSTA VENCEDORA</w:t>
      </w:r>
    </w:p>
    <w:p>
      <w:pPr>
        <w:jc w:val="both"/>
        <w:widowControl/>
        <w:ind w:left="60" w:right="45" w:hanging="15"/>
        <w:spacing w:after="45"/>
      </w:pPr>
      <w:r>
        <w:rPr>
          <w:b/>
          <w:sz w:val="22"/>
        </w:rPr>
        <w:t>8.1</w:t>
      </w:r>
      <w:r>
        <w:rPr>
          <w:sz w:val="22"/>
        </w:rPr>
        <w:t xml:space="preserve"> - Encerrada a etapa de negociação, o Agente de Contratação e ou equipe de apoio examinará a proposta classificada em primeiro lugar quanto à adequação ao objeto e à compatibilidade do preço em relação ao máximo estipulado para contratação neste Edital e em seus anexos.</w:t>
      </w:r>
    </w:p>
    <w:p>
      <w:pPr>
        <w:jc w:val="both"/>
        <w:widowControl/>
        <w:ind w:left="60" w:right="45" w:hanging="15"/>
        <w:spacing w:after="45"/>
      </w:pPr>
      <w:r>
        <w:rPr>
          <w:b/>
          <w:sz w:val="22"/>
        </w:rPr>
        <w:t>8.2</w:t>
      </w:r>
      <w:r>
        <w:rPr>
          <w:sz w:val="22"/>
        </w:rPr>
        <w:t xml:space="preserve"> - Na verificação da conformidade da melhor proposta apresentada (aquela que tiver o menor preço global) com os requisitos do instrumento convocatório, será desclassificada aquela que:</w:t>
      </w:r>
    </w:p>
    <w:p>
      <w:pPr>
        <w:jc w:val="both"/>
        <w:widowControl/>
        <w:ind w:left="420" w:right="45" w:hanging="15"/>
        <w:spacing w:after="45"/>
      </w:pPr>
      <w:r>
        <w:rPr>
          <w:sz w:val="22"/>
        </w:rPr>
        <w:t>8.2.1 - Contenha vícios insanáveis;</w:t>
      </w:r>
    </w:p>
    <w:p>
      <w:pPr>
        <w:jc w:val="both"/>
        <w:widowControl/>
        <w:ind w:left="420" w:right="45" w:hanging="15"/>
        <w:spacing w:after="45"/>
      </w:pPr>
      <w:r>
        <w:rPr>
          <w:sz w:val="22"/>
        </w:rPr>
        <w:t>8.2.2 - Não obedeça às especificações técnicas pormenorizadas no instrumento convocatório;</w:t>
      </w:r>
    </w:p>
    <w:p>
      <w:pPr>
        <w:jc w:val="both"/>
        <w:widowControl/>
        <w:ind w:left="990" w:right="45" w:hanging="585"/>
        <w:spacing w:after="45"/>
      </w:pPr>
      <w:r>
        <w:rPr>
          <w:sz w:val="22"/>
        </w:rPr>
        <w:t>8.2.3 -</w:t>
      </w:r>
      <w:r>
        <w:rPr>
          <w:sz w:val="22"/>
        </w:rPr>
        <w:tab/>
      </w:r>
      <w:r>
        <w:rPr>
          <w:sz w:val="22"/>
        </w:rPr>
        <w:t>Apresente preço manifestamente inexequível ou permaneça acima do orçamento estimado para a contratação;</w:t>
      </w:r>
    </w:p>
    <w:p>
      <w:pPr>
        <w:jc w:val="both"/>
        <w:widowControl/>
        <w:ind w:left="420" w:right="45" w:hanging="15"/>
        <w:spacing w:after="45"/>
      </w:pPr>
      <w:r>
        <w:rPr>
          <w:sz w:val="22"/>
        </w:rPr>
        <w:t>8.2.4 - Não tenha sua exequibilidade demonstrada, quando exigido pela Administração Pública;</w:t>
      </w:r>
    </w:p>
    <w:p>
      <w:pPr>
        <w:jc w:val="both"/>
        <w:widowControl/>
        <w:ind w:left="420" w:right="45" w:hanging="15"/>
        <w:spacing w:after="45"/>
      </w:pPr>
      <w:r>
        <w:rPr>
          <w:sz w:val="22"/>
        </w:rPr>
        <w:t>8.2.5 - Apresente desconformidade com quaisquer outras exigências do instrumento convocatório, desde que insanável.</w:t>
      </w:r>
    </w:p>
    <w:p>
      <w:pPr>
        <w:jc w:val="both"/>
        <w:widowControl/>
        <w:ind w:left="60" w:right="45" w:hanging="15"/>
        <w:spacing w:after="45"/>
      </w:pPr>
      <w:r>
        <w:rPr>
          <w:b/>
          <w:sz w:val="22"/>
        </w:rPr>
        <w:t>8.3</w:t>
      </w:r>
      <w:r>
        <w:rPr>
          <w:sz w:val="22"/>
        </w:rPr>
        <w:t xml:space="preserve"> – O Agente de Contratação ou equipe de apoio poderá realizar diligências para aferir a exequibilidade da proposta mais bem classificada ou exigir do Licitante que ela seja demonstrada.</w:t>
      </w:r>
    </w:p>
    <w:p>
      <w:pPr>
        <w:jc w:val="both"/>
        <w:widowControl/>
        <w:ind w:left="60" w:right="45" w:hanging="15"/>
        <w:spacing w:after="45"/>
      </w:pPr>
      <w:r>
        <w:rPr>
          <w:sz w:val="22"/>
        </w:rPr>
        <w:t/>
      </w:r>
    </w:p>
    <w:p>
      <w:pPr>
        <w:jc w:val="both"/>
        <w:widowControl/>
        <w:ind w:left="420" w:right="45" w:hanging="15"/>
        <w:spacing w:after="45"/>
      </w:pPr>
      <w:r>
        <w:rPr>
          <w:b/>
          <w:sz w:val="22"/>
        </w:rPr>
        <w:t>8.3.1</w:t>
      </w:r>
      <w:r>
        <w:rPr>
          <w:sz w:val="22"/>
        </w:rPr>
        <w:t xml:space="preserve"> - No caso de obras e serviços de engenharia, serão consideradas inexequíveis as propostas cujos valores forem inferiores a 75% (setenta e cinco por cento) do valor orçado pela Administração, conforme disposto no art. 59 §4º da Lei 14.133/2021.</w:t>
      </w:r>
    </w:p>
    <w:p>
      <w:pPr>
        <w:jc w:val="both"/>
        <w:widowControl/>
        <w:ind w:left="420" w:right="45" w:hanging="15"/>
        <w:spacing w:after="45"/>
      </w:pPr>
      <w:r>
        <w:rPr>
          <w:sz w:val="22"/>
        </w:rPr>
        <w:t/>
      </w:r>
    </w:p>
    <w:p>
      <w:pPr>
        <w:jc w:val="both"/>
        <w:widowControl/>
        <w:ind w:left="120" w:right="45" w:firstLine="15"/>
        <w:spacing w:after="45"/>
      </w:pPr>
      <w:r>
        <w:rPr>
          <w:b/>
          <w:sz w:val="22"/>
        </w:rPr>
        <w:t xml:space="preserve">8.4 </w:t>
      </w:r>
      <w:r>
        <w:rPr>
          <w:sz w:val="22"/>
          <w:color w:val="000000"/>
        </w:rPr>
        <w:t>Se houver indícios de inexequibilidade da proposta de preço, ou em caso da necessidade de esclarecimentos complementares, poderão ser efetuadas diligências, para que a empresa comprove a exequibilidade da proposta.</w:t>
      </w:r>
    </w:p>
    <w:p>
      <w:pPr>
        <w:jc w:val="both"/>
        <w:widowControl/>
        <w:ind w:left="480" w:right="45" w:hanging="15"/>
        <w:spacing w:after="45"/>
      </w:pPr>
      <w:r>
        <w:rPr>
          <w:sz w:val="22"/>
        </w:rPr>
        <w:t/>
      </w:r>
    </w:p>
    <w:p>
      <w:pPr>
        <w:jc w:val="both"/>
        <w:widowControl/>
        <w:ind w:left="480" w:right="45" w:hanging="15"/>
        <w:spacing w:after="45"/>
      </w:pPr>
      <w:r>
        <w:rPr>
          <w:b/>
          <w:sz w:val="22"/>
        </w:rPr>
        <w:t>8.4.1</w:t>
      </w:r>
      <w:r>
        <w:rPr>
          <w:sz w:val="22"/>
        </w:rPr>
        <w:t xml:space="preserve"> A  Administração conferirá ao Licitante a oportunidade de demonstrar a exequibilidade da sua proposta, considerados o preço global, os quantitativos e os preços unitários relevantes, para comprovar que a proposta é economicamente viável, apresentando a planilha de custos, o orçamento detalhado e a garantia de cumprimento das obrigações financeiras. </w:t>
      </w:r>
    </w:p>
    <w:p>
      <w:pPr>
        <w:jc w:val="both"/>
        <w:widowControl/>
        <w:ind w:left="60" w:right="45" w:hanging="15"/>
        <w:spacing w:after="45"/>
      </w:pPr>
      <w:r>
        <w:rPr>
          <w:rFonts w:ascii="Calibri" w:hAnsi="Calibri" w:cs="Calibri" w:eastAsia="Calibri"/>
          <w:sz w:val="22"/>
        </w:rPr>
        <w:t/>
      </w:r>
    </w:p>
    <w:p>
      <w:pPr>
        <w:jc w:val="both"/>
        <w:widowControl/>
        <w:ind w:left="60" w:right="45" w:hanging="15"/>
        <w:spacing w:after="45"/>
      </w:pPr>
      <w:r>
        <w:rPr>
          <w:b/>
          <w:sz w:val="22"/>
        </w:rPr>
        <w:t>8.5</w:t>
      </w:r>
      <w:r>
        <w:rPr>
          <w:sz w:val="22"/>
        </w:rPr>
        <w:t xml:space="preserve"> - Na hipótese acima, o Licitante deverá demonstrar que o valor da proposta é compatível com a execução do objeto licitado no que se refere aos custos dos insumos e aos coeficientes de produtividade adotados nas composições do valor global.</w:t>
      </w:r>
    </w:p>
    <w:p>
      <w:pPr>
        <w:jc w:val="both"/>
        <w:widowControl/>
        <w:ind w:left="60" w:right="45" w:hanging="15"/>
        <w:spacing w:after="45"/>
      </w:pPr>
      <w:r>
        <w:rPr>
          <w:sz w:val="22"/>
        </w:rPr>
        <w:t/>
      </w:r>
    </w:p>
    <w:p>
      <w:pPr>
        <w:jc w:val="both"/>
        <w:widowControl/>
        <w:ind w:left="60" w:right="45" w:hanging="15"/>
        <w:spacing w:after="45"/>
      </w:pPr>
      <w:r>
        <w:rPr>
          <w:b/>
          <w:sz w:val="22"/>
        </w:rPr>
        <w:t>8.6</w:t>
      </w:r>
      <w:r>
        <w:rPr>
          <w:sz w:val="22"/>
        </w:rPr>
        <w:t xml:space="preserve"> - Qualquer interessado poderá requerer que se realizem diligências para aferir a exequibilidade e a legalidade das propostas, devendo apresentar as provas ou os indícios que fundamentam a suspeita;</w:t>
      </w:r>
    </w:p>
    <w:p>
      <w:pPr>
        <w:jc w:val="both"/>
        <w:widowControl/>
        <w:ind w:left="60" w:right="45" w:hanging="15"/>
        <w:spacing w:after="45"/>
      </w:pPr>
      <w:r>
        <w:rPr>
          <w:sz w:val="22"/>
        </w:rPr>
        <w:t/>
      </w:r>
    </w:p>
    <w:p>
      <w:pPr>
        <w:jc w:val="both"/>
        <w:widowControl/>
        <w:ind w:left="60" w:right="45" w:hanging="15"/>
        <w:spacing w:after="45"/>
      </w:pPr>
      <w:r>
        <w:rPr>
          <w:b/>
          <w:sz w:val="22"/>
        </w:rPr>
        <w:t>8.7</w:t>
      </w:r>
      <w:r>
        <w:rPr>
          <w:sz w:val="22"/>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pPr>
        <w:jc w:val="both"/>
        <w:widowControl/>
        <w:ind w:left="60" w:right="45" w:hanging="15"/>
        <w:spacing w:after="45"/>
      </w:pPr>
      <w:r>
        <w:rPr>
          <w:sz w:val="22"/>
        </w:rPr>
        <w:t/>
      </w:r>
    </w:p>
    <w:p>
      <w:pPr>
        <w:jc w:val="both"/>
        <w:widowControl/>
        <w:ind w:left="60" w:right="45" w:hanging="15"/>
        <w:spacing w:after="45"/>
      </w:pPr>
      <w:r>
        <w:rPr>
          <w:b/>
          <w:sz w:val="22"/>
        </w:rPr>
        <w:t>8.8</w:t>
      </w:r>
      <w:r>
        <w:rPr>
          <w:sz w:val="22"/>
        </w:rPr>
        <w:t xml:space="preserve"> - O Agente de Contratação ou equipe de apoio poderá convocar o licitante para enviar documento digital complementar, por meio de funcionalidade disponível no sistema, no prazo de 2 (duas) horas, sob pena de não aceitação da proposta.</w:t>
      </w:r>
    </w:p>
    <w:p>
      <w:pPr>
        <w:jc w:val="both"/>
        <w:widowControl/>
        <w:ind w:left="420" w:right="45" w:hanging="15"/>
        <w:spacing w:after="45"/>
      </w:pPr>
      <w:r>
        <w:rPr>
          <w:sz w:val="22"/>
        </w:rPr>
        <w:t>8.9.1 - O prazo estabelecido poderá ser prorrogado pelo Agente de Contratação ou equipe de apoio por solicitação escrita e justificada do licitante, formulada antes de findo o prazo, e formalmente aceita.</w:t>
      </w:r>
    </w:p>
    <w:p>
      <w:pPr>
        <w:jc w:val="both"/>
        <w:widowControl/>
        <w:ind w:left="60" w:right="45" w:hanging="15"/>
        <w:spacing w:after="45"/>
      </w:pPr>
      <w:r>
        <w:rPr>
          <w:b/>
          <w:sz w:val="22"/>
        </w:rPr>
        <w:t>8.9</w:t>
      </w:r>
      <w:r>
        <w:rPr>
          <w:sz w:val="22"/>
        </w:rPr>
        <w:t xml:space="preserve"> - Se a proposta ou lance vencedor for desclassificado, o Agente de Contratação ou equipe de apoio examinará a proposta ou lance subsequente, e, assim sucessivamente, na ordem de classificação.</w:t>
      </w:r>
    </w:p>
    <w:p>
      <w:pPr>
        <w:jc w:val="both"/>
        <w:widowControl/>
        <w:ind w:left="60" w:right="45" w:hanging="15"/>
        <w:spacing w:after="45"/>
      </w:pPr>
      <w:r>
        <w:rPr>
          <w:b/>
          <w:sz w:val="22"/>
        </w:rPr>
        <w:t>8.10</w:t>
      </w:r>
      <w:r>
        <w:rPr>
          <w:sz w:val="22"/>
        </w:rPr>
        <w:t xml:space="preserve"> - Havendo necessidade, o Agente de Contratação ou equipe de apoio suspenderá a sessão, informando no “chat” a nova data e horário para a sua continuidade.</w:t>
      </w:r>
    </w:p>
    <w:p>
      <w:pPr>
        <w:jc w:val="both"/>
        <w:widowControl/>
        <w:ind w:left="60" w:right="45" w:hanging="15"/>
        <w:spacing w:after="45"/>
      </w:pPr>
      <w:r>
        <w:rPr>
          <w:b/>
          <w:sz w:val="22"/>
        </w:rPr>
        <w:t>8.11</w:t>
      </w:r>
      <w:r>
        <w:rPr>
          <w:sz w:val="22"/>
        </w:rPr>
        <w:t xml:space="preserve"> - Após o julgamento das propostas, o licitante arrematante será convocado para reelaborar e apresentar ao Agente de Contratação ou equipe de apoio, por meio eletrônico pela aba “documentos complementares”, a PROPOSTA DE PREÇOS adequada ao seu último lance, no </w:t>
      </w:r>
      <w:r>
        <w:rPr>
          <w:b/>
          <w:u w:val="single"/>
          <w:sz w:val="22"/>
        </w:rPr>
        <w:t>prazo máximo de 24 (vinte e quatro) horas</w:t>
      </w:r>
      <w:r>
        <w:rPr>
          <w:sz w:val="22"/>
        </w:rPr>
        <w:t>, juntamente com as planilhas indicando os quantitativos e custos unitários, o Cronograma Físico Financeiro e Critérios de Pagamentos, bem como o detalhamento das bonificações e Despesas Indiretas (BDI) e dos Encargos Sociais (ES), no que couber. Planilha está fornecida pelo município a qual faz parte da pasta técnica integrante do edital, disponibilizada no Portal Transparência do Município no endereço: www.guairaca.pr.gov.br.</w:t>
      </w:r>
    </w:p>
    <w:p>
      <w:pPr>
        <w:jc w:val="both"/>
        <w:widowControl/>
        <w:ind w:left="60" w:right="45" w:hanging="15"/>
        <w:spacing w:after="45"/>
      </w:pPr>
      <w:r>
        <w:rPr>
          <w:sz w:val="22"/>
        </w:rPr>
        <w:t/>
      </w:r>
    </w:p>
    <w:p>
      <w:pPr>
        <w:jc w:val="both"/>
        <w:outlineLvl w:val="0"/>
        <w:keepLines/>
        <w:keepNext/>
        <w:widowControl/>
        <w:ind w:left="60" w:right="45" w:hanging="15"/>
        <w:spacing w:after="45"/>
        <w:shd w:val="clear" w:color="auto" w:fill="0D0D0D"/>
      </w:pPr>
      <w:r>
        <w:rPr>
          <w:b/>
          <w:sz w:val="22"/>
          <w:color w:val="FFFFFF"/>
        </w:rPr>
        <w:t>9 - DO ENVIO DA DOCUMENTAÇÃO</w:t>
      </w:r>
    </w:p>
    <w:p>
      <w:pPr>
        <w:jc w:val="both"/>
        <w:widowControl/>
        <w:ind w:left="60" w:right="45" w:hanging="15"/>
        <w:spacing w:after="45"/>
      </w:pPr>
      <w:r>
        <w:rPr>
          <w:b/>
          <w:sz w:val="22"/>
        </w:rPr>
        <w:t>9.1</w:t>
      </w:r>
      <w:r>
        <w:rPr>
          <w:sz w:val="22"/>
        </w:rPr>
        <w:t xml:space="preserve"> - Para se habilitarem nesta licitação os interessados deverão anexar exclusivamente por meio do sistema Compras BR, concomitantemente à proposta de preço, a documentação relacionada abaixo, até a data e o horário limites estabelecidos para abertura da sessão pública. A documentação deverá estar perfeitamente legível.</w:t>
      </w:r>
    </w:p>
    <w:p>
      <w:pPr>
        <w:jc w:val="both"/>
        <w:widowControl/>
        <w:ind w:left="420" w:right="45" w:hanging="15"/>
        <w:spacing w:after="45"/>
      </w:pPr>
      <w:r>
        <w:rPr>
          <w:sz w:val="22"/>
        </w:rPr>
        <w:t>9.1.1 - Se a licitante desatender as exigências de habilitação, a mesma será inabilitada e o Agente de Contratação ou equipe de apoio examinará a proposta subsequente, verificando a sua aceitabilidade, na ordem de classificação, e assim sucessivamente, até a apuração de uma proposta que atenda ao edital.</w:t>
      </w:r>
    </w:p>
    <w:p>
      <w:pPr>
        <w:jc w:val="both"/>
        <w:widowControl/>
        <w:ind w:left="60" w:right="45" w:hanging="15"/>
        <w:spacing w:after="45"/>
      </w:pPr>
      <w:r>
        <w:rPr>
          <w:b/>
          <w:sz w:val="22"/>
        </w:rPr>
        <w:t xml:space="preserve">9.2 </w:t>
      </w:r>
      <w:r>
        <w:rPr>
          <w:sz w:val="22"/>
        </w:rPr>
        <w:t>- Como condição prévia ao exame da documentação de habilitação da licitante detentora da proposta classificada em primeiro lugar, o Agente de Contratação ou equipe de apoio verificará o eventual descumprimento das condições de participação, especialmente quanto à existência de sanção que impeça a sua participação no certame ou a futura contratação, mediante a consulta aos seguintes cadastros:</w:t>
      </w:r>
    </w:p>
    <w:p>
      <w:pPr>
        <w:jc w:val="both"/>
        <w:widowControl/>
        <w:ind w:left="1080" w:right="45" w:hanging="315"/>
        <w:spacing w:after="45"/>
      </w:pPr>
      <w:r>
        <w:rPr>
          <w:sz w:val="22"/>
        </w:rPr>
        <w:t>I - Cadastro Nacional de Empresas Inidôneas e Suspensas – CEIS, mantido pela Controladoria-Geral da União(</w:t>
      </w:r>
      <w:hyperlink r:id="hrId4">
        <w:r>
          <w:rPr>
            <w:u w:val="single" w:color="0000FF"/>
            <w:sz w:val="22"/>
          </w:rPr>
          <w:t>https://portaldatransparencia.gov.br/sancoes/consulta?cadastro=1&amp;ordenarPor=nomeSancionado&amp;direcao=asc</w:t>
        </w:r>
      </w:hyperlink>
      <w:r>
        <w:rPr>
          <w:sz w:val="22"/>
        </w:rPr>
        <w:t>);</w:t>
      </w:r>
    </w:p>
    <w:p>
      <w:pPr>
        <w:jc w:val="both"/>
        <w:widowControl/>
        <w:ind w:left="420" w:right="45" w:hanging="15"/>
        <w:spacing w:after="45"/>
      </w:pPr>
      <w:r>
        <w:rPr>
          <w:sz w:val="22"/>
        </w:rPr>
        <w:t>9.2.1 - A consulta aos Cadastros acima será realizada em nome da empresa licitante.</w:t>
      </w:r>
    </w:p>
    <w:p>
      <w:pPr>
        <w:jc w:val="both"/>
        <w:widowControl/>
        <w:ind w:left="420" w:right="45" w:hanging="15"/>
        <w:spacing w:after="45"/>
      </w:pPr>
      <w:r>
        <w:rPr>
          <w:sz w:val="22"/>
        </w:rPr>
        <w:t>9.2.2 - Constatada a existência de sanção, o Agente de Contratação ou equipe de apoio reputará a licitante inabilitada, por falta de condição de participação.</w:t>
      </w:r>
    </w:p>
    <w:p>
      <w:pPr>
        <w:jc w:val="both"/>
        <w:widowControl/>
        <w:ind w:left="60" w:right="45" w:hanging="15"/>
        <w:spacing w:after="45"/>
      </w:pPr>
      <w:r>
        <w:rPr>
          <w:b/>
          <w:sz w:val="22"/>
        </w:rPr>
        <w:t>9.3</w:t>
      </w:r>
      <w:r>
        <w:rPr>
          <w:sz w:val="22"/>
        </w:rPr>
        <w:t>. - Será considerado habilitado o licitante que apresentar os documentos relacionados nos subitens 9.6 a 9.13.</w:t>
      </w:r>
    </w:p>
    <w:p>
      <w:pPr>
        <w:jc w:val="both"/>
        <w:widowControl/>
        <w:ind w:left="420" w:right="45" w:hanging="15"/>
        <w:spacing w:after="45"/>
      </w:pPr>
      <w:r>
        <w:rPr>
          <w:sz w:val="22"/>
        </w:rPr>
        <w:t>9.3.1. - O licitante que participar do certame declarando que cumpre os requisitos de habilitação e não cumpri-los, será inabilitado e estará sujeito às penalidades previstas no item 19 do edital.</w:t>
      </w:r>
    </w:p>
    <w:p>
      <w:pPr>
        <w:jc w:val="both"/>
        <w:widowControl/>
        <w:ind w:left="60" w:right="45" w:hanging="15"/>
        <w:spacing w:after="45"/>
      </w:pPr>
      <w:r>
        <w:rPr>
          <w:b/>
          <w:sz w:val="22"/>
        </w:rPr>
        <w:t>9.4.</w:t>
      </w:r>
      <w:r>
        <w:rPr>
          <w:sz w:val="22"/>
        </w:rPr>
        <w:t xml:space="preserve"> - Constituem motivos para inabilitação do licitante:</w:t>
      </w:r>
    </w:p>
    <w:p>
      <w:pPr>
        <w:jc w:val="both"/>
        <w:widowControl/>
        <w:ind w:left="420" w:right="45" w:hanging="15"/>
        <w:spacing w:after="45"/>
      </w:pPr>
      <w:r>
        <w:rPr>
          <w:sz w:val="22"/>
        </w:rPr>
        <w:t>9.4.1 - a apresentação de documentos com prazo de validade vencido;</w:t>
      </w:r>
    </w:p>
    <w:p>
      <w:pPr>
        <w:jc w:val="both"/>
        <w:widowControl/>
        <w:ind w:left="420" w:right="255" w:hanging="15"/>
        <w:spacing w:after="45"/>
      </w:pPr>
      <w:r>
        <w:rPr>
          <w:sz w:val="22"/>
        </w:rPr>
        <w:t>9.4.2 - a substituição dos documentos exigidos para habilitação por protocolos de requerimento de certidão; 9.4.3 - o não cumprimento dos requisitos de habilitação.</w:t>
      </w:r>
    </w:p>
    <w:p>
      <w:pPr>
        <w:jc w:val="both"/>
        <w:widowControl/>
        <w:ind w:left="60" w:right="45" w:hanging="15"/>
        <w:spacing w:after="45"/>
      </w:pPr>
      <w:r>
        <w:rPr>
          <w:b/>
          <w:sz w:val="22"/>
        </w:rPr>
        <w:t>9.5</w:t>
      </w:r>
      <w:r>
        <w:rPr>
          <w:sz w:val="22"/>
        </w:rPr>
        <w:t xml:space="preserve"> - Não serão aceitos documentos de habilitação com indicação de CNPJ/CPF diferentes, salvo aqueles legalmente permitidos.</w:t>
      </w:r>
    </w:p>
    <w:p>
      <w:pPr>
        <w:jc w:val="both"/>
        <w:widowControl/>
        <w:ind w:left="420" w:right="45" w:hanging="15"/>
        <w:spacing w:after="45"/>
      </w:pPr>
      <w:r>
        <w:rPr>
          <w:sz w:val="22"/>
        </w:rPr>
        <w:t>9.5.1 -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pPr>
        <w:jc w:val="both"/>
        <w:widowControl/>
        <w:ind w:left="420" w:right="45" w:hanging="15"/>
        <w:spacing w:after="45"/>
      </w:pPr>
      <w:r>
        <w:rPr>
          <w:sz w:val="22"/>
        </w:rPr>
        <w:t>9.5.2 - Serão aceitos registros de CNPJ de licitante matriz e filial com diferenças de números de documentos pertinentes ao CND e ao CRF/FGTS, quando for comprovada a centralização do recolhimento dessas contribuições.</w:t>
      </w:r>
    </w:p>
    <w:p>
      <w:pPr>
        <w:jc w:val="both"/>
        <w:widowControl/>
        <w:ind w:left="420" w:right="45" w:hanging="15"/>
        <w:spacing w:after="45"/>
      </w:pPr>
      <w:r>
        <w:rPr>
          <w:sz w:val="22"/>
        </w:rPr>
        <w:t>9.5.3 - Os licitantes deverão encaminhar, nos termos deste Edital, a documentação relacionada nos itens a seguir, para fins de habilitação:</w:t>
      </w:r>
    </w:p>
    <w:p>
      <w:pPr>
        <w:jc w:val="both"/>
        <w:ind w:left="360" w:right="210"/>
        <w:spacing w:before="150" w:lineRule="auto" w:line="276"/>
      </w:pPr>
      <w:r>
        <w:rPr>
          <w:rFonts w:ascii="Arial MT" w:hAnsi="Arial MT" w:cs="Arial MT" w:eastAsia="Arial MT"/>
          <w:sz w:val="22"/>
        </w:rPr>
        <w:t xml:space="preserve">9.5.3.1 Os licitantes encaminharão os documentos de habilitação exigidos, exclusivamente por meio do sistema, devendo realizar </w:t>
      </w:r>
      <w:r>
        <w:rPr>
          <w:rFonts w:ascii="Arial MT" w:hAnsi="Arial MT" w:cs="Arial MT" w:eastAsia="Arial MT"/>
          <w:b/>
          <w:i/>
          <w:sz w:val="22"/>
        </w:rPr>
        <w:t>upload</w:t>
      </w:r>
      <w:r>
        <w:rPr>
          <w:rFonts w:ascii="Arial MT" w:hAnsi="Arial MT" w:cs="Arial MT" w:eastAsia="Arial MT"/>
          <w:i/>
          <w:sz w:val="22"/>
        </w:rPr>
        <w:t xml:space="preserve"> </w:t>
      </w:r>
      <w:r>
        <w:rPr>
          <w:rFonts w:ascii="Arial MT" w:hAnsi="Arial MT" w:cs="Arial MT" w:eastAsia="Arial MT"/>
          <w:sz w:val="22"/>
        </w:rPr>
        <w:t>dos documentos de habilitação deste edital, no prazo de até 2 (duas) horas após a solicitação, que servirão para adjudicação, bem como para justificativa de possíveis desclassificações.</w:t>
      </w:r>
    </w:p>
    <w:p>
      <w:pPr>
        <w:jc w:val="both"/>
        <w:ind w:left="360" w:right="210"/>
        <w:spacing w:before="150" w:lineRule="auto" w:line="276"/>
      </w:pPr>
      <w:r>
        <w:rPr>
          <w:rFonts w:ascii="Arial MT" w:hAnsi="Arial MT" w:cs="Arial MT" w:eastAsia="Arial MT"/>
          <w:sz w:val="22"/>
        </w:rPr>
        <w:t/>
      </w:r>
    </w:p>
    <w:p>
      <w:pPr>
        <w:jc w:val="both"/>
        <w:outlineLvl w:val="1"/>
        <w:keepLines/>
        <w:keepNext/>
        <w:widowControl/>
        <w:ind w:left="60" w:right="45" w:hanging="15"/>
        <w:spacing w:after="45"/>
        <w:shd w:val="clear" w:color="auto" w:fill="0D0D0D"/>
      </w:pPr>
      <w:r>
        <w:rPr>
          <w:b/>
          <w:sz w:val="22"/>
          <w:color w:val="FFFFFF"/>
        </w:rPr>
        <w:t>9.6 – DECLARAÇÕES</w:t>
      </w:r>
    </w:p>
    <w:p>
      <w:pPr>
        <w:jc w:val="both"/>
        <w:widowControl/>
        <w:ind w:left="570" w:right="45" w:hanging="15"/>
        <w:spacing w:after="45"/>
      </w:pPr>
      <w:r>
        <w:rPr>
          <w:b/>
          <w:sz w:val="22"/>
        </w:rPr>
        <w:t>9.6.1</w:t>
      </w:r>
      <w:r>
        <w:rPr>
          <w:sz w:val="22"/>
        </w:rPr>
        <w:t>- Declaração unificada, conforme modelo constante no anexo V.</w:t>
      </w:r>
    </w:p>
    <w:p>
      <w:pPr>
        <w:jc w:val="both"/>
        <w:widowControl/>
        <w:ind w:left="1095" w:right="45" w:hanging="15"/>
        <w:spacing w:after="45"/>
      </w:pPr>
      <w:r>
        <w:rPr>
          <w:b/>
          <w:u w:val="single"/>
          <w:sz w:val="22"/>
        </w:rPr>
        <w:t>Observação:</w:t>
      </w:r>
      <w:r>
        <w:rPr>
          <w:sz w:val="22"/>
        </w:rPr>
        <w:t xml:space="preserve"> Nos casos de emissão de declaração falsa, a empresa Licitante estará sujeita à tipificação no crime de falsidade ideológica, prevista no artigo 299 do Código Penal Brasileiro, bem como nos crimes previstos nos artigos 337-E e seguintes da Lei nº 14.133/2021, além de poder ser punido administrativamente, conforme as sanções previstas no presente Edital.</w:t>
      </w:r>
    </w:p>
    <w:p>
      <w:pPr>
        <w:jc w:val="both"/>
        <w:outlineLvl w:val="1"/>
        <w:keepLines/>
        <w:keepNext/>
        <w:widowControl/>
        <w:ind w:left="60" w:right="45" w:hanging="15"/>
        <w:spacing w:after="45"/>
        <w:shd w:val="clear" w:color="auto" w:fill="0D0D0D"/>
      </w:pPr>
      <w:r>
        <w:rPr>
          <w:b/>
          <w:sz w:val="22"/>
          <w:color w:val="FFFFFF"/>
        </w:rPr>
        <w:t>9.7 – DA PARTICIPAÇÃO DE MICROEMPRESA (ME), EMPRESA DE PEQUENO PORTE (EPP)</w:t>
      </w:r>
    </w:p>
    <w:p>
      <w:pPr>
        <w:jc w:val="both"/>
        <w:widowControl/>
        <w:ind w:left="555" w:right="45" w:hanging="15"/>
        <w:spacing w:after="45"/>
      </w:pPr>
      <w:r>
        <w:rPr>
          <w:b/>
          <w:sz w:val="22"/>
        </w:rPr>
        <w:t>9.7.1</w:t>
      </w:r>
      <w:r>
        <w:rPr>
          <w:sz w:val="22"/>
        </w:rPr>
        <w:t xml:space="preserve"> - Para participar na condição de ME/EPP e ter tratamento diferenciado, as empresas deverão apresentar juntamente com os documentos de habilitação os documentos abaixo:</w:t>
      </w:r>
    </w:p>
    <w:p>
      <w:pPr>
        <w:jc w:val="both"/>
        <w:widowControl/>
        <w:ind w:left="1065" w:right="45" w:hanging="15"/>
        <w:spacing w:after="45"/>
      </w:pPr>
      <w:r>
        <w:rPr>
          <w:b/>
          <w:sz w:val="22"/>
        </w:rPr>
        <w:t>9.7.1.1</w:t>
      </w:r>
      <w:r>
        <w:rPr>
          <w:sz w:val="22"/>
        </w:rPr>
        <w:t xml:space="preserve"> – Declaração solicitando tratamento diferenciado e afirmando estar na condição de ME/EPP, conforme modelo constante no anexo III deste edital;</w:t>
      </w:r>
    </w:p>
    <w:p>
      <w:pPr>
        <w:jc w:val="both"/>
        <w:widowControl/>
        <w:ind w:left="1065" w:right="45" w:hanging="15"/>
        <w:spacing w:after="45"/>
      </w:pPr>
      <w:r>
        <w:rPr>
          <w:b/>
          <w:sz w:val="22"/>
        </w:rPr>
        <w:t>9.7.1.2</w:t>
      </w:r>
      <w:r>
        <w:rPr>
          <w:sz w:val="22"/>
        </w:rPr>
        <w:t xml:space="preserve"> - Certidão simplificada da Junta Comercial, emitida há menos de 90 dias da data prevista para abertura das propostas, na qual deverá comprovada esta condição.</w:t>
      </w:r>
    </w:p>
    <w:p>
      <w:pPr>
        <w:jc w:val="both"/>
        <w:widowControl/>
        <w:ind w:left="1065" w:right="45" w:hanging="15"/>
        <w:spacing w:after="45"/>
      </w:pPr>
      <w:r>
        <w:rPr>
          <w:b/>
          <w:sz w:val="22"/>
        </w:rPr>
        <w:t>9.7.1.3</w:t>
      </w:r>
      <w:r>
        <w:rPr>
          <w:sz w:val="22"/>
        </w:rPr>
        <w:t xml:space="preserve"> - A não apresentação dos documentos constantes nos itens </w:t>
      </w:r>
      <w:r>
        <w:rPr>
          <w:b/>
          <w:sz w:val="22"/>
        </w:rPr>
        <w:t>9.7.1.1 e 9.7.1.2</w:t>
      </w:r>
      <w:r>
        <w:rPr>
          <w:sz w:val="22"/>
        </w:rPr>
        <w:t xml:space="preserve"> não acarretará na inabilitação, a empresa participará normalmente do certame, porém, mesmo sendo ME/EPP, participará da licitação sem os benefícios concedidos às ME/EPP.</w:t>
      </w:r>
    </w:p>
    <w:p>
      <w:pPr>
        <w:jc w:val="both"/>
        <w:outlineLvl w:val="1"/>
        <w:keepLines/>
        <w:keepNext/>
        <w:widowControl/>
        <w:ind w:left="60" w:right="45" w:hanging="15"/>
        <w:spacing w:after="45"/>
        <w:shd w:val="clear" w:color="auto" w:fill="0D0D0D"/>
      </w:pPr>
      <w:r>
        <w:rPr>
          <w:b/>
          <w:sz w:val="22"/>
          <w:color w:val="FFFFFF"/>
        </w:rPr>
        <w:t>9.8 - DA COMPROVAÇÃO DA REGULARIDADE FISCAL E DO DIREITO DE PREFERÊNCIA DAS MICROEMPRESA (ME), EMPRESA DE PEQUENO PORTE (EPP)</w:t>
      </w:r>
    </w:p>
    <w:p>
      <w:pPr>
        <w:jc w:val="both"/>
        <w:widowControl/>
        <w:ind w:left="570" w:right="45" w:hanging="15"/>
        <w:spacing w:after="45"/>
      </w:pPr>
      <w:r>
        <w:rPr>
          <w:b/>
          <w:sz w:val="22"/>
        </w:rPr>
        <w:t>9.8.1</w:t>
      </w:r>
      <w:r>
        <w:rPr>
          <w:sz w:val="22"/>
        </w:rPr>
        <w:t xml:space="preserve"> - As Microempresas, Empresa de Pequeno Porte deverão apresentar toda a documentação exigida para efeito de comprovação de sua regularidade fiscal e trabalhista, mesmo que apresente alguma restrição. </w:t>
      </w:r>
    </w:p>
    <w:p>
      <w:pPr>
        <w:jc w:val="both"/>
        <w:widowControl/>
        <w:ind w:left="570" w:right="45" w:hanging="15"/>
        <w:spacing w:after="45"/>
      </w:pPr>
      <w:r>
        <w:rPr>
          <w:b/>
          <w:sz w:val="22"/>
        </w:rPr>
        <w:t>9.8.2</w:t>
      </w:r>
      <w:r>
        <w:rPr>
          <w:sz w:val="22"/>
        </w:rPr>
        <w:t xml:space="preserve"> - Será assegurado, como critério de desempate, a preferência de contratação para as ME ou EPP.</w:t>
      </w:r>
    </w:p>
    <w:p>
      <w:pPr>
        <w:jc w:val="both"/>
        <w:widowControl/>
        <w:ind w:left="570" w:right="45" w:hanging="15"/>
        <w:spacing w:after="45"/>
      </w:pPr>
      <w:r>
        <w:rPr>
          <w:b/>
          <w:sz w:val="22"/>
        </w:rPr>
        <w:t>9.8.3</w:t>
      </w:r>
      <w:r>
        <w:rPr>
          <w:sz w:val="22"/>
        </w:rPr>
        <w:t xml:space="preserve"> - Considerar-se-á empate quando as propostas apresentadas por microempresa, empresas de pequeno porte ou empresa individual de responsabilidade limitada sejam iguais ou até 10% (dez por cento) inferiores à proposta de maior preço classificada, desde que esta não tenha sido apresentada por outra ME ou EPP.</w:t>
      </w:r>
    </w:p>
    <w:p>
      <w:pPr>
        <w:jc w:val="both"/>
        <w:widowControl/>
        <w:ind w:left="570" w:right="45" w:hanging="15"/>
        <w:spacing w:after="45"/>
      </w:pPr>
      <w:r>
        <w:rPr>
          <w:b/>
          <w:sz w:val="22"/>
        </w:rPr>
        <w:t>9.8.4</w:t>
      </w:r>
      <w:r>
        <w:rPr>
          <w:sz w:val="22"/>
        </w:rPr>
        <w:t xml:space="preserve"> - Ocorrendo o empate acima descrito, a ME ou EPP melhor classificada poderá apresentar nova proposta de preço inferior à menor proposta classificada, na própria sessão se presente o representante com poder para ofertar nova proposta ou no prazo de 24 horas se não estiver presente. Uma vez apresentada nova proposta em valor inferior será considerada vencedora do certame e adjudicado o objeto em seu favor.</w:t>
      </w:r>
    </w:p>
    <w:p>
      <w:pPr>
        <w:jc w:val="both"/>
        <w:widowControl/>
        <w:ind w:left="570" w:right="45" w:hanging="15"/>
        <w:spacing w:after="45"/>
      </w:pPr>
      <w:r>
        <w:rPr>
          <w:b/>
          <w:sz w:val="22"/>
        </w:rPr>
        <w:t>9.8.5</w:t>
      </w:r>
      <w:r>
        <w:rPr>
          <w:sz w:val="22"/>
        </w:rPr>
        <w:t xml:space="preserve"> - No caso de ME ou EPP ser declarada vencedora do certame e havendo alguma restrição na comprovação de sua regularidade fiscal e trabalhista, ser-lhe-á concedido prazo de 05 (cinco) dias úteis, prorrogáveis por igual período a critério do licitador, para a regularização da restrição e emissão de eventuais certidões negativas ou positivas com efeitos de negativa.</w:t>
      </w:r>
    </w:p>
    <w:p>
      <w:pPr>
        <w:jc w:val="both"/>
        <w:widowControl/>
        <w:ind w:left="570" w:right="45" w:hanging="15"/>
        <w:spacing w:after="45"/>
      </w:pPr>
      <w:r>
        <w:rPr>
          <w:b/>
          <w:sz w:val="22"/>
        </w:rPr>
        <w:t>9.8.6</w:t>
      </w:r>
      <w:r>
        <w:rPr>
          <w:sz w:val="22"/>
        </w:rPr>
        <w:t xml:space="preserve"> - Após a entrega das certidões e análise quanto à regularidade fiscal e trabalhista da proponente, a Equipe de apoio decidirá quanto à habilitação final da mesma, que será comunicada às proponentes por meio dos meios usuais de comunicação (edital, e-mail e publicação na imprensa oficial).</w:t>
      </w:r>
    </w:p>
    <w:p>
      <w:pPr>
        <w:jc w:val="both"/>
        <w:widowControl/>
        <w:ind w:left="570" w:right="45" w:hanging="15"/>
        <w:spacing w:after="45"/>
      </w:pPr>
      <w:r>
        <w:rPr>
          <w:b/>
          <w:sz w:val="22"/>
        </w:rPr>
        <w:t>9.8.7</w:t>
      </w:r>
      <w:r>
        <w:rPr>
          <w:sz w:val="22"/>
        </w:rPr>
        <w:t xml:space="preserve"> - Caso a proponente vencedora não apresente os documentos exigidos neste item, ou não ocorrendo a contratação ou a apresentação de nova proposta de preços pela ME ou EPP melhor classificada, serão convocadas as ME, EPP remanescentes que se enquadrem nesta hipótese, segundo a ordem de classificação.</w:t>
      </w:r>
    </w:p>
    <w:p>
      <w:pPr>
        <w:jc w:val="both"/>
        <w:widowControl/>
        <w:ind w:left="570" w:right="45" w:hanging="15"/>
        <w:spacing w:after="45"/>
      </w:pPr>
      <w:r>
        <w:rPr>
          <w:b/>
          <w:sz w:val="22"/>
        </w:rPr>
        <w:t>9.8.8</w:t>
      </w:r>
      <w:r>
        <w:rPr>
          <w:sz w:val="22"/>
        </w:rPr>
        <w:t xml:space="preserve"> - Na hipótese de não contratação de ME ou EPP, nos termos dos itens anteriores, o objeto será adjudicado em favor da proposta de menor preço originalmente vencedora do certame.</w:t>
      </w:r>
    </w:p>
    <w:p>
      <w:pPr>
        <w:jc w:val="both"/>
        <w:widowControl/>
        <w:ind w:left="60" w:right="45" w:hanging="15"/>
        <w:spacing w:after="45"/>
      </w:pPr>
      <w:r>
        <w:rPr>
          <w:b/>
          <w:sz w:val="22"/>
        </w:rPr>
        <w:t>9.9</w:t>
      </w:r>
      <w:r>
        <w:rPr>
          <w:sz w:val="22"/>
        </w:rPr>
        <w:t xml:space="preserve"> – Dos critérios gerais para desempate entre propostas:</w:t>
      </w:r>
    </w:p>
    <w:p>
      <w:pPr>
        <w:jc w:val="both"/>
        <w:widowControl/>
        <w:ind w:left="570" w:right="45" w:hanging="15"/>
        <w:spacing w:after="45"/>
      </w:pPr>
      <w:r>
        <w:rPr>
          <w:b/>
          <w:sz w:val="22"/>
        </w:rPr>
        <w:t>9.9.1</w:t>
      </w:r>
      <w:r>
        <w:rPr>
          <w:sz w:val="22"/>
        </w:rPr>
        <w:t xml:space="preserve"> - Em caso de empate entre duas ou mais propostas, serão utilizados os seguintes critérios de desempate, nesta ordem:</w:t>
      </w:r>
    </w:p>
    <w:p>
      <w:pPr>
        <w:jc w:val="both"/>
        <w:widowControl/>
        <w:ind w:right="45"/>
        <w:spacing w:after="45"/>
        <w:numPr>
          <w:ilvl w:val="0"/>
          <w:numId w:val="66"/>
        </w:numPr>
      </w:pPr>
      <w:r/>
      <w:r>
        <w:rPr>
          <w:sz w:val="22"/>
        </w:rPr>
        <w:t>– disputa final, hipótese em que os licitantes empatados poderão apresentar nova proposta em ato contínuo à classificação;</w:t>
      </w:r>
    </w:p>
    <w:p>
      <w:pPr>
        <w:jc w:val="both"/>
        <w:widowControl/>
        <w:ind w:right="45"/>
        <w:spacing w:after="45"/>
        <w:numPr>
          <w:ilvl w:val="0"/>
          <w:numId w:val="66"/>
        </w:numPr>
      </w:pPr>
      <w:r/>
      <w:r>
        <w:rPr>
          <w:sz w:val="22"/>
        </w:rPr>
        <w:t>– avaliação do desempenho contratual prévio dos licitantes, para a qual serão preferencialmente utilizados registros cadastrais para efeito de atesto de cumprimento de obrigações previstos na Lei 14.133/21;</w:t>
      </w:r>
    </w:p>
    <w:p>
      <w:pPr>
        <w:jc w:val="both"/>
        <w:widowControl/>
        <w:ind w:right="45"/>
        <w:spacing w:after="45"/>
        <w:numPr>
          <w:ilvl w:val="0"/>
          <w:numId w:val="66"/>
        </w:numPr>
      </w:pPr>
      <w:r/>
      <w:r>
        <w:rPr>
          <w:sz w:val="22"/>
        </w:rPr>
        <w:t>– desenvolvimento pelo licitante de ações de equidade entre homens e mulheres no ambiente de trabalho, conforme regulamento;</w:t>
      </w:r>
    </w:p>
    <w:p>
      <w:pPr>
        <w:jc w:val="both"/>
        <w:widowControl/>
        <w:ind w:right="45"/>
        <w:spacing w:after="45"/>
        <w:numPr>
          <w:ilvl w:val="0"/>
          <w:numId w:val="66"/>
        </w:numPr>
      </w:pPr>
      <w:r/>
      <w:r>
        <w:rPr>
          <w:sz w:val="22"/>
        </w:rPr>
        <w:t>– desenvolvimento pelo licitante de programa de integridade, conforme orientações dos órgãos de controle.</w:t>
      </w:r>
    </w:p>
    <w:p>
      <w:pPr>
        <w:jc w:val="both"/>
        <w:widowControl/>
        <w:ind w:left="570" w:right="45" w:hanging="15"/>
        <w:spacing w:after="45"/>
      </w:pPr>
      <w:r>
        <w:rPr>
          <w:b/>
          <w:sz w:val="22"/>
        </w:rPr>
        <w:t>9.9.2</w:t>
      </w:r>
      <w:r>
        <w:rPr>
          <w:sz w:val="22"/>
        </w:rPr>
        <w:t xml:space="preserve"> - Em igualdade de condições, se não houver desempate, será assegurada preferência, sucessivamente, aos bens e serviços produzidos ou prestados por:</w:t>
      </w:r>
    </w:p>
    <w:p>
      <w:pPr>
        <w:jc w:val="both"/>
        <w:widowControl/>
        <w:ind w:right="45"/>
        <w:spacing w:after="45"/>
        <w:numPr>
          <w:ilvl w:val="0"/>
          <w:numId w:val="85"/>
        </w:numPr>
      </w:pPr>
      <w:r/>
      <w:r>
        <w:rPr>
          <w:sz w:val="22"/>
        </w:rPr>
        <w:t>–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pPr>
        <w:jc w:val="both"/>
        <w:widowControl/>
        <w:ind w:right="45"/>
        <w:spacing w:after="45"/>
        <w:numPr>
          <w:ilvl w:val="0"/>
          <w:numId w:val="85"/>
        </w:numPr>
      </w:pPr>
      <w:r/>
      <w:r>
        <w:rPr>
          <w:sz w:val="22"/>
        </w:rPr>
        <w:t>– empresas brasileiras;</w:t>
      </w:r>
    </w:p>
    <w:p>
      <w:pPr>
        <w:jc w:val="both"/>
        <w:widowControl/>
        <w:ind w:right="45"/>
        <w:spacing w:after="45"/>
        <w:numPr>
          <w:ilvl w:val="0"/>
          <w:numId w:val="85"/>
        </w:numPr>
      </w:pPr>
      <w:r/>
      <w:r>
        <w:rPr>
          <w:sz w:val="22"/>
        </w:rPr>
        <w:t>– empresas que invistam em pesquisa e no desenvolvimento de tecnologia no País;</w:t>
      </w:r>
    </w:p>
    <w:p>
      <w:pPr>
        <w:jc w:val="both"/>
        <w:widowControl/>
        <w:ind w:right="45"/>
        <w:spacing w:after="45"/>
        <w:numPr>
          <w:ilvl w:val="0"/>
          <w:numId w:val="85"/>
        </w:numPr>
      </w:pPr>
      <w:r/>
      <w:r>
        <w:rPr>
          <w:sz w:val="22"/>
        </w:rPr>
        <w:t>– empresas que comprovem a prática de mitigação, nos termos da Lei nº 12.187, de 29 de dezembro de 2009.</w:t>
      </w:r>
    </w:p>
    <w:p>
      <w:pPr>
        <w:jc w:val="both"/>
        <w:widowControl/>
        <w:ind w:left="60" w:right="45" w:hanging="15"/>
        <w:spacing w:after="45"/>
        <w:tabs>
          <w:tab w:val="left" w:pos="570"/>
        </w:tabs>
      </w:pPr>
      <w:r>
        <w:rPr>
          <w:b/>
          <w:sz w:val="22"/>
        </w:rPr>
        <w:t>9.10</w:t>
      </w:r>
      <w:r>
        <w:rPr>
          <w:sz w:val="22"/>
        </w:rPr>
        <w:tab/>
      </w:r>
      <w:r>
        <w:rPr>
          <w:sz w:val="22"/>
        </w:rPr>
        <w:t>- As regras previstas no item 9.14.2 não prejudicarão a aplicação do disposto no art. 44 da Lei Complementar nº 123, de 14 de dezembro de 2006.</w:t>
      </w:r>
    </w:p>
    <w:p>
      <w:pPr>
        <w:jc w:val="both"/>
        <w:widowControl/>
        <w:ind w:left="60" w:right="45" w:hanging="15"/>
        <w:spacing w:after="45"/>
        <w:tabs>
          <w:tab w:val="left" w:pos="570"/>
        </w:tabs>
      </w:pPr>
      <w:r>
        <w:rPr>
          <w:b/>
          <w:sz w:val="22"/>
        </w:rPr>
        <w:t>9.11</w:t>
      </w:r>
      <w:r>
        <w:rPr>
          <w:sz w:val="22"/>
        </w:rPr>
        <w:tab/>
      </w:r>
      <w:r>
        <w:rPr>
          <w:sz w:val="22"/>
        </w:rPr>
        <w:t>- Após o encerramento da etapa de lances, o agente de contratação e ou a equipe de apoio poderá encaminhar, pelo sistema eletrônico, contraproposta diretamente à licitante que tenha apresentado o lance mais vantajoso, para que seja obtida melhor proposta, observado o critério de julgamento, não se admitindo negociar condições diferentes daquelas previstas neste Edital;</w:t>
      </w:r>
    </w:p>
    <w:p>
      <w:pPr>
        <w:jc w:val="both"/>
        <w:widowControl/>
        <w:ind w:left="480" w:right="45" w:hanging="450"/>
        <w:spacing w:after="45"/>
      </w:pPr>
      <w:r>
        <w:rPr>
          <w:b/>
          <w:sz w:val="22"/>
        </w:rPr>
        <w:t>9.12</w:t>
      </w:r>
      <w:r>
        <w:rPr>
          <w:b/>
          <w:sz w:val="22"/>
        </w:rPr>
        <w:tab/>
      </w:r>
      <w:r>
        <w:rPr>
          <w:sz w:val="22"/>
        </w:rPr>
        <w:t>- A negociação será realizada por meio do sistema, podendo ser acompanhada pelos demais licitantes.</w:t>
      </w:r>
    </w:p>
    <w:p>
      <w:pPr>
        <w:jc w:val="both"/>
        <w:widowControl/>
        <w:ind w:left="480" w:right="45" w:hanging="450"/>
        <w:spacing w:after="45"/>
      </w:pPr>
      <w:r>
        <w:rPr>
          <w:b/>
          <w:sz w:val="22"/>
        </w:rPr>
        <w:t>9.13</w:t>
      </w:r>
      <w:r>
        <w:rPr>
          <w:sz w:val="22"/>
        </w:rPr>
        <w:tab/>
      </w:r>
      <w:r>
        <w:rPr>
          <w:sz w:val="22"/>
        </w:rPr>
        <w:t>- É vedada a desistência dos lances já ofertados sujeitando-se o proponente às sanções previstas nas leis pertinentes.</w:t>
      </w:r>
    </w:p>
    <w:p>
      <w:pPr>
        <w:jc w:val="both"/>
        <w:widowControl/>
        <w:ind w:left="480" w:right="45" w:hanging="450"/>
        <w:spacing w:after="45"/>
      </w:pPr>
      <w:r>
        <w:rPr>
          <w:sz w:val="22"/>
          <w:color w:val="FFFFFF"/>
        </w:rPr>
        <w:t/>
      </w:r>
    </w:p>
    <w:p>
      <w:pPr>
        <w:outlineLvl w:val="0"/>
        <w:keepLines/>
        <w:keepNext/>
        <w:widowControl/>
        <w:spacing w:after="45"/>
        <w:shd w:val="clear" w:color="auto" w:fill="0D0D0D"/>
        <w:tabs>
          <w:tab w:val="left" w:pos="285"/>
          <w:tab w:val="center" w:pos="3135"/>
        </w:tabs>
      </w:pPr>
      <w:r>
        <w:rPr>
          <w:b/>
          <w:sz w:val="22"/>
          <w:color w:val="FFFFFF"/>
        </w:rPr>
        <w:t>10</w:t>
      </w:r>
      <w:r>
        <w:rPr>
          <w:b/>
          <w:sz w:val="22"/>
          <w:color w:val="FFFFFF"/>
        </w:rPr>
        <w:tab/>
      </w:r>
      <w:r>
        <w:rPr>
          <w:b/>
          <w:sz w:val="22"/>
          <w:color w:val="FFFFFF"/>
        </w:rPr>
        <w:t>- DA MANIFESTAÇÃO DOS RECURSOS DO PROCESSO</w:t>
      </w:r>
    </w:p>
    <w:p>
      <w:pPr>
        <w:jc w:val="both"/>
        <w:widowControl/>
        <w:ind w:left="285" w:right="45" w:hanging="15"/>
        <w:spacing w:after="45"/>
      </w:pPr>
      <w:r>
        <w:rPr>
          <w:b/>
          <w:sz w:val="22"/>
        </w:rPr>
        <w:t>10.1</w:t>
      </w:r>
      <w:r>
        <w:rPr>
          <w:sz w:val="22"/>
        </w:rPr>
        <w:t xml:space="preserve"> - Uma vez admitido o recurso, o recorrente terá, a partir de então, o prazo de 03 (três) dias úteis para apresentar as razões, pelo sistema eletrônico, ficando os demais licitantes, desde logo, intimados para, querendo, apresentarem contrarrazões também pelo sistema eletrônico, em outros 03 (três) dias úteis, que começarão a contar do término do prazo do recorrente, sendo-lhes assegurada vista imediata dos elementos indispensáveis à defesa de seus interesses.</w:t>
      </w:r>
    </w:p>
    <w:p>
      <w:pPr>
        <w:jc w:val="both"/>
        <w:widowControl/>
        <w:ind w:left="285" w:right="45" w:hanging="15"/>
        <w:spacing w:after="45"/>
      </w:pPr>
      <w:r>
        <w:rPr>
          <w:b/>
          <w:sz w:val="22"/>
        </w:rPr>
        <w:t>10.2</w:t>
      </w:r>
      <w:r>
        <w:rPr>
          <w:sz w:val="22"/>
        </w:rPr>
        <w:t xml:space="preserve"> - O acolhimento do recurso invalida tão somente os atos insuscetíveis de aproveitamento.</w:t>
      </w:r>
    </w:p>
    <w:p>
      <w:pPr>
        <w:jc w:val="both"/>
        <w:widowControl/>
        <w:ind w:left="285" w:right="45" w:hanging="15"/>
        <w:spacing w:after="45"/>
      </w:pPr>
      <w:r>
        <w:rPr>
          <w:b/>
          <w:sz w:val="22"/>
        </w:rPr>
        <w:t>10.3</w:t>
      </w:r>
      <w:r>
        <w:rPr>
          <w:sz w:val="22"/>
        </w:rPr>
        <w:t xml:space="preserve"> - Os autos do processo permanecerão com vista franqueada aos interessados, na Divisão de Licitações e Contratos e no Portal Transparência, da Prefeitura Municipal de Guairaçá, sito à Rua Francisco Vieira 1181, 248 - centro – Guairaçá - PR.</w:t>
      </w:r>
    </w:p>
    <w:p>
      <w:pPr>
        <w:jc w:val="both"/>
        <w:widowControl/>
        <w:ind w:left="285" w:right="45" w:hanging="15"/>
        <w:spacing w:after="45"/>
      </w:pPr>
      <w:r>
        <w:rPr>
          <w:b/>
          <w:sz w:val="22"/>
        </w:rPr>
        <w:t>10.4</w:t>
      </w:r>
      <w:r>
        <w:rPr>
          <w:sz w:val="22"/>
        </w:rPr>
        <w:t xml:space="preserve"> - Não serão conhecidos os recursos apresentados fora do prazo legal e/ou subscritos por representante não habilitado legalmente ou não identificado no processo para responder pelo proponente. Os documentos comprobatórios do representante legal (que comprovam os poderes legais) deverão ser enviados juntamente com o recurso.</w:t>
      </w:r>
    </w:p>
    <w:p>
      <w:pPr>
        <w:jc w:val="both"/>
        <w:widowControl/>
        <w:ind w:left="285" w:right="45" w:hanging="15"/>
        <w:spacing w:after="45"/>
      </w:pPr>
      <w:r>
        <w:rPr>
          <w:b/>
          <w:sz w:val="22"/>
        </w:rPr>
        <w:t>10.5</w:t>
      </w:r>
      <w:r>
        <w:rPr>
          <w:sz w:val="22"/>
        </w:rPr>
        <w:t xml:space="preserve"> - Ao final da sessão, divulgada a decisão do Agente de Contratação ou Equipe de apoio, em face do ato de julgamento das propostas ou ato de habilitação ou inabilitação de licitante, se dela discordar, caberá recurso, em conformidade com o que dispõe o art. 165, inc. I da Lei 14.133/2021, devendo a licitante manifestar motivadamente em campo próprio do sistema da COMPRAS BR sua intenção de recorrer, explicitando sucintamente suas razões.</w:t>
      </w:r>
    </w:p>
    <w:p>
      <w:pPr>
        <w:jc w:val="both"/>
        <w:widowControl/>
        <w:ind w:left="285" w:right="45" w:hanging="15"/>
        <w:spacing w:after="45"/>
      </w:pPr>
      <w:r>
        <w:rPr>
          <w:b/>
          <w:sz w:val="22"/>
        </w:rPr>
        <w:t>10.6</w:t>
      </w:r>
      <w:r>
        <w:rPr>
          <w:sz w:val="22"/>
        </w:rPr>
        <w:t xml:space="preserve"> - Havendo quem se manifeste, caberá ao Agente de Contratação ou Equipe de apoio, verificar a tempestividade e a existência de motivação da intenção de recorrer, para decidir se admite ou não o recurso, fundamentadamente.</w:t>
      </w:r>
    </w:p>
    <w:p>
      <w:pPr>
        <w:jc w:val="both"/>
        <w:widowControl/>
        <w:ind w:left="285" w:right="45" w:hanging="15"/>
        <w:spacing w:after="45"/>
      </w:pPr>
      <w:r>
        <w:rPr>
          <w:b/>
          <w:sz w:val="22"/>
        </w:rPr>
        <w:t>10.7</w:t>
      </w:r>
      <w:r>
        <w:rPr>
          <w:sz w:val="22"/>
        </w:rPr>
        <w:t xml:space="preserve"> - A falta de manifestação imediata e motivada da licitante importará na decadência do direito de recurso e adjudicação do objeto pelo Agente de Contratação à vencedora.</w:t>
      </w:r>
    </w:p>
    <w:p>
      <w:pPr>
        <w:jc w:val="both"/>
        <w:widowControl/>
        <w:ind w:left="285" w:right="45" w:hanging="15"/>
        <w:spacing w:after="45"/>
      </w:pPr>
      <w:r>
        <w:rPr>
          <w:b/>
          <w:sz w:val="22"/>
        </w:rPr>
        <w:t>10.8</w:t>
      </w:r>
      <w:r>
        <w:rPr>
          <w:sz w:val="22"/>
        </w:rPr>
        <w:t xml:space="preserve"> - Uma vez admitido o recurso, o recorrente terá, a partir de então, o prazo de 03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pPr>
        <w:jc w:val="both"/>
        <w:widowControl/>
        <w:ind w:left="285" w:right="45" w:hanging="15"/>
        <w:spacing w:after="45"/>
      </w:pPr>
      <w:r>
        <w:rPr>
          <w:b/>
          <w:sz w:val="22"/>
        </w:rPr>
        <w:t>10.9</w:t>
      </w:r>
      <w:r>
        <w:rPr>
          <w:sz w:val="22"/>
        </w:rPr>
        <w:t xml:space="preserve"> - O acolhimento do recurso importará na invalidação apenas dos atos insuscetíveis de aproveitamento.</w:t>
      </w:r>
    </w:p>
    <w:p>
      <w:pPr>
        <w:jc w:val="both"/>
        <w:widowControl/>
        <w:ind w:left="285" w:right="45" w:hanging="15"/>
        <w:spacing w:after="45"/>
      </w:pPr>
      <w:r>
        <w:rPr>
          <w:b/>
          <w:sz w:val="22"/>
        </w:rPr>
        <w:t>10.10</w:t>
      </w:r>
      <w:r>
        <w:rPr>
          <w:sz w:val="22"/>
        </w:rPr>
        <w:t xml:space="preserve"> - Os autos do processo permanecerão com vista franqueada aos interessados, na Divisão de Licitações e Contratos e no Portal Transparência, da Prefeitura Municipal de Guairaçá, sito à Rua Francisco Vieira 1181 - centro – Guairaçá - PR.</w:t>
      </w:r>
    </w:p>
    <w:p>
      <w:pPr>
        <w:jc w:val="both"/>
        <w:widowControl/>
        <w:ind w:left="285" w:right="45" w:hanging="15"/>
        <w:spacing w:after="45"/>
      </w:pPr>
      <w:r>
        <w:rPr>
          <w:b/>
          <w:sz w:val="22"/>
        </w:rPr>
        <w:t>10.11</w:t>
      </w:r>
      <w:r>
        <w:rPr>
          <w:sz w:val="22"/>
        </w:rPr>
        <w:t xml:space="preserve"> - Caso o Agente de Contratação ou a Equipe de Apoio não reconsidere o ato ou a decisão no prazo de 3 (três) dias úteis, encaminhará o recurso com a sua motivação à autoridade superior, a qual deverá proferir sua decisão no prazo máximo de 10 (dez) dias úteis, contado do recebimento dos autos, conforme disposto no art. 165, §2º da Lei nº 14.133/2021.</w:t>
      </w:r>
    </w:p>
    <w:p>
      <w:pPr>
        <w:jc w:val="both"/>
        <w:widowControl/>
        <w:ind w:left="285" w:right="45" w:hanging="15"/>
        <w:spacing w:after="45"/>
      </w:pPr>
      <w:r>
        <w:rPr>
          <w:b/>
          <w:sz w:val="22"/>
        </w:rPr>
        <w:t>10.12</w:t>
      </w:r>
      <w:r>
        <w:rPr>
          <w:sz w:val="22"/>
        </w:rPr>
        <w:t xml:space="preserve"> - O recurso e o pedido de reconsideração terão efeito suspensivo do ato ou da decisão recorrida até que sobrevenha decisão final da autoridade competente.</w:t>
      </w:r>
    </w:p>
    <w:p>
      <w:pPr>
        <w:jc w:val="both"/>
        <w:widowControl/>
        <w:ind w:left="285" w:right="45" w:hanging="15"/>
        <w:spacing w:after="45"/>
      </w:pPr>
      <w:r>
        <w:rPr>
          <w:b/>
          <w:sz w:val="22"/>
        </w:rPr>
        <w:t>10.13</w:t>
      </w:r>
      <w:r>
        <w:rPr>
          <w:sz w:val="22"/>
        </w:rPr>
        <w:t xml:space="preserve"> - O acolhimento de recurso importará na invalidação apenas dos atos insuscetíveis de aproveitamento.</w:t>
      </w:r>
    </w:p>
    <w:p>
      <w:pPr>
        <w:jc w:val="both"/>
        <w:widowControl/>
        <w:ind w:left="285" w:right="45" w:hanging="15"/>
        <w:spacing w:after="45"/>
      </w:pPr>
      <w:r>
        <w:rPr>
          <w:b/>
          <w:sz w:val="22"/>
        </w:rPr>
        <w:t>10.14</w:t>
      </w:r>
      <w:r>
        <w:rPr>
          <w:sz w:val="22"/>
        </w:rPr>
        <w:t xml:space="preserve"> - Na contagem dos prazos excluir-se-á o dia de início e incluir-se-á o do vencimento.</w:t>
      </w:r>
    </w:p>
    <w:p>
      <w:pPr>
        <w:jc w:val="both"/>
        <w:widowControl/>
        <w:ind w:left="285" w:right="45" w:hanging="15"/>
        <w:spacing w:after="45"/>
      </w:pPr>
      <w:r>
        <w:rPr>
          <w:b/>
          <w:sz w:val="22"/>
        </w:rPr>
        <w:t>10.15</w:t>
      </w:r>
      <w:r>
        <w:rPr>
          <w:sz w:val="22"/>
        </w:rPr>
        <w:t xml:space="preserve"> - Os prazos previstos iniciam e expiram exclusivamente em dia de expediente no âmbito do Município de Guairaçá.-PR.</w:t>
      </w:r>
    </w:p>
    <w:p>
      <w:pPr>
        <w:jc w:val="both"/>
        <w:widowControl/>
        <w:ind w:left="60" w:right="45" w:hanging="15"/>
        <w:spacing w:after="45"/>
      </w:pPr>
      <w:r>
        <w:rPr>
          <w:rFonts w:ascii="Times New Roman" w:hAnsi="Times New Roman" w:cs="Times New Roman" w:eastAsia="Times New Roman"/>
          <w:sz w:val="22"/>
        </w:rPr>
        <w:t/>
      </w:r>
    </w:p>
    <w:p>
      <w:pPr>
        <w:outlineLvl w:val="0"/>
        <w:keepLines/>
        <w:keepNext/>
        <w:widowControl/>
        <w:spacing w:after="45"/>
        <w:shd w:val="clear" w:color="auto" w:fill="0D0D0D"/>
        <w:tabs>
          <w:tab w:val="left" w:pos="285"/>
          <w:tab w:val="center" w:pos="2310"/>
        </w:tabs>
      </w:pPr>
      <w:r>
        <w:rPr>
          <w:b/>
          <w:sz w:val="22"/>
          <w:color w:val="FFFFFF"/>
        </w:rPr>
        <w:t>11</w:t>
      </w:r>
      <w:r>
        <w:rPr>
          <w:b/>
          <w:sz w:val="22"/>
          <w:color w:val="FFFFFF"/>
        </w:rPr>
        <w:tab/>
      </w:r>
      <w:r>
        <w:rPr>
          <w:b/>
          <w:sz w:val="22"/>
          <w:color w:val="FFFFFF"/>
        </w:rPr>
        <w:t>- DA HOMOLOGAÇÃO/ADJUDICAÇÃO</w:t>
      </w:r>
    </w:p>
    <w:p>
      <w:pPr>
        <w:jc w:val="both"/>
        <w:widowControl/>
        <w:ind w:left="285" w:right="45" w:hanging="15"/>
        <w:spacing w:after="45"/>
      </w:pPr>
      <w:r>
        <w:rPr>
          <w:b/>
          <w:sz w:val="22"/>
        </w:rPr>
        <w:t>11.1</w:t>
      </w:r>
      <w:r>
        <w:rPr>
          <w:sz w:val="22"/>
        </w:rPr>
        <w:t xml:space="preserve"> - Finalizada a fase recursal e definido o resultado de julgamento o Agente de Contratação ou a Equipe de apoio fará a adjudicação do objeto do presente certame à Licitante vencedora.</w:t>
      </w:r>
    </w:p>
    <w:p>
      <w:pPr>
        <w:jc w:val="both"/>
        <w:widowControl/>
        <w:ind w:left="285" w:right="45" w:hanging="15"/>
        <w:spacing w:after="45"/>
      </w:pPr>
      <w:r>
        <w:rPr>
          <w:b/>
          <w:sz w:val="22"/>
        </w:rPr>
        <w:t>11.2</w:t>
      </w:r>
      <w:r>
        <w:rPr>
          <w:sz w:val="22"/>
        </w:rPr>
        <w:t xml:space="preserve"> - A homologação da licitação é de responsabilidade da autoridade competente e só poderá ser realizada depois da adjudicação do objeto ao proponente vencedor pelo Agente de Contratação ou Equipe de Apoio, ou, quando houver recurso, pela própria autoridade competente.</w:t>
      </w:r>
    </w:p>
    <w:p>
      <w:pPr>
        <w:jc w:val="both"/>
        <w:widowControl/>
        <w:ind w:left="285" w:right="45" w:hanging="15"/>
        <w:spacing w:after="45"/>
      </w:pPr>
      <w:r>
        <w:rPr>
          <w:b/>
          <w:sz w:val="22"/>
        </w:rPr>
        <w:t xml:space="preserve">11.3 </w:t>
      </w:r>
      <w:r>
        <w:rPr>
          <w:sz w:val="22"/>
        </w:rPr>
        <w:t>- Será facultado à Prefeitura Municipal de Guairaçá,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pPr>
        <w:jc w:val="both"/>
        <w:widowControl/>
        <w:ind w:left="285" w:right="45" w:hanging="15"/>
        <w:spacing w:after="45"/>
      </w:pPr>
      <w:r>
        <w:rPr>
          <w:b/>
          <w:sz w:val="22"/>
        </w:rPr>
        <w:t>11.4</w:t>
      </w:r>
      <w:r>
        <w:rPr>
          <w:sz w:val="22"/>
        </w:rPr>
        <w:t xml:space="preserve"> - Na hipótese de nenhum dos Licitantes aceitar a contratação nos termos do subitem acima, a Prefeitura Municipal de Guairaçá poderá convocar os Licitantes remanescentes, observados o valor estimado e sua eventual atualização nos termos do edital:</w:t>
      </w:r>
    </w:p>
    <w:p>
      <w:pPr>
        <w:jc w:val="both"/>
        <w:widowControl/>
        <w:ind w:right="45"/>
        <w:spacing w:after="45"/>
        <w:numPr>
          <w:ilvl w:val="0"/>
          <w:numId w:val="54"/>
        </w:numPr>
      </w:pPr>
      <w:r/>
      <w:r>
        <w:rPr>
          <w:sz w:val="22"/>
        </w:rPr>
        <w:t>- convocar os licitantes remanescentes para negociação, na ordem de classificação, com vistas à obtenção de preço melhor, mesmo que acima do preço do adjudicatário;</w:t>
      </w:r>
    </w:p>
    <w:p>
      <w:pPr>
        <w:jc w:val="both"/>
        <w:widowControl/>
        <w:ind w:right="45"/>
        <w:spacing w:after="45"/>
        <w:numPr>
          <w:ilvl w:val="0"/>
          <w:numId w:val="54"/>
        </w:numPr>
      </w:pPr>
      <w:r/>
      <w:r>
        <w:rPr>
          <w:sz w:val="22"/>
        </w:rPr>
        <w:t>- adjudicar e celebrar o contrato nas condições ofertadas pelos licitantes remanescentes, atendida a ordem classificatória, quando frustrada a negociação de melhor condição.</w:t>
      </w:r>
    </w:p>
    <w:p>
      <w:pPr>
        <w:jc w:val="both"/>
        <w:widowControl/>
        <w:ind w:left="60" w:right="45"/>
        <w:spacing w:after="45"/>
      </w:pPr>
      <w:r>
        <w:rPr>
          <w:rFonts w:ascii="Times New Roman" w:hAnsi="Times New Roman" w:cs="Times New Roman" w:eastAsia="Times New Roman"/>
          <w:sz w:val="22"/>
        </w:rPr>
        <w:t/>
      </w:r>
    </w:p>
    <w:p>
      <w:pPr>
        <w:jc w:val="both"/>
        <w:outlineLvl w:val="0"/>
        <w:keepLines/>
        <w:keepNext/>
        <w:widowControl/>
        <w:ind w:left="60" w:right="45" w:hanging="15"/>
        <w:spacing w:after="45"/>
        <w:shd w:val="clear" w:color="auto" w:fill="0D0D0D"/>
      </w:pPr>
      <w:r>
        <w:rPr>
          <w:b/>
          <w:sz w:val="22"/>
          <w:color w:val="FFFFFF"/>
        </w:rPr>
        <w:t>12 - DA ASSINATURA DO CONTRATO</w:t>
      </w:r>
    </w:p>
    <w:p>
      <w:pPr>
        <w:jc w:val="both"/>
        <w:widowControl/>
        <w:ind w:left="420" w:right="45" w:hanging="15"/>
        <w:spacing w:after="45"/>
      </w:pPr>
      <w:r>
        <w:rPr>
          <w:b/>
          <w:sz w:val="22"/>
        </w:rPr>
        <w:t>12.1</w:t>
      </w:r>
      <w:r>
        <w:rPr>
          <w:sz w:val="22"/>
        </w:rPr>
        <w:t xml:space="preserve"> - Homologada a licitação pela autoridade competente da Prefeitura, a empresa licitante vencedora do certame será convocada oficialmente para, no prazo máximo de 03 (três) dias úteis, a contar da data do recebimento da convocação, assinar o Contrato, sob pena de decair o direito à contratação.</w:t>
      </w:r>
    </w:p>
    <w:p>
      <w:pPr>
        <w:jc w:val="both"/>
        <w:widowControl/>
        <w:ind w:left="60" w:right="45" w:hanging="15"/>
        <w:spacing w:after="45"/>
      </w:pPr>
      <w:r>
        <w:rPr>
          <w:rFonts w:ascii="Times New Roman" w:hAnsi="Times New Roman" w:cs="Times New Roman" w:eastAsia="Times New Roman"/>
          <w:sz w:val="22"/>
        </w:rPr>
        <w:t/>
      </w:r>
    </w:p>
    <w:p>
      <w:pPr>
        <w:jc w:val="both"/>
        <w:outlineLvl w:val="0"/>
        <w:keepLines/>
        <w:keepNext/>
        <w:widowControl/>
        <w:ind w:left="60" w:right="45" w:hanging="15"/>
        <w:spacing w:after="45"/>
        <w:shd w:val="clear" w:color="auto" w:fill="0D0D0D"/>
      </w:pPr>
      <w:r>
        <w:rPr>
          <w:b/>
          <w:sz w:val="22"/>
          <w:color w:val="FFFFFF"/>
        </w:rPr>
        <w:t>13 – DA EXECUÇÃO E FISCALIZAÇÃO E RECEBIMENTO DO OBJETO</w:t>
      </w:r>
    </w:p>
    <w:p>
      <w:pPr>
        <w:jc w:val="both"/>
        <w:widowControl/>
        <w:ind w:left="285" w:right="45" w:hanging="15"/>
        <w:spacing w:after="45"/>
      </w:pPr>
      <w:r>
        <w:rPr>
          <w:b/>
          <w:sz w:val="22"/>
        </w:rPr>
        <w:t>13.1</w:t>
      </w:r>
      <w:r>
        <w:rPr>
          <w:sz w:val="22"/>
        </w:rPr>
        <w:t xml:space="preserve"> - São designados como gestores do Contrato e responsáveis administrativos pela fiscalização da execução da entrega dos serviços objeto deste Edital os servidores indicados pela Secretaria solicitante, aos quais compete o acompanhamento da execução do objeto da presente contratação, informando aos gestores às ocorrências que possam prejudicar o bom andamento do contrato e ainda:</w:t>
      </w:r>
    </w:p>
    <w:p>
      <w:pPr>
        <w:jc w:val="both"/>
        <w:widowControl/>
        <w:ind w:right="45"/>
        <w:spacing w:after="45"/>
        <w:numPr>
          <w:ilvl w:val="0"/>
          <w:numId w:val="68"/>
        </w:numPr>
      </w:pPr>
      <w:r/>
      <w:r>
        <w:rPr>
          <w:sz w:val="22"/>
        </w:rPr>
        <w:t>- atestar, em documento hábil, o fornecimento e a entrega dos serviços executados e após conferência prévia do objeto contratado encaminhar os documentos pertinentes ao gestor para certificação;</w:t>
      </w:r>
    </w:p>
    <w:p>
      <w:pPr>
        <w:jc w:val="both"/>
        <w:widowControl/>
        <w:ind w:right="45"/>
        <w:spacing w:after="45"/>
        <w:numPr>
          <w:ilvl w:val="0"/>
          <w:numId w:val="68"/>
        </w:numPr>
      </w:pPr>
      <w:r/>
      <w:r>
        <w:rPr>
          <w:sz w:val="22"/>
        </w:rPr>
        <w:t>- confrontar os preços e quantidades constantes da nota fiscal com os estabelecidos no contrato;</w:t>
      </w:r>
    </w:p>
    <w:p>
      <w:pPr>
        <w:jc w:val="both"/>
        <w:widowControl/>
        <w:ind w:right="45"/>
        <w:spacing w:after="45"/>
        <w:numPr>
          <w:ilvl w:val="0"/>
          <w:numId w:val="68"/>
        </w:numPr>
      </w:pPr>
      <w:r/>
      <w:r>
        <w:rPr>
          <w:sz w:val="22"/>
        </w:rPr>
        <w:t>- verificar se o prazo de entrega, especificações e quantidades encontram-se de acordo com o estabelecido no instrumento contratual;</w:t>
      </w:r>
    </w:p>
    <w:p>
      <w:pPr>
        <w:jc w:val="both"/>
        <w:widowControl/>
        <w:ind w:right="45"/>
        <w:spacing w:after="45"/>
        <w:numPr>
          <w:ilvl w:val="0"/>
          <w:numId w:val="68"/>
        </w:numPr>
      </w:pPr>
      <w:r/>
      <w:r>
        <w:rPr>
          <w:sz w:val="22"/>
        </w:rPr>
        <w:t>- comunicar ao gestor eventuais atrasos nos prazos de entrega e/ou execução do objeto, bem como os pedidos de prorrogação, se for o caso;</w:t>
      </w:r>
    </w:p>
    <w:p>
      <w:pPr>
        <w:jc w:val="both"/>
        <w:widowControl/>
        <w:ind w:right="45"/>
        <w:spacing w:after="45"/>
        <w:numPr>
          <w:ilvl w:val="0"/>
          <w:numId w:val="68"/>
        </w:numPr>
      </w:pPr>
      <w:r/>
      <w:r>
        <w:rPr>
          <w:sz w:val="22"/>
        </w:rPr>
        <w:t>- acompanhar e controlar, quando for o caso, o estoque de materiais de reposição, destinado à execução do objeto contratado, relativamente à qualidade e quantidade necessárias e /ou previstas contratualmente;</w:t>
      </w:r>
    </w:p>
    <w:p>
      <w:pPr>
        <w:jc w:val="both"/>
        <w:widowControl/>
        <w:ind w:right="45"/>
        <w:spacing w:after="45"/>
        <w:numPr>
          <w:ilvl w:val="0"/>
          <w:numId w:val="68"/>
        </w:numPr>
      </w:pPr>
      <w:r/>
      <w:r>
        <w:rPr>
          <w:sz w:val="22"/>
        </w:rPr>
        <w:t>- informar, em prazo hábil no caso de haver necessidade de acréscimos ou supressões no objeto do contrato ao gestor do contrato;</w:t>
      </w:r>
    </w:p>
    <w:p>
      <w:pPr>
        <w:jc w:val="both"/>
        <w:widowControl/>
        <w:ind w:right="45"/>
        <w:spacing w:after="45"/>
        <w:numPr>
          <w:ilvl w:val="0"/>
          <w:numId w:val="68"/>
        </w:numPr>
      </w:pPr>
      <w:r/>
      <w:r>
        <w:rPr>
          <w:sz w:val="22"/>
        </w:rPr>
        <w:t>- emitir e controlar, periodicamente, as ordens de serviço necessárias para a execução do objeto contratado;</w:t>
      </w:r>
    </w:p>
    <w:p>
      <w:pPr>
        <w:jc w:val="both"/>
        <w:widowControl/>
        <w:ind w:left="285" w:right="45"/>
        <w:spacing w:after="45"/>
      </w:pPr>
      <w:r>
        <w:rPr>
          <w:b/>
          <w:sz w:val="22"/>
        </w:rPr>
        <w:t>13.2</w:t>
      </w:r>
      <w:r>
        <w:rPr>
          <w:sz w:val="22"/>
        </w:rPr>
        <w:t xml:space="preserve"> - A fiscalização de que trata esta cláusula não exclui nem reduz a responsabilidade da empresa vencedora do certame, pelos danos causados a Administração ou a terceiros, resultantes de ação ou omissão culposa ou dolosa de quaisquer de seus empregados ou prepostos.</w:t>
      </w:r>
    </w:p>
    <w:p>
      <w:pPr>
        <w:jc w:val="both"/>
        <w:widowControl/>
        <w:ind w:left="285" w:right="45"/>
        <w:spacing w:after="45"/>
      </w:pPr>
      <w:r>
        <w:rPr>
          <w:b/>
          <w:sz w:val="22"/>
        </w:rPr>
        <w:t>13.3</w:t>
      </w:r>
      <w:r>
        <w:rPr>
          <w:sz w:val="22"/>
        </w:rPr>
        <w:tab/>
      </w:r>
      <w:r>
        <w:rPr>
          <w:sz w:val="22"/>
        </w:rPr>
        <w:t>- A ação ou omissão, total ou parcial, da fiscalização da Administração, não elide nem diminui a responsabilidade da empresa quanto ao cumprimento das obrigações pactuadas entre as partes, responsabilizando esta quanto a quaisquer irregularidades resultantes de imperfeições técnicas, emprego de material inadequado ou de qualidade inferior, que não implicarão corresponsabilidade da Administração ou do servidor designado para a fiscalização;</w:t>
      </w:r>
    </w:p>
    <w:p>
      <w:pPr>
        <w:jc w:val="both"/>
        <w:widowControl/>
        <w:ind w:left="285" w:right="45"/>
        <w:spacing w:after="45"/>
      </w:pPr>
      <w:r>
        <w:rPr>
          <w:b/>
          <w:sz w:val="22"/>
        </w:rPr>
        <w:t>13.4</w:t>
      </w:r>
      <w:r>
        <w:rPr>
          <w:sz w:val="22"/>
        </w:rPr>
        <w:tab/>
      </w:r>
      <w:r>
        <w:rPr>
          <w:sz w:val="22"/>
        </w:rPr>
        <w:t>– À Administração não caberá qualquer ônus pela rejeição dos produtos considerados inadequados.</w:t>
      </w:r>
    </w:p>
    <w:p>
      <w:pPr>
        <w:jc w:val="both"/>
        <w:widowControl/>
        <w:ind w:left="285" w:right="45"/>
        <w:spacing w:after="45"/>
      </w:pPr>
      <w:r>
        <w:rPr>
          <w:b/>
          <w:sz w:val="22"/>
        </w:rPr>
        <w:t>13.5</w:t>
      </w:r>
      <w:r>
        <w:rPr>
          <w:sz w:val="22"/>
        </w:rPr>
        <w:tab/>
      </w:r>
      <w:r>
        <w:rPr>
          <w:sz w:val="22"/>
        </w:rPr>
        <w:t>- Ao preposto da empresa vencedora competirá, entre outras atribuições:</w:t>
      </w:r>
    </w:p>
    <w:p>
      <w:pPr>
        <w:jc w:val="both"/>
        <w:widowControl/>
        <w:ind w:right="45"/>
        <w:spacing w:after="45"/>
        <w:numPr>
          <w:ilvl w:val="0"/>
          <w:numId w:val="69"/>
        </w:numPr>
      </w:pPr>
      <w:r/>
      <w:r>
        <w:rPr>
          <w:sz w:val="22"/>
        </w:rPr>
        <w:t xml:space="preserve"> representar os interesses da empresa perante a Administração;</w:t>
      </w:r>
    </w:p>
    <w:p>
      <w:pPr>
        <w:jc w:val="both"/>
        <w:widowControl/>
        <w:ind w:right="45"/>
        <w:spacing w:after="45"/>
        <w:numPr>
          <w:ilvl w:val="0"/>
          <w:numId w:val="69"/>
        </w:numPr>
      </w:pPr>
      <w:r/>
      <w:r>
        <w:rPr>
          <w:sz w:val="22"/>
        </w:rPr>
        <w:t xml:space="preserve"> realizar os procedimentos administrativos junto a Administração;</w:t>
      </w:r>
    </w:p>
    <w:p>
      <w:pPr>
        <w:jc w:val="both"/>
        <w:widowControl/>
        <w:ind w:right="45"/>
        <w:spacing w:after="45"/>
        <w:numPr>
          <w:ilvl w:val="0"/>
          <w:numId w:val="69"/>
        </w:numPr>
      </w:pPr>
      <w:r/>
      <w:r>
        <w:rPr>
          <w:sz w:val="22"/>
        </w:rPr>
        <w:t xml:space="preserve"> manter a Administração informada sobre o andamento e a qualidade dos produtos fornecidos;</w:t>
      </w:r>
    </w:p>
    <w:p>
      <w:pPr>
        <w:jc w:val="both"/>
        <w:widowControl/>
        <w:ind w:right="45"/>
        <w:spacing w:after="45"/>
        <w:numPr>
          <w:ilvl w:val="0"/>
          <w:numId w:val="69"/>
        </w:numPr>
      </w:pPr>
      <w:r/>
      <w:r>
        <w:rPr>
          <w:sz w:val="22"/>
        </w:rPr>
        <w:t xml:space="preserve"> comunicar eventuais irregularidades de caráter urgente, por escrito, ao fiscal do contrato com os esclarecimentos julgados necessários.</w:t>
      </w:r>
    </w:p>
    <w:p>
      <w:pPr>
        <w:jc w:val="both"/>
        <w:widowControl/>
        <w:ind w:left="285" w:right="45"/>
        <w:spacing w:after="45"/>
      </w:pPr>
      <w:r>
        <w:rPr>
          <w:b/>
          <w:sz w:val="22"/>
        </w:rPr>
        <w:t>13.6</w:t>
      </w:r>
      <w:r>
        <w:rPr>
          <w:sz w:val="22"/>
        </w:rPr>
        <w:tab/>
      </w:r>
      <w:r>
        <w:rPr>
          <w:sz w:val="22"/>
        </w:rPr>
        <w:t>- A empresa contratada deve indicar um responsável pelo serviço, para comunicação entre a fiscalização do contrato e a empresa contratada. Fica a critério da fiscalização, solicitar, a qualquer tempo a substituição de qualquer funcionário da contratada, ao seu exclusivo critério, cabendo à contratada, neste caso, promover a substituição imediata ou no prazo de 05 dias úteis, a contar do recebimento da solicitação, desde que não ocorra prejuízo da continuidade dos serviços, neste caso sendo prorrogado o prazo por igual período.</w:t>
      </w:r>
    </w:p>
    <w:p>
      <w:pPr>
        <w:jc w:val="both"/>
        <w:widowControl/>
        <w:ind w:left="285" w:right="45" w:hanging="15"/>
        <w:spacing w:after="45"/>
      </w:pPr>
      <w:r>
        <w:rPr>
          <w:b/>
          <w:sz w:val="22"/>
        </w:rPr>
        <w:t>13.7</w:t>
      </w:r>
      <w:r>
        <w:rPr>
          <w:sz w:val="22"/>
        </w:rPr>
        <w:tab/>
      </w:r>
      <w:r>
        <w:rPr>
          <w:sz w:val="22"/>
        </w:rPr>
        <w:t>- O município de Guairaçá exercerá ampla fiscalização da Contratada através de equipe de funcionários com autoridade para exercer, em seu nome, toda e qualquer ação de orientação geral, controle e fiscalização dos serviços de manutenção normal e especial.</w:t>
      </w:r>
    </w:p>
    <w:p>
      <w:pPr>
        <w:jc w:val="both"/>
        <w:widowControl/>
        <w:ind w:left="285" w:right="45" w:hanging="15"/>
        <w:spacing w:after="45"/>
      </w:pPr>
      <w:r>
        <w:rPr>
          <w:b/>
          <w:sz w:val="22"/>
        </w:rPr>
        <w:t>13.8</w:t>
      </w:r>
      <w:r>
        <w:rPr>
          <w:sz w:val="22"/>
        </w:rPr>
        <w:tab/>
      </w:r>
      <w:r>
        <w:rPr>
          <w:sz w:val="22"/>
        </w:rPr>
        <w:t>- A fiscalização deverá ter acesso diário ao sistema informatizado, implementado pela contratada, que contenha os registros de solicitações, manutenções e a relação dos materiais aplicados e ou substituídos em cada serviço executado de iluminação pública.</w:t>
      </w:r>
    </w:p>
    <w:p>
      <w:pPr>
        <w:jc w:val="both"/>
        <w:widowControl/>
        <w:ind w:left="285" w:right="45" w:hanging="15"/>
        <w:spacing w:after="45"/>
      </w:pPr>
      <w:r>
        <w:rPr>
          <w:b/>
          <w:sz w:val="22"/>
        </w:rPr>
        <w:t>13.9</w:t>
      </w:r>
      <w:r>
        <w:rPr>
          <w:sz w:val="22"/>
        </w:rPr>
        <w:tab/>
      </w:r>
      <w:r>
        <w:rPr>
          <w:sz w:val="22"/>
        </w:rPr>
        <w:t>– Será permitido, a qualquer horário, o acesso da fiscalização às dependências da Contratada. A Contratada deverá submeter à aprovação da Fiscalização, mensalmente, relatório dos materiais e serviços efetivamente aplicados no sistema de iluminação pública.</w:t>
      </w:r>
    </w:p>
    <w:p>
      <w:pPr>
        <w:jc w:val="both"/>
        <w:widowControl/>
        <w:ind w:left="60" w:right="45" w:hanging="15"/>
        <w:spacing w:after="45"/>
      </w:pPr>
      <w:r>
        <w:rPr>
          <w:rFonts w:ascii="Times New Roman" w:hAnsi="Times New Roman" w:cs="Times New Roman" w:eastAsia="Times New Roman"/>
          <w:sz w:val="22"/>
          <w:color w:val="FFFFFF"/>
        </w:rPr>
        <w:t/>
      </w:r>
    </w:p>
    <w:p>
      <w:pPr>
        <w:jc w:val="both"/>
        <w:outlineLvl w:val="0"/>
        <w:keepLines/>
        <w:keepNext/>
        <w:widowControl/>
        <w:ind w:left="60" w:right="45" w:hanging="15"/>
        <w:spacing w:after="45"/>
        <w:shd w:val="clear" w:color="auto" w:fill="0D0D0D"/>
      </w:pPr>
      <w:r>
        <w:rPr>
          <w:b/>
          <w:sz w:val="22"/>
          <w:color w:val="FFFFFF"/>
        </w:rPr>
        <w:t>14 - DAS OBRIGAÇÕES</w:t>
      </w:r>
    </w:p>
    <w:p>
      <w:pPr>
        <w:jc w:val="both"/>
        <w:outlineLvl w:val="1"/>
        <w:keepLines/>
        <w:keepNext/>
        <w:widowControl/>
        <w:ind w:left="285" w:right="45" w:hanging="15"/>
        <w:spacing w:after="45"/>
      </w:pPr>
      <w:r>
        <w:rPr>
          <w:b/>
          <w:sz w:val="22"/>
        </w:rPr>
        <w:t>14.1 - Obrigações da CONTRATADA</w:t>
      </w:r>
    </w:p>
    <w:p>
      <w:pPr>
        <w:jc w:val="both"/>
        <w:widowControl/>
        <w:ind w:left="705" w:right="45" w:hanging="15"/>
        <w:spacing w:after="45"/>
      </w:pPr>
      <w:r>
        <w:rPr>
          <w:b/>
          <w:sz w:val="22"/>
        </w:rPr>
        <w:t>14.1.1</w:t>
      </w:r>
      <w:r>
        <w:rPr>
          <w:sz w:val="22"/>
        </w:rPr>
        <w:t xml:space="preserve"> - A Contratada deve cumprir todas as obrigações constantes no Edital, no contrato, e seus anexos, assumindo como exclusivamente seus os riscos e as despesas decorrentes da boa e perfeita execução do objeto e, ainda:</w:t>
      </w:r>
    </w:p>
    <w:p>
      <w:pPr>
        <w:jc w:val="both"/>
        <w:widowControl/>
        <w:ind w:left="1425" w:right="45" w:hanging="15"/>
        <w:spacing w:after="45"/>
      </w:pPr>
      <w:r>
        <w:rPr>
          <w:b/>
          <w:sz w:val="22"/>
        </w:rPr>
        <w:t xml:space="preserve">14.1.1.1 </w:t>
      </w:r>
      <w:r>
        <w:rPr>
          <w:sz w:val="22"/>
        </w:rPr>
        <w:t>- A Contratada deverá substituir, reparar ou corrigir, às suas expensas, no prazo máximo de 5 (cinco) dias o material/serviços com avarias, defeitos ou vícios;</w:t>
      </w:r>
    </w:p>
    <w:p>
      <w:pPr>
        <w:jc w:val="both"/>
        <w:widowControl/>
        <w:ind w:left="1425" w:right="45" w:hanging="15"/>
        <w:spacing w:after="45"/>
      </w:pPr>
      <w:r>
        <w:rPr>
          <w:b/>
          <w:sz w:val="22"/>
        </w:rPr>
        <w:t xml:space="preserve">14.1.1.2 </w:t>
      </w:r>
      <w:r>
        <w:rPr>
          <w:sz w:val="22"/>
        </w:rPr>
        <w:t>- A Contratada deverá comunicar à Contratante, no prazo máximo de 24 (vinte e quatro) horas que antecede a data da execução, os motivos que impossibilitem o cumprimento do prazo previsto, com a devida comprovação;</w:t>
      </w:r>
    </w:p>
    <w:p>
      <w:pPr>
        <w:jc w:val="both"/>
        <w:widowControl/>
        <w:ind w:left="1425" w:right="45" w:hanging="15"/>
        <w:spacing w:after="45"/>
      </w:pPr>
      <w:r>
        <w:rPr>
          <w:b/>
          <w:sz w:val="22"/>
        </w:rPr>
        <w:t>14.1.1.3</w:t>
      </w:r>
      <w:r>
        <w:rPr>
          <w:sz w:val="22"/>
        </w:rPr>
        <w:t xml:space="preserve"> - A Contratada deverá manter, durante toda a execução do contrato, em compatibilidade com as obrigações assumidas, todas as condições de habilitação e qualificação exigidas na licitação; </w:t>
      </w:r>
    </w:p>
    <w:p>
      <w:pPr>
        <w:jc w:val="both"/>
        <w:widowControl/>
        <w:ind w:left="1425" w:right="45" w:hanging="15"/>
        <w:spacing w:after="45"/>
      </w:pPr>
      <w:r>
        <w:rPr>
          <w:b/>
          <w:sz w:val="22"/>
        </w:rPr>
        <w:t>14.1.1.4</w:t>
      </w:r>
      <w:r>
        <w:rPr>
          <w:sz w:val="22"/>
        </w:rPr>
        <w:t xml:space="preserve"> - Manter instalações adequadas à execução do contrato, conforme especificado neste anexo.</w:t>
      </w:r>
    </w:p>
    <w:p>
      <w:pPr>
        <w:jc w:val="both"/>
        <w:widowControl/>
        <w:ind w:left="1425" w:right="45" w:hanging="15"/>
        <w:spacing w:after="45"/>
      </w:pPr>
      <w:r>
        <w:rPr>
          <w:b/>
          <w:sz w:val="22"/>
        </w:rPr>
        <w:t>14.1.1.5</w:t>
      </w:r>
      <w:r>
        <w:rPr>
          <w:sz w:val="22"/>
        </w:rPr>
        <w:t xml:space="preserve"> - Dirigir tecnicamente os serviços e obras, executando-os com rigorosa observância ao estabelecido nas Instruções, bem como na forma da lei, respeitando as recomendações das Normas Técnicas Brasileiras, das Normas Técnicas da Concessionária e o Código de Obras do Município.</w:t>
      </w:r>
    </w:p>
    <w:p>
      <w:pPr>
        <w:jc w:val="both"/>
        <w:widowControl/>
        <w:ind w:left="1425" w:right="45" w:hanging="15"/>
        <w:spacing w:after="45"/>
      </w:pPr>
      <w:r>
        <w:rPr>
          <w:b/>
          <w:sz w:val="22"/>
        </w:rPr>
        <w:t>14.1.1.6</w:t>
      </w:r>
      <w:r>
        <w:rPr>
          <w:sz w:val="22"/>
        </w:rPr>
        <w:t xml:space="preserve"> - Fornecer toda a mão de obra, ferramental, equipamentos e materiais necessários à execução dos serviços.</w:t>
      </w:r>
    </w:p>
    <w:p>
      <w:pPr>
        <w:jc w:val="both"/>
        <w:widowControl/>
        <w:ind w:left="1425" w:right="45" w:hanging="15"/>
        <w:spacing w:after="45"/>
      </w:pPr>
      <w:r>
        <w:rPr>
          <w:b/>
          <w:sz w:val="22"/>
        </w:rPr>
        <w:t>14.1.1.7</w:t>
      </w:r>
      <w:r>
        <w:rPr>
          <w:sz w:val="22"/>
        </w:rPr>
        <w:t xml:space="preserve"> - Realizar todos os serviços descritos neste documento, e, diligenciar os casos omissos a fiscalização.</w:t>
      </w:r>
    </w:p>
    <w:p>
      <w:pPr>
        <w:jc w:val="both"/>
        <w:widowControl/>
        <w:ind w:left="1425" w:right="45" w:hanging="15"/>
        <w:spacing w:after="45"/>
      </w:pPr>
      <w:r>
        <w:rPr>
          <w:b/>
          <w:sz w:val="22"/>
        </w:rPr>
        <w:t>14.1.1.8</w:t>
      </w:r>
      <w:r>
        <w:rPr>
          <w:sz w:val="22"/>
        </w:rPr>
        <w:t xml:space="preserve"> - Providenciar equipamentos de segurança individuais e coletivos necessários à segurança na execução dos trabalhos, observando as normas de Segurança e Medicina do Trabalho.</w:t>
      </w:r>
    </w:p>
    <w:p>
      <w:pPr>
        <w:jc w:val="both"/>
        <w:widowControl/>
        <w:ind w:left="1425" w:right="45" w:hanging="15"/>
        <w:spacing w:after="45"/>
      </w:pPr>
      <w:r>
        <w:rPr>
          <w:b/>
          <w:sz w:val="22"/>
        </w:rPr>
        <w:t>14.1.1.9</w:t>
      </w:r>
      <w:r>
        <w:rPr>
          <w:sz w:val="22"/>
        </w:rPr>
        <w:t xml:space="preserve"> - Sinalizar, com equipamento adequado, conforme as normas e de acordo com as exigências do Código Nacional de Trânsito, os locais onde estiverem sendo executados os serviços.</w:t>
      </w:r>
    </w:p>
    <w:p>
      <w:pPr>
        <w:jc w:val="both"/>
        <w:widowControl/>
        <w:ind w:left="1425" w:right="45" w:hanging="15"/>
        <w:spacing w:after="45"/>
      </w:pPr>
      <w:r>
        <w:rPr>
          <w:b/>
          <w:sz w:val="22"/>
        </w:rPr>
        <w:t>14.1.1.10</w:t>
      </w:r>
      <w:r>
        <w:rPr>
          <w:sz w:val="22"/>
        </w:rPr>
        <w:t xml:space="preserve"> – Utilizar somente pessoal comprovadamente habilitado para todos os serviços técnicos e administrativos.</w:t>
      </w:r>
    </w:p>
    <w:p>
      <w:pPr>
        <w:jc w:val="both"/>
        <w:widowControl/>
        <w:ind w:left="1425" w:right="45" w:hanging="15"/>
        <w:spacing w:after="45"/>
      </w:pPr>
      <w:r>
        <w:rPr>
          <w:b/>
          <w:sz w:val="22"/>
        </w:rPr>
        <w:t>14.1.1.11</w:t>
      </w:r>
      <w:r>
        <w:rPr>
          <w:sz w:val="22"/>
        </w:rPr>
        <w:t xml:space="preserve"> - Manter seus empregados identificados e uniformizados.</w:t>
      </w:r>
    </w:p>
    <w:p>
      <w:pPr>
        <w:jc w:val="both"/>
        <w:widowControl/>
        <w:ind w:left="1425" w:right="45" w:hanging="15"/>
        <w:spacing w:after="45"/>
      </w:pPr>
      <w:r>
        <w:rPr>
          <w:b/>
          <w:sz w:val="22"/>
        </w:rPr>
        <w:t>14.1.1.12</w:t>
      </w:r>
      <w:r>
        <w:rPr>
          <w:sz w:val="22"/>
        </w:rPr>
        <w:t xml:space="preserve"> - A CONTRATADA deverá registrar Anotação de Responsabilidade Técnica dos serviços junto ao CREA, devendo a ser encaminhada via juntada à primeira Nota Fiscal/Fatura de Serviço.</w:t>
      </w:r>
    </w:p>
    <w:p>
      <w:pPr>
        <w:jc w:val="both"/>
        <w:outlineLvl w:val="1"/>
        <w:keepLines/>
        <w:keepNext/>
        <w:widowControl/>
        <w:ind w:left="285" w:right="45" w:hanging="15"/>
        <w:spacing w:after="45"/>
      </w:pPr>
      <w:r>
        <w:rPr>
          <w:b/>
          <w:sz w:val="24"/>
        </w:rPr>
        <w:t xml:space="preserve">14.2 - Obrigações da </w:t>
      </w:r>
      <w:r>
        <w:rPr>
          <w:b/>
          <w:sz w:val="22"/>
        </w:rPr>
        <w:t>CONTRATANTE</w:t>
      </w:r>
    </w:p>
    <w:p>
      <w:pPr>
        <w:jc w:val="both"/>
        <w:widowControl/>
        <w:ind w:left="705" w:right="45" w:hanging="15"/>
        <w:spacing w:after="45"/>
      </w:pPr>
      <w:r>
        <w:rPr>
          <w:b/>
          <w:sz w:val="22"/>
        </w:rPr>
        <w:t>14.2.1</w:t>
      </w:r>
      <w:r>
        <w:rPr>
          <w:sz w:val="22"/>
        </w:rPr>
        <w:t xml:space="preserve"> - Receber o objeto no prazo e condições estabelecidas no Edital e seus anexos;</w:t>
      </w:r>
    </w:p>
    <w:p>
      <w:pPr>
        <w:jc w:val="both"/>
        <w:widowControl/>
        <w:ind w:left="705" w:right="45" w:hanging="15"/>
        <w:spacing w:after="45"/>
      </w:pPr>
      <w:r>
        <w:rPr>
          <w:b/>
          <w:sz w:val="22"/>
        </w:rPr>
        <w:t>14.2.2</w:t>
      </w:r>
      <w:r>
        <w:rPr>
          <w:sz w:val="22"/>
        </w:rPr>
        <w:t xml:space="preserve"> - Verificar minuciosamente, no prazo fixado, a conformidade dos bens recebidos provisoriamente com as especificações constantes no Edital e da proposta, para fins de aceitação e recebimento definitivo;</w:t>
      </w:r>
    </w:p>
    <w:p>
      <w:pPr>
        <w:jc w:val="both"/>
        <w:widowControl/>
        <w:ind w:left="705" w:right="45" w:hanging="15"/>
        <w:spacing w:after="45"/>
      </w:pPr>
      <w:r>
        <w:rPr>
          <w:b/>
          <w:sz w:val="22"/>
        </w:rPr>
        <w:t>14.2.3</w:t>
      </w:r>
      <w:r>
        <w:rPr>
          <w:sz w:val="22"/>
        </w:rPr>
        <w:t xml:space="preserve"> - Comunicar a Contratada, por escrito, sobre imperfeições, falhas ou irregularidades verificadas no objeto fornecido, para que seja substituído, reparado ou corrigido;</w:t>
      </w:r>
    </w:p>
    <w:p>
      <w:pPr>
        <w:jc w:val="both"/>
        <w:widowControl/>
        <w:ind w:left="705" w:right="45" w:hanging="15"/>
        <w:spacing w:after="45"/>
      </w:pPr>
      <w:r>
        <w:rPr>
          <w:b/>
          <w:sz w:val="22"/>
        </w:rPr>
        <w:t>14.2.4</w:t>
      </w:r>
      <w:r>
        <w:rPr>
          <w:sz w:val="22"/>
        </w:rPr>
        <w:t xml:space="preserve"> - Acompanhar e fiscalizar o cumprimento das obrigações da Contratada, através de comissão/servidor especialmente designado;</w:t>
      </w:r>
    </w:p>
    <w:p>
      <w:pPr>
        <w:jc w:val="both"/>
        <w:widowControl/>
        <w:ind w:left="705" w:right="45" w:hanging="15"/>
        <w:spacing w:after="45"/>
      </w:pPr>
      <w:r>
        <w:rPr>
          <w:b/>
          <w:sz w:val="22"/>
        </w:rPr>
        <w:t>14.2.5</w:t>
      </w:r>
      <w:r>
        <w:rPr>
          <w:sz w:val="22"/>
        </w:rPr>
        <w:t xml:space="preserve"> - Efetuar o pagamento à Contratada no valor correspondente ao fornecimento do objeto, no prazo e forma estabelecidos no Edital e seus anexos;</w:t>
      </w:r>
    </w:p>
    <w:p>
      <w:pPr>
        <w:jc w:val="both"/>
        <w:widowControl/>
        <w:ind w:left="705" w:right="45" w:hanging="15"/>
        <w:spacing w:after="45"/>
      </w:pPr>
      <w:r>
        <w:rPr>
          <w:b/>
          <w:sz w:val="22"/>
        </w:rPr>
        <w:t>14.2.6</w:t>
      </w:r>
      <w:r>
        <w:rPr>
          <w:sz w:val="22"/>
        </w:rPr>
        <w:t xml:space="preserve"> - A administração do Município de Guairaçá não responderá por quaisquer compromissos assumidos pela Contratada com terceiros, ainda que vinculados à execução do presente objeto, bem como por qualquer dano causado a terceiros em decorrência de ato da Contratada, de seus empregados, prepostos ou subordinados.</w:t>
      </w:r>
    </w:p>
    <w:p>
      <w:pPr>
        <w:jc w:val="both"/>
        <w:widowControl/>
        <w:ind w:left="60" w:right="45" w:hanging="15"/>
        <w:spacing w:after="45"/>
      </w:pPr>
      <w:r>
        <w:rPr>
          <w:rFonts w:ascii="Times New Roman" w:hAnsi="Times New Roman" w:cs="Times New Roman" w:eastAsia="Times New Roman"/>
          <w:sz w:val="22"/>
        </w:rPr>
        <w:t/>
      </w:r>
    </w:p>
    <w:p>
      <w:pPr>
        <w:jc w:val="both"/>
        <w:outlineLvl w:val="0"/>
        <w:keepLines/>
        <w:keepNext/>
        <w:widowControl/>
        <w:ind w:left="60" w:right="45" w:hanging="15"/>
        <w:spacing w:after="45"/>
        <w:shd w:val="clear" w:color="auto" w:fill="0D0D0D"/>
      </w:pPr>
      <w:r>
        <w:rPr>
          <w:b/>
          <w:sz w:val="22"/>
          <w:color w:val="FFFFFF"/>
        </w:rPr>
        <w:t>15 - DO PAGAMENTO</w:t>
      </w:r>
    </w:p>
    <w:p>
      <w:pPr>
        <w:jc w:val="both"/>
        <w:widowControl/>
        <w:ind w:left="285" w:right="45" w:hanging="15"/>
        <w:spacing w:after="45"/>
      </w:pPr>
      <w:r>
        <w:rPr>
          <w:b/>
          <w:sz w:val="22"/>
        </w:rPr>
        <w:t>15.1</w:t>
      </w:r>
      <w:r>
        <w:rPr>
          <w:sz w:val="22"/>
        </w:rPr>
        <w:t xml:space="preserve"> O pagamento será efetuado em moeda brasileira corrente, em até </w:t>
      </w:r>
      <w:r>
        <w:rPr>
          <w:b/>
          <w:sz w:val="22"/>
        </w:rPr>
        <w:t>30 (trinta) dias</w:t>
      </w:r>
      <w:r>
        <w:rPr>
          <w:sz w:val="22"/>
        </w:rPr>
        <w:t>, após a apresentação correta da fatura dos serviços executados e documentos pertinentes, desde que atendidas às condições para liberação das parcelas.</w:t>
      </w:r>
    </w:p>
    <w:p>
      <w:pPr>
        <w:jc w:val="both"/>
        <w:widowControl/>
        <w:ind w:left="285" w:right="45" w:hanging="15"/>
        <w:spacing w:after="45"/>
      </w:pPr>
      <w:r>
        <w:rPr>
          <w:b/>
          <w:sz w:val="22"/>
        </w:rPr>
        <w:t>15.1.1</w:t>
      </w:r>
      <w:r>
        <w:rPr>
          <w:sz w:val="22"/>
        </w:rPr>
        <w:t xml:space="preserve"> A fiscalização procederá mensalmente, a contar da formalização do contrato de empreitada, à medição mensal baseada nos serviços executados, elaborará o boletim de medição, verificará o andamento físico dos serviços e comparará com o estabelecido no cronograma físico-financeiro, para que se permita a elaboração do processo de faturamento.</w:t>
      </w:r>
    </w:p>
    <w:p>
      <w:pPr>
        <w:jc w:val="both"/>
        <w:widowControl/>
        <w:ind w:left="285" w:right="45" w:hanging="15"/>
        <w:spacing w:after="45"/>
      </w:pPr>
      <w:r>
        <w:rPr>
          <w:b/>
          <w:sz w:val="22"/>
        </w:rPr>
        <w:t>15.2</w:t>
      </w:r>
      <w:r>
        <w:rPr>
          <w:sz w:val="22"/>
        </w:rPr>
        <w:t xml:space="preserve"> O faturamento de cada parcela mensal deverá ser apresentado, conforme segue, de modo a padronizar condições e forma de apresentação:</w:t>
      </w:r>
    </w:p>
    <w:p>
      <w:pPr>
        <w:jc w:val="both"/>
        <w:widowControl/>
        <w:ind w:right="45"/>
        <w:spacing w:after="45"/>
        <w:tabs>
          <w:tab w:val="left" w:pos="990"/>
        </w:tabs>
        <w:numPr>
          <w:ilvl w:val="0"/>
          <w:numId w:val="51"/>
        </w:numPr>
      </w:pPr>
      <w:r/>
      <w:r>
        <w:rPr>
          <w:sz w:val="22"/>
        </w:rPr>
        <w:t xml:space="preserve"> Nota Fiscal com discriminação resumida dos serviços executados, especificando em separados cada obra, período de execução da etapa, número da licitação e termo de contrato de empreitada, observação referente a retenção do INSS e outros dados que julgar convenientes, na apresente rasura e/ou entrelinhas e esteja certificada pelo licitador.</w:t>
      </w:r>
    </w:p>
    <w:p>
      <w:pPr>
        <w:jc w:val="both"/>
        <w:widowControl/>
        <w:ind w:right="45"/>
        <w:spacing w:after="45"/>
        <w:tabs>
          <w:tab w:val="left" w:pos="990"/>
        </w:tabs>
        <w:numPr>
          <w:ilvl w:val="0"/>
          <w:numId w:val="51"/>
        </w:numPr>
      </w:pPr>
      <w:r/>
      <w:r>
        <w:rPr>
          <w:sz w:val="22"/>
        </w:rPr>
        <w:t xml:space="preserve"> Fatura com discriminação resumida dos serviços executados, especificando em separados cada obra, período de execução da etapa, número da licitação e do termo de contrato de empreitada e outros dados que julgar convenientes, na apresente rasura e/ou entrelinhas e esteja certificada pelo licitador.</w:t>
      </w:r>
    </w:p>
    <w:p>
      <w:pPr>
        <w:jc w:val="both"/>
        <w:widowControl/>
        <w:ind w:right="45"/>
        <w:spacing w:after="45"/>
        <w:tabs>
          <w:tab w:val="left" w:pos="990"/>
        </w:tabs>
        <w:numPr>
          <w:ilvl w:val="0"/>
          <w:numId w:val="51"/>
        </w:numPr>
      </w:pPr>
      <w:r/>
      <w:r>
        <w:rPr>
          <w:sz w:val="22"/>
        </w:rPr>
        <w:t xml:space="preserve"> Cópia da guia de recolhimento do Fundo de Garantia por Tempo de Serviço - FGTS do último recolhimento devido, devidamente quitada e autenticada em cartório, de conformidade com o demonstrativo de dados referentes ao FGTS/INSS, exclusivo para cada obra.</w:t>
      </w:r>
    </w:p>
    <w:p>
      <w:pPr>
        <w:jc w:val="both"/>
        <w:widowControl/>
        <w:ind w:right="45"/>
        <w:spacing w:after="45"/>
        <w:tabs>
          <w:tab w:val="left" w:pos="990"/>
        </w:tabs>
        <w:numPr>
          <w:ilvl w:val="0"/>
          <w:numId w:val="51"/>
        </w:numPr>
      </w:pPr>
      <w:r/>
      <w:r>
        <w:rPr>
          <w:sz w:val="22"/>
        </w:rPr>
        <w:t xml:space="preserve"> A liberação da parcela referente a primeira medição fica condicionada à apresentação:</w:t>
      </w:r>
    </w:p>
    <w:p>
      <w:pPr>
        <w:jc w:val="both"/>
        <w:widowControl/>
        <w:ind w:right="45"/>
        <w:spacing w:after="45"/>
        <w:numPr>
          <w:ilvl w:val="3"/>
          <w:numId w:val="51"/>
        </w:numPr>
      </w:pPr>
      <w:r/>
      <w:r>
        <w:rPr>
          <w:sz w:val="22"/>
        </w:rPr>
        <w:t>Cópia da ART de Execução.</w:t>
      </w:r>
    </w:p>
    <w:p>
      <w:pPr>
        <w:jc w:val="both"/>
        <w:widowControl/>
        <w:ind w:right="45"/>
        <w:spacing w:after="45"/>
        <w:numPr>
          <w:ilvl w:val="3"/>
          <w:numId w:val="51"/>
        </w:numPr>
      </w:pPr>
      <w:r/>
      <w:r>
        <w:rPr>
          <w:sz w:val="22"/>
        </w:rPr>
        <w:t>Da quitação junto ao INSS, através de matrícula e/ou CND.</w:t>
      </w:r>
    </w:p>
    <w:p>
      <w:pPr>
        <w:jc w:val="both"/>
        <w:widowControl/>
        <w:ind w:right="45"/>
        <w:spacing w:after="45"/>
        <w:tabs>
          <w:tab w:val="left" w:pos="1425"/>
        </w:tabs>
        <w:numPr>
          <w:ilvl w:val="3"/>
          <w:numId w:val="51"/>
        </w:numPr>
      </w:pPr>
      <w:r/>
      <w:r>
        <w:rPr>
          <w:sz w:val="22"/>
        </w:rPr>
        <w:t>Da quitação junto ao FGTS/CEF, através do CRF.</w:t>
      </w:r>
    </w:p>
    <w:p>
      <w:pPr>
        <w:jc w:val="both"/>
        <w:widowControl/>
        <w:ind w:left="705" w:right="45"/>
        <w:spacing w:after="45"/>
        <w:tabs>
          <w:tab w:val="left" w:pos="990"/>
        </w:tabs>
      </w:pPr>
      <w:r>
        <w:rPr>
          <w:sz w:val="22"/>
        </w:rPr>
        <w:t>e)</w:t>
      </w:r>
      <w:r>
        <w:rPr>
          <w:sz w:val="22"/>
        </w:rPr>
        <w:tab/>
      </w:r>
      <w:r>
        <w:rPr>
          <w:sz w:val="22"/>
        </w:rPr>
        <w:t>A liberação da última parcela fica condicionada à apresentação:</w:t>
      </w:r>
    </w:p>
    <w:p>
      <w:pPr>
        <w:jc w:val="both"/>
        <w:widowControl/>
        <w:ind w:right="45"/>
        <w:spacing w:after="45"/>
        <w:tabs>
          <w:tab w:val="left" w:pos="1275"/>
        </w:tabs>
        <w:numPr>
          <w:ilvl w:val="3"/>
          <w:numId w:val="56"/>
        </w:numPr>
      </w:pPr>
      <w:r/>
      <w:r>
        <w:rPr>
          <w:sz w:val="22"/>
        </w:rPr>
        <w:t xml:space="preserve"> Da certidão negativa de débitos, expedida pelo INSS, referente ao objeto contratado concluído.</w:t>
      </w:r>
    </w:p>
    <w:p>
      <w:pPr>
        <w:jc w:val="both"/>
        <w:widowControl/>
        <w:ind w:right="45"/>
        <w:spacing w:after="45"/>
        <w:tabs>
          <w:tab w:val="left" w:pos="1275"/>
        </w:tabs>
        <w:numPr>
          <w:ilvl w:val="3"/>
          <w:numId w:val="56"/>
        </w:numPr>
      </w:pPr>
      <w:r/>
      <w:r>
        <w:rPr>
          <w:sz w:val="22"/>
        </w:rPr>
        <w:t xml:space="preserve"> Do Termo de Recebimento Provisório.</w:t>
      </w:r>
    </w:p>
    <w:p>
      <w:pPr>
        <w:jc w:val="both"/>
        <w:widowControl/>
        <w:ind w:right="45"/>
        <w:spacing w:after="45"/>
        <w:tabs>
          <w:tab w:val="left" w:pos="1275"/>
        </w:tabs>
        <w:numPr>
          <w:ilvl w:val="3"/>
          <w:numId w:val="56"/>
        </w:numPr>
      </w:pPr>
      <w:r/>
      <w:r>
        <w:rPr>
          <w:sz w:val="22"/>
        </w:rPr>
        <w:t xml:space="preserve"> De comprovante, nos casos previstos, de ligações definitivas de água e energia elétrica. As despesas referentes ao consumo de água e energia, durante a execução da obra, são de inteira responsabilidade da contratada.</w:t>
      </w:r>
    </w:p>
    <w:p>
      <w:pPr>
        <w:jc w:val="both"/>
        <w:widowControl/>
        <w:ind w:left="285" w:right="45" w:hanging="15"/>
        <w:spacing w:after="45"/>
      </w:pPr>
      <w:r>
        <w:rPr>
          <w:b/>
          <w:sz w:val="22"/>
        </w:rPr>
        <w:t>15.3</w:t>
      </w:r>
      <w:r>
        <w:rPr>
          <w:sz w:val="22"/>
        </w:rPr>
        <w:t xml:space="preserve"> Os preços são fixos e irreajustáveis no prazo de 01 (um) ano, contado da data do orçamento estimado.</w:t>
      </w:r>
    </w:p>
    <w:p>
      <w:pPr>
        <w:jc w:val="both"/>
        <w:widowControl/>
        <w:ind w:left="705" w:right="45" w:hanging="15"/>
        <w:spacing w:after="45"/>
      </w:pPr>
      <w:r>
        <w:rPr>
          <w:sz w:val="22"/>
        </w:rPr>
        <w:t>15.3.1 Após o interregno de 01 (um) ano da data do orçamento estimado e mediante solicitação da Contratada, os preços iniciais serão reajustados, mediante a aplicação, pelo Contratante, do índice IPCA/IBGE 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pPr>
        <w:jc w:val="both"/>
        <w:widowControl/>
        <w:ind w:left="285" w:right="45" w:hanging="15"/>
        <w:spacing w:after="45"/>
      </w:pPr>
      <w:r>
        <w:rPr>
          <w:b/>
          <w:sz w:val="22"/>
        </w:rPr>
        <w:t>15.4</w:t>
      </w:r>
      <w:r>
        <w:rPr>
          <w:sz w:val="22"/>
        </w:rPr>
        <w:t>. Quando o Contratante atrasar o pagamento de contas decorrentes das contratações será aplicado o índice oficial INPC/IBGE para atualização monetária, nos termos do art. 37, inciso XXI, alínea “d”, da Lei n.º 14.133/21.</w:t>
      </w:r>
    </w:p>
    <w:p>
      <w:pPr>
        <w:jc w:val="both"/>
        <w:widowControl/>
        <w:ind w:left="60" w:right="45" w:hanging="15"/>
        <w:spacing w:after="45"/>
      </w:pPr>
      <w:r>
        <w:rPr>
          <w:rFonts w:ascii="Times New Roman" w:hAnsi="Times New Roman" w:cs="Times New Roman" w:eastAsia="Times New Roman"/>
          <w:sz w:val="22"/>
        </w:rPr>
        <w:t/>
      </w:r>
    </w:p>
    <w:p>
      <w:pPr>
        <w:jc w:val="both"/>
        <w:outlineLvl w:val="0"/>
        <w:keepLines/>
        <w:keepNext/>
        <w:widowControl/>
        <w:ind w:left="60" w:right="45" w:hanging="15"/>
        <w:spacing w:after="45"/>
        <w:shd w:val="clear" w:color="auto" w:fill="0D0D0D"/>
      </w:pPr>
      <w:r>
        <w:rPr>
          <w:b/>
          <w:sz w:val="22"/>
          <w:color w:val="FFFFFF"/>
        </w:rPr>
        <w:t>16 - DA CAUÇÃO CONTRATUAL</w:t>
      </w:r>
    </w:p>
    <w:p>
      <w:pPr>
        <w:jc w:val="both"/>
        <w:widowControl/>
        <w:ind w:left="285" w:right="45" w:hanging="15"/>
        <w:spacing w:after="45"/>
      </w:pPr>
      <w:r>
        <w:rPr>
          <w:b/>
          <w:sz w:val="22"/>
        </w:rPr>
        <w:t>16.1</w:t>
      </w:r>
      <w:r>
        <w:rPr>
          <w:sz w:val="22"/>
        </w:rPr>
        <w:t xml:space="preserve"> - A licitante vencedora prestará garantia ao Contrato, em valor correspondente a </w:t>
      </w:r>
      <w:r>
        <w:rPr>
          <w:b/>
          <w:sz w:val="22"/>
        </w:rPr>
        <w:t>5%</w:t>
      </w:r>
      <w:r>
        <w:rPr>
          <w:sz w:val="22"/>
        </w:rPr>
        <w:t xml:space="preserve"> (cinco por cento) do seu valor global, nas modalidades definidas no art. 96, §1º, da Lei nº 14.133/2021, que lhe será devolvida após o término da vigência contratual, mediante solicitação por escrito, descontado, se for o caso, o valor das multas por ventura aplicadas e ainda não pagas pela empresa licitante vencedora.</w:t>
      </w:r>
    </w:p>
    <w:p>
      <w:pPr>
        <w:jc w:val="both"/>
        <w:widowControl/>
        <w:ind w:left="780" w:right="45" w:hanging="15"/>
        <w:spacing w:after="45"/>
      </w:pPr>
      <w:r>
        <w:rPr>
          <w:b/>
          <w:sz w:val="22"/>
        </w:rPr>
        <w:t>16.1.1 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conforme disposto no art. 59 §5º da Lei 14.133/2021.</w:t>
      </w:r>
    </w:p>
    <w:p>
      <w:pPr>
        <w:jc w:val="both"/>
        <w:widowControl/>
        <w:ind w:left="780" w:right="45" w:hanging="15"/>
        <w:spacing w:after="45"/>
      </w:pPr>
      <w:r>
        <w:rPr>
          <w:rFonts w:ascii="Calibri" w:hAnsi="Calibri" w:cs="Calibri" w:eastAsia="Calibri"/>
          <w:b/>
          <w:sz w:val="22"/>
        </w:rPr>
        <w:t/>
      </w:r>
    </w:p>
    <w:p>
      <w:pPr>
        <w:jc w:val="both"/>
        <w:widowControl/>
        <w:ind w:left="285" w:right="45" w:hanging="15"/>
        <w:spacing w:after="45"/>
      </w:pPr>
      <w:r>
        <w:rPr>
          <w:b/>
          <w:sz w:val="22"/>
        </w:rPr>
        <w:t>16.2</w:t>
      </w:r>
      <w:r>
        <w:rPr>
          <w:sz w:val="22"/>
        </w:rPr>
        <w:t xml:space="preserve"> - Caberá à licitante vencedora optar por uma das seguintes modalidades de garantia:</w:t>
      </w:r>
    </w:p>
    <w:p>
      <w:pPr>
        <w:jc w:val="both"/>
        <w:widowControl/>
        <w:ind w:right="45"/>
        <w:spacing w:after="45"/>
        <w:numPr>
          <w:ilvl w:val="0"/>
          <w:numId w:val="44"/>
        </w:numPr>
      </w:pPr>
      <w:r/>
      <w:r>
        <w:rPr>
          <w:sz w:val="22"/>
        </w:rPr>
        <w:t xml:space="preserve">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pPr>
        <w:jc w:val="both"/>
        <w:widowControl/>
        <w:ind w:right="45"/>
        <w:spacing w:after="45"/>
        <w:numPr>
          <w:ilvl w:val="0"/>
          <w:numId w:val="44"/>
        </w:numPr>
      </w:pPr>
      <w:r/>
      <w:r>
        <w:rPr>
          <w:sz w:val="22"/>
        </w:rPr>
        <w:t xml:space="preserve"> Seguro-Garantia – No caso da opção pelo Seguro Garantia, o mesmo será feito mediante entrega da competente apólice, emitida por Seguradora legalmente autorizada pela SUSEP a comercializar seguros, e em nome da SEMOB, cobrindo, inclusive, os riscos de rescisão do contrato;</w:t>
      </w:r>
    </w:p>
    <w:p>
      <w:pPr>
        <w:jc w:val="both"/>
        <w:widowControl/>
        <w:ind w:left="705" w:right="45" w:hanging="15"/>
        <w:spacing w:after="45"/>
        <w:tabs>
          <w:tab w:val="left" w:pos="990"/>
        </w:tabs>
      </w:pPr>
      <w:r>
        <w:rPr>
          <w:sz w:val="22"/>
        </w:rPr>
        <w:t>c)</w:t>
      </w:r>
      <w:r>
        <w:rPr>
          <w:sz w:val="22"/>
        </w:rPr>
        <w:tab/>
      </w:r>
      <w:r>
        <w:rPr>
          <w:sz w:val="22"/>
        </w:rPr>
        <w:t>Fiança bancária emitida por banco ou instituição financeira devidamente autorizada a operar no País pelo Banco Central do Brasil.</w:t>
      </w:r>
    </w:p>
    <w:p>
      <w:pPr>
        <w:jc w:val="both"/>
        <w:widowControl/>
        <w:ind w:left="285" w:right="45" w:hanging="15"/>
        <w:spacing w:after="45"/>
      </w:pPr>
      <w:r>
        <w:rPr>
          <w:b/>
          <w:sz w:val="22"/>
        </w:rPr>
        <w:t>16.3</w:t>
      </w:r>
      <w:r>
        <w:rPr>
          <w:sz w:val="22"/>
        </w:rPr>
        <w:tab/>
      </w:r>
      <w:r>
        <w:rPr>
          <w:sz w:val="22"/>
        </w:rPr>
        <w:t>– Caso a Licitante opte pela prestação da garantia na modalidade prevista na alínea “b” do item 16.2, deverá fazê-lo no prazo de até 30 (trinta) dias contados da data de homologação da licitação e anterior à assinatura do contrato. O comprovante de que a contratada prestou garantia nas demais modalidades deverão ser entregue ao Gestor e Fiscal do Contrato, em até 10 (dez) dias corridos, após a data de assinatura do contrato. A ordem de serviço só será emitida após a constituição da garantia.</w:t>
      </w:r>
    </w:p>
    <w:p>
      <w:pPr>
        <w:jc w:val="both"/>
        <w:widowControl/>
        <w:ind w:left="285" w:right="45" w:hanging="15"/>
        <w:spacing w:after="45"/>
      </w:pPr>
      <w:r>
        <w:rPr>
          <w:b/>
          <w:sz w:val="22"/>
        </w:rPr>
        <w:t>16.4</w:t>
      </w:r>
      <w:r>
        <w:rPr>
          <w:sz w:val="22"/>
        </w:rPr>
        <w:tab/>
      </w:r>
      <w:r>
        <w:rPr>
          <w:sz w:val="22"/>
        </w:rPr>
        <w:t>- A Prefeitura restituirá ou liberará a garantia ofertada, no prazo máximo 60 (sessenta) dias após a assinatura do termo de recebimento definitivo dos serviços objetos desta licitação, conforme art. 100 da Lei nº 14.133/2021, mediante requerimento.</w:t>
      </w:r>
    </w:p>
    <w:p>
      <w:pPr>
        <w:jc w:val="both"/>
        <w:widowControl/>
        <w:ind w:left="285" w:right="45" w:hanging="15"/>
        <w:spacing w:after="45"/>
      </w:pPr>
      <w:r>
        <w:rPr>
          <w:b/>
          <w:sz w:val="22"/>
        </w:rPr>
        <w:t>16.5</w:t>
      </w:r>
      <w:r>
        <w:rPr>
          <w:sz w:val="22"/>
        </w:rPr>
        <w:tab/>
      </w:r>
      <w:r>
        <w:rPr>
          <w:sz w:val="22"/>
        </w:rPr>
        <w:t>- Em caso de rescisão do contrato ou de interrupção dos serviços, não será devolvida a garantia, a menos que a rescisão ou paralisação decorram de acordo com a Prefeitura, nos termos da legislação vigente.</w:t>
      </w:r>
    </w:p>
    <w:p>
      <w:pPr>
        <w:jc w:val="both"/>
        <w:widowControl/>
        <w:ind w:left="285" w:right="45" w:hanging="15"/>
        <w:spacing w:after="45"/>
      </w:pPr>
      <w:r>
        <w:rPr>
          <w:b/>
          <w:sz w:val="22"/>
        </w:rPr>
        <w:t>16.6</w:t>
      </w:r>
      <w:r>
        <w:rPr>
          <w:sz w:val="22"/>
        </w:rPr>
        <w:tab/>
      </w:r>
      <w:r>
        <w:rPr>
          <w:sz w:val="22"/>
        </w:rPr>
        <w:t>- Havendo prorrogação de prazo formalmente admitido pela Administração, deverá o Contratado apresentar nova garantia de execução do Contrato, de forma a abranger o período de prorrogação, retendo a administração os créditos do Contratado, enquanto não efetivada tal garantia, ou valor a ela correspondente.</w:t>
      </w:r>
    </w:p>
    <w:p>
      <w:pPr>
        <w:jc w:val="both"/>
        <w:widowControl/>
        <w:ind w:left="285" w:right="45" w:hanging="15"/>
        <w:spacing w:after="45"/>
      </w:pPr>
      <w:r>
        <w:rPr>
          <w:b/>
          <w:sz w:val="22"/>
        </w:rPr>
        <w:t>16.7</w:t>
      </w:r>
      <w:r>
        <w:rPr>
          <w:sz w:val="22"/>
        </w:rPr>
        <w:tab/>
      </w:r>
      <w:r>
        <w:rPr>
          <w:sz w:val="22"/>
        </w:rPr>
        <w:t>- Ocorrendo aumento no valor contratual decorrente de acréscimos de obras ou serviços, o Contratado, por ocasião da assinatura do Termo Aditivo, deverá proceder ao reforço da garantia inicial, no mesmo percentual previsto.</w:t>
      </w:r>
    </w:p>
    <w:p>
      <w:pPr>
        <w:jc w:val="both"/>
        <w:widowControl/>
        <w:ind w:left="285" w:right="45" w:hanging="15"/>
        <w:spacing w:after="45"/>
      </w:pPr>
      <w:r>
        <w:rPr>
          <w:b/>
          <w:sz w:val="22"/>
        </w:rPr>
        <w:t>16.8</w:t>
      </w:r>
      <w:r>
        <w:rPr>
          <w:sz w:val="22"/>
        </w:rPr>
        <w:tab/>
      </w:r>
      <w:r>
        <w:rPr>
          <w:sz w:val="22"/>
        </w:rPr>
        <w:t>– A garantia assegurará, qualquer que seja a modalidade escolhida, o pagamento de obrigações trabalhistas e previdenciárias de qualquer natureza, não adimplidas pela contratada.</w:t>
      </w:r>
    </w:p>
    <w:p>
      <w:pPr>
        <w:jc w:val="both"/>
        <w:widowControl/>
        <w:ind w:left="60" w:right="45" w:hanging="15"/>
        <w:spacing w:after="45"/>
      </w:pPr>
      <w:r>
        <w:rPr>
          <w:rFonts w:ascii="Times New Roman" w:hAnsi="Times New Roman" w:cs="Times New Roman" w:eastAsia="Times New Roman"/>
          <w:sz w:val="22"/>
        </w:rPr>
        <w:t/>
      </w:r>
    </w:p>
    <w:p>
      <w:pPr>
        <w:jc w:val="both"/>
        <w:outlineLvl w:val="0"/>
        <w:keepLines/>
        <w:keepNext/>
        <w:widowControl/>
        <w:ind w:left="60" w:right="45" w:hanging="15"/>
        <w:spacing w:after="45"/>
        <w:shd w:val="clear" w:color="auto" w:fill="0D0D0D"/>
      </w:pPr>
      <w:r>
        <w:rPr>
          <w:b/>
          <w:sz w:val="22"/>
          <w:color w:val="FFFFFF"/>
        </w:rPr>
        <w:t>17 - DO PRAZO DE VIGÊNCIA E DOS ACRÉSCIMOS E SUPRESSÕES</w:t>
      </w:r>
    </w:p>
    <w:p>
      <w:pPr>
        <w:jc w:val="both"/>
        <w:widowControl/>
        <w:ind w:left="285" w:right="45" w:hanging="15"/>
        <w:spacing w:after="45"/>
      </w:pPr>
      <w:r>
        <w:rPr>
          <w:b/>
          <w:sz w:val="22"/>
        </w:rPr>
        <w:t>17.1</w:t>
      </w:r>
      <w:r>
        <w:rPr>
          <w:sz w:val="22"/>
        </w:rPr>
        <w:t xml:space="preserve"> - O prazo de vigência contratual terá início no dia subsequente ao da publicação do resumo do contrato nos Diários Oficiais, nos termos do §1º do art. 54 da Lei nº 14.133/2021, e terá duração de </w:t>
      </w:r>
      <w:r>
        <w:rPr>
          <w:b/>
          <w:sz w:val="22"/>
        </w:rPr>
        <w:t>09 (nove) meses</w:t>
      </w:r>
      <w:r>
        <w:rPr>
          <w:sz w:val="22"/>
        </w:rPr>
        <w:t>, nos termos do art. 105 da Lei nº 14.133/2021.</w:t>
      </w:r>
    </w:p>
    <w:p>
      <w:pPr>
        <w:jc w:val="both"/>
        <w:widowControl/>
        <w:ind w:left="585" w:right="45" w:hanging="15"/>
        <w:spacing w:after="45"/>
      </w:pPr>
      <w:r>
        <w:rPr>
          <w:b/>
          <w:sz w:val="22"/>
        </w:rPr>
        <w:t xml:space="preserve">17.1.1 </w:t>
      </w:r>
      <w:r>
        <w:rPr>
          <w:sz w:val="22"/>
        </w:rPr>
        <w:t xml:space="preserve">O prazo de execução da obra será de </w:t>
      </w:r>
      <w:r>
        <w:rPr>
          <w:b/>
          <w:sz w:val="22"/>
        </w:rPr>
        <w:t xml:space="preserve">90 (noventa) dias </w:t>
      </w:r>
      <w:r>
        <w:rPr>
          <w:sz w:val="22"/>
        </w:rPr>
        <w:t>corridos, contados da assinatura do respectivo contrato.</w:t>
      </w:r>
    </w:p>
    <w:p>
      <w:pPr>
        <w:jc w:val="both"/>
        <w:widowControl/>
        <w:ind w:left="285" w:right="45" w:hanging="15"/>
        <w:spacing w:after="45"/>
      </w:pPr>
      <w:r>
        <w:rPr>
          <w:b/>
          <w:sz w:val="22"/>
        </w:rPr>
        <w:t>17.2</w:t>
      </w:r>
      <w:r>
        <w:rPr>
          <w:sz w:val="22"/>
        </w:rPr>
        <w:t xml:space="preserve"> -</w:t>
      </w:r>
      <w:r>
        <w:t xml:space="preserve"> </w:t>
      </w:r>
      <w:r>
        <w:rPr>
          <w:b/>
        </w:rPr>
        <w:t>O PRAZO PARA INÍCIO DA OBRA SERÁ A PARTIR DO 11º DIA DA ASSINATURA DO TERMO DE                     CONTRATO.</w:t>
      </w:r>
    </w:p>
    <w:p>
      <w:pPr>
        <w:jc w:val="both"/>
        <w:widowControl/>
        <w:ind w:left="285" w:right="45" w:hanging="15"/>
        <w:spacing w:after="45"/>
      </w:pPr>
      <w:r>
        <w:rPr>
          <w:b/>
          <w:sz w:val="22"/>
        </w:rPr>
        <w:t>17.3</w:t>
      </w:r>
      <w:r>
        <w:rPr>
          <w:sz w:val="22"/>
        </w:rPr>
        <w:t xml:space="preserve"> - Na contagem do prazo de vigência estabelecido neste instrumento, excluir-se-á o dia da publicação e incluir-se-á o do vencimento, conforme disposto no Art. 183 da Lei nº. 14.133/2021.</w:t>
      </w:r>
    </w:p>
    <w:p>
      <w:pPr>
        <w:jc w:val="both"/>
        <w:widowControl/>
        <w:ind w:left="285" w:right="45" w:hanging="15"/>
        <w:spacing w:after="45"/>
      </w:pPr>
      <w:r>
        <w:rPr>
          <w:b/>
          <w:sz w:val="22"/>
        </w:rPr>
        <w:t>17.4</w:t>
      </w:r>
      <w:r>
        <w:rPr>
          <w:sz w:val="22"/>
        </w:rPr>
        <w:t xml:space="preserve"> - Só se iniciam e vencem os prazos previstos neste instrumento em dia de expediente na Prefeitura Municipal de Guairaçá-PR.</w:t>
      </w:r>
    </w:p>
    <w:p>
      <w:pPr>
        <w:jc w:val="both"/>
        <w:widowControl/>
        <w:ind w:left="285" w:right="45" w:hanging="15"/>
        <w:spacing w:after="45"/>
      </w:pPr>
      <w:r>
        <w:rPr>
          <w:b/>
          <w:sz w:val="22"/>
        </w:rPr>
        <w:t>17.5</w:t>
      </w:r>
      <w:r>
        <w:rPr>
          <w:sz w:val="22"/>
        </w:rPr>
        <w:t xml:space="preserve"> - A critério da Administração, o objeto da presente licitação poderá sofrer acréscimos ou supressões, de acordo com o art. 125 da Lei Federal nº 14.133/21.</w:t>
      </w:r>
    </w:p>
    <w:p>
      <w:pPr>
        <w:jc w:val="both"/>
        <w:widowControl/>
        <w:ind w:left="60" w:right="45" w:hanging="15"/>
        <w:spacing w:after="45"/>
      </w:pPr>
      <w:r>
        <w:rPr>
          <w:rFonts w:ascii="Times New Roman" w:hAnsi="Times New Roman" w:cs="Times New Roman" w:eastAsia="Times New Roman"/>
          <w:sz w:val="22"/>
        </w:rPr>
        <w:t/>
      </w:r>
    </w:p>
    <w:p>
      <w:pPr>
        <w:jc w:val="both"/>
        <w:outlineLvl w:val="0"/>
        <w:keepLines/>
        <w:keepNext/>
        <w:widowControl/>
        <w:ind w:left="60" w:right="45" w:hanging="15"/>
        <w:spacing w:after="45"/>
        <w:shd w:val="clear" w:color="auto" w:fill="0D0D0D"/>
      </w:pPr>
      <w:r>
        <w:rPr>
          <w:b/>
          <w:sz w:val="22"/>
          <w:color w:val="FFFFFF"/>
        </w:rPr>
        <w:t>18 – DO EQUILÍBRIO ECONÔMICO-FINANCEIRO DO CONTRATO</w:t>
      </w:r>
    </w:p>
    <w:p>
      <w:pPr>
        <w:jc w:val="both"/>
        <w:widowControl/>
        <w:ind w:left="285" w:right="45" w:hanging="15"/>
        <w:spacing w:after="45"/>
      </w:pPr>
      <w:r>
        <w:rPr>
          <w:b/>
          <w:sz w:val="22"/>
        </w:rPr>
        <w:t>18.1</w:t>
      </w:r>
      <w:r>
        <w:rPr>
          <w:sz w:val="22"/>
        </w:rPr>
        <w:t xml:space="preserve"> - Os preços deverão ser fixos e irreajustáveis, pelo período mínimo de </w:t>
      </w:r>
      <w:r>
        <w:rPr>
          <w:b/>
          <w:sz w:val="22"/>
        </w:rPr>
        <w:t>01 ano</w:t>
      </w:r>
      <w:r>
        <w:rPr>
          <w:sz w:val="22"/>
        </w:rPr>
        <w:t xml:space="preserve"> a contar da data base da proposta;</w:t>
      </w:r>
    </w:p>
    <w:p>
      <w:pPr>
        <w:jc w:val="both"/>
        <w:widowControl/>
        <w:ind w:left="285" w:right="45" w:hanging="15"/>
        <w:spacing w:after="45"/>
      </w:pPr>
      <w:r>
        <w:rPr>
          <w:b/>
          <w:sz w:val="22"/>
        </w:rPr>
        <w:t>18.2</w:t>
      </w:r>
      <w:r>
        <w:rPr>
          <w:sz w:val="22"/>
        </w:rPr>
        <w:t xml:space="preserve"> - Os preços referentes a mão de obra deverão ser repactuados para manutenção do equilíbrio econômico-financeiro, mediante demonstração analítica da variação dos custos contratuais, com data vinculada:</w:t>
      </w:r>
    </w:p>
    <w:p>
      <w:pPr>
        <w:jc w:val="both"/>
        <w:widowControl/>
        <w:ind w:right="45"/>
        <w:spacing w:after="45"/>
        <w:numPr>
          <w:ilvl w:val="0"/>
          <w:numId w:val="48"/>
        </w:numPr>
      </w:pPr>
      <w:r/>
      <w:r>
        <w:rPr>
          <w:sz w:val="22"/>
        </w:rPr>
        <w:t xml:space="preserve"> à da apresentação da proposta, para custos decorrentes do mercado;</w:t>
      </w:r>
    </w:p>
    <w:p>
      <w:pPr>
        <w:jc w:val="both"/>
        <w:widowControl/>
        <w:ind w:right="45"/>
        <w:spacing w:after="45"/>
        <w:numPr>
          <w:ilvl w:val="0"/>
          <w:numId w:val="48"/>
        </w:numPr>
      </w:pPr>
      <w:r/>
      <w:r>
        <w:rPr>
          <w:sz w:val="22"/>
        </w:rPr>
        <w:t xml:space="preserve"> ao acordo, à convenção coletiva ou ao dissídio coletivo ao qual a proposta esteja vinculada, para os custos demão de obra.</w:t>
      </w:r>
    </w:p>
    <w:p>
      <w:pPr>
        <w:jc w:val="both"/>
        <w:widowControl/>
        <w:ind w:left="285" w:right="45" w:hanging="15"/>
        <w:spacing w:after="45"/>
      </w:pPr>
      <w:r>
        <w:rPr>
          <w:b/>
          <w:sz w:val="22"/>
        </w:rPr>
        <w:t>18.3</w:t>
      </w:r>
      <w:r>
        <w:rPr>
          <w:sz w:val="22"/>
        </w:rPr>
        <w:tab/>
      </w:r>
      <w:r>
        <w:rPr>
          <w:sz w:val="22"/>
        </w:rPr>
        <w:t>- Os preços referentes a materiais deverão ser reajustados conforme índice IPCA/IBGE ou outro índice previsto em contrato.</w:t>
      </w:r>
    </w:p>
    <w:p>
      <w:pPr>
        <w:jc w:val="both"/>
        <w:widowControl/>
        <w:ind w:left="285" w:right="45" w:hanging="15"/>
        <w:spacing w:after="45"/>
      </w:pPr>
      <w:r>
        <w:rPr>
          <w:b/>
          <w:sz w:val="22"/>
        </w:rPr>
        <w:t>18.4</w:t>
      </w:r>
      <w:r>
        <w:rPr>
          <w:sz w:val="22"/>
        </w:rPr>
        <w:tab/>
      </w:r>
      <w:r>
        <w:rPr>
          <w:sz w:val="22"/>
        </w:rPr>
        <w:t>- A Administração não se vinculará às disposições contidas em acordos, convenções ou dissídios coletivos de trabalho que tratem de matéria não trabalhista, de pagamento de participação dos trabalhadores nos lucros ou resultados do contratado, ou que estabeleçam direitos não previstos em lei, como valores ou índices obrigatórios de encargos sociais ou previdenciários, bem como de preços para os insumos relacionados ao exercício da atividade.</w:t>
      </w:r>
    </w:p>
    <w:p>
      <w:pPr>
        <w:jc w:val="both"/>
        <w:widowControl/>
        <w:ind w:left="285" w:right="45" w:hanging="15"/>
        <w:spacing w:after="45"/>
      </w:pPr>
      <w:r>
        <w:rPr>
          <w:b/>
          <w:sz w:val="22"/>
        </w:rPr>
        <w:t>18.5</w:t>
      </w:r>
      <w:r>
        <w:rPr>
          <w:sz w:val="22"/>
        </w:rPr>
        <w:tab/>
      </w:r>
      <w:r>
        <w:rPr>
          <w:sz w:val="22"/>
        </w:rPr>
        <w:t>- O pleito de reequilíbrio econômico-financeiro não será acolhido quando a parte interessada falhar em comprovar os requisitos previstos no caput desta Cláusula, em especial nas seguintes hipóteses:</w:t>
      </w:r>
    </w:p>
    <w:p>
      <w:pPr>
        <w:jc w:val="both"/>
        <w:widowControl/>
        <w:ind w:right="45"/>
        <w:spacing w:after="45"/>
        <w:numPr>
          <w:ilvl w:val="0"/>
          <w:numId w:val="46"/>
        </w:numPr>
      </w:pPr>
      <w:r/>
      <w:r>
        <w:rPr>
          <w:sz w:val="22"/>
        </w:rPr>
        <w:t xml:space="preserve"> A efetiva elevação dos encargos não resultar em onerosidade excessiva ou não restar comprovada e quantificada por memória de cálculo a ser apresentada pela parte interessada;</w:t>
      </w:r>
    </w:p>
    <w:p>
      <w:pPr>
        <w:jc w:val="both"/>
        <w:widowControl/>
        <w:ind w:right="45"/>
        <w:spacing w:after="45"/>
        <w:numPr>
          <w:ilvl w:val="0"/>
          <w:numId w:val="46"/>
        </w:numPr>
      </w:pPr>
      <w:r/>
      <w:r>
        <w:rPr>
          <w:sz w:val="22"/>
        </w:rPr>
        <w:t xml:space="preserve"> O evento que houver dado causa ao desequilíbrio houver ocorrido em data anterior à sessão pública de disputa ou posterior à expiração da vigência do contrato;</w:t>
      </w:r>
    </w:p>
    <w:p>
      <w:pPr>
        <w:jc w:val="both"/>
        <w:widowControl/>
        <w:ind w:right="45"/>
        <w:spacing w:after="45"/>
        <w:numPr>
          <w:ilvl w:val="0"/>
          <w:numId w:val="46"/>
        </w:numPr>
      </w:pPr>
      <w:r/>
      <w:r>
        <w:rPr>
          <w:sz w:val="22"/>
        </w:rPr>
        <w:t xml:space="preserve"> Não for comprovado o nexo de causalidade entre o evento e a majoração dos encargos suportados pela parte interessada;</w:t>
      </w:r>
    </w:p>
    <w:p>
      <w:pPr>
        <w:jc w:val="both"/>
        <w:widowControl/>
        <w:ind w:right="45"/>
        <w:spacing w:after="45"/>
        <w:numPr>
          <w:ilvl w:val="0"/>
          <w:numId w:val="46"/>
        </w:numPr>
      </w:pPr>
      <w:r/>
      <w:r>
        <w:rPr>
          <w:sz w:val="22"/>
        </w:rPr>
        <w:t xml:space="preserve"> A parte interessada houver, direta ou indiretamente, contribuído para a majoração de seus próprios encargos, seja pela previsibilidade do evento, seja pela possibilidade de evitar a sua ocorrência;</w:t>
      </w:r>
    </w:p>
    <w:p>
      <w:pPr>
        <w:jc w:val="both"/>
        <w:widowControl/>
        <w:ind w:right="45"/>
        <w:spacing w:after="45"/>
        <w:numPr>
          <w:ilvl w:val="0"/>
          <w:numId w:val="46"/>
        </w:numPr>
      </w:pPr>
      <w:r/>
      <w:r>
        <w:rPr>
          <w:sz w:val="22"/>
        </w:rPr>
        <w:t xml:space="preserve"> A elevação dos encargos decorrer exclusivamente de variação inflacionária, hipótese já contemplada nos critérios de reajuste previstos neste instrumento;</w:t>
      </w:r>
    </w:p>
    <w:p>
      <w:pPr>
        <w:jc w:val="both"/>
        <w:widowControl/>
        <w:ind w:right="45"/>
        <w:spacing w:after="45"/>
        <w:numPr>
          <w:ilvl w:val="0"/>
          <w:numId w:val="46"/>
        </w:numPr>
      </w:pPr>
      <w:r/>
      <w:r>
        <w:rPr>
          <w:sz w:val="22"/>
        </w:rPr>
        <w:t xml:space="preserve"> O evento que houver dado causa ao desequilíbrio constituir álea ordinária imputável à CONTRATADA, quando o pleito houver sido apresentado por esta.</w:t>
      </w:r>
    </w:p>
    <w:p>
      <w:pPr>
        <w:jc w:val="both"/>
        <w:widowControl/>
        <w:ind w:left="285" w:right="45" w:hanging="15"/>
        <w:spacing w:after="45"/>
      </w:pPr>
      <w:r>
        <w:rPr>
          <w:b/>
          <w:sz w:val="22"/>
        </w:rPr>
        <w:t>18.6</w:t>
      </w:r>
      <w:r>
        <w:rPr>
          <w:sz w:val="22"/>
        </w:rPr>
        <w:t xml:space="preserve"> - O prazo para manifestação quanto aos pedidos de reajuste, reequilíbrio e repactuação será de 30 dias, a contar da data de protocolo do requerimento.</w:t>
      </w:r>
    </w:p>
    <w:p>
      <w:pPr>
        <w:jc w:val="both"/>
        <w:widowControl/>
        <w:ind w:left="705" w:right="45" w:hanging="15"/>
        <w:spacing w:after="45"/>
      </w:pPr>
      <w:r>
        <w:rPr>
          <w:b/>
          <w:sz w:val="22"/>
        </w:rPr>
        <w:t>18.6.1</w:t>
      </w:r>
      <w:r>
        <w:rPr>
          <w:sz w:val="22"/>
        </w:rPr>
        <w:t xml:space="preserve"> – Caso faltem informações e a administração solicite complementação do pedido, o prazo irá reiniciar, a contar da data do novo protocolo com os documentos faltantes.</w:t>
      </w:r>
    </w:p>
    <w:p>
      <w:pPr>
        <w:jc w:val="both"/>
        <w:widowControl/>
        <w:ind w:left="60" w:right="45" w:hanging="15"/>
        <w:spacing w:after="45"/>
      </w:pPr>
      <w:r>
        <w:rPr>
          <w:rFonts w:ascii="Times New Roman" w:hAnsi="Times New Roman" w:cs="Times New Roman" w:eastAsia="Times New Roman"/>
          <w:sz w:val="22"/>
        </w:rPr>
        <w:t/>
      </w:r>
    </w:p>
    <w:p>
      <w:pPr>
        <w:jc w:val="both"/>
        <w:outlineLvl w:val="0"/>
        <w:keepLines/>
        <w:keepNext/>
        <w:widowControl/>
        <w:ind w:left="60" w:right="45" w:hanging="15"/>
        <w:spacing w:after="45"/>
        <w:shd w:val="clear" w:color="auto" w:fill="0D0D0D"/>
      </w:pPr>
      <w:r>
        <w:rPr>
          <w:b/>
          <w:sz w:val="22"/>
          <w:color w:val="FFFFFF"/>
        </w:rPr>
        <w:t>19 - DAS INFRAÇÕES E SANÇÕES ADMINISTRATIVAS</w:t>
      </w:r>
    </w:p>
    <w:p>
      <w:pPr>
        <w:jc w:val="both"/>
        <w:widowControl/>
        <w:ind w:left="285" w:right="45" w:hanging="15"/>
        <w:spacing w:after="45"/>
      </w:pPr>
      <w:r>
        <w:rPr>
          <w:b/>
          <w:sz w:val="22"/>
        </w:rPr>
        <w:t>19.1</w:t>
      </w:r>
      <w:r>
        <w:rPr>
          <w:sz w:val="22"/>
        </w:rPr>
        <w:t xml:space="preserve"> - Comete infração administrativa, nos termos da Lei nº 14.133, de 2021, o Contratado que:</w:t>
      </w:r>
    </w:p>
    <w:p>
      <w:pPr>
        <w:jc w:val="both"/>
        <w:widowControl/>
        <w:ind w:right="45"/>
        <w:spacing w:after="45"/>
        <w:numPr>
          <w:ilvl w:val="0"/>
          <w:numId w:val="87"/>
        </w:numPr>
      </w:pPr>
      <w:r/>
      <w:r>
        <w:rPr>
          <w:sz w:val="22"/>
        </w:rPr>
        <w:t xml:space="preserve"> der causa à inexecução parcial do contrato;</w:t>
      </w:r>
    </w:p>
    <w:p>
      <w:pPr>
        <w:jc w:val="both"/>
        <w:widowControl/>
        <w:ind w:right="45"/>
        <w:spacing w:after="45"/>
        <w:numPr>
          <w:ilvl w:val="0"/>
          <w:numId w:val="87"/>
        </w:numPr>
      </w:pPr>
      <w:r/>
      <w:r>
        <w:rPr>
          <w:sz w:val="22"/>
        </w:rPr>
        <w:t xml:space="preserve"> der causa à inexecução parcial do contrato que cause grave dano à Administração ou ao funcionamento dos serviços públicos ou ao interesse coletivo;</w:t>
      </w:r>
    </w:p>
    <w:p>
      <w:pPr>
        <w:jc w:val="both"/>
        <w:widowControl/>
        <w:ind w:right="45"/>
        <w:spacing w:after="45"/>
        <w:numPr>
          <w:ilvl w:val="0"/>
          <w:numId w:val="87"/>
        </w:numPr>
      </w:pPr>
      <w:r/>
      <w:r>
        <w:rPr>
          <w:sz w:val="22"/>
        </w:rPr>
        <w:t xml:space="preserve"> der causa à inexecução total do contrato;</w:t>
      </w:r>
    </w:p>
    <w:p>
      <w:pPr>
        <w:jc w:val="both"/>
        <w:widowControl/>
        <w:ind w:right="45"/>
        <w:spacing w:after="45"/>
        <w:numPr>
          <w:ilvl w:val="0"/>
          <w:numId w:val="87"/>
        </w:numPr>
      </w:pPr>
      <w:r/>
      <w:r>
        <w:rPr>
          <w:sz w:val="22"/>
        </w:rPr>
        <w:t xml:space="preserve"> deixar de entregar a documentação exigida para o certame;</w:t>
      </w:r>
    </w:p>
    <w:p>
      <w:pPr>
        <w:jc w:val="both"/>
        <w:widowControl/>
        <w:ind w:right="45"/>
        <w:spacing w:after="45"/>
        <w:numPr>
          <w:ilvl w:val="0"/>
          <w:numId w:val="87"/>
        </w:numPr>
      </w:pPr>
      <w:r/>
      <w:r>
        <w:rPr>
          <w:sz w:val="22"/>
        </w:rPr>
        <w:t xml:space="preserve"> não mantiver a proposta, salvo em decorrência de fato superveniente devidamente justificado;</w:t>
      </w:r>
    </w:p>
    <w:p>
      <w:pPr>
        <w:jc w:val="both"/>
        <w:widowControl/>
        <w:ind w:right="45"/>
        <w:spacing w:after="45"/>
        <w:numPr>
          <w:ilvl w:val="0"/>
          <w:numId w:val="87"/>
        </w:numPr>
      </w:pPr>
      <w:r/>
      <w:r>
        <w:rPr>
          <w:sz w:val="22"/>
        </w:rPr>
        <w:t xml:space="preserve"> não celebrar o contrato ou não entregar a documentação exigida para a contratação, quando convocado dentro do prazo de validade de sua proposta;</w:t>
      </w:r>
    </w:p>
    <w:p>
      <w:pPr>
        <w:jc w:val="both"/>
        <w:widowControl/>
        <w:ind w:right="45"/>
        <w:spacing w:after="45"/>
        <w:numPr>
          <w:ilvl w:val="0"/>
          <w:numId w:val="87"/>
        </w:numPr>
      </w:pPr>
      <w:r/>
      <w:r>
        <w:rPr>
          <w:sz w:val="22"/>
        </w:rPr>
        <w:t xml:space="preserve"> ensejar o retardamento da execução ou da entrega do objeto da contratação sem motivo justificado;</w:t>
      </w:r>
    </w:p>
    <w:p>
      <w:pPr>
        <w:jc w:val="both"/>
        <w:widowControl/>
        <w:ind w:right="45"/>
        <w:spacing w:after="45"/>
        <w:numPr>
          <w:ilvl w:val="0"/>
          <w:numId w:val="87"/>
        </w:numPr>
      </w:pPr>
      <w:r/>
      <w:r>
        <w:rPr>
          <w:sz w:val="22"/>
        </w:rPr>
        <w:t xml:space="preserve"> apresentar declaração ou documentação falsa exigida para o certame ou prestar declaração falsa durante a dispensa eletrônica ou execução do contrato;</w:t>
      </w:r>
    </w:p>
    <w:p>
      <w:pPr>
        <w:jc w:val="both"/>
        <w:widowControl/>
        <w:ind w:right="45"/>
        <w:spacing w:after="45"/>
        <w:numPr>
          <w:ilvl w:val="0"/>
          <w:numId w:val="87"/>
        </w:numPr>
      </w:pPr>
      <w:r/>
      <w:r>
        <w:rPr>
          <w:sz w:val="22"/>
        </w:rPr>
        <w:t xml:space="preserve"> fraudar a contratação ou praticar ato fraudulento na execução do contrato;</w:t>
      </w:r>
    </w:p>
    <w:p>
      <w:pPr>
        <w:jc w:val="both"/>
        <w:widowControl/>
        <w:ind w:right="45"/>
        <w:spacing w:after="45"/>
        <w:numPr>
          <w:ilvl w:val="0"/>
          <w:numId w:val="87"/>
        </w:numPr>
      </w:pPr>
      <w:r/>
      <w:r>
        <w:rPr>
          <w:sz w:val="22"/>
        </w:rPr>
        <w:t xml:space="preserve"> comportar-se de modo inidôneo ou cometer fraude de qualquer natureza;</w:t>
      </w:r>
    </w:p>
    <w:p>
      <w:pPr>
        <w:jc w:val="both"/>
        <w:widowControl/>
        <w:ind w:right="45"/>
        <w:spacing w:after="45"/>
        <w:numPr>
          <w:ilvl w:val="0"/>
          <w:numId w:val="87"/>
        </w:numPr>
      </w:pPr>
      <w:r/>
      <w:r>
        <w:rPr>
          <w:sz w:val="22"/>
        </w:rPr>
        <w:t xml:space="preserve"> praticar atos ilícitos com vistas a frustrar os objetivos do certame;</w:t>
      </w:r>
    </w:p>
    <w:p>
      <w:pPr>
        <w:jc w:val="both"/>
        <w:widowControl/>
        <w:ind w:right="45"/>
        <w:spacing w:after="45"/>
        <w:numPr>
          <w:ilvl w:val="0"/>
          <w:numId w:val="87"/>
        </w:numPr>
      </w:pPr>
      <w:r/>
      <w:r>
        <w:rPr>
          <w:sz w:val="22"/>
        </w:rPr>
        <w:t xml:space="preserve"> praticar ato lesivo previsto no art. 5º da Lei nº 12.846, de 1º de agosto de 2013.</w:t>
      </w:r>
    </w:p>
    <w:p>
      <w:pPr>
        <w:jc w:val="both"/>
        <w:widowControl/>
        <w:ind w:left="285" w:right="45" w:hanging="15"/>
        <w:spacing w:after="45"/>
      </w:pPr>
      <w:r>
        <w:rPr>
          <w:b/>
          <w:sz w:val="22"/>
        </w:rPr>
        <w:t xml:space="preserve">19.2 </w:t>
      </w:r>
      <w:r>
        <w:rPr>
          <w:sz w:val="22"/>
        </w:rPr>
        <w:t>- Serão aplicadas ao responsável pelas infrações administrativas acima descritas as seguintes sanções:</w:t>
      </w:r>
    </w:p>
    <w:p>
      <w:pPr>
        <w:jc w:val="both"/>
        <w:widowControl/>
        <w:ind w:left="705" w:right="45"/>
        <w:spacing w:after="45"/>
      </w:pPr>
      <w:r>
        <w:rPr>
          <w:b/>
          <w:sz w:val="22"/>
        </w:rPr>
        <w:t>19.2.1</w:t>
      </w:r>
      <w:r>
        <w:rPr>
          <w:sz w:val="22"/>
        </w:rPr>
        <w:t xml:space="preserve"> - Advertência, quando o Contratado der causa à inexecução parcial do contrato, sempre que não se justificar a imposição de penalidade mais grave (art. 156, §2º, da Lei);</w:t>
      </w:r>
    </w:p>
    <w:p>
      <w:pPr>
        <w:jc w:val="both"/>
        <w:widowControl/>
        <w:ind w:left="705" w:right="45"/>
        <w:spacing w:after="45"/>
      </w:pPr>
      <w:r>
        <w:rPr>
          <w:b/>
          <w:sz w:val="22"/>
        </w:rPr>
        <w:t>19.2.2</w:t>
      </w:r>
      <w:r>
        <w:rPr>
          <w:sz w:val="22"/>
        </w:rPr>
        <w:t xml:space="preserve"> - Impedimento de licitar e contratar, quando praticadas as condutas descritas nas alíneas b, c, d, e, f e g do subitem acima deste Contrato, sempre que não se justificar a imposição de penalidade mais grave (art. 156,</w:t>
      </w:r>
    </w:p>
    <w:p>
      <w:pPr>
        <w:jc w:val="both"/>
        <w:widowControl/>
        <w:ind w:left="705" w:right="45"/>
        <w:spacing w:after="45"/>
      </w:pPr>
      <w:r>
        <w:rPr>
          <w:sz w:val="22"/>
        </w:rPr>
        <w:t>§4º, da Lei);</w:t>
      </w:r>
    </w:p>
    <w:p>
      <w:pPr>
        <w:jc w:val="both"/>
        <w:widowControl/>
        <w:ind w:left="705" w:right="45"/>
        <w:spacing w:after="45"/>
      </w:pPr>
      <w:r>
        <w:rPr>
          <w:sz w:val="22"/>
        </w:rPr>
        <w:t>19.2.3 - Declaração de inidoneidade para licitar e contratar, quando praticadas as condutas descritas nas alíneas h, i, j, k e l do subitem acima deste Contrato, bem como nas alíneas b, c, d, e, f e g, que justifiquem a imposição de penalidade mais grave (art. 156, §5º, da Lei).</w:t>
      </w:r>
    </w:p>
    <w:p>
      <w:pPr>
        <w:jc w:val="both"/>
        <w:widowControl/>
        <w:ind w:left="705" w:right="45"/>
        <w:spacing w:after="45"/>
      </w:pPr>
      <w:r>
        <w:rPr>
          <w:b/>
          <w:sz w:val="22"/>
        </w:rPr>
        <w:t>19.2.4</w:t>
      </w:r>
      <w:r>
        <w:rPr>
          <w:sz w:val="22"/>
        </w:rPr>
        <w:t xml:space="preserve"> - Multa:</w:t>
      </w:r>
    </w:p>
    <w:p>
      <w:pPr>
        <w:jc w:val="both"/>
        <w:widowControl/>
        <w:ind w:left="1425" w:right="45"/>
        <w:spacing w:after="45"/>
        <w:tabs>
          <w:tab w:val="left" w:pos="2265"/>
        </w:tabs>
      </w:pPr>
      <w:r>
        <w:rPr>
          <w:b/>
          <w:sz w:val="22"/>
        </w:rPr>
        <w:t>19.2.4.1</w:t>
      </w:r>
      <w:r>
        <w:rPr>
          <w:sz w:val="22"/>
        </w:rPr>
        <w:t xml:space="preserve"> - moratória de 0,5 % (cinco décimos por cento) por dia de atraso injustificado sobre o valor da parcela inadimplida, até o limite de 10 (dez) dias.</w:t>
      </w:r>
    </w:p>
    <w:p>
      <w:pPr>
        <w:jc w:val="both"/>
        <w:widowControl/>
        <w:ind w:left="1425" w:right="45"/>
        <w:spacing w:after="45"/>
        <w:tabs>
          <w:tab w:val="left" w:pos="2265"/>
        </w:tabs>
      </w:pPr>
      <w:r>
        <w:rPr>
          <w:b/>
          <w:sz w:val="22"/>
        </w:rPr>
        <w:t>19.2.4.2</w:t>
      </w:r>
      <w:r>
        <w:rPr>
          <w:sz w:val="22"/>
        </w:rPr>
        <w:t xml:space="preserve"> - 5% (cinco por cento) sobre o valor da contratação, caso a prestação ou entrega seja realizada de forma incompleta ou em desconformidade com as condições avençadas, sobre o valor da contratação, por dia de irregularidade na prestação dos serviços/entrega dos produtos, limitada sua aplicação até o máximo de 10 (dez) dias.</w:t>
      </w:r>
    </w:p>
    <w:p>
      <w:pPr>
        <w:jc w:val="both"/>
        <w:widowControl/>
        <w:ind w:left="1425" w:right="45"/>
        <w:spacing w:after="45"/>
        <w:tabs>
          <w:tab w:val="left" w:pos="2265"/>
        </w:tabs>
      </w:pPr>
      <w:r>
        <w:rPr>
          <w:b/>
          <w:sz w:val="22"/>
        </w:rPr>
        <w:t>19.2.4.3</w:t>
      </w:r>
      <w:r>
        <w:rPr>
          <w:sz w:val="22"/>
        </w:rPr>
        <w:t xml:space="preserve"> - 10% (dez por cento) sobre o valor total do contrato, no caso da inexecução total do contrato.</w:t>
      </w:r>
    </w:p>
    <w:p>
      <w:pPr>
        <w:jc w:val="both"/>
        <w:widowControl/>
        <w:ind w:left="1425" w:right="45"/>
        <w:spacing w:after="45"/>
        <w:tabs>
          <w:tab w:val="left" w:pos="2265"/>
        </w:tabs>
      </w:pPr>
      <w:r>
        <w:rPr>
          <w:b/>
          <w:sz w:val="22"/>
        </w:rPr>
        <w:t>19.2.4.4</w:t>
      </w:r>
      <w:r>
        <w:rPr>
          <w:sz w:val="22"/>
        </w:rPr>
        <w:t xml:space="preserve"> - O atraso superior a 10 dias autoriza a Administração a promover a rescisão do contrato por descumprimento ou cumprimento irregular de suas cláusulas, conforme dispõe o inciso I do art. 137 da Lei n. </w:t>
      </w:r>
      <w:r>
        <w:rPr>
          <w:b/>
          <w:sz w:val="22"/>
        </w:rPr>
        <w:t>14.133</w:t>
      </w:r>
      <w:r>
        <w:rPr>
          <w:sz w:val="22"/>
        </w:rPr>
        <w:t>, de 2021.</w:t>
      </w:r>
    </w:p>
    <w:p>
      <w:pPr>
        <w:jc w:val="both"/>
        <w:widowControl/>
        <w:ind w:left="285" w:right="45"/>
        <w:spacing w:after="45"/>
      </w:pPr>
      <w:r>
        <w:rPr>
          <w:b/>
          <w:sz w:val="22"/>
        </w:rPr>
        <w:t>19.3</w:t>
      </w:r>
      <w:r>
        <w:rPr>
          <w:sz w:val="22"/>
        </w:rPr>
        <w:tab/>
      </w:r>
      <w:r>
        <w:rPr>
          <w:sz w:val="22"/>
        </w:rPr>
        <w:t>- A aplicação das sanções previstas neste Contrato não exclui, em hipótese alguma, a obrigação de reparação integral do dano causado ao Contratante (art. 156, §9º)</w:t>
      </w:r>
    </w:p>
    <w:p>
      <w:pPr>
        <w:jc w:val="both"/>
        <w:widowControl/>
        <w:ind w:left="285" w:right="45"/>
        <w:spacing w:after="45"/>
      </w:pPr>
      <w:r>
        <w:rPr>
          <w:b/>
          <w:sz w:val="22"/>
        </w:rPr>
        <w:t>19.4</w:t>
      </w:r>
      <w:r>
        <w:rPr>
          <w:sz w:val="22"/>
        </w:rPr>
        <w:tab/>
      </w:r>
      <w:r>
        <w:rPr>
          <w:sz w:val="22"/>
        </w:rPr>
        <w:t>- Todas as sanções previstas neste Contrato poderão ser aplicadas cumulativamente com a multa (art. 156, §7º).</w:t>
      </w:r>
    </w:p>
    <w:p>
      <w:pPr>
        <w:jc w:val="both"/>
        <w:widowControl/>
        <w:ind w:left="285" w:right="45"/>
        <w:spacing w:after="45"/>
      </w:pPr>
      <w:r>
        <w:rPr>
          <w:b/>
          <w:sz w:val="22"/>
        </w:rPr>
        <w:t>19.5</w:t>
      </w:r>
      <w:r>
        <w:rPr>
          <w:sz w:val="22"/>
        </w:rPr>
        <w:tab/>
      </w:r>
      <w:r>
        <w:rPr>
          <w:sz w:val="22"/>
        </w:rPr>
        <w:t>- Antes da aplicação da multa será facultada a defesa do interessado no prazo de 15 (quinze) dias úteis, contado da data de sua intimação (art. 157).</w:t>
      </w:r>
    </w:p>
    <w:p>
      <w:pPr>
        <w:jc w:val="both"/>
        <w:widowControl/>
        <w:ind w:left="285" w:right="45"/>
        <w:spacing w:after="45"/>
      </w:pPr>
      <w:r>
        <w:rPr>
          <w:b/>
          <w:sz w:val="22"/>
        </w:rPr>
        <w:t>19.6</w:t>
      </w:r>
      <w:r>
        <w:rPr>
          <w:sz w:val="22"/>
        </w:rPr>
        <w:tab/>
      </w:r>
      <w:r>
        <w:rPr>
          <w:sz w:val="22"/>
        </w:rPr>
        <w:t>- Se a multa aplicada e as indenizações cabíveis forem superiores ao valor do pagamento eventualmente devido pelo Contratante ao Contratado, além da perda desse valor, a diferença será descontada da garantia prestada ou será cobrada judicialmente (art. 156, §8º).</w:t>
      </w:r>
    </w:p>
    <w:p>
      <w:pPr>
        <w:jc w:val="both"/>
        <w:widowControl/>
        <w:ind w:left="285" w:right="45"/>
        <w:spacing w:after="45"/>
      </w:pPr>
      <w:r>
        <w:rPr>
          <w:b/>
          <w:sz w:val="22"/>
        </w:rPr>
        <w:t>19.7</w:t>
      </w:r>
      <w:r>
        <w:rPr>
          <w:sz w:val="22"/>
        </w:rPr>
        <w:tab/>
      </w:r>
      <w:r>
        <w:rPr>
          <w:sz w:val="22"/>
        </w:rPr>
        <w:t>- Previamente ao encaminhamento à cobrança judicial, a multa poderá ser recolhida administrativamente no prazo máximo de 15 (quinze) dias, a contar da data do recebimento da comunicação enviada pela autoridade competente.</w:t>
      </w:r>
    </w:p>
    <w:p>
      <w:pPr>
        <w:jc w:val="both"/>
        <w:widowControl/>
        <w:ind w:left="285" w:right="45"/>
        <w:spacing w:after="45"/>
      </w:pPr>
      <w:r>
        <w:rPr>
          <w:b/>
          <w:sz w:val="22"/>
        </w:rPr>
        <w:t>19.8</w:t>
      </w:r>
      <w:r>
        <w:rPr>
          <w:sz w:val="22"/>
        </w:rPr>
        <w:tab/>
      </w:r>
      <w:r>
        <w:rPr>
          <w:sz w:val="22"/>
        </w:rPr>
        <w:t>-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pPr>
        <w:jc w:val="both"/>
        <w:widowControl/>
        <w:ind w:left="285" w:right="45"/>
        <w:spacing w:after="45"/>
      </w:pPr>
      <w:r>
        <w:rPr>
          <w:b/>
          <w:sz w:val="22"/>
        </w:rPr>
        <w:t>19.9</w:t>
      </w:r>
      <w:r>
        <w:rPr>
          <w:sz w:val="22"/>
        </w:rPr>
        <w:tab/>
      </w:r>
      <w:r>
        <w:rPr>
          <w:sz w:val="22"/>
        </w:rPr>
        <w:t>- Na aplicação das sanções serão considerados (art. 156, §1º):</w:t>
      </w:r>
    </w:p>
    <w:p>
      <w:pPr>
        <w:jc w:val="both"/>
        <w:widowControl/>
        <w:ind w:right="45"/>
        <w:spacing w:after="45"/>
        <w:numPr>
          <w:ilvl w:val="0"/>
          <w:numId w:val="45"/>
        </w:numPr>
      </w:pPr>
      <w:r/>
      <w:r>
        <w:rPr>
          <w:sz w:val="22"/>
        </w:rPr>
        <w:t xml:space="preserve"> a natureza e a gravidade da infração cometida;</w:t>
      </w:r>
    </w:p>
    <w:p>
      <w:pPr>
        <w:jc w:val="both"/>
        <w:widowControl/>
        <w:ind w:right="45"/>
        <w:spacing w:after="45"/>
        <w:numPr>
          <w:ilvl w:val="0"/>
          <w:numId w:val="45"/>
        </w:numPr>
      </w:pPr>
      <w:r/>
      <w:r>
        <w:rPr>
          <w:sz w:val="22"/>
        </w:rPr>
        <w:t xml:space="preserve"> as peculiaridades do caso concreto;</w:t>
      </w:r>
    </w:p>
    <w:p>
      <w:pPr>
        <w:jc w:val="both"/>
        <w:widowControl/>
        <w:ind w:right="45"/>
        <w:spacing w:after="45"/>
        <w:numPr>
          <w:ilvl w:val="0"/>
          <w:numId w:val="45"/>
        </w:numPr>
      </w:pPr>
      <w:r/>
      <w:r>
        <w:rPr>
          <w:sz w:val="22"/>
        </w:rPr>
        <w:t xml:space="preserve"> as circunstâncias agravantes ou atenuantes;</w:t>
      </w:r>
    </w:p>
    <w:p>
      <w:pPr>
        <w:jc w:val="both"/>
        <w:widowControl/>
        <w:ind w:right="45"/>
        <w:spacing w:after="45"/>
        <w:numPr>
          <w:ilvl w:val="0"/>
          <w:numId w:val="45"/>
        </w:numPr>
      </w:pPr>
      <w:r/>
      <w:r>
        <w:rPr>
          <w:sz w:val="22"/>
        </w:rPr>
        <w:t xml:space="preserve"> os danos que dela provierem para o Contratante;</w:t>
      </w:r>
    </w:p>
    <w:p>
      <w:pPr>
        <w:jc w:val="both"/>
        <w:widowControl/>
        <w:ind w:right="45"/>
        <w:spacing w:after="45"/>
        <w:numPr>
          <w:ilvl w:val="0"/>
          <w:numId w:val="45"/>
        </w:numPr>
      </w:pPr>
      <w:r/>
      <w:r>
        <w:rPr>
          <w:sz w:val="22"/>
        </w:rPr>
        <w:t xml:space="preserve"> a implantação ou o aperfeiçoamento de programa de integridade, conforme normas e orientações dos órgãos de controle.</w:t>
      </w:r>
    </w:p>
    <w:p>
      <w:pPr>
        <w:jc w:val="both"/>
        <w:widowControl/>
        <w:ind w:left="285" w:right="45"/>
        <w:spacing w:after="45"/>
        <w:tabs>
          <w:tab w:val="left" w:pos="855"/>
        </w:tabs>
      </w:pPr>
      <w:r>
        <w:rPr>
          <w:b/>
          <w:sz w:val="22"/>
        </w:rPr>
        <w:t>19.10</w:t>
      </w:r>
      <w:r>
        <w:rPr>
          <w:sz w:val="22"/>
        </w:rPr>
        <w:tab/>
      </w:r>
      <w:r>
        <w:rPr>
          <w:sz w:val="22"/>
        </w:rPr>
        <w:t>-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pPr>
        <w:jc w:val="both"/>
        <w:widowControl/>
        <w:ind w:left="285" w:right="45"/>
        <w:spacing w:after="45"/>
        <w:tabs>
          <w:tab w:val="left" w:pos="855"/>
        </w:tabs>
      </w:pPr>
      <w:r>
        <w:rPr>
          <w:b/>
          <w:sz w:val="22"/>
        </w:rPr>
        <w:t>19.11</w:t>
      </w:r>
      <w:r>
        <w:rPr>
          <w:sz w:val="22"/>
        </w:rPr>
        <w:tab/>
      </w:r>
      <w:r>
        <w:rPr>
          <w:sz w:val="22"/>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pPr>
        <w:jc w:val="both"/>
        <w:widowControl/>
        <w:ind w:left="285" w:right="45"/>
        <w:spacing w:after="45"/>
        <w:tabs>
          <w:tab w:val="left" w:pos="855"/>
        </w:tabs>
      </w:pPr>
      <w:r>
        <w:rPr>
          <w:b/>
          <w:sz w:val="22"/>
        </w:rPr>
        <w:t>19.12</w:t>
      </w:r>
      <w:r>
        <w:rPr>
          <w:sz w:val="22"/>
        </w:rPr>
        <w:tab/>
      </w:r>
      <w:r>
        <w:rPr>
          <w:sz w:val="22"/>
        </w:rPr>
        <w:t>-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pPr>
        <w:jc w:val="both"/>
        <w:widowControl/>
        <w:ind w:left="285" w:right="45"/>
        <w:spacing w:after="45"/>
        <w:tabs>
          <w:tab w:val="left" w:pos="855"/>
        </w:tabs>
      </w:pPr>
      <w:r>
        <w:rPr>
          <w:b/>
          <w:sz w:val="22"/>
        </w:rPr>
        <w:t>19.13</w:t>
      </w:r>
      <w:r>
        <w:rPr>
          <w:sz w:val="22"/>
        </w:rPr>
        <w:tab/>
      </w:r>
      <w:r>
        <w:rPr>
          <w:sz w:val="22"/>
        </w:rPr>
        <w:t>- As sanções de impedimento de licitar e contratar e declaração de inidoneidade para licitar ou contratar são passíveis de reabilitação na forma do art. 163 da Lei nº 14.133/21.</w:t>
      </w:r>
    </w:p>
    <w:p>
      <w:pPr>
        <w:jc w:val="both"/>
        <w:widowControl/>
        <w:ind w:left="60" w:right="45" w:hanging="15"/>
        <w:spacing w:after="45"/>
      </w:pPr>
      <w:r>
        <w:rPr>
          <w:rFonts w:ascii="Times New Roman" w:hAnsi="Times New Roman" w:cs="Times New Roman" w:eastAsia="Times New Roman"/>
          <w:sz w:val="22"/>
        </w:rPr>
        <w:t/>
      </w:r>
    </w:p>
    <w:p>
      <w:pPr>
        <w:jc w:val="both"/>
        <w:outlineLvl w:val="0"/>
        <w:keepLines/>
        <w:keepNext/>
        <w:widowControl/>
        <w:ind w:left="60" w:right="45" w:hanging="15"/>
        <w:spacing w:after="45"/>
        <w:shd w:val="clear" w:color="auto" w:fill="0D0D0D"/>
      </w:pPr>
      <w:r>
        <w:rPr>
          <w:b/>
          <w:sz w:val="22"/>
          <w:color w:val="FFFFFF"/>
        </w:rPr>
        <w:t>20 - DA DOTAÇÃO ORÇAMENTÁRIA</w:t>
      </w:r>
    </w:p>
    <w:p>
      <w:pPr>
        <w:jc w:val="both"/>
        <w:widowControl/>
        <w:ind w:left="285" w:right="45" w:hanging="15"/>
        <w:spacing w:after="45"/>
      </w:pPr>
      <w:r>
        <w:rPr>
          <w:b/>
          <w:sz w:val="22"/>
        </w:rPr>
        <w:t>20.1</w:t>
      </w:r>
      <w:r>
        <w:rPr>
          <w:sz w:val="22"/>
        </w:rPr>
        <w:t xml:space="preserve"> – A dotação orçamentária para suportar as despesas com a execução do contrato será a conta da dotação orçamentária prevista:</w:t>
      </w:r>
    </w:p>
    <w:tbl>
      <w:tblPr>
        <w:tblW w:w="4500" w:type="pct"/>
        <w:tblLayout w:type="fixed"/>
        <w:tblCellMar>
          <w:top w:w="15" w:type="dxa"/>
          <w:left w:w="15" w:type="dxa"/>
          <w:bottom w:w="15" w:type="dxa"/>
          <w:right w:w="15" w:type="dxa"/>
        </w:tblCellMar>
        <w:tblInd w:w="225" w:type="dxa"/>
      </w:tblPr>
      <w:tblGrid>
        <w:gridCol w:w="990"/>
        <w:gridCol w:w="990"/>
        <w:gridCol w:w="3375"/>
        <w:gridCol w:w="990"/>
        <w:gridCol w:w="1800"/>
        <w:gridCol w:w="1785"/>
      </w:tblGrid>
      <w:tr>
        <w:tc>
          <w:tcPr>
            <w:gridSpan w:val="6"/>
            <w:tcBorders>
              <w:left w:val="single" w:sz="6" w:color="000000"/>
              <w:top w:val="single" w:sz="6" w:color="000000"/>
              <w:right w:val="single" w:sz="6" w:color="000000"/>
              <w:bottom w:val="single" w:sz="6" w:color="000000"/>
            </w:tcBorders>
          </w:tcPr>
          <w:p>
            <w:r>
              <w:t>Dotações</w:t>
            </w:r>
          </w:p>
        </w:tc>
      </w:tr>
      <w:tr>
        <w:tc>
          <w:tcPr>
            <w:tcW w:w="500" w:type="pct"/>
            <w:tcBorders>
              <w:left w:val="single" w:sz="6" w:color="000000"/>
              <w:top w:val="single" w:sz="6" w:color="000000"/>
              <w:right w:val="single" w:sz="6" w:color="000000"/>
              <w:bottom w:val="single" w:sz="6" w:color="000000"/>
            </w:tcBorders>
            <w:shd w:val="clear" w:color="auto" w:fill="C0C0C0"/>
          </w:tcPr>
          <w:p>
            <w:r>
              <w:t>Exercício da despesa</w:t>
            </w:r>
          </w:p>
        </w:tc>
        <w:tc>
          <w:tcPr>
            <w:tcW w:w="500" w:type="pct"/>
            <w:tcBorders>
              <w:left w:val="single" w:sz="6" w:color="000000"/>
              <w:top w:val="single" w:sz="6" w:color="000000"/>
              <w:right w:val="single" w:sz="6" w:color="000000"/>
              <w:bottom w:val="single" w:sz="6" w:color="000000"/>
            </w:tcBorders>
            <w:shd w:val="clear" w:color="auto" w:fill="C0C0C0"/>
          </w:tcPr>
          <w:p>
            <w:r>
              <w:t>Conta da despesa</w:t>
            </w:r>
          </w:p>
        </w:tc>
        <w:tc>
          <w:tcPr>
            <w:tcW w:w="1700" w:type="pct"/>
            <w:tcBorders>
              <w:left w:val="single" w:sz="6" w:color="000000"/>
              <w:top w:val="single" w:sz="6" w:color="000000"/>
              <w:right w:val="single" w:sz="6" w:color="000000"/>
              <w:bottom w:val="single" w:sz="6" w:color="000000"/>
            </w:tcBorders>
            <w:shd w:val="clear" w:color="auto" w:fill="C0C0C0"/>
          </w:tcPr>
          <w:p>
            <w:r>
              <w:t>Funcional programática</w:t>
            </w:r>
          </w:p>
        </w:tc>
        <w:tc>
          <w:tcPr>
            <w:tcW w:w="500" w:type="pct"/>
            <w:tcBorders>
              <w:left w:val="single" w:sz="6" w:color="000000"/>
              <w:top w:val="single" w:sz="6" w:color="000000"/>
              <w:right w:val="single" w:sz="6" w:color="000000"/>
              <w:bottom w:val="single" w:sz="6" w:color="000000"/>
            </w:tcBorders>
            <w:shd w:val="clear" w:color="auto" w:fill="C0C0C0"/>
          </w:tcPr>
          <w:p>
            <w:r>
              <w:t>Fonte de recurso</w:t>
            </w:r>
          </w:p>
        </w:tc>
        <w:tc>
          <w:tcPr>
            <w:tcW w:w="900" w:type="pct"/>
            <w:tcBorders>
              <w:left w:val="single" w:sz="6" w:color="000000"/>
              <w:top w:val="single" w:sz="6" w:color="000000"/>
              <w:right w:val="single" w:sz="6" w:color="000000"/>
              <w:bottom w:val="single" w:sz="6" w:color="000000"/>
            </w:tcBorders>
            <w:shd w:val="clear" w:color="auto" w:fill="C0C0C0"/>
          </w:tcPr>
          <w:p>
            <w:r>
              <w:t>Natureza da despesa</w:t>
            </w:r>
          </w:p>
        </w:tc>
        <w:tc>
          <w:tcPr>
            <w:tcW w:w="900" w:type="pct"/>
            <w:tcBorders>
              <w:left w:val="single" w:sz="6" w:color="000000"/>
              <w:top w:val="single" w:sz="6" w:color="000000"/>
              <w:right w:val="single" w:sz="6" w:color="000000"/>
              <w:bottom w:val="single" w:sz="6" w:color="000000"/>
            </w:tcBorders>
            <w:shd w:val="clear" w:color="auto" w:fill="C0C0C0"/>
          </w:tcPr>
          <w:p>
            <w:r>
              <w:t>Grupo da fonte</w:t>
            </w:r>
          </w:p>
        </w:tc>
      </w:tr>
      <w:tr>
        <w:tc>
          <w:tcPr>
            <w:tcBorders>
              <w:left w:val="single" w:sz="6" w:color="000000"/>
              <w:top w:val="single" w:sz="6" w:color="000000"/>
              <w:right w:val="single" w:sz="6" w:color="000000"/>
              <w:bottom w:val="single" w:sz="6" w:color="000000"/>
            </w:tcBorders>
          </w:tcPr>
          <w:p>
            <w:r>
              <w:t>2026</w:t>
            </w:r>
          </w:p>
        </w:tc>
        <w:tc>
          <w:tcPr>
            <w:tcBorders>
              <w:left w:val="single" w:sz="6" w:color="000000"/>
              <w:top w:val="single" w:sz="6" w:color="000000"/>
              <w:right w:val="single" w:sz="6" w:color="000000"/>
              <w:bottom w:val="single" w:sz="6" w:color="000000"/>
            </w:tcBorders>
          </w:tcPr>
          <w:p>
            <w:r>
              <w:t>5020</w:t>
            </w:r>
          </w:p>
        </w:tc>
        <w:tc>
          <w:tcPr>
            <w:tcBorders>
              <w:left w:val="single" w:sz="6" w:color="000000"/>
              <w:top w:val="single" w:sz="6" w:color="000000"/>
              <w:right w:val="single" w:sz="6" w:color="000000"/>
              <w:bottom w:val="single" w:sz="6" w:color="000000"/>
            </w:tcBorders>
          </w:tcPr>
          <w:p>
            <w:r>
              <w:t>06.002.15.451.0008.1069</w:t>
            </w:r>
          </w:p>
        </w:tc>
        <w:tc>
          <w:tcPr>
            <w:tcBorders>
              <w:left w:val="single" w:sz="6" w:color="000000"/>
              <w:top w:val="single" w:sz="6" w:color="000000"/>
              <w:right w:val="single" w:sz="6" w:color="000000"/>
              <w:bottom w:val="single" w:sz="6" w:color="000000"/>
            </w:tcBorders>
          </w:tcPr>
          <w:p>
            <w:r>
              <w:t>922</w:t>
            </w:r>
          </w:p>
        </w:tc>
        <w:tc>
          <w:tcPr>
            <w:tcBorders>
              <w:left w:val="single" w:sz="6" w:color="000000"/>
              <w:top w:val="single" w:sz="6" w:color="000000"/>
              <w:right w:val="single" w:sz="6" w:color="000000"/>
              <w:bottom w:val="single" w:sz="6" w:color="000000"/>
            </w:tcBorders>
          </w:tcPr>
          <w:p>
            <w:r>
              <w:t>4.4.90.51.00.00</w:t>
            </w:r>
          </w:p>
        </w:tc>
        <w:tc>
          <w:tcPr>
            <w:tcBorders>
              <w:left w:val="single" w:sz="6" w:color="000000"/>
              <w:top w:val="single" w:sz="6" w:color="000000"/>
              <w:right w:val="single" w:sz="6" w:color="000000"/>
              <w:bottom w:val="single" w:sz="6" w:color="000000"/>
            </w:tcBorders>
          </w:tcPr>
          <w:p>
            <w:r>
              <w:t>Do Exercício</w:t>
            </w:r>
          </w:p>
        </w:tc>
      </w:tr>
    </w:tbl>
    <w:p>
      <w:pPr>
        <w:widowControl/>
      </w:pPr>
      <w:r>
        <w:rPr>
          <w:sz w:val="22"/>
        </w:rPr>
        <w:t/>
      </w:r>
    </w:p>
    <w:p>
      <w:pPr>
        <w:jc w:val="both"/>
        <w:widowControl/>
        <w:ind w:left="60" w:right="45" w:hanging="15"/>
        <w:spacing w:after="45"/>
      </w:pPr>
      <w:r>
        <w:rPr>
          <w:rFonts w:ascii="Times New Roman" w:hAnsi="Times New Roman" w:cs="Times New Roman" w:eastAsia="Times New Roman"/>
          <w:sz w:val="22"/>
        </w:rPr>
        <w:t/>
      </w:r>
    </w:p>
    <w:p>
      <w:pPr>
        <w:jc w:val="both"/>
        <w:outlineLvl w:val="0"/>
        <w:keepLines/>
        <w:keepNext/>
        <w:widowControl/>
        <w:ind w:left="60" w:right="45" w:hanging="15"/>
        <w:spacing w:after="45"/>
        <w:shd w:val="clear" w:color="auto" w:fill="0D0D0D"/>
      </w:pPr>
      <w:r>
        <w:rPr>
          <w:b/>
          <w:sz w:val="22"/>
          <w:color w:val="FFFFFF"/>
        </w:rPr>
        <w:t>21 - DISPOSIÇÕES GERAIS</w:t>
      </w:r>
    </w:p>
    <w:p>
      <w:pPr>
        <w:jc w:val="both"/>
        <w:widowControl/>
        <w:ind w:left="285" w:right="45" w:hanging="15"/>
        <w:spacing w:after="45"/>
      </w:pPr>
      <w:r>
        <w:rPr>
          <w:b/>
          <w:sz w:val="22"/>
        </w:rPr>
        <w:t>21.1</w:t>
      </w:r>
      <w:r>
        <w:rPr>
          <w:sz w:val="22"/>
        </w:rPr>
        <w:t xml:space="preserve"> - É facultado, ao Agente de Contratação ou a Equipe de apoio, proceder, em qualquer fase da licitação, diligências destinadas a esclarecer ou a complementar a instrução do processo, vedada a inclusão posterior de documento ou informação que deveria constar originalmente da proposta.</w:t>
      </w:r>
    </w:p>
    <w:p>
      <w:pPr>
        <w:jc w:val="both"/>
        <w:widowControl/>
        <w:ind w:left="285" w:right="45" w:hanging="15"/>
        <w:spacing w:after="45"/>
      </w:pPr>
      <w:r>
        <w:rPr>
          <w:b/>
          <w:sz w:val="22"/>
        </w:rPr>
        <w:t>21.2</w:t>
      </w:r>
      <w:r>
        <w:rPr>
          <w:sz w:val="22"/>
        </w:rPr>
        <w:t xml:space="preserve"> - A critério da Administração, os objetos da presente licitação poderão sofrer acréscimos ou supressões, de acordo com o artigo da Lei Federal nº 14.133/21.</w:t>
      </w:r>
    </w:p>
    <w:p>
      <w:pPr>
        <w:jc w:val="both"/>
        <w:widowControl/>
        <w:ind w:left="285" w:right="45" w:hanging="15"/>
        <w:spacing w:after="45"/>
      </w:pPr>
      <w:r>
        <w:rPr>
          <w:b/>
          <w:sz w:val="22"/>
        </w:rPr>
        <w:t>21.3</w:t>
      </w:r>
      <w:r>
        <w:rPr>
          <w:sz w:val="22"/>
        </w:rPr>
        <w:t xml:space="preserve"> - Outros esclarecimentos poderão ser obtidos junto a Divisão de Licitações e Contratos da Prefeitura do Município de Guairaçá, no horário de expediente da Prefeitura, pelo telefone (44) 3442-1772 ou e-mail: licitacao@guairaca.pr.gov.br;</w:t>
      </w:r>
    </w:p>
    <w:p>
      <w:pPr>
        <w:jc w:val="both"/>
        <w:widowControl/>
        <w:ind w:left="285" w:right="45" w:hanging="15"/>
        <w:spacing w:after="45"/>
      </w:pPr>
      <w:r>
        <w:rPr>
          <w:b/>
          <w:sz w:val="22"/>
        </w:rPr>
        <w:t>21.4</w:t>
      </w:r>
      <w:r>
        <w:rPr>
          <w:sz w:val="22"/>
        </w:rPr>
        <w:t xml:space="preserve"> - As licitantes deverão observar atentamente as normas deste Edital;</w:t>
      </w:r>
    </w:p>
    <w:p>
      <w:pPr>
        <w:jc w:val="both"/>
        <w:widowControl/>
        <w:ind w:left="285" w:right="45" w:hanging="15"/>
        <w:spacing w:after="45"/>
      </w:pPr>
      <w:r>
        <w:rPr>
          <w:b/>
          <w:sz w:val="22"/>
        </w:rPr>
        <w:t>21.5</w:t>
      </w:r>
      <w:r>
        <w:rPr>
          <w:sz w:val="22"/>
        </w:rPr>
        <w:t xml:space="preserve"> - Fica assegurado à autoridade superior da Prefeitura, no interesse da Administração, o direito de adiar a data da abertura dos envelopes, divulgando a nova data marcada.</w:t>
      </w:r>
    </w:p>
    <w:p>
      <w:pPr>
        <w:jc w:val="both"/>
        <w:widowControl/>
        <w:ind w:left="285" w:right="45" w:hanging="15"/>
        <w:spacing w:after="45"/>
      </w:pPr>
      <w:r>
        <w:rPr>
          <w:b/>
          <w:sz w:val="22"/>
        </w:rPr>
        <w:t>21.6</w:t>
      </w:r>
      <w:r>
        <w:rPr>
          <w:sz w:val="22"/>
        </w:rPr>
        <w:t xml:space="preserve"> - Os licitantes assumem todos os custos de preparação e apresentação de suas propostas. A Prefeitura não será, em nenhum caso, responsável por esses custos, independentemente da condução ou resultado do processo licitatório.</w:t>
      </w:r>
    </w:p>
    <w:p>
      <w:pPr>
        <w:jc w:val="both"/>
        <w:widowControl/>
        <w:ind w:left="285" w:right="45" w:hanging="15"/>
        <w:spacing w:after="45"/>
      </w:pPr>
      <w:r>
        <w:rPr>
          <w:b/>
          <w:sz w:val="22"/>
        </w:rPr>
        <w:t>21.7</w:t>
      </w:r>
      <w:r>
        <w:rPr>
          <w:sz w:val="22"/>
        </w:rPr>
        <w:t xml:space="preserve"> - Os proponentes são responsáveis pela fidelidade e legitimidade das informações e dos documentos apresentados em qualquer fase da licitação.</w:t>
      </w:r>
    </w:p>
    <w:p>
      <w:pPr>
        <w:jc w:val="both"/>
        <w:widowControl/>
        <w:ind w:left="285" w:right="45" w:hanging="15"/>
        <w:spacing w:after="45"/>
      </w:pPr>
      <w:r>
        <w:rPr>
          <w:b/>
          <w:sz w:val="22"/>
        </w:rPr>
        <w:t>21.8</w:t>
      </w:r>
      <w:r>
        <w:rPr>
          <w:sz w:val="22"/>
        </w:rPr>
        <w:t xml:space="preserve"> - Após apresentação da proposta, não caberá desistência, salvo por motivo justo decorrente de fato superveniente e aceito pela Administração deste Município.</w:t>
      </w:r>
    </w:p>
    <w:p>
      <w:pPr>
        <w:jc w:val="both"/>
        <w:widowControl/>
        <w:ind w:left="285" w:right="45" w:hanging="15"/>
        <w:spacing w:after="45"/>
      </w:pPr>
      <w:r>
        <w:rPr>
          <w:b/>
          <w:sz w:val="22"/>
        </w:rPr>
        <w:t>21.9</w:t>
      </w:r>
      <w:r>
        <w:rPr>
          <w:sz w:val="22"/>
        </w:rPr>
        <w:t xml:space="preserve"> - 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Agente de Contratação ou Equipe de apoio em sentido contrário.</w:t>
      </w:r>
    </w:p>
    <w:p>
      <w:pPr>
        <w:jc w:val="both"/>
        <w:widowControl/>
        <w:ind w:left="285" w:right="45" w:hanging="15"/>
        <w:spacing w:after="45"/>
      </w:pPr>
      <w:r>
        <w:rPr>
          <w:b/>
          <w:sz w:val="22"/>
        </w:rPr>
        <w:t xml:space="preserve">21.10 </w:t>
      </w:r>
      <w:r>
        <w:rPr>
          <w:sz w:val="22"/>
        </w:rPr>
        <w:t>- Na contagem dos prazos estabelecidos neste Edital e seus anexos, excluir-se-á o dia do início e incluir-se-á o de vencimento. Só se iniciam e vencem os prazos em dias de expediente na Prefeitura. Considerar-se-ão dias corridos, exceto quando for explicitamente disposto em contrário.</w:t>
      </w:r>
    </w:p>
    <w:p>
      <w:pPr>
        <w:jc w:val="both"/>
        <w:widowControl/>
        <w:ind w:left="285" w:right="45" w:hanging="15"/>
        <w:spacing w:after="45"/>
      </w:pPr>
      <w:r>
        <w:rPr>
          <w:b/>
          <w:sz w:val="22"/>
        </w:rPr>
        <w:t>21.11</w:t>
      </w:r>
      <w:r>
        <w:rPr>
          <w:sz w:val="22"/>
        </w:rPr>
        <w:t xml:space="preserve"> - O desatendimento às exigências formais não-essenciais não importará no afastamento do licitante, desde que seja possível a aferição de sua qualificação e a exata compreensão da sua proposta durante a realização da sessão pública da licitação.</w:t>
      </w:r>
    </w:p>
    <w:p>
      <w:pPr>
        <w:jc w:val="both"/>
        <w:widowControl/>
        <w:ind w:left="285" w:right="45" w:hanging="15"/>
        <w:spacing w:after="45"/>
      </w:pPr>
      <w:r>
        <w:rPr>
          <w:b/>
          <w:sz w:val="22"/>
        </w:rPr>
        <w:t>21.12</w:t>
      </w:r>
      <w:r>
        <w:rPr>
          <w:sz w:val="22"/>
        </w:rPr>
        <w:t xml:space="preserve"> - Em caso de desfazimento deste processo licitatório, o mesmo será devidamente motivado, sendo assegurado o contraditório e a ampla defesa.</w:t>
      </w:r>
    </w:p>
    <w:p>
      <w:pPr>
        <w:jc w:val="both"/>
        <w:widowControl/>
        <w:ind w:left="285" w:right="45" w:hanging="15"/>
        <w:spacing w:after="45"/>
      </w:pPr>
      <w:r>
        <w:rPr>
          <w:b/>
          <w:sz w:val="22"/>
        </w:rPr>
        <w:t>21.13</w:t>
      </w:r>
      <w:r>
        <w:rPr>
          <w:sz w:val="22"/>
        </w:rPr>
        <w:t xml:space="preserve"> - Decorridos 60 (sessenta) dias da data da entrega das propostas de preços, sem convocação para contratação ou pedido de prorrogação da validade, os licitantes ficarão liberados dos compromissos assumidos neste certame.</w:t>
      </w:r>
    </w:p>
    <w:p>
      <w:pPr>
        <w:jc w:val="both"/>
        <w:widowControl/>
        <w:ind w:left="285" w:right="45" w:hanging="15"/>
        <w:spacing w:after="45"/>
      </w:pPr>
      <w:r>
        <w:rPr>
          <w:b/>
          <w:sz w:val="22"/>
        </w:rPr>
        <w:t>21.14</w:t>
      </w:r>
      <w:r>
        <w:rPr>
          <w:sz w:val="22"/>
        </w:rPr>
        <w:t xml:space="preserve"> - A homologação do resultado desta licitação gera mera expectativa de direito à contratação.</w:t>
      </w:r>
    </w:p>
    <w:p>
      <w:pPr>
        <w:jc w:val="both"/>
        <w:widowControl/>
        <w:ind w:left="285" w:right="45" w:hanging="15"/>
        <w:spacing w:after="45"/>
      </w:pPr>
      <w:r>
        <w:rPr>
          <w:b/>
          <w:sz w:val="22"/>
        </w:rPr>
        <w:t>21.15</w:t>
      </w:r>
      <w:r>
        <w:rPr>
          <w:sz w:val="22"/>
        </w:rPr>
        <w:t xml:space="preserve"> - Aos casos omissos aplicar-se-ão as disposições constantes da legislação vigente que rege a matéria.</w:t>
      </w:r>
    </w:p>
    <w:p>
      <w:pPr>
        <w:jc w:val="both"/>
        <w:widowControl/>
        <w:ind w:left="60" w:right="45" w:hanging="15"/>
        <w:spacing w:after="45"/>
      </w:pPr>
      <w:r>
        <w:rPr>
          <w:rFonts w:ascii="Times New Roman" w:hAnsi="Times New Roman" w:cs="Times New Roman" w:eastAsia="Times New Roman"/>
          <w:sz w:val="22"/>
        </w:rPr>
        <w:t/>
      </w:r>
    </w:p>
    <w:p>
      <w:pPr>
        <w:jc w:val="both"/>
        <w:outlineLvl w:val="0"/>
        <w:keepLines/>
        <w:keepNext/>
        <w:widowControl/>
        <w:ind w:left="60" w:right="45" w:hanging="15"/>
        <w:spacing w:after="45"/>
        <w:shd w:val="clear" w:color="auto" w:fill="0D0D0D"/>
      </w:pPr>
      <w:r>
        <w:rPr>
          <w:b/>
          <w:sz w:val="22"/>
          <w:color w:val="FFFFFF"/>
        </w:rPr>
        <w:t>22 - DO FORO</w:t>
      </w:r>
    </w:p>
    <w:p>
      <w:pPr>
        <w:jc w:val="both"/>
        <w:widowControl/>
        <w:ind w:left="285" w:right="45" w:hanging="15"/>
        <w:spacing w:after="45"/>
      </w:pPr>
      <w:r>
        <w:rPr>
          <w:b/>
          <w:sz w:val="22"/>
        </w:rPr>
        <w:t>22.1</w:t>
      </w:r>
      <w:r>
        <w:rPr>
          <w:sz w:val="22"/>
        </w:rPr>
        <w:t xml:space="preserve"> - </w:t>
      </w:r>
      <w:r>
        <w:rPr>
          <w:b/>
          <w:sz w:val="22"/>
        </w:rPr>
        <w:t xml:space="preserve"> </w:t>
      </w:r>
      <w:r>
        <w:rPr>
          <w:rFonts w:ascii="Arial MT" w:hAnsi="Arial MT" w:cs="Arial MT" w:eastAsia="Arial MT"/>
          <w:sz w:val="22"/>
        </w:rPr>
        <w:t>É eleito o Foro da Comarca de Terra Rica, Estado do Paraná, para dirimir os litígios que decorrerem da execução deste Termo de Contrato, que não possam ser compostos pela conciliação, conforme art. 92, §1º da Lei nº 14.133/21.</w:t>
      </w:r>
    </w:p>
    <w:p>
      <w:pPr>
        <w:jc w:val="both"/>
        <w:widowControl/>
        <w:ind w:left="165" w:right="210"/>
        <w:spacing w:lineRule="auto" w:line="276"/>
      </w:pPr>
      <w:r>
        <w:rPr>
          <w:sz w:val="22"/>
        </w:rPr>
        <w:t/>
      </w:r>
    </w:p>
    <w:p>
      <w:pPr>
        <w:jc w:val="both"/>
        <w:widowControl/>
        <w:ind w:left="285" w:right="45" w:hanging="15"/>
        <w:spacing w:after="45"/>
      </w:pPr>
      <w:r>
        <w:rPr>
          <w:sz w:val="22"/>
        </w:rPr>
        <w:t/>
      </w:r>
    </w:p>
    <w:p>
      <w:pPr>
        <w:jc w:val="right"/>
        <w:widowControl/>
        <w:ind w:left="105"/>
      </w:pPr>
      <w:r>
        <w:rPr>
          <w:sz w:val="18"/>
        </w:rPr>
        <w:t>Guairaçá-Pr,</w:t>
      </w:r>
      <w:r>
        <w:rPr>
          <w:sz w:val="18"/>
          <w:color w:val="FF0000"/>
        </w:rPr>
        <w:t xml:space="preserve"> </w:t>
      </w:r>
      <w:r>
        <w:rPr>
          <w:sz w:val="18"/>
        </w:rPr>
        <w:t>18/02/2026</w:t>
      </w:r>
    </w:p>
    <w:p>
      <w:pPr>
        <w:jc w:val="right"/>
        <w:widowControl/>
        <w:ind w:left="15" w:right="60" w:hanging="15"/>
        <w:spacing w:after="45"/>
      </w:pPr>
      <w:r>
        <w:rPr>
          <w:rFonts w:ascii="Times New Roman" w:hAnsi="Times New Roman" w:cs="Times New Roman" w:eastAsia="Times New Roman"/>
          <w:sz w:val="22"/>
        </w:rPr>
        <w:t/>
      </w:r>
    </w:p>
    <w:p>
      <w:pPr>
        <w:jc w:val="center"/>
        <w:outlineLvl w:val="1"/>
        <w:widowControl/>
        <w:ind w:left="1350" w:right="1335"/>
        <w:spacing w:before="90"/>
      </w:pPr>
      <w:r>
        <w:rPr>
          <w:b/>
          <w:sz w:val="22"/>
        </w:rPr>
        <w:t>MARCELO ALVES DE OLIVEIRA</w:t>
      </w:r>
    </w:p>
    <w:p>
      <w:pPr>
        <w:jc w:val="center"/>
        <w:widowControl/>
        <w:ind w:left="15" w:hanging="15"/>
        <w:spacing w:after="45"/>
      </w:pPr>
      <w:r>
        <w:rPr>
          <w:b/>
          <w:sz w:val="22"/>
        </w:rPr>
        <w:t>Prefeito Municipal</w:t>
      </w:r>
    </w:p>
    <w:p>
      <w:pPr>
        <w:jc w:val="center"/>
        <w:widowControl/>
        <w:ind w:left="15" w:hanging="15"/>
        <w:spacing w:after="45"/>
      </w:pPr>
      <w:r>
        <w:rPr>
          <w:b/>
          <w:sz w:val="22"/>
        </w:rPr>
        <w:t/>
      </w:r>
    </w:p>
    <w:p>
      <w:r>
        <w:br w:type="page"/>
      </w:r>
    </w:p>
    <w:p>
      <w:pPr>
        <w:jc w:val="center"/>
        <w:widowControl/>
        <w:ind w:left="15" w:hanging="15"/>
        <w:spacing w:after="45"/>
      </w:pPr>
      <w:r>
        <w:rPr>
          <w:b/>
          <w:sz w:val="22"/>
        </w:rPr>
        <w:t/>
      </w:r>
    </w:p>
    <w:p>
      <w:pPr>
        <w:jc w:val="center"/>
        <w:widowControl/>
        <w:spacing w:after="45"/>
      </w:pPr>
      <w:r>
        <w:rPr>
          <w:sz w:val="22"/>
        </w:rPr>
        <w:t/>
      </w:r>
    </w:p>
    <w:tbl>
      <w:tblPr>
        <w:tblW w:w="11055" w:type="dxa"/>
        <w:jc w:val="center"/>
        <w:tblLayout w:type="fixed"/>
        <w:tblCellMar>
          <w:top w:w="0" w:type="dxa"/>
          <w:left w:w="0" w:type="dxa"/>
          <w:bottom w:w="0" w:type="dxa"/>
          <w:right w:w="0" w:type="dxa"/>
        </w:tblCellMar>
      </w:tblPr>
      <w:tblGrid>
        <w:gridCol w:w="11055"/>
      </w:tblGrid>
      <w:tr>
        <w:trPr>
          <w:trHeight w:val="285" w:hRule="atLeast"/>
        </w:trPr>
        <w:tc>
          <w:tcPr>
            <w:tcW w:w="11055" w:type="dxa"/>
            <w:shd w:val="clear" w:color="auto" w:fill="C0C0C0"/>
          </w:tcPr>
          <w:p>
            <w:pPr>
              <w:jc w:val="center"/>
              <w:keepLines/>
              <w:keepNext/>
              <w:ind w:right="-30"/>
            </w:pPr>
            <w:r>
              <w:rPr>
                <w:b/>
                <w:sz w:val="22"/>
              </w:rPr>
              <w:t>ANEXO I - TERMO DE REFERÊNCIA</w:t>
            </w:r>
          </w:p>
        </w:tc>
      </w:tr>
    </w:tbl>
    <w:p>
      <w:pPr>
        <w:ind w:left="135"/>
      </w:pPr>
      <w:r>
        <w:rPr>
          <w:rFonts w:ascii="Times New Roman" w:hAnsi="Times New Roman" w:cs="Times New Roman" w:eastAsia="Times New Roman"/>
          <w:sz w:val="22"/>
        </w:rPr>
        <w:t/>
      </w:r>
    </w:p>
    <w:p>
      <w:pPr>
        <w:jc w:val="center"/>
      </w:pPr>
      <w:r>
        <w:rPr>
          <w:b/>
          <w:sz w:val="22"/>
        </w:rPr>
        <w:t>CONCORRÊNCIA ELETRÔNICA Nº 3/2026.</w:t>
      </w:r>
    </w:p>
    <w:p>
      <w:pPr>
        <w:jc w:val="center"/>
      </w:pPr>
      <w:r>
        <w:rPr>
          <w:b/>
          <w:sz w:val="22"/>
        </w:rPr>
        <w:t>PROCESSO ADMINISTRATIVO N.° 20/2026</w:t>
      </w:r>
    </w:p>
    <w:p>
      <w:pPr>
        <w:widowControl/>
      </w:pPr>
      <w:r>
        <w:drawing>
          <wp:inline distT="0" distB="0" distL="0" distR="0">
            <wp:extent cx="6610350" cy="200025"/>
            <wp:effectExtent l="0" t="0" r="0" b="0"/>
            <wp:docPr id="2" name="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emf"/>
                    <pic:cNvPicPr/>
                  </pic:nvPicPr>
                  <pic:blipFill>
                    <a:blip r:embed="prId1" cstate="print"/>
                    <a:stretch>
                      <a:fillRect/>
                    </a:stretch>
                  </pic:blipFill>
                  <pic:spPr>
                    <a:xfrm>
                      <a:off x="0" y="0"/>
                      <a:ext cx="6610350" cy="200025"/>
                    </a:xfrm>
                    <a:prstGeom prst="rect">
                      <a:avLst/>
                    </a:prstGeom>
                  </pic:spPr>
                </pic:pic>
              </a:graphicData>
            </a:graphic>
          </wp:inline>
        </w:drawing>
      </w:r>
    </w:p>
    <w:p>
      <w:pPr>
        <w:widowControl/>
      </w:pPr>
      <w:r>
        <w:rPr>
          <w:rFonts w:ascii="Times New Roman" w:hAnsi="Times New Roman" w:cs="Times New Roman" w:eastAsia="Times New Roman"/>
          <w:sz w:val="22"/>
        </w:rPr>
        <w:t/>
      </w:r>
    </w:p>
    <w:p>
      <w:pPr>
        <w:jc w:val="both"/>
        <w:widowControl/>
        <w:ind w:left="225" w:right="210"/>
        <w:spacing w:before="90" w:lineRule="auto" w:line="276"/>
      </w:pPr>
      <w:r>
        <w:rPr>
          <w:b/>
          <w:sz w:val="22"/>
        </w:rPr>
        <w:t xml:space="preserve">OBJETO: CONTRATAÇÃO DE EMPRESA ESPECIALIZADA EM RECAPEAMENTO DE VIAS URBANAS COM CONCRETO BETUMINOSO USINADO A QUENTE (CBUQ), COM REPERFILAMENTO E SINALIZAÇÃO HORIZONTAL, CONFORME PLANO DE AÇÃO: 09032024-069829 / 2024, EM ATENÇÃO A SECRETARIA MUNICIPAL DE VIAÇÃO, OBRAS E SERVIÇOS URBANOS DE GUAIRAÇÁ/PR., </w:t>
      </w:r>
      <w:r>
        <w:rPr>
          <w:sz w:val="22"/>
        </w:rPr>
        <w:t>conforme segue:</w:t>
      </w:r>
    </w:p>
    <w:p>
      <w:pPr>
        <w:jc w:val="both"/>
        <w:widowControl/>
        <w:ind w:left="225" w:right="210"/>
        <w:spacing w:before="90" w:lineRule="auto" w:line="276"/>
      </w:pPr>
      <w:r>
        <w:rPr>
          <w:rFonts w:ascii="Times New Roman" w:hAnsi="Times New Roman" w:cs="Times New Roman" w:eastAsia="Times New Roman"/>
          <w:sz w:val="22"/>
        </w:rPr>
        <w:t/>
      </w:r>
    </w:p>
    <w:tbl>
      <w:tblPr>
        <w:tblW w:w="4500" w:type="pct"/>
        <w:tblLayout w:type="fixed"/>
        <w:tblCellMar>
          <w:top w:w="15" w:type="dxa"/>
          <w:left w:w="15" w:type="dxa"/>
          <w:bottom w:w="15" w:type="dxa"/>
          <w:right w:w="15" w:type="dxa"/>
        </w:tblCellMar>
        <w:tblInd w:w="240" w:type="dxa"/>
      </w:tblPr>
      <w:tblGrid>
        <w:gridCol w:w="900"/>
        <w:gridCol w:w="1350"/>
        <w:gridCol w:w="2805"/>
        <w:gridCol w:w="900"/>
        <w:gridCol w:w="1125"/>
        <w:gridCol w:w="1140"/>
        <w:gridCol w:w="1695"/>
      </w:tblGrid>
      <w:tr>
        <w:tc>
          <w:tcPr>
            <w:gridSpan w:val="7"/>
            <w:tcBorders>
              <w:left w:val="single" w:sz="6" w:color="000000"/>
              <w:top w:val="single" w:sz="6" w:color="000000"/>
              <w:right w:val="single" w:sz="6" w:color="000000"/>
              <w:bottom w:val="single" w:sz="6" w:color="000000"/>
            </w:tcBorders>
          </w:tcPr>
          <w:p>
            <w:r>
              <w:t>Lote: 1 - Lote 001</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600" w:type="pct"/>
            <w:tcBorders>
              <w:left w:val="single" w:sz="6" w:color="000000"/>
              <w:top w:val="single" w:sz="6" w:color="000000"/>
              <w:right w:val="single" w:sz="6" w:color="000000"/>
              <w:bottom w:val="single" w:sz="6" w:color="000000"/>
            </w:tcBorders>
            <w:shd w:val="clear" w:color="auto" w:fill="C0C0C0"/>
          </w:tcPr>
          <w:p>
            <w:r>
              <w:t>Código do produto/serviço</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42975</w:t>
            </w:r>
          </w:p>
        </w:tc>
        <w:tc>
          <w:tcPr>
            <w:tcBorders>
              <w:left w:val="single" w:sz="6" w:color="000000"/>
              <w:top w:val="single" w:sz="6" w:color="000000"/>
              <w:right w:val="single" w:sz="6" w:color="000000"/>
              <w:bottom w:val="single" w:sz="6" w:color="000000"/>
            </w:tcBorders>
          </w:tcPr>
          <w:p>
            <w:r>
              <w:t xml:space="preserve">RECAPEAMNETO ASFALTICO RECAPEAMENTO DE VIAS URBANAS COM CONCRETO BETUMINOSO USINADO A QUENTE (CBUQ), COM REPERILAMENTO E SINALIZAÇÃO HORIZONTAL. </w:t>
            </w:r>
            <w:r>
              <w:br/>
            </w:r>
            <w:r>
              <w:t/>
            </w:r>
          </w:p>
          <w:p>
            <w:r>
              <w:t xml:space="preserve">TRECHO 01 - AVENIDA PROFESSOR ANTONIO SAMPAIO (624,96MF) (ENTRE AVENIDA CANDIDO BERTHIER FORTES X RUA ERCILIO BARRETO) </w:t>
            </w:r>
            <w:r>
              <w:br/>
            </w:r>
            <w:r>
              <w:t/>
            </w:r>
          </w:p>
          <w:p>
            <w:r>
              <w:t xml:space="preserve">TRECHO 02 - RUA FRANCISCO VIEIRA (101175MF) (ENTRE AVENIDA CANDIDO BERTHIER FORTES X RUA ANTONIO MARENGONI </w:t>
            </w:r>
            <w:r>
              <w:br/>
            </w:r>
            <w:r>
              <w:t/>
            </w:r>
          </w:p>
          <w:p>
            <w:r>
              <w:t xml:space="preserve">TRECHO 03 - RUA FRANCISCO VIEIRA (928,5IM*) (ENTRE RUAANTÔNIO MARENGONI X RUA MARANHÃO) </w:t>
            </w:r>
            <w:r>
              <w:br/>
            </w:r>
            <w:r>
              <w:t/>
            </w:r>
          </w:p>
          <w:p>
            <w:r>
              <w:t xml:space="preserve">TRECHO 04 - RUA ANTÓNIO MARENGONI (588,57MP (ENTRE RUA FRANCISCO VIEIRA X RUA RODRIGO AYRES DE OLIVEIRA) </w:t>
            </w:r>
            <w:r>
              <w:br/>
            </w:r>
            <w:r>
              <w:t/>
            </w:r>
          </w:p>
          <w:p>
            <w:r>
              <w:t xml:space="preserve">TRECHO 05 - RUA RODRIGO AYRES DE OLIVEIRA (829,20MF) (ENTRE RUA ANTONIO MARENGONI X RUA AVENIDA CANDIDO BERTHIER FORTES) </w:t>
            </w:r>
            <w:r>
              <w:br/>
            </w:r>
            <w:r>
              <w:t/>
            </w:r>
          </w:p>
          <w:p>
            <w:r>
              <w:t xml:space="preserve">TRECHO 06 - RUA MARANHÃO (739,16MP (ENTRE RUA FRANCISCO VIEIRA X RUA RODRIGO AYRES DE OLIVEIRA) </w:t>
            </w:r>
            <w:r>
              <w:br/>
            </w:r>
            <w:r>
              <w:t/>
            </w:r>
          </w:p>
          <w:p>
            <w:r>
              <w:t xml:space="preserve">TRECHO 07 - RUA RODRIGO AYRES DE OLIVEIRA (714,07MF) (ENTRE RUA PEDRO COSTA X RUA MARANHÃO) </w:t>
            </w:r>
            <w:r>
              <w:br/>
            </w:r>
            <w:r>
              <w:t/>
            </w:r>
          </w:p>
          <w:p>
            <w:r>
              <w:t>TRECHO 08 - RUA ERCÍLIO BARRETO (780,00MP) (ENTRE RUA DANIEL DO SANTOS VIAES X RUA JOÃO CESSEL</w:t>
            </w:r>
            <w:r>
              <w:br/>
            </w:r>
            <w:r>
              <w:t/>
            </w:r>
          </w:p>
          <w:p>
            <w:r>
              <w:t xml:space="preserve">  </w:t>
            </w:r>
          </w:p>
        </w:tc>
        <w:tc>
          <w:tcPr>
            <w:tcBorders>
              <w:left w:val="single" w:sz="6" w:color="000000"/>
              <w:top w:val="single" w:sz="6" w:color="000000"/>
              <w:right w:val="single" w:sz="6" w:color="000000"/>
              <w:bottom w:val="single" w:sz="6" w:color="000000"/>
            </w:tcBorders>
          </w:tcPr>
          <w:p>
            <w:r>
              <w:t>1,00</w:t>
            </w:r>
          </w:p>
        </w:tc>
        <w:tc>
          <w:tcPr>
            <w:tcBorders>
              <w:left w:val="single" w:sz="6" w:color="000000"/>
              <w:top w:val="single" w:sz="6" w:color="000000"/>
              <w:right w:val="single" w:sz="6" w:color="000000"/>
              <w:bottom w:val="single" w:sz="6" w:color="000000"/>
            </w:tcBorders>
          </w:tcPr>
          <w:p>
            <w:r>
              <w:t>SERV</w:t>
            </w:r>
          </w:p>
        </w:tc>
        <w:tc>
          <w:tcPr>
            <w:tcBorders>
              <w:left w:val="single" w:sz="6" w:color="000000"/>
              <w:top w:val="single" w:sz="6" w:color="000000"/>
              <w:right w:val="single" w:sz="6" w:color="000000"/>
              <w:bottom w:val="single" w:sz="6" w:color="000000"/>
            </w:tcBorders>
          </w:tcPr>
          <w:p>
            <w:r>
              <w:t>493.287,76</w:t>
            </w:r>
          </w:p>
        </w:tc>
        <w:tc>
          <w:tcPr>
            <w:tcBorders>
              <w:left w:val="single" w:sz="6" w:color="000000"/>
              <w:top w:val="single" w:sz="6" w:color="000000"/>
              <w:right w:val="single" w:sz="6" w:color="000000"/>
              <w:bottom w:val="single" w:sz="6" w:color="000000"/>
            </w:tcBorders>
          </w:tcPr>
          <w:p>
            <w:r>
              <w:t>493.287,76</w:t>
            </w:r>
          </w:p>
        </w:tc>
      </w:tr>
      <w:tr>
        <w:tc>
          <w:tcPr>
            <w:gridSpan w:val="6"/>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493.287,76</w:t>
            </w:r>
          </w:p>
        </w:tc>
      </w:tr>
    </w:tbl>
    <w:p>
      <w:pPr>
        <w:widowControl/>
        <w:spacing w:after="165" w:lineRule="auto" w:line="252"/>
      </w:pPr>
      <w:r>
        <w:rPr>
          <w:rFonts w:ascii="Calibri" w:hAnsi="Calibri" w:cs="Calibri" w:eastAsia="Calibri"/>
          <w:sz w:val="22"/>
        </w:rPr>
        <w:t/>
      </w:r>
    </w:p>
    <w:p>
      <w:pPr>
        <w:widowControl/>
        <w:ind w:left="225" w:right="210"/>
        <w:spacing w:before="30" w:lineRule="auto" w:line="276"/>
      </w:pPr>
      <w:r>
        <w:rPr>
          <w:sz w:val="22"/>
        </w:rPr>
        <w:t xml:space="preserve">O prazo de vigência da contratação será de </w:t>
      </w:r>
      <w:r>
        <w:rPr>
          <w:b/>
          <w:sz w:val="22"/>
        </w:rPr>
        <w:t>até 09 (nove) meses,</w:t>
      </w:r>
      <w:r>
        <w:rPr>
          <w:sz w:val="22"/>
        </w:rPr>
        <w:t xml:space="preserve"> contados da data indicada no instrumento contratual, na forma do artigo 105, da Lei n° 14.133/2021.</w:t>
      </w:r>
    </w:p>
    <w:p>
      <w:pPr>
        <w:widowControl/>
        <w:ind w:left="225" w:right="210"/>
        <w:spacing w:before="30" w:lineRule="auto" w:line="276"/>
      </w:pPr>
      <w:r>
        <w:rPr>
          <w:sz w:val="22"/>
        </w:rPr>
        <w:t/>
      </w:r>
    </w:p>
    <w:p>
      <w:pPr>
        <w:widowControl/>
        <w:ind w:left="225" w:right="210"/>
        <w:spacing w:before="30" w:lineRule="auto" w:line="276"/>
      </w:pPr>
      <w:r>
        <w:rPr>
          <w:sz w:val="22"/>
        </w:rPr>
        <w:t>O prazo de execução da obra será de</w:t>
      </w:r>
      <w:r>
        <w:rPr>
          <w:b/>
          <w:sz w:val="22"/>
        </w:rPr>
        <w:t xml:space="preserve"> 90 (noventa) dias</w:t>
      </w:r>
      <w:r>
        <w:rPr>
          <w:sz w:val="22"/>
        </w:rPr>
        <w:t xml:space="preserve"> corridos, contados da assinatura do respectivo contrato.</w:t>
      </w:r>
    </w:p>
    <w:p>
      <w:pPr>
        <w:jc w:val="both"/>
        <w:ind w:left="225" w:right="285"/>
        <w:tabs>
          <w:tab w:val="left" w:pos="1470"/>
        </w:tabs>
      </w:pPr>
      <w:r>
        <w:rPr>
          <w:b/>
        </w:rPr>
        <w:t>O PRAZO PARA INÍCIO DA OBRA SERÁ A PARTIR DO 11º DIA DA ASSINATURA DO TERMO DE CONTRATO.</w:t>
      </w:r>
    </w:p>
    <w:p>
      <w:pPr>
        <w:jc w:val="both"/>
        <w:ind w:left="135" w:right="285"/>
        <w:tabs>
          <w:tab w:val="left" w:pos="1470"/>
        </w:tabs>
      </w:pPr>
      <w:r>
        <w:t/>
      </w:r>
    </w:p>
    <w:p>
      <w:pPr>
        <w:widowControl/>
        <w:ind w:left="240"/>
        <w:spacing w:after="165" w:lineRule="auto" w:line="252"/>
      </w:pPr>
      <w:r>
        <w:rPr>
          <w:sz w:val="22"/>
        </w:rPr>
        <w:t xml:space="preserve">O custo estimado total da contratação é de </w:t>
      </w:r>
      <w:r>
        <w:rPr>
          <w:b/>
          <w:sz w:val="22"/>
        </w:rPr>
        <w:t>R$ 493.287,76(Quatrocentos e Noventa e Três Mil, Duzentos e Oitenta e Sete Reais e Setenta e Seis Centavos)</w:t>
      </w:r>
      <w:r>
        <w:rPr>
          <w:sz w:val="22"/>
        </w:rPr>
        <w:t>, conforme custos unitários apostos na tabela acima.</w:t>
      </w:r>
    </w:p>
    <w:p>
      <w:pPr>
        <w:ind w:left="210"/>
      </w:pPr>
      <w:r>
        <w:rPr>
          <w:sz w:val="22"/>
        </w:rPr>
        <w:t>O início da execução dos serviços estará condicionado à emissão da respectiva ORDEM DE SERVIÇO.</w:t>
      </w:r>
    </w:p>
    <w:p>
      <w:pPr>
        <w:widowControl/>
        <w:spacing w:before="15"/>
      </w:pPr>
      <w:r>
        <w:rPr>
          <w:rFonts w:ascii="Times New Roman" w:hAnsi="Times New Roman" w:cs="Times New Roman" w:eastAsia="Times New Roman"/>
          <w:sz w:val="22"/>
        </w:rPr>
        <w:t/>
      </w:r>
    </w:p>
    <w:p>
      <w:pPr>
        <w:widowControl/>
        <w:ind w:left="225"/>
        <w:spacing w:before="90" w:lineRule="auto" w:line="264"/>
      </w:pPr>
      <w:r>
        <w:drawing>
          <wp:inline distT="0" distB="0" distL="0" distR="0">
            <wp:extent cx="6610350" cy="342900"/>
            <wp:effectExtent l="0" t="0" r="0" b="0"/>
            <wp:docPr id="3" name="P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emf"/>
                    <pic:cNvPicPr/>
                  </pic:nvPicPr>
                  <pic:blipFill>
                    <a:blip r:embed="prId2" cstate="print"/>
                    <a:stretch>
                      <a:fillRect/>
                    </a:stretch>
                  </pic:blipFill>
                  <pic:spPr>
                    <a:xfrm>
                      <a:off x="0" y="0"/>
                      <a:ext cx="6610350" cy="342900"/>
                    </a:xfrm>
                    <a:prstGeom prst="rect">
                      <a:avLst/>
                    </a:prstGeom>
                  </pic:spPr>
                </pic:pic>
              </a:graphicData>
            </a:graphic>
          </wp:inline>
        </w:drawing>
      </w:r>
    </w:p>
    <w:p>
      <w:pPr>
        <w:widowControl/>
        <w:ind w:left="300"/>
        <w:spacing w:after="165" w:lineRule="auto" w:line="252"/>
      </w:pPr>
      <w:r>
        <w:rPr>
          <w:sz w:val="22"/>
        </w:rPr>
        <w:t>A contratação de empresa especializada para execução de recapeamento de vias urbanas com Concreto Betuminoso Usinado a Quente (CBUQ), incluindo reperfilamento e sinalização horizontal, justifica-se pela necessidade de recuperação da malha viária do Município de Guaíraçá/PR, que apresenta desgastes, fissuras e irregularidades que comprometem a segurança e a mobilidade urbana. Os serviços visam melhorar as condições de tráfego, aumentar a durabilidade do pavimento, garantir o correto escoamento das águas pluviais e proporcionar maior segurança aos usuários. Ressalta-se que o Município não dispõe de estrutura técnica, equipamentos e mão de obra especializada suficientes para execução dos serviços, tornando necessária a contratação, em atendimento ao interesse público.</w:t>
      </w:r>
    </w:p>
    <w:p>
      <w:pPr>
        <w:widowControl/>
        <w:spacing w:before="15"/>
      </w:pPr>
      <w:r>
        <w:drawing>
          <wp:inline distT="0" distB="0" distL="0" distR="0">
            <wp:extent cx="6677025" cy="209550"/>
            <wp:effectExtent l="0" t="0" r="0" b="0"/>
            <wp:docPr id="4" name="P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emf"/>
                    <pic:cNvPicPr/>
                  </pic:nvPicPr>
                  <pic:blipFill>
                    <a:blip r:embed="prId3" cstate="print"/>
                    <a:stretch>
                      <a:fillRect/>
                    </a:stretch>
                  </pic:blipFill>
                  <pic:spPr>
                    <a:xfrm>
                      <a:off x="0" y="0"/>
                      <a:ext cx="6677025" cy="209550"/>
                    </a:xfrm>
                    <a:prstGeom prst="rect">
                      <a:avLst/>
                    </a:prstGeom>
                  </pic:spPr>
                </pic:pic>
              </a:graphicData>
            </a:graphic>
          </wp:inline>
        </w:drawing>
      </w:r>
    </w:p>
    <w:p>
      <w:pPr>
        <w:widowControl/>
        <w:spacing w:before="15"/>
      </w:pPr>
      <w:r>
        <w:rPr>
          <w:rFonts w:ascii="Times New Roman" w:hAnsi="Times New Roman" w:cs="Times New Roman" w:eastAsia="Times New Roman"/>
          <w:sz w:val="22"/>
        </w:rPr>
        <w:t/>
      </w:r>
    </w:p>
    <w:p>
      <w:pPr>
        <w:widowControl/>
        <w:ind w:left="1065"/>
        <w:spacing w:after="165" w:lineRule="auto" w:line="252"/>
      </w:pPr>
      <w:r>
        <w:rPr>
          <w:sz w:val="22"/>
        </w:rPr>
        <w:t>a) A contratação deverá observar os seguintes requisitos:</w:t>
      </w:r>
    </w:p>
    <w:p>
      <w:pPr>
        <w:widowControl/>
        <w:ind w:left="1065"/>
        <w:spacing w:after="165" w:lineRule="auto" w:line="252"/>
      </w:pPr>
      <w:r>
        <w:rPr>
          <w:sz w:val="22"/>
        </w:rPr>
        <w:t>b) O critério de julgamento a ser utilizado no presente certame será o menor preço Global</w:t>
      </w:r>
      <w:r>
        <w:rPr>
          <w:b/>
          <w:sz w:val="22"/>
        </w:rPr>
        <w:t>;</w:t>
      </w:r>
    </w:p>
    <w:p>
      <w:pPr>
        <w:widowControl/>
        <w:ind w:left="1065"/>
        <w:spacing w:after="165" w:lineRule="auto" w:line="252"/>
      </w:pPr>
      <w:r>
        <w:rPr>
          <w:sz w:val="22"/>
        </w:rPr>
        <w:t>c) Não serão aplicadas a indicação e/ou a vedação de marcas;</w:t>
      </w:r>
    </w:p>
    <w:p>
      <w:pPr>
        <w:widowControl/>
        <w:ind w:left="1065"/>
        <w:spacing w:after="165" w:lineRule="auto" w:line="252"/>
      </w:pPr>
      <w:r>
        <w:rPr>
          <w:sz w:val="22"/>
        </w:rPr>
        <w:t>d) Não será admitida a subcontratação do objeto contratual;</w:t>
      </w:r>
    </w:p>
    <w:p>
      <w:pPr>
        <w:jc w:val="both"/>
        <w:widowControl/>
        <w:ind w:left="105" w:firstLine="15"/>
        <w:spacing w:after="165"/>
      </w:pPr>
      <w:r>
        <w:rPr>
          <w:b/>
          <w:sz w:val="22"/>
          <w:color w:val="000000"/>
        </w:rPr>
        <w:t xml:space="preserve">3.1 Sustentabilidade em </w:t>
      </w:r>
      <w:r>
        <w:rPr>
          <w:b/>
          <w:sz w:val="22"/>
        </w:rPr>
        <w:t>o</w:t>
      </w:r>
      <w:r>
        <w:rPr>
          <w:b/>
          <w:sz w:val="22"/>
          <w:color w:val="000000"/>
        </w:rPr>
        <w:t xml:space="preserve">bras de </w:t>
      </w:r>
      <w:r>
        <w:rPr>
          <w:b/>
          <w:sz w:val="22"/>
        </w:rPr>
        <w:t>e</w:t>
      </w:r>
      <w:r>
        <w:rPr>
          <w:b/>
          <w:sz w:val="22"/>
          <w:color w:val="000000"/>
        </w:rPr>
        <w:t>ngenharia</w:t>
      </w:r>
    </w:p>
    <w:p>
      <w:pPr>
        <w:jc w:val="both"/>
        <w:widowControl/>
        <w:ind w:left="705"/>
        <w:spacing w:after="165"/>
      </w:pPr>
      <w:r>
        <w:rPr>
          <w:rFonts w:ascii="Calibri" w:hAnsi="Calibri" w:cs="Calibri" w:eastAsia="Calibri"/>
          <w:sz w:val="22"/>
          <w:color w:val="000000"/>
        </w:rPr>
        <w:t xml:space="preserve">3.1.1. Critérios </w:t>
      </w:r>
      <w:r>
        <w:rPr>
          <w:rFonts w:ascii="Calibri" w:hAnsi="Calibri" w:cs="Calibri" w:eastAsia="Calibri"/>
          <w:sz w:val="22"/>
        </w:rPr>
        <w:t>g</w:t>
      </w:r>
      <w:r>
        <w:rPr>
          <w:rFonts w:ascii="Calibri" w:hAnsi="Calibri" w:cs="Calibri" w:eastAsia="Calibri"/>
          <w:sz w:val="22"/>
          <w:color w:val="000000"/>
        </w:rPr>
        <w:t xml:space="preserve">erais de </w:t>
      </w:r>
      <w:r>
        <w:rPr>
          <w:rFonts w:ascii="Calibri" w:hAnsi="Calibri" w:cs="Calibri" w:eastAsia="Calibri"/>
          <w:sz w:val="22"/>
        </w:rPr>
        <w:t>s</w:t>
      </w:r>
      <w:r>
        <w:rPr>
          <w:rFonts w:ascii="Calibri" w:hAnsi="Calibri" w:cs="Calibri" w:eastAsia="Calibri"/>
          <w:sz w:val="22"/>
          <w:color w:val="000000"/>
        </w:rPr>
        <w:t>ustentabilidade</w:t>
      </w:r>
    </w:p>
    <w:p>
      <w:pPr>
        <w:jc w:val="both"/>
        <w:widowControl/>
        <w:ind w:left="705"/>
        <w:spacing w:after="165"/>
      </w:pPr>
      <w:r>
        <w:rPr>
          <w:rFonts w:ascii="Calibri" w:hAnsi="Calibri" w:cs="Calibri" w:eastAsia="Calibri"/>
          <w:sz w:val="22"/>
          <w:color w:val="000000"/>
        </w:rPr>
        <w:t>3.1.1.1. Adesão ao Guia Nacional de Contratações Sustentáveis;</w:t>
      </w:r>
    </w:p>
    <w:p>
      <w:pPr>
        <w:jc w:val="both"/>
        <w:widowControl/>
        <w:ind w:left="705"/>
        <w:spacing w:after="165"/>
      </w:pPr>
      <w:r>
        <w:rPr>
          <w:rFonts w:ascii="Calibri" w:hAnsi="Calibri" w:cs="Calibri" w:eastAsia="Calibri"/>
          <w:sz w:val="22"/>
          <w:color w:val="000000"/>
        </w:rPr>
        <w:t>3.1.1.2. Alinhamento com o Plano de Gestão e Logística Sustentável do órgão;</w:t>
      </w:r>
    </w:p>
    <w:p>
      <w:pPr>
        <w:jc w:val="both"/>
        <w:widowControl/>
        <w:ind w:left="705"/>
        <w:spacing w:after="165"/>
      </w:pPr>
      <w:r>
        <w:rPr>
          <w:rFonts w:ascii="Calibri" w:hAnsi="Calibri" w:cs="Calibri" w:eastAsia="Calibri"/>
          <w:sz w:val="22"/>
          <w:color w:val="000000"/>
        </w:rPr>
        <w:t>3.1.1.3. Incorporação das dimensões ambientais, sociais, econômicas e culturais.</w:t>
      </w:r>
    </w:p>
    <w:p>
      <w:pPr>
        <w:jc w:val="both"/>
        <w:widowControl/>
        <w:ind w:left="705"/>
        <w:spacing w:after="165"/>
      </w:pPr>
      <w:r>
        <w:rPr>
          <w:rFonts w:ascii="Calibri" w:hAnsi="Calibri" w:cs="Calibri" w:eastAsia="Calibri"/>
          <w:sz w:val="22"/>
          <w:color w:val="000000"/>
          <w:shd w:val="clear" w:color="auto" w:fill="FFFFFF"/>
        </w:rPr>
        <w:t>3.1.1.4.</w:t>
      </w:r>
      <w:r>
        <w:rPr>
          <w:rFonts w:ascii="Calibri" w:hAnsi="Calibri" w:cs="Calibri" w:eastAsia="Calibri"/>
          <w:sz w:val="22"/>
          <w:shd w:val="clear" w:color="auto" w:fill="FFFFFF"/>
        </w:rPr>
        <w:t xml:space="preserve"> Alinhamento com a </w:t>
      </w:r>
      <w:r>
        <w:rPr>
          <w:rFonts w:ascii="Calibri" w:hAnsi="Calibri" w:cs="Calibri" w:eastAsia="Calibri"/>
          <w:sz w:val="22"/>
          <w:color w:val="000000"/>
          <w:shd w:val="clear" w:color="auto" w:fill="FFFFFF"/>
        </w:rPr>
        <w:t>Política Nacional de Meio Ambiente (Lei nº 6.938/1981);</w:t>
      </w:r>
    </w:p>
    <w:p>
      <w:pPr>
        <w:jc w:val="both"/>
        <w:widowControl/>
        <w:ind w:left="705"/>
        <w:spacing w:after="165"/>
      </w:pPr>
      <w:r>
        <w:rPr>
          <w:rFonts w:ascii="Calibri" w:hAnsi="Calibri" w:cs="Calibri" w:eastAsia="Calibri"/>
          <w:sz w:val="22"/>
          <w:color w:val="000000"/>
          <w:shd w:val="clear" w:color="auto" w:fill="FFFFFF"/>
        </w:rPr>
        <w:t>3.1.1.</w:t>
      </w:r>
      <w:r>
        <w:rPr>
          <w:rFonts w:ascii="Calibri" w:hAnsi="Calibri" w:cs="Calibri" w:eastAsia="Calibri"/>
          <w:sz w:val="22"/>
          <w:shd w:val="clear" w:color="auto" w:fill="FFFFFF"/>
        </w:rPr>
        <w:t>5</w:t>
      </w:r>
      <w:r>
        <w:rPr>
          <w:rFonts w:ascii="Calibri" w:hAnsi="Calibri" w:cs="Calibri" w:eastAsia="Calibri"/>
          <w:sz w:val="22"/>
          <w:color w:val="000000"/>
          <w:shd w:val="clear" w:color="auto" w:fill="FFFFFF"/>
        </w:rPr>
        <w:t xml:space="preserve">. </w:t>
      </w:r>
      <w:r>
        <w:rPr>
          <w:rFonts w:ascii="Calibri" w:hAnsi="Calibri" w:cs="Calibri" w:eastAsia="Calibri"/>
          <w:sz w:val="22"/>
          <w:shd w:val="clear" w:color="auto" w:fill="FFFFFF"/>
        </w:rPr>
        <w:t>Alinhamento com a Política Naciona</w:t>
      </w:r>
      <w:r>
        <w:rPr>
          <w:rFonts w:ascii="Calibri" w:hAnsi="Calibri" w:cs="Calibri" w:eastAsia="Calibri"/>
          <w:sz w:val="22"/>
          <w:color w:val="000000"/>
          <w:shd w:val="clear" w:color="auto" w:fill="FFFFFF"/>
        </w:rPr>
        <w:t>l sobre Mudança do Clima (Lei nº 12.187/2009);</w:t>
      </w:r>
    </w:p>
    <w:p>
      <w:pPr>
        <w:jc w:val="both"/>
        <w:widowControl/>
        <w:ind w:left="705"/>
        <w:spacing w:after="165"/>
      </w:pPr>
      <w:r>
        <w:rPr>
          <w:rFonts w:ascii="Calibri" w:hAnsi="Calibri" w:cs="Calibri" w:eastAsia="Calibri"/>
          <w:sz w:val="22"/>
          <w:color w:val="000000"/>
          <w:shd w:val="clear" w:color="auto" w:fill="FFFFFF"/>
        </w:rPr>
        <w:t>3.1.1.</w:t>
      </w:r>
      <w:r>
        <w:rPr>
          <w:rFonts w:ascii="Calibri" w:hAnsi="Calibri" w:cs="Calibri" w:eastAsia="Calibri"/>
          <w:sz w:val="22"/>
          <w:shd w:val="clear" w:color="auto" w:fill="FFFFFF"/>
        </w:rPr>
        <w:t>6</w:t>
      </w:r>
      <w:r>
        <w:rPr>
          <w:rFonts w:ascii="Calibri" w:hAnsi="Calibri" w:cs="Calibri" w:eastAsia="Calibri"/>
          <w:sz w:val="22"/>
          <w:color w:val="000000"/>
          <w:shd w:val="clear" w:color="auto" w:fill="FFFFFF"/>
        </w:rPr>
        <w:t xml:space="preserve">. </w:t>
      </w:r>
      <w:r>
        <w:rPr>
          <w:rFonts w:ascii="Calibri" w:hAnsi="Calibri" w:cs="Calibri" w:eastAsia="Calibri"/>
          <w:sz w:val="22"/>
          <w:shd w:val="clear" w:color="auto" w:fill="FFFFFF"/>
        </w:rPr>
        <w:t>Alinhamento com Polític</w:t>
      </w:r>
      <w:r>
        <w:rPr>
          <w:rFonts w:ascii="Calibri" w:hAnsi="Calibri" w:cs="Calibri" w:eastAsia="Calibri"/>
          <w:sz w:val="22"/>
          <w:color w:val="000000"/>
          <w:shd w:val="clear" w:color="auto" w:fill="FFFFFF"/>
        </w:rPr>
        <w:t>a Nacional de Resíduos Sólidos (Lei nº 12.305/2010);</w:t>
      </w:r>
    </w:p>
    <w:p>
      <w:pPr>
        <w:jc w:val="both"/>
        <w:widowControl/>
        <w:ind w:left="705"/>
        <w:spacing w:after="165"/>
      </w:pPr>
      <w:r>
        <w:rPr>
          <w:rFonts w:ascii="Calibri" w:hAnsi="Calibri" w:cs="Calibri" w:eastAsia="Calibri"/>
          <w:sz w:val="22"/>
          <w:color w:val="000000"/>
        </w:rPr>
        <w:t>3.1.2.5. Gerenciamento de resíduos</w:t>
      </w:r>
    </w:p>
    <w:p>
      <w:pPr>
        <w:jc w:val="both"/>
        <w:widowControl/>
        <w:ind w:left="1425"/>
        <w:spacing w:after="165"/>
      </w:pPr>
      <w:r>
        <w:rPr>
          <w:rFonts w:ascii="Calibri" w:hAnsi="Calibri" w:cs="Calibri" w:eastAsia="Calibri"/>
          <w:sz w:val="22"/>
          <w:color w:val="000000"/>
        </w:rPr>
        <w:t>3.1.2.5.1. Planos para redução, reutilização e reciclagem de resíduos de construção</w:t>
      </w:r>
    </w:p>
    <w:p>
      <w:pPr>
        <w:jc w:val="both"/>
        <w:widowControl/>
        <w:ind w:left="1425"/>
        <w:spacing w:after="165"/>
      </w:pPr>
      <w:r>
        <w:rPr>
          <w:rFonts w:ascii="Calibri" w:hAnsi="Calibri" w:cs="Calibri" w:eastAsia="Calibri"/>
          <w:sz w:val="22"/>
          <w:color w:val="000000"/>
        </w:rPr>
        <w:t>3.1.2.6. Redução da poluição</w:t>
      </w:r>
    </w:p>
    <w:p>
      <w:pPr>
        <w:jc w:val="both"/>
        <w:widowControl/>
        <w:ind w:left="1425"/>
        <w:spacing w:after="165"/>
      </w:pPr>
      <w:r>
        <w:rPr>
          <w:rFonts w:ascii="Calibri" w:hAnsi="Calibri" w:cs="Calibri" w:eastAsia="Calibri"/>
          <w:sz w:val="22"/>
          <w:color w:val="000000"/>
        </w:rPr>
        <w:t>3.1.2.6.1. Práticas para minimizar a poluição durante construção e operação</w:t>
      </w:r>
    </w:p>
    <w:p>
      <w:pPr>
        <w:jc w:val="both"/>
        <w:widowControl/>
        <w:ind w:left="1425"/>
        <w:spacing w:after="165"/>
      </w:pPr>
      <w:r>
        <w:rPr>
          <w:rFonts w:ascii="Times New Roman" w:hAnsi="Times New Roman" w:cs="Times New Roman" w:eastAsia="Times New Roman"/>
          <w:sz w:val="22"/>
        </w:rPr>
        <w:t/>
      </w:r>
    </w:p>
    <w:p>
      <w:pPr>
        <w:jc w:val="both"/>
        <w:widowControl/>
        <w:ind w:left="705"/>
        <w:spacing w:after="165"/>
      </w:pPr>
      <w:r>
        <w:rPr>
          <w:rFonts w:ascii="Calibri" w:hAnsi="Calibri" w:cs="Calibri" w:eastAsia="Calibri"/>
          <w:b/>
          <w:sz w:val="22"/>
          <w:color w:val="000000"/>
        </w:rPr>
        <w:t xml:space="preserve">3.2 Indicação de marcas ou modelos (Inciso I do art. 41 da </w:t>
      </w:r>
      <w:r>
        <w:rPr>
          <w:rFonts w:ascii="Calibri" w:hAnsi="Calibri" w:cs="Calibri" w:eastAsia="Calibri"/>
          <w:b/>
          <w:sz w:val="22"/>
        </w:rPr>
        <w:t>L</w:t>
      </w:r>
      <w:r>
        <w:rPr>
          <w:rFonts w:ascii="Calibri" w:hAnsi="Calibri" w:cs="Calibri" w:eastAsia="Calibri"/>
          <w:b/>
          <w:sz w:val="22"/>
          <w:color w:val="000000"/>
        </w:rPr>
        <w:t xml:space="preserve">ei nº 14.133, de 2021) </w:t>
      </w:r>
    </w:p>
    <w:p>
      <w:pPr>
        <w:jc w:val="both"/>
        <w:widowControl/>
        <w:ind w:left="705"/>
        <w:spacing w:after="165"/>
      </w:pPr>
      <w:r>
        <w:rPr>
          <w:rFonts w:ascii="Calibri" w:hAnsi="Calibri" w:cs="Calibri" w:eastAsia="Calibri"/>
          <w:sz w:val="22"/>
          <w:color w:val="000000"/>
        </w:rPr>
        <w:t xml:space="preserve">3.2.1. </w:t>
      </w:r>
      <w:r>
        <w:rPr>
          <w:rFonts w:ascii="Calibri" w:hAnsi="Calibri" w:cs="Calibri" w:eastAsia="Calibri"/>
          <w:b/>
          <w:sz w:val="22"/>
          <w:color w:val="000000"/>
        </w:rPr>
        <w:t xml:space="preserve">Seleção </w:t>
      </w:r>
      <w:r>
        <w:rPr>
          <w:rFonts w:ascii="Calibri" w:hAnsi="Calibri" w:cs="Calibri" w:eastAsia="Calibri"/>
          <w:b/>
          <w:sz w:val="22"/>
        </w:rPr>
        <w:t>b</w:t>
      </w:r>
      <w:r>
        <w:rPr>
          <w:rFonts w:ascii="Calibri" w:hAnsi="Calibri" w:cs="Calibri" w:eastAsia="Calibri"/>
          <w:b/>
          <w:sz w:val="22"/>
          <w:color w:val="000000"/>
        </w:rPr>
        <w:t xml:space="preserve">aseada em </w:t>
      </w:r>
      <w:r>
        <w:rPr>
          <w:rFonts w:ascii="Calibri" w:hAnsi="Calibri" w:cs="Calibri" w:eastAsia="Calibri"/>
          <w:b/>
          <w:sz w:val="22"/>
        </w:rPr>
        <w:t>e</w:t>
      </w:r>
      <w:r>
        <w:rPr>
          <w:rFonts w:ascii="Calibri" w:hAnsi="Calibri" w:cs="Calibri" w:eastAsia="Calibri"/>
          <w:b/>
          <w:sz w:val="22"/>
          <w:color w:val="000000"/>
        </w:rPr>
        <w:t xml:space="preserve">studos </w:t>
      </w:r>
      <w:r>
        <w:rPr>
          <w:rFonts w:ascii="Calibri" w:hAnsi="Calibri" w:cs="Calibri" w:eastAsia="Calibri"/>
          <w:b/>
          <w:sz w:val="22"/>
        </w:rPr>
        <w:t>t</w:t>
      </w:r>
      <w:r>
        <w:rPr>
          <w:rFonts w:ascii="Calibri" w:hAnsi="Calibri" w:cs="Calibri" w:eastAsia="Calibri"/>
          <w:b/>
          <w:sz w:val="22"/>
          <w:color w:val="000000"/>
        </w:rPr>
        <w:t>écnicos</w:t>
      </w:r>
      <w:r>
        <w:rPr>
          <w:rFonts w:ascii="Calibri" w:hAnsi="Calibri" w:cs="Calibri" w:eastAsia="Calibri"/>
          <w:sz w:val="22"/>
          <w:color w:val="000000"/>
        </w:rPr>
        <w:t>: permit</w:t>
      </w:r>
      <w:r>
        <w:rPr>
          <w:rFonts w:ascii="Calibri" w:hAnsi="Calibri" w:cs="Calibri" w:eastAsia="Calibri"/>
          <w:sz w:val="22"/>
        </w:rPr>
        <w:t>e</w:t>
      </w:r>
      <w:r>
        <w:rPr>
          <w:rFonts w:ascii="Calibri" w:hAnsi="Calibri" w:cs="Calibri" w:eastAsia="Calibri"/>
          <w:sz w:val="22"/>
          <w:color w:val="000000"/>
        </w:rPr>
        <w:t xml:space="preserve"> a especificação de marcas ou modelos que atendam às exigências técnicas e de qualidade estipuladas nos Estudos Técnicos Preliminares, conforme inciso I do Art. 41 da Lei nº 14.133.</w:t>
      </w:r>
    </w:p>
    <w:p>
      <w:pPr>
        <w:jc w:val="both"/>
        <w:widowControl/>
        <w:ind w:left="705"/>
        <w:spacing w:after="165"/>
      </w:pPr>
      <w:r>
        <w:rPr>
          <w:rFonts w:ascii="Calibri" w:hAnsi="Calibri" w:cs="Calibri" w:eastAsia="Calibri"/>
          <w:b/>
          <w:sz w:val="22"/>
          <w:color w:val="000000"/>
        </w:rPr>
        <w:t xml:space="preserve">3.3 Da vedação de utilização de marca/produto na execução do serviço (Inciso III do art. 41 da </w:t>
      </w:r>
      <w:r>
        <w:rPr>
          <w:rFonts w:ascii="Calibri" w:hAnsi="Calibri" w:cs="Calibri" w:eastAsia="Calibri"/>
          <w:b/>
          <w:sz w:val="22"/>
        </w:rPr>
        <w:t>L</w:t>
      </w:r>
      <w:r>
        <w:rPr>
          <w:rFonts w:ascii="Calibri" w:hAnsi="Calibri" w:cs="Calibri" w:eastAsia="Calibri"/>
          <w:b/>
          <w:sz w:val="22"/>
          <w:color w:val="000000"/>
        </w:rPr>
        <w:t>ei nº 14.133, de 2021);</w:t>
      </w:r>
    </w:p>
    <w:p>
      <w:pPr>
        <w:jc w:val="both"/>
        <w:widowControl/>
        <w:ind w:left="705"/>
        <w:spacing w:after="165"/>
      </w:pPr>
      <w:r>
        <w:rPr>
          <w:rFonts w:ascii="Calibri" w:hAnsi="Calibri" w:cs="Calibri" w:eastAsia="Calibri"/>
          <w:b/>
          <w:sz w:val="22"/>
          <w:color w:val="000000"/>
        </w:rPr>
        <w:t>3.4 Subcontratação</w:t>
      </w:r>
    </w:p>
    <w:p>
      <w:pPr>
        <w:jc w:val="both"/>
        <w:widowControl/>
        <w:ind w:left="705"/>
        <w:spacing w:after="165"/>
      </w:pPr>
      <w:r>
        <w:rPr>
          <w:rFonts w:ascii="Calibri" w:hAnsi="Calibri" w:cs="Calibri" w:eastAsia="Calibri"/>
          <w:sz w:val="22"/>
          <w:color w:val="000000"/>
        </w:rPr>
        <w:t xml:space="preserve">3.4.1. </w:t>
      </w:r>
      <w:r>
        <w:rPr>
          <w:rFonts w:ascii="Calibri" w:hAnsi="Calibri" w:cs="Calibri" w:eastAsia="Calibri"/>
          <w:b/>
          <w:sz w:val="22"/>
          <w:color w:val="000000"/>
        </w:rPr>
        <w:t xml:space="preserve">Proibição e </w:t>
      </w:r>
      <w:r>
        <w:rPr>
          <w:rFonts w:ascii="Calibri" w:hAnsi="Calibri" w:cs="Calibri" w:eastAsia="Calibri"/>
          <w:b/>
          <w:sz w:val="22"/>
        </w:rPr>
        <w:t>p</w:t>
      </w:r>
      <w:r>
        <w:rPr>
          <w:rFonts w:ascii="Calibri" w:hAnsi="Calibri" w:cs="Calibri" w:eastAsia="Calibri"/>
          <w:b/>
          <w:sz w:val="22"/>
          <w:color w:val="000000"/>
        </w:rPr>
        <w:t>ermissões</w:t>
      </w:r>
      <w:r>
        <w:rPr>
          <w:rFonts w:ascii="Calibri" w:hAnsi="Calibri" w:cs="Calibri" w:eastAsia="Calibri"/>
          <w:sz w:val="22"/>
          <w:color w:val="000000"/>
        </w:rPr>
        <w:t>:</w:t>
      </w:r>
    </w:p>
    <w:p>
      <w:pPr>
        <w:jc w:val="both"/>
        <w:widowControl/>
        <w:spacing w:after="165"/>
        <w:numPr>
          <w:ilvl w:val="0"/>
          <w:numId w:val="197"/>
        </w:numPr>
      </w:pPr>
      <w:r/>
      <w:r>
        <w:rPr>
          <w:rFonts w:ascii="Calibri" w:hAnsi="Calibri" w:cs="Calibri" w:eastAsia="Calibri"/>
          <w:b/>
          <w:sz w:val="22"/>
          <w:color w:val="000000"/>
        </w:rPr>
        <w:t xml:space="preserve">Proibição </w:t>
      </w:r>
      <w:r>
        <w:rPr>
          <w:rFonts w:ascii="Calibri" w:hAnsi="Calibri" w:cs="Calibri" w:eastAsia="Calibri"/>
          <w:b/>
          <w:sz w:val="22"/>
        </w:rPr>
        <w:t>t</w:t>
      </w:r>
      <w:r>
        <w:rPr>
          <w:rFonts w:ascii="Calibri" w:hAnsi="Calibri" w:cs="Calibri" w:eastAsia="Calibri"/>
          <w:b/>
          <w:sz w:val="22"/>
          <w:color w:val="000000"/>
        </w:rPr>
        <w:t>otal</w:t>
      </w:r>
      <w:r>
        <w:rPr>
          <w:rFonts w:ascii="Calibri" w:hAnsi="Calibri" w:cs="Calibri" w:eastAsia="Calibri"/>
          <w:sz w:val="22"/>
          <w:color w:val="000000"/>
        </w:rPr>
        <w:t>: Não é admitida a subcontratação do objeto contratual.</w:t>
      </w:r>
    </w:p>
    <w:p>
      <w:pPr>
        <w:widowControl/>
      </w:pPr>
      <w:r>
        <w:rPr>
          <w:rFonts w:ascii="Times New Roman" w:hAnsi="Times New Roman" w:cs="Times New Roman" w:eastAsia="Times New Roman"/>
          <w:sz w:val="22"/>
        </w:rPr>
        <w:t/>
      </w:r>
    </w:p>
    <w:p>
      <w:pPr>
        <w:widowControl/>
        <w:spacing w:before="15"/>
      </w:pPr>
      <w:r>
        <w:drawing>
          <wp:inline distT="0" distB="0" distL="0" distR="0">
            <wp:extent cx="6677025" cy="342900"/>
            <wp:effectExtent l="0" t="0" r="0" b="0"/>
            <wp:docPr id="5" name="P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emf"/>
                    <pic:cNvPicPr/>
                  </pic:nvPicPr>
                  <pic:blipFill>
                    <a:blip r:embed="prId4" cstate="print"/>
                    <a:stretch>
                      <a:fillRect/>
                    </a:stretch>
                  </pic:blipFill>
                  <pic:spPr>
                    <a:xfrm>
                      <a:off x="0" y="0"/>
                      <a:ext cx="6677025" cy="342900"/>
                    </a:xfrm>
                    <a:prstGeom prst="rect">
                      <a:avLst/>
                    </a:prstGeom>
                  </pic:spPr>
                </pic:pic>
              </a:graphicData>
            </a:graphic>
          </wp:inline>
        </w:drawing>
      </w:r>
    </w:p>
    <w:p>
      <w:pPr>
        <w:widowControl/>
        <w:spacing w:before="15"/>
      </w:pPr>
      <w:r>
        <w:rPr>
          <w:rFonts w:ascii="Calibri" w:hAnsi="Calibri" w:cs="Calibri" w:eastAsia="Calibri"/>
          <w:b/>
          <w:sz w:val="22"/>
          <w:color w:val="000000"/>
        </w:rPr>
        <w:t/>
      </w:r>
    </w:p>
    <w:p>
      <w:pPr>
        <w:jc w:val="both"/>
        <w:widowControl/>
        <w:ind w:left="705"/>
        <w:spacing w:after="165"/>
      </w:pPr>
      <w:r>
        <w:rPr>
          <w:sz w:val="22"/>
          <w:color w:val="000000"/>
        </w:rPr>
        <w:t xml:space="preserve">4.1 Será exigida a garantia da contratação de que tratam os arts. 96 e seguintes da Lei nº 14.133, de 2021, no percentual </w:t>
      </w:r>
      <w:r>
        <w:rPr>
          <w:b/>
          <w:sz w:val="22"/>
        </w:rPr>
        <w:t>05%</w:t>
      </w:r>
      <w:r>
        <w:rPr>
          <w:sz w:val="22"/>
          <w:color w:val="FF0000"/>
        </w:rPr>
        <w:t xml:space="preserve"> </w:t>
      </w:r>
      <w:r>
        <w:rPr>
          <w:sz w:val="22"/>
          <w:color w:val="000000"/>
        </w:rPr>
        <w:t>e condições descritas nas cláusulas do contrato.</w:t>
      </w:r>
    </w:p>
    <w:p>
      <w:pPr>
        <w:jc w:val="both"/>
        <w:widowControl/>
        <w:ind w:left="705"/>
        <w:spacing w:after="165"/>
      </w:pPr>
      <w:r>
        <w:rPr>
          <w:sz w:val="22"/>
          <w:color w:val="000000"/>
        </w:rPr>
        <w:t xml:space="preserve">4.1.1 Nas contratações de obras e serviços de engenharia, será exigida garantia adicional do licitante vencedor cuja proposta for inferior a </w:t>
      </w:r>
      <w:r>
        <w:rPr>
          <w:b/>
          <w:sz w:val="22"/>
          <w:color w:val="000000"/>
        </w:rPr>
        <w:t>85%</w:t>
      </w:r>
      <w:r>
        <w:rPr>
          <w:sz w:val="22"/>
          <w:color w:val="000000"/>
        </w:rPr>
        <w:t xml:space="preserve"> (oitenta e cinco por cento) do valor orçado pela Administração, equivalente à diferença entre este último e o valor da proposta, sem prejuízo das demais garantias exigíveis </w:t>
      </w:r>
      <w:r>
        <w:rPr>
          <w:sz w:val="22"/>
        </w:rPr>
        <w:t>conforme disposto no art. 59 §5º da Lei 14.133/2021.</w:t>
      </w:r>
    </w:p>
    <w:p>
      <w:pPr>
        <w:jc w:val="both"/>
        <w:widowControl/>
        <w:ind w:left="705"/>
        <w:spacing w:after="165"/>
      </w:pPr>
      <w:r>
        <w:rPr>
          <w:sz w:val="22"/>
          <w:color w:val="000000"/>
        </w:rPr>
        <w:t>4.2 No caso de opção pelo seguro-garantia, a parte adjudicatária deverá apresentá-l</w:t>
      </w:r>
      <w:r>
        <w:rPr>
          <w:sz w:val="22"/>
        </w:rPr>
        <w:t>o</w:t>
      </w:r>
      <w:r>
        <w:rPr>
          <w:sz w:val="22"/>
          <w:color w:val="000000"/>
        </w:rPr>
        <w:t xml:space="preserve">, no máximo, até a data de assinatura do contrato.  </w:t>
      </w:r>
    </w:p>
    <w:p>
      <w:pPr>
        <w:jc w:val="both"/>
        <w:widowControl/>
        <w:ind w:left="705"/>
        <w:spacing w:after="165"/>
      </w:pPr>
      <w:r>
        <w:rPr>
          <w:sz w:val="22"/>
          <w:color w:val="000000"/>
        </w:rPr>
        <w:t>4.3 A garantia, nas modalidades caução e fiança bancária, deverá ser prestada em até 10 (de</w:t>
      </w:r>
      <w:r>
        <w:rPr>
          <w:sz w:val="22"/>
        </w:rPr>
        <w:t>z)</w:t>
      </w:r>
      <w:r>
        <w:rPr>
          <w:sz w:val="22"/>
          <w:color w:val="000000"/>
        </w:rPr>
        <w:t xml:space="preserve"> dias úteis após a assinatura do contrato.</w:t>
      </w:r>
    </w:p>
    <w:p>
      <w:pPr>
        <w:jc w:val="both"/>
        <w:widowControl/>
        <w:ind w:left="705"/>
        <w:spacing w:after="165"/>
      </w:pPr>
      <w:r>
        <w:rPr>
          <w:sz w:val="22"/>
          <w:color w:val="000000"/>
        </w:rPr>
        <w:t>4.4 O contrato oferece maior detalhamento das regras que serão aplicadas em relação à garantia da contratação.</w:t>
      </w:r>
    </w:p>
    <w:p>
      <w:pPr>
        <w:jc w:val="both"/>
        <w:widowControl/>
        <w:ind w:left="705"/>
        <w:spacing w:after="165"/>
      </w:pPr>
      <w:r>
        <w:rPr>
          <w:b/>
          <w:sz w:val="22"/>
          <w:color w:val="000000"/>
          <w:shd w:val="clear" w:color="auto" w:fill="FFFFFF"/>
        </w:rPr>
        <w:t>4.5 Vistoria do Local de Execução dos Serviços:</w:t>
      </w:r>
    </w:p>
    <w:p>
      <w:pPr>
        <w:jc w:val="both"/>
        <w:widowControl/>
        <w:ind w:left="705"/>
        <w:spacing w:after="165"/>
      </w:pPr>
      <w:r>
        <w:rPr>
          <w:rFonts w:ascii="Calibri" w:hAnsi="Calibri" w:cs="Calibri" w:eastAsia="Calibri"/>
          <w:sz w:val="22"/>
          <w:color w:val="000000"/>
        </w:rPr>
        <w:t xml:space="preserve">4.5.1 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w:t>
      </w:r>
      <w:r>
        <w:rPr>
          <w:rFonts w:ascii="Calibri" w:hAnsi="Calibri" w:cs="Calibri" w:eastAsia="Calibri"/>
          <w:b/>
          <w:sz w:val="22"/>
        </w:rPr>
        <w:t>das 08:00 horas às 11:30 e das 13:30 ás 17:00horas de segunda a sexta feira, até o dia 13/03/2026.</w:t>
      </w:r>
    </w:p>
    <w:p>
      <w:pPr>
        <w:jc w:val="both"/>
        <w:widowControl/>
        <w:ind w:left="705"/>
        <w:spacing w:after="165"/>
      </w:pPr>
      <w:r>
        <w:rPr>
          <w:rFonts w:ascii="Calibri" w:hAnsi="Calibri" w:cs="Calibri" w:eastAsia="Calibri"/>
          <w:sz w:val="22"/>
          <w:color w:val="000000"/>
        </w:rPr>
        <w:t xml:space="preserve">4.5.2. Serão disponibilizados data e horário diferentes aos interessados em realizar a vistoria prévia, a qual poderá ser agendada através do e-mail </w:t>
      </w:r>
      <w:r>
        <w:rPr>
          <w:rFonts w:ascii="Calibri" w:hAnsi="Calibri" w:cs="Calibri" w:eastAsia="Calibri"/>
          <w:b/>
          <w:sz w:val="22"/>
        </w:rPr>
        <w:t>planejamento@guairaca.pr.gov.br</w:t>
      </w:r>
      <w:r>
        <w:rPr>
          <w:rFonts w:ascii="Times New Roman" w:hAnsi="Times New Roman" w:cs="Times New Roman" w:eastAsia="Times New Roman"/>
          <w:sz w:val="22"/>
          <w:color w:val="FF0000"/>
        </w:rPr>
        <w:t> </w:t>
      </w:r>
    </w:p>
    <w:p>
      <w:pPr>
        <w:jc w:val="both"/>
        <w:widowControl/>
        <w:ind w:left="705"/>
        <w:spacing w:after="165"/>
      </w:pPr>
      <w:r>
        <w:rPr>
          <w:rFonts w:ascii="Calibri" w:hAnsi="Calibri" w:cs="Calibri" w:eastAsia="Calibri"/>
          <w:sz w:val="22"/>
          <w:color w:val="000000"/>
        </w:rPr>
        <w:t xml:space="preserve">4.5.3. Para a vistoria, o representante legal da empresa ou responsável técnico deverá estar devidamente identificado, apresentando documento de identidade civil e documento expedido pela empresa, comprovando sua habilitação para a realização da vistoria. </w:t>
      </w:r>
    </w:p>
    <w:p>
      <w:pPr>
        <w:jc w:val="both"/>
        <w:widowControl/>
        <w:ind w:left="705"/>
        <w:spacing w:after="165"/>
      </w:pPr>
      <w:r>
        <w:rPr>
          <w:b/>
          <w:sz w:val="22"/>
          <w:color w:val="000000"/>
          <w:shd w:val="clear" w:color="auto" w:fill="C0C0C0"/>
        </w:rPr>
        <w:t xml:space="preserve">4.6 Padrões mínimos de </w:t>
      </w:r>
      <w:r>
        <w:rPr>
          <w:b/>
          <w:sz w:val="22"/>
          <w:shd w:val="clear" w:color="auto" w:fill="C0C0C0"/>
        </w:rPr>
        <w:t>q</w:t>
      </w:r>
      <w:r>
        <w:rPr>
          <w:b/>
          <w:sz w:val="22"/>
          <w:color w:val="000000"/>
          <w:shd w:val="clear" w:color="auto" w:fill="C0C0C0"/>
        </w:rPr>
        <w:t>ualidade</w:t>
      </w:r>
    </w:p>
    <w:p>
      <w:pPr>
        <w:jc w:val="both"/>
        <w:widowControl/>
        <w:ind w:left="705"/>
        <w:spacing w:after="165"/>
      </w:pPr>
      <w:r>
        <w:rPr>
          <w:rFonts w:ascii="Calibri" w:hAnsi="Calibri" w:cs="Calibri" w:eastAsia="Calibri"/>
          <w:sz w:val="22"/>
          <w:color w:val="000000"/>
        </w:rPr>
        <w:t xml:space="preserve">4.6.1. Os </w:t>
      </w:r>
      <w:r>
        <w:rPr>
          <w:rFonts w:ascii="Calibri" w:hAnsi="Calibri" w:cs="Calibri" w:eastAsia="Calibri"/>
          <w:sz w:val="22"/>
        </w:rPr>
        <w:t>m</w:t>
      </w:r>
      <w:r>
        <w:rPr>
          <w:rFonts w:ascii="Calibri" w:hAnsi="Calibri" w:cs="Calibri" w:eastAsia="Calibri"/>
          <w:sz w:val="22"/>
          <w:color w:val="000000"/>
        </w:rPr>
        <w:t xml:space="preserve">ateriais a serem aplicados devem estar de acordo com as determinações dos projetos, dos memoriais descritivos e das especificações técnicas contidas nos anexos, a serem atendidas pela </w:t>
      </w:r>
      <w:r>
        <w:rPr>
          <w:rFonts w:ascii="Calibri" w:hAnsi="Calibri" w:cs="Calibri" w:eastAsia="Calibri"/>
          <w:sz w:val="22"/>
        </w:rPr>
        <w:t>c</w:t>
      </w:r>
      <w:r>
        <w:rPr>
          <w:rFonts w:ascii="Calibri" w:hAnsi="Calibri" w:cs="Calibri" w:eastAsia="Calibri"/>
          <w:sz w:val="22"/>
          <w:color w:val="000000"/>
        </w:rPr>
        <w:t xml:space="preserve">ontratada. Assim, deverão ser de primeira qualidade, isentos de quaisquer defeitos de fabricação, transporte ou manuseio inadequados, produzidos de modo a atender integralmente no que lhes couber as especificações da ABNT, dos projetos e </w:t>
      </w:r>
      <w:r>
        <w:rPr>
          <w:rFonts w:ascii="Calibri" w:hAnsi="Calibri" w:cs="Calibri" w:eastAsia="Calibri"/>
          <w:sz w:val="22"/>
        </w:rPr>
        <w:t>a</w:t>
      </w:r>
      <w:r>
        <w:rPr>
          <w:rFonts w:ascii="Calibri" w:hAnsi="Calibri" w:cs="Calibri" w:eastAsia="Calibri"/>
          <w:sz w:val="22"/>
          <w:color w:val="000000"/>
        </w:rPr>
        <w:t>nexos, respondendo às exigências citadas nas normas sanitárias em relação às especificidades que dizem respeito à mitigação do risco sanitário e demais riscos pertinentes a um estabelecimento assistencial de saúde.</w:t>
      </w:r>
    </w:p>
    <w:p>
      <w:pPr>
        <w:jc w:val="both"/>
        <w:widowControl/>
        <w:ind w:left="705"/>
        <w:spacing w:after="165"/>
      </w:pPr>
      <w:r>
        <w:rPr>
          <w:rFonts w:ascii="Calibri" w:hAnsi="Calibri" w:cs="Calibri" w:eastAsia="Calibri"/>
          <w:sz w:val="22"/>
          <w:color w:val="000000"/>
        </w:rPr>
        <w:t>4.6.2. A substituição de materiais especificados por similares só poderá ser realizada mediante justificativa e autorização prévia expressa pelos responsáveis pelo gerenciamento e fiscalização da obra, que poder</w:t>
      </w:r>
      <w:r>
        <w:rPr>
          <w:rFonts w:ascii="Calibri" w:hAnsi="Calibri" w:cs="Calibri" w:eastAsia="Calibri"/>
          <w:sz w:val="22"/>
        </w:rPr>
        <w:t xml:space="preserve">ão </w:t>
      </w:r>
      <w:r>
        <w:rPr>
          <w:rFonts w:ascii="Calibri" w:hAnsi="Calibri" w:cs="Calibri" w:eastAsia="Calibri"/>
          <w:sz w:val="22"/>
          <w:color w:val="000000"/>
        </w:rPr>
        <w:t>exigir a troca, quando houver dúvidas quanto à qualidade ou similaridade.</w:t>
      </w:r>
    </w:p>
    <w:p>
      <w:pPr>
        <w:jc w:val="both"/>
        <w:widowControl/>
        <w:ind w:left="705"/>
        <w:spacing w:after="165" w:lineRule="auto" w:line="252"/>
      </w:pPr>
      <w:r>
        <w:rPr>
          <w:rFonts w:ascii="Calibri" w:hAnsi="Calibri" w:cs="Calibri" w:eastAsia="Calibri"/>
          <w:sz w:val="22"/>
        </w:rPr>
        <w:t>4.6.3. Os critérios, tipos de materiais e serviços a serem executados, bem como as normas para a execução, serão claramente especificados nos memoriais descritivos e nos projetos de engenharia, elaborados por profissional habilitado.</w:t>
      </w:r>
    </w:p>
    <w:p>
      <w:pPr>
        <w:jc w:val="both"/>
        <w:widowControl/>
        <w:ind w:left="705"/>
        <w:spacing w:after="165"/>
      </w:pPr>
      <w:bookmarkStart w:id="0" w:name="_gjdgxs"/>
      <w:bookmarkEnd w:id="0"/>
      <w:r>
        <w:rPr>
          <w:b/>
          <w:sz w:val="24"/>
          <w:shd w:val="clear" w:color="auto" w:fill="C0C0C0"/>
        </w:rPr>
        <w:t>4.8 Enquadramento do objeto como bem de luxo;</w:t>
      </w:r>
    </w:p>
    <w:p>
      <w:pPr>
        <w:jc w:val="both"/>
        <w:widowControl/>
        <w:ind w:left="705"/>
        <w:spacing w:before="285" w:after="285"/>
      </w:pPr>
      <w:r>
        <w:rPr>
          <w:rFonts w:ascii="Calibri" w:hAnsi="Calibri" w:cs="Calibri" w:eastAsia="Calibri"/>
          <w:sz w:val="22"/>
        </w:rPr>
        <w:t>4.8.1 O artigo 20 da Lei nº 14.133/2021 proíbe a aquisição de artigos de luxo para suprir as demandas da Administração Pública, determinando que os itens devem ter qualidade comum. O Decreto nº 10.818/2021 específica que bens de consumo adquiridos pela Administração Pública Federal devem ter baixa ou moderada elasticidade-renda da demanda. No entanto, o objeto em questão trata-se de serviços de obras e engenharia, classificados como investimentos e não como bens de consumo. Esses serviços são considerados ativos duráveis com vida útil estendida e essenciais para a entrega de serviços públicos, portanto, o teor do Decreto nº 10.818/2021 não se aplica a eles. Além disso, tais serviços não possuem características de ostentação ou requinte mencionadas no Decreto.</w:t>
      </w:r>
    </w:p>
    <w:p>
      <w:pPr>
        <w:widowControl/>
      </w:pPr>
      <w:r>
        <w:rPr>
          <w:rFonts w:ascii="Times New Roman" w:hAnsi="Times New Roman" w:cs="Times New Roman" w:eastAsia="Times New Roman"/>
          <w:sz w:val="22"/>
        </w:rPr>
        <w:t/>
      </w:r>
    </w:p>
    <w:p>
      <w:pPr>
        <w:widowControl/>
      </w:pPr>
      <w:r>
        <w:drawing>
          <wp:inline distT="0" distB="0" distL="0" distR="0">
            <wp:extent cx="6677025" cy="200025"/>
            <wp:effectExtent l="0" t="0" r="0" b="0"/>
            <wp:docPr id="6" name="P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emf"/>
                    <pic:cNvPicPr/>
                  </pic:nvPicPr>
                  <pic:blipFill>
                    <a:blip r:embed="prId5" cstate="print"/>
                    <a:stretch>
                      <a:fillRect/>
                    </a:stretch>
                  </pic:blipFill>
                  <pic:spPr>
                    <a:xfrm>
                      <a:off x="0" y="0"/>
                      <a:ext cx="6677025" cy="200025"/>
                    </a:xfrm>
                    <a:prstGeom prst="rect">
                      <a:avLst/>
                    </a:prstGeom>
                  </pic:spPr>
                </pic:pic>
              </a:graphicData>
            </a:graphic>
          </wp:inline>
        </w:drawing>
      </w:r>
    </w:p>
    <w:p>
      <w:pPr>
        <w:jc w:val="both"/>
        <w:widowControl/>
        <w:ind w:left="705"/>
        <w:spacing w:after="165"/>
      </w:pPr>
      <w:r>
        <w:rPr>
          <w:rFonts w:ascii="Calibri" w:hAnsi="Calibri" w:cs="Calibri" w:eastAsia="Calibri"/>
          <w:b/>
          <w:sz w:val="22"/>
          <w:color w:val="000000"/>
        </w:rPr>
        <w:t xml:space="preserve">5.1 Requisitos </w:t>
      </w:r>
      <w:r>
        <w:rPr>
          <w:rFonts w:ascii="Calibri" w:hAnsi="Calibri" w:cs="Calibri" w:eastAsia="Calibri"/>
          <w:b/>
          <w:sz w:val="22"/>
        </w:rPr>
        <w:t>g</w:t>
      </w:r>
      <w:r>
        <w:rPr>
          <w:rFonts w:ascii="Calibri" w:hAnsi="Calibri" w:cs="Calibri" w:eastAsia="Calibri"/>
          <w:b/>
          <w:sz w:val="22"/>
          <w:color w:val="000000"/>
        </w:rPr>
        <w:t>erais</w:t>
      </w:r>
    </w:p>
    <w:p>
      <w:pPr>
        <w:jc w:val="both"/>
        <w:widowControl/>
        <w:ind w:left="705"/>
        <w:spacing w:after="165"/>
      </w:pPr>
      <w:r>
        <w:rPr>
          <w:rFonts w:ascii="Calibri" w:hAnsi="Calibri" w:cs="Calibri" w:eastAsia="Calibri"/>
          <w:sz w:val="22"/>
          <w:color w:val="000000"/>
        </w:rPr>
        <w:t xml:space="preserve">5.1.1. A obra será executada conforme o estabelecido no </w:t>
      </w:r>
      <w:r>
        <w:rPr>
          <w:rFonts w:ascii="Calibri" w:hAnsi="Calibri" w:cs="Calibri" w:eastAsia="Calibri"/>
          <w:sz w:val="22"/>
        </w:rPr>
        <w:t>e</w:t>
      </w:r>
      <w:r>
        <w:rPr>
          <w:rFonts w:ascii="Calibri" w:hAnsi="Calibri" w:cs="Calibri" w:eastAsia="Calibri"/>
          <w:sz w:val="22"/>
          <w:color w:val="000000"/>
        </w:rPr>
        <w:t xml:space="preserve">dital e seus respectivos anexos, nas quantidades especificadas na </w:t>
      </w:r>
      <w:r>
        <w:rPr>
          <w:rFonts w:ascii="Calibri" w:hAnsi="Calibri" w:cs="Calibri" w:eastAsia="Calibri"/>
          <w:sz w:val="22"/>
        </w:rPr>
        <w:t>planilha (Pasta técnica), devidamente aprovados pela Prefeitura Municipal de GUAIRAÇÁ-PR.</w:t>
      </w:r>
    </w:p>
    <w:p>
      <w:pPr>
        <w:jc w:val="both"/>
        <w:widowControl/>
        <w:ind w:left="705"/>
        <w:spacing w:after="165"/>
      </w:pPr>
      <w:r>
        <w:rPr>
          <w:rFonts w:ascii="Calibri" w:hAnsi="Calibri" w:cs="Calibri" w:eastAsia="Calibri"/>
          <w:sz w:val="22"/>
          <w:color w:val="000000"/>
        </w:rPr>
        <w:t>5.1.2 A empresa contratada será responsável por fornecer e instalar todos os materiais e equipamentos especificados na planilha orçamentária e nos memoriais descritivos, garantindo a correta adequação desses itens à obra da Unidade Básica de Saúde. Esta medida visa evitar que instalações futuras comprometam a obra concluída, prevenindo danos e prejuízos aos serviços já executados.</w:t>
      </w:r>
    </w:p>
    <w:p>
      <w:pPr>
        <w:jc w:val="both"/>
        <w:widowControl/>
        <w:ind w:left="705"/>
        <w:spacing w:after="165"/>
      </w:pPr>
      <w:r>
        <w:rPr>
          <w:rFonts w:ascii="Calibri" w:hAnsi="Calibri" w:cs="Calibri" w:eastAsia="Calibri"/>
          <w:sz w:val="22"/>
          <w:color w:val="000000"/>
        </w:rPr>
        <w:t xml:space="preserve">5.1.3 Todos os serviços deverão ser realizados em estrita conformidade com os princípios de boa prática técnica e atender, rigorosamente, às </w:t>
      </w:r>
      <w:r>
        <w:rPr>
          <w:rFonts w:ascii="Calibri" w:hAnsi="Calibri" w:cs="Calibri" w:eastAsia="Calibri"/>
          <w:sz w:val="22"/>
        </w:rPr>
        <w:t>n</w:t>
      </w:r>
      <w:r>
        <w:rPr>
          <w:rFonts w:ascii="Calibri" w:hAnsi="Calibri" w:cs="Calibri" w:eastAsia="Calibri"/>
          <w:sz w:val="22"/>
          <w:color w:val="000000"/>
        </w:rPr>
        <w:t xml:space="preserve">ormas </w:t>
      </w:r>
      <w:r>
        <w:rPr>
          <w:rFonts w:ascii="Calibri" w:hAnsi="Calibri" w:cs="Calibri" w:eastAsia="Calibri"/>
          <w:sz w:val="22"/>
        </w:rPr>
        <w:t>b</w:t>
      </w:r>
      <w:r>
        <w:rPr>
          <w:rFonts w:ascii="Calibri" w:hAnsi="Calibri" w:cs="Calibri" w:eastAsia="Calibri"/>
          <w:sz w:val="22"/>
          <w:color w:val="000000"/>
        </w:rPr>
        <w:t>rasileiras aplicáveis à construção civil. Em caso de divergências na interpretação dos documentos fornecidos, será adotada a seguinte ordem de prioridade:</w:t>
      </w:r>
    </w:p>
    <w:p>
      <w:pPr>
        <w:jc w:val="both"/>
        <w:widowControl/>
        <w:ind w:left="705"/>
        <w:spacing w:after="165"/>
      </w:pPr>
      <w:r>
        <w:rPr>
          <w:rFonts w:ascii="Calibri" w:hAnsi="Calibri" w:cs="Calibri" w:eastAsia="Calibri"/>
          <w:sz w:val="22"/>
          <w:color w:val="000000"/>
        </w:rPr>
        <w:t xml:space="preserve">5.1.3.1. Em caso de divergências entre a especificação da planilha </w:t>
      </w:r>
      <w:r>
        <w:rPr>
          <w:rFonts w:ascii="Calibri" w:hAnsi="Calibri" w:cs="Calibri" w:eastAsia="Calibri"/>
          <w:sz w:val="22"/>
        </w:rPr>
        <w:t>orçamentária e os desenhos/projetos fornecidos, a Prefeitura Municipal de GUAIRAÇÁ-PR deverá</w:t>
      </w:r>
      <w:r>
        <w:rPr>
          <w:rFonts w:ascii="Calibri" w:hAnsi="Calibri" w:cs="Calibri" w:eastAsia="Calibri"/>
          <w:sz w:val="22"/>
          <w:color w:val="000000"/>
        </w:rPr>
        <w:t xml:space="preserve"> ser consultada</w:t>
      </w:r>
      <w:r>
        <w:rPr>
          <w:rFonts w:ascii="Times New Roman" w:hAnsi="Times New Roman" w:cs="Times New Roman" w:eastAsia="Times New Roman"/>
          <w:sz w:val="22"/>
        </w:rPr>
        <w:t>.</w:t>
      </w:r>
    </w:p>
    <w:p>
      <w:pPr>
        <w:jc w:val="both"/>
        <w:widowControl/>
        <w:ind w:left="705"/>
        <w:spacing w:after="165"/>
      </w:pPr>
      <w:r>
        <w:rPr>
          <w:rFonts w:ascii="Calibri" w:hAnsi="Calibri" w:cs="Calibri" w:eastAsia="Calibri"/>
          <w:sz w:val="22"/>
          <w:color w:val="000000"/>
        </w:rPr>
        <w:t>5.1.3.</w:t>
      </w:r>
      <w:r>
        <w:rPr>
          <w:rFonts w:ascii="Calibri" w:hAnsi="Calibri" w:cs="Calibri" w:eastAsia="Calibri"/>
          <w:sz w:val="22"/>
        </w:rPr>
        <w:t>2. Em caso de divergência entre projetos com datas diferentes, prevalecerá o mais recente</w:t>
      </w:r>
      <w:r>
        <w:rPr>
          <w:rFonts w:ascii="Roboto" w:hAnsi="Roboto" w:cs="Roboto" w:eastAsia="Roboto"/>
          <w:sz w:val="22"/>
          <w:color w:val="444746"/>
        </w:rPr>
        <w:t xml:space="preserve">. </w:t>
      </w:r>
    </w:p>
    <w:p>
      <w:pPr>
        <w:jc w:val="both"/>
        <w:widowControl/>
        <w:ind w:left="705"/>
        <w:spacing w:after="165"/>
      </w:pPr>
      <w:r>
        <w:rPr>
          <w:rFonts w:ascii="Calibri" w:hAnsi="Calibri" w:cs="Calibri" w:eastAsia="Calibri"/>
          <w:sz w:val="22"/>
        </w:rPr>
        <w:t>5.1.3.3. Em caso de divergências no projeto, como entre as cotas dos desenhos e a representação gráfica em escala, a Prefeitura Municipal de GUAIRAÇÁ-PR deverá ser consultada.</w:t>
      </w:r>
    </w:p>
    <w:p>
      <w:pPr>
        <w:jc w:val="both"/>
        <w:widowControl/>
        <w:ind w:left="705"/>
        <w:spacing w:after="165"/>
      </w:pPr>
      <w:r>
        <w:rPr>
          <w:rFonts w:ascii="Calibri" w:hAnsi="Calibri" w:cs="Calibri" w:eastAsia="Calibri"/>
          <w:sz w:val="22"/>
        </w:rPr>
        <w:t>5.1.4. A contratante, Prefeitura de GUAIRAÇÁ-PR, designará</w:t>
      </w:r>
      <w:r>
        <w:rPr>
          <w:rFonts w:ascii="Calibri" w:hAnsi="Calibri" w:cs="Calibri" w:eastAsia="Calibri"/>
          <w:sz w:val="22"/>
          <w:color w:val="000000"/>
        </w:rPr>
        <w:t xml:space="preserve"> engenheiros, arquitetos e seus prepostos para acompanhar e fiscalizar as obras.</w:t>
      </w:r>
    </w:p>
    <w:p>
      <w:pPr>
        <w:jc w:val="both"/>
        <w:widowControl/>
        <w:ind w:left="705"/>
        <w:spacing w:before="285" w:after="285"/>
      </w:pPr>
      <w:r>
        <w:rPr>
          <w:rFonts w:ascii="Calibri" w:hAnsi="Calibri" w:cs="Calibri" w:eastAsia="Calibri"/>
          <w:sz w:val="22"/>
        </w:rPr>
        <w:t>5.1.5. Requi</w:t>
      </w:r>
      <w:r>
        <w:rPr>
          <w:rFonts w:ascii="Calibri" w:hAnsi="Calibri" w:cs="Calibri" w:eastAsia="Calibri"/>
          <w:sz w:val="22"/>
          <w:color w:val="000000"/>
        </w:rPr>
        <w:t>sitos legais e normativos que disciplinam a execução da obra</w:t>
      </w:r>
    </w:p>
    <w:p>
      <w:pPr>
        <w:jc w:val="both"/>
        <w:widowControl/>
        <w:ind w:left="705"/>
        <w:spacing w:before="285" w:after="285"/>
      </w:pPr>
      <w:r>
        <w:rPr>
          <w:rFonts w:ascii="Calibri" w:hAnsi="Calibri" w:cs="Calibri" w:eastAsia="Calibri"/>
          <w:sz w:val="22"/>
        </w:rPr>
        <w:t>5.1.5.1 A solução técnica proposta, com base no projeto arquitetônico fornecido, está em conformidade com as normas aplicáveis ao tema. O foco principal está na norma sanitária vigente no país, especificamente na Resolução-RDC nº 50, de 21 de fevereiro de 2002, que estabelece o regulamento técnico para o planejamento, programação, elaboração e avaliação de projetos físicos de estabelecimentos assistenciais de saúde. Esta norma aborda aspectos fundamentais como infraestrutura, áreas, dimensionamentos, instalações e acabamentos.</w:t>
      </w:r>
    </w:p>
    <w:p>
      <w:pPr>
        <w:jc w:val="both"/>
        <w:widowControl/>
        <w:ind w:left="705"/>
        <w:spacing w:before="285" w:after="285"/>
      </w:pPr>
      <w:r>
        <w:rPr>
          <w:rFonts w:ascii="Calibri" w:hAnsi="Calibri" w:cs="Calibri" w:eastAsia="Calibri"/>
          <w:sz w:val="22"/>
        </w:rPr>
        <w:t xml:space="preserve">5.1.5.2. A proposta também observa as demais normas transversais da Agência Nacional de Vigilância Sanitária (Anvisa) pertinentes ao objeto em questão. Além de Normas da ABNT, Instrumentos Normativos (IN) e Normas Regulamentadoras (NR) do Ministério do Trabalho e Emprego.  </w:t>
      </w:r>
    </w:p>
    <w:p>
      <w:pPr>
        <w:widowControl/>
        <w:spacing w:before="15"/>
      </w:pPr>
      <w:r>
        <w:rPr>
          <w:rFonts w:ascii="Times New Roman" w:hAnsi="Times New Roman" w:cs="Times New Roman" w:eastAsia="Times New Roman"/>
          <w:sz w:val="22"/>
        </w:rPr>
        <w:t/>
      </w:r>
    </w:p>
    <w:p>
      <w:pPr>
        <w:widowControl/>
        <w:spacing w:before="15"/>
      </w:pPr>
      <w:r>
        <w:drawing>
          <wp:inline distT="0" distB="0" distL="0" distR="0">
            <wp:extent cx="6524625" cy="209550"/>
            <wp:effectExtent l="0" t="0" r="0" b="0"/>
            <wp:docPr id="7" name="P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emf"/>
                    <pic:cNvPicPr/>
                  </pic:nvPicPr>
                  <pic:blipFill>
                    <a:blip r:embed="prId6" cstate="print"/>
                    <a:stretch>
                      <a:fillRect/>
                    </a:stretch>
                  </pic:blipFill>
                  <pic:spPr>
                    <a:xfrm>
                      <a:off x="0" y="0"/>
                      <a:ext cx="6524625" cy="209550"/>
                    </a:xfrm>
                    <a:prstGeom prst="rect">
                      <a:avLst/>
                    </a:prstGeom>
                  </pic:spPr>
                </pic:pic>
              </a:graphicData>
            </a:graphic>
          </wp:inline>
        </w:drawing>
      </w:r>
    </w:p>
    <w:p>
      <w:pPr>
        <w:jc w:val="both"/>
        <w:widowControl/>
        <w:ind w:left="165" w:right="210"/>
        <w:spacing w:before="90" w:lineRule="auto" w:line="276"/>
      </w:pPr>
      <w:r>
        <w:rPr>
          <w:sz w:val="22"/>
        </w:rPr>
        <w:t>O pagamento será realizado por meio de ordem bancária, para crédito em banco, agência e conta-corrente, indicados pela Contratada.</w:t>
      </w:r>
    </w:p>
    <w:p>
      <w:pPr>
        <w:jc w:val="both"/>
        <w:widowControl/>
        <w:ind w:left="165"/>
        <w:spacing w:before="120"/>
        <w:tabs>
          <w:tab w:val="left" w:pos="930"/>
        </w:tabs>
      </w:pPr>
      <w:r>
        <w:rPr>
          <w:sz w:val="22"/>
        </w:rPr>
        <w:t>Será considerada data do pagamento o dia em que constar como emitida a ordem bancária para pagamento.</w:t>
      </w:r>
    </w:p>
    <w:p>
      <w:pPr>
        <w:jc w:val="both"/>
        <w:widowControl/>
        <w:ind w:left="165"/>
        <w:spacing w:before="120"/>
        <w:tabs>
          <w:tab w:val="left" w:pos="930"/>
        </w:tabs>
      </w:pPr>
      <w:r>
        <w:rPr>
          <w:sz w:val="22"/>
          <w:color w:val="000000"/>
        </w:rPr>
        <w:t>Quando do pagamento, será efetuada a retenção tributária prevista na legislação aplicável.</w:t>
      </w:r>
    </w:p>
    <w:p>
      <w:pPr>
        <w:jc w:val="both"/>
        <w:widowControl/>
        <w:ind w:left="165"/>
        <w:spacing w:before="120"/>
        <w:tabs>
          <w:tab w:val="left" w:pos="930"/>
        </w:tabs>
      </w:pPr>
      <w:r>
        <w:rPr>
          <w:sz w:val="22"/>
          <w:color w:val="000000"/>
        </w:rPr>
        <w:t>Independentemente do percentual de tributo inserido na planilha, quando houver, serão retidos na fonte, quando da realização do pagamento, os percentuais estabelecidos na legislação vigente.</w:t>
      </w:r>
    </w:p>
    <w:p>
      <w:pPr>
        <w:jc w:val="both"/>
        <w:widowControl/>
        <w:ind w:left="165"/>
        <w:spacing w:before="120"/>
        <w:tabs>
          <w:tab w:val="left" w:pos="930"/>
        </w:tabs>
      </w:pPr>
      <w:r>
        <w:rPr>
          <w:sz w:val="22"/>
          <w:color w:val="00000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jc w:val="both"/>
        <w:widowControl/>
        <w:ind w:left="165" w:right="210"/>
        <w:spacing w:before="150" w:lineRule="auto" w:line="276"/>
        <w:tabs>
          <w:tab w:val="left" w:pos="930"/>
        </w:tabs>
      </w:pPr>
      <w:r>
        <w:rPr>
          <w:sz w:val="22"/>
        </w:rPr>
        <w:t>Recebida a Nota Fiscal ou documento de cobrança equivalente, correrá no prazo de 15 (quinze) dias úteis para fins de liquidação, na forma desta seção, prorrogáveis por igual período.</w:t>
      </w:r>
    </w:p>
    <w:p>
      <w:pPr>
        <w:jc w:val="both"/>
        <w:widowControl/>
        <w:ind w:left="495" w:right="210"/>
        <w:spacing w:before="120" w:lineRule="auto" w:line="276"/>
      </w:pPr>
      <w:r>
        <w:rPr>
          <w:sz w:val="22"/>
        </w:rPr>
        <w:t xml:space="preserve">A nota fiscal ou instrumento de cobrança equivalente deverá ser obrigatoriamente acompanhado da comprovação da regularidade fiscal, mediante consulta aos sítios eletrônicos oficiais ou à documentação mencionada no </w:t>
      </w:r>
      <w:r>
        <w:rPr>
          <w:u w:val="single"/>
          <w:sz w:val="22"/>
        </w:rPr>
        <w:t>art. 68, da Lei Federal n.º 14.133/2021</w:t>
      </w:r>
      <w:r>
        <w:rPr>
          <w:rFonts w:ascii="Times New Roman" w:hAnsi="Times New Roman" w:cs="Times New Roman" w:eastAsia="Times New Roman"/>
          <w:sz w:val="22"/>
        </w:rPr>
        <w:t>.</w:t>
      </w:r>
    </w:p>
    <w:p>
      <w:pPr>
        <w:jc w:val="both"/>
        <w:widowControl/>
        <w:ind w:left="165" w:right="210"/>
        <w:spacing w:before="120" w:lineRule="auto" w:line="276"/>
        <w:tabs>
          <w:tab w:val="left" w:pos="540"/>
        </w:tabs>
      </w:pPr>
      <w:r>
        <w:rPr>
          <w:sz w:val="22"/>
        </w:rPr>
        <w:t>Para fins de liquidação, o setor competente deverá verificar se a nota fiscal ou instrumento de cobrança equivalente apresentado expressa os elementos necessários e essenciais do documento, tais como:</w:t>
      </w:r>
    </w:p>
    <w:p>
      <w:pPr>
        <w:jc w:val="both"/>
        <w:widowControl/>
        <w:ind w:left="1005" w:hanging="225"/>
        <w:spacing w:before="120"/>
      </w:pPr>
      <w:r>
        <w:rPr>
          <w:sz w:val="22"/>
        </w:rPr>
        <w:t>O prazo de validade;</w:t>
      </w:r>
    </w:p>
    <w:p>
      <w:pPr>
        <w:jc w:val="both"/>
        <w:widowControl/>
        <w:ind w:left="1005" w:hanging="225"/>
        <w:spacing w:before="150"/>
        <w:tabs>
          <w:tab w:val="left" w:pos="1020"/>
        </w:tabs>
      </w:pPr>
      <w:r>
        <w:rPr>
          <w:sz w:val="22"/>
        </w:rPr>
        <w:t>A data da emissão;</w:t>
      </w:r>
    </w:p>
    <w:p>
      <w:pPr>
        <w:widowControl/>
        <w:ind w:left="1005" w:hanging="225"/>
        <w:spacing w:before="150"/>
      </w:pPr>
      <w:r>
        <w:rPr>
          <w:sz w:val="22"/>
        </w:rPr>
        <w:t>Os dados do contrato e do órgão contratante;</w:t>
      </w:r>
    </w:p>
    <w:p>
      <w:pPr>
        <w:widowControl/>
        <w:ind w:left="1005" w:hanging="225"/>
        <w:spacing w:before="150"/>
        <w:tabs>
          <w:tab w:val="left" w:pos="1020"/>
        </w:tabs>
      </w:pPr>
      <w:r>
        <w:rPr>
          <w:sz w:val="22"/>
        </w:rPr>
        <w:t>O período respectivo de execução do contrato;</w:t>
      </w:r>
    </w:p>
    <w:p>
      <w:pPr>
        <w:widowControl/>
        <w:ind w:left="1005" w:hanging="225"/>
        <w:spacing w:before="150"/>
      </w:pPr>
      <w:r>
        <w:rPr>
          <w:sz w:val="22"/>
        </w:rPr>
        <w:t>O valor a pagar; e</w:t>
      </w:r>
    </w:p>
    <w:p>
      <w:pPr>
        <w:widowControl/>
        <w:ind w:left="1005" w:hanging="225"/>
        <w:spacing w:before="150"/>
      </w:pPr>
      <w:r>
        <w:rPr>
          <w:sz w:val="22"/>
        </w:rPr>
        <w:t>Eventual destaque do valor de retenções tributárias cabíveis.</w:t>
      </w:r>
    </w:p>
    <w:p>
      <w:pPr>
        <w:jc w:val="both"/>
        <w:widowControl/>
        <w:ind w:left="495" w:right="210"/>
        <w:spacing w:before="150" w:lineRule="auto" w:line="276"/>
      </w:pPr>
      <w:r>
        <w:rPr>
          <w:sz w:val="22"/>
        </w:rPr>
        <w:t>Havendo erro na apresentação da nota fiscal ou instrumento de cobrança equivalente, ou circunstância que impeça a liquidação da despesa, esta ficará sobrestada até que a Contratada providencie as medidas saneadoras, reiniciando-se o prazo após a comprovação da regularização da situação, sem ônus ao contratante.</w:t>
      </w:r>
    </w:p>
    <w:p>
      <w:pPr>
        <w:jc w:val="both"/>
        <w:widowControl/>
        <w:ind w:left="495" w:right="210"/>
        <w:spacing w:before="120" w:lineRule="auto" w:line="276"/>
      </w:pPr>
      <w:r>
        <w:rPr>
          <w:sz w:val="22"/>
        </w:rPr>
        <w:t xml:space="preserve">Constatando-se uma situação de irregularidade da Contratada, será providenciada sua notificação, por escrito, para que, no prazo de </w:t>
      </w:r>
      <w:r>
        <w:rPr>
          <w:b/>
          <w:sz w:val="22"/>
        </w:rPr>
        <w:t>5 (cinco) dias úteis</w:t>
      </w:r>
      <w:r>
        <w:rPr>
          <w:sz w:val="22"/>
        </w:rPr>
        <w:t>, regularize sua situação ou, no mesmo prazo, apresente sua defesa. O prazo poderá ser prorrogado uma vez, por igual período, a critério do contratante.</w:t>
      </w:r>
    </w:p>
    <w:p>
      <w:pPr>
        <w:jc w:val="both"/>
        <w:widowControl/>
        <w:ind w:left="495" w:right="210"/>
        <w:spacing w:before="120" w:lineRule="auto" w:line="276"/>
      </w:pPr>
      <w:r>
        <w:rPr>
          <w:sz w:val="22"/>
        </w:rPr>
        <w:t>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pPr>
        <w:widowControl/>
        <w:spacing w:before="15"/>
      </w:pPr>
      <w:r>
        <w:rPr>
          <w:rFonts w:ascii="Times New Roman" w:hAnsi="Times New Roman" w:cs="Times New Roman" w:eastAsia="Times New Roman"/>
          <w:sz w:val="22"/>
        </w:rPr>
        <w:t/>
      </w:r>
    </w:p>
    <w:p>
      <w:pPr>
        <w:jc w:val="both"/>
        <w:widowControl/>
        <w:ind w:left="495" w:right="210"/>
        <w:spacing w:lineRule="auto" w:line="264"/>
      </w:pPr>
      <w:r>
        <w:rPr>
          <w:sz w:val="22"/>
        </w:rPr>
        <w:t>Persistindo a irregularidade, o contratante deverá adotar as medidas necessárias à rescisão contratual nos autos do processo administrativo correspondente, assegurada à Contratada a ampla defesa.</w:t>
      </w:r>
    </w:p>
    <w:p>
      <w:pPr>
        <w:jc w:val="both"/>
        <w:widowControl/>
        <w:ind w:left="495" w:right="210"/>
        <w:spacing w:before="120" w:lineRule="auto" w:line="276"/>
      </w:pPr>
      <w:r>
        <w:rPr>
          <w:sz w:val="22"/>
        </w:rPr>
        <w:t>Havendo a efetiva execução do objeto, os pagamentos serão realizados normalmente, até que se decida pela rescisão do contrato, caso a Contratada não regularize sua situação.</w:t>
      </w:r>
    </w:p>
    <w:p>
      <w:pPr>
        <w:jc w:val="both"/>
        <w:widowControl/>
        <w:ind w:left="165" w:right="210"/>
        <w:spacing w:before="120" w:lineRule="auto" w:line="276"/>
        <w:tabs>
          <w:tab w:val="left" w:pos="930"/>
        </w:tabs>
      </w:pPr>
      <w:r>
        <w:rPr>
          <w:sz w:val="22"/>
        </w:rPr>
        <w:t>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pPr>
        <w:jc w:val="both"/>
        <w:widowControl/>
        <w:ind w:left="165" w:right="210"/>
        <w:spacing w:before="120" w:lineRule="auto" w:line="276"/>
        <w:tabs>
          <w:tab w:val="left" w:pos="930"/>
        </w:tabs>
      </w:pPr>
      <w:r>
        <w:rPr>
          <w:sz w:val="22"/>
        </w:rPr>
        <w:t xml:space="preserve">A Contratada regularmente optante pelo Simples Nacional, nos termos da </w:t>
      </w:r>
      <w:r>
        <w:rPr>
          <w:u w:val="single"/>
          <w:sz w:val="22"/>
        </w:rPr>
        <w:t>Lei Complementar n.º 123/2006</w:t>
      </w:r>
      <w:r>
        <w:rPr>
          <w:sz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jc w:val="both"/>
        <w:widowControl/>
        <w:ind w:left="165"/>
        <w:spacing w:before="120"/>
      </w:pPr>
      <w:r>
        <w:rPr>
          <w:sz w:val="22"/>
        </w:rPr>
        <w:t xml:space="preserve">O pagamento será efetuado no prazo de até </w:t>
      </w:r>
      <w:r>
        <w:rPr>
          <w:b/>
          <w:sz w:val="22"/>
        </w:rPr>
        <w:t>30 (trinta) dias, após entrega.</w:t>
      </w:r>
    </w:p>
    <w:p>
      <w:pPr>
        <w:jc w:val="both"/>
        <w:widowControl/>
        <w:ind w:left="495" w:right="210"/>
        <w:spacing w:before="150" w:lineRule="auto" w:line="276"/>
      </w:pPr>
      <w:r>
        <w:rPr>
          <w:sz w:val="22"/>
        </w:rPr>
        <w:t>No caso de atraso pelo Contratante, os valores devidos à Contratada serão atualizados monetariamente entre o termo final do prazo de pagamento até a data de sua efetiva realização, mediante aplicação do índice de correção monetária.</w:t>
      </w:r>
    </w:p>
    <w:p>
      <w:pPr>
        <w:jc w:val="both"/>
        <w:widowControl/>
        <w:ind w:left="495" w:right="210" w:firstLine="540"/>
        <w:spacing w:before="150" w:lineRule="auto" w:line="276"/>
        <w:tabs>
          <w:tab w:val="left" w:pos="1035"/>
        </w:tabs>
      </w:pPr>
      <w:r>
        <w:rPr>
          <w:rFonts w:ascii="Times New Roman" w:hAnsi="Times New Roman" w:cs="Times New Roman" w:eastAsia="Times New Roman"/>
          <w:sz w:val="22"/>
        </w:rPr>
        <w:t/>
      </w:r>
    </w:p>
    <w:p>
      <w:pPr>
        <w:widowControl/>
        <w:spacing w:before="15"/>
      </w:pPr>
      <w:r>
        <w:drawing>
          <wp:inline distT="0" distB="0" distL="0" distR="0">
            <wp:extent cx="6677025" cy="200025"/>
            <wp:effectExtent l="0" t="0" r="0" b="0"/>
            <wp:docPr id="8" name="P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8.emf"/>
                    <pic:cNvPicPr/>
                  </pic:nvPicPr>
                  <pic:blipFill>
                    <a:blip r:embed="prId7" cstate="print"/>
                    <a:stretch>
                      <a:fillRect/>
                    </a:stretch>
                  </pic:blipFill>
                  <pic:spPr>
                    <a:xfrm>
                      <a:off x="0" y="0"/>
                      <a:ext cx="6677025" cy="200025"/>
                    </a:xfrm>
                    <a:prstGeom prst="rect">
                      <a:avLst/>
                    </a:prstGeom>
                  </pic:spPr>
                </pic:pic>
              </a:graphicData>
            </a:graphic>
          </wp:inline>
        </w:drawing>
      </w:r>
    </w:p>
    <w:p>
      <w:pPr>
        <w:widowControl/>
        <w:ind w:left="480" w:hanging="315"/>
        <w:spacing w:before="90"/>
      </w:pPr>
      <w:r>
        <w:rPr>
          <w:sz w:val="22"/>
        </w:rPr>
        <w:t>As despesas decorrentes da presente contratação correrão à conta das seguintes Dotações Orçamentárias:</w:t>
      </w:r>
    </w:p>
    <w:p>
      <w:pPr>
        <w:widowControl/>
        <w:ind w:left="480"/>
        <w:spacing w:before="90"/>
      </w:pPr>
      <w:r>
        <w:rPr>
          <w:rFonts w:ascii="Times New Roman" w:hAnsi="Times New Roman" w:cs="Times New Roman" w:eastAsia="Times New Roman"/>
          <w:sz w:val="22"/>
        </w:rPr>
        <w:t/>
      </w:r>
    </w:p>
    <w:tbl>
      <w:tblPr>
        <w:tblW w:w="4500" w:type="pct"/>
        <w:tblLayout w:type="fixed"/>
        <w:tblCellMar>
          <w:top w:w="15" w:type="dxa"/>
          <w:left w:w="15" w:type="dxa"/>
          <w:bottom w:w="15" w:type="dxa"/>
          <w:right w:w="15" w:type="dxa"/>
        </w:tblCellMar>
        <w:tblInd w:w="120" w:type="dxa"/>
      </w:tblPr>
      <w:tblGrid>
        <w:gridCol w:w="1005"/>
        <w:gridCol w:w="1005"/>
        <w:gridCol w:w="3390"/>
        <w:gridCol w:w="1005"/>
        <w:gridCol w:w="1815"/>
        <w:gridCol w:w="1800"/>
      </w:tblGrid>
      <w:tr>
        <w:tc>
          <w:tcPr>
            <w:gridSpan w:val="6"/>
            <w:tcBorders>
              <w:left w:val="single" w:sz="6" w:color="000000"/>
              <w:top w:val="single" w:sz="6" w:color="000000"/>
              <w:right w:val="single" w:sz="6" w:color="000000"/>
              <w:bottom w:val="single" w:sz="6" w:color="000000"/>
            </w:tcBorders>
          </w:tcPr>
          <w:p>
            <w:r>
              <w:t>Dotações</w:t>
            </w:r>
          </w:p>
        </w:tc>
      </w:tr>
      <w:tr>
        <w:tc>
          <w:tcPr>
            <w:tcW w:w="500" w:type="pct"/>
            <w:tcBorders>
              <w:left w:val="single" w:sz="6" w:color="000000"/>
              <w:top w:val="single" w:sz="6" w:color="000000"/>
              <w:right w:val="single" w:sz="6" w:color="000000"/>
              <w:bottom w:val="single" w:sz="6" w:color="000000"/>
            </w:tcBorders>
            <w:shd w:val="clear" w:color="auto" w:fill="C0C0C0"/>
          </w:tcPr>
          <w:p>
            <w:r>
              <w:t>Exercício da despesa</w:t>
            </w:r>
          </w:p>
        </w:tc>
        <w:tc>
          <w:tcPr>
            <w:tcW w:w="500" w:type="pct"/>
            <w:tcBorders>
              <w:left w:val="single" w:sz="6" w:color="000000"/>
              <w:top w:val="single" w:sz="6" w:color="000000"/>
              <w:right w:val="single" w:sz="6" w:color="000000"/>
              <w:bottom w:val="single" w:sz="6" w:color="000000"/>
            </w:tcBorders>
            <w:shd w:val="clear" w:color="auto" w:fill="C0C0C0"/>
          </w:tcPr>
          <w:p>
            <w:r>
              <w:t>Conta da despesa</w:t>
            </w:r>
          </w:p>
        </w:tc>
        <w:tc>
          <w:tcPr>
            <w:tcW w:w="1700" w:type="pct"/>
            <w:tcBorders>
              <w:left w:val="single" w:sz="6" w:color="000000"/>
              <w:top w:val="single" w:sz="6" w:color="000000"/>
              <w:right w:val="single" w:sz="6" w:color="000000"/>
              <w:bottom w:val="single" w:sz="6" w:color="000000"/>
            </w:tcBorders>
            <w:shd w:val="clear" w:color="auto" w:fill="C0C0C0"/>
          </w:tcPr>
          <w:p>
            <w:r>
              <w:t>Funcional programática</w:t>
            </w:r>
          </w:p>
        </w:tc>
        <w:tc>
          <w:tcPr>
            <w:tcW w:w="500" w:type="pct"/>
            <w:tcBorders>
              <w:left w:val="single" w:sz="6" w:color="000000"/>
              <w:top w:val="single" w:sz="6" w:color="000000"/>
              <w:right w:val="single" w:sz="6" w:color="000000"/>
              <w:bottom w:val="single" w:sz="6" w:color="000000"/>
            </w:tcBorders>
            <w:shd w:val="clear" w:color="auto" w:fill="C0C0C0"/>
          </w:tcPr>
          <w:p>
            <w:r>
              <w:t>Fonte de recurso</w:t>
            </w:r>
          </w:p>
        </w:tc>
        <w:tc>
          <w:tcPr>
            <w:tcW w:w="900" w:type="pct"/>
            <w:tcBorders>
              <w:left w:val="single" w:sz="6" w:color="000000"/>
              <w:top w:val="single" w:sz="6" w:color="000000"/>
              <w:right w:val="single" w:sz="6" w:color="000000"/>
              <w:bottom w:val="single" w:sz="6" w:color="000000"/>
            </w:tcBorders>
            <w:shd w:val="clear" w:color="auto" w:fill="C0C0C0"/>
          </w:tcPr>
          <w:p>
            <w:r>
              <w:t>Natureza da despesa</w:t>
            </w:r>
          </w:p>
        </w:tc>
        <w:tc>
          <w:tcPr>
            <w:tcW w:w="900" w:type="pct"/>
            <w:tcBorders>
              <w:left w:val="single" w:sz="6" w:color="000000"/>
              <w:top w:val="single" w:sz="6" w:color="000000"/>
              <w:right w:val="single" w:sz="6" w:color="000000"/>
              <w:bottom w:val="single" w:sz="6" w:color="000000"/>
            </w:tcBorders>
            <w:shd w:val="clear" w:color="auto" w:fill="C0C0C0"/>
          </w:tcPr>
          <w:p>
            <w:r>
              <w:t>Grupo da fonte</w:t>
            </w:r>
          </w:p>
        </w:tc>
      </w:tr>
      <w:tr>
        <w:tc>
          <w:tcPr>
            <w:tcBorders>
              <w:left w:val="single" w:sz="6" w:color="000000"/>
              <w:top w:val="single" w:sz="6" w:color="000000"/>
              <w:right w:val="single" w:sz="6" w:color="000000"/>
              <w:bottom w:val="single" w:sz="6" w:color="000000"/>
            </w:tcBorders>
          </w:tcPr>
          <w:p>
            <w:r>
              <w:t>2026</w:t>
            </w:r>
          </w:p>
        </w:tc>
        <w:tc>
          <w:tcPr>
            <w:tcBorders>
              <w:left w:val="single" w:sz="6" w:color="000000"/>
              <w:top w:val="single" w:sz="6" w:color="000000"/>
              <w:right w:val="single" w:sz="6" w:color="000000"/>
              <w:bottom w:val="single" w:sz="6" w:color="000000"/>
            </w:tcBorders>
          </w:tcPr>
          <w:p>
            <w:r>
              <w:t>5020</w:t>
            </w:r>
          </w:p>
        </w:tc>
        <w:tc>
          <w:tcPr>
            <w:tcBorders>
              <w:left w:val="single" w:sz="6" w:color="000000"/>
              <w:top w:val="single" w:sz="6" w:color="000000"/>
              <w:right w:val="single" w:sz="6" w:color="000000"/>
              <w:bottom w:val="single" w:sz="6" w:color="000000"/>
            </w:tcBorders>
          </w:tcPr>
          <w:p>
            <w:r>
              <w:t>06.002.15.451.0008.1069</w:t>
            </w:r>
          </w:p>
        </w:tc>
        <w:tc>
          <w:tcPr>
            <w:tcBorders>
              <w:left w:val="single" w:sz="6" w:color="000000"/>
              <w:top w:val="single" w:sz="6" w:color="000000"/>
              <w:right w:val="single" w:sz="6" w:color="000000"/>
              <w:bottom w:val="single" w:sz="6" w:color="000000"/>
            </w:tcBorders>
          </w:tcPr>
          <w:p>
            <w:r>
              <w:t>922</w:t>
            </w:r>
          </w:p>
        </w:tc>
        <w:tc>
          <w:tcPr>
            <w:tcBorders>
              <w:left w:val="single" w:sz="6" w:color="000000"/>
              <w:top w:val="single" w:sz="6" w:color="000000"/>
              <w:right w:val="single" w:sz="6" w:color="000000"/>
              <w:bottom w:val="single" w:sz="6" w:color="000000"/>
            </w:tcBorders>
          </w:tcPr>
          <w:p>
            <w:r>
              <w:t>4.4.90.51.00.00</w:t>
            </w:r>
          </w:p>
        </w:tc>
        <w:tc>
          <w:tcPr>
            <w:tcBorders>
              <w:left w:val="single" w:sz="6" w:color="000000"/>
              <w:top w:val="single" w:sz="6" w:color="000000"/>
              <w:right w:val="single" w:sz="6" w:color="000000"/>
              <w:bottom w:val="single" w:sz="6" w:color="000000"/>
            </w:tcBorders>
          </w:tcPr>
          <w:p>
            <w:r>
              <w:t>Do Exercício</w:t>
            </w:r>
          </w:p>
        </w:tc>
      </w:tr>
    </w:tbl>
    <w:p>
      <w:pPr>
        <w:widowControl/>
      </w:pPr>
      <w:r>
        <w:rPr>
          <w:rFonts w:ascii="Times New Roman" w:hAnsi="Times New Roman" w:cs="Times New Roman" w:eastAsia="Times New Roman"/>
          <w:sz w:val="22"/>
        </w:rPr>
        <w:t/>
      </w:r>
    </w:p>
    <w:p>
      <w:pPr>
        <w:jc w:val="both"/>
        <w:outlineLvl w:val="1"/>
        <w:widowControl/>
        <w:ind w:left="165"/>
      </w:pPr>
      <w:r>
        <w:rPr>
          <w:rFonts w:ascii="Times New Roman" w:hAnsi="Times New Roman" w:cs="Times New Roman" w:eastAsia="Times New Roman"/>
          <w:sz w:val="22"/>
        </w:rPr>
        <w:t/>
      </w:r>
    </w:p>
    <w:p>
      <w:pPr>
        <w:jc w:val="both"/>
        <w:outlineLvl w:val="1"/>
        <w:keepLines/>
        <w:keepNext/>
        <w:widowControl/>
        <w:ind w:left="60" w:right="45" w:hanging="15"/>
        <w:spacing w:after="45"/>
        <w:shd w:val="clear" w:color="auto" w:fill="0D0D0D"/>
      </w:pPr>
      <w:r>
        <w:rPr>
          <w:b/>
          <w:sz w:val="22"/>
          <w:color w:val="FFFFFF"/>
        </w:rPr>
        <w:t>8 - DA HABILITAÇÃO JURÍDICA</w:t>
      </w:r>
    </w:p>
    <w:p>
      <w:pPr>
        <w:jc w:val="both"/>
        <w:widowControl/>
        <w:ind w:left="420" w:right="45" w:hanging="15"/>
        <w:spacing w:after="45"/>
      </w:pPr>
      <w:r>
        <w:rPr>
          <w:b/>
          <w:sz w:val="22"/>
        </w:rPr>
        <w:t>8.1</w:t>
      </w:r>
      <w:r>
        <w:rPr>
          <w:sz w:val="22"/>
        </w:rPr>
        <w:t xml:space="preserve"> - Registro comercial, no caso de empresa individual, ou;</w:t>
      </w:r>
    </w:p>
    <w:p>
      <w:pPr>
        <w:jc w:val="both"/>
        <w:widowControl/>
        <w:ind w:left="420" w:right="45" w:hanging="15"/>
        <w:spacing w:after="45"/>
      </w:pPr>
      <w:r>
        <w:rPr>
          <w:sz w:val="22"/>
        </w:rPr>
        <w:t/>
      </w:r>
    </w:p>
    <w:p>
      <w:pPr>
        <w:jc w:val="both"/>
        <w:widowControl/>
        <w:ind w:left="420" w:right="45" w:hanging="15"/>
        <w:spacing w:after="45"/>
      </w:pPr>
      <w:r>
        <w:rPr>
          <w:b/>
          <w:sz w:val="22"/>
        </w:rPr>
        <w:t>8.2</w:t>
      </w:r>
      <w:r>
        <w:rPr>
          <w:sz w:val="22"/>
        </w:rPr>
        <w:t xml:space="preserve"> - Ato constitutivo, estatuto ou contrato social em vigor, devidamente registrado, em se tratando de sociedades comerciais, e, no caso de sociedades por ações, acompanhado de documentos de eleição de seus administradores, ou;</w:t>
      </w:r>
    </w:p>
    <w:p>
      <w:pPr>
        <w:jc w:val="both"/>
        <w:widowControl/>
        <w:ind w:left="1080" w:right="45" w:hanging="30"/>
        <w:spacing w:after="45"/>
      </w:pPr>
      <w:r>
        <w:rPr>
          <w:b/>
          <w:sz w:val="22"/>
        </w:rPr>
        <w:t xml:space="preserve">8.2.1 </w:t>
      </w:r>
      <w:r>
        <w:rPr>
          <w:sz w:val="22"/>
        </w:rPr>
        <w:t>caso seja apresentado o Contrato Social, este deverá estar acompanhado de todas as alterações ou da respectiva consolidação;</w:t>
      </w:r>
    </w:p>
    <w:p>
      <w:pPr>
        <w:jc w:val="both"/>
        <w:widowControl/>
        <w:ind w:left="420" w:right="45" w:hanging="15"/>
        <w:spacing w:after="45"/>
      </w:pPr>
      <w:r>
        <w:rPr>
          <w:rFonts w:ascii="Times New Roman" w:hAnsi="Times New Roman" w:cs="Times New Roman" w:eastAsia="Times New Roman"/>
          <w:sz w:val="22"/>
        </w:rPr>
        <w:t/>
      </w:r>
    </w:p>
    <w:p>
      <w:pPr>
        <w:jc w:val="both"/>
        <w:widowControl/>
        <w:ind w:left="420" w:right="45" w:hanging="15"/>
        <w:spacing w:after="45"/>
      </w:pPr>
      <w:r>
        <w:rPr>
          <w:b/>
          <w:sz w:val="22"/>
        </w:rPr>
        <w:t>8.3</w:t>
      </w:r>
      <w:r>
        <w:rPr>
          <w:sz w:val="22"/>
        </w:rPr>
        <w:t xml:space="preserve"> - Inscrição do ato constitutivo, no caso de sociedades civis, acompanhada de prova de diretoria em exercício, ou;</w:t>
      </w:r>
    </w:p>
    <w:p>
      <w:pPr>
        <w:jc w:val="both"/>
        <w:widowControl/>
        <w:ind w:left="420" w:right="45" w:hanging="15"/>
        <w:spacing w:after="45"/>
      </w:pPr>
      <w:r>
        <w:rPr>
          <w:sz w:val="22"/>
        </w:rPr>
        <w:t/>
      </w:r>
    </w:p>
    <w:p>
      <w:pPr>
        <w:widowControl/>
        <w:ind w:left="420"/>
        <w:spacing w:after="45"/>
        <w:tabs>
          <w:tab w:val="right" w:pos="10320"/>
        </w:tabs>
      </w:pPr>
      <w:r>
        <w:rPr>
          <w:b/>
          <w:sz w:val="22"/>
        </w:rPr>
        <w:t>8.4</w:t>
      </w:r>
      <w:r>
        <w:rPr>
          <w:sz w:val="22"/>
        </w:rPr>
        <w:t xml:space="preserve"> - Decreto de autorização, em se tratando de empresa ou sociedade estrangeira em funcionamento no país.</w:t>
      </w:r>
    </w:p>
    <w:p>
      <w:pPr>
        <w:widowControl/>
        <w:ind w:left="420"/>
        <w:spacing w:after="45"/>
        <w:tabs>
          <w:tab w:val="right" w:pos="10320"/>
        </w:tabs>
      </w:pPr>
      <w:r>
        <w:rPr>
          <w:sz w:val="22"/>
        </w:rPr>
        <w:t/>
      </w:r>
    </w:p>
    <w:p>
      <w:pPr>
        <w:jc w:val="both"/>
        <w:outlineLvl w:val="0"/>
        <w:keepLines/>
        <w:keepNext/>
        <w:widowControl/>
        <w:ind w:left="60" w:right="45" w:hanging="15"/>
        <w:spacing w:after="45"/>
        <w:shd w:val="clear" w:color="auto" w:fill="0D0D0D"/>
      </w:pPr>
      <w:r>
        <w:rPr>
          <w:b/>
          <w:sz w:val="22"/>
          <w:color w:val="FFFFFF"/>
        </w:rPr>
        <w:t>9- DA QUALIFICAÇÃO TÉCNICA</w:t>
      </w:r>
    </w:p>
    <w:p>
      <w:pPr>
        <w:jc w:val="both"/>
        <w:widowControl/>
        <w:ind w:left="420" w:right="45" w:hanging="15"/>
        <w:spacing w:after="45"/>
      </w:pPr>
      <w:r>
        <w:rPr>
          <w:b/>
          <w:sz w:val="22"/>
        </w:rPr>
        <w:t>9.1</w:t>
      </w:r>
      <w:r>
        <w:rPr>
          <w:sz w:val="22"/>
        </w:rPr>
        <w:t xml:space="preserve"> Prova de registro no Conselho Regional de Engenharia e Agronomia - CREA, e ou no Conselho Regional de Arquitetura e Urbanismo – CAU, ou outro Conselho Profissional ao qual os profissionais registrados nos mesmos possuam atribuições e capacidade técnica para executar os serviços exigidos na qualificação técnica do edital, da pessoa jurídica e da pessoa física, através da Certidão de Registro de Pessoa Jurídica e Certidão de Registro de Pessoa Física, em plena validade.</w:t>
      </w:r>
    </w:p>
    <w:p>
      <w:pPr>
        <w:jc w:val="both"/>
        <w:widowControl/>
        <w:ind w:left="420" w:right="45" w:hanging="15"/>
        <w:spacing w:after="45"/>
      </w:pPr>
      <w:r>
        <w:rPr>
          <w:sz w:val="22"/>
        </w:rPr>
        <w:t/>
      </w:r>
    </w:p>
    <w:p>
      <w:pPr>
        <w:jc w:val="both"/>
        <w:widowControl/>
        <w:ind w:left="420" w:right="45" w:hanging="15"/>
        <w:spacing w:after="45"/>
      </w:pPr>
      <w:r>
        <w:rPr>
          <w:b/>
          <w:sz w:val="22"/>
        </w:rPr>
        <w:t>9.2</w:t>
      </w:r>
      <w:r>
        <w:rPr>
          <w:sz w:val="22"/>
        </w:rPr>
        <w:t xml:space="preserve"> Atestado de visita (anexo IV), expedida pelo licitador. É recomendado à proponente, quando da visita do local da(s) obras(s), que obtenham, por sua exclusiva responsabilidade, toda a informação necessária para o preparo de sua proposta. Todos os custos associados com a visita ao local da(s) obra(s) serão custeados integralmente pela própria proponente.</w:t>
      </w:r>
    </w:p>
    <w:p>
      <w:pPr>
        <w:jc w:val="both"/>
        <w:widowControl/>
        <w:ind w:left="420" w:right="45" w:hanging="15"/>
        <w:spacing w:after="45"/>
      </w:pPr>
      <w:r>
        <w:rPr>
          <w:sz w:val="22"/>
        </w:rPr>
        <w:t/>
      </w:r>
    </w:p>
    <w:p>
      <w:pPr>
        <w:jc w:val="both"/>
        <w:widowControl/>
        <w:ind w:left="420" w:right="45" w:hanging="15"/>
        <w:spacing w:after="45"/>
      </w:pPr>
      <w:r>
        <w:rPr>
          <w:b/>
          <w:sz w:val="22"/>
        </w:rPr>
        <w:t>9.3</w:t>
      </w:r>
      <w:r>
        <w:rPr>
          <w:sz w:val="22"/>
        </w:rPr>
        <w:t xml:space="preserve"> O atestado de visita deverá ser agendado e realizado até o dia</w:t>
      </w:r>
      <w:r>
        <w:rPr>
          <w:b/>
          <w:sz w:val="22"/>
        </w:rPr>
        <w:t xml:space="preserve"> 13/03/2026</w:t>
      </w:r>
      <w:r>
        <w:rPr>
          <w:rFonts w:ascii="Calibri" w:hAnsi="Calibri" w:cs="Calibri" w:eastAsia="Calibri"/>
          <w:b/>
          <w:sz w:val="22"/>
        </w:rPr>
        <w:t xml:space="preserve"> </w:t>
      </w:r>
      <w:r>
        <w:rPr>
          <w:sz w:val="22"/>
        </w:rPr>
        <w:t>no horário de expediente da Prefeitura Municipal, na Secretaria de Obras, Planejamento Urbano e Projetos Técnicos.</w:t>
      </w:r>
    </w:p>
    <w:p>
      <w:pPr>
        <w:jc w:val="both"/>
        <w:widowControl/>
        <w:ind w:left="420" w:right="45" w:hanging="15"/>
        <w:spacing w:after="45"/>
      </w:pPr>
      <w:r>
        <w:rPr>
          <w:sz w:val="22"/>
        </w:rPr>
        <w:t/>
      </w:r>
    </w:p>
    <w:p>
      <w:pPr>
        <w:jc w:val="both"/>
        <w:widowControl/>
        <w:ind w:left="420" w:right="45" w:hanging="15"/>
        <w:spacing w:after="45"/>
      </w:pPr>
      <w:r>
        <w:rPr>
          <w:b/>
          <w:sz w:val="22"/>
        </w:rPr>
        <w:t>9.4</w:t>
      </w:r>
      <w:r>
        <w:rPr>
          <w:sz w:val="22"/>
        </w:rPr>
        <w:t xml:space="preserve"> O atestado de visita a que se refere o item 9.2 e 9.3, poderá ser substituído por declaração firmada pelo responsável da empresa e por engenheiro devidamente qualificado, de que conhece o local e as condições da obra, responsabilizando-se pela mesma, independentemente de sua condição.</w:t>
      </w:r>
    </w:p>
    <w:p>
      <w:pPr>
        <w:jc w:val="both"/>
        <w:widowControl/>
        <w:ind w:left="420" w:right="45" w:hanging="15"/>
        <w:spacing w:after="45"/>
      </w:pPr>
      <w:r>
        <w:rPr>
          <w:sz w:val="22"/>
        </w:rPr>
        <w:t/>
      </w:r>
    </w:p>
    <w:p>
      <w:pPr>
        <w:jc w:val="both"/>
        <w:widowControl/>
        <w:ind w:left="420" w:right="45"/>
        <w:spacing w:after="45"/>
      </w:pPr>
      <w:r>
        <w:rPr>
          <w:b/>
          <w:sz w:val="22"/>
        </w:rPr>
        <w:t>9.5</w:t>
      </w:r>
      <w:r>
        <w:rPr>
          <w:sz w:val="22"/>
        </w:rPr>
        <w:t xml:space="preserve"> Atestado de execução de obra de características semelhantes complexidade tecnológica e operacional equivalente ou superior, atende o seguinte item:</w:t>
      </w:r>
    </w:p>
    <w:p>
      <w:pPr>
        <w:jc w:val="both"/>
        <w:widowControl/>
        <w:ind w:left="420" w:right="45"/>
        <w:spacing w:after="45"/>
      </w:pPr>
      <w:r>
        <w:rPr>
          <w:sz w:val="22"/>
        </w:rPr>
        <w:t/>
      </w:r>
    </w:p>
    <w:p>
      <w:pPr>
        <w:jc w:val="both"/>
        <w:widowControl/>
        <w:ind w:left="870" w:right="45"/>
        <w:spacing w:after="45"/>
      </w:pPr>
      <w:r>
        <w:rPr>
          <w:b/>
          <w:sz w:val="22"/>
        </w:rPr>
        <w:t>9.5.1</w:t>
      </w:r>
      <w:r>
        <w:rPr>
          <w:sz w:val="22"/>
        </w:rPr>
        <w:t xml:space="preserve"> Os atestados deverão ser comprovados através de “Certificado de Acervo Técnico Profissional ATP” do responsável(eis) técnico(os), emitido(s) pelo “Conselho Regional de Engenharia e Agronomia – CREA”, e ou pelo Conselho Regional de Arquitetura e Urbanismo – CAU.</w:t>
      </w:r>
    </w:p>
    <w:p>
      <w:pPr>
        <w:jc w:val="both"/>
        <w:widowControl/>
        <w:ind w:left="870" w:right="45"/>
        <w:spacing w:after="45"/>
      </w:pPr>
      <w:r>
        <w:rPr>
          <w:sz w:val="22"/>
        </w:rPr>
        <w:t/>
      </w:r>
    </w:p>
    <w:p>
      <w:pPr>
        <w:widowControl/>
        <w:ind w:left="840"/>
        <w:spacing w:after="165" w:lineRule="auto" w:line="252"/>
      </w:pPr>
      <w:r>
        <w:rPr>
          <w:b/>
          <w:sz w:val="22"/>
        </w:rPr>
        <w:t>9.5.2</w:t>
      </w:r>
      <w:r>
        <w:rPr>
          <w:sz w:val="22"/>
        </w:rPr>
        <w:t xml:space="preserve"> Comprovação da capacitação técnico-profissional, mediante apresentação de CAT (Certidão de Acervo Técnico) emitido e registrado pelo CREA/CAU da região onde foram executados, em nome do Engenheiro/Arquiteto responsável técnico, pertecente ao quadro da empresa, comprovando a execução de </w:t>
      </w:r>
      <w:r>
        <w:rPr>
          <w:b/>
          <w:sz w:val="22"/>
        </w:rPr>
        <w:t>50% (cinquenta por cento)</w:t>
      </w:r>
      <w:r>
        <w:rPr>
          <w:sz w:val="22"/>
        </w:rPr>
        <w:t xml:space="preserve"> dos serviços de características semelhantes e de complexidade tecnológica e operacional equivalente ou superior às parcelas de maior relevância técnica.3875o98p0</w:t>
      </w:r>
    </w:p>
    <w:p>
      <w:pPr>
        <w:widowControl/>
        <w:ind w:left="1410"/>
        <w:spacing w:after="165" w:lineRule="auto" w:line="252"/>
      </w:pPr>
      <w:r>
        <w:rPr>
          <w:b/>
          <w:sz w:val="22"/>
          <w:color w:val="FF0000"/>
        </w:rPr>
        <w:t/>
      </w:r>
    </w:p>
    <w:p>
      <w:pPr>
        <w:jc w:val="both"/>
        <w:widowControl/>
        <w:ind w:left="420" w:right="45"/>
        <w:spacing w:after="45"/>
      </w:pPr>
      <w:r>
        <w:rPr>
          <w:b/>
          <w:sz w:val="22"/>
        </w:rPr>
        <w:t>9.6.</w:t>
      </w:r>
      <w:r>
        <w:rPr>
          <w:sz w:val="22"/>
        </w:rPr>
        <w:t xml:space="preserve"> Declaração de responsabilidade técnica indicando o responsável técnico pela execução da(s) obra(s) (anexo II) até o seu recebimento definitivo pelo Contratante. O mesmo não poderá ser substituído sem expressa autorização do Contratante.</w:t>
      </w:r>
    </w:p>
    <w:p>
      <w:pPr>
        <w:jc w:val="both"/>
        <w:widowControl/>
        <w:ind w:left="420" w:right="45"/>
        <w:spacing w:after="45"/>
      </w:pPr>
      <w:r>
        <w:rPr>
          <w:sz w:val="22"/>
        </w:rPr>
        <w:t/>
      </w:r>
    </w:p>
    <w:p>
      <w:pPr>
        <w:jc w:val="both"/>
        <w:widowControl/>
        <w:ind w:left="420" w:right="45" w:hanging="15"/>
        <w:spacing w:after="45"/>
      </w:pPr>
      <w:r>
        <w:rPr>
          <w:b/>
          <w:sz w:val="22"/>
        </w:rPr>
        <w:t>9.7</w:t>
      </w:r>
      <w:r>
        <w:rPr>
          <w:sz w:val="22"/>
        </w:rPr>
        <w:t>. Comprovação de vínculo empregatício entre o responsável técnico, elencado no subitem 9.6 e a proponente, mediante registro em carteira de trabalho e ficha de registro da empresa, e ou contrato de prestação de serviços entre o profissional e a proponente. Para dirigente ou sócio de empresa, tal comprovação poderá ser feita através da cópia da ata da assembleia de sua investidura no cargo ou contrato social.</w:t>
      </w:r>
    </w:p>
    <w:p>
      <w:pPr>
        <w:jc w:val="both"/>
        <w:widowControl/>
        <w:ind w:left="420" w:right="45" w:hanging="15"/>
        <w:spacing w:after="45"/>
      </w:pPr>
      <w:r>
        <w:rPr>
          <w:sz w:val="22"/>
        </w:rPr>
        <w:t/>
      </w:r>
    </w:p>
    <w:p>
      <w:pPr>
        <w:widowControl/>
        <w:ind w:left="405"/>
      </w:pPr>
      <w:r>
        <w:rPr>
          <w:rFonts w:ascii="Times New Roman" w:hAnsi="Times New Roman" w:cs="Times New Roman" w:eastAsia="Times New Roman"/>
          <w:sz w:val="22"/>
        </w:rPr>
        <w:t/>
      </w:r>
    </w:p>
    <w:p>
      <w:pPr>
        <w:jc w:val="both"/>
        <w:outlineLvl w:val="1"/>
        <w:keepLines/>
        <w:keepNext/>
        <w:widowControl/>
        <w:ind w:left="60" w:right="45" w:hanging="15"/>
        <w:spacing w:after="45"/>
        <w:shd w:val="clear" w:color="auto" w:fill="0D0D0D"/>
      </w:pPr>
      <w:r>
        <w:rPr>
          <w:b/>
          <w:sz w:val="22"/>
          <w:color w:val="FFFFFF"/>
        </w:rPr>
        <w:t>10 - DA QUALIFICAÇÃO ECONÔMICO-FINANCEIRA</w:t>
      </w:r>
    </w:p>
    <w:p>
      <w:r>
        <w:rPr>
          <w:rFonts w:ascii="Times New Roman" w:hAnsi="Times New Roman" w:cs="Times New Roman" w:eastAsia="Times New Roman"/>
          <w:sz w:val="22"/>
        </w:rPr>
        <w:t/>
      </w:r>
    </w:p>
    <w:p>
      <w:pPr>
        <w:jc w:val="both"/>
        <w:ind w:left="360"/>
      </w:pPr>
      <w:r>
        <w:rPr>
          <w:b/>
          <w:sz w:val="22"/>
        </w:rPr>
        <w:t xml:space="preserve">10.1 </w:t>
      </w:r>
      <w:r>
        <w:rPr>
          <w:sz w:val="22"/>
        </w:rPr>
        <w:t>Balanço patrimonial e demonstrações contábeis, inclusive notas explicativas, do resultado do exercício, referentes aos 2 (dois) últimos exercícios sociais, já exigíveis e apresentados na forma da lei, que comprovem a boa situação financeira do licitante, vedada a sua substituição por balancetes ou balanços provisórios.</w:t>
      </w:r>
    </w:p>
    <w:p>
      <w:pPr>
        <w:widowControl/>
        <w:ind w:left="915"/>
        <w:spacing w:after="165" w:lineRule="auto" w:line="252"/>
      </w:pPr>
      <w:r>
        <w:rPr>
          <w:rFonts w:ascii="Calibri" w:hAnsi="Calibri" w:cs="Calibri" w:eastAsia="Calibri"/>
          <w:sz w:val="22"/>
        </w:rPr>
        <w:t/>
      </w:r>
    </w:p>
    <w:p>
      <w:pPr>
        <w:widowControl/>
        <w:ind w:left="915"/>
        <w:spacing w:after="165" w:lineRule="auto" w:line="252"/>
      </w:pPr>
      <w:r>
        <w:rPr>
          <w:b/>
          <w:sz w:val="22"/>
        </w:rPr>
        <w:t>10.1.1</w:t>
      </w:r>
      <w:r>
        <w:rPr>
          <w:sz w:val="22"/>
        </w:rPr>
        <w:t xml:space="preserve"> Quando a data da abertura do certame for superior ao dia 30 de abril do presente ano, somente serão aceitos os balanços dos dois anos imediatamente anteriores.</w:t>
      </w:r>
    </w:p>
    <w:p>
      <w:pPr>
        <w:widowControl/>
        <w:ind w:left="915"/>
        <w:spacing w:after="165" w:lineRule="auto" w:line="252"/>
      </w:pPr>
      <w:r>
        <w:rPr>
          <w:b/>
          <w:sz w:val="22"/>
        </w:rPr>
        <w:t xml:space="preserve">10.1.2 </w:t>
      </w:r>
      <w:r>
        <w:rPr>
          <w:sz w:val="22"/>
        </w:rPr>
        <w:t>Em caso de empresa que ainda não possua balanço patrimonial e demonstrações contábeis já exigíveis, por serem recém-constituídas, apresentação de cópia do Balanço de Abertura ou cópia do Livro Diário contendo o Balanço de Abertura.</w:t>
      </w:r>
      <w:r>
        <w:rPr>
          <w:b/>
          <w:sz w:val="22"/>
        </w:rPr>
        <w:t xml:space="preserve"> </w:t>
      </w:r>
    </w:p>
    <w:p>
      <w:pPr>
        <w:jc w:val="both"/>
        <w:widowControl/>
        <w:ind w:left="-855" w:right="-285"/>
      </w:pPr>
      <w:r>
        <w:rPr>
          <w:rFonts w:ascii="Times New Roman" w:hAnsi="Times New Roman" w:cs="Times New Roman" w:eastAsia="Times New Roman"/>
          <w:sz w:val="22"/>
        </w:rPr>
        <w:t/>
      </w:r>
    </w:p>
    <w:p>
      <w:pPr>
        <w:jc w:val="both"/>
        <w:widowControl/>
        <w:ind w:left="405" w:right="45" w:firstLine="15"/>
        <w:spacing w:after="45"/>
        <w:tabs>
          <w:tab w:val="left" w:pos="450"/>
          <w:tab w:val="left" w:pos="990"/>
        </w:tabs>
      </w:pPr>
      <w:r>
        <w:rPr>
          <w:b/>
          <w:sz w:val="22"/>
        </w:rPr>
        <w:t>10.2</w:t>
      </w:r>
      <w:r>
        <w:rPr>
          <w:sz w:val="22"/>
        </w:rPr>
        <w:t xml:space="preserve"> - Certidão Negativa de Falência e Recuperação Judicial, expedida no local da sede da licitante, com seu prazo de validade, com data não superior a </w:t>
      </w:r>
      <w:r>
        <w:rPr>
          <w:b/>
          <w:sz w:val="22"/>
        </w:rPr>
        <w:t>90 (noventa)</w:t>
      </w:r>
      <w:r>
        <w:rPr>
          <w:sz w:val="22"/>
        </w:rPr>
        <w:t xml:space="preserve"> </w:t>
      </w:r>
      <w:r>
        <w:rPr>
          <w:b/>
          <w:sz w:val="22"/>
        </w:rPr>
        <w:t>dias</w:t>
      </w:r>
      <w:r>
        <w:rPr>
          <w:sz w:val="22"/>
        </w:rPr>
        <w:t xml:space="preserve"> da apresentação da mesma a Comissão, </w:t>
      </w:r>
      <w:r>
        <w:rPr>
          <w:rFonts w:ascii="Calibri" w:hAnsi="Calibri" w:cs="Calibri" w:eastAsia="Calibri"/>
          <w:sz w:val="22"/>
        </w:rPr>
        <w:t>caso não haja menção quanto ao prazo de validade.</w:t>
      </w:r>
      <w:r>
        <w:rPr>
          <w:sz w:val="22"/>
        </w:rPr>
        <w:t xml:space="preserve"> </w:t>
      </w:r>
    </w:p>
    <w:p>
      <w:pPr>
        <w:jc w:val="both"/>
        <w:widowControl/>
        <w:ind w:left="420" w:right="45" w:hanging="15"/>
        <w:spacing w:after="45"/>
        <w:tabs>
          <w:tab w:val="left" w:pos="990"/>
        </w:tabs>
      </w:pPr>
      <w:r>
        <w:rPr>
          <w:rFonts w:ascii="Times New Roman" w:hAnsi="Times New Roman" w:cs="Times New Roman" w:eastAsia="Times New Roman"/>
          <w:sz w:val="22"/>
        </w:rPr>
        <w:t/>
      </w:r>
    </w:p>
    <w:p>
      <w:pPr>
        <w:jc w:val="both"/>
        <w:outlineLvl w:val="1"/>
        <w:keepLines/>
        <w:keepNext/>
        <w:widowControl/>
        <w:ind w:left="60" w:right="45" w:hanging="15"/>
        <w:spacing w:after="45"/>
        <w:shd w:val="clear" w:color="auto" w:fill="0D0D0D"/>
      </w:pPr>
      <w:r>
        <w:rPr>
          <w:b/>
          <w:sz w:val="22"/>
          <w:color w:val="FFFFFF"/>
        </w:rPr>
        <w:t>11 - DA REGULARIDADE FISCAL E TRABALHISTA</w:t>
      </w:r>
    </w:p>
    <w:p>
      <w:pPr>
        <w:jc w:val="both"/>
        <w:widowControl/>
        <w:ind w:right="45"/>
        <w:spacing w:after="45"/>
        <w:numPr>
          <w:ilvl w:val="0"/>
          <w:numId w:val="198"/>
        </w:numPr>
      </w:pPr>
      <w:r/>
      <w:r>
        <w:rPr>
          <w:sz w:val="22"/>
        </w:rPr>
        <w:t xml:space="preserve">Prova de inscrição no Cadastro Nacional de Pessoa Jurídica </w:t>
      </w:r>
      <w:r>
        <w:rPr>
          <w:b/>
          <w:sz w:val="22"/>
        </w:rPr>
        <w:t>(C.N.P.J.);</w:t>
      </w:r>
    </w:p>
    <w:p>
      <w:pPr>
        <w:jc w:val="both"/>
        <w:widowControl/>
        <w:ind w:left="855" w:right="45"/>
        <w:spacing w:after="45"/>
      </w:pPr>
      <w:r>
        <w:rPr>
          <w:rFonts w:ascii="Times New Roman" w:hAnsi="Times New Roman" w:cs="Times New Roman" w:eastAsia="Times New Roman"/>
          <w:sz w:val="22"/>
        </w:rPr>
        <w:t/>
      </w:r>
    </w:p>
    <w:p>
      <w:pPr>
        <w:jc w:val="both"/>
        <w:widowControl/>
        <w:ind w:left="600" w:right="45"/>
        <w:spacing w:after="45"/>
        <w:tabs>
          <w:tab w:val="left" w:pos="855"/>
        </w:tabs>
      </w:pPr>
      <w:r>
        <w:rPr>
          <w:sz w:val="22"/>
        </w:rPr>
        <w:t>b) Certidão Conjunta Negativa, ou Certidão Conjunta Positiva com efeito de Negativa, de Tributos e Contribuições Federais e Dívida Ativa da União, emitida pela Secretaria da Receita Federal do Ministério da Economia,</w:t>
      </w:r>
      <w:r>
        <w:rPr>
          <w:b/>
          <w:sz w:val="22"/>
        </w:rPr>
        <w:t>CERTIDÃO CONJUNTA DE REGULARIDADE DE DÉBITOS RELATIVOS AOS TRIBUTOS FEDERAIS;</w:t>
      </w:r>
    </w:p>
    <w:p>
      <w:pPr>
        <w:jc w:val="both"/>
        <w:widowControl/>
        <w:ind w:left="600" w:right="45"/>
        <w:spacing w:after="45"/>
        <w:tabs>
          <w:tab w:val="left" w:pos="855"/>
        </w:tabs>
      </w:pPr>
      <w:r>
        <w:rPr>
          <w:rFonts w:ascii="Times New Roman" w:hAnsi="Times New Roman" w:cs="Times New Roman" w:eastAsia="Times New Roman"/>
          <w:sz w:val="22"/>
        </w:rPr>
        <w:t/>
      </w:r>
    </w:p>
    <w:p>
      <w:pPr>
        <w:jc w:val="both"/>
        <w:widowControl/>
        <w:ind w:left="600" w:right="45"/>
        <w:spacing w:after="45"/>
        <w:tabs>
          <w:tab w:val="left" w:pos="855"/>
        </w:tabs>
      </w:pPr>
      <w:r>
        <w:rPr>
          <w:sz w:val="22"/>
        </w:rPr>
        <w:t xml:space="preserve">c) Prova de regularidade fiscal perante a Fazenda Estadual, mediante a apresentação de Certidão Negativa de Débitos ou Certidão Positiva com efeito de Negativa, expedida pelo Estado do domicílio ou sede do participante  - </w:t>
      </w:r>
      <w:r>
        <w:rPr>
          <w:b/>
          <w:sz w:val="22"/>
        </w:rPr>
        <w:t>CERTIDÃO DE REGULARIDADE DE DÉBITOS COM A FAZENDA ESTADUAL</w:t>
      </w:r>
      <w:r>
        <w:rPr>
          <w:sz w:val="22"/>
        </w:rPr>
        <w:t xml:space="preserve">; </w:t>
      </w:r>
    </w:p>
    <w:p>
      <w:pPr>
        <w:jc w:val="both"/>
        <w:widowControl/>
        <w:ind w:left="600" w:right="45"/>
        <w:spacing w:after="45"/>
        <w:tabs>
          <w:tab w:val="left" w:pos="855"/>
        </w:tabs>
      </w:pPr>
      <w:r>
        <w:rPr>
          <w:sz w:val="22"/>
        </w:rPr>
        <w:t/>
      </w:r>
    </w:p>
    <w:p>
      <w:pPr>
        <w:jc w:val="both"/>
        <w:widowControl/>
        <w:ind w:left="600" w:right="45"/>
        <w:spacing w:after="45"/>
        <w:tabs>
          <w:tab w:val="left" w:pos="855"/>
        </w:tabs>
      </w:pPr>
      <w:r>
        <w:rPr>
          <w:sz w:val="22"/>
        </w:rPr>
        <w:t>d) Prova de regularidade fiscal perante a Fazenda Municipal, mediante a apresentação de Certidão Negativa de Débitos ou Certidão Positiva com efeito de negativa, expedida pelo Município do domicílio ou sede do participante –</w:t>
      </w:r>
      <w:r>
        <w:rPr>
          <w:b/>
          <w:sz w:val="22"/>
        </w:rPr>
        <w:t xml:space="preserve"> CERTIDÃO DE REGULARIDADE DE DÉBITOS COM A FAZENDA MUNICIPAL</w:t>
      </w:r>
      <w:r>
        <w:rPr>
          <w:sz w:val="22"/>
        </w:rPr>
        <w:t>;</w:t>
      </w:r>
    </w:p>
    <w:p>
      <w:pPr>
        <w:jc w:val="both"/>
        <w:widowControl/>
        <w:ind w:left="1050" w:right="90" w:hanging="30"/>
        <w:spacing w:before="15"/>
      </w:pPr>
      <w:r>
        <w:rPr>
          <w:rFonts w:ascii="Times New Roman" w:hAnsi="Times New Roman" w:cs="Times New Roman" w:eastAsia="Times New Roman"/>
          <w:sz w:val="22"/>
        </w:rPr>
        <w:t/>
      </w:r>
    </w:p>
    <w:p>
      <w:pPr>
        <w:jc w:val="both"/>
        <w:widowControl/>
        <w:ind w:left="600" w:right="45"/>
        <w:spacing w:after="45"/>
        <w:tabs>
          <w:tab w:val="left" w:pos="855"/>
        </w:tabs>
      </w:pPr>
      <w:r>
        <w:rPr>
          <w:sz w:val="22"/>
        </w:rPr>
        <w:t>e)</w:t>
      </w:r>
      <w:r>
        <w:rPr>
          <w:sz w:val="22"/>
        </w:rPr>
        <w:tab/>
      </w:r>
      <w:r>
        <w:rPr>
          <w:sz w:val="22"/>
        </w:rPr>
        <w:t xml:space="preserve">Prova de regularidade fiscal perante o Fundo de Garantia por Tempo de Serviço – FGTS, mediante a apresentação de Certificado de Regularidade de Situação do FGTS – CRF, emitido pela Caixa Econômica Federal - CEF – </w:t>
      </w:r>
      <w:r>
        <w:rPr>
          <w:b/>
          <w:sz w:val="22"/>
        </w:rPr>
        <w:t>CERTIDÃO DE REGULARIDADE DE DÉBITOS PARA COM O FUNDO DE GARANTIA POR TEMPO DE SERVIÇO – FGTS;</w:t>
      </w:r>
    </w:p>
    <w:p>
      <w:pPr>
        <w:jc w:val="both"/>
        <w:widowControl/>
        <w:ind w:left="600" w:right="45"/>
        <w:spacing w:after="45"/>
        <w:tabs>
          <w:tab w:val="left" w:pos="855"/>
        </w:tabs>
      </w:pPr>
      <w:r>
        <w:rPr>
          <w:rFonts w:ascii="Times New Roman" w:hAnsi="Times New Roman" w:cs="Times New Roman" w:eastAsia="Times New Roman"/>
          <w:sz w:val="22"/>
        </w:rPr>
        <w:t/>
      </w:r>
    </w:p>
    <w:p>
      <w:pPr>
        <w:jc w:val="both"/>
        <w:widowControl/>
        <w:ind w:left="600" w:right="45"/>
        <w:spacing w:after="45"/>
        <w:tabs>
          <w:tab w:val="left" w:pos="855"/>
        </w:tabs>
      </w:pPr>
      <w:r>
        <w:rPr>
          <w:sz w:val="22"/>
        </w:rPr>
        <w:t>f)</w:t>
      </w:r>
      <w:r>
        <w:rPr>
          <w:sz w:val="22"/>
        </w:rPr>
        <w:tab/>
      </w:r>
      <w:r>
        <w:rPr>
          <w:sz w:val="22"/>
        </w:rPr>
        <w:t xml:space="preserve">Prova de inexistência de débitos inadimplidos perante a Justiça do Trabalho, mediante a apresentação de certidão negativa (CNDT), </w:t>
      </w:r>
      <w:r>
        <w:rPr>
          <w:b/>
          <w:sz w:val="22"/>
        </w:rPr>
        <w:t>CERTIDÃO DE REGULARIDADE DE DÉBITOS TRABALHISTAS;</w:t>
      </w:r>
    </w:p>
    <w:p>
      <w:pPr>
        <w:jc w:val="both"/>
        <w:widowControl/>
        <w:ind w:left="570" w:right="45" w:hanging="15"/>
        <w:spacing w:after="45"/>
      </w:pPr>
      <w:r>
        <w:rPr>
          <w:rFonts w:ascii="Times New Roman" w:hAnsi="Times New Roman" w:cs="Times New Roman" w:eastAsia="Times New Roman"/>
          <w:sz w:val="22"/>
        </w:rPr>
        <w:t/>
      </w:r>
    </w:p>
    <w:p>
      <w:pPr>
        <w:jc w:val="both"/>
        <w:outlineLvl w:val="1"/>
        <w:keepLines/>
        <w:keepNext/>
        <w:widowControl/>
        <w:ind w:left="60" w:right="45" w:hanging="15"/>
        <w:spacing w:after="45"/>
        <w:shd w:val="clear" w:color="auto" w:fill="0D0D0D"/>
      </w:pPr>
      <w:r>
        <w:rPr>
          <w:b/>
          <w:sz w:val="22"/>
          <w:color w:val="FFFFFF"/>
        </w:rPr>
        <w:t>12 – PASTA TÉCNICA (PROJETOS):</w:t>
      </w:r>
    </w:p>
    <w:p>
      <w:pPr>
        <w:jc w:val="both"/>
        <w:widowControl/>
        <w:ind w:left="570" w:right="45" w:hanging="15"/>
        <w:spacing w:after="45"/>
      </w:pPr>
      <w:r>
        <w:rPr>
          <w:b/>
          <w:sz w:val="22"/>
        </w:rPr>
        <w:t>12.1</w:t>
      </w:r>
      <w:r>
        <w:rPr>
          <w:sz w:val="22"/>
        </w:rPr>
        <w:t xml:space="preserve">- </w:t>
      </w:r>
      <w:r>
        <w:rPr>
          <w:b/>
          <w:sz w:val="22"/>
        </w:rPr>
        <w:t>Memorial descritivo, Projetos, Planilhas e Cronograma estão em anexo na pasta técnica.</w:t>
      </w:r>
    </w:p>
    <w:p>
      <w:pPr>
        <w:jc w:val="both"/>
        <w:widowControl/>
        <w:ind w:left="1065" w:right="45" w:hanging="15"/>
        <w:spacing w:after="45"/>
      </w:pPr>
      <w:r>
        <w:rPr>
          <w:b/>
          <w:sz w:val="22"/>
        </w:rPr>
        <w:t>12.1.1 A Pasta Técnica está disponível nos links:</w:t>
      </w:r>
    </w:p>
    <w:p>
      <w:pPr>
        <w:jc w:val="both"/>
        <w:widowControl/>
        <w:ind w:left="1740" w:right="45" w:hanging="15"/>
        <w:spacing w:after="45"/>
      </w:pPr>
      <w:r>
        <w:rPr>
          <w:b/>
          <w:sz w:val="22"/>
        </w:rPr>
        <w:t xml:space="preserve"> https://comprasbr.com.br/</w:t>
      </w:r>
    </w:p>
    <w:p>
      <w:pPr>
        <w:jc w:val="both"/>
        <w:widowControl/>
        <w:ind w:left="1770" w:right="45" w:hanging="15"/>
        <w:spacing w:after="45"/>
      </w:pPr>
      <w:r>
        <w:rPr>
          <w:b/>
          <w:sz w:val="22"/>
        </w:rPr>
        <w:t>http://www.guairaca.pr.gov.br/</w:t>
      </w:r>
    </w:p>
    <w:p>
      <w:pPr>
        <w:jc w:val="both"/>
        <w:widowControl/>
        <w:ind w:left="1095" w:right="45" w:hanging="15"/>
        <w:spacing w:after="45"/>
      </w:pPr>
      <w:r>
        <w:rPr>
          <w:sz w:val="22"/>
        </w:rPr>
        <w:t/>
      </w:r>
    </w:p>
    <w:p>
      <w:pPr>
        <w:jc w:val="both"/>
        <w:widowControl/>
        <w:ind w:left="1095" w:right="45" w:hanging="15"/>
        <w:spacing w:after="45"/>
      </w:pPr>
      <w:r>
        <w:rPr>
          <w:sz w:val="22"/>
        </w:rPr>
        <w:t/>
      </w:r>
    </w:p>
    <w:p>
      <w:pPr>
        <w:jc w:val="center"/>
      </w:pPr>
      <w:r>
        <w:rPr>
          <w:b/>
          <w:u w:val="single"/>
          <w:sz w:val="22"/>
        </w:rPr>
        <w:t/>
      </w:r>
    </w:p>
    <w:p>
      <w:pPr>
        <w:jc w:val="both"/>
        <w:outlineLvl w:val="1"/>
        <w:widowControl/>
        <w:ind w:left="165"/>
      </w:pPr>
      <w:r>
        <w:rPr>
          <w:rFonts w:ascii="Times New Roman" w:hAnsi="Times New Roman" w:cs="Times New Roman" w:eastAsia="Times New Roman"/>
          <w:sz w:val="22"/>
        </w:rPr>
        <w:t/>
      </w:r>
    </w:p>
    <w:p>
      <w:pPr>
        <w:jc w:val="right"/>
        <w:widowControl/>
        <w:spacing w:after="165" w:lineRule="auto" w:line="252"/>
      </w:pPr>
      <w:r>
        <w:rPr>
          <w:rFonts w:ascii="Calibri" w:hAnsi="Calibri" w:cs="Calibri" w:eastAsia="Calibri"/>
          <w:sz w:val="22"/>
        </w:rPr>
        <w:t>Guairaçá-Pr, 18/02/2026</w:t>
      </w:r>
    </w:p>
    <w:p>
      <w:pPr>
        <w:widowControl/>
        <w:spacing w:after="165" w:lineRule="auto" w:line="252"/>
      </w:pPr>
      <w:r>
        <w:rPr>
          <w:rFonts w:ascii="Calibri" w:hAnsi="Calibri" w:cs="Calibri" w:eastAsia="Calibri"/>
          <w:sz w:val="22"/>
        </w:rPr>
        <w:t/>
      </w:r>
    </w:p>
    <w:p>
      <w:pPr>
        <w:jc w:val="right"/>
        <w:widowControl/>
        <w:ind w:left="105"/>
      </w:pPr>
      <w:r>
        <w:rPr>
          <w:rFonts w:ascii="Times New Roman" w:hAnsi="Times New Roman" w:cs="Times New Roman" w:eastAsia="Times New Roman"/>
          <w:sz w:val="22"/>
        </w:rPr>
        <w:t/>
      </w:r>
    </w:p>
    <w:p>
      <w:pPr>
        <w:jc w:val="center"/>
        <w:widowControl/>
        <w:ind w:left="105"/>
      </w:pPr>
      <w:r>
        <w:rPr>
          <w:b/>
          <w:sz w:val="22"/>
          <w:color w:val="000000"/>
        </w:rPr>
        <w:t>______________________________</w:t>
      </w:r>
    </w:p>
    <w:p>
      <w:pPr>
        <w:jc w:val="center"/>
        <w:widowControl/>
        <w:spacing w:after="165" w:lineRule="auto" w:line="252"/>
      </w:pPr>
      <w:r>
        <w:rPr>
          <w:b/>
          <w:sz w:val="22"/>
        </w:rPr>
        <w:t>MARIONILDO BONI</w:t>
      </w:r>
    </w:p>
    <w:p>
      <w:pPr>
        <w:jc w:val="center"/>
        <w:widowControl/>
        <w:spacing w:after="165" w:lineRule="auto" w:line="252"/>
      </w:pPr>
      <w:r>
        <w:rPr>
          <w:b/>
          <w:sz w:val="22"/>
        </w:rPr>
        <w:t>SECRETÁRIA DE VIAÇÃO, OBRAS E SERVIÇOS URBANOS</w:t>
      </w:r>
    </w:p>
    <w:p>
      <w:pPr>
        <w:jc w:val="center"/>
        <w:widowControl/>
        <w:ind w:left="105"/>
      </w:pPr>
      <w:r>
        <w:rPr>
          <w:rFonts w:ascii="Times New Roman" w:hAnsi="Times New Roman" w:cs="Times New Roman" w:eastAsia="Times New Roman"/>
          <w:sz w:val="22"/>
        </w:rPr>
        <w:t/>
      </w:r>
    </w:p>
    <w:p>
      <w:r>
        <w:br w:type="page"/>
      </w:r>
    </w:p>
    <w:p>
      <w:pPr>
        <w:jc w:val="center"/>
        <w:widowControl/>
        <w:ind w:left="15" w:right="15" w:hanging="15"/>
        <w:spacing w:after="45"/>
      </w:pPr>
      <w:r>
        <w:rPr>
          <w:b/>
          <w:sz w:val="22"/>
        </w:rPr>
        <w:t>ANEXO II</w:t>
      </w:r>
    </w:p>
    <w:p>
      <w:pPr>
        <w:jc w:val="center"/>
        <w:widowControl/>
        <w:ind w:left="15" w:right="15" w:hanging="15"/>
        <w:spacing w:after="45"/>
      </w:pPr>
      <w:r>
        <w:rPr>
          <w:rFonts w:ascii="Times New Roman" w:hAnsi="Times New Roman" w:cs="Times New Roman" w:eastAsia="Times New Roman"/>
          <w:sz w:val="22"/>
        </w:rPr>
        <w:t/>
      </w:r>
    </w:p>
    <w:p>
      <w:pPr>
        <w:jc w:val="center"/>
        <w:widowControl/>
        <w:ind w:left="15" w:right="15" w:hanging="15"/>
        <w:spacing w:after="45"/>
      </w:pPr>
      <w:r>
        <w:rPr>
          <w:b/>
          <w:sz w:val="22"/>
        </w:rPr>
        <w:t>MODELO DE DECLARAÇÃO DE RESPONSABILIDADE TECNICA</w:t>
      </w:r>
    </w:p>
    <w:p>
      <w:pPr>
        <w:jc w:val="center"/>
        <w:widowControl/>
        <w:ind w:left="15" w:right="15" w:hanging="15"/>
        <w:spacing w:after="45"/>
      </w:pPr>
      <w:r>
        <w:rPr>
          <w:rFonts w:ascii="Times New Roman" w:hAnsi="Times New Roman" w:cs="Times New Roman" w:eastAsia="Times New Roman"/>
          <w:sz w:val="22"/>
        </w:rPr>
        <w:t/>
      </w:r>
    </w:p>
    <w:p>
      <w:pPr>
        <w:jc w:val="both"/>
        <w:widowControl/>
        <w:ind w:left="60" w:right="30" w:hanging="15"/>
        <w:spacing w:after="45"/>
      </w:pPr>
      <w:r>
        <w:rPr>
          <w:sz w:val="22"/>
        </w:rPr>
        <w:t>Ao Sr. Agente de Contratação ou Equipe de apoio do Município de Guairaçá, Estado de Paraná</w:t>
      </w:r>
    </w:p>
    <w:p>
      <w:pPr>
        <w:jc w:val="both"/>
        <w:widowControl/>
        <w:ind w:left="60" w:right="45" w:hanging="15"/>
        <w:spacing w:after="45"/>
      </w:pPr>
      <w:r>
        <w:rPr>
          <w:sz w:val="22"/>
        </w:rPr>
        <w:t xml:space="preserve">Ref.: </w:t>
      </w:r>
      <w:r>
        <w:rPr>
          <w:b/>
          <w:sz w:val="22"/>
        </w:rPr>
        <w:t xml:space="preserve">CONCORRÊNCIA ELETRÔNICA Nº </w:t>
      </w:r>
      <w:r>
        <w:rPr>
          <w:rFonts w:ascii="Calibri" w:hAnsi="Calibri" w:cs="Calibri" w:eastAsia="Calibri"/>
          <w:b/>
          <w:sz w:val="24"/>
        </w:rPr>
        <w:t>3/2026</w:t>
      </w:r>
    </w:p>
    <w:p>
      <w:pPr>
        <w:jc w:val="both"/>
        <w:widowControl/>
        <w:ind w:left="60" w:right="45" w:hanging="15"/>
        <w:spacing w:after="45"/>
      </w:pPr>
      <w:r>
        <w:rPr>
          <w:rFonts w:ascii="Times New Roman" w:hAnsi="Times New Roman" w:cs="Times New Roman" w:eastAsia="Times New Roman"/>
          <w:sz w:val="22"/>
        </w:rPr>
        <w:t/>
      </w:r>
    </w:p>
    <w:p>
      <w:pPr>
        <w:jc w:val="both"/>
        <w:widowControl/>
        <w:ind w:left="60" w:right="45" w:hanging="15"/>
        <w:spacing w:after="45"/>
      </w:pPr>
      <w:r>
        <w:rPr>
          <w:sz w:val="22"/>
        </w:rPr>
        <w:t>Conforme o disposto no Edital em epígrafe e de acordo com a Resolução n° 218 de 29/06/73 e n° 317, de 31/10/86, do CONFEA – Conselho Federal de Engenharia, Arquitetura, e Agronomia, declaramos que o responsável técnico pela(s) obra(s) caso venhamos a vencer a referida licitação, é:</w:t>
      </w:r>
    </w:p>
    <w:p>
      <w:pPr>
        <w:jc w:val="both"/>
        <w:widowControl/>
        <w:ind w:left="60" w:right="45" w:hanging="15"/>
        <w:spacing w:after="45"/>
      </w:pPr>
      <w:r>
        <w:rPr>
          <w:sz w:val="22"/>
        </w:rPr>
        <w:t/>
      </w:r>
    </w:p>
    <w:tbl>
      <w:tblPr>
        <w:tblW w:w="5000" w:type="pct"/>
        <w:tblLayout w:type="fixed"/>
        <w:tblCellMar>
          <w:top w:w="0" w:type="dxa"/>
          <w:left w:w="90" w:type="dxa"/>
          <w:bottom w:w="0" w:type="dxa"/>
          <w:right w:w="90" w:type="dxa"/>
        </w:tblCellMar>
        <w:tblInd w:w="-60" w:type="dxa"/>
      </w:tblPr>
      <w:tblGrid>
        <w:gridCol w:w="690"/>
        <w:gridCol w:w="2670"/>
        <w:gridCol w:w="2655"/>
        <w:gridCol w:w="1845"/>
        <w:gridCol w:w="1845"/>
        <w:gridCol w:w="1620"/>
      </w:tblGrid>
      <w:tr>
        <w:trPr>
          <w:trHeight w:val="705" w:hRule="atLeast"/>
        </w:trPr>
        <w:tc>
          <w:tcPr>
            <w:tcW w:w="300" w:type="pct"/>
            <w:tcBorders>
              <w:left w:val="single" w:sz="6" w:color="000000"/>
              <w:top w:val="single" w:sz="6" w:color="000000"/>
              <w:right w:val="single" w:sz="6" w:color="000000"/>
              <w:bottom w:val="single" w:sz="6" w:color="000000"/>
            </w:tcBorders>
            <w:vAlign w:val="center"/>
          </w:tcPr>
          <w:p>
            <w:pPr>
              <w:jc w:val="center"/>
              <w:widowControl/>
              <w:spacing w:after="45"/>
            </w:pPr>
            <w:r>
              <w:rPr>
                <w:sz w:val="22"/>
              </w:rPr>
              <w:t>Lote</w:t>
            </w:r>
          </w:p>
        </w:tc>
        <w:tc>
          <w:tcPr>
            <w:tcW w:w="1150" w:type="pct"/>
            <w:tcBorders>
              <w:left w:val="single" w:sz="6" w:color="000000"/>
              <w:top w:val="single" w:sz="6" w:color="000000"/>
              <w:right w:val="single" w:sz="6" w:color="000000"/>
              <w:bottom w:val="single" w:sz="6" w:color="000000"/>
            </w:tcBorders>
            <w:vAlign w:val="center"/>
          </w:tcPr>
          <w:p>
            <w:pPr>
              <w:jc w:val="center"/>
              <w:widowControl/>
              <w:ind w:left="15"/>
              <w:spacing w:after="45"/>
            </w:pPr>
            <w:r>
              <w:rPr>
                <w:sz w:val="22"/>
              </w:rPr>
              <w:t>Nome</w:t>
            </w:r>
          </w:p>
        </w:tc>
        <w:tc>
          <w:tcPr>
            <w:tcW w:w="1150" w:type="pct"/>
            <w:tcBorders>
              <w:left w:val="single" w:sz="6" w:color="000000"/>
              <w:top w:val="single" w:sz="6" w:color="000000"/>
              <w:right w:val="single" w:sz="6" w:color="000000"/>
              <w:bottom w:val="single" w:sz="6" w:color="000000"/>
            </w:tcBorders>
            <w:vAlign w:val="center"/>
          </w:tcPr>
          <w:p>
            <w:pPr>
              <w:jc w:val="center"/>
              <w:widowControl/>
              <w:spacing w:after="45"/>
            </w:pPr>
            <w:r>
              <w:rPr>
                <w:sz w:val="22"/>
              </w:rPr>
              <w:t>Especialidade</w:t>
            </w:r>
          </w:p>
        </w:tc>
        <w:tc>
          <w:tcPr>
            <w:tcW w:w="800" w:type="pct"/>
            <w:tcBorders>
              <w:left w:val="single" w:sz="6" w:color="000000"/>
              <w:top w:val="single" w:sz="6" w:color="000000"/>
              <w:right w:val="single" w:sz="6" w:color="000000"/>
              <w:bottom w:val="single" w:sz="6" w:color="000000"/>
            </w:tcBorders>
            <w:vAlign w:val="center"/>
          </w:tcPr>
          <w:p>
            <w:pPr>
              <w:jc w:val="center"/>
              <w:widowControl/>
              <w:ind w:left="15"/>
              <w:spacing w:after="45"/>
            </w:pPr>
            <w:r>
              <w:rPr>
                <w:sz w:val="22"/>
              </w:rPr>
              <w:t>CREA/CAU</w:t>
            </w:r>
          </w:p>
        </w:tc>
        <w:tc>
          <w:tcPr>
            <w:tcW w:w="800" w:type="pct"/>
            <w:tcBorders>
              <w:left w:val="single" w:sz="6" w:color="000000"/>
              <w:top w:val="single" w:sz="6" w:color="000000"/>
              <w:right w:val="single" w:sz="6" w:color="000000"/>
              <w:bottom w:val="single" w:sz="6" w:color="000000"/>
            </w:tcBorders>
            <w:vAlign w:val="center"/>
          </w:tcPr>
          <w:p>
            <w:pPr>
              <w:jc w:val="center"/>
              <w:widowControl/>
              <w:ind w:left="15"/>
              <w:spacing w:after="45"/>
            </w:pPr>
            <w:r>
              <w:rPr>
                <w:sz w:val="22"/>
              </w:rPr>
              <w:t>DATA</w:t>
            </w:r>
          </w:p>
          <w:p>
            <w:pPr>
              <w:jc w:val="center"/>
              <w:widowControl/>
              <w:spacing w:after="45"/>
            </w:pPr>
            <w:r>
              <w:rPr>
                <w:sz w:val="22"/>
              </w:rPr>
              <w:t>REGISTRO</w:t>
            </w:r>
          </w:p>
        </w:tc>
        <w:tc>
          <w:tcPr>
            <w:tcW w:w="700" w:type="pct"/>
            <w:tcBorders>
              <w:left w:val="single" w:sz="6" w:color="000000"/>
              <w:top w:val="single" w:sz="6" w:color="000000"/>
              <w:right w:val="single" w:sz="6" w:color="000000"/>
              <w:bottom w:val="single" w:sz="6" w:color="000000"/>
            </w:tcBorders>
            <w:vAlign w:val="center"/>
          </w:tcPr>
          <w:p>
            <w:pPr>
              <w:jc w:val="center"/>
              <w:widowControl/>
              <w:spacing w:after="45"/>
            </w:pPr>
            <w:r>
              <w:rPr>
                <w:sz w:val="22"/>
              </w:rPr>
              <w:t>ASSINATURA</w:t>
            </w:r>
          </w:p>
        </w:tc>
      </w:tr>
      <w:tr>
        <w:trPr>
          <w:trHeight w:val="570" w:hRule="atLeast"/>
        </w:trPr>
        <w:tc>
          <w:tcPr>
            <w:tcW w:w="30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115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115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80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80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70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r>
      <w:tr>
        <w:trPr>
          <w:trHeight w:val="570" w:hRule="atLeast"/>
        </w:trPr>
        <w:tc>
          <w:tcPr>
            <w:tcW w:w="30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115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115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80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80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70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r>
      <w:tr>
        <w:trPr>
          <w:trHeight w:val="570" w:hRule="atLeast"/>
        </w:trPr>
        <w:tc>
          <w:tcPr>
            <w:tcW w:w="30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115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115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80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80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70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r>
    </w:tbl>
    <w:p>
      <w:pPr>
        <w:jc w:val="both"/>
        <w:widowControl/>
        <w:ind w:left="60" w:right="45" w:hanging="15"/>
        <w:spacing w:after="45"/>
      </w:pPr>
      <w:r>
        <w:rPr>
          <w:rFonts w:ascii="Times New Roman" w:hAnsi="Times New Roman" w:cs="Times New Roman" w:eastAsia="Times New Roman"/>
          <w:sz w:val="22"/>
        </w:rPr>
        <w:t/>
      </w:r>
    </w:p>
    <w:p>
      <w:pPr>
        <w:jc w:val="both"/>
        <w:widowControl/>
        <w:ind w:left="60" w:right="45" w:hanging="15"/>
        <w:spacing w:after="45"/>
      </w:pPr>
      <w:r>
        <w:rPr>
          <w:sz w:val="22"/>
        </w:rPr>
        <w:t>Declaramos, outrossim, que o(s) profissional(is) acima relacionado(s) pertence(m) ao nosso quadro técnico de profissionais permanentes, com relacionamento junto à empresa, dentro das leis trabalhistas vigentes.</w:t>
      </w:r>
    </w:p>
    <w:p>
      <w:pPr>
        <w:jc w:val="both"/>
        <w:widowControl/>
        <w:ind w:left="60" w:right="45" w:hanging="15"/>
        <w:spacing w:after="45"/>
      </w:pPr>
      <w:r>
        <w:rPr>
          <w:sz w:val="22"/>
        </w:rPr>
        <w:t/>
      </w:r>
    </w:p>
    <w:p>
      <w:pPr>
        <w:jc w:val="both"/>
        <w:widowControl/>
        <w:ind w:left="60" w:right="45" w:hanging="15"/>
        <w:spacing w:after="45"/>
      </w:pPr>
      <w:r>
        <w:rPr>
          <w:sz w:val="22"/>
        </w:rPr>
        <w:t/>
      </w:r>
    </w:p>
    <w:p>
      <w:pPr>
        <w:jc w:val="both"/>
        <w:widowControl/>
        <w:ind w:left="60" w:right="45" w:hanging="15"/>
        <w:spacing w:after="45"/>
      </w:pPr>
      <w:r>
        <w:rPr>
          <w:sz w:val="22"/>
        </w:rPr>
        <w:t/>
      </w:r>
    </w:p>
    <w:p>
      <w:pPr>
        <w:jc w:val="center"/>
        <w:widowControl/>
        <w:ind w:left="510" w:right="150" w:hanging="15"/>
        <w:spacing w:after="45"/>
      </w:pPr>
      <w:r>
        <w:rPr>
          <w:sz w:val="22"/>
        </w:rPr>
        <w:t>____________________________________________</w:t>
      </w:r>
    </w:p>
    <w:p>
      <w:pPr>
        <w:jc w:val="center"/>
        <w:widowControl/>
        <w:ind w:left="510" w:right="135" w:hanging="15"/>
        <w:spacing w:after="45"/>
      </w:pPr>
      <w:r>
        <w:rPr>
          <w:sz w:val="22"/>
        </w:rPr>
        <w:t>(carimbo, nome, RG e assinatura do responsável legal)</w:t>
      </w:r>
    </w:p>
    <w:p>
      <w:pPr>
        <w:jc w:val="center"/>
        <w:widowControl/>
        <w:ind w:left="510" w:right="135" w:hanging="15"/>
        <w:spacing w:after="45"/>
      </w:pPr>
      <w:r>
        <w:rPr>
          <w:sz w:val="22"/>
        </w:rPr>
        <w:t/>
      </w:r>
    </w:p>
    <w:p>
      <w:r>
        <w:br w:type="page"/>
      </w:r>
    </w:p>
    <w:p>
      <w:pPr>
        <w:jc w:val="center"/>
        <w:widowControl/>
        <w:spacing w:after="45"/>
      </w:pPr>
      <w:r>
        <w:rPr>
          <w:b/>
          <w:sz w:val="22"/>
        </w:rPr>
        <w:t>ANEXO III</w:t>
      </w:r>
    </w:p>
    <w:p>
      <w:pPr>
        <w:jc w:val="center"/>
        <w:widowControl/>
        <w:spacing w:after="45"/>
      </w:pPr>
      <w:r>
        <w:rPr>
          <w:rFonts w:ascii="Times New Roman" w:hAnsi="Times New Roman" w:cs="Times New Roman" w:eastAsia="Times New Roman"/>
          <w:sz w:val="22"/>
        </w:rPr>
        <w:t/>
      </w:r>
    </w:p>
    <w:p>
      <w:pPr>
        <w:jc w:val="center"/>
        <w:widowControl/>
        <w:ind w:left="15" w:right="15"/>
        <w:spacing w:before="0" w:after="15"/>
        <w:pBdr>
          <w:top w:val="single" w:color="000000"/>
          <w:left w:val="single" w:color="000000"/>
          <w:bottom w:val="single" w:color="000000"/>
          <w:right w:val="single" w:color="000000"/>
        </w:pBdr>
      </w:pPr>
      <w:r>
        <w:rPr>
          <w:b/>
          <w:sz w:val="22"/>
        </w:rPr>
        <w:t>MODELO DE DECLARAÇÃO TRATAMENTO DIFERENCIADO LEI 123/2006.</w:t>
      </w:r>
    </w:p>
    <w:p>
      <w:pPr>
        <w:jc w:val="both"/>
        <w:outlineLvl w:val="0"/>
        <w:keepLines/>
        <w:keepNext/>
        <w:widowControl/>
        <w:ind w:left="60" w:right="45" w:hanging="15"/>
        <w:spacing w:after="45"/>
      </w:pPr>
      <w:r>
        <w:rPr>
          <w:rFonts w:ascii="Times New Roman" w:hAnsi="Times New Roman" w:cs="Times New Roman" w:eastAsia="Times New Roman"/>
          <w:sz w:val="22"/>
        </w:rPr>
        <w:t/>
      </w:r>
    </w:p>
    <w:p>
      <w:pPr>
        <w:jc w:val="both"/>
        <w:outlineLvl w:val="0"/>
        <w:keepLines/>
        <w:keepNext/>
        <w:widowControl/>
        <w:ind w:left="60" w:right="45" w:hanging="15"/>
        <w:spacing w:after="45"/>
      </w:pPr>
      <w:r>
        <w:rPr>
          <w:b/>
          <w:sz w:val="22"/>
        </w:rPr>
        <w:t>CONCORRÊNCIA ELETRÔNICA Nº 3/2026 – PMG</w:t>
      </w:r>
    </w:p>
    <w:p>
      <w:pPr>
        <w:spacing w:after="45"/>
      </w:pPr>
      <w:r>
        <w:rPr>
          <w:rFonts w:ascii="Times New Roman" w:hAnsi="Times New Roman" w:cs="Times New Roman" w:eastAsia="Times New Roman"/>
          <w:sz w:val="22"/>
        </w:rPr>
        <w:t/>
      </w:r>
    </w:p>
    <w:p>
      <w:pPr>
        <w:jc w:val="both"/>
        <w:widowControl/>
        <w:ind w:left="60" w:right="45" w:hanging="15"/>
        <w:spacing w:after="45"/>
      </w:pPr>
      <w:r>
        <w:rPr>
          <w:sz w:val="22"/>
        </w:rPr>
        <w:t>A empresa ___________________________________, inscrita no CNPJ sob o nº _______________, por intermédio de seu representante legal, o(a) Sr.(a.) ______________________, portador(a) da Carteira de Identidade nº _______________, do CPF nº _______________, DECLARA, para fins do disposto no edital supracitado, sob as sanções administrativas cabíveis e sob as penas da lei, que esta empresa, na presente data, é considerada:</w:t>
      </w:r>
    </w:p>
    <w:p>
      <w:pPr>
        <w:widowControl/>
        <w:spacing w:after="45"/>
        <w:tabs>
          <w:tab w:val="center" w:pos="4800"/>
        </w:tabs>
      </w:pPr>
      <w:r>
        <w:rPr>
          <w:sz w:val="22"/>
        </w:rPr>
        <w:t>(   ) MICROEMPRESA, conforme inciso I do art. 3.º da Lei Complementar nº 123, de 14/12/2006.</w:t>
      </w:r>
    </w:p>
    <w:p>
      <w:pPr>
        <w:jc w:val="both"/>
        <w:widowControl/>
        <w:ind w:left="60" w:right="45" w:hanging="15"/>
        <w:spacing w:after="45"/>
      </w:pPr>
      <w:r>
        <w:rPr>
          <w:sz w:val="22"/>
        </w:rPr>
        <w:t>( ) EMPRESA DE PEQUENO PORTE, conforme inciso II do art. 3.º da Lei Complementar nº. 123, de 14/12/2006.</w:t>
      </w:r>
    </w:p>
    <w:p>
      <w:pPr>
        <w:widowControl/>
        <w:spacing w:after="45"/>
        <w:tabs>
          <w:tab w:val="center" w:pos="4080"/>
        </w:tabs>
      </w:pPr>
      <w:r>
        <w:rPr>
          <w:sz w:val="22"/>
        </w:rPr>
        <w:t>(</w:t>
      </w:r>
      <w:r>
        <w:rPr>
          <w:sz w:val="22"/>
        </w:rPr>
        <w:tab/>
      </w:r>
      <w:r>
        <w:rPr>
          <w:sz w:val="22"/>
        </w:rPr>
        <w:t>) MICROEMPREENDEDOR INDIVIDUAL, conforme art. 1º do Decreto nº 8.538/2015.</w:t>
      </w:r>
    </w:p>
    <w:p>
      <w:pPr>
        <w:jc w:val="both"/>
        <w:widowControl/>
        <w:ind w:left="60" w:right="45" w:hanging="15"/>
        <w:spacing w:after="45"/>
      </w:pPr>
      <w:r>
        <w:rPr>
          <w:sz w:val="22"/>
        </w:rPr>
        <w:t>Afirma ainda que quer participar da referida licitação com tratamento diferenciado, conforme previsto na Lei Complementar 123/2006 e que a empresa está excluída das vedações constantes do § 4º do art. 3.º da Lei Complementar nº 123, de 14 de dezembro de 2006.</w:t>
      </w:r>
    </w:p>
    <w:p>
      <w:pPr>
        <w:jc w:val="both"/>
        <w:widowControl/>
        <w:ind w:left="60" w:right="45" w:hanging="15"/>
        <w:spacing w:after="45"/>
      </w:pPr>
      <w:r>
        <w:rPr>
          <w:sz w:val="22"/>
        </w:rPr>
        <w:t>Que do capital da Empresa não participa pessoa física que seja inscrita como empresário ou seja sócia de outra empresa que receba tratamento jurídico diferenciado nos termos desta Lei Complementar;</w:t>
      </w:r>
    </w:p>
    <w:p>
      <w:pPr>
        <w:jc w:val="both"/>
        <w:widowControl/>
        <w:ind w:left="60" w:right="45" w:hanging="15"/>
        <w:spacing w:after="45"/>
      </w:pPr>
      <w:r>
        <w:rPr>
          <w:sz w:val="22"/>
        </w:rPr>
        <w:t>Que o titular ou sócio da Empresa não participa com mais de 10% (dez por cento) do capital de outra empresa não beneficiada por esta Lei Complementar.</w:t>
      </w:r>
    </w:p>
    <w:p>
      <w:pPr>
        <w:jc w:val="both"/>
        <w:widowControl/>
        <w:ind w:left="60" w:right="45" w:hanging="15"/>
        <w:spacing w:after="45"/>
      </w:pPr>
      <w:r>
        <w:rPr>
          <w:sz w:val="22"/>
        </w:rPr>
        <w:t>Que estará observando as disposições do § 2º do art. 4, não tendo celebrado contratos com a Administração Pública cujos valores somados extrapolem a receita bruta máxima admitida para fins de enquadramento como empresa de pequeno porte, no ano-calendário de realização da licitação.</w:t>
      </w:r>
    </w:p>
    <w:p>
      <w:pPr>
        <w:jc w:val="both"/>
        <w:widowControl/>
        <w:ind w:left="60" w:right="45" w:hanging="15"/>
        <w:spacing w:after="45"/>
      </w:pPr>
      <w:r>
        <w:rPr>
          <w:sz w:val="22"/>
        </w:rPr>
        <w:t/>
      </w:r>
    </w:p>
    <w:p>
      <w:pPr>
        <w:jc w:val="both"/>
        <w:widowControl/>
        <w:ind w:left="60" w:right="45" w:hanging="15"/>
        <w:spacing w:after="45"/>
      </w:pPr>
      <w:r>
        <w:rPr>
          <w:sz w:val="22"/>
        </w:rPr>
        <w:t/>
      </w:r>
    </w:p>
    <w:p>
      <w:pPr>
        <w:jc w:val="center"/>
        <w:widowControl/>
        <w:ind w:left="510" w:right="495" w:hanging="15"/>
        <w:spacing w:after="45"/>
      </w:pPr>
      <w:r>
        <w:rPr>
          <w:rFonts w:ascii="Times New Roman" w:hAnsi="Times New Roman" w:cs="Times New Roman" w:eastAsia="Times New Roman"/>
          <w:sz w:val="22"/>
        </w:rPr>
        <w:t>............................................................................</w:t>
      </w:r>
    </w:p>
    <w:p>
      <w:pPr>
        <w:jc w:val="center"/>
        <w:widowControl/>
        <w:ind w:left="510" w:right="495" w:hanging="15"/>
        <w:spacing w:after="45"/>
      </w:pPr>
      <w:r>
        <w:rPr>
          <w:sz w:val="22"/>
        </w:rPr>
        <w:t>Local e data.</w:t>
      </w:r>
    </w:p>
    <w:p>
      <w:pPr>
        <w:jc w:val="center"/>
        <w:widowControl/>
        <w:ind w:left="510" w:right="495" w:hanging="15"/>
        <w:spacing w:after="45"/>
      </w:pPr>
      <w:r>
        <w:rPr>
          <w:sz w:val="22"/>
        </w:rPr>
        <w:t/>
      </w:r>
    </w:p>
    <w:p>
      <w:pPr>
        <w:jc w:val="center"/>
        <w:widowControl/>
        <w:ind w:left="510" w:right="495" w:hanging="15"/>
        <w:spacing w:after="45"/>
      </w:pPr>
      <w:r>
        <w:rPr>
          <w:sz w:val="22"/>
        </w:rPr>
        <w:t/>
      </w:r>
    </w:p>
    <w:p>
      <w:pPr>
        <w:jc w:val="center"/>
        <w:widowControl/>
        <w:ind w:left="510" w:right="510" w:hanging="15"/>
        <w:spacing w:after="45"/>
      </w:pPr>
      <w:r>
        <w:rPr>
          <w:rFonts w:ascii="Times New Roman" w:hAnsi="Times New Roman" w:cs="Times New Roman" w:eastAsia="Times New Roman"/>
          <w:sz w:val="22"/>
        </w:rPr>
        <w:t>...........................................................................................................</w:t>
      </w:r>
    </w:p>
    <w:p>
      <w:pPr>
        <w:jc w:val="center"/>
        <w:widowControl/>
        <w:ind w:left="15" w:right="15" w:hanging="15"/>
        <w:spacing w:after="45"/>
      </w:pPr>
      <w:r>
        <w:rPr>
          <w:sz w:val="22"/>
        </w:rPr>
        <w:t>Assinatura do Responsável pela Empresa</w:t>
      </w:r>
    </w:p>
    <w:p>
      <w:pPr>
        <w:jc w:val="center"/>
        <w:widowControl/>
        <w:ind w:left="15" w:right="15" w:hanging="15"/>
        <w:spacing w:after="45"/>
      </w:pPr>
      <w:r>
        <w:rPr>
          <w:sz w:val="22"/>
        </w:rPr>
        <w:t>(Nome Legível/Cargo/Carimbo do CNPJ)</w:t>
      </w:r>
    </w:p>
    <w:p>
      <w:pPr>
        <w:jc w:val="center"/>
        <w:widowControl/>
        <w:ind w:left="15" w:right="15" w:hanging="15"/>
        <w:spacing w:after="45"/>
      </w:pPr>
      <w:r>
        <w:rPr>
          <w:sz w:val="22"/>
        </w:rPr>
        <w:t/>
      </w:r>
    </w:p>
    <w:p>
      <w:r>
        <w:br w:type="page"/>
      </w:r>
    </w:p>
    <w:p>
      <w:pPr>
        <w:jc w:val="center"/>
        <w:widowControl/>
        <w:spacing w:after="45"/>
      </w:pPr>
      <w:r>
        <w:rPr>
          <w:b/>
          <w:sz w:val="22"/>
        </w:rPr>
        <w:t>ANEXO IV</w:t>
      </w:r>
    </w:p>
    <w:p>
      <w:pPr>
        <w:jc w:val="center"/>
        <w:widowControl/>
        <w:spacing w:after="45"/>
      </w:pPr>
      <w:r>
        <w:rPr>
          <w:rFonts w:ascii="Times New Roman" w:hAnsi="Times New Roman" w:cs="Times New Roman" w:eastAsia="Times New Roman"/>
          <w:sz w:val="22"/>
        </w:rPr>
        <w:t/>
      </w:r>
    </w:p>
    <w:p>
      <w:pPr>
        <w:jc w:val="center"/>
        <w:widowControl/>
        <w:ind w:left="15" w:right="15" w:hanging="15"/>
        <w:spacing w:after="45"/>
      </w:pPr>
      <w:r>
        <w:rPr>
          <w:b/>
          <w:sz w:val="22"/>
        </w:rPr>
        <w:t>ATESTADO DE VISITA</w:t>
      </w:r>
    </w:p>
    <w:p>
      <w:pPr>
        <w:jc w:val="center"/>
        <w:widowControl/>
        <w:ind w:left="15" w:right="15" w:hanging="15"/>
        <w:spacing w:after="45"/>
      </w:pPr>
      <w:r>
        <w:rPr>
          <w:rFonts w:ascii="Times New Roman" w:hAnsi="Times New Roman" w:cs="Times New Roman" w:eastAsia="Times New Roman"/>
          <w:sz w:val="22"/>
        </w:rPr>
        <w:t/>
      </w:r>
    </w:p>
    <w:p>
      <w:pPr>
        <w:jc w:val="both"/>
        <w:widowControl/>
        <w:ind w:left="60" w:right="45" w:hanging="15"/>
        <w:spacing w:after="45"/>
      </w:pPr>
      <w:r>
        <w:rPr>
          <w:sz w:val="22"/>
        </w:rPr>
        <w:t xml:space="preserve">Ref: </w:t>
      </w:r>
      <w:r>
        <w:rPr>
          <w:b/>
          <w:sz w:val="22"/>
        </w:rPr>
        <w:t>CONCORRÊNCIA ELETRÔNICA Nº 3/2026 – PMG</w:t>
      </w:r>
    </w:p>
    <w:p>
      <w:pPr>
        <w:jc w:val="both"/>
        <w:widowControl/>
        <w:ind w:left="60" w:right="45" w:hanging="15"/>
        <w:spacing w:after="45"/>
      </w:pPr>
      <w:r>
        <w:rPr>
          <w:sz w:val="22"/>
        </w:rPr>
        <w:t>Objeto: (inserir o nome da obra, local, rua, números, cidade e outros)</w:t>
      </w:r>
    </w:p>
    <w:p>
      <w:pPr>
        <w:jc w:val="both"/>
        <w:widowControl/>
        <w:ind w:left="60" w:right="45" w:hanging="15"/>
        <w:spacing w:after="45"/>
      </w:pPr>
      <w:r>
        <w:rPr>
          <w:sz w:val="22"/>
        </w:rPr>
        <w:t/>
      </w:r>
    </w:p>
    <w:p>
      <w:pPr>
        <w:jc w:val="right"/>
        <w:widowControl/>
        <w:ind w:left="15" w:right="45" w:hanging="15"/>
        <w:spacing w:after="45"/>
      </w:pPr>
      <w:r>
        <w:rPr>
          <w:sz w:val="22"/>
        </w:rPr>
        <w:t>Declaramos que o Engenheiro (inserir nome completo), CREA n° (inserir número) da proponente</w:t>
      </w:r>
    </w:p>
    <w:p>
      <w:pPr>
        <w:jc w:val="both"/>
        <w:widowControl/>
        <w:ind w:left="60" w:right="45" w:hanging="15"/>
        <w:spacing w:after="45"/>
      </w:pPr>
      <w:r>
        <w:rPr>
          <w:sz w:val="22"/>
        </w:rPr>
        <w:t>(inserir o nome da proponente), devidamente credenciado, visitou o local da execução da(s) obra(s) do lote n° (inserir número do lote), objeto da Tomada de Preços em epígrafe.</w:t>
      </w:r>
    </w:p>
    <w:p>
      <w:pPr>
        <w:jc w:val="both"/>
        <w:widowControl/>
        <w:ind w:left="60" w:right="45" w:hanging="15"/>
        <w:spacing w:after="45"/>
      </w:pPr>
      <w:r>
        <w:rPr>
          <w:sz w:val="22"/>
        </w:rPr>
        <w:t/>
      </w:r>
    </w:p>
    <w:p>
      <w:pPr>
        <w:jc w:val="both"/>
        <w:widowControl/>
        <w:ind w:left="60" w:right="45" w:hanging="15"/>
        <w:spacing w:after="45"/>
      </w:pPr>
      <w:r>
        <w:rPr>
          <w:sz w:val="22"/>
        </w:rPr>
        <w:t/>
      </w:r>
    </w:p>
    <w:p>
      <w:pPr>
        <w:jc w:val="center"/>
        <w:widowControl/>
        <w:ind w:left="510" w:right="30" w:hanging="15"/>
        <w:spacing w:after="45"/>
      </w:pPr>
      <w:r>
        <w:rPr>
          <w:sz w:val="22"/>
        </w:rPr>
        <w:t>_____________________________________________</w:t>
      </w:r>
    </w:p>
    <w:p>
      <w:pPr>
        <w:jc w:val="center"/>
        <w:widowControl/>
        <w:ind w:left="510" w:hanging="15"/>
        <w:spacing w:after="45"/>
      </w:pPr>
      <w:r>
        <w:rPr>
          <w:sz w:val="22"/>
        </w:rPr>
        <w:t>(inseri local), (inserir dia) de (inserir mês) de (inserir ano)</w:t>
      </w:r>
    </w:p>
    <w:p>
      <w:pPr>
        <w:jc w:val="center"/>
        <w:widowControl/>
        <w:ind w:left="510" w:hanging="15"/>
        <w:spacing w:after="45"/>
      </w:pPr>
      <w:r>
        <w:rPr>
          <w:sz w:val="22"/>
        </w:rPr>
        <w:t/>
      </w:r>
    </w:p>
    <w:p>
      <w:pPr>
        <w:jc w:val="center"/>
        <w:widowControl/>
        <w:ind w:left="510" w:hanging="15"/>
        <w:spacing w:after="45"/>
      </w:pPr>
      <w:r>
        <w:rPr>
          <w:sz w:val="22"/>
        </w:rPr>
        <w:t/>
      </w:r>
    </w:p>
    <w:p>
      <w:pPr>
        <w:jc w:val="center"/>
        <w:widowControl/>
        <w:ind w:left="510" w:right="45" w:hanging="15"/>
        <w:spacing w:after="45"/>
      </w:pPr>
      <w:r>
        <w:rPr>
          <w:sz w:val="22"/>
        </w:rPr>
        <w:t>_____________________________________________</w:t>
      </w:r>
    </w:p>
    <w:p>
      <w:pPr>
        <w:jc w:val="center"/>
        <w:widowControl/>
        <w:ind w:left="2895" w:right="45" w:hanging="15"/>
        <w:spacing w:after="45"/>
      </w:pPr>
      <w:r>
        <w:rPr>
          <w:sz w:val="22"/>
        </w:rPr>
        <w:t>(carimbo, nome, RG e assinatura do responsável pelo departamento de engenharia)</w:t>
      </w:r>
    </w:p>
    <w:p>
      <w:pPr>
        <w:jc w:val="center"/>
        <w:widowControl/>
        <w:ind w:left="2895" w:right="45" w:hanging="15"/>
        <w:spacing w:after="45"/>
      </w:pPr>
      <w:r>
        <w:rPr>
          <w:sz w:val="22"/>
        </w:rPr>
        <w:t/>
      </w:r>
    </w:p>
    <w:p>
      <w:pPr>
        <w:jc w:val="center"/>
        <w:widowControl/>
        <w:ind w:left="2895" w:right="45" w:hanging="15"/>
        <w:spacing w:after="45"/>
      </w:pPr>
      <w:r>
        <w:rPr>
          <w:sz w:val="22"/>
        </w:rPr>
        <w:t/>
      </w:r>
    </w:p>
    <w:p>
      <w:pPr>
        <w:jc w:val="center"/>
        <w:widowControl/>
        <w:ind w:left="510" w:right="510" w:hanging="15"/>
        <w:spacing w:after="45"/>
      </w:pPr>
      <w:r>
        <w:rPr>
          <w:sz w:val="22"/>
        </w:rPr>
        <w:t>____________________________________________________________</w:t>
      </w:r>
    </w:p>
    <w:p>
      <w:pPr>
        <w:jc w:val="center"/>
        <w:widowControl/>
        <w:ind w:left="510" w:right="495" w:hanging="15"/>
        <w:spacing w:after="45"/>
      </w:pPr>
      <w:r>
        <w:rPr>
          <w:sz w:val="22"/>
        </w:rPr>
        <w:t>(carimbo, nome, CREA e assinatura do engenheiro habilitado do proponente)</w:t>
      </w:r>
    </w:p>
    <w:p>
      <w:pPr>
        <w:jc w:val="center"/>
        <w:widowControl/>
        <w:ind w:left="510" w:right="495" w:hanging="15"/>
        <w:spacing w:after="45"/>
      </w:pPr>
      <w:r>
        <w:rPr>
          <w:sz w:val="22"/>
        </w:rPr>
        <w:t/>
      </w:r>
    </w:p>
    <w:p>
      <w:r>
        <w:br w:type="page"/>
      </w:r>
    </w:p>
    <w:p>
      <w:pPr>
        <w:jc w:val="center"/>
        <w:widowControl/>
        <w:spacing w:after="45"/>
      </w:pPr>
      <w:r>
        <w:rPr>
          <w:b/>
          <w:sz w:val="22"/>
        </w:rPr>
        <w:t>ANEXO V</w:t>
      </w:r>
    </w:p>
    <w:p>
      <w:pPr>
        <w:jc w:val="center"/>
        <w:widowControl/>
        <w:spacing w:after="45"/>
      </w:pPr>
      <w:r>
        <w:rPr>
          <w:rFonts w:ascii="Times New Roman" w:hAnsi="Times New Roman" w:cs="Times New Roman" w:eastAsia="Times New Roman"/>
          <w:sz w:val="22"/>
        </w:rPr>
        <w:t/>
      </w:r>
    </w:p>
    <w:p>
      <w:pPr>
        <w:jc w:val="center"/>
        <w:widowControl/>
        <w:ind w:left="15" w:right="15" w:hanging="15"/>
        <w:spacing w:after="45"/>
      </w:pPr>
      <w:r>
        <w:rPr>
          <w:b/>
          <w:sz w:val="22"/>
        </w:rPr>
        <w:t>MODELO DE DECLARAÇÃO UNIFICADA</w:t>
      </w:r>
    </w:p>
    <w:p>
      <w:pPr>
        <w:jc w:val="center"/>
        <w:widowControl/>
        <w:ind w:left="15" w:right="15" w:hanging="15"/>
        <w:spacing w:after="45"/>
      </w:pPr>
      <w:r>
        <w:rPr>
          <w:rFonts w:ascii="Times New Roman" w:hAnsi="Times New Roman" w:cs="Times New Roman" w:eastAsia="Times New Roman"/>
          <w:sz w:val="22"/>
        </w:rPr>
        <w:t/>
      </w:r>
    </w:p>
    <w:p>
      <w:pPr>
        <w:jc w:val="both"/>
        <w:widowControl/>
        <w:ind w:left="60" w:right="30" w:hanging="15"/>
        <w:spacing w:after="45"/>
      </w:pPr>
      <w:r>
        <w:rPr>
          <w:sz w:val="22"/>
        </w:rPr>
        <w:t>Ao Sr. Agente de Contratação ou Equipe de apoio do Município de Guairaçá, Estado de Paraná</w:t>
      </w:r>
    </w:p>
    <w:p>
      <w:pPr>
        <w:jc w:val="both"/>
        <w:widowControl/>
        <w:ind w:left="60" w:right="30" w:hanging="15"/>
        <w:spacing w:after="45"/>
      </w:pPr>
      <w:r>
        <w:rPr>
          <w:sz w:val="22"/>
        </w:rPr>
        <w:t/>
      </w:r>
    </w:p>
    <w:p>
      <w:pPr>
        <w:jc w:val="both"/>
        <w:outlineLvl w:val="0"/>
        <w:keepLines/>
        <w:keepNext/>
        <w:widowControl/>
        <w:ind w:left="60" w:right="45" w:hanging="15"/>
        <w:spacing w:after="45"/>
      </w:pPr>
      <w:r>
        <w:rPr>
          <w:b/>
          <w:sz w:val="22"/>
        </w:rPr>
        <w:t>CONCORRÊNCIA ELETRÔNICA Nº</w:t>
      </w:r>
      <w:r>
        <w:rPr>
          <w:b/>
          <w:sz w:val="24"/>
        </w:rPr>
        <w:t xml:space="preserve"> </w:t>
      </w:r>
      <w:r>
        <w:rPr>
          <w:b/>
          <w:sz w:val="22"/>
        </w:rPr>
        <w:t>3/2026</w:t>
      </w:r>
    </w:p>
    <w:p>
      <w:pPr>
        <w:spacing w:after="45"/>
      </w:pPr>
      <w:r>
        <w:rPr>
          <w:rFonts w:ascii="Times New Roman" w:hAnsi="Times New Roman" w:cs="Times New Roman" w:eastAsia="Times New Roman"/>
          <w:sz w:val="22"/>
        </w:rPr>
        <w:t/>
      </w:r>
    </w:p>
    <w:p>
      <w:pPr>
        <w:jc w:val="both"/>
        <w:widowControl/>
        <w:ind w:left="60" w:right="45" w:hanging="15"/>
        <w:spacing w:after="45"/>
      </w:pPr>
      <w:r>
        <w:rPr>
          <w:sz w:val="22"/>
        </w:rPr>
        <w:t>Pelo presente instrumento, a empresa ........................., CNPJ nº ......................, com sede na ............................................, através de seu representante legal infra-assinado, que:</w:t>
      </w:r>
    </w:p>
    <w:p>
      <w:pPr>
        <w:jc w:val="both"/>
        <w:widowControl/>
        <w:ind w:left="60" w:right="45" w:hanging="15"/>
        <w:spacing w:after="45"/>
      </w:pPr>
      <w:r>
        <w:rPr>
          <w:sz w:val="22"/>
        </w:rPr>
        <w:t/>
      </w:r>
    </w:p>
    <w:p>
      <w:pPr>
        <w:jc w:val="both"/>
        <w:widowControl/>
        <w:ind w:right="45"/>
        <w:spacing w:after="45"/>
        <w:numPr>
          <w:ilvl w:val="0"/>
          <w:numId w:val="91"/>
        </w:numPr>
      </w:pPr>
      <w:r/>
      <w:r>
        <w:rPr>
          <w:sz w:val="22"/>
        </w:rPr>
        <w:t>Declaramos, para os fins do disposto no inciso VI do art. 68 da Lei nº 14.133/2021, que não emprega menor de 18 (dezoito) anos em trabalho noturno, perigoso ou insalubre e não emprega menor de 16 (dezesseis) anos, salvo menor, a partir de 14 (quatorze) anos, na condição de aprendiz, nos termos do inciso XXXIII, do art. 7º da Constituição Federal.</w:t>
      </w:r>
    </w:p>
    <w:p>
      <w:pPr>
        <w:jc w:val="both"/>
        <w:widowControl/>
        <w:ind w:right="45"/>
        <w:spacing w:after="45"/>
        <w:numPr>
          <w:ilvl w:val="0"/>
          <w:numId w:val="91"/>
        </w:numPr>
      </w:pPr>
      <w:r/>
      <w:r>
        <w:rPr>
          <w:sz w:val="22"/>
        </w:rPr>
        <w:t>Declaramos, sob as penas da lei, que a empresa não foi declarada inidônea para licitar ou contratar com a Administração Pública e que até a presente data inexistem fatos impeditivos para sua habilitação no presente processo, ciente da obrigatoriedade de declarar ocorrências posteriores.</w:t>
      </w:r>
    </w:p>
    <w:p>
      <w:pPr>
        <w:jc w:val="both"/>
        <w:widowControl/>
        <w:ind w:right="45"/>
        <w:spacing w:after="45"/>
        <w:numPr>
          <w:ilvl w:val="0"/>
          <w:numId w:val="91"/>
        </w:numPr>
      </w:pPr>
      <w:r/>
      <w:r>
        <w:rPr>
          <w:sz w:val="22"/>
        </w:rPr>
        <w:t>Declaramos para todos os fins de direito, que conhecemos as especificações do objeto e os termos constantes neste Edital e seu(s) ANEXOS, e que, concordamos com todos os termos constantes no mesmo e ainda, que possuímos todas as condições para atender e cumprir todas as exigências de fornecimento ali contidas, inclusive com relação a documentação, que está sendo apresentada para fins de habilitação.</w:t>
      </w:r>
    </w:p>
    <w:p>
      <w:pPr>
        <w:jc w:val="both"/>
        <w:widowControl/>
        <w:ind w:right="45"/>
        <w:spacing w:after="45"/>
        <w:numPr>
          <w:ilvl w:val="0"/>
          <w:numId w:val="91"/>
        </w:numPr>
      </w:pPr>
      <w:r/>
      <w:r>
        <w:rPr>
          <w:sz w:val="22"/>
        </w:rPr>
        <w:t>Declaramos para os devidos fins de direito, na qualidade de Proponente dos procedimentos licitatórios, instaurados por este Município, que o(a) responsável legal da empresa é o(a) Sr.(a)................................................, Portador(a) do RG sob nº ................................................. e CPF nº ........................................................, cuja função/cargo é..................................................(sócio administrador/procurador/diretor/etc.), responsável pela assinatura da Ata de Registro de Preços/contrato.</w:t>
      </w:r>
    </w:p>
    <w:p>
      <w:pPr>
        <w:jc w:val="both"/>
        <w:widowControl/>
        <w:ind w:left="285" w:right="45" w:hanging="240"/>
        <w:spacing w:after="45"/>
      </w:pPr>
      <w:r>
        <w:rPr>
          <w:sz w:val="22"/>
        </w:rPr>
        <w:t>5)</w:t>
      </w:r>
      <w:r>
        <w:rPr>
          <w:sz w:val="22"/>
        </w:rPr>
        <w:tab/>
      </w:r>
      <w:r>
        <w:rPr>
          <w:sz w:val="22"/>
        </w:rPr>
        <w:t xml:space="preserve">Declaramos para os devidos fins que não possuímos nenhum sócio, ligado ao Prefeito, Vice-Prefeito, Vereadores ou Secretários Municipais, por matrimônio ou parentesco, afim ou consanguíneo, até o segundo grau, ou por adoção, bem como também não possuímos em nosso quadro social, nenhum Servidor do Município. </w:t>
      </w:r>
    </w:p>
    <w:p>
      <w:pPr>
        <w:jc w:val="both"/>
        <w:widowControl/>
        <w:ind w:left="285" w:right="45" w:hanging="240"/>
        <w:spacing w:after="45"/>
      </w:pPr>
      <w:r>
        <w:rPr>
          <w:sz w:val="22"/>
        </w:rPr>
        <w:t>6) Declaramos de que a empresa não contratará empregados com incompatibilidade com as autoridades contratantes ou ocupantes de cargos de direção ou de assessoramento até o terceiro grau, na forma da Súmula Vinculante nº 013 do STF (Supremo Tribunal Federal).</w:t>
      </w:r>
    </w:p>
    <w:p>
      <w:pPr>
        <w:jc w:val="both"/>
        <w:widowControl/>
        <w:ind w:right="45"/>
        <w:spacing w:after="45"/>
        <w:numPr>
          <w:ilvl w:val="0"/>
          <w:numId w:val="60"/>
        </w:numPr>
      </w:pPr>
      <w:r/>
      <w:r>
        <w:rPr>
          <w:sz w:val="22"/>
        </w:rPr>
        <w:t>Declaramos para os devidos fins que em caso de qualquer comunicação futura referente e este processo licitatório, bem como em caso de eventual contratação, concordo que a Ata de Registro de Preços/Contrato seja encaminhado para o seguinte endereço:</w:t>
      </w:r>
    </w:p>
    <w:p>
      <w:pPr>
        <w:jc w:val="both"/>
        <w:widowControl/>
        <w:ind w:right="45"/>
        <w:spacing w:after="45"/>
        <w:numPr>
          <w:ilvl w:val="0"/>
          <w:numId w:val="60"/>
        </w:numPr>
      </w:pPr>
      <w:r/>
      <w:r>
        <w:rPr>
          <w:sz w:val="22"/>
        </w:rPr>
        <w:t>Declaramos ter ciência de que em atendimento ao disposto na Lei n. 13.709/2018 - Lei Geral de Proteção de Dados Pessoais (LGPD), o Município, para a execução do serviço objeto deste edital e em decorrência de obrigações legais e cumprimento do edital/instrumento contratual, notadamente em cumprimento da Lei de Acesso à Informação (Lei n. 12.527/2011), da Legislação de Licitações e determinações legais emanadas dos Órgãos de Controle, terá acesso aos dados pessoais dos representantes da LICITANTE/CONTRATADA, tais como: número do CPF, RG, telefone, endereço físico e eletrônico, e todo e qualquer dado pessoal repassado em decorrência da execução contratual, e poderá dar o tratamento legal aos mesmos, inclusive para atendimento de exigências dos órgãos de controle interno e externo.</w:t>
      </w:r>
    </w:p>
    <w:p>
      <w:pPr>
        <w:jc w:val="both"/>
        <w:widowControl/>
        <w:ind w:right="45"/>
        <w:spacing w:after="45"/>
        <w:numPr>
          <w:ilvl w:val="0"/>
          <w:numId w:val="60"/>
        </w:numPr>
      </w:pPr>
      <w:r/>
      <w:r>
        <w:rPr>
          <w:sz w:val="22"/>
        </w:rPr>
        <w:t xml:space="preserve">Declaramos que não possui, em nossa cadeia produtiva, empregados executando trabalho degradante ou forçado, observado o disposto nos incisos III e IV do art. 1° e no inciso III, do art. 5° da Constituição Federal. </w:t>
      </w:r>
    </w:p>
    <w:p>
      <w:pPr>
        <w:jc w:val="both"/>
        <w:widowControl/>
        <w:ind w:right="45"/>
        <w:spacing w:after="45"/>
        <w:numPr>
          <w:ilvl w:val="0"/>
          <w:numId w:val="60"/>
        </w:numPr>
      </w:pPr>
      <w:r/>
      <w:r>
        <w:rPr>
          <w:sz w:val="22"/>
        </w:rPr>
        <w:t xml:space="preserve"> Declaramos que a proposta apresentada para esta licitação foi elaborada de maneira independente.</w:t>
      </w:r>
    </w:p>
    <w:p>
      <w:pPr>
        <w:jc w:val="both"/>
        <w:widowControl/>
        <w:ind w:left="285" w:right="45"/>
        <w:spacing w:after="45"/>
      </w:pPr>
      <w:r>
        <w:rPr>
          <w:sz w:val="22"/>
        </w:rPr>
        <w:t>E-mail: .......................................................................</w:t>
      </w:r>
    </w:p>
    <w:p>
      <w:pPr>
        <w:jc w:val="both"/>
        <w:widowControl/>
        <w:ind w:left="285" w:right="45"/>
        <w:spacing w:after="45"/>
      </w:pPr>
      <w:r>
        <w:rPr>
          <w:sz w:val="22"/>
        </w:rPr>
        <w:t>Telefone: (.....) ..............................</w:t>
      </w:r>
    </w:p>
    <w:p>
      <w:pPr>
        <w:jc w:val="both"/>
        <w:widowControl/>
        <w:ind w:left="285" w:right="45" w:hanging="240"/>
        <w:spacing w:after="45"/>
      </w:pPr>
      <w:r>
        <w:rPr>
          <w:sz w:val="22"/>
        </w:rPr>
        <w:t xml:space="preserve">11) Caso altere o citado e-mail ou telefone comprometo-me em protocolizar pedido de alteração junto ao Sistema de Protocolo deste Município, sob pena de ser considerado como intimado nos dados anteriormente fornecidos. </w:t>
      </w:r>
    </w:p>
    <w:p>
      <w:pPr>
        <w:jc w:val="both"/>
        <w:widowControl/>
        <w:ind w:left="285" w:right="45" w:hanging="240"/>
        <w:spacing w:after="45"/>
      </w:pPr>
      <w:r>
        <w:rPr>
          <w:sz w:val="22"/>
        </w:rPr>
        <w:t>12) Declaramos 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apresentação da proposta, sob pena de desclassificação.</w:t>
      </w:r>
    </w:p>
    <w:p>
      <w:pPr>
        <w:jc w:val="both"/>
        <w:widowControl/>
        <w:ind w:left="285" w:right="45" w:hanging="240"/>
        <w:spacing w:after="45"/>
      </w:pPr>
      <w:r>
        <w:rPr>
          <w:sz w:val="22"/>
        </w:rPr>
        <w:t>13) Declaramos de que cumprimos as exigências de reserva de cargos para pessoa com deficiência e para reabilitado da Previdência Social, previstas em lei e em outras normas específicas.</w:t>
      </w:r>
    </w:p>
    <w:p>
      <w:pPr>
        <w:jc w:val="both"/>
        <w:widowControl/>
        <w:ind w:left="285" w:right="45" w:hanging="240"/>
        <w:spacing w:after="45"/>
      </w:pPr>
      <w:r>
        <w:rPr>
          <w:sz w:val="22"/>
        </w:rPr>
        <w:t/>
      </w:r>
    </w:p>
    <w:p>
      <w:pPr>
        <w:jc w:val="both"/>
        <w:widowControl/>
        <w:ind w:right="45"/>
        <w:spacing w:after="45"/>
      </w:pPr>
      <w:r>
        <w:rPr>
          <w:sz w:val="22"/>
        </w:rPr>
        <w:t>Nomeamos e constituímos o senhor(a)........................................., portador(a) do CPF/MF sob n.º..................................., para ser o(a) responsável para acompanhar a execução do contrato, referente à Concorrência Eletrônica n.º XXX/202X - PMG e todos os atos necessários ao cumprimento das obrigações contidas no instrumento convocatório, seus Anexos e no Contrato.</w:t>
      </w:r>
    </w:p>
    <w:p>
      <w:pPr>
        <w:jc w:val="both"/>
        <w:widowControl/>
        <w:ind w:right="45"/>
        <w:spacing w:after="45"/>
      </w:pPr>
      <w:r>
        <w:rPr>
          <w:sz w:val="22"/>
        </w:rPr>
        <w:t/>
      </w:r>
    </w:p>
    <w:p>
      <w:pPr>
        <w:jc w:val="right"/>
        <w:widowControl/>
        <w:ind w:left="15" w:right="45" w:hanging="15"/>
        <w:spacing w:after="45"/>
      </w:pPr>
      <w:r>
        <w:rPr>
          <w:sz w:val="22"/>
        </w:rPr>
        <w:t>............................................................................., ........, ................................... de 202X.</w:t>
      </w:r>
    </w:p>
    <w:p>
      <w:pPr>
        <w:jc w:val="center"/>
        <w:widowControl/>
        <w:ind w:left="510" w:right="495" w:hanging="15"/>
        <w:spacing w:after="45"/>
      </w:pPr>
      <w:r>
        <w:rPr>
          <w:rFonts w:ascii="Times New Roman" w:hAnsi="Times New Roman" w:cs="Times New Roman" w:eastAsia="Times New Roman"/>
          <w:sz w:val="22"/>
        </w:rPr>
        <w:t/>
      </w:r>
    </w:p>
    <w:p>
      <w:pPr>
        <w:jc w:val="center"/>
        <w:widowControl/>
        <w:ind w:left="510" w:right="495" w:hanging="15"/>
        <w:spacing w:after="45"/>
      </w:pPr>
      <w:r>
        <w:rPr>
          <w:rFonts w:ascii="Times New Roman" w:hAnsi="Times New Roman" w:cs="Times New Roman" w:eastAsia="Times New Roman"/>
          <w:sz w:val="22"/>
        </w:rPr>
        <w:t/>
      </w:r>
    </w:p>
    <w:p>
      <w:pPr>
        <w:jc w:val="center"/>
        <w:widowControl/>
        <w:ind w:left="510" w:right="495" w:hanging="15"/>
        <w:spacing w:after="45"/>
      </w:pPr>
      <w:r>
        <w:rPr>
          <w:rFonts w:ascii="Times New Roman" w:hAnsi="Times New Roman" w:cs="Times New Roman" w:eastAsia="Times New Roman"/>
          <w:sz w:val="22"/>
        </w:rPr>
        <w:t/>
      </w:r>
    </w:p>
    <w:p>
      <w:pPr>
        <w:jc w:val="center"/>
        <w:widowControl/>
        <w:ind w:left="510" w:right="495" w:hanging="15"/>
        <w:spacing w:after="45"/>
      </w:pPr>
      <w:r>
        <w:rPr>
          <w:sz w:val="22"/>
        </w:rPr>
        <w:t>Assinatura do Responsável pela Empresa</w:t>
      </w:r>
    </w:p>
    <w:p>
      <w:pPr>
        <w:jc w:val="center"/>
        <w:widowControl/>
        <w:ind w:left="510" w:right="495" w:hanging="15"/>
        <w:spacing w:after="45"/>
      </w:pPr>
      <w:r>
        <w:rPr>
          <w:sz w:val="22"/>
        </w:rPr>
        <w:t>(Nome Legível/Cargo)</w:t>
      </w:r>
    </w:p>
    <w:p>
      <w:pPr>
        <w:widowControl/>
        <w:ind w:left="345" w:right="315" w:hanging="15"/>
        <w:spacing w:after="45"/>
      </w:pPr>
      <w:r>
        <w:rPr>
          <w:sz w:val="22"/>
        </w:rPr>
        <w:t/>
      </w:r>
    </w:p>
    <w:p>
      <w:r>
        <w:br w:type="page"/>
      </w:r>
    </w:p>
    <w:p>
      <w:pPr>
        <w:jc w:val="center"/>
        <w:widowControl/>
        <w:spacing w:after="45"/>
      </w:pPr>
      <w:r>
        <w:rPr>
          <w:b/>
          <w:sz w:val="22"/>
        </w:rPr>
        <w:t>ANEXO VI</w:t>
      </w:r>
    </w:p>
    <w:p>
      <w:pPr>
        <w:jc w:val="center"/>
        <w:widowControl/>
        <w:spacing w:after="45"/>
      </w:pPr>
      <w:r>
        <w:rPr>
          <w:rFonts w:ascii="Times New Roman" w:hAnsi="Times New Roman" w:cs="Times New Roman" w:eastAsia="Times New Roman"/>
          <w:sz w:val="22"/>
        </w:rPr>
        <w:t/>
      </w:r>
    </w:p>
    <w:p>
      <w:pPr>
        <w:jc w:val="center"/>
        <w:widowControl/>
        <w:spacing w:after="45"/>
      </w:pPr>
      <w:r>
        <w:rPr>
          <w:b/>
          <w:sz w:val="22"/>
        </w:rPr>
        <w:t>(razão social, endereço, telefone, e-mail, CNPJ)</w:t>
      </w:r>
    </w:p>
    <w:p>
      <w:pPr>
        <w:jc w:val="center"/>
        <w:widowControl/>
        <w:spacing w:after="45"/>
      </w:pPr>
      <w:r>
        <w:rPr>
          <w:rFonts w:ascii="Times New Roman" w:hAnsi="Times New Roman" w:cs="Times New Roman" w:eastAsia="Times New Roman"/>
          <w:sz w:val="22"/>
        </w:rPr>
        <w:t/>
      </w:r>
    </w:p>
    <w:p>
      <w:pPr>
        <w:jc w:val="center"/>
      </w:pPr>
      <w:r>
        <w:rPr>
          <w:b/>
          <w:sz w:val="22"/>
        </w:rPr>
        <w:t>MODELO DE PROPOSTA DE PREÇO  REAJUSTADA</w:t>
      </w:r>
    </w:p>
    <w:p>
      <w:pPr>
        <w:jc w:val="center"/>
        <w:widowControl/>
        <w:ind w:left="15" w:right="15" w:hanging="15"/>
        <w:spacing w:after="45"/>
      </w:pPr>
      <w:r>
        <w:rPr>
          <w:rFonts w:ascii="Times New Roman" w:hAnsi="Times New Roman" w:cs="Times New Roman" w:eastAsia="Times New Roman"/>
          <w:sz w:val="22"/>
        </w:rPr>
        <w:t/>
      </w:r>
    </w:p>
    <w:p>
      <w:pPr>
        <w:jc w:val="right"/>
        <w:widowControl/>
        <w:ind w:right="60"/>
        <w:spacing w:after="45"/>
      </w:pPr>
      <w:r>
        <w:rPr>
          <w:sz w:val="22"/>
        </w:rPr>
        <w:t>Local e data.</w:t>
      </w:r>
    </w:p>
    <w:p>
      <w:pPr>
        <w:jc w:val="right"/>
        <w:widowControl/>
        <w:ind w:right="60"/>
        <w:spacing w:after="45"/>
      </w:pPr>
      <w:r>
        <w:rPr>
          <w:sz w:val="22"/>
        </w:rPr>
        <w:t/>
      </w:r>
    </w:p>
    <w:p>
      <w:pPr>
        <w:jc w:val="both"/>
        <w:widowControl/>
        <w:ind w:left="60" w:right="45" w:hanging="15"/>
        <w:spacing w:after="45"/>
      </w:pPr>
      <w:r>
        <w:rPr>
          <w:sz w:val="22"/>
        </w:rPr>
        <w:t>À Equipe de Apoio</w:t>
      </w:r>
    </w:p>
    <w:p>
      <w:pPr>
        <w:jc w:val="both"/>
        <w:widowControl/>
        <w:ind w:left="60" w:right="45" w:hanging="15"/>
        <w:spacing w:after="45"/>
      </w:pPr>
      <w:r>
        <w:rPr>
          <w:sz w:val="22"/>
        </w:rPr>
        <w:t xml:space="preserve">Ref. </w:t>
      </w:r>
      <w:r>
        <w:rPr>
          <w:b/>
          <w:sz w:val="22"/>
        </w:rPr>
        <w:t>CONCORRÊNCIA ELETRÔNICA Nº 3/2026 – PMG</w:t>
      </w:r>
    </w:p>
    <w:p>
      <w:pPr>
        <w:jc w:val="both"/>
        <w:widowControl/>
        <w:ind w:left="60" w:right="45" w:hanging="15"/>
        <w:spacing w:after="45"/>
      </w:pPr>
      <w:r>
        <w:rPr>
          <w:rFonts w:ascii="Times New Roman" w:hAnsi="Times New Roman" w:cs="Times New Roman" w:eastAsia="Times New Roman"/>
          <w:sz w:val="22"/>
        </w:rPr>
        <w:t/>
      </w:r>
    </w:p>
    <w:p>
      <w:pPr>
        <w:jc w:val="both"/>
        <w:widowControl/>
        <w:ind w:left="45" w:right="45" w:firstLine="1695"/>
        <w:spacing w:after="45"/>
      </w:pPr>
      <w:r>
        <w:rPr>
          <w:sz w:val="22"/>
        </w:rPr>
        <w:t>Prezados Senhores</w:t>
      </w:r>
    </w:p>
    <w:p>
      <w:pPr>
        <w:jc w:val="both"/>
        <w:widowControl/>
        <w:ind w:left="45" w:right="45" w:firstLine="1695"/>
        <w:spacing w:after="45"/>
      </w:pPr>
      <w:r>
        <w:rPr>
          <w:sz w:val="22"/>
        </w:rPr>
        <w:t/>
      </w:r>
    </w:p>
    <w:p>
      <w:pPr>
        <w:jc w:val="both"/>
        <w:widowControl/>
        <w:ind w:left="45" w:right="45" w:firstLine="1695"/>
        <w:spacing w:after="45"/>
      </w:pPr>
      <w:r>
        <w:rPr>
          <w:sz w:val="22"/>
        </w:rPr>
        <w:t>Apresentamos e submetemos à apreciação de V. S</w:t>
      </w:r>
      <w:r>
        <w:rPr>
          <w:vertAlign w:val="superscript"/>
          <w:sz w:val="22"/>
        </w:rPr>
        <w:t>as</w:t>
      </w:r>
      <w:r>
        <w:rPr>
          <w:sz w:val="22"/>
        </w:rPr>
        <w:t>. nossa proposta de preços relativa à execução da obra objeto da licitação em epígrafe.</w:t>
      </w:r>
    </w:p>
    <w:p>
      <w:pPr>
        <w:jc w:val="both"/>
        <w:widowControl/>
        <w:ind w:left="45" w:right="45" w:firstLine="1695"/>
        <w:spacing w:after="45"/>
      </w:pPr>
      <w:r>
        <w:rPr>
          <w:sz w:val="22"/>
        </w:rPr>
        <w:t/>
      </w:r>
    </w:p>
    <w:p>
      <w:pPr>
        <w:jc w:val="both"/>
        <w:widowControl/>
        <w:ind w:left="45" w:right="45" w:firstLine="1695"/>
        <w:spacing w:after="45"/>
      </w:pPr>
      <w:r>
        <w:rPr>
          <w:sz w:val="22"/>
        </w:rPr>
        <w:t>O preço global, fixo e sem reajuste, proposto para execução do objeto do lote único é de R$ __________________ (______________), conforme planilha de serviços, cronograma físico financeiro, Quadro de composição do BDI, conforme acórdão do 2622/2013 – TCU, em anexo.</w:t>
      </w:r>
    </w:p>
    <w:p>
      <w:pPr>
        <w:jc w:val="both"/>
        <w:widowControl/>
        <w:ind w:left="45" w:right="45" w:firstLine="1695"/>
        <w:spacing w:after="45"/>
      </w:pPr>
      <w:r>
        <w:rPr>
          <w:sz w:val="22"/>
        </w:rPr>
        <w:t/>
      </w:r>
    </w:p>
    <w:p>
      <w:pPr>
        <w:jc w:val="both"/>
        <w:widowControl/>
        <w:ind w:left="45" w:right="45" w:firstLine="1695"/>
        <w:spacing w:after="45"/>
      </w:pPr>
      <w:r>
        <w:rPr>
          <w:sz w:val="22"/>
        </w:rPr>
        <w:t>O prazo de execução dos serviços é de _______ (________) dias a contar da expedição da ordem de serviço objeto do contrato de empreitada.</w:t>
      </w:r>
    </w:p>
    <w:p>
      <w:pPr>
        <w:jc w:val="both"/>
        <w:widowControl/>
        <w:ind w:left="45" w:right="45" w:firstLine="1695"/>
        <w:spacing w:after="45"/>
      </w:pPr>
      <w:r>
        <w:rPr>
          <w:sz w:val="22"/>
        </w:rPr>
        <w:t/>
      </w:r>
    </w:p>
    <w:p>
      <w:pPr>
        <w:jc w:val="both"/>
        <w:widowControl/>
        <w:ind w:left="45" w:right="45" w:firstLine="1695"/>
        <w:spacing w:after="45"/>
      </w:pPr>
      <w:r>
        <w:rPr>
          <w:sz w:val="22"/>
        </w:rPr>
        <w:t>O prazo de validade da proposta de preços é de _______ (______) dias a partir da data do recebimento das propostas pela Equipe de Apoio.</w:t>
      </w:r>
    </w:p>
    <w:p>
      <w:pPr>
        <w:jc w:val="both"/>
        <w:widowControl/>
        <w:ind w:left="45" w:right="45" w:firstLine="1695"/>
        <w:spacing w:after="45"/>
      </w:pPr>
      <w:r>
        <w:rPr>
          <w:sz w:val="22"/>
        </w:rPr>
        <w:t/>
      </w:r>
    </w:p>
    <w:p>
      <w:pPr>
        <w:jc w:val="both"/>
        <w:widowControl/>
        <w:ind w:left="45" w:right="45" w:firstLine="1695"/>
        <w:spacing w:after="45"/>
      </w:pPr>
      <w:r>
        <w:rPr>
          <w:sz w:val="22"/>
        </w:rPr>
        <w:t>Atenciosamente,</w:t>
      </w:r>
    </w:p>
    <w:p>
      <w:pPr>
        <w:jc w:val="both"/>
        <w:widowControl/>
        <w:ind w:left="2895" w:right="45" w:hanging="15"/>
        <w:spacing w:after="45"/>
      </w:pPr>
      <w:r>
        <w:rPr>
          <w:rFonts w:ascii="Times New Roman" w:hAnsi="Times New Roman" w:cs="Times New Roman" w:eastAsia="Times New Roman"/>
          <w:sz w:val="22"/>
        </w:rPr>
        <w:t/>
      </w:r>
    </w:p>
    <w:p>
      <w:pPr>
        <w:jc w:val="right"/>
        <w:widowControl/>
        <w:ind w:right="60"/>
        <w:spacing w:after="45"/>
      </w:pPr>
      <w:r>
        <w:rPr>
          <w:sz w:val="22"/>
        </w:rPr>
        <w:t>Local e data.</w:t>
      </w:r>
    </w:p>
    <w:p>
      <w:pPr>
        <w:jc w:val="both"/>
        <w:widowControl/>
        <w:ind w:left="2895" w:right="45" w:hanging="15"/>
        <w:spacing w:after="45"/>
      </w:pPr>
      <w:r>
        <w:rPr>
          <w:rFonts w:ascii="Times New Roman" w:hAnsi="Times New Roman" w:cs="Times New Roman" w:eastAsia="Times New Roman"/>
          <w:sz w:val="22"/>
        </w:rPr>
        <w:t/>
      </w:r>
    </w:p>
    <w:p>
      <w:pPr>
        <w:jc w:val="both"/>
        <w:widowControl/>
        <w:ind w:left="2895" w:right="45" w:hanging="15"/>
        <w:spacing w:after="45"/>
      </w:pPr>
      <w:r>
        <w:rPr>
          <w:rFonts w:ascii="Times New Roman" w:hAnsi="Times New Roman" w:cs="Times New Roman" w:eastAsia="Times New Roman"/>
          <w:sz w:val="22"/>
        </w:rPr>
        <w:t/>
      </w:r>
    </w:p>
    <w:p>
      <w:pPr>
        <w:jc w:val="center"/>
        <w:widowControl/>
        <w:ind w:left="510" w:right="150" w:hanging="15"/>
        <w:spacing w:after="45"/>
      </w:pPr>
      <w:r>
        <w:rPr>
          <w:sz w:val="22"/>
        </w:rPr>
        <w:t>____________________________________________</w:t>
      </w:r>
    </w:p>
    <w:p>
      <w:pPr>
        <w:jc w:val="center"/>
        <w:widowControl/>
        <w:ind w:left="360"/>
        <w:spacing w:after="45"/>
      </w:pPr>
      <w:r>
        <w:rPr>
          <w:sz w:val="22"/>
        </w:rPr>
        <w:t>(carimbo, nome, RG e assinatura do responsável legal)</w:t>
      </w:r>
    </w:p>
    <w:p>
      <w:pPr>
        <w:jc w:val="center"/>
        <w:widowControl/>
        <w:ind w:left="360"/>
        <w:spacing w:after="45"/>
      </w:pPr>
      <w:r>
        <w:rPr>
          <w:sz w:val="22"/>
        </w:rPr>
        <w:t/>
      </w:r>
    </w:p>
    <w:p>
      <w:pPr>
        <w:jc w:val="center"/>
        <w:widowControl/>
        <w:ind w:left="360"/>
        <w:spacing w:after="45"/>
      </w:pPr>
      <w:r>
        <w:rPr>
          <w:sz w:val="22"/>
        </w:rPr>
        <w:t/>
      </w:r>
    </w:p>
    <w:p>
      <w:pPr>
        <w:jc w:val="center"/>
        <w:widowControl/>
        <w:ind w:left="360"/>
        <w:spacing w:after="45"/>
      </w:pPr>
      <w:r>
        <w:rPr>
          <w:sz w:val="22"/>
        </w:rPr>
        <w:t/>
      </w:r>
    </w:p>
    <w:p>
      <w:pPr>
        <w:jc w:val="both"/>
        <w:ind w:left="225" w:right="90" w:firstLine="15"/>
        <w:spacing w:before="240" w:lineRule="auto" w:line="216"/>
      </w:pPr>
      <w:r>
        <w:rPr>
          <w:sz w:val="22"/>
          <w:shd w:val="clear" w:color="auto" w:fill="FFFF00"/>
        </w:rPr>
        <w:t>OBSERVAÇÃO: A proposta de preços ajustada ao último lance ofertado deverá ser encaminhada, acompanhada das planilhas contendo os quantitativos e respectivos custos unitários, do Cronograma Físico-Financeiro e dos Critérios de Pagamento, bem como do detalhamento das Bonificações e Despesas Indiretas (BDI) e dos Encargos Sociais (ES), no que couber.</w:t>
      </w:r>
    </w:p>
    <w:p>
      <w:pPr>
        <w:jc w:val="both"/>
        <w:ind w:left="225" w:right="90" w:firstLine="15"/>
        <w:spacing w:before="240" w:lineRule="auto" w:line="216"/>
      </w:pPr>
      <w:r>
        <w:rPr>
          <w:sz w:val="22"/>
          <w:shd w:val="clear" w:color="auto" w:fill="FFFF00"/>
        </w:rPr>
        <w:t>A documentação deverá ser enviada para o e-mail: licitacao@guairaca.pr.gov.br no prazo máximo de 24 (vinte e quatro) horas, contadas do encerramento do processo licitatório na plataforma COMPRAS-BR.</w:t>
      </w:r>
    </w:p>
    <w:p>
      <w:r>
        <w:br w:type="page"/>
      </w:r>
    </w:p>
    <w:p>
      <w:pPr>
        <w:jc w:val="center"/>
        <w:widowControl/>
        <w:spacing w:after="45"/>
      </w:pPr>
      <w:r>
        <w:rPr>
          <w:b/>
          <w:sz w:val="22"/>
        </w:rPr>
        <w:t>ANEXO VII</w:t>
      </w:r>
    </w:p>
    <w:p>
      <w:pPr>
        <w:jc w:val="center"/>
        <w:widowControl/>
        <w:spacing w:after="45"/>
      </w:pPr>
      <w:r>
        <w:rPr>
          <w:rFonts w:ascii="Times New Roman" w:hAnsi="Times New Roman" w:cs="Times New Roman" w:eastAsia="Times New Roman"/>
          <w:sz w:val="22"/>
        </w:rPr>
        <w:t/>
      </w:r>
    </w:p>
    <w:p>
      <w:pPr>
        <w:jc w:val="center"/>
        <w:widowControl/>
        <w:ind w:left="15" w:right="15" w:hanging="15"/>
        <w:spacing w:after="45"/>
      </w:pPr>
      <w:r>
        <w:rPr>
          <w:b/>
          <w:sz w:val="22"/>
        </w:rPr>
        <w:t>MINUTA DE CONTRATO DE EMPREITADA GLOBAL Nº ________/___________</w:t>
      </w:r>
    </w:p>
    <w:p>
      <w:pPr>
        <w:jc w:val="center"/>
        <w:widowControl/>
        <w:ind w:left="15" w:right="15" w:hanging="15"/>
        <w:spacing w:after="45"/>
      </w:pPr>
      <w:r>
        <w:rPr>
          <w:rFonts w:ascii="Times New Roman" w:hAnsi="Times New Roman" w:cs="Times New Roman" w:eastAsia="Times New Roman"/>
          <w:sz w:val="22"/>
        </w:rPr>
        <w:t/>
      </w:r>
    </w:p>
    <w:p>
      <w:pPr>
        <w:jc w:val="both"/>
        <w:widowControl/>
        <w:ind w:left="45" w:right="45" w:firstLine="705"/>
        <w:spacing w:after="45"/>
      </w:pPr>
      <w:r>
        <w:rPr>
          <w:sz w:val="22"/>
        </w:rPr>
        <w:t>Pelo presente instrumento de contrato de empreitada que entre si celebram, de um lado o MUNICÍPIO DE GUAIRAÇÁ, pessoa jurídica de direito público interno, com sede administrativa localizada na Rua Francisco Vieira, 1181 Centro, CEP: 87.880-000, na cidade de Guairaçá, Estado do Paraná, inscrita no CNPJ sob nº 76.238.443/0001-87, neste ato representado pela Prefeito Municipal, o Sr. MARCELO ALVES DE OLIVEIRA, brasileiro, casado, portador da Cédula de Identidade RG nº ............... SSP/PR, inscrita no CPF sob nº ..........., residente e domiciliado nesta cidade de GUAIRAÇÁ, Paraná, doravante denominado CONTRATANTE, e de outro lado a empresa XXXXXXXXXXXXXXXXX (nome da Contratada), inscrita no CNPJ nº __________________, com sede à (Endereço), nº __________, (Bairro), CEP: ________, na cidade de _________, Estado do __________, neste ato representada por seu (sua) representante legal (cargo) o (a) Sr (a). XXXXXXXXX (nome do representante legal), (nacionalidade), (estado civil), (profissão), portador (a) da cédula de identidade nº __________ (Órgão Emissor), inscrito (a) no CPF sob o nº ________________, residente e domiciliado (a) na cidade de _______________, Estado do ____________, doravante denominada CONTRATADA, resolvem na melhor forma de direito, o presente contrato pelas cláusulas e condições seguintes:</w:t>
      </w:r>
    </w:p>
    <w:p>
      <w:pPr>
        <w:jc w:val="both"/>
        <w:widowControl/>
        <w:ind w:left="45" w:right="45" w:firstLine="705"/>
        <w:spacing w:after="45"/>
      </w:pPr>
      <w:r>
        <w:rPr>
          <w:sz w:val="22"/>
        </w:rPr>
        <w:t/>
      </w:r>
    </w:p>
    <w:p>
      <w:pPr>
        <w:jc w:val="both"/>
        <w:widowControl/>
        <w:ind w:left="60" w:right="45" w:hanging="15"/>
        <w:spacing w:after="45"/>
        <w:shd w:val="clear" w:color="auto" w:fill="0D0D0D"/>
      </w:pPr>
      <w:r>
        <w:rPr>
          <w:b/>
          <w:sz w:val="22"/>
          <w:color w:val="FFFFFF"/>
        </w:rPr>
        <w:t>CLÁUSULA PRIMEIRA – FUNDAMENTAÇÃO:</w:t>
      </w:r>
      <w:r>
        <w:rPr>
          <w:sz w:val="22"/>
          <w:color w:val="FFFFFF"/>
        </w:rPr>
        <w:t xml:space="preserve"> </w:t>
      </w:r>
    </w:p>
    <w:p>
      <w:pPr>
        <w:jc w:val="both"/>
        <w:widowControl/>
        <w:ind w:left="60" w:right="45" w:hanging="15"/>
        <w:spacing w:after="45"/>
      </w:pPr>
      <w:r>
        <w:rPr>
          <w:b/>
          <w:sz w:val="22"/>
        </w:rPr>
        <w:t>I -</w:t>
      </w:r>
      <w:r>
        <w:rPr>
          <w:sz w:val="22"/>
        </w:rPr>
        <w:t xml:space="preserve"> O presente instrumento é celebrado com fundamento no Processo Administrativo n.º X/202X; no Processo de Concorrência n° X/202X, homologado em ____ de _____ de _________, publicado no Diário Oficial do município, em ___ de ______ de _________, edição nº. _____, que integram o presente Termo, e nos fundamentos e disposições da </w:t>
      </w:r>
      <w:r>
        <w:rPr>
          <w:u w:val="single" w:color="000000"/>
          <w:sz w:val="22"/>
        </w:rPr>
        <w:t xml:space="preserve">Lei Federal nº 14.133, de 1º de abril de 2021, em especial </w:t>
      </w:r>
      <w:r>
        <w:rPr>
          <w:sz w:val="22"/>
        </w:rPr>
        <w:t>no art. 28, inciso II, da Instrução Normativa SEGES/ME nº 67/2021, das Leis Complementares nº 123/06, 147/2014 e 155/2016, e demais legislações aplicáveis.</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SEGUNDA – DO OBJETO:</w:t>
      </w:r>
      <w:r>
        <w:rPr>
          <w:sz w:val="22"/>
          <w:color w:val="FFFFFF"/>
        </w:rPr>
        <w:t xml:space="preserve"> </w:t>
      </w:r>
    </w:p>
    <w:p>
      <w:pPr>
        <w:jc w:val="both"/>
        <w:widowControl/>
        <w:ind w:left="60" w:right="45" w:hanging="15"/>
        <w:spacing w:after="45"/>
      </w:pPr>
      <w:r>
        <w:rPr>
          <w:b/>
          <w:sz w:val="22"/>
        </w:rPr>
        <w:t xml:space="preserve">I - </w:t>
      </w:r>
      <w:r>
        <w:rPr>
          <w:rFonts w:ascii="Calibri" w:hAnsi="Calibri" w:cs="Calibri" w:eastAsia="Calibri"/>
          <w:b/>
          <w:sz w:val="22"/>
        </w:rPr>
        <w:t>DO OBJETO</w:t>
      </w:r>
      <w:r>
        <w:rPr>
          <w:rFonts w:ascii="Arial MT" w:hAnsi="Arial MT" w:cs="Arial MT" w:eastAsia="Arial MT"/>
          <w:sz w:val="22"/>
        </w:rPr>
        <w:t xml:space="preserve">: </w:t>
      </w:r>
      <w:r>
        <w:rPr>
          <w:rFonts w:ascii="Calibri" w:hAnsi="Calibri" w:cs="Calibri" w:eastAsia="Calibri"/>
          <w:b/>
          <w:sz w:val="22"/>
        </w:rPr>
        <w:t>CONTRATAÇÃO DE EMPRESA ESPECIALIZADA EM RECAPEAMENTO DE VIAS URBANAS COM CONCRETO BETUMINOSO USINADO A QUENTE (CBUQ), COM REPERFILAMENTO E SINALIZAÇÃO HORIZONTAL, CONFORME PLANO DE AÇÃO: 09032024-069829 / 2024, EM ATENÇÃO A SECRETARIA MUNICIPAL DE VIAÇÃO, OBRAS E SERVIÇOS URBANOS DE GUAIRAÇÁ/PR.</w:t>
      </w:r>
    </w:p>
    <w:p>
      <w:pPr>
        <w:jc w:val="both"/>
        <w:widowControl/>
        <w:ind w:left="60" w:right="45" w:hanging="15"/>
        <w:spacing w:after="45"/>
      </w:pPr>
      <w:r>
        <w:rPr>
          <w:b/>
          <w:sz w:val="22"/>
        </w:rPr>
        <w:t>Parágrafo Primeiro:</w:t>
      </w:r>
      <w:r>
        <w:rPr>
          <w:sz w:val="22"/>
        </w:rPr>
        <w:t xml:space="preserve"> Vinculam esta contratação, independente de transcrição:</w:t>
      </w:r>
    </w:p>
    <w:p>
      <w:pPr>
        <w:jc w:val="both"/>
        <w:widowControl/>
        <w:ind w:right="45"/>
        <w:spacing w:after="45"/>
        <w:numPr>
          <w:ilvl w:val="0"/>
          <w:numId w:val="80"/>
        </w:numPr>
      </w:pPr>
      <w:r/>
      <w:r>
        <w:rPr>
          <w:b/>
          <w:sz w:val="22"/>
        </w:rPr>
        <w:t xml:space="preserve">– </w:t>
      </w:r>
      <w:r>
        <w:rPr>
          <w:sz w:val="22"/>
        </w:rPr>
        <w:t>O Termo de Referência;</w:t>
      </w:r>
    </w:p>
    <w:p>
      <w:pPr>
        <w:jc w:val="both"/>
        <w:widowControl/>
        <w:ind w:right="45"/>
        <w:spacing w:after="45"/>
        <w:numPr>
          <w:ilvl w:val="0"/>
          <w:numId w:val="80"/>
        </w:numPr>
      </w:pPr>
      <w:r/>
      <w:r>
        <w:rPr>
          <w:b/>
          <w:sz w:val="22"/>
        </w:rPr>
        <w:t xml:space="preserve">– </w:t>
      </w:r>
      <w:r>
        <w:rPr>
          <w:sz w:val="22"/>
        </w:rPr>
        <w:t>O Edital de Licitação;</w:t>
      </w:r>
    </w:p>
    <w:p>
      <w:pPr>
        <w:jc w:val="both"/>
        <w:widowControl/>
        <w:ind w:right="45"/>
        <w:spacing w:after="45"/>
        <w:numPr>
          <w:ilvl w:val="0"/>
          <w:numId w:val="80"/>
        </w:numPr>
      </w:pPr>
      <w:r/>
      <w:r>
        <w:rPr>
          <w:b/>
          <w:sz w:val="22"/>
        </w:rPr>
        <w:t xml:space="preserve">– </w:t>
      </w:r>
      <w:r>
        <w:rPr>
          <w:sz w:val="22"/>
        </w:rPr>
        <w:t>A Proposta da Contratada;</w:t>
      </w:r>
    </w:p>
    <w:p>
      <w:pPr>
        <w:jc w:val="both"/>
        <w:widowControl/>
        <w:ind w:right="45"/>
        <w:spacing w:after="45"/>
        <w:numPr>
          <w:ilvl w:val="0"/>
          <w:numId w:val="80"/>
        </w:numPr>
      </w:pPr>
      <w:r/>
      <w:r>
        <w:rPr>
          <w:sz w:val="22"/>
        </w:rPr>
        <w:t>– Eventuais anexos e documentos presentes no Processo de Concorrência nº X/202X – PMG.</w:t>
      </w:r>
    </w:p>
    <w:p>
      <w:pPr>
        <w:jc w:val="both"/>
        <w:widowControl/>
        <w:ind w:left="45" w:right="45" w:firstLine="30"/>
        <w:spacing w:after="45"/>
      </w:pPr>
      <w:r>
        <w:rPr>
          <w:b/>
          <w:sz w:val="22"/>
        </w:rPr>
        <w:t>Parágrafo Segundo:</w:t>
      </w:r>
      <w:r>
        <w:rPr>
          <w:sz w:val="22"/>
        </w:rPr>
        <w:t xml:space="preserve"> A CONTRATADA deverá emitir ART dos serviços executados.</w:t>
      </w:r>
    </w:p>
    <w:p>
      <w:pPr>
        <w:jc w:val="both"/>
        <w:widowControl/>
        <w:ind w:left="45" w:right="45"/>
        <w:spacing w:after="45"/>
      </w:pPr>
      <w:r>
        <w:rPr>
          <w:rFonts w:ascii="Times New Roman" w:hAnsi="Times New Roman" w:cs="Times New Roman" w:eastAsia="Times New Roman"/>
          <w:sz w:val="22"/>
          <w:color w:val="FFFFFF"/>
        </w:rPr>
        <w:t/>
      </w:r>
    </w:p>
    <w:p>
      <w:pPr>
        <w:jc w:val="both"/>
        <w:widowControl/>
        <w:ind w:left="60" w:right="45" w:hanging="15"/>
        <w:spacing w:after="45"/>
        <w:shd w:val="clear" w:color="auto" w:fill="0D0D0D"/>
      </w:pPr>
      <w:r>
        <w:rPr>
          <w:b/>
          <w:sz w:val="22"/>
          <w:color w:val="FFFFFF"/>
        </w:rPr>
        <w:t>CLÁUSULA TERCEIRA – DA INDICAÇÃO DE GESTOR (ES)</w:t>
      </w:r>
    </w:p>
    <w:p>
      <w:pPr>
        <w:jc w:val="both"/>
        <w:widowControl/>
        <w:ind w:left="60" w:right="45" w:hanging="15"/>
        <w:spacing w:after="45"/>
      </w:pPr>
      <w:r>
        <w:rPr>
          <w:b/>
          <w:sz w:val="22"/>
        </w:rPr>
        <w:t>I –</w:t>
      </w:r>
      <w:r>
        <w:rPr>
          <w:sz w:val="22"/>
        </w:rPr>
        <w:t xml:space="preserve">Indica-se como GESTOR (A) DE CONTRATO: o (a) Sr (a). XXXXXXXXXXXXXXXXXX; e como </w:t>
      </w:r>
      <w:r>
        <w:rPr>
          <w:b/>
          <w:sz w:val="22"/>
        </w:rPr>
        <w:t xml:space="preserve">FISCAL DE CONTRATO: o(a) Sr(a). </w:t>
      </w:r>
      <w:r>
        <w:rPr>
          <w:sz w:val="22"/>
        </w:rPr>
        <w:t>XXXXXXXXXXXXXXXXXX</w:t>
      </w:r>
      <w:r>
        <w:rPr>
          <w:rFonts w:ascii="Times New Roman" w:hAnsi="Times New Roman" w:cs="Times New Roman" w:eastAsia="Times New Roman"/>
          <w:sz w:val="22"/>
        </w:rPr>
        <w:t>,.</w:t>
      </w:r>
    </w:p>
    <w:p>
      <w:pPr>
        <w:jc w:val="both"/>
        <w:widowControl/>
        <w:ind w:left="60" w:right="45" w:hanging="15"/>
        <w:spacing w:after="45"/>
      </w:pPr>
      <w:r>
        <w:rPr>
          <w:rFonts w:ascii="Times New Roman" w:hAnsi="Times New Roman" w:cs="Times New Roman" w:eastAsia="Times New Roman"/>
          <w:sz w:val="22"/>
        </w:rPr>
        <w:t/>
      </w:r>
    </w:p>
    <w:p>
      <w:pPr>
        <w:jc w:val="both"/>
        <w:widowControl/>
        <w:ind w:left="60" w:right="45" w:hanging="15"/>
        <w:spacing w:after="45"/>
        <w:shd w:val="clear" w:color="auto" w:fill="0D0D0D"/>
      </w:pPr>
      <w:r>
        <w:rPr>
          <w:b/>
          <w:sz w:val="22"/>
          <w:color w:val="FFFFFF"/>
        </w:rPr>
        <w:t>CLÁUSULA QUARTA – DA DOCUMENTAÇÃO CONTRATUAL</w:t>
      </w:r>
    </w:p>
    <w:p>
      <w:pPr>
        <w:jc w:val="both"/>
        <w:widowControl/>
        <w:ind w:left="60" w:right="45" w:hanging="15"/>
        <w:spacing w:after="45"/>
      </w:pPr>
      <w:r>
        <w:rPr>
          <w:b/>
          <w:sz w:val="22"/>
        </w:rPr>
        <w:t>I –</w:t>
      </w:r>
      <w:r>
        <w:rPr>
          <w:sz w:val="22"/>
        </w:rPr>
        <w:t xml:space="preserve"> Ficam integrados a este contrato, independente de transcrição, os seguintes documentos cujos teores são de conhecimento da CONTRATADA: atos convocatórios, edital de licitação, projetos, especificações técnicas, memoriais, bem como a proposta, planilha de serviços, da proponente vencedora, parecer de julgamento e legislação pertinente à espécie.</w:t>
      </w:r>
    </w:p>
    <w:p>
      <w:pPr>
        <w:jc w:val="both"/>
        <w:widowControl/>
        <w:ind w:left="60" w:right="45" w:hanging="15"/>
        <w:spacing w:after="45"/>
      </w:pPr>
      <w:r>
        <w:rPr>
          <w:sz w:val="22"/>
          <w:color w:val="FFFFFF"/>
        </w:rPr>
        <w:t/>
      </w:r>
    </w:p>
    <w:p>
      <w:pPr>
        <w:jc w:val="both"/>
        <w:widowControl/>
        <w:ind w:left="60" w:right="45" w:hanging="15"/>
        <w:spacing w:after="45"/>
        <w:shd w:val="clear" w:color="auto" w:fill="0D0D0D"/>
      </w:pPr>
      <w:r>
        <w:rPr>
          <w:b/>
          <w:sz w:val="22"/>
          <w:color w:val="FFFFFF"/>
        </w:rPr>
        <w:t>CLÁUSULA QUINTA – DO VALOR</w:t>
      </w:r>
    </w:p>
    <w:p>
      <w:pPr>
        <w:jc w:val="both"/>
        <w:widowControl/>
        <w:ind w:right="45"/>
        <w:spacing w:after="45"/>
        <w:numPr>
          <w:ilvl w:val="0"/>
          <w:numId w:val="40"/>
        </w:numPr>
      </w:pPr>
      <w:r/>
      <w:r>
        <w:rPr>
          <w:sz w:val="22"/>
        </w:rPr>
        <w:t>–</w:t>
      </w:r>
      <w:r>
        <w:rPr>
          <w:b/>
          <w:sz w:val="22"/>
        </w:rPr>
        <w:t xml:space="preserve"> </w:t>
      </w:r>
      <w:r>
        <w:rPr>
          <w:sz w:val="22"/>
        </w:rPr>
        <w:t>O preço global para a execução do objeto deste contrato é de R$ ___________________ (valor por escrito), daqui por diante denominado “VALOR CONTRATUAL”;</w:t>
      </w:r>
    </w:p>
    <w:p>
      <w:pPr>
        <w:jc w:val="both"/>
        <w:widowControl/>
        <w:ind w:right="45"/>
        <w:spacing w:after="45"/>
        <w:numPr>
          <w:ilvl w:val="0"/>
          <w:numId w:val="40"/>
        </w:numPr>
      </w:pPr>
      <w:r/>
      <w:r>
        <w:rPr>
          <w:b/>
          <w:sz w:val="22"/>
        </w:rPr>
        <w:t xml:space="preserve">– </w:t>
      </w:r>
      <w:r>
        <w:rPr>
          <w:sz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que sejam necessários ao cumprimento integral do objeto da contratação; III – O valor acima é meramente estimativo, de forma que os pagamentos devidos à CONTRATADA dependerão dos quantitativos efetivamente fornecidos e prestados.</w:t>
      </w:r>
    </w:p>
    <w:p>
      <w:pPr>
        <w:jc w:val="both"/>
        <w:widowControl/>
        <w:ind w:left="60" w:right="45"/>
        <w:spacing w:after="45"/>
      </w:pPr>
      <w:r>
        <w:rPr>
          <w:rFonts w:ascii="Times New Roman" w:hAnsi="Times New Roman" w:cs="Times New Roman" w:eastAsia="Times New Roman"/>
          <w:sz w:val="22"/>
          <w:color w:val="FFFFFF"/>
        </w:rPr>
        <w:t/>
      </w:r>
    </w:p>
    <w:p>
      <w:pPr>
        <w:jc w:val="both"/>
        <w:widowControl/>
        <w:spacing w:after="45"/>
        <w:shd w:val="clear" w:color="auto" w:fill="0D0D0D"/>
        <w:tabs>
          <w:tab w:val="center" w:pos="1590"/>
          <w:tab w:val="center" w:pos="2145"/>
          <w:tab w:val="center" w:pos="2505"/>
          <w:tab w:val="center" w:pos="3150"/>
          <w:tab w:val="center" w:pos="3795"/>
          <w:tab w:val="center" w:pos="4650"/>
          <w:tab w:val="center" w:pos="5565"/>
          <w:tab w:val="center" w:pos="6435"/>
          <w:tab w:val="center" w:pos="7155"/>
          <w:tab w:val="center" w:pos="7530"/>
          <w:tab w:val="center" w:pos="8835"/>
          <w:tab w:val="right" w:pos="10320"/>
        </w:tabs>
      </w:pPr>
      <w:r>
        <w:rPr>
          <w:b/>
          <w:sz w:val="22"/>
          <w:color w:val="FFFFFF"/>
        </w:rPr>
        <w:t>CLÁUSULA SEXTA – DO PRAZO DE EXECUÇÃO DOS SERVIÇOS E DA RESPONSABILIDADE DA FISCALIZAÇÃO</w:t>
      </w:r>
    </w:p>
    <w:p>
      <w:pPr>
        <w:jc w:val="both"/>
        <w:widowControl/>
        <w:ind w:left="60" w:right="45" w:hanging="15"/>
        <w:spacing w:after="45"/>
      </w:pPr>
      <w:r>
        <w:rPr>
          <w:b/>
          <w:sz w:val="22"/>
        </w:rPr>
        <w:t>I –</w:t>
      </w:r>
      <w:r>
        <w:rPr>
          <w:sz w:val="22"/>
        </w:rPr>
        <w:t xml:space="preserve"> A CONTRATADA obriga-se a entregar ao CONTRATANTE o objeto deste Contrato, inteiramente concluídos em condições de aceitação e de utilização em até </w:t>
      </w:r>
      <w:r>
        <w:rPr>
          <w:b/>
          <w:sz w:val="22"/>
        </w:rPr>
        <w:t>XX (xxxxxxxxxx) dias</w:t>
      </w:r>
      <w:r>
        <w:rPr>
          <w:sz w:val="22"/>
        </w:rPr>
        <w:t>, podendo ser prorrogado por igual período a critério da CONTRATANTE, contados a partir da data da emissão da Ordem de Serviço, observado o disposto na cláusula décima sétima, parágrafo terceiro do presente contrato.</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SÉTIMA – DA VIGÊNCIA E DA PRORROGAÇÃO</w:t>
      </w:r>
    </w:p>
    <w:p>
      <w:pPr>
        <w:jc w:val="both"/>
        <w:widowControl/>
        <w:ind w:left="60" w:right="45" w:hanging="15"/>
        <w:spacing w:after="45"/>
      </w:pPr>
      <w:r>
        <w:rPr>
          <w:b/>
          <w:sz w:val="22"/>
        </w:rPr>
        <w:t>I –</w:t>
      </w:r>
      <w:r>
        <w:rPr>
          <w:sz w:val="22"/>
        </w:rPr>
        <w:t xml:space="preserve"> O prazo de vigência da contratação será de até</w:t>
      </w:r>
      <w:r>
        <w:rPr>
          <w:b/>
          <w:sz w:val="22"/>
        </w:rPr>
        <w:t xml:space="preserve"> XX</w:t>
      </w:r>
      <w:r>
        <w:rPr>
          <w:sz w:val="22"/>
        </w:rPr>
        <w:t xml:space="preserve"> (</w:t>
      </w:r>
      <w:r>
        <w:rPr>
          <w:b/>
          <w:sz w:val="22"/>
        </w:rPr>
        <w:t>xxxxxxxx</w:t>
      </w:r>
      <w:r>
        <w:rPr>
          <w:sz w:val="22"/>
        </w:rPr>
        <w:t xml:space="preserve">) dias, tendo início </w:t>
      </w:r>
      <w:r>
        <w:rPr>
          <w:b/>
          <w:sz w:val="22"/>
        </w:rPr>
        <w:t>em ___ de _____ de 20____ e com término em ____ de _____ de 20____</w:t>
      </w:r>
      <w:r>
        <w:rPr>
          <w:sz w:val="22"/>
        </w:rPr>
        <w:t>, sendo, contudo, prorrogável por igual período, por conveniência e oportunidade da Administração, na forma dos artigos 105 e 111, da Lei Federal nº 14.133/2021.</w:t>
      </w:r>
    </w:p>
    <w:p>
      <w:pPr>
        <w:jc w:val="both"/>
        <w:widowControl/>
        <w:ind w:left="60" w:right="45" w:hanging="15"/>
        <w:spacing w:after="45"/>
      </w:pPr>
      <w:r>
        <w:rPr>
          <w:b/>
          <w:sz w:val="22"/>
        </w:rPr>
        <w:t>Parágrafo Primeiro:</w:t>
      </w:r>
      <w:r>
        <w:rPr>
          <w:sz w:val="22"/>
        </w:rPr>
        <w:t xml:space="preserve"> A prorrogação de que trata esta cláusula é condicionada ao ateste, pela autoridade competente, de que as condições e os preços permanecem vantajosos para a Administração Pública, permitida a negociação com a Contratada.</w:t>
      </w:r>
    </w:p>
    <w:p>
      <w:pPr>
        <w:jc w:val="both"/>
        <w:widowControl/>
        <w:ind w:right="45"/>
        <w:spacing w:after="45"/>
        <w:numPr>
          <w:ilvl w:val="0"/>
          <w:numId w:val="75"/>
        </w:numPr>
      </w:pPr>
      <w:r/>
      <w:r>
        <w:rPr>
          <w:sz w:val="22"/>
        </w:rPr>
        <w:t xml:space="preserve"> Em caso de prorrogação, deverá ser analisado se a Contratada mantém todas as condições de habilitação e qualificação exigidas na contratação, de acordo com o Artigo 92, inciso XVI, da Lei Federal nº 14.133/2021.</w:t>
      </w:r>
    </w:p>
    <w:p>
      <w:pPr>
        <w:jc w:val="both"/>
        <w:widowControl/>
        <w:ind w:right="45"/>
        <w:spacing w:after="45"/>
        <w:numPr>
          <w:ilvl w:val="0"/>
          <w:numId w:val="75"/>
        </w:numPr>
      </w:pPr>
      <w:r/>
      <w:r>
        <w:rPr>
          <w:sz w:val="22"/>
        </w:rPr>
        <w:t xml:space="preserve"> Deverá ser juntado relatório por parte do Contratante que discorra sobre a execução do contrato, com informações deque os serviços tenham sido prestados regularmente.</w:t>
      </w:r>
    </w:p>
    <w:p>
      <w:pPr>
        <w:jc w:val="both"/>
        <w:widowControl/>
        <w:ind w:right="45"/>
        <w:spacing w:after="45"/>
        <w:numPr>
          <w:ilvl w:val="0"/>
          <w:numId w:val="75"/>
        </w:numPr>
      </w:pPr>
      <w:r/>
      <w:r>
        <w:rPr>
          <w:sz w:val="22"/>
        </w:rPr>
        <w:t xml:space="preserve"> A Administração também juntará justificativa e motivo por escrito, de que a mesma mantém interesse na realização do serviço.</w:t>
      </w:r>
    </w:p>
    <w:p>
      <w:pPr>
        <w:jc w:val="both"/>
        <w:widowControl/>
        <w:ind w:right="45"/>
        <w:spacing w:after="45"/>
        <w:numPr>
          <w:ilvl w:val="0"/>
          <w:numId w:val="75"/>
        </w:numPr>
      </w:pPr>
      <w:r/>
      <w:r>
        <w:rPr>
          <w:sz w:val="22"/>
        </w:rPr>
        <w:t xml:space="preserve"> Deverá haver manifestação expressa da Contratada informando o interesse na prorrogação.</w:t>
      </w:r>
    </w:p>
    <w:p>
      <w:pPr>
        <w:jc w:val="both"/>
        <w:widowControl/>
        <w:ind w:right="45"/>
        <w:spacing w:after="45"/>
        <w:numPr>
          <w:ilvl w:val="0"/>
          <w:numId w:val="75"/>
        </w:numPr>
      </w:pPr>
      <w:r/>
      <w:r>
        <w:rPr>
          <w:sz w:val="22"/>
        </w:rPr>
        <w:t xml:space="preserve"> A Contratada não tem direito subjetivo à prorrogação contratual.</w:t>
      </w:r>
    </w:p>
    <w:p>
      <w:pPr>
        <w:jc w:val="both"/>
        <w:widowControl/>
        <w:ind w:right="45"/>
        <w:spacing w:after="45"/>
        <w:numPr>
          <w:ilvl w:val="0"/>
          <w:numId w:val="75"/>
        </w:numPr>
      </w:pPr>
      <w:r/>
      <w:r>
        <w:rPr>
          <w:sz w:val="22"/>
        </w:rPr>
        <w:t xml:space="preserve"> A prorrogação do presente contrato deverá ser promovida mediante celebração de termo aditivo.</w:t>
      </w:r>
    </w:p>
    <w:p>
      <w:pPr>
        <w:jc w:val="both"/>
        <w:widowControl/>
        <w:ind w:right="45"/>
        <w:spacing w:after="45"/>
        <w:numPr>
          <w:ilvl w:val="0"/>
          <w:numId w:val="75"/>
        </w:numPr>
      </w:pPr>
      <w:r/>
      <w:r>
        <w:rPr>
          <w:sz w:val="22"/>
        </w:rPr>
        <w:t xml:space="preserve"> Nas prorrogações contratuais, os custos não renováveis já pagos ou amortizados ao longo do primeiro período de vigência da contratação deverão ser reduzidos ou eliminados como condição para a renovação.</w:t>
      </w:r>
    </w:p>
    <w:p>
      <w:pPr>
        <w:jc w:val="both"/>
        <w:widowControl/>
        <w:ind w:right="45"/>
        <w:spacing w:after="45"/>
        <w:numPr>
          <w:ilvl w:val="0"/>
          <w:numId w:val="75"/>
        </w:numPr>
      </w:pPr>
      <w:r/>
      <w:r>
        <w:rPr>
          <w:sz w:val="22"/>
        </w:rPr>
        <w:t xml:space="preserve"> O contrato não poderá ser prorrogado quando a Contratada tiver sido penalizada nas sanções de declaração de inidoneidade ou impedimento de licitar e contratar com o poder público, observada as abrangências de aplicação.</w:t>
      </w:r>
    </w:p>
    <w:p>
      <w:pPr>
        <w:jc w:val="both"/>
        <w:widowControl/>
        <w:ind w:left="60" w:right="45" w:hanging="15"/>
        <w:spacing w:after="45"/>
      </w:pPr>
      <w:r>
        <w:rPr>
          <w:b/>
          <w:sz w:val="22"/>
        </w:rPr>
        <w:t>Parágrafo Segundo:</w:t>
      </w:r>
      <w:r>
        <w:rPr>
          <w:sz w:val="22"/>
        </w:rPr>
        <w:t xml:space="preserve"> A Administração terá a opção de extinguir o contrato, sem ônus, quando não dispuser de créditos orçamentários para sua continuidade ou quando entender que o contrato não mais lhe oferece vantagem, conforme artigo 106, inciso III e seus parágrafos, da Lei Federal nº 14.133/2021.</w:t>
      </w:r>
    </w:p>
    <w:p>
      <w:pPr>
        <w:jc w:val="both"/>
        <w:widowControl/>
        <w:ind w:left="60" w:right="45" w:hanging="15"/>
        <w:spacing w:after="45"/>
      </w:pPr>
      <w:r>
        <w:rPr>
          <w:b/>
          <w:sz w:val="22"/>
        </w:rPr>
        <w:t>Parágrafo Terceiro:</w:t>
      </w:r>
      <w:r>
        <w:rPr>
          <w:sz w:val="22"/>
        </w:rPr>
        <w:t xml:space="preserve"> A critério da Administração, o objeto da presente licitação poderá sofrer acréscimos ou supressões, de acordo com o art. 125 da Lei Federal nº 14.133/21.</w:t>
      </w:r>
    </w:p>
    <w:p>
      <w:pPr>
        <w:jc w:val="both"/>
        <w:widowControl/>
        <w:ind w:left="60" w:right="45" w:hanging="15"/>
        <w:spacing w:after="45"/>
      </w:pPr>
      <w:r>
        <w:rPr>
          <w:sz w:val="22"/>
          <w:color w:val="FFFFFF"/>
        </w:rPr>
        <w:t/>
      </w:r>
    </w:p>
    <w:p>
      <w:pPr>
        <w:jc w:val="both"/>
        <w:widowControl/>
        <w:ind w:left="60" w:right="45" w:hanging="15"/>
        <w:spacing w:after="45"/>
        <w:shd w:val="clear" w:color="auto" w:fill="0D0D0D"/>
      </w:pPr>
      <w:r>
        <w:rPr>
          <w:b/>
          <w:sz w:val="22"/>
          <w:color w:val="FFFFFF"/>
        </w:rPr>
        <w:t>CLÁUSULA OITAVA – DO INÍCIO DOS SERVIÇOS</w:t>
      </w:r>
    </w:p>
    <w:p>
      <w:pPr>
        <w:jc w:val="both"/>
        <w:widowControl/>
        <w:ind w:left="60" w:right="45" w:hanging="15"/>
        <w:spacing w:after="45"/>
      </w:pPr>
      <w:r>
        <w:rPr>
          <w:b/>
          <w:sz w:val="22"/>
        </w:rPr>
        <w:t>I –</w:t>
      </w:r>
      <w:r>
        <w:rPr>
          <w:sz w:val="22"/>
        </w:rPr>
        <w:t xml:space="preserve"> </w:t>
      </w:r>
      <w:r>
        <w:rPr>
          <w:b/>
        </w:rPr>
        <w:t>O PRAZO PARA INÍCIO DA OBRA SERÁ A PARTIR DO 11º DIA DA ASSINATURA DO TERMO DE CONTRATO.Z</w:t>
      </w:r>
    </w:p>
    <w:p>
      <w:pPr>
        <w:jc w:val="both"/>
        <w:widowControl/>
        <w:ind w:left="60" w:right="45" w:hanging="15"/>
        <w:spacing w:after="45"/>
        <w:shd w:val="clear" w:color="auto" w:fill="0D0D0D"/>
      </w:pPr>
      <w:r>
        <w:rPr>
          <w:b/>
          <w:sz w:val="22"/>
          <w:color w:val="FFFFFF"/>
        </w:rPr>
        <w:t>CLÁUSULA NONA – DAS OBRAS PROVISÓRIAS</w:t>
      </w:r>
    </w:p>
    <w:p>
      <w:pPr>
        <w:jc w:val="both"/>
        <w:widowControl/>
        <w:ind w:left="60" w:right="45" w:hanging="15"/>
        <w:spacing w:after="45"/>
      </w:pPr>
      <w:r>
        <w:rPr>
          <w:b/>
          <w:sz w:val="22"/>
        </w:rPr>
        <w:t>I –</w:t>
      </w:r>
      <w:r>
        <w:rPr>
          <w:sz w:val="22"/>
        </w:rPr>
        <w:t xml:space="preserve"> A CONTRATADA deve submeter à fiscalização, os desenhos, especificações técnicas e memoriais propostos para as obras provisórias, que deverá aprová-los caso estejam adequados ao objeto deste contrato.</w:t>
      </w:r>
    </w:p>
    <w:p>
      <w:pPr>
        <w:jc w:val="both"/>
        <w:widowControl/>
        <w:ind w:left="60" w:right="45" w:hanging="15"/>
        <w:spacing w:after="45"/>
      </w:pPr>
      <w:r>
        <w:rPr>
          <w:b/>
          <w:sz w:val="22"/>
        </w:rPr>
        <w:t>Parágrafo Primeiro:</w:t>
      </w:r>
      <w:r>
        <w:rPr>
          <w:sz w:val="22"/>
        </w:rPr>
        <w:t xml:space="preserve"> A CONTRATADA é responsável pelo projeto das obras provisórias.</w:t>
      </w:r>
    </w:p>
    <w:p>
      <w:pPr>
        <w:jc w:val="both"/>
        <w:widowControl/>
        <w:ind w:left="60" w:right="45" w:hanging="15"/>
        <w:spacing w:after="45"/>
      </w:pPr>
      <w:r>
        <w:rPr>
          <w:b/>
          <w:sz w:val="22"/>
        </w:rPr>
        <w:t>Parágrafo Segundo:</w:t>
      </w:r>
      <w:r>
        <w:rPr>
          <w:sz w:val="22"/>
        </w:rPr>
        <w:t xml:space="preserve"> A aprovação pela fiscalização não altera as responsabilidades da CONTRATADA pelo projeto de obras provisórias.</w:t>
      </w:r>
    </w:p>
    <w:p>
      <w:pPr>
        <w:jc w:val="both"/>
        <w:widowControl/>
        <w:ind w:left="60" w:right="45" w:hanging="15"/>
        <w:spacing w:after="45"/>
      </w:pPr>
      <w:r>
        <w:rPr>
          <w:b/>
          <w:sz w:val="22"/>
        </w:rPr>
        <w:t>Parágrafo Terceiro:</w:t>
      </w:r>
      <w:r>
        <w:rPr>
          <w:sz w:val="22"/>
        </w:rPr>
        <w:t xml:space="preserve"> A CONTRATADA deve obter a aprovação de terceiros para o seu projeto de obras provisórias, onde requeridas.</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DÉCIMA – DA PRORROGAÇÃO DE PRAZO</w:t>
      </w:r>
    </w:p>
    <w:p>
      <w:pPr>
        <w:jc w:val="both"/>
        <w:widowControl/>
        <w:ind w:left="60" w:right="45" w:hanging="15"/>
        <w:spacing w:after="45"/>
      </w:pPr>
      <w:r>
        <w:rPr>
          <w:b/>
          <w:sz w:val="22"/>
        </w:rPr>
        <w:t>I –</w:t>
      </w:r>
      <w:r>
        <w:rPr>
          <w:sz w:val="22"/>
        </w:rPr>
        <w:t xml:space="preserve"> Somente será admitida alteração do prazo com anuência expressa do CONTRATANTE, quando:</w:t>
      </w:r>
    </w:p>
    <w:p>
      <w:pPr>
        <w:jc w:val="both"/>
        <w:widowControl/>
        <w:ind w:left="285" w:right="45" w:hanging="15"/>
        <w:spacing w:after="45"/>
      </w:pPr>
      <w:r>
        <w:rPr>
          <w:b/>
          <w:sz w:val="22"/>
        </w:rPr>
        <w:t>(a)</w:t>
      </w:r>
      <w:r>
        <w:rPr>
          <w:sz w:val="22"/>
        </w:rPr>
        <w:t xml:space="preserve"> ocorrer alteração do projeto e/ou especificações pelo CONTRATANTE; </w:t>
      </w:r>
    </w:p>
    <w:p>
      <w:pPr>
        <w:jc w:val="both"/>
        <w:widowControl/>
        <w:ind w:left="285" w:right="45" w:hanging="15"/>
        <w:spacing w:after="45"/>
      </w:pPr>
      <w:r>
        <w:rPr>
          <w:b/>
          <w:sz w:val="22"/>
        </w:rPr>
        <w:t>(b)</w:t>
      </w:r>
      <w:r>
        <w:rPr>
          <w:sz w:val="22"/>
        </w:rPr>
        <w:t xml:space="preserve"> houver serviços extraordinários que alterem as quantidades; </w:t>
      </w:r>
    </w:p>
    <w:p>
      <w:pPr>
        <w:jc w:val="both"/>
        <w:widowControl/>
        <w:ind w:left="285" w:right="45" w:hanging="15"/>
        <w:spacing w:after="45"/>
      </w:pPr>
      <w:r>
        <w:rPr>
          <w:b/>
          <w:sz w:val="22"/>
        </w:rPr>
        <w:t>(c)</w:t>
      </w:r>
      <w:r>
        <w:rPr>
          <w:sz w:val="22"/>
        </w:rPr>
        <w:t xml:space="preserve"> houver serviços complementares, obedecidos os dispositivos regulamentares; </w:t>
      </w:r>
    </w:p>
    <w:p>
      <w:pPr>
        <w:jc w:val="both"/>
        <w:widowControl/>
        <w:ind w:left="285" w:right="45" w:hanging="15"/>
        <w:spacing w:after="45"/>
      </w:pPr>
      <w:r>
        <w:rPr>
          <w:b/>
          <w:sz w:val="22"/>
        </w:rPr>
        <w:t>(d)</w:t>
      </w:r>
      <w:r>
        <w:rPr>
          <w:sz w:val="22"/>
        </w:rPr>
        <w:t xml:space="preserve"> ocorrer atraso no fornecimento de dados informativos, materiais e qualquer subsídio à obra do lote, que estejam sob responsabilidade expressa do CONTRATANTE; </w:t>
      </w:r>
    </w:p>
    <w:p>
      <w:pPr>
        <w:jc w:val="both"/>
        <w:widowControl/>
        <w:ind w:left="285" w:right="45" w:hanging="15"/>
        <w:spacing w:after="45"/>
      </w:pPr>
      <w:r>
        <w:rPr>
          <w:b/>
          <w:sz w:val="22"/>
        </w:rPr>
        <w:t>(e)</w:t>
      </w:r>
      <w:r>
        <w:rPr>
          <w:sz w:val="22"/>
        </w:rPr>
        <w:t xml:space="preserve"> ocorrer ato ou atos do CONTRATANTE; </w:t>
      </w:r>
    </w:p>
    <w:p>
      <w:pPr>
        <w:jc w:val="both"/>
        <w:widowControl/>
        <w:ind w:left="285" w:right="45" w:hanging="15"/>
        <w:spacing w:after="45"/>
      </w:pPr>
      <w:r>
        <w:rPr>
          <w:b/>
          <w:sz w:val="22"/>
        </w:rPr>
        <w:t>(f)</w:t>
      </w:r>
      <w:r>
        <w:rPr>
          <w:sz w:val="22"/>
        </w:rPr>
        <w:t xml:space="preserve"> ocorrer ato ou atos de terceiros que interfiram no prazo de execução ou outras devidamente justificados e aceitos pelo CONTRATANTE; </w:t>
      </w:r>
    </w:p>
    <w:p>
      <w:pPr>
        <w:jc w:val="both"/>
        <w:widowControl/>
        <w:ind w:left="285" w:right="45" w:hanging="15"/>
        <w:spacing w:after="45"/>
      </w:pPr>
      <w:r>
        <w:rPr>
          <w:b/>
          <w:sz w:val="22"/>
        </w:rPr>
        <w:t>(g)</w:t>
      </w:r>
      <w:r>
        <w:rPr>
          <w:sz w:val="22"/>
        </w:rPr>
        <w:t xml:space="preserve"> ocorrer por motivos de força maior ou caso fortuito, entre outros, “lock out”, perturbações industriais, guerras, atos de inimigo público, bloqueio, insurreições, epidemias, pandemias, quarentenas, avalanches, terremotos, enchentes, explosões ou quaisquer outros acontecimentos semelhantes e equivalentes a estes, desde que estes fatos tenham influência direta sobre a execução da obra e que fujam ao controle seguro de qualquer das partes interessadas, as quais não consigam impedir sua ocorrência. A expressão “força maior” deve também, incluir qualquer atraso causado por legislação, regulamentação ou atos governamentais, por ação ou omissão do CONTRATANTE, que venham causar atrasos à CONTRATADA. Nenhuma parte será responsável perante a outra pelos atrasos ocasionados por motivo de força maior.</w:t>
      </w:r>
    </w:p>
    <w:p>
      <w:pPr>
        <w:jc w:val="both"/>
        <w:widowControl/>
        <w:ind w:left="60" w:right="45" w:hanging="15"/>
        <w:spacing w:after="45"/>
      </w:pPr>
      <w:r>
        <w:rPr>
          <w:b/>
          <w:sz w:val="22"/>
        </w:rPr>
        <w:t>Parágrafo Primeiro:</w:t>
      </w:r>
      <w:r>
        <w:rPr>
          <w:sz w:val="22"/>
        </w:rPr>
        <w:t xml:space="preserve"> Enquanto perdurarem os motivos da letra “g” ou quando ocorrer a suspensão do contrato por ordem do CONTRATANTE, cessam os deveres e responsabilidades de ambas as partes, em relação ao contrato. Os atrasos provenientes de greves ocorridas na CONTRATADA ou atrasos por parte de suas eventuais subcontratadas não poderão ser alegados como decorrentes de força maior.</w:t>
      </w:r>
    </w:p>
    <w:p>
      <w:pPr>
        <w:jc w:val="both"/>
        <w:widowControl/>
        <w:ind w:left="60" w:right="45" w:hanging="15"/>
        <w:spacing w:after="45"/>
      </w:pPr>
      <w:r>
        <w:rPr>
          <w:b/>
          <w:sz w:val="22"/>
        </w:rPr>
        <w:t>Parágrafo Segundo:</w:t>
      </w:r>
      <w:r>
        <w:rPr>
          <w:sz w:val="22"/>
        </w:rPr>
        <w:t xml:space="preserve"> Para que a CONTRATADA possa invocar os fatos indicados no caput como capazes de justificar quaisquer atrasos, os mesmos deverão ser comunicados ao CONTRATANTE por escrito e devidamente comprovados, no prazo máximo de 48 horas do início da referida ocorrência.</w:t>
      </w:r>
    </w:p>
    <w:p>
      <w:pPr>
        <w:jc w:val="both"/>
        <w:widowControl/>
        <w:ind w:left="60" w:right="45" w:hanging="15"/>
        <w:spacing w:after="45"/>
      </w:pPr>
      <w:r>
        <w:rPr>
          <w:b/>
          <w:sz w:val="22"/>
        </w:rPr>
        <w:t>Parágrafo Terceiro:</w:t>
      </w:r>
      <w:r>
        <w:rPr>
          <w:sz w:val="22"/>
        </w:rPr>
        <w:t xml:space="preserve"> Os motivos invocados pela CONTRATADA serão julgados pelo CONTRATANTE após a constatação da veracidade da sua ocorrência.</w:t>
      </w:r>
    </w:p>
    <w:p>
      <w:pPr>
        <w:jc w:val="both"/>
        <w:widowControl/>
        <w:ind w:left="60" w:right="45" w:hanging="15"/>
        <w:spacing w:after="45"/>
      </w:pPr>
      <w:r>
        <w:rPr>
          <w:b/>
          <w:sz w:val="22"/>
        </w:rPr>
        <w:t>Parágrafo Quarto:</w:t>
      </w:r>
      <w:r>
        <w:rPr>
          <w:sz w:val="22"/>
        </w:rPr>
        <w:t xml:space="preserve"> Após a aceitação dos motivos invocados pela CONTRATADA poderá haver acordo entre as partes para uma eventual prorrogação do prazo.</w:t>
      </w:r>
    </w:p>
    <w:p>
      <w:pPr>
        <w:jc w:val="both"/>
        <w:widowControl/>
        <w:ind w:left="60" w:right="45" w:hanging="15"/>
        <w:spacing w:after="45"/>
      </w:pPr>
      <w:r>
        <w:rPr>
          <w:b/>
          <w:sz w:val="22"/>
        </w:rPr>
        <w:t>Parágrafo Quinto:</w:t>
      </w:r>
      <w:r>
        <w:rPr>
          <w:sz w:val="22"/>
        </w:rPr>
        <w:t xml:space="preserve"> Caso a CONTRATADA não execute, total ou parcialmente, qualquer dos itens ou serviços previstos no projeto, especificações técnicas, memoriais e demais documentos integrantes da licitação, o CONTRATANTE reservar-se o direito de executá-los diretamente ou através de terceiros. Ocorrendo a hipótese mencionada, a CONTRATADA responderá pelos custos, através de glosas de créditos e/ou garantias, e/ou pagamento direto ao CONTRATANTE, inclusive será declarada inidônea, ficando impedida de firmar contrato pelo prazo de acordo com a cláusula vigésima nona do presente contrato, conforme gravidade da infração e dos danos decorrentes.</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DÉCIMA PRIMEIRA – DA EMISSÃO DE NOTA FISCAL/FATURA/RECIBO</w:t>
      </w:r>
    </w:p>
    <w:p>
      <w:pPr>
        <w:jc w:val="both"/>
        <w:widowControl/>
        <w:ind w:left="60" w:right="45" w:hanging="15"/>
        <w:spacing w:after="45"/>
      </w:pPr>
      <w:r>
        <w:rPr>
          <w:b/>
          <w:sz w:val="22"/>
        </w:rPr>
        <w:t>I –</w:t>
      </w:r>
      <w:r>
        <w:rPr>
          <w:sz w:val="22"/>
        </w:rPr>
        <w:t xml:space="preserve"> A CONTRATADA, quando da emissão de notas fiscais/faturas/recibo, deverá fazer constar o Processo de Concorrência nº X/202X e o Contrato nº _______/202X – PMG.</w:t>
      </w:r>
    </w:p>
    <w:p>
      <w:pPr>
        <w:jc w:val="both"/>
        <w:widowControl/>
        <w:ind w:left="60" w:right="45" w:hanging="15"/>
        <w:spacing w:after="45"/>
      </w:pPr>
      <w:r>
        <w:rPr>
          <w:b/>
          <w:sz w:val="22"/>
        </w:rPr>
        <w:t>Parágrafo Único:</w:t>
      </w:r>
      <w:r>
        <w:rPr>
          <w:sz w:val="22"/>
        </w:rPr>
        <w:t xml:space="preserve"> As notas fiscais/faturas ou os recibos deverão ser emitidos em nome do MUNICÍPIO DE GUAIRAÇÁ-PR, inscrito no CNPJ nº 76.238.443/0001-87, com as informações contidas na Nota de Empenho.</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DÉCIMA SEGUNDA – DA FORMA DE PAGAMENTO</w:t>
      </w:r>
    </w:p>
    <w:p>
      <w:pPr>
        <w:jc w:val="both"/>
        <w:widowControl/>
        <w:ind w:left="60" w:right="45" w:hanging="15"/>
        <w:spacing w:after="45"/>
      </w:pPr>
      <w:r>
        <w:rPr>
          <w:b/>
          <w:sz w:val="22"/>
        </w:rPr>
        <w:t>I –</w:t>
      </w:r>
      <w:r>
        <w:rPr>
          <w:sz w:val="22"/>
        </w:rPr>
        <w:t xml:space="preserve"> O pagamento será realizado por meio de ordem bancária para crédito em banco, agência e contracorrente, a serem indicados pela Contratada.</w:t>
      </w:r>
    </w:p>
    <w:p>
      <w:pPr>
        <w:jc w:val="both"/>
        <w:widowControl/>
        <w:ind w:left="60" w:right="45" w:hanging="15"/>
        <w:spacing w:after="45"/>
      </w:pPr>
      <w:r>
        <w:rPr>
          <w:sz w:val="22"/>
          <w:color w:val="FFFFFF"/>
        </w:rPr>
        <w:t/>
      </w:r>
    </w:p>
    <w:p>
      <w:pPr>
        <w:jc w:val="both"/>
        <w:widowControl/>
        <w:ind w:left="60" w:right="45" w:hanging="15"/>
        <w:spacing w:after="45"/>
        <w:shd w:val="clear" w:color="auto" w:fill="0D0D0D"/>
      </w:pPr>
      <w:r>
        <w:rPr>
          <w:b/>
          <w:sz w:val="22"/>
          <w:color w:val="FFFFFF"/>
        </w:rPr>
        <w:t>CLÁUSULA DÉCIMA TERCEIRA – DO PRAZO E DAS CONDIÇÕES DE PAGAMENTO</w:t>
      </w:r>
    </w:p>
    <w:p>
      <w:pPr>
        <w:jc w:val="both"/>
        <w:widowControl/>
        <w:ind w:right="45"/>
        <w:spacing w:after="45"/>
        <w:numPr>
          <w:ilvl w:val="0"/>
          <w:numId w:val="55"/>
        </w:numPr>
      </w:pPr>
      <w:r/>
      <w:r>
        <w:rPr>
          <w:b/>
          <w:sz w:val="22"/>
        </w:rPr>
        <w:t xml:space="preserve">– </w:t>
      </w:r>
      <w:r>
        <w:rPr>
          <w:sz w:val="22"/>
        </w:rPr>
        <w:t>O pagamento será efetuado em moeda brasileira corrente, em até 30 (trinta) dias, após a apresentação correta da fatura dos serviços executados e documentos pertinentes, desde que atendidas às condições para liberação das parcelas. A primeira medição para fins de emissão de nota fiscal e pagamento só será efetuada após a conclusão dos serviços, porém a contratada deverá iniciar os serviços imediatamente após a assinatura do contrato e emissão da ordem de serviço, com o recebimento da nota fiscal/fatura na Prefeitura Municipal;</w:t>
      </w:r>
    </w:p>
    <w:p>
      <w:pPr>
        <w:jc w:val="both"/>
        <w:widowControl/>
        <w:ind w:right="45"/>
        <w:spacing w:after="45"/>
        <w:numPr>
          <w:ilvl w:val="0"/>
          <w:numId w:val="55"/>
        </w:numPr>
      </w:pPr>
      <w:r/>
      <w:r>
        <w:rPr>
          <w:b/>
          <w:sz w:val="22"/>
        </w:rPr>
        <w:t xml:space="preserve">– </w:t>
      </w:r>
      <w:r>
        <w:rPr>
          <w:sz w:val="22"/>
        </w:rPr>
        <w:t>Na emissão das notas fiscais para fins de pagamento a Contratada deverá observar:</w:t>
      </w:r>
    </w:p>
    <w:p>
      <w:pPr>
        <w:jc w:val="both"/>
        <w:widowControl/>
        <w:ind w:left="285" w:right="45" w:hanging="15"/>
        <w:spacing w:after="45"/>
      </w:pPr>
      <w:r>
        <w:rPr>
          <w:b/>
          <w:sz w:val="22"/>
        </w:rPr>
        <w:t>a)</w:t>
      </w:r>
      <w:r>
        <w:rPr>
          <w:sz w:val="22"/>
        </w:rPr>
        <w:t xml:space="preserve"> As regras de retenção do Imposto de Rendas dispostas na Instrução Normativa RFB nº 1.234, de 11 de janeiro de 2012, Instrução Normativa RFB nº 2.145, de 26 de junho de 2023, e alterações posteriores, bem como as disposições previstas na </w:t>
      </w:r>
      <w:r>
        <w:rPr>
          <w:b/>
          <w:sz w:val="22"/>
        </w:rPr>
        <w:t>Lei Municipal nº 16/2009</w:t>
      </w:r>
      <w:r>
        <w:rPr>
          <w:sz w:val="22"/>
        </w:rPr>
        <w:t>, mediante instruções da Secretaria Municipal de Fazenda, sob pena de não aceitação por parte da Contratante.</w:t>
      </w:r>
    </w:p>
    <w:p>
      <w:pPr>
        <w:jc w:val="both"/>
        <w:widowControl/>
        <w:ind w:right="45"/>
        <w:spacing w:after="45"/>
        <w:numPr>
          <w:ilvl w:val="0"/>
          <w:numId w:val="41"/>
        </w:numPr>
      </w:pPr>
      <w:r/>
      <w:r>
        <w:rPr>
          <w:b/>
          <w:sz w:val="22"/>
        </w:rPr>
        <w:t xml:space="preserve">– </w:t>
      </w:r>
      <w:r>
        <w:rPr>
          <w:sz w:val="22"/>
        </w:rPr>
        <w:t xml:space="preserve">Considera-se ocorrido o recebimento da nota fiscal/fatura, quando o órgão contratante atestar a execução do objeto do contrato, por meio de </w:t>
      </w:r>
      <w:r>
        <w:rPr>
          <w:u w:val="single" w:color="000000"/>
          <w:sz w:val="22"/>
        </w:rPr>
        <w:t>Termo de Recebimento ou Recibo</w:t>
      </w:r>
      <w:r>
        <w:rPr>
          <w:sz w:val="22"/>
        </w:rPr>
        <w:t>;</w:t>
      </w:r>
    </w:p>
    <w:p>
      <w:pPr>
        <w:jc w:val="both"/>
        <w:widowControl/>
        <w:ind w:right="45"/>
        <w:spacing w:after="45"/>
        <w:numPr>
          <w:ilvl w:val="0"/>
          <w:numId w:val="41"/>
        </w:numPr>
      </w:pPr>
      <w:r/>
      <w:r>
        <w:rPr>
          <w:b/>
          <w:sz w:val="22"/>
        </w:rPr>
        <w:t xml:space="preserve">– </w:t>
      </w:r>
      <w:r>
        <w:rPr>
          <w:sz w:val="22"/>
        </w:rPr>
        <w:t>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o Contratante;</w:t>
      </w:r>
    </w:p>
    <w:p>
      <w:pPr>
        <w:jc w:val="both"/>
        <w:widowControl/>
        <w:ind w:right="45"/>
        <w:spacing w:after="45"/>
        <w:numPr>
          <w:ilvl w:val="0"/>
          <w:numId w:val="41"/>
        </w:numPr>
      </w:pPr>
      <w:r/>
      <w:r>
        <w:rPr>
          <w:b/>
          <w:sz w:val="22"/>
        </w:rPr>
        <w:t xml:space="preserve">– </w:t>
      </w:r>
      <w:r>
        <w:rPr>
          <w:sz w:val="22"/>
        </w:rPr>
        <w:t>No caso de atraso pelo Contratante, os valores devidos à Contratada serão atualizados monetariamente entre o termo final do prazo de pagamento, até a data de sua efetiva realização, mediante aplicação do índice oficial INPC/IBGE para atualização monetária, nos termos do art. 92, inciso V, da Lei Federal nº 14.133/2021.</w:t>
      </w:r>
    </w:p>
    <w:p>
      <w:pPr>
        <w:jc w:val="both"/>
        <w:widowControl/>
        <w:ind w:left="60" w:right="45" w:hanging="15"/>
        <w:spacing w:after="45"/>
      </w:pPr>
      <w:r>
        <w:rPr>
          <w:b/>
          <w:sz w:val="22"/>
        </w:rPr>
        <w:t>Parágrafo Primeiro:</w:t>
      </w:r>
      <w:r>
        <w:rPr>
          <w:sz w:val="22"/>
        </w:rPr>
        <w:t xml:space="preserve"> A fiscalização procederá mensalmente, a contar da formalização do contrato de empreitada, à medição mensal baseada nos serviços executados, elaborará o boletim de medição, verificará o andamento físico dos serviços e comparará com o estabelecido no cronograma físico-financeiro, para que se permita a elaboração do processo de faturamento.</w:t>
      </w:r>
    </w:p>
    <w:p>
      <w:pPr>
        <w:jc w:val="both"/>
        <w:widowControl/>
        <w:ind w:left="60" w:right="45" w:hanging="15"/>
        <w:spacing w:after="45"/>
      </w:pPr>
      <w:r>
        <w:rPr>
          <w:b/>
          <w:sz w:val="22"/>
        </w:rPr>
        <w:t>Parágrafo Segundo:</w:t>
      </w:r>
      <w:r>
        <w:rPr>
          <w:sz w:val="22"/>
        </w:rPr>
        <w:t xml:space="preserve"> O faturamento de cada parcela mensal deverá ser apresentado, conforme segue, de modo a padronizar condições e forma de apresentação.</w:t>
      </w:r>
    </w:p>
    <w:p>
      <w:pPr>
        <w:jc w:val="both"/>
        <w:widowControl/>
        <w:ind w:left="60" w:right="45" w:hanging="15"/>
        <w:spacing w:after="45"/>
      </w:pPr>
      <w:r>
        <w:rPr>
          <w:b/>
          <w:sz w:val="22"/>
        </w:rPr>
        <w:t>Parágrafo Terceiro:</w:t>
      </w:r>
      <w:r>
        <w:rPr>
          <w:sz w:val="22"/>
        </w:rPr>
        <w:t xml:space="preserve"> Nota Fiscal com discriminação resumida dos serviços executados, período de execução da etapa, número da licitação e termo de contrato de empreitada, observação referente a retenção do INSS (caso o objeto deste contrato se enquadre) e outros dados que julgar convenientes, não apresente rasura e/ou entrelinhas e esteja certificada pelo licitador.</w:t>
      </w:r>
    </w:p>
    <w:p>
      <w:pPr>
        <w:jc w:val="both"/>
        <w:widowControl/>
        <w:ind w:left="60" w:right="45" w:hanging="15"/>
        <w:spacing w:after="45"/>
      </w:pPr>
      <w:r>
        <w:rPr>
          <w:b/>
          <w:sz w:val="22"/>
        </w:rPr>
        <w:t>Parágrafo Quarto:</w:t>
      </w:r>
      <w:r>
        <w:rPr>
          <w:sz w:val="22"/>
        </w:rPr>
        <w:t xml:space="preserve"> Fatura com discriminação resumida dos serviços executados, período de execução da etapa, número da licitação e do termo de contrato de empreitada e outros dados que julgar convenientes, não apresente rasura e/ou entrelinhas e esteja certificada pelo licitador.</w:t>
      </w:r>
    </w:p>
    <w:p>
      <w:pPr>
        <w:jc w:val="both"/>
        <w:widowControl/>
        <w:ind w:left="60" w:right="45" w:hanging="15"/>
        <w:spacing w:after="45"/>
      </w:pPr>
      <w:r>
        <w:rPr>
          <w:b/>
          <w:sz w:val="22"/>
        </w:rPr>
        <w:t>Parágrafo Quinto:</w:t>
      </w:r>
      <w:r>
        <w:rPr>
          <w:sz w:val="22"/>
        </w:rPr>
        <w:t xml:space="preserve"> Cópia da guia de recolhimento do Fundo de Garantia por Tempo de Serviço - FGTS do último recolhimento devido, devidamente quitada e autenticada em cartório, de conformidade com o demonstrativo de dados referentes ao FGTS/INSS, exclusivo para cada obra (caso o objeto deste contrato se enquadre). - A liberação da primeira parcela fica condicionada à apresentação:</w:t>
      </w:r>
    </w:p>
    <w:p>
      <w:pPr>
        <w:jc w:val="both"/>
        <w:widowControl/>
        <w:ind w:right="45"/>
        <w:spacing w:after="45"/>
        <w:numPr>
          <w:ilvl w:val="0"/>
          <w:numId w:val="84"/>
        </w:numPr>
      </w:pPr>
      <w:r/>
      <w:r>
        <w:rPr>
          <w:b/>
          <w:sz w:val="22"/>
        </w:rPr>
        <w:t xml:space="preserve"> </w:t>
      </w:r>
      <w:r>
        <w:rPr>
          <w:sz w:val="22"/>
        </w:rPr>
        <w:t>Da cópia da ART de execução.</w:t>
      </w:r>
    </w:p>
    <w:p>
      <w:pPr>
        <w:jc w:val="both"/>
        <w:widowControl/>
        <w:ind w:right="45"/>
        <w:spacing w:after="45"/>
        <w:numPr>
          <w:ilvl w:val="0"/>
          <w:numId w:val="84"/>
        </w:numPr>
      </w:pPr>
      <w:r/>
      <w:r>
        <w:rPr>
          <w:b/>
          <w:sz w:val="22"/>
        </w:rPr>
        <w:t xml:space="preserve"> </w:t>
      </w:r>
      <w:r>
        <w:rPr>
          <w:sz w:val="22"/>
        </w:rPr>
        <w:t>Da quitação junto ao INSS, através de matrícula e/ou CND (caso o objeto deste contrato se enquadre).</w:t>
      </w:r>
    </w:p>
    <w:p>
      <w:pPr>
        <w:jc w:val="both"/>
        <w:widowControl/>
        <w:ind w:right="45"/>
        <w:spacing w:after="45"/>
        <w:numPr>
          <w:ilvl w:val="0"/>
          <w:numId w:val="84"/>
        </w:numPr>
      </w:pPr>
      <w:r/>
      <w:r>
        <w:rPr>
          <w:b/>
          <w:sz w:val="22"/>
        </w:rPr>
        <w:t xml:space="preserve"> </w:t>
      </w:r>
      <w:r>
        <w:rPr>
          <w:sz w:val="22"/>
        </w:rPr>
        <w:t>Da quitação junto ao FGTS/CEF, através do CRF.</w:t>
      </w:r>
    </w:p>
    <w:p>
      <w:pPr>
        <w:jc w:val="both"/>
        <w:widowControl/>
        <w:ind w:left="60" w:right="45" w:hanging="15"/>
        <w:spacing w:after="45"/>
      </w:pPr>
      <w:r>
        <w:rPr>
          <w:b/>
          <w:u w:val="single"/>
          <w:sz w:val="22"/>
        </w:rPr>
        <w:t>- A liberação da última parcela fica condicionada à apresentação:</w:t>
      </w:r>
    </w:p>
    <w:p>
      <w:pPr>
        <w:jc w:val="both"/>
        <w:widowControl/>
        <w:ind w:right="45"/>
        <w:spacing w:after="45"/>
        <w:numPr>
          <w:ilvl w:val="0"/>
          <w:numId w:val="86"/>
        </w:numPr>
      </w:pPr>
      <w:r/>
      <w:r>
        <w:rPr>
          <w:sz w:val="22"/>
        </w:rPr>
        <w:t>Da certidão negativa de débitos, expedida pelo INSS, referente ao objeto contratado concluído (caso o objeto deste contrato se enquadre).</w:t>
      </w:r>
    </w:p>
    <w:p>
      <w:pPr>
        <w:jc w:val="both"/>
        <w:widowControl/>
        <w:ind w:right="45"/>
        <w:spacing w:after="45"/>
        <w:numPr>
          <w:ilvl w:val="0"/>
          <w:numId w:val="86"/>
        </w:numPr>
      </w:pPr>
      <w:r/>
      <w:r>
        <w:rPr>
          <w:sz w:val="22"/>
        </w:rPr>
        <w:t>Do Termo de Recebimento Provisório.</w:t>
      </w:r>
    </w:p>
    <w:p>
      <w:pPr>
        <w:jc w:val="both"/>
        <w:widowControl/>
        <w:ind w:right="45"/>
        <w:spacing w:after="45"/>
        <w:numPr>
          <w:ilvl w:val="0"/>
          <w:numId w:val="86"/>
        </w:numPr>
      </w:pPr>
      <w:r/>
      <w:r>
        <w:rPr>
          <w:sz w:val="22"/>
        </w:rPr>
        <w:t>De comprovante, nos casos previstos, de ligações definitivas de água e energia elétrica. As despesas referentes ao consumo de água e energia, durante a execução da obra, são de inteira responsabilidade da contratada.</w:t>
      </w:r>
    </w:p>
    <w:p>
      <w:pPr>
        <w:jc w:val="both"/>
        <w:widowControl/>
        <w:ind w:left="60" w:right="45" w:hanging="15"/>
        <w:spacing w:after="45"/>
      </w:pPr>
      <w:r>
        <w:rPr>
          <w:b/>
          <w:sz w:val="22"/>
        </w:rPr>
        <w:t>Parágrafo Sexto:</w:t>
      </w:r>
      <w:r>
        <w:rPr>
          <w:sz w:val="22"/>
        </w:rPr>
        <w:t xml:space="preserve"> Caso o objeto deste contrato se enquadre na Legislação em vigor, o Município fará a retenção de 11% (onze por cento) de INSS sobre a mão de obra utilizada, nos termos da IN-SRP 03/2005, devendo, para apuração da base de cálculo, deduzir os valores relativos à utilização de equipamentos e materiais previstos neste contrato e proposta constante do processo licitatório.</w:t>
      </w:r>
    </w:p>
    <w:p>
      <w:pPr>
        <w:jc w:val="both"/>
        <w:widowControl/>
        <w:ind w:left="60" w:right="45" w:hanging="15"/>
        <w:spacing w:after="45"/>
      </w:pPr>
      <w:r>
        <w:rPr>
          <w:b/>
          <w:sz w:val="22"/>
        </w:rPr>
        <w:t>Parágrafo Sétimo:</w:t>
      </w:r>
      <w:r>
        <w:rPr>
          <w:sz w:val="22"/>
        </w:rPr>
        <w:t xml:space="preserve"> A Contratada deve manter durante toda a execução do contrato todas as condições de habilitação e qualificação exigidas na licitação/contratação de acordo com o Artigo 92, inciso XVI da Lei Federal nº 14.133/2021. </w:t>
      </w:r>
    </w:p>
    <w:p>
      <w:pPr>
        <w:jc w:val="both"/>
        <w:widowControl/>
        <w:ind w:left="60" w:right="45" w:hanging="15"/>
        <w:spacing w:after="45"/>
      </w:pPr>
      <w:r>
        <w:rPr>
          <w:b/>
          <w:sz w:val="22"/>
        </w:rPr>
        <w:t>Parágrafo Oitavo:</w:t>
      </w:r>
      <w:r>
        <w:rPr>
          <w:sz w:val="22"/>
        </w:rPr>
        <w:t xml:space="preserve"> O pagamento a que se refere esta cláusula, fica condicionado à apresentação da nota fiscal/fatura, que deverá, obrigatoriamente, vir acompanhada da comprovação de regularidade fiscal da Contratada, verificada por meio dos documentos elencados no art. 68, da Lei Federal nº 14.133/2021.</w:t>
      </w:r>
    </w:p>
    <w:p>
      <w:pPr>
        <w:jc w:val="both"/>
        <w:widowControl/>
        <w:ind w:left="60" w:right="45" w:hanging="15"/>
        <w:spacing w:after="45"/>
      </w:pPr>
      <w:r>
        <w:rPr>
          <w:b/>
          <w:sz w:val="22"/>
        </w:rPr>
        <w:t>Parágrafo Nono:</w:t>
      </w:r>
      <w:r>
        <w:rPr>
          <w:sz w:val="22"/>
        </w:rPr>
        <w:t xml:space="preserve"> Caso se faça necessária reapresentação de qualquer fatura por culpa da Contratada, o prazo para pagamento reiniciar-se-á a contar da data da respectiva representação.</w:t>
      </w:r>
    </w:p>
    <w:p>
      <w:pPr>
        <w:jc w:val="both"/>
        <w:widowControl/>
        <w:ind w:left="60" w:right="45" w:hanging="15"/>
        <w:spacing w:after="45"/>
      </w:pPr>
      <w:r>
        <w:rPr>
          <w:b/>
          <w:sz w:val="22"/>
        </w:rPr>
        <w:t>Parágrafo Décimo:</w:t>
      </w:r>
      <w:r>
        <w:rPr>
          <w:sz w:val="22"/>
        </w:rPr>
        <w:t xml:space="preserve"> Constatando-se quaisquer irregularidades por parte da Contratada, será providenciada sua notificação por escrito, para que, no prazo de 05 (cinco) dias úteis, regularize sua situação ou, no mesmo prazo, apresente sua defesa. O prazo poderá ser prorrogado uma vez, por igual período, a critério do Contratante.</w:t>
      </w:r>
    </w:p>
    <w:p>
      <w:pPr>
        <w:jc w:val="both"/>
        <w:widowControl/>
        <w:ind w:left="60" w:right="45" w:hanging="15"/>
        <w:spacing w:after="45"/>
      </w:pPr>
      <w:r>
        <w:rPr>
          <w:b/>
          <w:sz w:val="22"/>
        </w:rPr>
        <w:t>Parágrafo Décimo Primeiro:</w:t>
      </w:r>
      <w:r>
        <w:rPr>
          <w:sz w:val="22"/>
        </w:rPr>
        <w:t xml:space="preserve"> 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pPr>
        <w:jc w:val="both"/>
        <w:widowControl/>
        <w:ind w:left="60" w:right="45" w:hanging="15"/>
        <w:spacing w:after="45"/>
      </w:pPr>
      <w:r>
        <w:rPr>
          <w:b/>
          <w:sz w:val="22"/>
        </w:rPr>
        <w:t>Parágrafo Décimo Segundo:</w:t>
      </w:r>
      <w:r>
        <w:rPr>
          <w:sz w:val="22"/>
        </w:rPr>
        <w:t xml:space="preserve"> Persistindo a irregularidade, o Contratante deverá adotar as medidas necessárias à rescisão contratual nos autos do processo administrativo correspondente, assegurada à Contratada a ampla defesa. </w:t>
      </w:r>
    </w:p>
    <w:p>
      <w:pPr>
        <w:jc w:val="both"/>
        <w:widowControl/>
        <w:ind w:left="60" w:right="45" w:hanging="15"/>
        <w:spacing w:after="45"/>
      </w:pPr>
      <w:r>
        <w:rPr>
          <w:b/>
          <w:sz w:val="22"/>
        </w:rPr>
        <w:t>Parágrafo Décimo Terceiro:</w:t>
      </w:r>
      <w:r>
        <w:rPr>
          <w:sz w:val="22"/>
        </w:rPr>
        <w:t xml:space="preserve"> Havendo a efetiva execução do objeto, o pagamento será realizado normalmente, até que se decida pela rescisão do contrato, caso a Contratada não regularize sua situação.</w:t>
      </w:r>
    </w:p>
    <w:p>
      <w:pPr>
        <w:jc w:val="both"/>
        <w:widowControl/>
        <w:ind w:left="60" w:right="45" w:hanging="15"/>
        <w:spacing w:after="45"/>
      </w:pPr>
      <w:r>
        <w:rPr>
          <w:b/>
          <w:sz w:val="22"/>
        </w:rPr>
        <w:t>Parágrafo Décimo Quarto:</w:t>
      </w:r>
      <w:r>
        <w:rPr>
          <w:sz w:val="22"/>
        </w:rPr>
        <w:t xml:space="preserve"> As notas fiscais deverão ser encaminhadas à Secretaria Municipal de Finanças do município de GUAIRAÇÁ-PR, conforme solicitado.</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DÉCIMA QUARTA – DO REAJUSTE E DO EQUILÍBRIO ECONÔMICO-FINANCEIRO DO CONTRATO</w:t>
      </w:r>
    </w:p>
    <w:p>
      <w:pPr>
        <w:jc w:val="both"/>
        <w:widowControl/>
        <w:ind w:right="45"/>
        <w:spacing w:after="45"/>
        <w:numPr>
          <w:ilvl w:val="0"/>
          <w:numId w:val="43"/>
        </w:numPr>
      </w:pPr>
      <w:r/>
      <w:r>
        <w:rPr>
          <w:sz w:val="22"/>
        </w:rPr>
        <w:t>– Os preços deverão ser fixos e irreajustáveis, pelo período mínimo de 01 ano a contar da data base da proposta;</w:t>
      </w:r>
    </w:p>
    <w:p>
      <w:pPr>
        <w:jc w:val="both"/>
        <w:widowControl/>
        <w:ind w:right="45"/>
        <w:spacing w:after="45"/>
        <w:numPr>
          <w:ilvl w:val="0"/>
          <w:numId w:val="43"/>
        </w:numPr>
      </w:pPr>
      <w:r/>
      <w:r>
        <w:rPr>
          <w:sz w:val="22"/>
        </w:rPr>
        <w:t>– Após o interregno de 01 (um) ano da data do orçamento estimado e mediante solicitação da Contratada, os preços iniciais serão reajustados, mediante a aplicação, pelo Contratante, do índice previsto no parágrafo primeiro, e em sua falta, aplicar-se-á o índice fixado pelo Governo Federal, no período do reajuste, legalmente permitido à época, exclusivamente para as obrigações iniciadas e concluídas após a ocorrência da anualidade, nos termos do §7º, do art. 25, da Lei nº 14.133/2021;</w:t>
      </w:r>
    </w:p>
    <w:p>
      <w:pPr>
        <w:jc w:val="both"/>
        <w:widowControl/>
        <w:ind w:right="45"/>
        <w:spacing w:after="45"/>
        <w:numPr>
          <w:ilvl w:val="0"/>
          <w:numId w:val="43"/>
        </w:numPr>
      </w:pPr>
      <w:r/>
      <w:r>
        <w:rPr>
          <w:sz w:val="22"/>
        </w:rPr>
        <w:t xml:space="preserve">– Os preços referentes a mão de obra deverão ser repactuados para manutenção do equilíbrio econômico-financeiro, mediante demonstração analítica da variação dos custos contratuais, com data vinculada: </w:t>
      </w:r>
    </w:p>
    <w:p>
      <w:pPr>
        <w:jc w:val="both"/>
        <w:widowControl/>
        <w:ind w:left="285" w:right="45"/>
        <w:spacing w:after="45"/>
      </w:pPr>
      <w:r>
        <w:rPr>
          <w:b/>
          <w:sz w:val="22"/>
        </w:rPr>
        <w:t>a)</w:t>
      </w:r>
      <w:r>
        <w:rPr>
          <w:sz w:val="22"/>
        </w:rPr>
        <w:t xml:space="preserve"> à da apresentação da proposta, para custos decorrentes do mercado;</w:t>
      </w:r>
    </w:p>
    <w:p>
      <w:pPr>
        <w:jc w:val="both"/>
        <w:widowControl/>
        <w:ind w:left="285" w:right="45" w:hanging="15"/>
        <w:spacing w:after="45"/>
      </w:pPr>
      <w:r>
        <w:rPr>
          <w:b/>
          <w:sz w:val="22"/>
        </w:rPr>
        <w:t>b)</w:t>
      </w:r>
      <w:r>
        <w:rPr>
          <w:sz w:val="22"/>
        </w:rPr>
        <w:t xml:space="preserve"> ao acordo, à convenção coletiva ou ao dissídio coletivo ao qual a proposta esteja vinculada, para os custos de mão de obra.</w:t>
      </w:r>
    </w:p>
    <w:p>
      <w:pPr>
        <w:jc w:val="both"/>
        <w:widowControl/>
        <w:ind w:right="45"/>
        <w:spacing w:after="45"/>
        <w:numPr>
          <w:ilvl w:val="0"/>
          <w:numId w:val="89"/>
        </w:numPr>
      </w:pPr>
      <w:r/>
      <w:r>
        <w:rPr>
          <w:sz w:val="22"/>
        </w:rPr>
        <w:t>– Os preços referentes a materiais deverão ser reajustados conforme índice previsto em contrato.</w:t>
      </w:r>
    </w:p>
    <w:p>
      <w:pPr>
        <w:jc w:val="both"/>
        <w:widowControl/>
        <w:ind w:right="45"/>
        <w:spacing w:after="45"/>
        <w:numPr>
          <w:ilvl w:val="0"/>
          <w:numId w:val="89"/>
        </w:numPr>
      </w:pPr>
      <w:r/>
      <w:r>
        <w:rPr>
          <w:sz w:val="22"/>
        </w:rPr>
        <w:t xml:space="preserve">– A Administração não se vinculará às disposições contidas em acordos, convenções ou dissídios coletivos de trabalho que tratem de matéria não trabalhista, de pagamento de participação dos trabalhadores nos lucros ou resultados do contratado, ou que estabeleçam direitos não previstos em lei, como valores ou índices obrigatórios de encargos sociais ou previdenciários, bem como de preços para os insumos relacionados ao exercício da atividade. </w:t>
      </w:r>
    </w:p>
    <w:p>
      <w:pPr>
        <w:jc w:val="both"/>
        <w:widowControl/>
        <w:ind w:right="45"/>
        <w:spacing w:after="45"/>
        <w:numPr>
          <w:ilvl w:val="0"/>
          <w:numId w:val="89"/>
        </w:numPr>
      </w:pPr>
      <w:r/>
      <w:r>
        <w:rPr>
          <w:sz w:val="22"/>
        </w:rPr>
        <w:t>– O pleito de reequilíbrio econômico-financeiro não será acolhido quando a parte interessada falhar em comprovar os requisitos previstos no caput desta Cláusula, em especial nas seguintes hipóteses:</w:t>
      </w:r>
    </w:p>
    <w:p>
      <w:pPr>
        <w:jc w:val="both"/>
        <w:widowControl/>
        <w:ind w:right="45"/>
        <w:spacing w:after="45"/>
        <w:numPr>
          <w:ilvl w:val="0"/>
          <w:numId w:val="78"/>
        </w:numPr>
      </w:pPr>
      <w:r/>
      <w:r>
        <w:rPr>
          <w:sz w:val="22"/>
        </w:rPr>
        <w:t xml:space="preserve"> A efetiva elevação dos encargos não resultar em onerosidade excessiva ou não restar comprovada e quantificada por memória de cálculo a ser apresentada pela parte interessada;</w:t>
      </w:r>
    </w:p>
    <w:p>
      <w:pPr>
        <w:jc w:val="both"/>
        <w:widowControl/>
        <w:ind w:right="45"/>
        <w:spacing w:after="45"/>
        <w:numPr>
          <w:ilvl w:val="0"/>
          <w:numId w:val="78"/>
        </w:numPr>
      </w:pPr>
      <w:r/>
      <w:r>
        <w:rPr>
          <w:sz w:val="22"/>
        </w:rPr>
        <w:t xml:space="preserve"> O evento que houver dado causa ao desequilíbrio houver ocorrido em data anterior à sessão pública de disputa ou posterior à expiração da vigência do contrato;</w:t>
      </w:r>
    </w:p>
    <w:p>
      <w:pPr>
        <w:jc w:val="both"/>
        <w:widowControl/>
        <w:ind w:right="45"/>
        <w:spacing w:after="45"/>
        <w:numPr>
          <w:ilvl w:val="0"/>
          <w:numId w:val="78"/>
        </w:numPr>
      </w:pPr>
      <w:r/>
      <w:r>
        <w:rPr>
          <w:sz w:val="22"/>
        </w:rPr>
        <w:t xml:space="preserve"> Não for comprovado o nexo de causalidade entre o evento e a majoração dos encargos suportados pela parte interessada;</w:t>
      </w:r>
    </w:p>
    <w:p>
      <w:pPr>
        <w:jc w:val="both"/>
        <w:widowControl/>
        <w:ind w:right="45"/>
        <w:spacing w:after="45"/>
        <w:numPr>
          <w:ilvl w:val="0"/>
          <w:numId w:val="78"/>
        </w:numPr>
      </w:pPr>
      <w:r/>
      <w:r>
        <w:rPr>
          <w:sz w:val="22"/>
        </w:rPr>
        <w:t xml:space="preserve"> A parte interessada houver, direta ou indiretamente, contribuído para a majoração de seus próprios encargos, seja pela previsibilidade do evento, seja pela possibilidade de evitar a sua ocorrência;</w:t>
      </w:r>
    </w:p>
    <w:p>
      <w:pPr>
        <w:jc w:val="both"/>
        <w:widowControl/>
        <w:ind w:right="45"/>
        <w:spacing w:after="45"/>
        <w:numPr>
          <w:ilvl w:val="0"/>
          <w:numId w:val="78"/>
        </w:numPr>
      </w:pPr>
      <w:r/>
      <w:r>
        <w:rPr>
          <w:sz w:val="22"/>
        </w:rPr>
        <w:t xml:space="preserve"> A elevação dos encargos decorrer exclusivamente de variação inflacionária, hipótese já contemplada nos critérios de reajuste previstos neste instrumento;</w:t>
      </w:r>
    </w:p>
    <w:p>
      <w:pPr>
        <w:jc w:val="both"/>
        <w:widowControl/>
        <w:ind w:right="45"/>
        <w:spacing w:after="45"/>
        <w:numPr>
          <w:ilvl w:val="0"/>
          <w:numId w:val="78"/>
        </w:numPr>
      </w:pPr>
      <w:r/>
      <w:r>
        <w:rPr>
          <w:sz w:val="22"/>
        </w:rPr>
        <w:t xml:space="preserve"> O evento que houver dado causa ao desequilíbrio constituir álea ordinária imputável à CONTRATADA, quando o pleito houver sido apresentado por esta.</w:t>
      </w:r>
    </w:p>
    <w:p>
      <w:pPr>
        <w:jc w:val="both"/>
        <w:widowControl/>
        <w:ind w:right="45"/>
        <w:spacing w:after="45"/>
        <w:numPr>
          <w:ilvl w:val="0"/>
          <w:numId w:val="57"/>
        </w:numPr>
      </w:pPr>
      <w:r/>
      <w:r>
        <w:rPr>
          <w:sz w:val="22"/>
        </w:rPr>
        <w:t>– O prazo para manifestação quanto aos pedidos de reajuste, reequilíbrio e repactuação será de até 60 (sessenta) dias, a contar da data de protocolo do requerimento.</w:t>
      </w:r>
    </w:p>
    <w:p>
      <w:pPr>
        <w:jc w:val="both"/>
        <w:widowControl/>
        <w:ind w:right="45"/>
        <w:spacing w:after="45"/>
        <w:numPr>
          <w:ilvl w:val="0"/>
          <w:numId w:val="57"/>
        </w:numPr>
      </w:pPr>
      <w:r/>
      <w:r>
        <w:rPr>
          <w:sz w:val="22"/>
        </w:rPr>
        <w:t>– Caso faltem informações para os pedidos previstos no item anterior e a administração solicite complementação do pedido, o prazo irá reiniciar, a contar da data do novo protocolo com os documentos faltantes.</w:t>
      </w:r>
    </w:p>
    <w:p>
      <w:pPr>
        <w:jc w:val="both"/>
        <w:widowControl/>
        <w:ind w:left="60" w:right="45" w:hanging="15"/>
        <w:spacing w:after="45"/>
      </w:pPr>
      <w:r>
        <w:rPr>
          <w:b/>
          <w:sz w:val="22"/>
        </w:rPr>
        <w:t>Parágrafo Primeiro – Do critério de reajuste:</w:t>
      </w:r>
      <w:r>
        <w:rPr>
          <w:sz w:val="22"/>
        </w:rPr>
        <w:t xml:space="preserve"> O reajustamento dos preços será concedido quando transcorrer o prazo previsto na presente cláusula, da data da apresentação da proposta, mediante aplicação do índice INCC DI/FGV sobre o saldo remanescente dos serviços, devendo ser aplicado a fórmula a seguir:</w:t>
      </w:r>
    </w:p>
    <w:p>
      <w:pPr>
        <w:jc w:val="both"/>
        <w:widowControl/>
        <w:ind w:left="60" w:right="45" w:hanging="15"/>
        <w:spacing w:after="45"/>
      </w:pPr>
      <w:r>
        <w:rPr>
          <w:sz w:val="22"/>
        </w:rPr>
        <w:t>SR = S (112 / 10)</w:t>
      </w:r>
    </w:p>
    <w:p>
      <w:pPr>
        <w:jc w:val="both"/>
        <w:widowControl/>
        <w:ind w:left="60" w:right="45" w:hanging="15"/>
        <w:spacing w:after="45"/>
      </w:pPr>
      <w:r>
        <w:rPr>
          <w:sz w:val="22"/>
        </w:rPr>
        <w:t>R = SR – S</w:t>
      </w:r>
    </w:p>
    <w:p>
      <w:pPr>
        <w:jc w:val="both"/>
        <w:widowControl/>
        <w:ind w:left="60" w:right="45" w:hanging="15"/>
        <w:spacing w:after="45"/>
      </w:pPr>
      <w:r>
        <w:rPr>
          <w:sz w:val="22"/>
        </w:rPr>
        <w:t>112 = ÍNDICE-DI/FGV do 12º mês após a proposta</w:t>
      </w:r>
    </w:p>
    <w:p>
      <w:pPr>
        <w:jc w:val="both"/>
        <w:widowControl/>
        <w:ind w:left="60" w:right="45" w:hanging="15"/>
        <w:spacing w:after="45"/>
      </w:pPr>
      <w:r>
        <w:rPr>
          <w:sz w:val="22"/>
        </w:rPr>
        <w:t>10 = ÍNDICE INCC-DI/FGV do mês da proposta</w:t>
      </w:r>
    </w:p>
    <w:p>
      <w:pPr>
        <w:jc w:val="both"/>
        <w:widowControl/>
        <w:ind w:left="60" w:right="45" w:hanging="15"/>
        <w:spacing w:after="45"/>
      </w:pPr>
      <w:r>
        <w:rPr>
          <w:sz w:val="22"/>
        </w:rPr>
        <w:t>S = Sado do contrato após a medição referente ao 12º mês da proposta</w:t>
      </w:r>
    </w:p>
    <w:p>
      <w:pPr>
        <w:jc w:val="both"/>
        <w:widowControl/>
        <w:ind w:left="60" w:right="45" w:hanging="15"/>
        <w:spacing w:after="45"/>
      </w:pPr>
      <w:r>
        <w:rPr>
          <w:sz w:val="22"/>
        </w:rPr>
        <w:t>SR = Saldo reajusto</w:t>
      </w:r>
    </w:p>
    <w:p>
      <w:pPr>
        <w:jc w:val="both"/>
        <w:widowControl/>
        <w:ind w:left="60" w:right="45" w:hanging="15"/>
        <w:spacing w:after="45"/>
      </w:pPr>
      <w:r>
        <w:rPr>
          <w:sz w:val="22"/>
        </w:rPr>
        <w:t>R = Valor do reajuste</w:t>
      </w:r>
    </w:p>
    <w:p>
      <w:pPr>
        <w:jc w:val="both"/>
        <w:widowControl/>
        <w:ind w:left="60" w:right="45" w:hanging="15"/>
        <w:spacing w:after="45"/>
      </w:pPr>
      <w:r>
        <w:rPr>
          <w:b/>
          <w:sz w:val="22"/>
        </w:rPr>
        <w:t>Parágrafo Segundo:</w:t>
      </w:r>
      <w:r>
        <w:rPr>
          <w:sz w:val="22"/>
        </w:rPr>
        <w:t xml:space="preserve"> Nos reajustes subsequentes ao primeiro, o interregno mínimo de 01 (um) ano será contado a partir dos efeitos financeiros do último reajuste;</w:t>
      </w:r>
    </w:p>
    <w:p>
      <w:pPr>
        <w:jc w:val="both"/>
        <w:widowControl/>
        <w:ind w:left="60" w:right="45" w:hanging="15"/>
        <w:spacing w:after="45"/>
      </w:pPr>
      <w:r>
        <w:rPr>
          <w:b/>
          <w:sz w:val="22"/>
        </w:rPr>
        <w:t xml:space="preserve">Parágrafo Terceiro: </w:t>
      </w:r>
      <w:r>
        <w:rPr>
          <w:sz w:val="22"/>
        </w:rPr>
        <w:t>No caso de atraso ou não divulgação do índice de reajustamento, o Contratante pagará à Contratada a importância calculada pela última variação conhecida, liquidando a diferença correspondente tão logo seja divulgado o índice definitivo;</w:t>
      </w:r>
    </w:p>
    <w:p>
      <w:pPr>
        <w:jc w:val="both"/>
        <w:widowControl/>
        <w:ind w:left="60" w:right="45" w:hanging="15"/>
        <w:spacing w:after="45"/>
      </w:pPr>
      <w:r>
        <w:rPr>
          <w:b/>
          <w:sz w:val="22"/>
        </w:rPr>
        <w:t>Parágrafo Quarto:</w:t>
      </w:r>
      <w:r>
        <w:rPr>
          <w:sz w:val="22"/>
        </w:rPr>
        <w:t xml:space="preserve"> Nas aferições finais, o índice utilizado para reajuste será, obrigatoriamente, o definitivo;</w:t>
      </w:r>
    </w:p>
    <w:p>
      <w:pPr>
        <w:jc w:val="both"/>
        <w:widowControl/>
        <w:ind w:left="60" w:right="45" w:hanging="15"/>
        <w:spacing w:after="45"/>
      </w:pPr>
      <w:r>
        <w:rPr>
          <w:b/>
          <w:sz w:val="22"/>
        </w:rPr>
        <w:t xml:space="preserve">Parágrafo Quinto: </w:t>
      </w:r>
      <w:r>
        <w:rPr>
          <w:sz w:val="22"/>
        </w:rPr>
        <w:t>Caso o índice estabelecido para reajustamento venha a ser extinto ou de qualquer forma não possa mais ser utilizado, será adotado, em substituição, o que vier a ser determinado pela legislação então em vigor, conforme disposto no inciso II desta cláusula;</w:t>
      </w:r>
    </w:p>
    <w:p>
      <w:pPr>
        <w:jc w:val="both"/>
        <w:widowControl/>
        <w:ind w:left="60" w:right="45" w:hanging="15"/>
        <w:spacing w:after="45"/>
      </w:pPr>
      <w:r>
        <w:rPr>
          <w:b/>
          <w:sz w:val="22"/>
        </w:rPr>
        <w:t>Parágrafo Sexto:</w:t>
      </w:r>
      <w:r>
        <w:rPr>
          <w:sz w:val="22"/>
        </w:rPr>
        <w:t xml:space="preserve"> Na ausência de previsão legal quanto ao índice substituto, as partes elegerão novo índice oficial, para reajustamento do preço do valor remanescente, por meio de termo aditivo;</w:t>
      </w:r>
    </w:p>
    <w:p>
      <w:pPr>
        <w:jc w:val="both"/>
        <w:widowControl/>
        <w:ind w:left="60" w:right="45" w:hanging="15"/>
        <w:spacing w:after="45"/>
      </w:pPr>
      <w:r>
        <w:rPr>
          <w:b/>
          <w:sz w:val="22"/>
        </w:rPr>
        <w:t>Parágrafo Sétimo:</w:t>
      </w:r>
      <w:r>
        <w:rPr>
          <w:sz w:val="22"/>
        </w:rPr>
        <w:t xml:space="preserve"> Tanto o reajuste, quanto o reequilíbrio financeiro do contrato, será realizado por meio de termo aditivo.</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CLAUSULA DÉCIMA QUINTA – DO REGIME DE EXECUÇÃO</w:t>
      </w:r>
    </w:p>
    <w:p>
      <w:pPr>
        <w:jc w:val="both"/>
        <w:widowControl/>
        <w:ind w:left="60" w:right="45" w:hanging="15"/>
        <w:spacing w:after="45"/>
      </w:pPr>
      <w:r>
        <w:rPr>
          <w:b/>
          <w:sz w:val="22"/>
        </w:rPr>
        <w:t>I –</w:t>
      </w:r>
      <w:r>
        <w:rPr>
          <w:sz w:val="22"/>
        </w:rPr>
        <w:t xml:space="preserve"> O objeto deste contrato será executado em regime de Empreitada Global.</w:t>
      </w:r>
    </w:p>
    <w:p>
      <w:pPr>
        <w:jc w:val="both"/>
        <w:widowControl/>
        <w:ind w:left="60" w:right="45" w:hanging="15"/>
        <w:spacing w:after="45"/>
      </w:pPr>
      <w:r>
        <w:rPr>
          <w:b/>
          <w:sz w:val="22"/>
        </w:rPr>
        <w:t>Parágrafo Único:</w:t>
      </w:r>
      <w:r>
        <w:rPr>
          <w:sz w:val="22"/>
        </w:rPr>
        <w:t xml:space="preserve"> O regime de execução contratual, os modelos de gestão, de fiscalização e de execução, assim como os prazos e condições de conclusão, entrega, observação e recebimento do objeto, constam no Termo de Referência, anexo ao Processo de Concorrência nº X/202X – PMG.</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DÉCIMA SEXTA – DA SUBCONTRATAÇÃO</w:t>
      </w:r>
    </w:p>
    <w:p>
      <w:pPr>
        <w:jc w:val="both"/>
        <w:widowControl/>
        <w:ind w:left="60" w:right="45" w:hanging="15"/>
        <w:spacing w:after="45"/>
      </w:pPr>
      <w:r>
        <w:rPr>
          <w:b/>
          <w:sz w:val="22"/>
        </w:rPr>
        <w:t>I –</w:t>
      </w:r>
      <w:r>
        <w:rPr>
          <w:sz w:val="22"/>
        </w:rPr>
        <w:t xml:space="preserve"> Não será admitida a subcontratação do objeto contratual, salvo autorização expressa emitida pela CONTRATANTE, nas formas legalmente previstas.</w:t>
      </w:r>
    </w:p>
    <w:p>
      <w:pPr>
        <w:jc w:val="both"/>
        <w:widowControl/>
        <w:ind w:left="60" w:right="45" w:hanging="15"/>
        <w:spacing w:after="45"/>
      </w:pPr>
      <w:r>
        <w:rPr>
          <w:b/>
          <w:sz w:val="22"/>
        </w:rPr>
        <w:t>Parágrafo Primeiro:</w:t>
      </w:r>
      <w:r>
        <w:rPr>
          <w:sz w:val="22"/>
        </w:rPr>
        <w:t xml:space="preserve"> Se eventualmente for concedida a subcontratação no todo ou em parte, pelo CONTRATANTE, não reduz nem elimina as responsabilidades e obrigações da CONTRATADA para com o CONTRATANTE em decorrência deste contrato, nem importará em estabelecer qualquer vínculo entre o CONTRATANTE e os subcontratados.</w:t>
      </w:r>
    </w:p>
    <w:p>
      <w:pPr>
        <w:jc w:val="both"/>
        <w:widowControl/>
        <w:ind w:left="60" w:right="45" w:hanging="15"/>
        <w:spacing w:after="45"/>
      </w:pPr>
      <w:r>
        <w:rPr>
          <w:b/>
          <w:sz w:val="22"/>
        </w:rPr>
        <w:t>Parágrafo Segundo:</w:t>
      </w:r>
      <w:r>
        <w:rPr>
          <w:sz w:val="22"/>
        </w:rPr>
        <w:t xml:space="preserve"> A subcontratação depende de autorização prévia e expressa do Contratante, a quem incumbe avaliar e decidir se a subcontratada cumpre os requisitos de qualificação técnica necessários para a execução do objeto.</w:t>
      </w:r>
    </w:p>
    <w:p>
      <w:pPr>
        <w:jc w:val="both"/>
        <w:widowControl/>
        <w:ind w:left="60" w:right="45" w:hanging="15"/>
        <w:spacing w:after="45"/>
      </w:pPr>
      <w:r>
        <w:rPr>
          <w:b/>
          <w:sz w:val="22"/>
        </w:rPr>
        <w:t>Parágrafo Terceiro:</w:t>
      </w:r>
      <w:r>
        <w:rPr>
          <w:sz w:val="22"/>
        </w:rPr>
        <w:t xml:space="preserve"> A Contratada apresentará à Contratante documentação que comprove a capacidade técnica da subcontratada, que será avaliada e juntada aos autos do processo licitatório.</w:t>
      </w:r>
    </w:p>
    <w:p>
      <w:pPr>
        <w:jc w:val="both"/>
        <w:widowControl/>
        <w:ind w:left="60" w:right="45" w:hanging="15"/>
        <w:spacing w:after="45"/>
      </w:pPr>
      <w:r>
        <w:rPr>
          <w:b/>
          <w:sz w:val="22"/>
        </w:rPr>
        <w:t>Parágrafo Quarto:</w:t>
      </w:r>
      <w:r>
        <w:rPr>
          <w:sz w:val="22"/>
        </w:rPr>
        <w:t xml:space="preserve"> É vedada a subcontratação de pessoa física ou jurídica, se aquele ou seus dirigentes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terceiro grau.</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DÉCIMA SÉTIMA – DA GARANTIA DE EXECUÇÃO</w:t>
      </w:r>
    </w:p>
    <w:p>
      <w:pPr>
        <w:widowControl/>
        <w:ind w:left="60" w:right="45" w:hanging="15"/>
        <w:spacing w:after="45"/>
      </w:pPr>
      <w:r>
        <w:rPr>
          <w:b/>
          <w:sz w:val="22"/>
        </w:rPr>
        <w:t>I –</w:t>
      </w:r>
      <w:r>
        <w:rPr>
          <w:sz w:val="22"/>
        </w:rPr>
        <w:t xml:space="preserve"> O valor da garantia de execução será obtido pela aplicação de 5% (cinco por cento) sobre o valor contratual, nos termos da Lei nº 14.133/2021, que lhe será devolvida após o término da vigência contratual, mediante solicitação por escrito, descontado, se for o caso, o valor das multas por ventura aplicadas e ainda não pagas pela empresa licitante vencedora.</w:t>
      </w:r>
    </w:p>
    <w:p>
      <w:pPr>
        <w:jc w:val="both"/>
        <w:widowControl/>
        <w:ind w:left="60" w:right="45" w:hanging="15"/>
        <w:spacing w:after="45"/>
      </w:pPr>
      <w:r>
        <w:rPr>
          <w:b/>
          <w:sz w:val="22"/>
        </w:rPr>
        <w:t>Parágrafo Primeiro:</w:t>
      </w:r>
      <w:r>
        <w:rPr>
          <w:sz w:val="22"/>
        </w:rPr>
        <w:t xml:space="preserve"> Se ocorrer majoração do valor contratual o valor da garantia de execução será acrescido pela aplicação de 5% (cinco por cento) sobre o valor contratual majorado. No caso de redução do valor contratual, poderá a contratada ajustar o valor da garantia de execução, se assim o desejar.</w:t>
      </w:r>
    </w:p>
    <w:p>
      <w:pPr>
        <w:jc w:val="both"/>
        <w:widowControl/>
        <w:ind w:left="60" w:right="45" w:hanging="15"/>
        <w:spacing w:after="45"/>
      </w:pPr>
      <w:r>
        <w:rPr>
          <w:b/>
          <w:sz w:val="22"/>
        </w:rPr>
        <w:t>Parágrafo Segundo:</w:t>
      </w:r>
      <w:r>
        <w:rPr>
          <w:sz w:val="22"/>
        </w:rPr>
        <w:t xml:space="preserve"> A garantia de execução será efetuada no valor de 5% (cinco por cento) sobre o valor contratual podendo optar pelas modalidades de garantia dispostos no Art. 96 § 1° da Lei Federal nº 14.133/2021, da respectiva fatura.</w:t>
      </w:r>
    </w:p>
    <w:p>
      <w:pPr>
        <w:jc w:val="both"/>
        <w:widowControl/>
        <w:ind w:left="60" w:right="45" w:hanging="15"/>
        <w:spacing w:after="45"/>
      </w:pPr>
      <w:r>
        <w:rPr>
          <w:b/>
          <w:sz w:val="22"/>
        </w:rPr>
        <w:t>Parágrafo Terceiro:</w:t>
      </w:r>
      <w:r>
        <w:rPr>
          <w:sz w:val="22"/>
        </w:rPr>
        <w:t xml:space="preserve"> O comprovante de que a Contratada prestou garantia deverá ser entregue no Setor de Contratos da Contratante, em até 10 (dez) dias corridos, após a data de assinatura do contrato, com a devida conferência do (s) gestor (es) e fiscal (is). A ordem de serviço só será emitida após a constituição da garantia.</w:t>
      </w:r>
    </w:p>
    <w:p>
      <w:pPr>
        <w:jc w:val="both"/>
        <w:widowControl/>
        <w:ind w:left="60" w:right="45" w:hanging="15"/>
        <w:spacing w:after="45"/>
      </w:pPr>
      <w:r>
        <w:rPr>
          <w:b/>
          <w:sz w:val="22"/>
        </w:rPr>
        <w:t>Parágrafo Quarto:</w:t>
      </w:r>
      <w:r>
        <w:rPr>
          <w:sz w:val="22"/>
        </w:rPr>
        <w:t xml:space="preserve"> Em caso de rescisão do contrato ou de interrupção dos serviços, não será devolvida a garantia, a menos que a rescisão ou paralisação decorram de acordo com a Contratante, nos termos da legislação vigente.</w:t>
      </w:r>
    </w:p>
    <w:p>
      <w:pPr>
        <w:jc w:val="both"/>
        <w:widowControl/>
        <w:ind w:left="60" w:right="45" w:hanging="15"/>
        <w:spacing w:after="45"/>
      </w:pPr>
      <w:r>
        <w:rPr>
          <w:b/>
          <w:sz w:val="22"/>
        </w:rPr>
        <w:t>Parágrafo Quinto:</w:t>
      </w:r>
      <w:r>
        <w:rPr>
          <w:sz w:val="22"/>
        </w:rPr>
        <w:t xml:space="preserve"> Havendo prorrogação de prazo formalmente admitido pela Administração, deverá o Contratado apresentar nova garantia de execução do Contrato, de forma a abranger o período de prorrogação, retendo a administração os créditos do Contratado, enquanto não efetivada tal garantia, ou valor a ela correspondente.</w:t>
      </w:r>
    </w:p>
    <w:p>
      <w:pPr>
        <w:jc w:val="both"/>
        <w:widowControl/>
        <w:ind w:left="60" w:right="45" w:hanging="15"/>
        <w:spacing w:after="45"/>
      </w:pPr>
      <w:r>
        <w:rPr>
          <w:b/>
          <w:sz w:val="22"/>
        </w:rPr>
        <w:t>Parágrafo Sexto:</w:t>
      </w:r>
      <w:r>
        <w:rPr>
          <w:sz w:val="22"/>
        </w:rPr>
        <w:t xml:space="preserve"> Ocorrendo aumento no valor contratual decorrente de acréscimos de obras ou serviços, a CONTRATADA, por ocasião da assinatura do Termo Aditivo, deverá proceder ao reforço da garantia inicial, no mesmo percentual previsto.</w:t>
      </w:r>
    </w:p>
    <w:p>
      <w:pPr>
        <w:jc w:val="both"/>
        <w:widowControl/>
        <w:ind w:left="60" w:right="45" w:hanging="15"/>
        <w:spacing w:after="45"/>
      </w:pPr>
      <w:r>
        <w:rPr>
          <w:b/>
          <w:sz w:val="22"/>
        </w:rPr>
        <w:t>Parágrafo Sétimo:</w:t>
      </w:r>
      <w:r>
        <w:rPr>
          <w:sz w:val="22"/>
        </w:rPr>
        <w:t xml:space="preserve"> A CONTRATANTE restituirá ou liberará a garantia ofertada, no prazo máximo 60 (sessenta) dias após a assinatura do termo de recebimento definitivo dos serviços objetos desta licitação, conforme art. 100 da Lei nº 14.133/2021, mediante requerimento</w:t>
      </w:r>
    </w:p>
    <w:p>
      <w:pPr>
        <w:jc w:val="both"/>
        <w:widowControl/>
        <w:ind w:left="60" w:right="45" w:hanging="15"/>
        <w:spacing w:after="45"/>
      </w:pPr>
      <w:r>
        <w:rPr>
          <w:b/>
          <w:sz w:val="22"/>
        </w:rPr>
        <w:t>Parágrafo Oitavo:</w:t>
      </w:r>
      <w:r>
        <w:rPr>
          <w:sz w:val="22"/>
        </w:rPr>
        <w:t xml:space="preserve"> A contratada perderá a garantia de execução, quando:</w:t>
      </w:r>
    </w:p>
    <w:p>
      <w:pPr>
        <w:jc w:val="both"/>
        <w:widowControl/>
        <w:ind w:right="45"/>
        <w:spacing w:after="45"/>
        <w:numPr>
          <w:ilvl w:val="0"/>
          <w:numId w:val="37"/>
        </w:numPr>
      </w:pPr>
      <w:r/>
      <w:r>
        <w:rPr>
          <w:sz w:val="22"/>
        </w:rPr>
        <w:t>Da inadimplência das obrigações e/ou rescisão do termo de contrato de empreitada;</w:t>
      </w:r>
    </w:p>
    <w:p>
      <w:pPr>
        <w:jc w:val="both"/>
        <w:widowControl/>
        <w:ind w:right="45"/>
        <w:spacing w:after="45"/>
        <w:numPr>
          <w:ilvl w:val="0"/>
          <w:numId w:val="37"/>
        </w:numPr>
      </w:pPr>
      <w:r/>
      <w:r>
        <w:rPr>
          <w:sz w:val="22"/>
        </w:rPr>
        <w:t>Quando do não recebimento provisório e definitivo e/ou não aceitação pelo CONTRATANTE da obra.</w:t>
      </w:r>
    </w:p>
    <w:p>
      <w:pPr>
        <w:jc w:val="both"/>
        <w:widowControl/>
        <w:ind w:right="45"/>
        <w:spacing w:after="45"/>
      </w:pPr>
      <w:r>
        <w:rPr>
          <w:b/>
          <w:sz w:val="22"/>
        </w:rPr>
        <w:t xml:space="preserve"> Parágrafo Nono:</w:t>
      </w:r>
      <w:r>
        <w:rPr>
          <w:sz w:val="22"/>
        </w:rPr>
        <w:t xml:space="preserve"> A devolução da garantia de execução, ou o valor que dela restar, dar-se-á mediante a apresentação de:</w:t>
      </w:r>
    </w:p>
    <w:p>
      <w:pPr>
        <w:jc w:val="both"/>
        <w:widowControl/>
        <w:ind w:right="45"/>
        <w:spacing w:after="45"/>
        <w:numPr>
          <w:ilvl w:val="0"/>
          <w:numId w:val="37"/>
        </w:numPr>
      </w:pPr>
      <w:r/>
      <w:r>
        <w:rPr>
          <w:sz w:val="22"/>
        </w:rPr>
        <w:t>aceitação pelo CONTRATANTE do objeto contratual e o termo de recebimento definitivo;</w:t>
      </w:r>
    </w:p>
    <w:p>
      <w:pPr>
        <w:jc w:val="both"/>
        <w:widowControl/>
        <w:ind w:right="45"/>
        <w:spacing w:after="45"/>
        <w:numPr>
          <w:ilvl w:val="0"/>
          <w:numId w:val="37"/>
        </w:numPr>
      </w:pPr>
      <w:r/>
      <w:r>
        <w:rPr>
          <w:sz w:val="22"/>
        </w:rPr>
        <w:t>certidão negativa de débitos, expedida pelo INSS, referente ao objeto contratado concluído (caso o objeto deste contrato se enquadre);</w:t>
      </w:r>
    </w:p>
    <w:p>
      <w:pPr>
        <w:jc w:val="both"/>
        <w:widowControl/>
        <w:ind w:right="45"/>
        <w:spacing w:after="45"/>
        <w:numPr>
          <w:ilvl w:val="0"/>
          <w:numId w:val="37"/>
        </w:numPr>
      </w:pPr>
      <w:r/>
      <w:r>
        <w:rPr>
          <w:sz w:val="22"/>
        </w:rPr>
        <w:t>comprovantes, nos casos previstos, de ligações definitivas de água e/ou energia elétrica (caso o objeto deste contrato se enquadre). As despesas referentes ao consumo de água e energia, durante a execução do objeto, são de inteira responsabilidade da CONTRATADA.</w:t>
      </w:r>
    </w:p>
    <w:p>
      <w:pPr>
        <w:jc w:val="both"/>
        <w:widowControl/>
        <w:ind w:left="60" w:right="45" w:hanging="15"/>
        <w:spacing w:after="45"/>
      </w:pPr>
      <w:r>
        <w:rPr>
          <w:b/>
          <w:sz w:val="22"/>
        </w:rPr>
        <w:t>Parágrafo Décimo:</w:t>
      </w:r>
      <w:r>
        <w:rPr>
          <w:sz w:val="22"/>
        </w:rPr>
        <w:t xml:space="preserve"> Nos casos previstos na Cláusula Vigésima Nona, a garantia de execução, não será devolvida, sendo, então, apropriado pelo CONTRATANTE a título de indenização/multa.</w:t>
      </w:r>
    </w:p>
    <w:p>
      <w:pPr>
        <w:jc w:val="both"/>
        <w:widowControl/>
        <w:ind w:left="60" w:right="45" w:hanging="15"/>
        <w:spacing w:after="45"/>
      </w:pPr>
      <w:r>
        <w:rPr>
          <w:b/>
          <w:sz w:val="22"/>
        </w:rPr>
        <w:t>Parágrafo Décimo Primeiro:</w:t>
      </w:r>
      <w:r>
        <w:rPr>
          <w:sz w:val="22"/>
        </w:rPr>
        <w:t xml:space="preserve"> A garantia assegurará, qualquer que seja a modalidade escolhida, o pagamento de obrigações trabalhistas e previdenciárias de qualquer natureza, não adimplidas pela CONTRATADA.</w:t>
      </w:r>
    </w:p>
    <w:p>
      <w:pPr>
        <w:jc w:val="both"/>
        <w:widowControl/>
        <w:ind w:left="60" w:right="45" w:hanging="15"/>
        <w:spacing w:after="45"/>
      </w:pPr>
      <w:r>
        <w:rPr>
          <w:b/>
          <w:sz w:val="22"/>
        </w:rPr>
        <w:t>Parágrafo Décimo Segundo:</w:t>
      </w:r>
      <w:r>
        <w:rPr>
          <w:sz w:val="22"/>
        </w:rPr>
        <w:t xml:space="preserve"> Fica incumbido ao gestor (es) e ao fiscal (is) do contrato, a obrigação de exigência e conferência da garantia de execução junto a CONTRATADA.</w:t>
      </w:r>
    </w:p>
    <w:p>
      <w:pPr>
        <w:jc w:val="both"/>
        <w:widowControl/>
        <w:ind w:left="60" w:right="45" w:hanging="15"/>
        <w:spacing w:after="45"/>
      </w:pPr>
      <w:r>
        <w:rPr>
          <w:sz w:val="22"/>
          <w:color w:val="FFFFFF"/>
        </w:rPr>
        <w:t/>
      </w:r>
    </w:p>
    <w:p>
      <w:pPr>
        <w:jc w:val="both"/>
        <w:widowControl/>
        <w:ind w:left="60" w:right="45" w:hanging="15"/>
        <w:spacing w:after="45"/>
        <w:shd w:val="clear" w:color="auto" w:fill="0D0D0D"/>
      </w:pPr>
      <w:r>
        <w:rPr>
          <w:b/>
          <w:sz w:val="22"/>
          <w:color w:val="FFFFFF"/>
        </w:rPr>
        <w:t>CLAUSULA DÉCIMA OITAVA – DO CONTROLE E DA FISCALIZAÇÃO</w:t>
      </w:r>
    </w:p>
    <w:p>
      <w:pPr>
        <w:jc w:val="both"/>
        <w:widowControl/>
        <w:ind w:right="45"/>
        <w:spacing w:after="45"/>
        <w:numPr>
          <w:ilvl w:val="0"/>
          <w:numId w:val="63"/>
        </w:numPr>
      </w:pPr>
      <w:r/>
      <w:r>
        <w:rPr>
          <w:sz w:val="22"/>
        </w:rPr>
        <w:t>– A fiscalização da execução dos serviços, objeto deste Contrato, será feita pelo CONTRATANTE através do profissional qualificado e devidamente credenciado.</w:t>
      </w:r>
    </w:p>
    <w:p>
      <w:pPr>
        <w:jc w:val="both"/>
        <w:widowControl/>
        <w:ind w:right="45"/>
        <w:spacing w:after="45"/>
        <w:numPr>
          <w:ilvl w:val="0"/>
          <w:numId w:val="63"/>
        </w:numPr>
      </w:pPr>
      <w:r/>
      <w:r>
        <w:rPr>
          <w:sz w:val="22"/>
        </w:rPr>
        <w:t>– O acompanhamento e a fiscalização da execução do contrato, consistem na verificação da conformidade das entregas realizadas/serviços executados, de forma a assegurar o perfeito cumprimento do ajuste, devendo ser exercidos por um ou mais representantes do Contratante, especialmente designados, na forma dos artigos 117 e incisos da Lei Federal nº 14.133/2021;</w:t>
      </w:r>
    </w:p>
    <w:p>
      <w:pPr>
        <w:jc w:val="both"/>
        <w:widowControl/>
        <w:ind w:right="45"/>
        <w:spacing w:after="45"/>
        <w:numPr>
          <w:ilvl w:val="0"/>
          <w:numId w:val="63"/>
        </w:numPr>
      </w:pPr>
      <w:r/>
      <w:r>
        <w:rPr>
          <w:sz w:val="22"/>
        </w:rPr>
        <w:t>– A verificação da adequação do fornecimento/do serviço deverá ser realizada com base nos critérios previstos no Termo de Referência;</w:t>
      </w:r>
    </w:p>
    <w:p>
      <w:pPr>
        <w:jc w:val="both"/>
        <w:widowControl/>
        <w:ind w:right="45"/>
        <w:spacing w:after="45"/>
        <w:numPr>
          <w:ilvl w:val="0"/>
          <w:numId w:val="63"/>
        </w:numPr>
      </w:pPr>
      <w:r/>
      <w:r>
        <w:rPr>
          <w:sz w:val="22"/>
        </w:rPr>
        <w:t>– O fiscal do contrato anotará em registro próprio, todas as ocorrências relacionadas à execução do contrato, determinando o que for necessário para a regularização das faltas ou dos defeitos observados, conforme §1º, do artigo 117, da Lei Federal nº 14.133/2021;</w:t>
      </w:r>
    </w:p>
    <w:p>
      <w:pPr>
        <w:jc w:val="both"/>
        <w:widowControl/>
        <w:ind w:left="60" w:right="45" w:hanging="15"/>
        <w:spacing w:after="45"/>
        <w:tabs>
          <w:tab w:val="left" w:pos="285"/>
        </w:tabs>
      </w:pPr>
      <w:r>
        <w:rPr>
          <w:b/>
          <w:sz w:val="22"/>
        </w:rPr>
        <w:t>V</w:t>
      </w:r>
      <w:r>
        <w:rPr>
          <w:b/>
          <w:sz w:val="22"/>
        </w:rPr>
        <w:tab/>
      </w:r>
      <w:r>
        <w:rPr>
          <w:b/>
          <w:sz w:val="22"/>
        </w:rPr>
        <w:t>–</w:t>
      </w:r>
      <w:r>
        <w:rPr>
          <w:sz w:val="22"/>
        </w:rPr>
        <w:t xml:space="preserve"> A conformidade do material a ser entregue/do serviço a ser executado, deverá ser verificada junto ao documento da Contratada que contenha a relação detalhada deste, de acordo com o estabelecido no Termo de Referência e na proposta, informando as respectivas quantidades e especificações técnicas;</w:t>
      </w:r>
    </w:p>
    <w:p>
      <w:pPr>
        <w:jc w:val="both"/>
        <w:widowControl/>
        <w:ind w:left="60" w:right="45" w:hanging="15"/>
        <w:spacing w:after="45"/>
        <w:tabs>
          <w:tab w:val="left" w:pos="285"/>
        </w:tabs>
      </w:pPr>
      <w:r>
        <w:rPr>
          <w:b/>
          <w:sz w:val="22"/>
        </w:rPr>
        <w:t>VI</w:t>
      </w:r>
      <w:r>
        <w:rPr>
          <w:b/>
          <w:sz w:val="22"/>
        </w:rPr>
        <w:tab/>
      </w:r>
      <w:r>
        <w:rPr>
          <w:b/>
          <w:sz w:val="22"/>
        </w:rPr>
        <w:t>–</w:t>
      </w:r>
      <w:r>
        <w:rPr>
          <w:sz w:val="22"/>
        </w:rPr>
        <w:t xml:space="preserve"> A Contratada deverá manter preposto, aceito pelo Contratante, com poderes para solucionar demandas oriundas da execução do contrato, nos termos do art. 118, da Lei Federal nº 14.133/2021;</w:t>
      </w:r>
    </w:p>
    <w:p>
      <w:pPr>
        <w:jc w:val="both"/>
        <w:widowControl/>
        <w:ind w:left="60" w:right="45" w:hanging="15"/>
        <w:spacing w:after="45"/>
        <w:tabs>
          <w:tab w:val="left" w:pos="420"/>
        </w:tabs>
      </w:pPr>
      <w:r>
        <w:rPr>
          <w:b/>
          <w:sz w:val="22"/>
        </w:rPr>
        <w:t>VII</w:t>
      </w:r>
      <w:r>
        <w:rPr>
          <w:b/>
          <w:sz w:val="22"/>
        </w:rPr>
        <w:tab/>
      </w:r>
      <w:r>
        <w:rPr>
          <w:b/>
          <w:sz w:val="22"/>
        </w:rPr>
        <w:t>–</w:t>
      </w:r>
      <w:r>
        <w:rPr>
          <w:sz w:val="22"/>
        </w:rPr>
        <w:t xml:space="preserve"> O descumprimento total ou parcial das demais obrigações e responsabilidades assumidas pela Contratada, ensejará a aplicação de sanções administrativas previstas na legislação vigente, podendo culminar em rescisão contratual, conforme disposto nos artigos 155 e 156 da Lei Federal nº 14.133/2021;</w:t>
      </w:r>
    </w:p>
    <w:p>
      <w:pPr>
        <w:jc w:val="both"/>
        <w:widowControl/>
        <w:ind w:left="60" w:right="45" w:hanging="15"/>
        <w:spacing w:after="45"/>
        <w:tabs>
          <w:tab w:val="left" w:pos="420"/>
        </w:tabs>
      </w:pPr>
      <w:r>
        <w:rPr>
          <w:b/>
          <w:sz w:val="22"/>
        </w:rPr>
        <w:t>VIII</w:t>
      </w:r>
      <w:r>
        <w:rPr>
          <w:b/>
          <w:sz w:val="22"/>
        </w:rPr>
        <w:tab/>
      </w:r>
      <w:r>
        <w:rPr>
          <w:b/>
          <w:sz w:val="22"/>
        </w:rPr>
        <w:t xml:space="preserve">– </w:t>
      </w:r>
      <w:r>
        <w:rPr>
          <w:sz w:val="22"/>
        </w:rPr>
        <w:t>Ficam designados para as funções de gestor, fiscal e fiscal substituto (quando houver), nos termos dos artigos 7º e 117, Lei Federal nº 14.133/2021, os servidores indicados na cláusula terceira do presente contrato;</w:t>
      </w:r>
    </w:p>
    <w:p>
      <w:pPr>
        <w:jc w:val="both"/>
        <w:widowControl/>
        <w:ind w:left="60" w:right="45"/>
        <w:spacing w:after="45"/>
      </w:pPr>
      <w:r>
        <w:rPr>
          <w:b/>
          <w:sz w:val="22"/>
        </w:rPr>
        <w:t>IX –</w:t>
      </w:r>
      <w:r>
        <w:rPr>
          <w:sz w:val="22"/>
        </w:rPr>
        <w:t xml:space="preserve">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do Contratante ou de seus agentes e prepostos, conforme artigo 120 da Lei Federal nº 14.133/2021.</w:t>
      </w:r>
    </w:p>
    <w:p>
      <w:pPr>
        <w:jc w:val="both"/>
        <w:widowControl/>
        <w:ind w:left="60" w:right="45" w:hanging="15"/>
        <w:spacing w:after="45"/>
      </w:pPr>
      <w:r>
        <w:rPr>
          <w:b/>
          <w:sz w:val="22"/>
        </w:rPr>
        <w:t>Parágrafo Primeiro:</w:t>
      </w:r>
      <w:r>
        <w:rPr>
          <w:sz w:val="22"/>
        </w:rPr>
        <w:t xml:space="preserve"> A CONTRATADA deverá permitir que funcionários, engenheiros, especialistas e demais peritos enviados pelo CONTRATANTE inspecionem a qualquer tempo a execução do objeto do presente contrato; examinem os registros e documentos que considerarem necessários conferir; sob pena de multa e em caso de reincidência na eventual rescisão contratual.</w:t>
      </w:r>
    </w:p>
    <w:p>
      <w:pPr>
        <w:jc w:val="both"/>
        <w:widowControl/>
        <w:ind w:left="60" w:right="45" w:hanging="15"/>
        <w:spacing w:after="45"/>
      </w:pPr>
      <w:r>
        <w:rPr>
          <w:b/>
          <w:sz w:val="22"/>
        </w:rPr>
        <w:t>Parágrafo Segundo:</w:t>
      </w:r>
      <w:r>
        <w:rPr>
          <w:sz w:val="22"/>
        </w:rPr>
        <w:t xml:space="preserve"> No desempenho destas tarefas, deverão os técnicos do CONTRATANTE, contar com a total colaboração da CONTRATADA.</w:t>
      </w:r>
    </w:p>
    <w:p>
      <w:pPr>
        <w:jc w:val="both"/>
        <w:widowControl/>
        <w:ind w:left="60" w:right="45" w:hanging="15"/>
        <w:spacing w:after="45"/>
      </w:pPr>
      <w:r>
        <w:rPr>
          <w:b/>
          <w:sz w:val="22"/>
        </w:rPr>
        <w:t>Parágrafo Terceiro:</w:t>
      </w:r>
      <w:r>
        <w:rPr>
          <w:sz w:val="22"/>
        </w:rPr>
        <w:t xml:space="preserve"> A CONTRATADA deverá manter um perfeito sistema de sinalização e segurança em todos os locais de serviços, principalmente nos de trabalho em vias públicas, de acordo com as normas de segurança do trabalho.</w:t>
      </w:r>
    </w:p>
    <w:p>
      <w:pPr>
        <w:jc w:val="both"/>
        <w:widowControl/>
        <w:ind w:left="60" w:right="45" w:hanging="15"/>
        <w:spacing w:after="45"/>
      </w:pPr>
      <w:r>
        <w:rPr>
          <w:b/>
          <w:sz w:val="22"/>
        </w:rPr>
        <w:t>Parágrafo Quarto:</w:t>
      </w:r>
      <w:r>
        <w:rPr>
          <w:sz w:val="22"/>
        </w:rPr>
        <w:t xml:space="preserve"> A CONTRATADA deve manter no canteiro de obra um projeto completo e cópias das: especificações técnicas e memoriais, os quais deverão ficar reservados para o manuseio da fiscalização e do pessoal do órgão financiador das obras.</w:t>
      </w:r>
    </w:p>
    <w:p>
      <w:pPr>
        <w:jc w:val="both"/>
        <w:widowControl/>
        <w:ind w:left="60" w:right="45" w:hanging="15"/>
        <w:spacing w:after="45"/>
      </w:pPr>
      <w:r>
        <w:rPr>
          <w:b/>
          <w:sz w:val="22"/>
        </w:rPr>
        <w:t>Parágrafo Quinto:</w:t>
      </w:r>
      <w:r>
        <w:rPr>
          <w:sz w:val="22"/>
        </w:rPr>
        <w:t xml:space="preserve"> Qualquer serviço, material e/ou componente ou parte do mesmo, que apresente defeitos, vícios ou incorreções não revelados até o Recebimento Definitivo, deverá ser prontamente refeito, corrigido, removido, reconstruído e/ou substituído pela CONTRATADA, livre de quaisquer ônus financeiro para o CONTRATANTE.</w:t>
      </w:r>
    </w:p>
    <w:p>
      <w:pPr>
        <w:jc w:val="both"/>
        <w:widowControl/>
        <w:ind w:left="60" w:right="45" w:hanging="15"/>
        <w:spacing w:after="45"/>
      </w:pPr>
      <w:r>
        <w:rPr>
          <w:b/>
          <w:sz w:val="22"/>
        </w:rPr>
        <w:t>Parágrafo Sexto:</w:t>
      </w:r>
      <w:r>
        <w:rPr>
          <w:sz w:val="22"/>
        </w:rPr>
        <w:t xml:space="preserve"> Entende-se por defeito, vício ou incorreção oculta aquele resultante da má execução ou má qualidade de materiais empregados e/ou da aplicação de material em desacordo com as normas e/ou prescrições da ABNT, especificação e/ou memoriais, não se referindo aos defeitos devidos ao desgaste normal de uso. Correrão por conta da CONTRATADA as despesas relacionadas com a correção, remoção ou substituição do material rejeitado.</w:t>
      </w:r>
    </w:p>
    <w:p>
      <w:pPr>
        <w:jc w:val="both"/>
        <w:widowControl/>
        <w:ind w:left="60" w:right="45" w:hanging="15"/>
        <w:spacing w:after="45"/>
      </w:pPr>
      <w:r>
        <w:rPr>
          <w:b/>
          <w:sz w:val="22"/>
        </w:rPr>
        <w:t>Parágrafo Sétimo:</w:t>
      </w:r>
      <w:r>
        <w:rPr>
          <w:sz w:val="22"/>
        </w:rPr>
        <w:t xml:space="preserve"> Caso a CONTRATADA não execute, total ou parcialmente, qualquer dos itens ou serviços previstos, o CONTRATANTE reserva-se o direito de executá-los diretamente ou através de terceiros. Ocorrendo a hipótese mencionada, a então CONTRATADA responderá pelos custos, através de glosas de créditos e/ou garantias e/ou pagamento direto, inclusive será declarada inidônea, ficando suspensa de firmar contrato pelo prazo de 03 (três) anos até 06 (seis) anos, conforme a gravidade da infração e dos danos decorrentes. Caberá, também, a aplicação do Art. 155 e seguintes da Lei Federal nº 14.133/2021.</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DÉCIMA NONA – DAS RESPONSABILIDADES E OBRIGAÇÕES DAS PARTES</w:t>
      </w:r>
    </w:p>
    <w:p>
      <w:pPr>
        <w:jc w:val="both"/>
        <w:widowControl/>
        <w:ind w:left="60" w:right="45" w:hanging="15"/>
        <w:spacing w:after="45"/>
      </w:pPr>
      <w:r>
        <w:rPr>
          <w:sz w:val="22"/>
        </w:rPr>
        <w:t>As partes deverão observar as seguintes responsabilidades e obrigações:</w:t>
      </w:r>
    </w:p>
    <w:p>
      <w:pPr>
        <w:jc w:val="both"/>
        <w:widowControl/>
        <w:ind w:left="195" w:right="45" w:hanging="150"/>
        <w:spacing w:after="45"/>
        <w:shd w:val="clear" w:color="auto" w:fill="0D0D0D"/>
      </w:pPr>
      <w:r>
        <w:rPr>
          <w:b/>
          <w:sz w:val="22"/>
          <w:color w:val="FFFFFF"/>
        </w:rPr>
        <w:t>1</w:t>
      </w:r>
      <w:r>
        <w:rPr>
          <w:b/>
          <w:sz w:val="22"/>
          <w:color w:val="FFFFFF"/>
        </w:rPr>
        <w:tab/>
      </w:r>
      <w:r>
        <w:rPr>
          <w:b/>
          <w:sz w:val="22"/>
          <w:color w:val="FFFFFF"/>
        </w:rPr>
        <w:t>– Obrigações da CONTRATADA:</w:t>
      </w:r>
    </w:p>
    <w:p>
      <w:pPr>
        <w:jc w:val="both"/>
        <w:widowControl/>
        <w:ind w:left="285" w:right="45" w:hanging="15"/>
        <w:spacing w:after="45"/>
      </w:pPr>
      <w:r>
        <w:rPr>
          <w:b/>
          <w:sz w:val="22"/>
        </w:rPr>
        <w:t>1.1</w:t>
      </w:r>
      <w:r>
        <w:rPr>
          <w:b/>
          <w:sz w:val="22"/>
        </w:rPr>
        <w:tab/>
      </w:r>
      <w:r>
        <w:rPr>
          <w:b/>
          <w:sz w:val="22"/>
        </w:rPr>
        <w:t>–</w:t>
      </w:r>
      <w:r>
        <w:rPr>
          <w:sz w:val="22"/>
        </w:rPr>
        <w:t xml:space="preserve"> A Contratada deve cumprir todas as obrigações constantes no presente contrato e demais documentos anexos, assumindo como exclusivamente seus, os riscos e as despesas, decorrentes da boa e perfeita execução do objeto e, ainda:</w:t>
      </w:r>
    </w:p>
    <w:p>
      <w:pPr>
        <w:jc w:val="both"/>
        <w:widowControl/>
        <w:ind w:left="705" w:right="45" w:hanging="15"/>
        <w:spacing w:after="45"/>
        <w:tabs>
          <w:tab w:val="left" w:pos="1275"/>
        </w:tabs>
      </w:pPr>
      <w:r>
        <w:rPr>
          <w:b/>
          <w:sz w:val="22"/>
        </w:rPr>
        <w:t>1.1.1</w:t>
      </w:r>
      <w:r>
        <w:rPr>
          <w:b/>
          <w:sz w:val="22"/>
        </w:rPr>
        <w:tab/>
      </w:r>
      <w:r>
        <w:rPr>
          <w:b/>
          <w:sz w:val="22"/>
        </w:rPr>
        <w:t>–</w:t>
      </w:r>
      <w:r>
        <w:rPr>
          <w:sz w:val="22"/>
        </w:rPr>
        <w:t xml:space="preserve"> Efetuar a entrega do objeto/execução do objeto em perfeitas condições, conforme especificações, prazo e local constantes no Termo de Referência, no presente contrato e demais documentos anexos;</w:t>
      </w:r>
    </w:p>
    <w:p>
      <w:pPr>
        <w:jc w:val="both"/>
        <w:widowControl/>
        <w:ind w:left="705" w:right="45" w:hanging="15"/>
        <w:spacing w:after="45"/>
        <w:tabs>
          <w:tab w:val="left" w:pos="1275"/>
        </w:tabs>
      </w:pPr>
      <w:r>
        <w:rPr>
          <w:b/>
          <w:sz w:val="22"/>
        </w:rPr>
        <w:t>1.1.2</w:t>
      </w:r>
      <w:r>
        <w:rPr>
          <w:b/>
          <w:sz w:val="22"/>
        </w:rPr>
        <w:tab/>
      </w:r>
      <w:r>
        <w:rPr>
          <w:b/>
          <w:sz w:val="22"/>
        </w:rPr>
        <w:t>–</w:t>
      </w:r>
      <w:r>
        <w:rPr>
          <w:sz w:val="22"/>
        </w:rPr>
        <w:t xml:space="preserve"> Responsabilizar-se pelos vícios e danos decorrentes do objeto, de acordo com os artigos 12, 13 e 17 a 27 do Código de Defesa do Consumidor (Lei nº 8.078/1990);</w:t>
      </w:r>
    </w:p>
    <w:p>
      <w:pPr>
        <w:jc w:val="both"/>
        <w:widowControl/>
        <w:ind w:left="705" w:right="45" w:hanging="15"/>
        <w:spacing w:after="45"/>
        <w:tabs>
          <w:tab w:val="left" w:pos="1275"/>
        </w:tabs>
      </w:pPr>
      <w:r>
        <w:rPr>
          <w:b/>
          <w:sz w:val="22"/>
        </w:rPr>
        <w:t>1.1.3</w:t>
      </w:r>
      <w:r>
        <w:rPr>
          <w:b/>
          <w:sz w:val="22"/>
        </w:rPr>
        <w:tab/>
      </w:r>
      <w:r>
        <w:rPr>
          <w:b/>
          <w:sz w:val="22"/>
        </w:rPr>
        <w:t>–</w:t>
      </w:r>
      <w:r>
        <w:rPr>
          <w:sz w:val="22"/>
        </w:rPr>
        <w:t xml:space="preserve"> A Contratada deverá substituir, reconstruir, remover, reparar ou corrigir, às suas expensas, no total ou em parte, no prazo máximo de 05 (cinco) dias o material/serviços nos quais se verificarem vícios, avarias, defeitos ou incorreções resultantes da execução ou dos materiais empregados;</w:t>
      </w:r>
    </w:p>
    <w:p>
      <w:pPr>
        <w:jc w:val="both"/>
        <w:widowControl/>
        <w:ind w:left="705" w:right="45" w:hanging="15"/>
        <w:spacing w:after="45"/>
        <w:tabs>
          <w:tab w:val="left" w:pos="1275"/>
        </w:tabs>
      </w:pPr>
      <w:r>
        <w:rPr>
          <w:b/>
          <w:sz w:val="22"/>
        </w:rPr>
        <w:t>1.1.4</w:t>
      </w:r>
      <w:r>
        <w:rPr>
          <w:b/>
          <w:sz w:val="22"/>
        </w:rPr>
        <w:tab/>
      </w:r>
      <w:r>
        <w:rPr>
          <w:b/>
          <w:sz w:val="22"/>
        </w:rPr>
        <w:t>–</w:t>
      </w:r>
      <w:r>
        <w:rPr>
          <w:sz w:val="22"/>
        </w:rPr>
        <w:t xml:space="preserve"> A Contratada deverá comunicar à Contratante, no prazo máximo de 24 (vinte e quatro) horas que antecede a data da execução, os motivos que impossibilitem o cumprimento do prazo previsto, com a devida comprovação;</w:t>
      </w:r>
    </w:p>
    <w:p>
      <w:pPr>
        <w:jc w:val="both"/>
        <w:widowControl/>
        <w:ind w:left="705" w:right="45" w:hanging="15"/>
        <w:spacing w:after="45"/>
        <w:tabs>
          <w:tab w:val="left" w:pos="1275"/>
        </w:tabs>
      </w:pPr>
      <w:r>
        <w:rPr>
          <w:b/>
          <w:sz w:val="22"/>
        </w:rPr>
        <w:t>1.1.5</w:t>
      </w:r>
      <w:r>
        <w:rPr>
          <w:b/>
          <w:sz w:val="22"/>
        </w:rPr>
        <w:tab/>
      </w:r>
      <w:r>
        <w:rPr>
          <w:b/>
          <w:sz w:val="22"/>
        </w:rPr>
        <w:t>–</w:t>
      </w:r>
      <w:r>
        <w:rPr>
          <w:sz w:val="22"/>
        </w:rPr>
        <w:t xml:space="preserve"> A Contratada deverá manter, durante toda a execução do contrato, em compatibilidade com as obrigações assumidas, todas as condições de habilitação e qualificação exigidas na licitação;</w:t>
      </w:r>
    </w:p>
    <w:p>
      <w:pPr>
        <w:jc w:val="both"/>
        <w:widowControl/>
        <w:ind w:left="705" w:right="45" w:hanging="15"/>
        <w:spacing w:after="45"/>
        <w:tabs>
          <w:tab w:val="left" w:pos="1275"/>
        </w:tabs>
      </w:pPr>
      <w:r>
        <w:rPr>
          <w:b/>
          <w:sz w:val="22"/>
        </w:rPr>
        <w:t>1.1.6</w:t>
      </w:r>
      <w:r>
        <w:rPr>
          <w:b/>
          <w:sz w:val="22"/>
        </w:rPr>
        <w:tab/>
      </w:r>
      <w:r>
        <w:rPr>
          <w:b/>
          <w:sz w:val="22"/>
        </w:rPr>
        <w:t>–</w:t>
      </w:r>
      <w:r>
        <w:rPr>
          <w:sz w:val="22"/>
        </w:rPr>
        <w:t xml:space="preserve"> Atender às determinações regulares, emitidas pelo fiscal (is) e gestor (es) do contrato, ou autoridade superior, conforme determinado no art. 137, inciso II da Lei Federal nº 14.133/2021, e prestar todo esclarecimento ou informação por ele (s) solicitado (s);</w:t>
      </w:r>
    </w:p>
    <w:p>
      <w:pPr>
        <w:jc w:val="both"/>
        <w:widowControl/>
        <w:ind w:left="705" w:right="45" w:hanging="15"/>
        <w:spacing w:after="45"/>
        <w:tabs>
          <w:tab w:val="left" w:pos="1275"/>
        </w:tabs>
      </w:pPr>
      <w:r>
        <w:rPr>
          <w:b/>
          <w:sz w:val="22"/>
        </w:rPr>
        <w:t>1.1.7</w:t>
      </w:r>
      <w:r>
        <w:rPr>
          <w:b/>
          <w:sz w:val="22"/>
        </w:rPr>
        <w:tab/>
      </w:r>
      <w:r>
        <w:rPr>
          <w:b/>
          <w:sz w:val="22"/>
        </w:rPr>
        <w:t>–</w:t>
      </w:r>
      <w:r>
        <w:rPr>
          <w:sz w:val="22"/>
        </w:rPr>
        <w:t xml:space="preserve"> Responsabilizar-se pelos vícios e danos decorrentes da execução do objeto, bem como por todo e qualquer dano causado à Administração Pública ou a terceiros, não reduzindo essa responsabilidade a fiscalização ou o acompanhamento da execução contratual pelo Contratante, que ficará autorizada a descontar dos pagamentos devidos ou da garantia, caso exigida, o valor correspondente aos danos sofridos;</w:t>
      </w:r>
    </w:p>
    <w:p>
      <w:pPr>
        <w:jc w:val="both"/>
        <w:widowControl/>
        <w:ind w:left="705" w:right="45" w:hanging="15"/>
        <w:spacing w:after="45"/>
        <w:tabs>
          <w:tab w:val="left" w:pos="1275"/>
        </w:tabs>
      </w:pPr>
      <w:r>
        <w:rPr>
          <w:b/>
          <w:sz w:val="22"/>
        </w:rPr>
        <w:t>1.1.8</w:t>
      </w:r>
      <w:r>
        <w:rPr>
          <w:b/>
          <w:sz w:val="22"/>
        </w:rPr>
        <w:tab/>
      </w:r>
      <w:r>
        <w:rPr>
          <w:b/>
          <w:sz w:val="22"/>
        </w:rPr>
        <w:t>–</w:t>
      </w:r>
      <w:r>
        <w:rPr>
          <w:sz w:val="22"/>
        </w:rPr>
        <w:t xml:space="preserve">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pPr>
        <w:jc w:val="both"/>
        <w:widowControl/>
        <w:ind w:left="705" w:right="45" w:hanging="15"/>
        <w:spacing w:after="45"/>
        <w:tabs>
          <w:tab w:val="left" w:pos="1275"/>
        </w:tabs>
      </w:pPr>
      <w:r>
        <w:rPr>
          <w:b/>
          <w:sz w:val="22"/>
        </w:rPr>
        <w:t>1.1.9</w:t>
      </w:r>
      <w:r>
        <w:rPr>
          <w:b/>
          <w:sz w:val="22"/>
        </w:rPr>
        <w:tab/>
      </w:r>
      <w:r>
        <w:rPr>
          <w:b/>
          <w:sz w:val="22"/>
        </w:rPr>
        <w:t>–</w:t>
      </w:r>
      <w:r>
        <w:rPr>
          <w:sz w:val="22"/>
        </w:rPr>
        <w:t xml:space="preserve"> Entregar ao setor responsável pela fiscalização do contrato, junto à Nota Fiscal para fins de pagamento, os seguintes documentos:</w:t>
      </w:r>
    </w:p>
    <w:p>
      <w:pPr>
        <w:jc w:val="both"/>
        <w:widowControl/>
        <w:ind w:right="45"/>
        <w:spacing w:after="45"/>
        <w:tabs>
          <w:tab w:val="left" w:pos="1275"/>
        </w:tabs>
        <w:numPr>
          <w:ilvl w:val="0"/>
          <w:numId w:val="73"/>
        </w:numPr>
      </w:pPr>
      <w:r/>
      <w:r>
        <w:rPr>
          <w:sz w:val="22"/>
        </w:rPr>
        <w:t xml:space="preserve"> Prova de regularidade relativa à Seguridade Social;</w:t>
      </w:r>
    </w:p>
    <w:p>
      <w:pPr>
        <w:jc w:val="both"/>
        <w:widowControl/>
        <w:ind w:right="45"/>
        <w:spacing w:after="45"/>
        <w:tabs>
          <w:tab w:val="left" w:pos="1275"/>
        </w:tabs>
        <w:numPr>
          <w:ilvl w:val="0"/>
          <w:numId w:val="73"/>
        </w:numPr>
      </w:pPr>
      <w:r/>
      <w:r>
        <w:rPr>
          <w:sz w:val="22"/>
        </w:rPr>
        <w:t xml:space="preserve"> Certidão Conjunta Relativa aos Tributos Federais e à Dívida Ativa da União;</w:t>
      </w:r>
    </w:p>
    <w:p>
      <w:pPr>
        <w:jc w:val="both"/>
        <w:widowControl/>
        <w:ind w:right="45"/>
        <w:spacing w:after="45"/>
        <w:tabs>
          <w:tab w:val="left" w:pos="1275"/>
        </w:tabs>
        <w:numPr>
          <w:ilvl w:val="0"/>
          <w:numId w:val="73"/>
        </w:numPr>
      </w:pPr>
      <w:r/>
      <w:r>
        <w:rPr>
          <w:sz w:val="22"/>
        </w:rPr>
        <w:t xml:space="preserve"> Certidões que comprovem a regularidade perante a Fazenda Estadual ou Distrital do domicílio ou sede da Contratada;</w:t>
      </w:r>
    </w:p>
    <w:p>
      <w:pPr>
        <w:jc w:val="both"/>
        <w:widowControl/>
        <w:ind w:right="45"/>
        <w:spacing w:after="45"/>
        <w:tabs>
          <w:tab w:val="left" w:pos="1275"/>
        </w:tabs>
        <w:numPr>
          <w:ilvl w:val="0"/>
          <w:numId w:val="73"/>
        </w:numPr>
      </w:pPr>
      <w:r/>
      <w:r>
        <w:rPr>
          <w:sz w:val="22"/>
        </w:rPr>
        <w:t xml:space="preserve"> Certidão de Regularidade do FGTS – CRF; e</w:t>
      </w:r>
    </w:p>
    <w:p>
      <w:pPr>
        <w:jc w:val="both"/>
        <w:widowControl/>
        <w:ind w:left="1140" w:right="45"/>
        <w:spacing w:after="45"/>
        <w:tabs>
          <w:tab w:val="left" w:pos="1275"/>
        </w:tabs>
      </w:pPr>
      <w:r>
        <w:rPr>
          <w:b/>
          <w:sz w:val="22"/>
        </w:rPr>
        <w:t>e)</w:t>
      </w:r>
      <w:r>
        <w:rPr>
          <w:sz w:val="22"/>
        </w:rPr>
        <w:t xml:space="preserve"> Certidão Negativa de Débitos Trabalhistas – CNDT;</w:t>
      </w:r>
    </w:p>
    <w:p>
      <w:pPr>
        <w:jc w:val="both"/>
        <w:widowControl/>
        <w:ind w:left="705" w:right="45" w:hanging="15"/>
        <w:spacing w:after="45"/>
        <w:tabs>
          <w:tab w:val="left" w:pos="1275"/>
        </w:tabs>
      </w:pPr>
      <w:r>
        <w:rPr>
          <w:b/>
          <w:sz w:val="22"/>
        </w:rPr>
        <w:t>1.1.10 –</w:t>
      </w:r>
      <w:r>
        <w:rPr>
          <w:sz w:val="22"/>
        </w:rPr>
        <w:t xml:space="preserve"> Responsabilizar-se pelo cumprimento de todas as obrigações trabalhistas, previdenciárias, fiscais, comerciais e demais previstas em legislação específica, cuja inadimplência não transfere a responsabilidade ao Contratante e não poderá onerar o objeto do contrato;</w:t>
      </w:r>
    </w:p>
    <w:p>
      <w:pPr>
        <w:jc w:val="both"/>
        <w:widowControl/>
        <w:ind w:left="705" w:right="45" w:hanging="15"/>
        <w:spacing w:after="45"/>
        <w:tabs>
          <w:tab w:val="left" w:pos="1275"/>
        </w:tabs>
      </w:pPr>
      <w:r>
        <w:rPr>
          <w:b/>
          <w:sz w:val="22"/>
        </w:rPr>
        <w:t>1.1.11 –</w:t>
      </w:r>
      <w:r>
        <w:rPr>
          <w:sz w:val="22"/>
        </w:rPr>
        <w:t xml:space="preserve"> Comunicar aos fiscais do contrato, no prazo de até 24 (vinte e quatro) horas, qualquer ocorrência anormal ou incidente que obste à execução do objeto contratual;</w:t>
      </w:r>
    </w:p>
    <w:p>
      <w:pPr>
        <w:jc w:val="both"/>
        <w:widowControl/>
        <w:ind w:left="705" w:right="45" w:hanging="15"/>
        <w:spacing w:after="45"/>
        <w:tabs>
          <w:tab w:val="left" w:pos="1275"/>
        </w:tabs>
      </w:pPr>
      <w:r>
        <w:rPr>
          <w:b/>
          <w:sz w:val="22"/>
        </w:rPr>
        <w:t>1.1.12 –</w:t>
      </w:r>
      <w:r>
        <w:rPr>
          <w:sz w:val="22"/>
        </w:rPr>
        <w:t xml:space="preserve"> Paralisar, por determinação do Contratante, qualquer atividade que não esteja sendo executada de acordo com a boa técnica ou que coloque em risco a segurança de pessoas ou bens de terceiros;</w:t>
      </w:r>
    </w:p>
    <w:p>
      <w:pPr>
        <w:jc w:val="both"/>
        <w:widowControl/>
        <w:ind w:left="705" w:right="45" w:hanging="15"/>
        <w:spacing w:after="45"/>
        <w:tabs>
          <w:tab w:val="left" w:pos="1275"/>
        </w:tabs>
      </w:pPr>
      <w:r>
        <w:rPr>
          <w:b/>
          <w:sz w:val="22"/>
        </w:rPr>
        <w:t>1.1.13 –</w:t>
      </w:r>
      <w:r>
        <w:rPr>
          <w:sz w:val="22"/>
        </w:rPr>
        <w:t xml:space="preserve"> Promover a guarda, manutenção e vigilância de materiais, ferramentas e tudo o que for necessário à execução do objeto, durante a vigência do contrato;</w:t>
      </w:r>
    </w:p>
    <w:p>
      <w:pPr>
        <w:jc w:val="both"/>
        <w:widowControl/>
        <w:ind w:left="705" w:right="45" w:hanging="15"/>
        <w:spacing w:after="45"/>
        <w:tabs>
          <w:tab w:val="left" w:pos="1275"/>
        </w:tabs>
      </w:pPr>
      <w:r>
        <w:rPr>
          <w:b/>
          <w:sz w:val="22"/>
        </w:rPr>
        <w:t>1.1.14 –</w:t>
      </w:r>
      <w:r>
        <w:rPr>
          <w:sz w:val="22"/>
        </w:rPr>
        <w:t xml:space="preserve"> Manter os empregados nos horários predeterminados pelo Contratante;</w:t>
      </w:r>
    </w:p>
    <w:p>
      <w:pPr>
        <w:jc w:val="both"/>
        <w:widowControl/>
        <w:ind w:left="705" w:right="45" w:hanging="15"/>
        <w:spacing w:after="45"/>
        <w:tabs>
          <w:tab w:val="left" w:pos="1275"/>
        </w:tabs>
      </w:pPr>
      <w:r>
        <w:rPr>
          <w:b/>
          <w:sz w:val="22"/>
        </w:rPr>
        <w:t>1.1.15 –</w:t>
      </w:r>
      <w:r>
        <w:rPr>
          <w:sz w:val="22"/>
        </w:rPr>
        <w:t xml:space="preserve"> Apresentar os empregados devidamente identificados, com uso de uniformes ou por meio de crachás;</w:t>
      </w:r>
    </w:p>
    <w:p>
      <w:pPr>
        <w:jc w:val="both"/>
        <w:widowControl/>
        <w:ind w:left="705" w:right="45" w:hanging="15"/>
        <w:spacing w:after="45"/>
        <w:tabs>
          <w:tab w:val="left" w:pos="1275"/>
        </w:tabs>
      </w:pPr>
      <w:r>
        <w:rPr>
          <w:b/>
          <w:sz w:val="22"/>
        </w:rPr>
        <w:t>1.1.16 –</w:t>
      </w:r>
      <w:r>
        <w:rPr>
          <w:sz w:val="22"/>
        </w:rPr>
        <w:t xml:space="preserve"> Apresentar ao Contratante, quando for o caso, a relação nominal dos empregados que adentrarão nas dependências da Administração para execução do serviço;</w:t>
      </w:r>
    </w:p>
    <w:p>
      <w:pPr>
        <w:jc w:val="both"/>
        <w:widowControl/>
        <w:ind w:left="705" w:right="45" w:hanging="15"/>
        <w:spacing w:after="45"/>
        <w:tabs>
          <w:tab w:val="left" w:pos="1275"/>
        </w:tabs>
      </w:pPr>
      <w:r>
        <w:rPr>
          <w:b/>
          <w:sz w:val="22"/>
        </w:rPr>
        <w:t>1.1.17 –</w:t>
      </w:r>
      <w:r>
        <w:rPr>
          <w:sz w:val="22"/>
        </w:rPr>
        <w:t xml:space="preserve"> Observar os preceitos da legislação sobre a jornada de trabalho, conforme a categoria profissional;</w:t>
      </w:r>
    </w:p>
    <w:p>
      <w:pPr>
        <w:jc w:val="both"/>
        <w:widowControl/>
        <w:ind w:left="705" w:right="45" w:hanging="15"/>
        <w:spacing w:after="45"/>
        <w:tabs>
          <w:tab w:val="left" w:pos="1275"/>
        </w:tabs>
      </w:pPr>
      <w:r>
        <w:rPr>
          <w:b/>
          <w:sz w:val="22"/>
        </w:rPr>
        <w:t>1.1.18 –</w:t>
      </w:r>
      <w:r>
        <w:rPr>
          <w:sz w:val="22"/>
        </w:rPr>
        <w:t xml:space="preserve"> Instruir seus empregados quanto à necessidade de acatar as normas internas da Contratante;</w:t>
      </w:r>
    </w:p>
    <w:p>
      <w:pPr>
        <w:jc w:val="both"/>
        <w:widowControl/>
        <w:ind w:left="705" w:right="45" w:hanging="15"/>
        <w:spacing w:after="45"/>
        <w:tabs>
          <w:tab w:val="left" w:pos="1275"/>
        </w:tabs>
      </w:pPr>
      <w:r>
        <w:rPr>
          <w:b/>
          <w:sz w:val="22"/>
        </w:rPr>
        <w:t>1.1.19 –</w:t>
      </w:r>
      <w:r>
        <w:rPr>
          <w:sz w:val="22"/>
        </w:rPr>
        <w:t xml:space="preserve"> Adotar as providências e precauções necessárias, inclusive consulta nos respectivos órgãos, se necessário for, a fim de que não venham a ser danificadas as redes hidrossanitárias, elétricas e de comunicação;</w:t>
      </w:r>
    </w:p>
    <w:p>
      <w:pPr>
        <w:jc w:val="both"/>
        <w:widowControl/>
        <w:ind w:left="705" w:right="45" w:hanging="15"/>
        <w:spacing w:after="45"/>
        <w:tabs>
          <w:tab w:val="left" w:pos="1275"/>
        </w:tabs>
      </w:pPr>
      <w:r>
        <w:rPr>
          <w:b/>
          <w:sz w:val="22"/>
        </w:rPr>
        <w:t>1.1.20 –</w:t>
      </w:r>
      <w:r>
        <w:rPr>
          <w:sz w:val="22"/>
        </w:rPr>
        <w:t xml:space="preserve"> Estar registrada ou inscrita no Conselho Profissional competente, conforme as áreas de atuação previstas no Termo de Referência, em plena validade;</w:t>
      </w:r>
    </w:p>
    <w:p>
      <w:pPr>
        <w:jc w:val="both"/>
        <w:widowControl/>
        <w:ind w:left="705" w:right="45" w:hanging="15"/>
        <w:spacing w:after="45"/>
        <w:tabs>
          <w:tab w:val="left" w:pos="1275"/>
        </w:tabs>
      </w:pPr>
      <w:r>
        <w:rPr>
          <w:b/>
          <w:sz w:val="22"/>
        </w:rPr>
        <w:t>1.1.21 –</w:t>
      </w:r>
      <w:r>
        <w:rPr>
          <w:sz w:val="22"/>
        </w:rPr>
        <w:t xml:space="preserve"> Obter junto aos órgãos competentes, conforme o caso, as licenças necessárias e demais documentos e autorizações exigíveis, na forma da legislação aplicável;</w:t>
      </w:r>
    </w:p>
    <w:p>
      <w:pPr>
        <w:jc w:val="both"/>
        <w:widowControl/>
        <w:ind w:left="705" w:right="45" w:hanging="15"/>
        <w:spacing w:after="45"/>
        <w:tabs>
          <w:tab w:val="left" w:pos="1275"/>
        </w:tabs>
      </w:pPr>
      <w:r>
        <w:rPr>
          <w:b/>
          <w:sz w:val="22"/>
        </w:rPr>
        <w:t>1.1.22 –</w:t>
      </w:r>
      <w:r>
        <w:rPr>
          <w:sz w:val="22"/>
        </w:rPr>
        <w:t xml:space="preserve"> Cumprir, durante todo o período de execução do contrato, a reserva de cargos prevista em lei para pessoa com deficiência, para reabilitado da Previdência Social ou para aprendiz, bem como as reservas de cargos previstas em legislação, conforme artigo 116 da Lei Federal nº 14.133/2021;</w:t>
      </w:r>
    </w:p>
    <w:p>
      <w:pPr>
        <w:jc w:val="both"/>
        <w:widowControl/>
        <w:ind w:left="705" w:right="45" w:hanging="15"/>
        <w:spacing w:after="45"/>
        <w:tabs>
          <w:tab w:val="left" w:pos="1275"/>
        </w:tabs>
      </w:pPr>
      <w:r>
        <w:rPr>
          <w:b/>
          <w:sz w:val="22"/>
        </w:rPr>
        <w:t>1.1.23 –</w:t>
      </w:r>
      <w:r>
        <w:rPr>
          <w:sz w:val="22"/>
        </w:rPr>
        <w:t xml:space="preserve"> Comprovar a reserva de cargos a que se refere a cláusula acima, no prazo fixado pelo fiscal do contrato, com a indicação dos empregados que preencheram as referidas vagas, conforme artigo 116, § único da Lei Federal nº 14.133/2021;</w:t>
      </w:r>
    </w:p>
    <w:p>
      <w:pPr>
        <w:jc w:val="both"/>
        <w:widowControl/>
        <w:ind w:left="705" w:right="45" w:hanging="15"/>
        <w:spacing w:after="45"/>
        <w:tabs>
          <w:tab w:val="left" w:pos="1275"/>
        </w:tabs>
      </w:pPr>
      <w:r>
        <w:rPr>
          <w:b/>
          <w:sz w:val="22"/>
        </w:rPr>
        <w:t xml:space="preserve">1.1.24 – </w:t>
      </w:r>
      <w:r>
        <w:rPr>
          <w:sz w:val="22"/>
        </w:rPr>
        <w:t>Guardar sigilo sobre todas as informações obtidas em decorrência do cumprimento do contrato;</w:t>
      </w:r>
    </w:p>
    <w:p>
      <w:pPr>
        <w:jc w:val="both"/>
        <w:widowControl/>
        <w:ind w:left="705" w:right="45" w:hanging="15"/>
        <w:spacing w:after="45"/>
        <w:tabs>
          <w:tab w:val="left" w:pos="1275"/>
        </w:tabs>
      </w:pPr>
      <w:r>
        <w:rPr>
          <w:b/>
          <w:sz w:val="22"/>
        </w:rPr>
        <w:t>1.1.25 –</w:t>
      </w:r>
      <w:r>
        <w:rPr>
          <w:sz w:val="22"/>
        </w:rPr>
        <w:t xml:space="preserve"> Arcar com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inciso II da Lei Federal nº 14.133/2021;</w:t>
      </w:r>
    </w:p>
    <w:p>
      <w:pPr>
        <w:jc w:val="both"/>
        <w:widowControl/>
        <w:ind w:right="45"/>
        <w:spacing w:after="45"/>
        <w:numPr>
          <w:ilvl w:val="0"/>
          <w:numId w:val="31"/>
        </w:numPr>
      </w:pPr>
      <w:r/>
      <w:r>
        <w:rPr>
          <w:sz w:val="22"/>
        </w:rPr>
        <w:t xml:space="preserve"> Para restabelecer equilíbrio econômico-financeiro inicial do contrato, a Contratada deverá apresentar requerimento formal à Administração, acompanhado de documentação comprobatória dos fatos alegados, ensejadores do eventual desequilíbrio;</w:t>
      </w:r>
    </w:p>
    <w:p>
      <w:pPr>
        <w:widowControl/>
        <w:ind w:right="45"/>
        <w:spacing w:after="45"/>
        <w:numPr>
          <w:ilvl w:val="0"/>
          <w:numId w:val="31"/>
        </w:numPr>
      </w:pPr>
      <w:r/>
      <w:r>
        <w:rPr>
          <w:sz w:val="22"/>
        </w:rPr>
        <w:t xml:space="preserve"> O pedido a que se refere a alínea “a” deste inciso, deverá ser formulado durante a vigência do contrato e antes de eventual prorrogação;</w:t>
      </w:r>
    </w:p>
    <w:p>
      <w:pPr>
        <w:jc w:val="both"/>
        <w:widowControl/>
        <w:ind w:left="705" w:right="45" w:hanging="15"/>
        <w:spacing w:after="45"/>
        <w:tabs>
          <w:tab w:val="left" w:pos="1275"/>
        </w:tabs>
      </w:pPr>
      <w:r>
        <w:rPr>
          <w:b/>
          <w:sz w:val="22"/>
        </w:rPr>
        <w:t>1.1.26 –</w:t>
      </w:r>
      <w:r>
        <w:rPr>
          <w:sz w:val="22"/>
        </w:rPr>
        <w:t xml:space="preserve"> Cumprir, além dos postulados legais vigentes de âmbito federal, estadual ou municipal, as normas de segurança do Contratante;</w:t>
      </w:r>
    </w:p>
    <w:p>
      <w:pPr>
        <w:jc w:val="both"/>
        <w:widowControl/>
        <w:ind w:left="705" w:right="45" w:hanging="15"/>
        <w:spacing w:after="45"/>
        <w:tabs>
          <w:tab w:val="left" w:pos="1275"/>
        </w:tabs>
      </w:pPr>
      <w:r>
        <w:rPr>
          <w:b/>
          <w:sz w:val="22"/>
        </w:rPr>
        <w:t>1.1.27 –</w:t>
      </w:r>
      <w:r>
        <w:rPr>
          <w:sz w:val="22"/>
        </w:rPr>
        <w:t xml:space="preserve"> Alocar os empregados necessários, com habilitação e conhecimento adequados, ao perfeito cumprimento das cláusulas deste contrato, fornecendo os materiais, equipamentos, ferramentas e/ou utensílios demandados, cuja quantidade, qualidade e tecnologia deverão atender às recomendações de boa técnica e a legislação de regência; </w:t>
      </w:r>
    </w:p>
    <w:p>
      <w:pPr>
        <w:jc w:val="both"/>
        <w:widowControl/>
        <w:ind w:left="705" w:right="45" w:hanging="15"/>
        <w:spacing w:after="45"/>
        <w:tabs>
          <w:tab w:val="left" w:pos="1275"/>
        </w:tabs>
      </w:pPr>
      <w:r>
        <w:rPr>
          <w:b/>
          <w:sz w:val="22"/>
        </w:rPr>
        <w:t>1.1.28 –</w:t>
      </w:r>
      <w:r>
        <w:rPr>
          <w:sz w:val="22"/>
        </w:rPr>
        <w:t xml:space="preserve"> Orientar e treinar seus empregados sobre os deveres previstos na Lei nº 13.709, de 14 de agosto de 2018, adotando medidas eficazes para proteção de dados pessoais a que tenha acesso por força de execução deste contrato; </w:t>
      </w:r>
    </w:p>
    <w:p>
      <w:pPr>
        <w:jc w:val="both"/>
        <w:widowControl/>
        <w:ind w:left="705" w:right="45" w:hanging="15"/>
        <w:spacing w:after="45"/>
        <w:tabs>
          <w:tab w:val="left" w:pos="1275"/>
        </w:tabs>
      </w:pPr>
      <w:r>
        <w:rPr>
          <w:b/>
          <w:sz w:val="22"/>
        </w:rPr>
        <w:t>1.1.29 –</w:t>
      </w:r>
      <w:r>
        <w:rPr>
          <w:sz w:val="22"/>
        </w:rPr>
        <w:t xml:space="preserve"> Conduzir os trabalhos com estrita observância às normas da legislação pertinente, cumprindo as determinações dos Poderes Públicos, mantendo sempre as condições de segurança e disciplina;</w:t>
      </w:r>
    </w:p>
    <w:p>
      <w:pPr>
        <w:jc w:val="both"/>
        <w:widowControl/>
        <w:ind w:left="705" w:right="45" w:hanging="15"/>
        <w:spacing w:after="45"/>
        <w:tabs>
          <w:tab w:val="left" w:pos="1275"/>
        </w:tabs>
      </w:pPr>
      <w:r>
        <w:rPr>
          <w:b/>
          <w:sz w:val="22"/>
        </w:rPr>
        <w:t>1.1.30 –</w:t>
      </w:r>
      <w:r>
        <w:rPr>
          <w:sz w:val="22"/>
        </w:rPr>
        <w:t xml:space="preserve"> Submeter previamente, por escrito, ao Contratante, para análise e aprovação, quaisquer mudanças nos métodos executivos que fujam às especificações do memorial descritivo ou instrumento congênere;</w:t>
      </w:r>
    </w:p>
    <w:p>
      <w:pPr>
        <w:jc w:val="both"/>
        <w:widowControl/>
        <w:ind w:left="705" w:right="45" w:hanging="15"/>
        <w:spacing w:after="45"/>
        <w:tabs>
          <w:tab w:val="left" w:pos="1275"/>
        </w:tabs>
      </w:pPr>
      <w:r>
        <w:rPr>
          <w:b/>
          <w:sz w:val="22"/>
        </w:rPr>
        <w:t>1.1.31 –</w:t>
      </w:r>
      <w:r>
        <w:rPr>
          <w:sz w:val="22"/>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pPr>
        <w:jc w:val="both"/>
        <w:widowControl/>
        <w:ind w:left="705" w:right="45" w:hanging="15"/>
        <w:spacing w:after="45"/>
        <w:tabs>
          <w:tab w:val="left" w:pos="1275"/>
        </w:tabs>
      </w:pPr>
      <w:r>
        <w:rPr>
          <w:b/>
          <w:sz w:val="22"/>
        </w:rPr>
        <w:t>1.1.32 –</w:t>
      </w:r>
      <w:r>
        <w:rPr>
          <w:sz w:val="22"/>
        </w:rPr>
        <w:t xml:space="preserve"> Indicar preposto para representá-lo durante toda a execução do contrato;</w:t>
      </w:r>
    </w:p>
    <w:p>
      <w:pPr>
        <w:jc w:val="both"/>
        <w:widowControl/>
        <w:ind w:left="705" w:right="45" w:hanging="15"/>
        <w:spacing w:after="45"/>
        <w:tabs>
          <w:tab w:val="left" w:pos="1275"/>
        </w:tabs>
      </w:pPr>
      <w:r>
        <w:rPr>
          <w:b/>
          <w:sz w:val="22"/>
        </w:rPr>
        <w:t>1.1.33 -</w:t>
      </w:r>
      <w:r>
        <w:rPr>
          <w:sz w:val="22"/>
        </w:rPr>
        <w:t xml:space="preserve"> Manter instalações adequadas à execução do contrato;</w:t>
      </w:r>
    </w:p>
    <w:p>
      <w:pPr>
        <w:jc w:val="both"/>
        <w:widowControl/>
        <w:ind w:left="705" w:right="45" w:hanging="15"/>
        <w:spacing w:after="45"/>
        <w:tabs>
          <w:tab w:val="left" w:pos="1275"/>
        </w:tabs>
      </w:pPr>
      <w:r>
        <w:rPr>
          <w:b/>
          <w:sz w:val="22"/>
        </w:rPr>
        <w:t>1.1.34 -</w:t>
      </w:r>
      <w:r>
        <w:rPr>
          <w:sz w:val="22"/>
        </w:rPr>
        <w:t xml:space="preserve"> Dirigir tecnicamente os serviços e obras, executando-os com rigorosa observância ao estabelecido nas Instruções, bem como na forma da lei, respeitando as recomendações das Normas Técnicas Brasileiras, das Normas Técnicas da Concessionária e o Código de Obras do Município.</w:t>
      </w:r>
    </w:p>
    <w:p>
      <w:pPr>
        <w:jc w:val="both"/>
        <w:widowControl/>
        <w:ind w:left="705" w:right="45" w:hanging="15"/>
        <w:spacing w:after="45"/>
        <w:tabs>
          <w:tab w:val="left" w:pos="1275"/>
        </w:tabs>
      </w:pPr>
      <w:r>
        <w:rPr>
          <w:b/>
          <w:sz w:val="22"/>
        </w:rPr>
        <w:t xml:space="preserve">1.1.35 - </w:t>
      </w:r>
      <w:r>
        <w:rPr>
          <w:sz w:val="22"/>
        </w:rPr>
        <w:t>Fornecer toda a mão de obra, ferramental, equipamentos e materiais necessários à execução dos serviços.</w:t>
      </w:r>
    </w:p>
    <w:p>
      <w:pPr>
        <w:jc w:val="both"/>
        <w:widowControl/>
        <w:ind w:left="705" w:right="45" w:hanging="15"/>
        <w:spacing w:after="45"/>
        <w:tabs>
          <w:tab w:val="left" w:pos="1275"/>
        </w:tabs>
      </w:pPr>
      <w:r>
        <w:rPr>
          <w:b/>
          <w:sz w:val="22"/>
        </w:rPr>
        <w:t>1.1.36 -</w:t>
      </w:r>
      <w:r>
        <w:rPr>
          <w:sz w:val="22"/>
        </w:rPr>
        <w:t xml:space="preserve"> Realizar todos os serviços descritos neste documento, e, diligenciar os casos omissos a fiscalização.</w:t>
      </w:r>
    </w:p>
    <w:p>
      <w:pPr>
        <w:jc w:val="both"/>
        <w:widowControl/>
        <w:ind w:left="705" w:right="45" w:hanging="15"/>
        <w:spacing w:after="45"/>
        <w:tabs>
          <w:tab w:val="left" w:pos="1275"/>
        </w:tabs>
      </w:pPr>
      <w:r>
        <w:rPr>
          <w:b/>
          <w:sz w:val="22"/>
        </w:rPr>
        <w:t>1.1.37 -</w:t>
      </w:r>
      <w:r>
        <w:rPr>
          <w:sz w:val="22"/>
        </w:rPr>
        <w:t xml:space="preserve"> Providenciar equipamentos de segurança individuais e coletivos necessários à segurança na execução dos trabalhos, observando as normas de Segurança e Medicina do Trabalho.</w:t>
      </w:r>
    </w:p>
    <w:p>
      <w:pPr>
        <w:jc w:val="both"/>
        <w:widowControl/>
        <w:ind w:left="705" w:right="45" w:hanging="15"/>
        <w:spacing w:after="45"/>
        <w:tabs>
          <w:tab w:val="left" w:pos="1275"/>
        </w:tabs>
      </w:pPr>
      <w:r>
        <w:rPr>
          <w:b/>
          <w:sz w:val="22"/>
        </w:rPr>
        <w:t>1.1.38 -</w:t>
      </w:r>
      <w:r>
        <w:rPr>
          <w:sz w:val="22"/>
        </w:rPr>
        <w:t xml:space="preserve"> Sinalizar, com equipamento adequado, conforme as normas e de acordo com as exigências do Código Nacional de Trânsito, os locais onde estiverem sendo executados os serviços.</w:t>
      </w:r>
    </w:p>
    <w:p>
      <w:pPr>
        <w:jc w:val="both"/>
        <w:widowControl/>
        <w:ind w:left="705" w:right="45" w:hanging="15"/>
        <w:spacing w:after="45"/>
        <w:tabs>
          <w:tab w:val="left" w:pos="1275"/>
        </w:tabs>
      </w:pPr>
      <w:r>
        <w:rPr>
          <w:b/>
          <w:sz w:val="22"/>
        </w:rPr>
        <w:t>1.1.39 -</w:t>
      </w:r>
      <w:r>
        <w:rPr>
          <w:sz w:val="22"/>
        </w:rPr>
        <w:t xml:space="preserve"> Utilizar somente pessoal comprovadamente habilitado para todos os serviços técnicos e administrativos.</w:t>
      </w:r>
    </w:p>
    <w:p>
      <w:pPr>
        <w:jc w:val="both"/>
        <w:widowControl/>
        <w:ind w:left="705" w:right="45" w:hanging="15"/>
        <w:spacing w:after="45"/>
        <w:tabs>
          <w:tab w:val="left" w:pos="1275"/>
        </w:tabs>
      </w:pPr>
      <w:r>
        <w:rPr>
          <w:b/>
          <w:sz w:val="22"/>
        </w:rPr>
        <w:t>1.1.40 -</w:t>
      </w:r>
      <w:r>
        <w:rPr>
          <w:sz w:val="22"/>
        </w:rPr>
        <w:t xml:space="preserve"> Manter seus empregados identificados e uniformizados.</w:t>
      </w:r>
    </w:p>
    <w:p>
      <w:pPr>
        <w:jc w:val="both"/>
        <w:widowControl/>
        <w:ind w:left="705" w:right="45" w:hanging="15"/>
        <w:spacing w:after="45"/>
        <w:tabs>
          <w:tab w:val="left" w:pos="1275"/>
        </w:tabs>
      </w:pPr>
      <w:r>
        <w:rPr>
          <w:b/>
          <w:sz w:val="22"/>
        </w:rPr>
        <w:t xml:space="preserve">1.1.41 - </w:t>
      </w:r>
      <w:r>
        <w:rPr>
          <w:sz w:val="22"/>
        </w:rPr>
        <w:t>A CONTRATADA deverá registrar Anotação de Responsabilidade Técnica dos serviços junto ao CREA, devendo a ser encaminhada via juntada à primeira Nota Fiscal/Fatura de Serviço.</w:t>
      </w:r>
    </w:p>
    <w:p>
      <w:pPr>
        <w:jc w:val="both"/>
        <w:widowControl/>
        <w:ind w:left="705" w:right="45" w:hanging="15"/>
        <w:spacing w:after="45"/>
        <w:tabs>
          <w:tab w:val="left" w:pos="1275"/>
        </w:tabs>
      </w:pPr>
      <w:r>
        <w:rPr>
          <w:b/>
          <w:sz w:val="22"/>
        </w:rPr>
        <w:t>1.1.42 –</w:t>
      </w:r>
      <w:r>
        <w:rPr>
          <w:sz w:val="22"/>
        </w:rPr>
        <w:t xml:space="preserve"> Emitir nota fiscal/documento fiscal, de acordo com a cláusula décima primeira do presente contrato.</w:t>
      </w:r>
    </w:p>
    <w:p>
      <w:pPr>
        <w:jc w:val="both"/>
        <w:widowControl/>
        <w:ind w:left="705" w:right="45" w:hanging="15"/>
        <w:spacing w:after="45"/>
        <w:tabs>
          <w:tab w:val="left" w:pos="1275"/>
        </w:tabs>
      </w:pPr>
      <w:r>
        <w:rPr>
          <w:b/>
          <w:sz w:val="22"/>
        </w:rPr>
        <w:t>1.1.43 –</w:t>
      </w:r>
      <w:r>
        <w:rPr>
          <w:sz w:val="22"/>
        </w:rPr>
        <w:t xml:space="preserve"> Efetuar comunicação ao Contratante, assim que tiver ciência da impossibilidade de realização ou finalização do serviço no prazo estabelecido, para adoção de ações de contingência cabíveis.</w:t>
      </w:r>
    </w:p>
    <w:p>
      <w:pPr>
        <w:jc w:val="both"/>
        <w:widowControl/>
        <w:ind w:right="45"/>
        <w:spacing w:after="45"/>
        <w:shd w:val="clear" w:color="auto" w:fill="0D0D0D"/>
        <w:tabs>
          <w:tab w:val="left" w:pos="285"/>
        </w:tabs>
        <w:numPr>
          <w:ilvl w:val="0"/>
          <w:numId w:val="36"/>
        </w:numPr>
      </w:pPr>
      <w:r/>
      <w:r>
        <w:rPr>
          <w:b/>
          <w:sz w:val="22"/>
          <w:color w:val="FFFFFF"/>
        </w:rPr>
        <w:t>– Obrigações da CONTRATANTE:</w:t>
      </w:r>
    </w:p>
    <w:p>
      <w:pPr>
        <w:jc w:val="both"/>
        <w:widowControl/>
        <w:ind w:right="45"/>
        <w:spacing w:after="45"/>
        <w:numPr>
          <w:ilvl w:val="1"/>
          <w:numId w:val="67"/>
        </w:numPr>
      </w:pPr>
      <w:r/>
      <w:r>
        <w:rPr>
          <w:sz w:val="22"/>
        </w:rPr>
        <w:t>- Receber o objeto no prazo e condições estabelecidas no Edital e seus anexos, no Termo de Referência e no presente contrato;</w:t>
      </w:r>
    </w:p>
    <w:p>
      <w:pPr>
        <w:jc w:val="both"/>
        <w:widowControl/>
        <w:ind w:right="45"/>
        <w:spacing w:after="45"/>
        <w:numPr>
          <w:ilvl w:val="1"/>
          <w:numId w:val="67"/>
        </w:numPr>
      </w:pPr>
      <w:r/>
      <w:r>
        <w:rPr>
          <w:sz w:val="22"/>
        </w:rPr>
        <w:t>– Previamente à expedição da ordem de serviço, verificar pendências, liberar áreas e/ou adotar providências cabíveis para a regularidade do início da sua execução.</w:t>
      </w:r>
    </w:p>
    <w:p>
      <w:pPr>
        <w:jc w:val="both"/>
        <w:widowControl/>
        <w:ind w:right="45"/>
        <w:spacing w:after="45"/>
        <w:numPr>
          <w:ilvl w:val="1"/>
          <w:numId w:val="67"/>
        </w:numPr>
      </w:pPr>
      <w:r/>
      <w:r>
        <w:rPr>
          <w:sz w:val="22"/>
        </w:rPr>
        <w:t>– Exigir o cumprimento de todas as obrigações assumidas pela Contratada, de acordo com o contrato e demais documentos anexos;</w:t>
      </w:r>
    </w:p>
    <w:p>
      <w:pPr>
        <w:jc w:val="both"/>
        <w:widowControl/>
        <w:ind w:right="45"/>
        <w:spacing w:after="45"/>
        <w:numPr>
          <w:ilvl w:val="1"/>
          <w:numId w:val="67"/>
        </w:numPr>
      </w:pPr>
      <w:r/>
      <w:r>
        <w:rPr>
          <w:sz w:val="22"/>
        </w:rPr>
        <w:t>– Verificar minuciosamente, no prazo fixado, a conformidade do objeto recebido provisoriamente, com as especificações estabelecidas no presente contrato, no Termo de Referência, bem como na proposta da Contratada, para fins de aceitação e recebimento definitivo;</w:t>
      </w:r>
    </w:p>
    <w:p>
      <w:pPr>
        <w:jc w:val="both"/>
        <w:widowControl/>
        <w:ind w:right="45"/>
        <w:spacing w:after="45"/>
        <w:numPr>
          <w:ilvl w:val="1"/>
          <w:numId w:val="67"/>
        </w:numPr>
      </w:pPr>
      <w:r/>
      <w:r>
        <w:rPr>
          <w:sz w:val="22"/>
        </w:rPr>
        <w:t>– Notificar a Contratada, por escrito, sobre imperfeições, falhas, irregularidades, vícios, defeitos e incorreções verificadas no objeto fornecido, para que seja por ela substituído, reparado ou corrigido, no total ou em partes, às suas expensas;</w:t>
      </w:r>
    </w:p>
    <w:p>
      <w:pPr>
        <w:jc w:val="both"/>
        <w:widowControl/>
        <w:ind w:right="45"/>
        <w:spacing w:after="45"/>
        <w:numPr>
          <w:ilvl w:val="1"/>
          <w:numId w:val="67"/>
        </w:numPr>
      </w:pPr>
      <w:r/>
      <w:r>
        <w:rPr>
          <w:sz w:val="22"/>
        </w:rPr>
        <w:t>– Acompanhar e fiscalizar a execução do contrato e o cumprimento das obrigações pela Contratada, por meio de servidor especialmente designado;</w:t>
      </w:r>
    </w:p>
    <w:p>
      <w:pPr>
        <w:jc w:val="both"/>
        <w:widowControl/>
        <w:ind w:right="45"/>
        <w:spacing w:after="45"/>
        <w:numPr>
          <w:ilvl w:val="1"/>
          <w:numId w:val="67"/>
        </w:numPr>
      </w:pPr>
      <w:r/>
      <w:r>
        <w:rPr>
          <w:sz w:val="22"/>
        </w:rPr>
        <w:t>– Comunicar a empresa para emissão da Nota Fiscal no que pertine à parcela incontroversa da execução do objeto, para efeito de liquidação e pagamento, quando houver controvérsia sobre a execução do objeto, quanto à dimensão, qualidade e quantidade, conforme o artigo 143 da Lei Federal nº 14.133/2021;</w:t>
      </w:r>
    </w:p>
    <w:p>
      <w:pPr>
        <w:jc w:val="both"/>
        <w:widowControl/>
        <w:ind w:right="45"/>
        <w:spacing w:after="45"/>
        <w:numPr>
          <w:ilvl w:val="1"/>
          <w:numId w:val="67"/>
        </w:numPr>
      </w:pPr>
      <w:r/>
      <w:r>
        <w:rPr>
          <w:sz w:val="22"/>
        </w:rPr>
        <w:t>– Efetuar o pagamento a Contratada do valor correspondente ao fornecimento/execução do objeto, no prazo, forma e condições estabelecidas no presente contrato;</w:t>
      </w:r>
    </w:p>
    <w:p>
      <w:pPr>
        <w:jc w:val="both"/>
        <w:widowControl/>
        <w:ind w:right="45"/>
        <w:spacing w:after="45"/>
        <w:numPr>
          <w:ilvl w:val="1"/>
          <w:numId w:val="67"/>
        </w:numPr>
      </w:pPr>
      <w:r/>
      <w:r>
        <w:rPr>
          <w:sz w:val="22"/>
        </w:rPr>
        <w:t>– Aplicar a Contratada as sanções previstas em Lei e no presente contrato;</w:t>
      </w:r>
    </w:p>
    <w:p>
      <w:pPr>
        <w:jc w:val="both"/>
        <w:widowControl/>
        <w:ind w:right="45"/>
        <w:spacing w:after="45"/>
        <w:numPr>
          <w:ilvl w:val="1"/>
          <w:numId w:val="67"/>
        </w:numPr>
      </w:pPr>
      <w:r/>
      <w:r>
        <w:rPr>
          <w:sz w:val="22"/>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jc w:val="both"/>
        <w:widowControl/>
        <w:ind w:right="45"/>
        <w:spacing w:after="45"/>
        <w:tabs>
          <w:tab w:val="left" w:pos="855"/>
        </w:tabs>
        <w:numPr>
          <w:ilvl w:val="1"/>
          <w:numId w:val="67"/>
        </w:numPr>
      </w:pPr>
      <w:r/>
      <w:r>
        <w:rPr>
          <w:sz w:val="22"/>
        </w:rPr>
        <w:t>– Responder eventuais pedidos de reestabelecimento do equilíbrio econômico-financeiro, feitos pela Contratada, no prazo de 60 (sessenta) dias, contados da data do protocolo do requerimento, conforme o art. 92, inciso XI, da Lei Federal nº 14.133/2021;</w:t>
      </w:r>
    </w:p>
    <w:p>
      <w:pPr>
        <w:jc w:val="both"/>
        <w:widowControl/>
        <w:ind w:left="855" w:right="45" w:hanging="15"/>
        <w:spacing w:after="45"/>
      </w:pPr>
      <w:r>
        <w:rPr>
          <w:sz w:val="22"/>
        </w:rPr>
        <w:t>a) O prazo estipulado no presente inciso poderá ser prorrogado por igual período, desde que devidamente motivado pela autoridade competente.</w:t>
      </w:r>
    </w:p>
    <w:p>
      <w:pPr>
        <w:jc w:val="both"/>
        <w:widowControl/>
        <w:ind w:left="420" w:right="45" w:hanging="15"/>
        <w:spacing w:after="45"/>
      </w:pPr>
      <w:r>
        <w:rPr>
          <w:b/>
          <w:sz w:val="22"/>
        </w:rPr>
        <w:t>2.12 –</w:t>
      </w:r>
      <w:r>
        <w:rPr>
          <w:sz w:val="22"/>
        </w:rPr>
        <w:t xml:space="preserve"> Notificar os emitentes da (s) garantia (s) no contrato, quanto ao início de processo administrativo para apuração de descumprimento de cláusulas contratuais.</w:t>
      </w:r>
    </w:p>
    <w:p>
      <w:pPr>
        <w:jc w:val="both"/>
        <w:widowControl/>
        <w:ind w:left="420" w:right="45" w:hanging="15"/>
        <w:spacing w:after="45"/>
      </w:pPr>
      <w:r>
        <w:rPr>
          <w:b/>
          <w:sz w:val="22"/>
        </w:rPr>
        <w:t>2.13 –</w:t>
      </w:r>
      <w:r>
        <w:rPr>
          <w:sz w:val="22"/>
        </w:rPr>
        <w:t xml:space="preserve"> Arquivar, entre outros documentos, de projetos “as built”, especificações técnicas, orçamentos, termos de recebimento, contratos e aditamentos, relatórios de inspeções técnicas após recebimento dos serviços e notificações expedidas.</w:t>
      </w:r>
    </w:p>
    <w:p>
      <w:pPr>
        <w:jc w:val="both"/>
        <w:widowControl/>
        <w:ind w:left="60" w:right="45" w:hanging="15"/>
        <w:spacing w:after="45"/>
      </w:pPr>
      <w:r>
        <w:rPr>
          <w:b/>
          <w:sz w:val="22"/>
        </w:rPr>
        <w:t>Parágrafo Único:</w:t>
      </w:r>
      <w:r>
        <w:rPr>
          <w:sz w:val="22"/>
        </w:rPr>
        <w:t xml:space="preserve"> O Contratante não responderá por quaisquer compromissos assumidos pela Contratada com terceiros, ainda que vinculados à execução do presente contrato, bem como por quaisquer danos causados a terceiros em decorrência de ato da Contratada, de seus empregados, prepostos ou subordinados.</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VIGÉSIMA – DOS MATERIAIS, VEÍCULOS, MÁQUINAS E EQUIPAMENTOS</w:t>
      </w:r>
    </w:p>
    <w:p>
      <w:pPr>
        <w:jc w:val="both"/>
        <w:widowControl/>
        <w:ind w:left="60" w:right="45" w:hanging="15"/>
        <w:spacing w:after="45"/>
      </w:pPr>
      <w:r>
        <w:rPr>
          <w:b/>
          <w:sz w:val="22"/>
        </w:rPr>
        <w:t>I –</w:t>
      </w:r>
      <w:r>
        <w:rPr>
          <w:sz w:val="22"/>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pPr>
        <w:jc w:val="both"/>
        <w:widowControl/>
        <w:ind w:left="60" w:right="45" w:hanging="15"/>
        <w:spacing w:after="45"/>
      </w:pPr>
      <w:r>
        <w:rPr>
          <w:b/>
          <w:sz w:val="22"/>
        </w:rPr>
        <w:t>Parágrafo Primeiro:</w:t>
      </w:r>
      <w:r>
        <w:rPr>
          <w:sz w:val="22"/>
        </w:rPr>
        <w:t xml:space="preserve"> A responsabilidade pelo fornecimento em tempo hábil dos materiais, veículos, máquinas e equipamentos será, exclusivamente, da CONTRATADA.</w:t>
      </w:r>
    </w:p>
    <w:p>
      <w:pPr>
        <w:jc w:val="both"/>
        <w:widowControl/>
        <w:ind w:left="60" w:right="45" w:hanging="15"/>
        <w:spacing w:after="45"/>
      </w:pPr>
      <w:r>
        <w:rPr>
          <w:b/>
          <w:sz w:val="22"/>
        </w:rPr>
        <w:t>Parágrafo Segundo:</w:t>
      </w:r>
      <w:r>
        <w:rPr>
          <w:sz w:val="22"/>
        </w:rPr>
        <w:t xml:space="preserve"> Sempre que dos documentos de licitação não constarem características determinadas em referência à mão-de-obra, materiais, artigos e equipamentos, entender-se-á que os mesmos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VIGÉSIMA PRIMEIRA - DA SEGURANÇA DA OBRA</w:t>
      </w:r>
    </w:p>
    <w:p>
      <w:pPr>
        <w:jc w:val="both"/>
        <w:widowControl/>
        <w:ind w:left="60" w:right="45" w:hanging="15"/>
        <w:spacing w:after="45"/>
      </w:pPr>
      <w:r>
        <w:rPr>
          <w:b/>
          <w:sz w:val="22"/>
        </w:rPr>
        <w:t>I –</w:t>
      </w:r>
      <w:r>
        <w:rPr>
          <w:sz w:val="22"/>
        </w:rPr>
        <w:t xml:space="preserve"> A CONTRATADA responderá pela solidez do objeto deste contrato, nos termos do art.618 do Código Civil Brasileiro de 2002, bem como pelo bom andamento dos serviços, podendo a CONTRATANTE, por intermédio da fiscalização, impugná-los quando contrariarem a boa técnica ou desobedecerem aos projetos e/ou especificações técnicas e/ou memoriais.</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VIGÉSIMA SEGUNDA – DA RESPONSABILIDADE CIVIL DA CONTRATADA</w:t>
      </w:r>
    </w:p>
    <w:p>
      <w:pPr>
        <w:jc w:val="both"/>
        <w:widowControl/>
        <w:ind w:left="60" w:right="45" w:hanging="15"/>
        <w:spacing w:after="45"/>
      </w:pPr>
      <w:r>
        <w:rPr>
          <w:b/>
          <w:sz w:val="22"/>
        </w:rPr>
        <w:t>I –</w:t>
      </w:r>
      <w:r>
        <w:rPr>
          <w:sz w:val="22"/>
        </w:rPr>
        <w:t xml:space="preserve"> 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VIGÉSIMA TERCEIRA – PRAZO E CONDIÇÕES PARA ASSINATURA DO CONTRATO</w:t>
      </w:r>
    </w:p>
    <w:p>
      <w:pPr>
        <w:jc w:val="both"/>
        <w:widowControl/>
        <w:ind w:left="60" w:right="45" w:hanging="15"/>
        <w:spacing w:after="45"/>
      </w:pPr>
      <w:r>
        <w:rPr>
          <w:b/>
          <w:sz w:val="22"/>
        </w:rPr>
        <w:t>I –</w:t>
      </w:r>
      <w:r>
        <w:rPr>
          <w:sz w:val="22"/>
        </w:rPr>
        <w:t xml:space="preserve"> Homologada a licitação pela autoridade competente da CONTRATANTE, a empresa licitante vencedora do certame será convocada oficialmente para, no prazo máximo de 05 (cinco) dias úteis, a contar da data do recebimento da convocação, assinar o Contrato, sob pena de decair o direito à contratação.</w:t>
      </w:r>
    </w:p>
    <w:p>
      <w:pPr>
        <w:jc w:val="both"/>
        <w:widowControl/>
        <w:ind w:left="60" w:right="45" w:hanging="15"/>
        <w:spacing w:after="45"/>
      </w:pPr>
      <w:r>
        <w:rPr>
          <w:b/>
          <w:sz w:val="22"/>
        </w:rPr>
        <w:t xml:space="preserve">Parágrafo Único: </w:t>
      </w:r>
      <w:r>
        <w:rPr>
          <w:sz w:val="22"/>
        </w:rPr>
        <w:t>O prazo previsto para assinatura do contrato ou para o aceite em instrumento equivalente poderá ser prorrogado 01 (uma) vez, por igual período, por solicitação justificada do adjudicatário e aceita pela Administração.</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VIGÉSIMA QUARTA – DA ALTERAÇÃO DO CONTRATO – AUMENTO E SUPRESSÃO</w:t>
      </w:r>
    </w:p>
    <w:p>
      <w:pPr>
        <w:jc w:val="both"/>
        <w:widowControl/>
        <w:ind w:right="45"/>
        <w:spacing w:after="45"/>
        <w:numPr>
          <w:ilvl w:val="0"/>
          <w:numId w:val="77"/>
        </w:numPr>
      </w:pPr>
      <w:r/>
      <w:r>
        <w:rPr>
          <w:sz w:val="22"/>
        </w:rPr>
        <w:t>– A critério da Administração, o objeto da presente licitação poderá sofrer acréscimos ou supressões, de acordo com oart. 125 da Lei Federal nº 14.133/21.</w:t>
      </w:r>
    </w:p>
    <w:p>
      <w:pPr>
        <w:jc w:val="both"/>
        <w:widowControl/>
        <w:ind w:right="45"/>
        <w:spacing w:after="45"/>
        <w:numPr>
          <w:ilvl w:val="0"/>
          <w:numId w:val="77"/>
        </w:numPr>
      </w:pPr>
      <w:r/>
      <w:r>
        <w:rPr>
          <w:sz w:val="22"/>
        </w:rPr>
        <w:t>– A empresa vencedora obriga-se a aceitar, nas mesmas condições contratuais, os acréscimos ou supressões até o limite de 25% (vinte e cinco por cento) do valor inicial do contrato, que, a critério da Administração, se façam necessários, ou a supressão além desse limite, mediante acordo entre as partes, conforme disposto no Art. 125 da Lei n° 14.133/21.</w:t>
      </w:r>
    </w:p>
    <w:p>
      <w:pPr>
        <w:jc w:val="both"/>
        <w:widowControl/>
        <w:ind w:right="45"/>
        <w:spacing w:after="45"/>
        <w:numPr>
          <w:ilvl w:val="0"/>
          <w:numId w:val="77"/>
        </w:numPr>
      </w:pPr>
      <w:r/>
      <w:r>
        <w:rPr>
          <w:sz w:val="22"/>
        </w:rPr>
        <w:t>– Nenhum acréscimo ou supressão poderá exceder o limite estabelecido neste item, exceto as supressões resultantes de acordo entre as partes.</w:t>
      </w:r>
    </w:p>
    <w:p>
      <w:pPr>
        <w:jc w:val="both"/>
        <w:widowControl/>
        <w:ind w:right="45"/>
        <w:spacing w:after="45"/>
        <w:numPr>
          <w:ilvl w:val="0"/>
          <w:numId w:val="77"/>
        </w:numPr>
      </w:pPr>
      <w:r/>
      <w:r>
        <w:rPr>
          <w:sz w:val="22"/>
        </w:rPr>
        <w:t>– Se no contrato não houver sido contemplados preços unitários para a obra, esses serão fixados mediante acordo entre as partes, respeitando os limites estabelecidos no caput desta cláusula.</w:t>
      </w:r>
    </w:p>
    <w:p>
      <w:pPr>
        <w:jc w:val="both"/>
        <w:widowControl/>
        <w:ind w:left="60" w:right="45"/>
        <w:spacing w:after="45"/>
      </w:pPr>
      <w:r>
        <w:rPr>
          <w:rFonts w:ascii="Times New Roman" w:hAnsi="Times New Roman" w:cs="Times New Roman" w:eastAsia="Times New Roman"/>
          <w:sz w:val="22"/>
        </w:rPr>
        <w:t/>
      </w:r>
    </w:p>
    <w:p>
      <w:pPr>
        <w:jc w:val="both"/>
        <w:widowControl/>
        <w:ind w:left="60" w:right="45" w:hanging="15"/>
        <w:spacing w:after="45"/>
        <w:shd w:val="clear" w:color="auto" w:fill="0D0D0D"/>
      </w:pPr>
      <w:r>
        <w:rPr>
          <w:b/>
          <w:sz w:val="22"/>
          <w:color w:val="FFFFFF"/>
        </w:rPr>
        <w:t>CLÁUSULA VIGÉSIMA QUINTA – DO RECEBIMENTO DOS SERVIÇOS, DA ACEITAÇÃO E DA POSSE</w:t>
      </w:r>
    </w:p>
    <w:p>
      <w:pPr>
        <w:jc w:val="both"/>
        <w:widowControl/>
        <w:ind w:left="60" w:right="45" w:hanging="15"/>
        <w:spacing w:after="45"/>
      </w:pPr>
      <w:r>
        <w:rPr>
          <w:b/>
          <w:sz w:val="22"/>
        </w:rPr>
        <w:t>I –</w:t>
      </w:r>
      <w:r>
        <w:rPr>
          <w:sz w:val="22"/>
        </w:rPr>
        <w:t xml:space="preserve"> O objeto deste contrato será recebido provisoriamente, em no máximo até 15 (quinze) dias após a comunicação da conclusão do objeto deste contrato pela CONTRATADA ao CONTRATANTE, por comissão especialmente designada pelo CONTRATANTE, ficando a CONTRATADA responsável pelo bom funcionamento dos serviços executados, até o seu recebimento definitivo, exceto por danos que sejam de responsabilidade do CONTRATANTE.</w:t>
      </w:r>
    </w:p>
    <w:p>
      <w:pPr>
        <w:jc w:val="both"/>
        <w:widowControl/>
        <w:ind w:left="60" w:right="45" w:hanging="15"/>
        <w:spacing w:after="45"/>
      </w:pPr>
      <w:r>
        <w:rPr>
          <w:b/>
          <w:sz w:val="22"/>
        </w:rPr>
        <w:t>Parágrafo Primeiro:</w:t>
      </w:r>
      <w:r>
        <w:rPr>
          <w:sz w:val="22"/>
        </w:rPr>
        <w:t xml:space="preserve"> O recebimento provisório ou definitivo não exclui a responsabilidade civil pela qualidade da obra, nem a ético-profissional, pela perfeita execução do contrato.</w:t>
      </w:r>
    </w:p>
    <w:p>
      <w:pPr>
        <w:jc w:val="both"/>
        <w:widowControl/>
        <w:ind w:left="60" w:right="45" w:hanging="15"/>
        <w:spacing w:after="45"/>
      </w:pPr>
      <w:r>
        <w:rPr>
          <w:b/>
          <w:sz w:val="22"/>
        </w:rPr>
        <w:t>Parágrafo Segundo:</w:t>
      </w:r>
      <w:r>
        <w:rPr>
          <w:sz w:val="22"/>
        </w:rPr>
        <w:t xml:space="preserve"> O CONTRATANTE toma posse do Canteiro de Obras e do objeto do contrato dentro de 03 (três) dias da data da formalização do Termo de Recebimento Definitivo.</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VIGÉSIMA SEXTA – DA DOTAÇÃO ORÇAMENTÁRIA</w:t>
      </w:r>
    </w:p>
    <w:p>
      <w:pPr>
        <w:jc w:val="both"/>
        <w:widowControl/>
        <w:ind w:left="60" w:right="45" w:hanging="15"/>
        <w:spacing w:after="45"/>
      </w:pPr>
      <w:r>
        <w:rPr>
          <w:b/>
          <w:sz w:val="22"/>
        </w:rPr>
        <w:t>I –</w:t>
      </w:r>
      <w:r>
        <w:rPr>
          <w:sz w:val="22"/>
        </w:rPr>
        <w:t xml:space="preserve"> As despesas com o presente contrato correrão por conta da seguinte dotação orçamentária:</w:t>
      </w:r>
    </w:p>
    <w:tbl>
      <w:tblPr>
        <w:tblW w:w="4500" w:type="pct"/>
        <w:jc w:val="center"/>
        <w:tblLayout w:type="fixed"/>
        <w:tblCellMar>
          <w:top w:w="15" w:type="dxa"/>
          <w:left w:w="15" w:type="dxa"/>
          <w:bottom w:w="15" w:type="dxa"/>
          <w:right w:w="15" w:type="dxa"/>
        </w:tblCellMar>
        <w:tblInd w:w="165" w:type="dxa"/>
      </w:tblPr>
      <w:tblGrid>
        <w:gridCol w:w="990"/>
        <w:gridCol w:w="990"/>
        <w:gridCol w:w="3405"/>
        <w:gridCol w:w="990"/>
        <w:gridCol w:w="1800"/>
        <w:gridCol w:w="1800"/>
      </w:tblGrid>
      <w:tr>
        <w:tc>
          <w:tcPr>
            <w:gridSpan w:val="6"/>
            <w:tcBorders>
              <w:left w:val="single" w:sz="6" w:color="000000"/>
              <w:top w:val="single" w:sz="6" w:color="000000"/>
              <w:right w:val="single" w:sz="6" w:color="000000"/>
              <w:bottom w:val="single" w:sz="6" w:color="000000"/>
            </w:tcBorders>
          </w:tcPr>
          <w:p>
            <w:r>
              <w:t>Dotações</w:t>
            </w:r>
          </w:p>
        </w:tc>
      </w:tr>
      <w:tr>
        <w:tc>
          <w:tcPr>
            <w:tcW w:w="500" w:type="pct"/>
            <w:tcBorders>
              <w:left w:val="single" w:sz="6" w:color="000000"/>
              <w:top w:val="single" w:sz="6" w:color="000000"/>
              <w:right w:val="single" w:sz="6" w:color="000000"/>
              <w:bottom w:val="single" w:sz="6" w:color="000000"/>
            </w:tcBorders>
            <w:shd w:val="clear" w:color="auto" w:fill="C0C0C0"/>
          </w:tcPr>
          <w:p>
            <w:r>
              <w:t>Exercício da despesa</w:t>
            </w:r>
          </w:p>
        </w:tc>
        <w:tc>
          <w:tcPr>
            <w:tcW w:w="500" w:type="pct"/>
            <w:tcBorders>
              <w:left w:val="single" w:sz="6" w:color="000000"/>
              <w:top w:val="single" w:sz="6" w:color="000000"/>
              <w:right w:val="single" w:sz="6" w:color="000000"/>
              <w:bottom w:val="single" w:sz="6" w:color="000000"/>
            </w:tcBorders>
            <w:shd w:val="clear" w:color="auto" w:fill="C0C0C0"/>
          </w:tcPr>
          <w:p>
            <w:r>
              <w:t>Conta da despesa</w:t>
            </w:r>
          </w:p>
        </w:tc>
        <w:tc>
          <w:tcPr>
            <w:tcW w:w="1700" w:type="pct"/>
            <w:tcBorders>
              <w:left w:val="single" w:sz="6" w:color="000000"/>
              <w:top w:val="single" w:sz="6" w:color="000000"/>
              <w:right w:val="single" w:sz="6" w:color="000000"/>
              <w:bottom w:val="single" w:sz="6" w:color="000000"/>
            </w:tcBorders>
            <w:shd w:val="clear" w:color="auto" w:fill="C0C0C0"/>
          </w:tcPr>
          <w:p>
            <w:r>
              <w:t>Funcional programática</w:t>
            </w:r>
          </w:p>
        </w:tc>
        <w:tc>
          <w:tcPr>
            <w:tcW w:w="500" w:type="pct"/>
            <w:tcBorders>
              <w:left w:val="single" w:sz="6" w:color="000000"/>
              <w:top w:val="single" w:sz="6" w:color="000000"/>
              <w:right w:val="single" w:sz="6" w:color="000000"/>
              <w:bottom w:val="single" w:sz="6" w:color="000000"/>
            </w:tcBorders>
            <w:shd w:val="clear" w:color="auto" w:fill="C0C0C0"/>
          </w:tcPr>
          <w:p>
            <w:r>
              <w:t>Fonte de recurso</w:t>
            </w:r>
          </w:p>
        </w:tc>
        <w:tc>
          <w:tcPr>
            <w:tcW w:w="900" w:type="pct"/>
            <w:tcBorders>
              <w:left w:val="single" w:sz="6" w:color="000000"/>
              <w:top w:val="single" w:sz="6" w:color="000000"/>
              <w:right w:val="single" w:sz="6" w:color="000000"/>
              <w:bottom w:val="single" w:sz="6" w:color="000000"/>
            </w:tcBorders>
            <w:shd w:val="clear" w:color="auto" w:fill="C0C0C0"/>
          </w:tcPr>
          <w:p>
            <w:r>
              <w:t>Natureza da despesa</w:t>
            </w:r>
          </w:p>
        </w:tc>
        <w:tc>
          <w:tcPr>
            <w:tcW w:w="900" w:type="pct"/>
            <w:tcBorders>
              <w:left w:val="single" w:sz="6" w:color="000000"/>
              <w:top w:val="single" w:sz="6" w:color="000000"/>
              <w:right w:val="single" w:sz="6" w:color="000000"/>
              <w:bottom w:val="single" w:sz="6" w:color="000000"/>
            </w:tcBorders>
            <w:shd w:val="clear" w:color="auto" w:fill="C0C0C0"/>
          </w:tcPr>
          <w:p>
            <w:r>
              <w:t>Grupo da fonte</w:t>
            </w:r>
          </w:p>
        </w:tc>
      </w:tr>
      <w:tr>
        <w:tc>
          <w:tcPr>
            <w:tcBorders>
              <w:left w:val="single" w:sz="6" w:color="000000"/>
              <w:top w:val="single" w:sz="6" w:color="000000"/>
              <w:right w:val="single" w:sz="6" w:color="000000"/>
              <w:bottom w:val="single" w:sz="6" w:color="000000"/>
            </w:tcBorders>
          </w:tcPr>
          <w:p>
            <w:r>
              <w:t>2026</w:t>
            </w:r>
          </w:p>
        </w:tc>
        <w:tc>
          <w:tcPr>
            <w:tcBorders>
              <w:left w:val="single" w:sz="6" w:color="000000"/>
              <w:top w:val="single" w:sz="6" w:color="000000"/>
              <w:right w:val="single" w:sz="6" w:color="000000"/>
              <w:bottom w:val="single" w:sz="6" w:color="000000"/>
            </w:tcBorders>
          </w:tcPr>
          <w:p>
            <w:r>
              <w:t>5020</w:t>
            </w:r>
          </w:p>
        </w:tc>
        <w:tc>
          <w:tcPr>
            <w:tcBorders>
              <w:left w:val="single" w:sz="6" w:color="000000"/>
              <w:top w:val="single" w:sz="6" w:color="000000"/>
              <w:right w:val="single" w:sz="6" w:color="000000"/>
              <w:bottom w:val="single" w:sz="6" w:color="000000"/>
            </w:tcBorders>
          </w:tcPr>
          <w:p>
            <w:r>
              <w:t>06.002.15.451.0008.1069</w:t>
            </w:r>
          </w:p>
        </w:tc>
        <w:tc>
          <w:tcPr>
            <w:tcBorders>
              <w:left w:val="single" w:sz="6" w:color="000000"/>
              <w:top w:val="single" w:sz="6" w:color="000000"/>
              <w:right w:val="single" w:sz="6" w:color="000000"/>
              <w:bottom w:val="single" w:sz="6" w:color="000000"/>
            </w:tcBorders>
          </w:tcPr>
          <w:p>
            <w:r>
              <w:t>922</w:t>
            </w:r>
          </w:p>
        </w:tc>
        <w:tc>
          <w:tcPr>
            <w:tcBorders>
              <w:left w:val="single" w:sz="6" w:color="000000"/>
              <w:top w:val="single" w:sz="6" w:color="000000"/>
              <w:right w:val="single" w:sz="6" w:color="000000"/>
              <w:bottom w:val="single" w:sz="6" w:color="000000"/>
            </w:tcBorders>
          </w:tcPr>
          <w:p>
            <w:r>
              <w:t>4.4.90.51.00.00</w:t>
            </w:r>
          </w:p>
        </w:tc>
        <w:tc>
          <w:tcPr>
            <w:tcBorders>
              <w:left w:val="single" w:sz="6" w:color="000000"/>
              <w:top w:val="single" w:sz="6" w:color="000000"/>
              <w:right w:val="single" w:sz="6" w:color="000000"/>
              <w:bottom w:val="single" w:sz="6" w:color="000000"/>
            </w:tcBorders>
          </w:tcPr>
          <w:p>
            <w:r>
              <w:t>Do Exercício</w:t>
            </w:r>
          </w:p>
        </w:tc>
      </w:tr>
    </w:tbl>
    <w:p>
      <w:pPr>
        <w:jc w:val="center"/>
        <w:outlineLvl w:val="1"/>
        <w:widowControl/>
        <w:ind w:left="165"/>
        <w:spacing w:before="15"/>
      </w:pPr>
      <w:r>
        <w:rPr>
          <w:sz w:val="22"/>
        </w:rPr>
        <w:t/>
      </w:r>
    </w:p>
    <w:p>
      <w:pPr>
        <w:jc w:val="both"/>
        <w:widowControl/>
        <w:ind w:left="60" w:right="45" w:hanging="15"/>
        <w:spacing w:after="45"/>
      </w:pPr>
      <w:r>
        <w:rPr>
          <w:rFonts w:ascii="Times New Roman" w:hAnsi="Times New Roman" w:cs="Times New Roman" w:eastAsia="Times New Roman"/>
          <w:sz w:val="22"/>
        </w:rPr>
        <w:t/>
      </w:r>
    </w:p>
    <w:p>
      <w:pPr>
        <w:jc w:val="both"/>
        <w:widowControl/>
        <w:ind w:left="60" w:right="45" w:hanging="15"/>
        <w:spacing w:after="45"/>
        <w:shd w:val="clear" w:color="auto" w:fill="0D0D0D"/>
      </w:pPr>
      <w:r>
        <w:rPr>
          <w:b/>
          <w:sz w:val="22"/>
          <w:color w:val="FFFFFF"/>
        </w:rPr>
        <w:t>CLAUSULA VIGÉSIMA SÉTIMA – DA RESCISÃO CONTRATUAL</w:t>
      </w:r>
    </w:p>
    <w:p>
      <w:pPr>
        <w:jc w:val="both"/>
        <w:widowControl/>
        <w:ind w:right="45"/>
        <w:spacing w:after="45"/>
        <w:numPr>
          <w:ilvl w:val="0"/>
          <w:numId w:val="90"/>
        </w:numPr>
      </w:pPr>
      <w:r/>
      <w:r>
        <w:rPr>
          <w:sz w:val="22"/>
        </w:rPr>
        <w:t>– A rescisão do presente contrato poderá ocorrer nas hipóteses e condições previstas nos artigos 137, 138 e 139 da Lei nº 14.133/2021, sem prejuízo da aplicação das sanções previstas no presente contrato.</w:t>
      </w:r>
    </w:p>
    <w:p>
      <w:pPr>
        <w:jc w:val="both"/>
        <w:widowControl/>
        <w:ind w:right="45"/>
        <w:spacing w:after="45"/>
        <w:numPr>
          <w:ilvl w:val="0"/>
          <w:numId w:val="90"/>
        </w:numPr>
      </w:pPr>
      <w:r/>
      <w:r>
        <w:rPr>
          <w:sz w:val="22"/>
        </w:rPr>
        <w:t>– Os casos de rescisão contratual serão formalmente motivados, assegurando-se à CONTRATADA o direito à prévia e ampla defesa.</w:t>
      </w:r>
    </w:p>
    <w:p>
      <w:pPr>
        <w:jc w:val="both"/>
        <w:widowControl/>
        <w:ind w:right="45"/>
        <w:spacing w:after="45"/>
        <w:numPr>
          <w:ilvl w:val="0"/>
          <w:numId w:val="90"/>
        </w:numPr>
      </w:pPr>
      <w:r/>
      <w:r>
        <w:rPr>
          <w:sz w:val="22"/>
        </w:rPr>
        <w:t>– O termo de rescisão será lavrado sob orientação da Controladoria do Município, no que couber.</w:t>
      </w:r>
    </w:p>
    <w:p>
      <w:pPr>
        <w:jc w:val="both"/>
        <w:widowControl/>
        <w:ind w:left="285" w:right="45" w:hanging="15"/>
        <w:spacing w:after="45"/>
      </w:pPr>
      <w:r>
        <w:rPr>
          <w:b/>
          <w:sz w:val="22"/>
        </w:rPr>
        <w:t>a)</w:t>
      </w:r>
      <w:r>
        <w:rPr>
          <w:sz w:val="22"/>
        </w:rPr>
        <w:t xml:space="preserve"> Em nenhuma hipótese a CONTRATANTE pagará indenização à CONTRATADA por encargos resultantes da Legislação Trabalhista Previdenciária, Fiscal e Comercial, bem como aqueles resultantes de atos ilícitos praticados pela CONTRATADA e seus prepostos a terceiros.</w:t>
      </w:r>
    </w:p>
    <w:p>
      <w:pPr>
        <w:jc w:val="both"/>
        <w:widowControl/>
        <w:ind w:left="60" w:right="45" w:hanging="15"/>
        <w:spacing w:after="45"/>
      </w:pPr>
      <w:r>
        <w:rPr>
          <w:b/>
          <w:sz w:val="22"/>
        </w:rPr>
        <w:t>IV –</w:t>
      </w:r>
      <w:r>
        <w:rPr>
          <w:sz w:val="22"/>
        </w:rPr>
        <w:t xml:space="preserve"> O termo de rescisão, sempre que possível, deverá indicar:</w:t>
      </w:r>
    </w:p>
    <w:p>
      <w:pPr>
        <w:jc w:val="both"/>
        <w:widowControl/>
        <w:ind w:right="45"/>
        <w:spacing w:after="45"/>
        <w:numPr>
          <w:ilvl w:val="0"/>
          <w:numId w:val="82"/>
        </w:numPr>
      </w:pPr>
      <w:r/>
      <w:r>
        <w:rPr>
          <w:sz w:val="22"/>
        </w:rPr>
        <w:t xml:space="preserve"> Balanço dos eventos contratuais já cumpridos ou parcialmente cumpridos em relação ao cronograma físico-financeiro atualizado;</w:t>
      </w:r>
    </w:p>
    <w:p>
      <w:pPr>
        <w:jc w:val="both"/>
        <w:widowControl/>
        <w:ind w:right="45"/>
        <w:spacing w:after="45"/>
        <w:numPr>
          <w:ilvl w:val="0"/>
          <w:numId w:val="82"/>
        </w:numPr>
      </w:pPr>
      <w:r/>
      <w:r>
        <w:rPr>
          <w:sz w:val="22"/>
        </w:rPr>
        <w:t xml:space="preserve"> Relação dos pagamentos já efetuados e os ainda devidos;</w:t>
      </w:r>
    </w:p>
    <w:p>
      <w:pPr>
        <w:jc w:val="both"/>
        <w:widowControl/>
        <w:ind w:right="45"/>
        <w:spacing w:after="45"/>
        <w:numPr>
          <w:ilvl w:val="0"/>
          <w:numId w:val="82"/>
        </w:numPr>
      </w:pPr>
      <w:r/>
      <w:r>
        <w:rPr>
          <w:sz w:val="22"/>
        </w:rPr>
        <w:t xml:space="preserve"> Multas e eventuais indenizações.</w:t>
      </w:r>
    </w:p>
    <w:p>
      <w:pPr>
        <w:jc w:val="both"/>
        <w:widowControl/>
        <w:ind w:right="45"/>
        <w:spacing w:after="45"/>
        <w:numPr>
          <w:ilvl w:val="0"/>
          <w:numId w:val="42"/>
        </w:numPr>
      </w:pPr>
      <w:r/>
      <w:r>
        <w:rPr>
          <w:b/>
          <w:sz w:val="22"/>
        </w:rPr>
        <w:t xml:space="preserve">– </w:t>
      </w:r>
      <w:r>
        <w:rPr>
          <w:sz w:val="22"/>
        </w:rPr>
        <w:t>Rescindido o contrato, o CONTRATANTE assinalará prazo para que a CONTRATADA desmobilize o canteiro, deixando o bem imóvel inteiramente livre e desimpedido.</w:t>
      </w:r>
    </w:p>
    <w:p>
      <w:pPr>
        <w:jc w:val="both"/>
        <w:widowControl/>
        <w:ind w:right="45"/>
        <w:spacing w:after="45"/>
        <w:numPr>
          <w:ilvl w:val="0"/>
          <w:numId w:val="42"/>
        </w:numPr>
      </w:pPr>
      <w:r/>
      <w:r>
        <w:rPr>
          <w:sz w:val="22"/>
        </w:rPr>
        <w:t>– O descumprimento das obrigações contratuais relativas à conformidade ao marco legal anticorrupção poderá submeter a CONTRATADA à rescisão unilateral do contrato, a critério do CONTRATANTE, sem prejuízo da aplicação das sanções penais e administrativas cabíveis e, também, da instauração do processo administrativo de responsabilização de que tratam a Lei Federal nº 12.846/2013.</w:t>
      </w:r>
    </w:p>
    <w:p>
      <w:pPr>
        <w:jc w:val="both"/>
        <w:widowControl/>
        <w:ind w:left="60" w:right="45"/>
        <w:spacing w:after="45"/>
      </w:pPr>
      <w:r>
        <w:rPr>
          <w:rFonts w:ascii="Times New Roman" w:hAnsi="Times New Roman" w:cs="Times New Roman" w:eastAsia="Times New Roman"/>
          <w:sz w:val="22"/>
        </w:rPr>
        <w:t/>
      </w:r>
    </w:p>
    <w:p>
      <w:pPr>
        <w:jc w:val="both"/>
        <w:widowControl/>
        <w:ind w:left="60" w:right="45" w:hanging="15"/>
        <w:spacing w:after="45"/>
        <w:shd w:val="clear" w:color="auto" w:fill="0D0D0D"/>
      </w:pPr>
      <w:r>
        <w:rPr>
          <w:b/>
          <w:sz w:val="22"/>
          <w:color w:val="FFFFFF"/>
        </w:rPr>
        <w:t>CLÁUSULA VIGÉSIMA OITAVA – DA ANTICORRUPÇÃO</w:t>
      </w:r>
    </w:p>
    <w:p>
      <w:pPr>
        <w:jc w:val="both"/>
        <w:widowControl/>
        <w:ind w:left="60" w:right="45" w:hanging="15"/>
        <w:spacing w:after="45"/>
      </w:pPr>
      <w:r>
        <w:rPr>
          <w:b/>
          <w:sz w:val="22"/>
        </w:rPr>
        <w:t>I –</w:t>
      </w:r>
      <w:r>
        <w:rPr>
          <w:sz w:val="22"/>
        </w:rPr>
        <w:t xml:space="preserve"> As partes declaram conhecer as normas de prevenção à corrupção, previstas na legislação brasileira, dentre elas: a Lei de Improbidade Administrativa (Lei nº 8.429/1992), a Lei nº 12.846/2013 e seus regulamentos; e para a execução deste contrato, se comprometem que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VIGÉSIMA NONA – DAS INFRAÇÕES E SANÇÕES ADMINISTRATIVAS</w:t>
      </w:r>
    </w:p>
    <w:p>
      <w:pPr>
        <w:jc w:val="both"/>
        <w:widowControl/>
        <w:ind w:left="60" w:right="1560" w:hanging="15"/>
        <w:spacing w:after="45"/>
      </w:pPr>
      <w:r>
        <w:rPr>
          <w:b/>
          <w:sz w:val="22"/>
        </w:rPr>
        <w:t>I –</w:t>
      </w:r>
      <w:r>
        <w:rPr>
          <w:sz w:val="22"/>
        </w:rPr>
        <w:t xml:space="preserve"> Comete infração administrativa, nos termos da Lei Federal nº 14.133/2021, a CONTRATADA que: </w:t>
      </w:r>
    </w:p>
    <w:p>
      <w:pPr>
        <w:jc w:val="both"/>
        <w:widowControl/>
        <w:ind w:left="135" w:right="1560" w:hanging="15"/>
        <w:spacing w:after="45"/>
      </w:pPr>
      <w:r>
        <w:rPr>
          <w:b/>
          <w:sz w:val="22"/>
        </w:rPr>
        <w:t>a)</w:t>
      </w:r>
      <w:r>
        <w:rPr>
          <w:sz w:val="22"/>
        </w:rPr>
        <w:t xml:space="preserve"> der causa à inexecução parcial do contrato;</w:t>
      </w:r>
    </w:p>
    <w:p>
      <w:pPr>
        <w:jc w:val="both"/>
        <w:widowControl/>
        <w:ind w:right="45"/>
        <w:spacing w:after="45"/>
        <w:numPr>
          <w:ilvl w:val="0"/>
          <w:numId w:val="71"/>
        </w:numPr>
      </w:pPr>
      <w:r/>
      <w:r>
        <w:rPr>
          <w:sz w:val="22"/>
        </w:rPr>
        <w:t xml:space="preserve"> der causa à inexecução parcial do contrato, que cause grave dano à Administração ou ao funcionamento dos serviços públicos ou ao interesse coletivo;</w:t>
      </w:r>
    </w:p>
    <w:p>
      <w:pPr>
        <w:jc w:val="both"/>
        <w:widowControl/>
        <w:ind w:right="45"/>
        <w:spacing w:after="45"/>
        <w:numPr>
          <w:ilvl w:val="0"/>
          <w:numId w:val="71"/>
        </w:numPr>
      </w:pPr>
      <w:r/>
      <w:r>
        <w:rPr>
          <w:sz w:val="22"/>
        </w:rPr>
        <w:t xml:space="preserve"> der causa à inexecução total do contrato;</w:t>
      </w:r>
    </w:p>
    <w:p>
      <w:pPr>
        <w:jc w:val="both"/>
        <w:widowControl/>
        <w:ind w:right="45"/>
        <w:spacing w:after="45"/>
        <w:numPr>
          <w:ilvl w:val="0"/>
          <w:numId w:val="71"/>
        </w:numPr>
      </w:pPr>
      <w:r/>
      <w:r>
        <w:rPr>
          <w:sz w:val="22"/>
        </w:rPr>
        <w:t xml:space="preserve"> deixar de entregar a documentação exigida para o certame/execução do contrato;</w:t>
      </w:r>
    </w:p>
    <w:p>
      <w:pPr>
        <w:jc w:val="both"/>
        <w:widowControl/>
        <w:ind w:right="45"/>
        <w:spacing w:after="45"/>
        <w:numPr>
          <w:ilvl w:val="0"/>
          <w:numId w:val="71"/>
        </w:numPr>
      </w:pPr>
      <w:r/>
      <w:r>
        <w:rPr>
          <w:sz w:val="22"/>
        </w:rPr>
        <w:t xml:space="preserve"> não manter a proposta, salvo em decorrência de fato superveniente, devidamente justificado;</w:t>
      </w:r>
    </w:p>
    <w:p>
      <w:pPr>
        <w:jc w:val="both"/>
        <w:widowControl/>
        <w:ind w:right="45"/>
        <w:spacing w:after="45"/>
        <w:numPr>
          <w:ilvl w:val="0"/>
          <w:numId w:val="71"/>
        </w:numPr>
      </w:pPr>
      <w:r/>
      <w:r>
        <w:rPr>
          <w:sz w:val="22"/>
        </w:rPr>
        <w:t xml:space="preserve"> não celebrar o contrato ou não entregar a documentação exigida para a contratação, quando convocado dentro do prazo de validade de sua proposta e/ou prazo previsto no presente contrato;</w:t>
      </w:r>
    </w:p>
    <w:p>
      <w:pPr>
        <w:jc w:val="both"/>
        <w:widowControl/>
        <w:ind w:right="45"/>
        <w:spacing w:after="45"/>
        <w:numPr>
          <w:ilvl w:val="0"/>
          <w:numId w:val="71"/>
        </w:numPr>
      </w:pPr>
      <w:r/>
      <w:r>
        <w:rPr>
          <w:sz w:val="22"/>
        </w:rPr>
        <w:t xml:space="preserve"> ensejar o retardamento da execução ou da entrega do objeto da contratação sem motivo justificado;</w:t>
      </w:r>
    </w:p>
    <w:p>
      <w:pPr>
        <w:jc w:val="both"/>
        <w:widowControl/>
        <w:ind w:right="45"/>
        <w:spacing w:after="45"/>
        <w:numPr>
          <w:ilvl w:val="0"/>
          <w:numId w:val="71"/>
        </w:numPr>
      </w:pPr>
      <w:r/>
      <w:r>
        <w:rPr>
          <w:sz w:val="22"/>
        </w:rPr>
        <w:t xml:space="preserve"> apresentar declaração ou documentação falsa exigida para o certame e/ou contato, ou prestar declaração falsa durante o processo licitatório ou execução do contrato;</w:t>
      </w:r>
    </w:p>
    <w:p>
      <w:pPr>
        <w:jc w:val="both"/>
        <w:widowControl/>
        <w:ind w:right="45"/>
        <w:spacing w:after="45"/>
        <w:numPr>
          <w:ilvl w:val="0"/>
          <w:numId w:val="71"/>
        </w:numPr>
      </w:pPr>
      <w:r/>
      <w:r>
        <w:rPr>
          <w:sz w:val="22"/>
        </w:rPr>
        <w:t xml:space="preserve"> fraudar a contratação ou praticar ato fraudulento na execução do contrato;</w:t>
      </w:r>
    </w:p>
    <w:p>
      <w:pPr>
        <w:jc w:val="both"/>
        <w:widowControl/>
        <w:ind w:right="45"/>
        <w:spacing w:after="45"/>
        <w:numPr>
          <w:ilvl w:val="0"/>
          <w:numId w:val="71"/>
        </w:numPr>
      </w:pPr>
      <w:r/>
      <w:r>
        <w:rPr>
          <w:sz w:val="22"/>
        </w:rPr>
        <w:t xml:space="preserve"> comportar-se de modo inidôneo ou cometer fraude de qualquer natureza;</w:t>
      </w:r>
    </w:p>
    <w:p>
      <w:pPr>
        <w:jc w:val="both"/>
        <w:widowControl/>
        <w:ind w:right="45"/>
        <w:spacing w:after="45"/>
        <w:numPr>
          <w:ilvl w:val="0"/>
          <w:numId w:val="71"/>
        </w:numPr>
      </w:pPr>
      <w:r/>
      <w:r>
        <w:rPr>
          <w:sz w:val="22"/>
        </w:rPr>
        <w:t xml:space="preserve"> praticar atos ilícitos com vistas a frustrar os objetivos da contratação;</w:t>
      </w:r>
    </w:p>
    <w:p>
      <w:pPr>
        <w:jc w:val="both"/>
        <w:widowControl/>
        <w:ind w:right="45"/>
        <w:spacing w:after="45"/>
        <w:numPr>
          <w:ilvl w:val="0"/>
          <w:numId w:val="71"/>
        </w:numPr>
      </w:pPr>
      <w:r/>
      <w:r>
        <w:rPr>
          <w:sz w:val="22"/>
        </w:rPr>
        <w:t xml:space="preserve"> praticar ato lesivo, previsto no artigo 5º, da Lei nº 12.846 de 1º de agosto de 2013;</w:t>
      </w:r>
    </w:p>
    <w:p>
      <w:pPr>
        <w:jc w:val="both"/>
        <w:widowControl/>
        <w:ind w:left="60" w:right="45" w:hanging="15"/>
        <w:spacing w:after="45"/>
      </w:pPr>
      <w:r>
        <w:rPr>
          <w:b/>
          <w:sz w:val="22"/>
        </w:rPr>
        <w:t>II –</w:t>
      </w:r>
      <w:r>
        <w:rPr>
          <w:sz w:val="22"/>
        </w:rPr>
        <w:t xml:space="preserve"> Serão aplicadas ao responsável pelas infrações administrativas acima descritas, as seguintes sanções:</w:t>
      </w:r>
    </w:p>
    <w:p>
      <w:pPr>
        <w:jc w:val="both"/>
        <w:widowControl/>
        <w:ind w:right="45"/>
        <w:spacing w:after="45"/>
        <w:numPr>
          <w:ilvl w:val="0"/>
          <w:numId w:val="79"/>
        </w:numPr>
      </w:pPr>
      <w:r/>
      <w:r>
        <w:rPr>
          <w:sz w:val="22"/>
        </w:rPr>
        <w:t xml:space="preserve"> Advertência, quando a Contratada der causa à inexecução parcial do contrato, sempre que não se justificar a imposição de penalidade mais grave (artigo 156, §2º da Lei Federal nº 14.133/2021);</w:t>
      </w:r>
    </w:p>
    <w:p>
      <w:pPr>
        <w:jc w:val="both"/>
        <w:widowControl/>
        <w:ind w:right="45"/>
        <w:spacing w:after="45"/>
        <w:numPr>
          <w:ilvl w:val="0"/>
          <w:numId w:val="79"/>
        </w:numPr>
      </w:pPr>
      <w:r/>
      <w:r>
        <w:rPr>
          <w:sz w:val="22"/>
        </w:rPr>
        <w:t xml:space="preserve"> Impedimento de licitar e contratar, por prazo não superior a 03 (três) anos, quando praticadas as condutas descritas nas alíneas “b”, “c”, “d”, “e”, “f” e “g” do inciso acima descrito, sempre que não se justificar a imposição de penalidade mais grave (artigo 156, §4º da Lei Federal nº 14.133/2021);</w:t>
      </w:r>
    </w:p>
    <w:p>
      <w:pPr>
        <w:jc w:val="both"/>
        <w:widowControl/>
        <w:ind w:right="45"/>
        <w:spacing w:after="45"/>
        <w:numPr>
          <w:ilvl w:val="0"/>
          <w:numId w:val="79"/>
        </w:numPr>
      </w:pPr>
      <w:r/>
      <w:r>
        <w:rPr>
          <w:sz w:val="22"/>
        </w:rPr>
        <w:t xml:space="preserve"> Declaração de inidoneidade para licitar e contratar, pelo prazo mínimo de 03 (três) anos, e máximo de 06 (seis) anos, quando praticadas as condutas descritas nas alíneas “h”, “i”, “j”, “k” e “l” do inciso acima descrito, bem como nas alíneas “b”, “c”, “d”, “e”, “f”, e “g”, que justifiquem a imposição de penalidade mais grave (artigo 156, §5º, da Lei Federal nº 14.133/2021); </w:t>
      </w:r>
    </w:p>
    <w:p>
      <w:pPr>
        <w:jc w:val="both"/>
        <w:widowControl/>
        <w:ind w:right="45"/>
        <w:spacing w:after="45"/>
        <w:numPr>
          <w:ilvl w:val="0"/>
          <w:numId w:val="79"/>
        </w:numPr>
      </w:pPr>
      <w:r/>
      <w:r>
        <w:rPr>
          <w:sz w:val="22"/>
        </w:rPr>
        <w:t xml:space="preserve"> Multa:</w:t>
      </w:r>
    </w:p>
    <w:p>
      <w:pPr>
        <w:jc w:val="both"/>
        <w:widowControl/>
        <w:ind w:right="45"/>
        <w:spacing w:after="45"/>
        <w:numPr>
          <w:ilvl w:val="0"/>
          <w:numId w:val="65"/>
        </w:numPr>
      </w:pPr>
      <w:r/>
      <w:r>
        <w:rPr>
          <w:sz w:val="22"/>
        </w:rPr>
        <w:t xml:space="preserve"> Moratória de 1% (um por cento) por dia de atraso injustificado sobre o valor da parcela inadimplida, até o limite de 30 (trinta) dias;</w:t>
      </w:r>
    </w:p>
    <w:p>
      <w:pPr>
        <w:jc w:val="both"/>
        <w:widowControl/>
        <w:ind w:left="570" w:right="45" w:firstLine="15"/>
        <w:spacing w:after="45"/>
      </w:pPr>
      <w:r>
        <w:rPr>
          <w:b/>
          <w:sz w:val="22"/>
        </w:rPr>
        <w:t>1.1</w:t>
      </w:r>
      <w:r>
        <w:rPr>
          <w:sz w:val="22"/>
        </w:rPr>
        <w:t xml:space="preserve"> O atraso superior a 30 (trinta) dias, autoriza a Administração promover a rescisão do contrato por descumprimento ou cumprimento irregular de suas cláusulas, conforme dispõe o artigo 137 da Lei Federal nº 14.133/2021);</w:t>
      </w:r>
    </w:p>
    <w:p>
      <w:pPr>
        <w:jc w:val="both"/>
        <w:widowControl/>
        <w:ind w:left="270" w:right="45" w:firstLine="15"/>
        <w:spacing w:after="45"/>
        <w:tabs>
          <w:tab w:val="left" w:pos="570"/>
        </w:tabs>
      </w:pPr>
      <w:r>
        <w:rPr>
          <w:b/>
          <w:sz w:val="22"/>
        </w:rPr>
        <w:t>2.</w:t>
      </w:r>
      <w:r>
        <w:rPr>
          <w:b/>
          <w:sz w:val="22"/>
        </w:rPr>
        <w:tab/>
      </w:r>
      <w:r>
        <w:rPr>
          <w:sz w:val="22"/>
        </w:rPr>
        <w:t xml:space="preserve">moratória de 1% (um por cento) por dia de atraso injustificado sobre o valor total do contrato, até o máximo de 30% (trinta por cento) pela inobservância do prazo fixado para apresentação, suplementação ou reposição da garantia 3. Compensatória de 30% (trinta por cento) sobre o valor total do contrato, no caso de inexecução total do objeto; </w:t>
      </w:r>
    </w:p>
    <w:p>
      <w:pPr>
        <w:widowControl/>
        <w:ind w:left="60" w:right="45" w:hanging="15"/>
        <w:spacing w:after="45"/>
      </w:pPr>
      <w:r>
        <w:rPr>
          <w:b/>
          <w:sz w:val="22"/>
        </w:rPr>
        <w:t>III –</w:t>
      </w:r>
      <w:r>
        <w:rPr>
          <w:sz w:val="22"/>
        </w:rPr>
        <w:t xml:space="preserve"> A aplicação das sanções previstas neste contrato não exclui, em hipótese alguma, a obrigação de reparação integral do dano causado ao Contratante (artigo 156, §9º, da Lei Federal nº 14.133/2021);</w:t>
      </w:r>
    </w:p>
    <w:p>
      <w:pPr>
        <w:jc w:val="both"/>
        <w:widowControl/>
        <w:ind w:right="45"/>
        <w:spacing w:after="45"/>
        <w:numPr>
          <w:ilvl w:val="0"/>
          <w:numId w:val="64"/>
        </w:numPr>
      </w:pPr>
      <w:r/>
      <w:r>
        <w:rPr>
          <w:b/>
          <w:sz w:val="22"/>
        </w:rPr>
        <w:t xml:space="preserve">– </w:t>
      </w:r>
      <w:r>
        <w:rPr>
          <w:sz w:val="22"/>
        </w:rPr>
        <w:t>Antes da aplicação de multa será facultada a defesa do interessado, no prazo de 15 (quinze) dias úteis, contados da data de sua intimação (artigo 157, da Lei Federal nº 14.133/2021);</w:t>
      </w:r>
    </w:p>
    <w:p>
      <w:pPr>
        <w:jc w:val="both"/>
        <w:widowControl/>
        <w:ind w:right="45"/>
        <w:spacing w:after="45"/>
        <w:numPr>
          <w:ilvl w:val="0"/>
          <w:numId w:val="64"/>
        </w:numPr>
      </w:pPr>
      <w:r/>
      <w:r>
        <w:rPr>
          <w:sz w:val="22"/>
        </w:rPr>
        <w:t>– Se a multa aplicada e as indenizações cabíveis forem superiores ao valor do pagamento eventualmente devido pelo CONTRATANTE a CONTRATADA, além da perda desse valor, a diferença será descontada da garantia prestada ou será cobrada judicialmente (artigo 156, §8º, da Lei Federal nº 14.133/2021);</w:t>
      </w:r>
    </w:p>
    <w:p>
      <w:pPr>
        <w:jc w:val="both"/>
        <w:widowControl/>
        <w:ind w:right="45"/>
        <w:spacing w:after="45"/>
        <w:numPr>
          <w:ilvl w:val="0"/>
          <w:numId w:val="64"/>
        </w:numPr>
      </w:pPr>
      <w:r/>
      <w:r>
        <w:rPr>
          <w:sz w:val="22"/>
        </w:rPr>
        <w:t xml:space="preserve">– Previamente ao encaminhamento à cobrança judicial, a multa poderá ser recolhida administrativamente no prazo máximo de 30 (trinta) dias, a contar da data do recebimento da comunicação enviada pela autoridade competente; </w:t>
      </w:r>
    </w:p>
    <w:p>
      <w:pPr>
        <w:jc w:val="both"/>
        <w:widowControl/>
        <w:ind w:right="45"/>
        <w:spacing w:after="45"/>
        <w:numPr>
          <w:ilvl w:val="0"/>
          <w:numId w:val="64"/>
        </w:numPr>
      </w:pPr>
      <w:r/>
      <w:r>
        <w:rPr>
          <w:sz w:val="22"/>
        </w:rPr>
        <w:t xml:space="preserve">– A aplicação das sanções realizar-se-á em processo administrativo que assegure o contraditório e a ampla defesa à CONTRATADA, observando-se o procedimento previsto no caput e parágrafos do artigo 158, da Lei nº 14.133/2021, para as penalidades de impedimento de licitar e contratar e de declaração de inidoneidade para licitar ou contratar; </w:t>
      </w:r>
    </w:p>
    <w:p>
      <w:pPr>
        <w:jc w:val="both"/>
        <w:widowControl/>
        <w:ind w:right="45"/>
        <w:spacing w:after="45"/>
        <w:numPr>
          <w:ilvl w:val="0"/>
          <w:numId w:val="64"/>
        </w:numPr>
      </w:pPr>
      <w:r/>
      <w:r>
        <w:rPr>
          <w:sz w:val="22"/>
        </w:rPr>
        <w:t xml:space="preserve"> – Na aplicação das sanções serão considerados (art. 156, §1º):</w:t>
      </w:r>
    </w:p>
    <w:p>
      <w:pPr>
        <w:jc w:val="both"/>
        <w:widowControl/>
        <w:ind w:right="45"/>
        <w:spacing w:after="45"/>
        <w:numPr>
          <w:ilvl w:val="0"/>
          <w:numId w:val="94"/>
        </w:numPr>
      </w:pPr>
      <w:r/>
      <w:r>
        <w:rPr>
          <w:sz w:val="22"/>
        </w:rPr>
        <w:t xml:space="preserve"> A natureza e a gravidade da infração cometida;</w:t>
      </w:r>
    </w:p>
    <w:p>
      <w:pPr>
        <w:jc w:val="both"/>
        <w:widowControl/>
        <w:ind w:right="45"/>
        <w:spacing w:after="45"/>
        <w:numPr>
          <w:ilvl w:val="0"/>
          <w:numId w:val="94"/>
        </w:numPr>
      </w:pPr>
      <w:r/>
      <w:r>
        <w:rPr>
          <w:sz w:val="22"/>
        </w:rPr>
        <w:t xml:space="preserve"> As peculiaridades do caso concreto;</w:t>
      </w:r>
    </w:p>
    <w:p>
      <w:pPr>
        <w:jc w:val="both"/>
        <w:widowControl/>
        <w:ind w:right="45"/>
        <w:spacing w:after="45"/>
        <w:numPr>
          <w:ilvl w:val="0"/>
          <w:numId w:val="94"/>
        </w:numPr>
      </w:pPr>
      <w:r/>
      <w:r>
        <w:rPr>
          <w:sz w:val="22"/>
        </w:rPr>
        <w:t xml:space="preserve"> As circunstâncias agravantes ou atenuantes;</w:t>
      </w:r>
    </w:p>
    <w:p>
      <w:pPr>
        <w:jc w:val="both"/>
        <w:widowControl/>
        <w:ind w:right="45"/>
        <w:spacing w:after="45"/>
        <w:numPr>
          <w:ilvl w:val="0"/>
          <w:numId w:val="94"/>
        </w:numPr>
      </w:pPr>
      <w:r/>
      <w:r>
        <w:rPr>
          <w:sz w:val="22"/>
        </w:rPr>
        <w:t xml:space="preserve"> Os danos que dela provierem para ao Contratante;</w:t>
      </w:r>
    </w:p>
    <w:p>
      <w:pPr>
        <w:jc w:val="both"/>
        <w:widowControl/>
        <w:ind w:right="45"/>
        <w:spacing w:after="45"/>
        <w:numPr>
          <w:ilvl w:val="0"/>
          <w:numId w:val="94"/>
        </w:numPr>
      </w:pPr>
      <w:r/>
      <w:r>
        <w:rPr>
          <w:sz w:val="22"/>
        </w:rPr>
        <w:t xml:space="preserve"> A implantação ou o aperfeiçoamento de programa de integridade, conforme normas e orientações dos órgãos de controle.</w:t>
      </w:r>
    </w:p>
    <w:p>
      <w:pPr>
        <w:jc w:val="both"/>
        <w:widowControl/>
        <w:ind w:left="60" w:right="45" w:hanging="15"/>
        <w:spacing w:after="45"/>
      </w:pPr>
      <w:r>
        <w:rPr>
          <w:b/>
          <w:sz w:val="22"/>
        </w:rPr>
        <w:t>Parágrafo Primeiro:</w:t>
      </w:r>
      <w:r>
        <w:rPr>
          <w:sz w:val="22"/>
        </w:rPr>
        <w:t xml:space="preserve"> A aplicação de multa de mora não impedirá que a Administração, ora CONTRATANTE, a converta em compensatória e promova a extinção unilateral do contrato, com a aplicação cumulada de outras sanções previstas na Lei Federal nº 14.133/21.</w:t>
      </w:r>
    </w:p>
    <w:p>
      <w:pPr>
        <w:jc w:val="both"/>
        <w:widowControl/>
        <w:ind w:left="60" w:right="45" w:hanging="15"/>
        <w:spacing w:after="45"/>
      </w:pPr>
      <w:r>
        <w:rPr>
          <w:b/>
          <w:sz w:val="22"/>
        </w:rPr>
        <w:t>Parágrafo Segundo:</w:t>
      </w:r>
      <w:r>
        <w:rPr>
          <w:sz w:val="22"/>
        </w:rPr>
        <w:t xml:space="preserve"> Os atos previstos como infrações administrativas na Lei Federal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pPr>
        <w:jc w:val="both"/>
        <w:widowControl/>
        <w:ind w:left="60" w:right="45" w:hanging="15"/>
        <w:spacing w:after="45"/>
      </w:pPr>
      <w:r>
        <w:rPr>
          <w:b/>
          <w:sz w:val="22"/>
        </w:rPr>
        <w:t>Parágrafo Terceiro:</w:t>
      </w:r>
      <w:r>
        <w:rPr>
          <w:sz w:val="22"/>
        </w:rPr>
        <w:t xml:space="preserve"> 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w:t>
      </w:r>
    </w:p>
    <w:p>
      <w:pPr>
        <w:jc w:val="both"/>
        <w:widowControl/>
        <w:ind w:left="60" w:right="45" w:hanging="15"/>
        <w:spacing w:after="45"/>
      </w:pPr>
      <w:r>
        <w:rPr>
          <w:b/>
          <w:sz w:val="22"/>
        </w:rPr>
        <w:t>Parágrafo Quarto:</w:t>
      </w:r>
      <w:r>
        <w:rPr>
          <w:sz w:val="22"/>
        </w:rPr>
        <w:t xml:space="preserve"> O CONTRATANTE deverá, no prazo máximo 15 (quinze) dias úteis, contados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pPr>
        <w:jc w:val="both"/>
        <w:widowControl/>
        <w:ind w:left="60" w:right="45" w:hanging="15"/>
        <w:spacing w:after="45"/>
      </w:pPr>
      <w:r>
        <w:rPr>
          <w:b/>
          <w:sz w:val="22"/>
        </w:rPr>
        <w:t>Parágrafo Quinto:</w:t>
      </w:r>
      <w:r>
        <w:rPr>
          <w:sz w:val="22"/>
        </w:rPr>
        <w:t xml:space="preserve"> As sanções de impedimento de licitar e contratar e declaração de inidoneidade para licitar ou contratar, são passíveis de reabilitação, desde que atendidos os requisitos constantes no art. 163, da Lei Federal nº 14.133/21.</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TRIGÉSIMA – DA EXTINÇÃO DO CONTRATO</w:t>
      </w:r>
    </w:p>
    <w:p>
      <w:pPr>
        <w:jc w:val="both"/>
        <w:widowControl/>
        <w:ind w:right="45"/>
        <w:spacing w:after="45"/>
        <w:numPr>
          <w:ilvl w:val="0"/>
          <w:numId w:val="88"/>
        </w:numPr>
      </w:pPr>
      <w:r/>
      <w:r>
        <w:rPr>
          <w:sz w:val="22"/>
        </w:rPr>
        <w:t>– O contrato se extingue quando vencido o prazo nele estipulado, independentemente de terem sido cumpridas ou não as obrigações de ambas as partes contraentes;</w:t>
      </w:r>
    </w:p>
    <w:p>
      <w:pPr>
        <w:jc w:val="both"/>
        <w:widowControl/>
        <w:ind w:right="45"/>
        <w:spacing w:after="45"/>
        <w:numPr>
          <w:ilvl w:val="0"/>
          <w:numId w:val="88"/>
        </w:numPr>
      </w:pPr>
      <w:r/>
      <w:r>
        <w:rPr>
          <w:sz w:val="22"/>
        </w:rPr>
        <w:t xml:space="preserve">– Se as obrigações não forem cumpridas no prazo estipulado, a vigência ficará prorrogada até a conclusão do objeto, caso em que deverá a Administração providenciar a readequação do cronograma fixado para o contrato. </w:t>
      </w:r>
    </w:p>
    <w:p>
      <w:pPr>
        <w:jc w:val="both"/>
        <w:widowControl/>
        <w:ind w:right="45"/>
        <w:spacing w:after="45"/>
        <w:numPr>
          <w:ilvl w:val="0"/>
          <w:numId w:val="88"/>
        </w:numPr>
      </w:pPr>
      <w:r/>
      <w:r>
        <w:rPr>
          <w:sz w:val="22"/>
        </w:rPr>
        <w:t xml:space="preserve"> – Quando a não conclusão do contrato referida no item anterior decorrer de culpa da Contratada: </w:t>
      </w:r>
    </w:p>
    <w:p>
      <w:pPr>
        <w:jc w:val="both"/>
        <w:widowControl/>
        <w:ind w:left="285" w:right="45"/>
        <w:spacing w:after="45"/>
      </w:pPr>
      <w:r>
        <w:rPr>
          <w:b/>
          <w:sz w:val="22"/>
        </w:rPr>
        <w:t>a)</w:t>
      </w:r>
      <w:r>
        <w:rPr>
          <w:sz w:val="22"/>
        </w:rPr>
        <w:t xml:space="preserve"> Ficará ele constituído em mora, sendo-lhe aplicáveis as respectivas sanções administrativas; e</w:t>
      </w:r>
    </w:p>
    <w:p>
      <w:pPr>
        <w:jc w:val="both"/>
        <w:widowControl/>
        <w:ind w:left="285" w:right="45" w:hanging="15"/>
        <w:spacing w:after="45"/>
      </w:pPr>
      <w:r>
        <w:rPr>
          <w:b/>
          <w:sz w:val="22"/>
        </w:rPr>
        <w:t>b)</w:t>
      </w:r>
      <w:r>
        <w:rPr>
          <w:sz w:val="22"/>
        </w:rPr>
        <w:t xml:space="preserve"> Poderá a Administração optar pela extinção do contrato e, nesse caso, adotará as medidas admitidas em lei para a continuidade da execução contratual.</w:t>
      </w:r>
    </w:p>
    <w:p>
      <w:pPr>
        <w:jc w:val="both"/>
        <w:widowControl/>
        <w:ind w:left="60" w:right="45" w:hanging="15"/>
        <w:spacing w:after="45"/>
      </w:pPr>
      <w:r>
        <w:rPr>
          <w:b/>
          <w:sz w:val="22"/>
        </w:rPr>
        <w:t>IV –</w:t>
      </w:r>
      <w:r>
        <w:rPr>
          <w:sz w:val="22"/>
        </w:rPr>
        <w:t xml:space="preserve"> O contrato pode ser extinto antes de cumpridas as obrigações nele estipuladas, ou antes do prazo nele fixado, por algum dos motivos previstos nos artigos 137 a 139, da Lei Federal nº 14.133/2021, assegurados o contraditório e a ampla defesa;</w:t>
      </w:r>
    </w:p>
    <w:p>
      <w:pPr>
        <w:jc w:val="both"/>
        <w:widowControl/>
        <w:ind w:right="45"/>
        <w:spacing w:after="45"/>
        <w:numPr>
          <w:ilvl w:val="0"/>
          <w:numId w:val="76"/>
        </w:numPr>
      </w:pPr>
      <w:r/>
      <w:r>
        <w:rPr>
          <w:sz w:val="22"/>
        </w:rPr>
        <w:t xml:space="preserve"> Nesta hipótese, aplicam-se também os artigos 138 e 139 da mesma Lei;</w:t>
      </w:r>
    </w:p>
    <w:p>
      <w:pPr>
        <w:jc w:val="both"/>
        <w:widowControl/>
        <w:ind w:right="45"/>
        <w:spacing w:after="45"/>
        <w:numPr>
          <w:ilvl w:val="0"/>
          <w:numId w:val="76"/>
        </w:numPr>
      </w:pPr>
      <w:r/>
      <w:r>
        <w:rPr>
          <w:sz w:val="22"/>
        </w:rPr>
        <w:t xml:space="preserve"> A alteração social ou a modificação da finalidade ou da estrutura da empresa não ensejará a rescisão se não restringir sua capacidade de concluir o contrato;</w:t>
      </w:r>
    </w:p>
    <w:p>
      <w:pPr>
        <w:jc w:val="both"/>
        <w:widowControl/>
        <w:ind w:right="45"/>
        <w:spacing w:after="45"/>
        <w:numPr>
          <w:ilvl w:val="0"/>
          <w:numId w:val="76"/>
        </w:numPr>
      </w:pPr>
      <w:r/>
      <w:r>
        <w:rPr>
          <w:sz w:val="22"/>
        </w:rPr>
        <w:t xml:space="preserve"> Se a operação implicar mudança da pessoa jurídica contratada, deverá ser formalizado termo aditivo para alteração subjetiva;</w:t>
      </w:r>
    </w:p>
    <w:p>
      <w:pPr>
        <w:jc w:val="both"/>
        <w:widowControl/>
        <w:ind w:left="60" w:right="45" w:hanging="15"/>
        <w:spacing w:after="45"/>
      </w:pPr>
      <w:r>
        <w:rPr>
          <w:b/>
          <w:sz w:val="22"/>
        </w:rPr>
        <w:t>V –</w:t>
      </w:r>
      <w:r>
        <w:rPr>
          <w:sz w:val="22"/>
        </w:rPr>
        <w:t xml:space="preserve"> A extinção do presente termo de contrato poderá ocorrer:</w:t>
      </w:r>
    </w:p>
    <w:p>
      <w:pPr>
        <w:jc w:val="both"/>
        <w:widowControl/>
        <w:ind w:right="45"/>
        <w:spacing w:after="45"/>
        <w:numPr>
          <w:ilvl w:val="0"/>
          <w:numId w:val="95"/>
        </w:numPr>
      </w:pPr>
      <w:r/>
      <w:r>
        <w:rPr>
          <w:sz w:val="22"/>
        </w:rPr>
        <w:t xml:space="preserve"> Por ato unilateral e escrito da Administração, exceto no caso de descumprimento decorrente de sua própria conduta;</w:t>
      </w:r>
    </w:p>
    <w:p>
      <w:pPr>
        <w:jc w:val="both"/>
        <w:widowControl/>
        <w:ind w:right="45"/>
        <w:spacing w:after="45"/>
        <w:numPr>
          <w:ilvl w:val="0"/>
          <w:numId w:val="95"/>
        </w:numPr>
      </w:pPr>
      <w:r/>
      <w:r>
        <w:rPr>
          <w:sz w:val="22"/>
        </w:rPr>
        <w:t xml:space="preserve"> De forma consensual, por acordo entre as partes, conciliação, mediação ou comitê de resolução de disputas, desde que haja interesse da Administração;</w:t>
      </w:r>
    </w:p>
    <w:p>
      <w:pPr>
        <w:jc w:val="both"/>
        <w:widowControl/>
        <w:ind w:right="45"/>
        <w:spacing w:after="45"/>
        <w:numPr>
          <w:ilvl w:val="0"/>
          <w:numId w:val="95"/>
        </w:numPr>
      </w:pPr>
      <w:r/>
      <w:r>
        <w:rPr>
          <w:sz w:val="22"/>
        </w:rPr>
        <w:t xml:space="preserve"> Por decisão arbitral, em decorrência de cláusula compromissória ou compromisso arbitral, ou por decisão judicial;</w:t>
      </w:r>
    </w:p>
    <w:p>
      <w:pPr>
        <w:jc w:val="both"/>
        <w:widowControl/>
        <w:ind w:left="45" w:right="45"/>
        <w:spacing w:after="45"/>
      </w:pPr>
      <w:r>
        <w:rPr>
          <w:b/>
          <w:sz w:val="22"/>
        </w:rPr>
        <w:t>VI –</w:t>
      </w:r>
      <w:r>
        <w:rPr>
          <w:sz w:val="22"/>
        </w:rPr>
        <w:t xml:space="preserve"> O termo de rescisão, sempre que possível, será precedido de:</w:t>
      </w:r>
    </w:p>
    <w:p>
      <w:pPr>
        <w:jc w:val="both"/>
        <w:widowControl/>
        <w:ind w:right="45"/>
        <w:spacing w:after="45"/>
        <w:numPr>
          <w:ilvl w:val="0"/>
          <w:numId w:val="72"/>
        </w:numPr>
      </w:pPr>
      <w:r/>
      <w:r>
        <w:rPr>
          <w:sz w:val="22"/>
        </w:rPr>
        <w:t xml:space="preserve"> Balanço dos eventos contratuais já cumpridos ou parcialmente cumpridos;</w:t>
      </w:r>
    </w:p>
    <w:p>
      <w:pPr>
        <w:jc w:val="both"/>
        <w:widowControl/>
        <w:ind w:right="45"/>
        <w:spacing w:after="45"/>
        <w:numPr>
          <w:ilvl w:val="0"/>
          <w:numId w:val="72"/>
        </w:numPr>
      </w:pPr>
      <w:r/>
      <w:r>
        <w:rPr>
          <w:sz w:val="22"/>
        </w:rPr>
        <w:t xml:space="preserve"> Relação dos pagamentos já efetuados e ainda devidos;</w:t>
      </w:r>
    </w:p>
    <w:p>
      <w:pPr>
        <w:jc w:val="both"/>
        <w:widowControl/>
        <w:ind w:right="45"/>
        <w:spacing w:after="45"/>
        <w:numPr>
          <w:ilvl w:val="0"/>
          <w:numId w:val="72"/>
        </w:numPr>
      </w:pPr>
      <w:r/>
      <w:r>
        <w:rPr>
          <w:sz w:val="22"/>
        </w:rPr>
        <w:t xml:space="preserve"> Indenizações e multas.</w:t>
      </w:r>
    </w:p>
    <w:p>
      <w:pPr>
        <w:jc w:val="both"/>
        <w:widowControl/>
        <w:ind w:left="60" w:right="45" w:hanging="15"/>
        <w:spacing w:after="45"/>
      </w:pPr>
      <w:r>
        <w:rPr>
          <w:b/>
          <w:sz w:val="22"/>
        </w:rPr>
        <w:t>Parágrafo Primeiro:</w:t>
      </w:r>
      <w:r>
        <w:rPr>
          <w:sz w:val="22"/>
        </w:rPr>
        <w:t xml:space="preserve"> A extinção por ato unilateral do CONTRATANTE, sujeitará a CONTRATADA à multa rescisória de até 10% (dez por cento) sobre o valor do saldo do contrato existente na data da extinção, independentemente de outras penalidades.</w:t>
      </w:r>
    </w:p>
    <w:p>
      <w:pPr>
        <w:jc w:val="both"/>
        <w:widowControl/>
        <w:ind w:left="60" w:right="45" w:hanging="15"/>
        <w:spacing w:after="45"/>
      </w:pPr>
      <w:r>
        <w:rPr>
          <w:b/>
          <w:sz w:val="22"/>
        </w:rPr>
        <w:t>Parágrafo Segundo:</w:t>
      </w:r>
      <w:r>
        <w:rPr>
          <w:sz w:val="22"/>
        </w:rPr>
        <w:t xml:space="preserve"> Caso o valor do prejuízo do CONTRATANTE, advindo da extinção contratual por culpa da CONTRATADA, exceder o valor da Cláusula Penal prevista no parágrafo anterior, esta valerá como mínimo de indenização, na forma do disposto no art. 416, parágrafo único, do Código Civil.</w:t>
      </w:r>
    </w:p>
    <w:p>
      <w:pPr>
        <w:jc w:val="both"/>
        <w:widowControl/>
        <w:ind w:left="60" w:right="45" w:hanging="15"/>
        <w:spacing w:after="45"/>
      </w:pPr>
      <w:r>
        <w:rPr>
          <w:b/>
          <w:sz w:val="22"/>
        </w:rPr>
        <w:t>Parágrafo Terceiro:</w:t>
      </w:r>
      <w:r>
        <w:rPr>
          <w:sz w:val="22"/>
        </w:rPr>
        <w:t xml:space="preserve"> A extinção determinada por ato unilateral da Administração e a extinção consensual, deverão ser precedidas de autorização escrita e fundamentada da autoridade competente e reduzidas a termo no respectivo processo.</w:t>
      </w:r>
    </w:p>
    <w:p>
      <w:pPr>
        <w:jc w:val="both"/>
        <w:widowControl/>
        <w:ind w:left="60" w:right="45" w:hanging="15"/>
        <w:spacing w:after="45"/>
      </w:pPr>
      <w:r>
        <w:rPr>
          <w:b/>
          <w:sz w:val="22"/>
        </w:rPr>
        <w:t>Parágrafo Quarto:</w:t>
      </w:r>
      <w:r>
        <w:rPr>
          <w:sz w:val="22"/>
        </w:rPr>
        <w:t xml:space="preserve"> O contrato poderá ser extinto caso se constate que a Contratada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14.133/2021.</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TRIGÉSIMA PRIMEIRA – DAS PRERROGATIVAS DA ADMINISTRAÇÃO</w:t>
      </w:r>
    </w:p>
    <w:p>
      <w:pPr>
        <w:jc w:val="both"/>
        <w:widowControl/>
        <w:ind w:left="60" w:right="45" w:hanging="15"/>
        <w:spacing w:after="45"/>
      </w:pPr>
      <w:r>
        <w:rPr>
          <w:b/>
          <w:sz w:val="22"/>
        </w:rPr>
        <w:t>I –</w:t>
      </w:r>
      <w:r>
        <w:rPr>
          <w:sz w:val="22"/>
        </w:rPr>
        <w:t xml:space="preserve"> O CONTRATANTE poderá fazer uso das prerrogativas previstas no art. 104, da Lei Federal nº 14.133/2021.</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TRIGÉSIMA SEGUNDA – DA VINCULAÇÃO AO PROCESSO LICITATÓRIO/PROPOSTA</w:t>
      </w:r>
    </w:p>
    <w:p>
      <w:pPr>
        <w:jc w:val="both"/>
        <w:widowControl/>
        <w:ind w:left="60" w:right="45" w:hanging="15"/>
        <w:spacing w:after="45"/>
      </w:pPr>
      <w:r>
        <w:rPr>
          <w:b/>
          <w:sz w:val="22"/>
        </w:rPr>
        <w:t>I –</w:t>
      </w:r>
      <w:r>
        <w:rPr>
          <w:sz w:val="22"/>
        </w:rPr>
        <w:t xml:space="preserve"> O presente contrato é oriundo do Processo Administrativo nº X/202X; Processo de Concorrência nº X/202X – PMG, bem como vincula-se à proposta da empresa vencedora, ora CONTRATADA.</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TRIGÉSIMA TERCEIRA – DA CESSÃO/TRANSFERÊNCIA DO CONTRATO</w:t>
      </w:r>
    </w:p>
    <w:p>
      <w:pPr>
        <w:jc w:val="both"/>
        <w:widowControl/>
        <w:ind w:left="60" w:right="45" w:hanging="15"/>
        <w:spacing w:after="45"/>
      </w:pPr>
      <w:r>
        <w:rPr>
          <w:b/>
          <w:sz w:val="22"/>
        </w:rPr>
        <w:t>I –</w:t>
      </w:r>
      <w:r>
        <w:rPr>
          <w:sz w:val="22"/>
        </w:rPr>
        <w:t xml:space="preserve"> A CONTRATADA não poderá ceder a terceiros, no todo ou em parte, os direitos e as obrigações oriundas deste contrato, sem prévio e expresso consentimento do CONTRATANTE, sob pena de rescisão de pleno direito, sujeitando o inadimplemento às sanções previstas neste contrato.</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TRIGÉSIMA QUARTA – DESPESAS E ENCARGOS SOCIAIS</w:t>
      </w:r>
    </w:p>
    <w:p>
      <w:pPr>
        <w:jc w:val="both"/>
        <w:widowControl/>
        <w:ind w:left="60" w:right="45" w:hanging="15"/>
        <w:spacing w:after="45"/>
      </w:pPr>
      <w:r>
        <w:rPr>
          <w:b/>
          <w:sz w:val="22"/>
        </w:rPr>
        <w:t>I –</w:t>
      </w:r>
      <w:r>
        <w:rPr>
          <w:sz w:val="22"/>
        </w:rPr>
        <w:t xml:space="preserve"> Correrão à conta da CONTRATADA todas as despesas e encargos de natureza trabalhista, previdenciária, social ou tributária, incidentes sobre os serviços/execução do objeto deste Contrato.</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TRIGÉSIMA QUINTA</w:t>
      </w:r>
    </w:p>
    <w:p>
      <w:pPr>
        <w:jc w:val="both"/>
        <w:widowControl/>
        <w:ind w:left="60" w:right="45" w:hanging="15"/>
        <w:spacing w:after="45"/>
      </w:pPr>
      <w:r>
        <w:rPr>
          <w:b/>
          <w:sz w:val="22"/>
        </w:rPr>
        <w:t>I –</w:t>
      </w:r>
      <w:r>
        <w:rPr>
          <w:sz w:val="22"/>
        </w:rPr>
        <w:t xml:space="preserve"> A abstenção por parte do MUNICÍPIO, ora CONTRATANTE, da utilização de quaisquer direitos ou faculdades que lhe assistam em razão deste contrato e/ou da lei, não importará em renúncia destes mesmos direitos ou faculdades, que poderão ser exercidos a qualquer tempo.</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CLAUSULA TRIGÉSIMA SEXTA – DA ANALISE</w:t>
      </w:r>
    </w:p>
    <w:p>
      <w:pPr>
        <w:jc w:val="both"/>
        <w:widowControl/>
        <w:ind w:left="60" w:right="45" w:hanging="15"/>
        <w:spacing w:after="45"/>
      </w:pPr>
      <w:r>
        <w:rPr>
          <w:b/>
          <w:sz w:val="22"/>
        </w:rPr>
        <w:t>I –</w:t>
      </w:r>
      <w:r>
        <w:rPr>
          <w:sz w:val="22"/>
        </w:rPr>
        <w:t xml:space="preserve"> A minuta do presente instrumento de CONTRATO será devidamente examinada e aprovada pela Assessoria Jurídica desta Prefeitura, conforme determina a legislação em vigor.</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TRIGÉSIMA SÉTIMA – DAS ALTERAÇÕES</w:t>
      </w:r>
    </w:p>
    <w:p>
      <w:pPr>
        <w:jc w:val="both"/>
        <w:widowControl/>
        <w:ind w:right="45"/>
        <w:spacing w:after="45"/>
        <w:numPr>
          <w:ilvl w:val="0"/>
          <w:numId w:val="62"/>
        </w:numPr>
      </w:pPr>
      <w:r/>
      <w:r>
        <w:rPr>
          <w:sz w:val="22"/>
        </w:rPr>
        <w:t>– O presente instrumento de CONTRATO poderá ser alterado, com as devidas justificativas, de acordo com os casos previstos no Título III, Capítulo V II, DA ALTERAÇÃO DOS CONTRATOS E DOS PREÇOS, da Lei nº 14.133/21.</w:t>
      </w:r>
    </w:p>
    <w:p>
      <w:pPr>
        <w:jc w:val="both"/>
        <w:widowControl/>
        <w:ind w:right="45"/>
        <w:spacing w:after="45"/>
        <w:tabs>
          <w:tab w:val="left" w:pos="135"/>
        </w:tabs>
        <w:numPr>
          <w:ilvl w:val="0"/>
          <w:numId w:val="38"/>
        </w:numPr>
      </w:pPr>
      <w:r/>
      <w:r>
        <w:rPr>
          <w:sz w:val="22"/>
        </w:rPr>
        <w:t>– Eventuais alterações contratuais reger-se-ão pela disciplina do art. 124 e seguintes, da Lei nº 14.133/2021 e serão analisadas por meio de processo administrativo próprio;</w:t>
      </w:r>
    </w:p>
    <w:p>
      <w:pPr>
        <w:jc w:val="both"/>
        <w:widowControl/>
        <w:ind w:left="285" w:right="45" w:hanging="15"/>
        <w:spacing w:after="45"/>
      </w:pPr>
      <w:r>
        <w:rPr>
          <w:b/>
          <w:sz w:val="22"/>
        </w:rPr>
        <w:t>a)</w:t>
      </w:r>
      <w:r>
        <w:rPr>
          <w:sz w:val="22"/>
        </w:rPr>
        <w:t xml:space="preserve"> Em caso de aprovação, o processo administrativo resultará na emissão de Anexo/Termo Aditivo, o qual integrará o presente instrumento contratual para todos os fins e efeitos de direito, bem como será divulgado e mantido à disposição do público em sítio eletrônico oficial/jornal de circulação local ou regional;</w:t>
      </w:r>
    </w:p>
    <w:p>
      <w:pPr>
        <w:jc w:val="both"/>
        <w:widowControl/>
        <w:ind w:left="60" w:right="45" w:hanging="15"/>
        <w:spacing w:after="45"/>
      </w:pPr>
      <w:r>
        <w:rPr>
          <w:b/>
          <w:sz w:val="22"/>
        </w:rPr>
        <w:t>III –</w:t>
      </w:r>
      <w:r>
        <w:rPr>
          <w:sz w:val="22"/>
        </w:rPr>
        <w:t xml:space="preserve"> Os serviços não ajustados no presente contrato, que porventura venham a ser solicitados pelo CONTRATANTE, serão analisados individualmente, nos moldes expostos no inciso I, “a” desta cláusula, bem como nos termos e condições das cláusulas obrigatórias constantes do presente instrumento e respeitados os limites da Lei nº 14.133/21;</w:t>
      </w:r>
    </w:p>
    <w:p>
      <w:pPr>
        <w:jc w:val="both"/>
        <w:widowControl/>
        <w:ind w:right="45"/>
        <w:spacing w:after="45"/>
        <w:numPr>
          <w:ilvl w:val="0"/>
          <w:numId w:val="52"/>
        </w:numPr>
      </w:pPr>
      <w:r/>
      <w:r>
        <w:rPr>
          <w:sz w:val="22"/>
        </w:rPr>
        <w:t xml:space="preserve"> A CONTRATADA é obrigada a aceitar, nas mesmas condições contratuais, os acréscimos ou supressões que se fizerem necessários, até o limite de 25% (vinte e cinco por cento) do valor inicial atualizado do contrato;</w:t>
      </w:r>
    </w:p>
    <w:p>
      <w:pPr>
        <w:jc w:val="both"/>
        <w:widowControl/>
        <w:ind w:right="45"/>
        <w:spacing w:after="45"/>
        <w:numPr>
          <w:ilvl w:val="0"/>
          <w:numId w:val="52"/>
        </w:numPr>
      </w:pPr>
      <w:r/>
      <w:r>
        <w:rPr>
          <w:sz w:val="22"/>
        </w:rPr>
        <w:t xml:space="preserve"> As supressões resultantes de acordo celebrado entre as partes contratantes, poderão exceder o limite de 25% (vinte e cinco por cento) do valor inicial atualizado do termo de contrato.</w:t>
      </w:r>
    </w:p>
    <w:p>
      <w:pPr>
        <w:jc w:val="both"/>
        <w:widowControl/>
        <w:ind w:left="60" w:right="45" w:hanging="15"/>
        <w:spacing w:after="45"/>
      </w:pPr>
      <w:r>
        <w:rPr>
          <w:b/>
          <w:sz w:val="22"/>
        </w:rPr>
        <w:t>Parágrafo Primeiro:</w:t>
      </w:r>
      <w:r>
        <w:rPr>
          <w:sz w:val="22"/>
        </w:rPr>
        <w:t xml:space="preserve"> Serão incorporadas a este contrato, mediante TERMOS ADITIVOS, quaisquer modificações que venham a ser necessárias durante a sua vigência, decorrentes das obrigações assumidas pela CONTRATADA, alterações nos projetos, nas especificações técnicas, nos memoriais, nas quantidades, nos prazos ou nos valores para todos os fins e efeitos de direito.</w:t>
      </w:r>
    </w:p>
    <w:p>
      <w:pPr>
        <w:jc w:val="both"/>
        <w:widowControl/>
        <w:ind w:left="60" w:right="45" w:hanging="15"/>
        <w:spacing w:after="45"/>
      </w:pPr>
      <w:r>
        <w:rPr>
          <w:b/>
          <w:sz w:val="22"/>
        </w:rPr>
        <w:t>Parágrafo Segundo:</w:t>
      </w:r>
      <w:r>
        <w:rPr>
          <w:sz w:val="22"/>
        </w:rPr>
        <w:t xml:space="preserve"> Registros que não caracterizam alteração do contrato podem ser realizados por simples apostila, dispensada a celebração de termo aditivo na forma do art. 136, da Lei nº 14.133/2021.</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TRIGÉSIMA OITAVA – DA LEGISLAÇÃO APLICÁVEL E DOS CASOS OMISSOS</w:t>
      </w:r>
    </w:p>
    <w:p>
      <w:pPr>
        <w:jc w:val="both"/>
        <w:widowControl/>
        <w:ind w:right="45"/>
        <w:spacing w:after="45"/>
        <w:numPr>
          <w:ilvl w:val="0"/>
          <w:numId w:val="70"/>
        </w:numPr>
      </w:pPr>
      <w:r/>
      <w:r>
        <w:rPr>
          <w:b/>
          <w:sz w:val="22"/>
        </w:rPr>
        <w:t xml:space="preserve">– </w:t>
      </w:r>
      <w:r>
        <w:rPr>
          <w:sz w:val="22"/>
        </w:rPr>
        <w:t>O presente instrumento contratual rege-se pelas disposições expressas na Lei n. 14.133/21, e por outras normas de direito público ou privado que melhor tutelem o interesse público (coletivo), sendo que eventuais dúvidas sobre a execução e interpretação das Cláusulas do presente contrato serão solucionadas por meio da aplicação do princípio constitucional da proporcionalidade, da boa-fé objetiva (art. 422, do Código Civil) e da função social dos contratos (art. 421 e 2.035, Parágrafo Único, do Código Civil), bem como de conformidade com os princípios gerais de direito, levando-se em conta sempre e preponderantemente o interesse público (coletivo) a ser protegido/tutelado.</w:t>
      </w:r>
    </w:p>
    <w:p>
      <w:pPr>
        <w:jc w:val="both"/>
        <w:widowControl/>
        <w:ind w:right="45"/>
        <w:spacing w:after="45"/>
        <w:numPr>
          <w:ilvl w:val="0"/>
          <w:numId w:val="70"/>
        </w:numPr>
      </w:pPr>
      <w:r/>
      <w:r>
        <w:rPr>
          <w:sz w:val="22"/>
        </w:rPr>
        <w:t>– Os casos omissos serão dirimidos de comum acordo entre as partes, com base na legislação em vigor, sobretudo na Lei nº 14.133/2021 e pelos preceitos de direito público, sendo aplicados, supletivamente, os princípios da teoria geral dos contratos e as disposições de direito privado.</w:t>
      </w:r>
    </w:p>
    <w:p>
      <w:pPr>
        <w:jc w:val="both"/>
        <w:widowControl/>
        <w:ind w:left="60" w:right="45" w:hanging="15"/>
        <w:spacing w:after="45"/>
      </w:pPr>
      <w:r>
        <w:rPr>
          <w:b/>
          <w:sz w:val="22"/>
        </w:rPr>
        <w:t>Parágrafo Único:</w:t>
      </w:r>
      <w:r>
        <w:rPr>
          <w:sz w:val="22"/>
        </w:rPr>
        <w:t xml:space="preserve"> Os casos omissos serão resolvidos à luz da referida lei, recorrendo-se à analogia, aos costumes e aos princípios gerais do direito.</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TRIGÉSIMA NONA – DA OBRIGATORIEDADE DAS COTAS DE APRENDIZES:</w:t>
      </w:r>
    </w:p>
    <w:p>
      <w:pPr>
        <w:jc w:val="both"/>
        <w:widowControl/>
        <w:ind w:left="60" w:right="45" w:hanging="15"/>
        <w:spacing w:after="45"/>
      </w:pPr>
      <w:r>
        <w:rPr>
          <w:b/>
          <w:sz w:val="22"/>
        </w:rPr>
        <w:t>I –</w:t>
      </w:r>
      <w:r>
        <w:rPr>
          <w:sz w:val="22"/>
        </w:rPr>
        <w:t xml:space="preserve"> Nos casos de contratação e/ou prestação de serviços terceirizados que envolvam mão de obra cujas atividades demandem formação profissional competirá às partes contratuais:</w:t>
      </w:r>
    </w:p>
    <w:p>
      <w:pPr>
        <w:jc w:val="both"/>
        <w:widowControl/>
        <w:ind w:right="45"/>
        <w:spacing w:after="45"/>
        <w:numPr>
          <w:ilvl w:val="0"/>
          <w:numId w:val="61"/>
        </w:numPr>
      </w:pPr>
      <w:r/>
      <w:r>
        <w:rPr>
          <w:sz w:val="22"/>
        </w:rPr>
        <w:t xml:space="preserve"> Dentre os aprendizes a serem contratados (as) pela Contratada, a mesma deverá priorizar a contratação de adolescentes entre 14 (quatorze) e 18 (dezoito) anos, que estejam em situação de vulnerabilidade e/ou risco social, nos termos do artigo 53, caput, incisos I a III e §2º, do Decreto Presidencial nº 9.579 de 22 de novembro de 2018, com redação conferida pelo Decreto Presidencial nº 11.479 de 06 de abril de 2024;</w:t>
      </w:r>
    </w:p>
    <w:p>
      <w:pPr>
        <w:jc w:val="both"/>
        <w:widowControl/>
        <w:ind w:right="45"/>
        <w:spacing w:after="45"/>
        <w:numPr>
          <w:ilvl w:val="0"/>
          <w:numId w:val="61"/>
        </w:numPr>
      </w:pPr>
      <w:r/>
      <w:r>
        <w:rPr>
          <w:sz w:val="22"/>
        </w:rPr>
        <w:t xml:space="preserve"> É responsabilidade da empresa Contratada a comprovação da condição de vulnerabilidade e/ou risco social por meio da apresentação de declaração emitida pela Assistência Social do Município em que ocorrerá a execução do contrato de trabalho de aprendizagem;</w:t>
      </w:r>
    </w:p>
    <w:p>
      <w:pPr>
        <w:jc w:val="both"/>
        <w:widowControl/>
        <w:ind w:right="45"/>
        <w:spacing w:after="45"/>
        <w:numPr>
          <w:ilvl w:val="0"/>
          <w:numId w:val="61"/>
        </w:numPr>
      </w:pPr>
      <w:r/>
      <w:r>
        <w:rPr>
          <w:sz w:val="22"/>
        </w:rPr>
        <w:t xml:space="preserve"> A Contratante não promoverá contratação com empresas que se encontrem em descumprimento da cota de aprendizes, considerando que a inobservância da respectiva obrigação implica reconhecer a ausência de habilitação social e trabalhista;</w:t>
      </w:r>
    </w:p>
    <w:p>
      <w:pPr>
        <w:jc w:val="both"/>
        <w:widowControl/>
        <w:ind w:right="45"/>
        <w:spacing w:after="45"/>
        <w:numPr>
          <w:ilvl w:val="0"/>
          <w:numId w:val="61"/>
        </w:numPr>
      </w:pPr>
      <w:r/>
      <w:r>
        <w:rPr>
          <w:sz w:val="22"/>
        </w:rPr>
        <w:t xml:space="preserve"> Caberá à Contratante estabelecer mecanismos efetivos de controle, durante a execução do contrato, quanto à obrigação de cumprimento da cota de aprendizes pelas empresas contratadas, não sendo suficiente a apresentação de autodeclaração pela empresa, incluído ainda a fiscalização quanto ao cumprimento das demais obrigações trabalhistas e previdenciárias;</w:t>
      </w:r>
    </w:p>
    <w:p>
      <w:pPr>
        <w:jc w:val="both"/>
        <w:widowControl/>
        <w:ind w:right="45"/>
        <w:spacing w:after="45"/>
        <w:numPr>
          <w:ilvl w:val="0"/>
          <w:numId w:val="61"/>
        </w:numPr>
      </w:pPr>
      <w:r/>
      <w:r>
        <w:rPr>
          <w:sz w:val="22"/>
        </w:rPr>
        <w:t xml:space="preserve"> Caberá à Contratada a averiguação do cumprimento ou não da cota de aprendizes por intermédio do link disponibilizado pelo Ministério do Trabalho e Emprego: </w:t>
      </w:r>
      <w:hyperlink r:id="hrId5">
        <w:r>
          <w:rPr>
            <w:u w:val="single" w:color="0000FF"/>
            <w:sz w:val="22"/>
          </w:rPr>
          <w:t>https://certidoes.sit.trabalho.gov.br/aprendiz</w:t>
        </w:r>
      </w:hyperlink>
      <w:r>
        <w:rPr>
          <w:u w:val="single" w:color="0000FF"/>
          <w:sz w:val="22"/>
        </w:rPr>
        <w:t xml:space="preserve"> </w:t>
      </w:r>
      <w:r>
        <w:rPr>
          <w:sz w:val="22"/>
        </w:rPr>
        <w:t>(e em sua falta outro método fixado pelo Governo Federal para consulta) emitindo a respectiva certidão de regularidade.</w:t>
      </w:r>
    </w:p>
    <w:p>
      <w:pPr>
        <w:jc w:val="both"/>
        <w:widowControl/>
        <w:ind w:left="570" w:right="45" w:hanging="15"/>
        <w:spacing w:after="45"/>
      </w:pPr>
      <w:r>
        <w:rPr>
          <w:b/>
          <w:sz w:val="22"/>
        </w:rPr>
        <w:t>e.1)</w:t>
      </w:r>
      <w:r>
        <w:rPr>
          <w:sz w:val="22"/>
        </w:rPr>
        <w:t xml:space="preserve"> Durante a fase da execução contratual, a certidão de regularidade de cota de aprendizes deverá ser exibida pela Contratada em conjunto com a apresentação da nota fiscal dos serviços prestados, independente da determinação da sua apresentação por parte da Contratante, para fins de pagamento.</w:t>
      </w:r>
    </w:p>
    <w:p>
      <w:pPr>
        <w:jc w:val="both"/>
        <w:widowControl/>
        <w:ind w:left="285" w:right="45" w:hanging="15"/>
        <w:spacing w:after="45"/>
        <w:tabs>
          <w:tab w:val="left" w:pos="570"/>
        </w:tabs>
      </w:pPr>
      <w:r>
        <w:rPr>
          <w:b/>
          <w:sz w:val="22"/>
        </w:rPr>
        <w:t>f)</w:t>
      </w:r>
      <w:r>
        <w:rPr>
          <w:b/>
          <w:sz w:val="22"/>
        </w:rPr>
        <w:tab/>
      </w:r>
      <w:r>
        <w:rPr>
          <w:sz w:val="22"/>
        </w:rPr>
        <w:t>A Contratante incumbir-se-á de fiscalizar, durante toda a execução contratual, o cumprimento da cota de aprendizes pela empresa Contratada, consistente na obrigação de empregar e matricular nos cursos dos Serviços Nacionais de Aprendizagem ou, supletivamente, em escolas técnicas ou entidades sem fins lucrativos, número de aprendizes equivalente a 5% (cinco por cento) no mínimo, e 15% (quinze por cento) no máximo, dos (as) trabalhadores (as) existentes em cada estabelecimento, cujas funções demandem formação profissional, conforme a Classificação Brasileira de Ocupações.</w:t>
      </w:r>
    </w:p>
    <w:p>
      <w:pPr>
        <w:jc w:val="both"/>
        <w:widowControl/>
        <w:ind w:left="60" w:right="45" w:hanging="15"/>
        <w:spacing w:after="45"/>
      </w:pPr>
      <w:r>
        <w:rPr>
          <w:rFonts w:ascii="Times New Roman" w:hAnsi="Times New Roman" w:cs="Times New Roman" w:eastAsia="Times New Roman"/>
          <w:sz w:val="22"/>
        </w:rPr>
        <w:t/>
      </w:r>
    </w:p>
    <w:p>
      <w:pPr>
        <w:jc w:val="both"/>
        <w:widowControl/>
        <w:ind w:left="60" w:right="45" w:hanging="15"/>
        <w:spacing w:after="45"/>
        <w:shd w:val="clear" w:color="auto" w:fill="0D0D0D"/>
      </w:pPr>
      <w:r>
        <w:rPr>
          <w:b/>
          <w:sz w:val="22"/>
          <w:color w:val="FFFFFF"/>
        </w:rPr>
        <w:t>CLÁUSULA QUADRAGÉSIMA – DAS DISPOSIÇÕES GERAIS</w:t>
      </w:r>
    </w:p>
    <w:p>
      <w:pPr>
        <w:jc w:val="both"/>
        <w:widowControl/>
        <w:ind w:left="60" w:right="45" w:hanging="15"/>
        <w:spacing w:after="45"/>
      </w:pPr>
      <w:r>
        <w:rPr>
          <w:b/>
          <w:sz w:val="22"/>
        </w:rPr>
        <w:t>I –</w:t>
      </w:r>
      <w:r>
        <w:rPr>
          <w:sz w:val="22"/>
        </w:rPr>
        <w:t xml:space="preserve"> Ficam cientes as partes contratuais:</w:t>
      </w:r>
    </w:p>
    <w:p>
      <w:pPr>
        <w:jc w:val="both"/>
        <w:widowControl/>
        <w:ind w:right="45"/>
        <w:spacing w:after="45"/>
        <w:numPr>
          <w:ilvl w:val="0"/>
          <w:numId w:val="47"/>
        </w:numPr>
      </w:pPr>
      <w:r/>
      <w:r>
        <w:rPr>
          <w:sz w:val="22"/>
        </w:rPr>
        <w:t xml:space="preserve"> Havendo discrepância entre os valores indicados numericamente e por extenso, fica desde já acordado entre as partes contratantes que, sempre prevalecerão aqueles mencionados por extenso.</w:t>
      </w:r>
    </w:p>
    <w:p>
      <w:pPr>
        <w:jc w:val="both"/>
        <w:widowControl/>
        <w:ind w:right="45"/>
        <w:spacing w:after="45"/>
        <w:numPr>
          <w:ilvl w:val="0"/>
          <w:numId w:val="47"/>
        </w:numPr>
      </w:pPr>
      <w:r/>
      <w:r>
        <w:rPr>
          <w:sz w:val="22"/>
        </w:rPr>
        <w:t xml:space="preserve"> Qualquer objeto de valor histórico ou de outro interesse ou valor significativo que venha a ser descoberto em qualquer parte do canteiro de obra e/ou local em que está sendo executado o objeto do presente edital é de propriedade do CONTRATANTE. A CONTRATADA deverá notificar à fiscalização tal descoberta e aguardar instruções sobre os procedimentos a serem seguidos.</w:t>
      </w:r>
    </w:p>
    <w:p>
      <w:pPr>
        <w:jc w:val="both"/>
        <w:widowControl/>
        <w:ind w:left="60" w:right="45"/>
        <w:spacing w:after="45"/>
      </w:pPr>
      <w:r>
        <w:rPr>
          <w:rFonts w:ascii="Times New Roman" w:hAnsi="Times New Roman" w:cs="Times New Roman" w:eastAsia="Times New Roman"/>
          <w:sz w:val="22"/>
        </w:rPr>
        <w:t/>
      </w:r>
    </w:p>
    <w:p>
      <w:pPr>
        <w:jc w:val="both"/>
        <w:widowControl/>
        <w:ind w:left="60" w:right="45" w:hanging="15"/>
        <w:spacing w:after="45"/>
        <w:shd w:val="clear" w:color="auto" w:fill="0D0D0D"/>
      </w:pPr>
      <w:r>
        <w:rPr>
          <w:b/>
          <w:sz w:val="22"/>
          <w:color w:val="FFFFFF"/>
        </w:rPr>
        <w:t>CLÁUSULA QUADRAGÉSIMA PRIMEIRA– DA PUBLICAÇÃO</w:t>
      </w:r>
    </w:p>
    <w:p>
      <w:pPr>
        <w:jc w:val="both"/>
        <w:widowControl/>
        <w:ind w:left="60" w:right="45" w:hanging="15"/>
        <w:spacing w:after="45"/>
      </w:pPr>
      <w:r>
        <w:rPr>
          <w:sz w:val="22"/>
        </w:rPr>
        <w:t>I – O CONTRATANTE providenciará a publicação do extrato do presente contrato, no Diário Oficial do Município de Guairaçá/Pr e/ou em jornal de circulação local ou regional, bem como no Portal Nacional de Contratações Públicas (PNCP), para fins de garantia à ampla publicidade, conforme artigo 94, da Lei Federal nº 14.133/2021</w:t>
      </w:r>
      <w:r>
        <w:rPr>
          <w:rFonts w:ascii="Times New Roman" w:hAnsi="Times New Roman" w:cs="Times New Roman" w:eastAsia="Times New Roman"/>
          <w:b/>
          <w:sz w:val="22"/>
        </w:rPr>
        <w:t>.</w:t>
      </w:r>
    </w:p>
    <w:p>
      <w:pPr>
        <w:jc w:val="both"/>
        <w:widowControl/>
        <w:ind w:left="60" w:right="45" w:hanging="15"/>
        <w:spacing w:after="45"/>
      </w:pPr>
      <w:r>
        <w:rPr>
          <w:rFonts w:ascii="Times New Roman" w:hAnsi="Times New Roman" w:cs="Times New Roman" w:eastAsia="Times New Roman"/>
          <w:sz w:val="22"/>
        </w:rPr>
        <w:t/>
      </w:r>
    </w:p>
    <w:p>
      <w:pPr>
        <w:jc w:val="both"/>
        <w:widowControl/>
        <w:ind w:left="60" w:right="45" w:hanging="15"/>
        <w:spacing w:after="45"/>
        <w:shd w:val="clear" w:color="auto" w:fill="0D0D0D"/>
      </w:pPr>
      <w:r>
        <w:rPr>
          <w:b/>
          <w:sz w:val="22"/>
          <w:color w:val="FFFFFF"/>
        </w:rPr>
        <w:t>CLÁUSULA QUADRAGÉSIMA SEGUNDA – DO FORO:</w:t>
      </w:r>
    </w:p>
    <w:p>
      <w:pPr>
        <w:jc w:val="both"/>
        <w:widowControl/>
        <w:ind w:left="60" w:right="45" w:hanging="15"/>
        <w:spacing w:after="45"/>
      </w:pPr>
      <w:r>
        <w:rPr>
          <w:b/>
          <w:sz w:val="22"/>
        </w:rPr>
        <w:t>I –</w:t>
      </w:r>
      <w:r>
        <w:rPr>
          <w:sz w:val="22"/>
        </w:rPr>
        <w:t xml:space="preserve"> É eleito o Foro da Comarca de Terra Rica, Estado do Paraná, para dirimir os litígios que decorrerem da execução deste Termo de Contrato, que não possam ser compostos pela conciliação, conforme art. 92, §1º da Lei nº 14.133/21.</w:t>
      </w:r>
    </w:p>
    <w:p>
      <w:pPr>
        <w:jc w:val="both"/>
        <w:widowControl/>
        <w:ind w:left="60" w:right="45" w:hanging="15"/>
        <w:spacing w:after="45"/>
      </w:pPr>
      <w:r>
        <w:rPr>
          <w:sz w:val="22"/>
        </w:rPr>
        <w:t/>
      </w:r>
    </w:p>
    <w:p>
      <w:pPr>
        <w:jc w:val="both"/>
        <w:widowControl/>
        <w:ind w:left="60" w:right="45" w:hanging="15"/>
        <w:spacing w:after="45"/>
      </w:pPr>
      <w:r>
        <w:rPr>
          <w:sz w:val="22"/>
        </w:rPr>
        <w:t>Justas e contratadas, firmam as partes este instrumento com as testemunhas presentes ao ato, a fim de que produza seus efeitos legais.</w:t>
      </w:r>
    </w:p>
    <w:p>
      <w:pPr>
        <w:jc w:val="both"/>
        <w:widowControl/>
        <w:ind w:left="60" w:right="45" w:hanging="15"/>
        <w:spacing w:after="45"/>
      </w:pPr>
      <w:r>
        <w:rPr>
          <w:sz w:val="22"/>
        </w:rPr>
        <w:t/>
      </w:r>
    </w:p>
    <w:p>
      <w:pPr>
        <w:jc w:val="right"/>
        <w:widowControl/>
        <w:ind w:right="45"/>
        <w:spacing w:after="45"/>
      </w:pPr>
      <w:r>
        <w:rPr>
          <w:sz w:val="22"/>
        </w:rPr>
        <w:t>GUAIRAÇÁ, _____ de ______ de 20___.</w:t>
      </w:r>
    </w:p>
    <w:p>
      <w:pPr>
        <w:jc w:val="right"/>
        <w:widowControl/>
        <w:ind w:right="45"/>
        <w:spacing w:after="45"/>
      </w:pPr>
      <w:r>
        <w:rPr>
          <w:sz w:val="22"/>
        </w:rPr>
        <w:t/>
      </w:r>
    </w:p>
    <w:p>
      <w:pPr>
        <w:jc w:val="right"/>
        <w:widowControl/>
        <w:ind w:right="45"/>
        <w:spacing w:after="45"/>
      </w:pPr>
      <w:r>
        <w:rPr>
          <w:sz w:val="22"/>
        </w:rPr>
        <w:t/>
      </w:r>
    </w:p>
    <w:p>
      <w:pPr>
        <w:jc w:val="center"/>
        <w:widowControl/>
        <w:ind w:left="15" w:right="15" w:hanging="15"/>
        <w:spacing w:after="45"/>
      </w:pPr>
      <w:r>
        <w:rPr>
          <w:sz w:val="22"/>
        </w:rPr>
        <w:t>MARCELO ALVES DE OLIVEIRA</w:t>
      </w:r>
    </w:p>
    <w:p>
      <w:pPr>
        <w:jc w:val="center"/>
        <w:widowControl/>
        <w:ind w:left="15" w:hanging="15"/>
        <w:spacing w:after="45"/>
      </w:pPr>
      <w:r>
        <w:rPr>
          <w:sz w:val="22"/>
        </w:rPr>
        <w:t>Prefeito Municipal</w:t>
      </w:r>
    </w:p>
    <w:p>
      <w:pPr>
        <w:jc w:val="center"/>
        <w:widowControl/>
        <w:ind w:left="3645" w:right="3630" w:hanging="15"/>
        <w:spacing w:after="45"/>
      </w:pPr>
      <w:r>
        <w:rPr>
          <w:sz w:val="22"/>
        </w:rPr>
        <w:t>Município de Guairaçá</w:t>
      </w:r>
    </w:p>
    <w:p>
      <w:pPr>
        <w:jc w:val="center"/>
        <w:widowControl/>
        <w:ind w:left="3645" w:right="3630" w:hanging="15"/>
        <w:spacing w:after="45"/>
      </w:pPr>
      <w:r>
        <w:rPr>
          <w:sz w:val="22"/>
        </w:rPr>
        <w:t/>
      </w:r>
    </w:p>
    <w:p>
      <w:pPr>
        <w:jc w:val="center"/>
        <w:widowControl/>
        <w:ind w:left="3645" w:right="3630" w:hanging="15"/>
        <w:spacing w:after="45"/>
      </w:pPr>
      <w:r>
        <w:rPr>
          <w:sz w:val="22"/>
        </w:rPr>
        <w:t/>
      </w:r>
    </w:p>
    <w:p>
      <w:pPr>
        <w:jc w:val="center"/>
        <w:widowControl/>
        <w:ind w:left="15" w:right="15" w:hanging="15"/>
        <w:spacing w:after="45"/>
      </w:pPr>
      <w:r>
        <w:rPr>
          <w:sz w:val="22"/>
        </w:rPr>
        <w:t>XXXXXXXXXXXXX</w:t>
      </w:r>
    </w:p>
    <w:p>
      <w:pPr>
        <w:jc w:val="center"/>
        <w:widowControl/>
        <w:ind w:left="15" w:right="15" w:hanging="15"/>
        <w:spacing w:after="45"/>
      </w:pPr>
      <w:r>
        <w:rPr>
          <w:sz w:val="22"/>
        </w:rPr>
        <w:t>(Nome da Empresa)</w:t>
      </w:r>
    </w:p>
    <w:p>
      <w:pPr>
        <w:jc w:val="center"/>
        <w:widowControl/>
        <w:ind w:left="15" w:hanging="15"/>
        <w:spacing w:after="45"/>
      </w:pPr>
      <w:r>
        <w:rPr>
          <w:sz w:val="22"/>
        </w:rPr>
        <w:t>Contratada</w:t>
      </w:r>
    </w:p>
    <w:p>
      <w:pPr>
        <w:jc w:val="center"/>
        <w:widowControl/>
        <w:ind w:left="15" w:hanging="15"/>
        <w:spacing w:after="45"/>
      </w:pPr>
      <w:r>
        <w:rPr>
          <w:sz w:val="22"/>
        </w:rPr>
        <w:t/>
      </w:r>
    </w:p>
    <w:p>
      <w:pPr>
        <w:jc w:val="center"/>
        <w:widowControl/>
        <w:ind w:left="15" w:hanging="15"/>
        <w:spacing w:after="45"/>
      </w:pPr>
      <w:r>
        <w:rPr>
          <w:sz w:val="22"/>
        </w:rPr>
        <w:t/>
      </w:r>
    </w:p>
    <w:p>
      <w:pPr>
        <w:jc w:val="both"/>
        <w:widowControl/>
        <w:ind w:left="345" w:right="45" w:hanging="15"/>
        <w:spacing w:after="45"/>
      </w:pPr>
      <w:r>
        <w:rPr>
          <w:b/>
          <w:sz w:val="22"/>
        </w:rPr>
        <w:t>GESTOR (A):</w:t>
      </w:r>
    </w:p>
    <w:p>
      <w:pPr>
        <w:jc w:val="both"/>
        <w:widowControl/>
        <w:ind w:left="345" w:right="45" w:hanging="15"/>
        <w:spacing w:after="45"/>
      </w:pPr>
      <w:r>
        <w:rPr>
          <w:sz w:val="22"/>
        </w:rPr>
        <w:t>_________________________________________. o (a) Sr (a). ________________, portador (a) da cédula de identidade nº __________ (Órgão Emissor), inscrito (a) no CPF sob o nº ________________, (Cargo), lotado (a) na Secretaria Municipal de ________________.</w:t>
      </w:r>
    </w:p>
    <w:p>
      <w:pPr>
        <w:jc w:val="both"/>
        <w:widowControl/>
        <w:ind w:left="345" w:right="45" w:hanging="15"/>
        <w:spacing w:after="45"/>
      </w:pPr>
      <w:r>
        <w:rPr>
          <w:sz w:val="22"/>
        </w:rPr>
        <w:t/>
      </w:r>
    </w:p>
    <w:p>
      <w:pPr>
        <w:jc w:val="both"/>
        <w:widowControl/>
        <w:ind w:left="345" w:right="45" w:hanging="15"/>
        <w:spacing w:after="45"/>
      </w:pPr>
      <w:r>
        <w:rPr>
          <w:b/>
          <w:sz w:val="22"/>
        </w:rPr>
        <w:t>FISCAL:</w:t>
      </w:r>
    </w:p>
    <w:p>
      <w:pPr>
        <w:jc w:val="both"/>
        <w:widowControl/>
        <w:ind w:left="345" w:right="45" w:hanging="15"/>
        <w:spacing w:after="45"/>
      </w:pPr>
      <w:r>
        <w:rPr>
          <w:sz w:val="22"/>
        </w:rPr>
        <w:t>____________________________________.</w:t>
      </w:r>
    </w:p>
    <w:p>
      <w:pPr>
        <w:jc w:val="both"/>
        <w:widowControl/>
        <w:ind w:left="345" w:right="45" w:hanging="15"/>
        <w:spacing w:after="45"/>
      </w:pPr>
      <w:r>
        <w:rPr>
          <w:sz w:val="22"/>
        </w:rPr>
        <w:t>o (a) Sr (a). ________________, portador (a) da cédula de identidade nº __________ (Órgão Emissor), inscrito (a) no CPF sob o nº ________________, (Cargo), lotado (a) na Secretaria Municipal de ________________.</w:t>
      </w:r>
    </w:p>
    <w:p>
      <w:pPr>
        <w:jc w:val="both"/>
        <w:widowControl/>
        <w:ind w:left="345" w:right="45" w:hanging="15"/>
        <w:spacing w:after="45"/>
      </w:pPr>
      <w:r>
        <w:rPr>
          <w:sz w:val="22"/>
        </w:rPr>
        <w:t/>
      </w:r>
    </w:p>
    <w:p>
      <w:pPr>
        <w:jc w:val="both"/>
        <w:widowControl/>
        <w:ind w:left="345" w:right="45" w:hanging="15"/>
        <w:spacing w:after="45"/>
      </w:pPr>
      <w:r>
        <w:rPr>
          <w:b/>
          <w:sz w:val="22"/>
        </w:rPr>
        <w:t>TESTEMUNHAS:</w:t>
      </w:r>
    </w:p>
    <w:p>
      <w:pPr>
        <w:jc w:val="both"/>
        <w:widowControl/>
        <w:ind w:left="345" w:right="45" w:hanging="15"/>
        <w:spacing w:after="45"/>
      </w:pPr>
      <w:r>
        <w:rPr>
          <w:sz w:val="22"/>
        </w:rPr>
        <w:t>_________________________________ o (a) Sr (a). ________________, portador (a) da cédula de identidade nº __________ (Órgão Emissor), inscrito (a) no CPF sob o nº ________________, (Cargo), lotado (a) na Secretaria Municipal de ________________.</w:t>
      </w:r>
    </w:p>
    <w:p>
      <w:pPr>
        <w:widowControl/>
        <w:ind w:left="345" w:right="315" w:hanging="15"/>
        <w:spacing w:after="45"/>
      </w:pPr>
      <w:r>
        <w:rPr>
          <w:sz w:val="22"/>
        </w:rPr>
        <w:t>________________________________ o (a) Sr (a). ________________, portador (a) da cédula de identidade nº __________ (Órgão Emissor), inscrito (a) no CPF sob o nº ________________, (Cargo), lotado (a) na Secretaria Municipal de ________________.</w:t>
      </w:r>
    </w:p>
    <w:p>
      <w:pPr>
        <w:widowControl/>
        <w:ind w:left="345" w:right="315" w:hanging="15"/>
        <w:spacing w:after="45"/>
      </w:pPr>
      <w:r>
        <w:rPr>
          <w:sz w:val="22"/>
        </w:rPr>
        <w:t/>
      </w:r>
    </w:p>
    <w:p>
      <w:pPr>
        <w:ind w:left="225"/>
        <w:spacing w:before="90"/>
      </w:pPr>
      <w:r>
        <w:rPr>
          <w:b/>
          <w:sz w:val="19"/>
        </w:rPr>
        <w:t>* Se necessário a presente minuta será alterada para eventual adequação a legislação vigente.</w:t>
      </w:r>
    </w:p>
    <w:p>
      <w:pPr>
        <w:widowControl/>
        <w:ind w:left="345" w:right="315" w:hanging="15"/>
        <w:spacing w:after="45"/>
      </w:pPr>
      <w:r>
        <w:rPr>
          <w:sz w:val="22"/>
        </w:rPr>
        <w:t/>
      </w:r>
    </w:p>
    <w:p>
      <w:pPr>
        <w:jc w:val="center"/>
        <w:widowControl/>
        <w:ind w:left="360"/>
        <w:spacing w:after="45"/>
      </w:pPr>
      <w:r>
        <w:rPr>
          <w:rFonts w:ascii="Times New Roman" w:hAnsi="Times New Roman" w:cs="Times New Roman" w:eastAsia="Times New Roman"/>
          <w:sz w:val="22"/>
        </w:rPr>
        <w:t/>
      </w:r>
    </w:p>
    <w:p>
      <w:pPr>
        <w:jc w:val="center"/>
        <w:ind w:left="2685" w:right="2775"/>
      </w:pPr>
      <w:r>
        <w:rPr>
          <w:rFonts w:ascii="Times New Roman" w:hAnsi="Times New Roman" w:cs="Times New Roman" w:eastAsia="Times New Roman"/>
        </w:rPr>
        <w:t/>
      </w:r>
    </w:p>
    <w:sectPr>
      <w:headerReference w:type="default" r:id="rIdHF0"/>
      <w:footerReference w:type="default" r:id="rIdHF1"/>
      <w:pgSz w:w="11899" w:h="16841"/>
      <w:pgMar w:top="283" w:right="283" w:bottom="283" w:left="283"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Arial">
    <w:charset w:val="00"/>
  </w:font>
  <w:font w:name="Times New Roman">
    <w:charset w:val="00"/>
  </w:font>
  <w:font w:name="Calibri">
    <w:charset w:val="00"/>
  </w:font>
  <w:font w:name="Arial MT">
    <w:charset w:val="01"/>
  </w:font>
  <w:font w:name="Arial MT">
    <w:charset w:val="00"/>
  </w:font>
  <w:font w:name="Roboto">
    <w:charset w:val="00"/>
  </w:font>
  <w:font w:name="Symbol">
    <w:charset w:val="02"/>
  </w:font>
  <w:font w:name="Wingdings">
    <w:charset w:val="02"/>
  </w:font>
  <w:font w:name="Noto Sans Symbols">
    <w:charset w:val="00"/>
  </w:font>
  <w:font w:name="Courier New">
    <w:charset w:val="00"/>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r>
      <w:t/>
    </w:r>
  </w:p>
</w:ftr>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drawing>
        <wp:inline distT="0" distB="0" distL="0" distR="0">
          <wp:extent cx="5876925" cy="1438275"/>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png"/>
                  <pic:cNvPicPr/>
                </pic:nvPicPr>
                <pic:blipFill>
                  <a:blip r:embed="prId1" cstate="print"/>
                  <a:stretch>
                    <a:fillRect/>
                  </a:stretch>
                </pic:blipFill>
                <pic:spPr>
                  <a:xfrm>
                    <a:off x="0" y="0"/>
                    <a:ext cx="5876925" cy="1438275"/>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numFmt w:val="upperRoman"/>
      <w:lvlText w:val="%1"/>
      <w:lvlJc w:val="left"/>
      <w:start w:val="2"/>
      <w:pPr>
        <w:ind w:left="405" w:firstLine="0"/>
        <w:tab w:val="num" w:pos="630"/>
      </w:pPr>
      <w:rPr>
        <w:rFonts w:ascii="Arial MT" w:hAnsi="Arial MT" w:cs="Arial MT" w:eastAsia="Arial MT"/>
      </w:rPr>
    </w:lvl>
    <w:lvl w:ilvl="1">
      <w:numFmt w:val="bullet"/>
      <w:lvlText w:val="•"/>
      <w:lvlJc w:val="left"/>
      <w:pPr>
        <w:ind w:left="1350" w:hanging="225"/>
        <w:tab w:val="num" w:pos="1350"/>
      </w:pPr>
      <w:rPr>
        <w:rFonts w:ascii="Times New Roman" w:hAnsi="Times New Roman" w:cs="Times New Roman" w:eastAsia="Times New Roman"/>
        <w:sz w:val="24"/>
      </w:rPr>
    </w:lvl>
    <w:lvl w:ilvl="2">
      <w:numFmt w:val="bullet"/>
      <w:lvlText w:val="•"/>
      <w:lvlJc w:val="left"/>
      <w:pPr>
        <w:ind w:left="2310" w:hanging="225"/>
        <w:tab w:val="num" w:pos="2310"/>
      </w:pPr>
      <w:rPr>
        <w:rFonts w:ascii="Times New Roman" w:hAnsi="Times New Roman" w:cs="Times New Roman" w:eastAsia="Times New Roman"/>
        <w:sz w:val="24"/>
      </w:rPr>
    </w:lvl>
    <w:lvl w:ilvl="3">
      <w:numFmt w:val="bullet"/>
      <w:lvlText w:val="•"/>
      <w:lvlJc w:val="left"/>
      <w:pPr>
        <w:ind w:left="3270" w:hanging="225"/>
        <w:tab w:val="num" w:pos="3270"/>
      </w:pPr>
      <w:rPr>
        <w:rFonts w:ascii="Times New Roman" w:hAnsi="Times New Roman" w:cs="Times New Roman" w:eastAsia="Times New Roman"/>
        <w:sz w:val="24"/>
      </w:rPr>
    </w:lvl>
    <w:lvl w:ilvl="4">
      <w:numFmt w:val="bullet"/>
      <w:lvlText w:val="•"/>
      <w:lvlJc w:val="left"/>
      <w:pPr>
        <w:ind w:left="4215" w:hanging="225"/>
        <w:tab w:val="num" w:pos="4215"/>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120" w:hanging="225"/>
        <w:tab w:val="num" w:pos="6120"/>
      </w:pPr>
      <w:rPr>
        <w:rFonts w:ascii="Times New Roman" w:hAnsi="Times New Roman" w:cs="Times New Roman" w:eastAsia="Times New Roman"/>
        <w:sz w:val="24"/>
      </w:rPr>
    </w:lvl>
    <w:lvl w:ilvl="7">
      <w:numFmt w:val="bullet"/>
      <w:lvlText w:val="•"/>
      <w:lvlJc w:val="left"/>
      <w:pPr>
        <w:ind w:left="7080" w:hanging="225"/>
        <w:tab w:val="num" w:pos="7080"/>
      </w:pPr>
      <w:rPr>
        <w:rFonts w:ascii="Times New Roman" w:hAnsi="Times New Roman" w:cs="Times New Roman" w:eastAsia="Times New Roman"/>
        <w:sz w:val="24"/>
      </w:rPr>
    </w:lvl>
    <w:lvl w:ilvl="8">
      <w:numFmt w:val="bullet"/>
      <w:lvlText w:val="•"/>
      <w:lvlJc w:val="left"/>
      <w:pPr>
        <w:ind w:left="8040" w:hanging="225"/>
        <w:tab w:val="num" w:pos="8040"/>
      </w:pPr>
      <w:rPr>
        <w:rFonts w:ascii="Times New Roman" w:hAnsi="Times New Roman" w:cs="Times New Roman" w:eastAsia="Times New Roman"/>
        <w:sz w:val="24"/>
      </w:rPr>
    </w:lvl>
  </w:abstractNum>
  <w:abstractNum w:abstractNumId="1">
    <w:multiLevelType w:val="hybridMultilevel"/>
    <w:lvl w:ilvl="0">
      <w:numFmt w:val="upperRoman"/>
      <w:lvlText w:val="%1"/>
      <w:lvlJc w:val="left"/>
      <w:start w:val="1"/>
      <w:pPr>
        <w:ind w:left="405" w:firstLine="0"/>
        <w:tab w:val="num" w:pos="540"/>
      </w:pPr>
      <w:rPr>
        <w:rFonts w:ascii="Arial MT" w:hAnsi="Arial MT" w:cs="Arial MT" w:eastAsia="Arial MT"/>
      </w:rPr>
    </w:lvl>
    <w:lvl w:ilvl="1">
      <w:numFmt w:val="bullet"/>
      <w:lvlText w:val="•"/>
      <w:lvlJc w:val="left"/>
      <w:pPr>
        <w:ind w:left="1350" w:hanging="135"/>
        <w:tab w:val="num" w:pos="1350"/>
      </w:pPr>
      <w:rPr>
        <w:rFonts w:ascii="Times New Roman" w:hAnsi="Times New Roman" w:cs="Times New Roman" w:eastAsia="Times New Roman"/>
        <w:sz w:val="24"/>
      </w:rPr>
    </w:lvl>
    <w:lvl w:ilvl="2">
      <w:numFmt w:val="bullet"/>
      <w:lvlText w:val="•"/>
      <w:lvlJc w:val="left"/>
      <w:pPr>
        <w:ind w:left="2310" w:hanging="135"/>
        <w:tab w:val="num" w:pos="2310"/>
      </w:pPr>
      <w:rPr>
        <w:rFonts w:ascii="Times New Roman" w:hAnsi="Times New Roman" w:cs="Times New Roman" w:eastAsia="Times New Roman"/>
        <w:sz w:val="24"/>
      </w:rPr>
    </w:lvl>
    <w:lvl w:ilvl="3">
      <w:numFmt w:val="bullet"/>
      <w:lvlText w:val="•"/>
      <w:lvlJc w:val="left"/>
      <w:pPr>
        <w:ind w:left="3270" w:hanging="135"/>
        <w:tab w:val="num" w:pos="3270"/>
      </w:pPr>
      <w:rPr>
        <w:rFonts w:ascii="Times New Roman" w:hAnsi="Times New Roman" w:cs="Times New Roman" w:eastAsia="Times New Roman"/>
        <w:sz w:val="24"/>
      </w:rPr>
    </w:lvl>
    <w:lvl w:ilvl="4">
      <w:numFmt w:val="bullet"/>
      <w:lvlText w:val="•"/>
      <w:lvlJc w:val="left"/>
      <w:pPr>
        <w:ind w:left="4215" w:hanging="135"/>
        <w:tab w:val="num" w:pos="4215"/>
      </w:pPr>
      <w:rPr>
        <w:rFonts w:ascii="Times New Roman" w:hAnsi="Times New Roman" w:cs="Times New Roman" w:eastAsia="Times New Roman"/>
        <w:sz w:val="24"/>
      </w:rPr>
    </w:lvl>
    <w:lvl w:ilvl="5">
      <w:numFmt w:val="bullet"/>
      <w:lvlText w:val="•"/>
      <w:lvlJc w:val="left"/>
      <w:pPr>
        <w:ind w:left="5175" w:hanging="135"/>
        <w:tab w:val="num" w:pos="5175"/>
      </w:pPr>
      <w:rPr>
        <w:rFonts w:ascii="Times New Roman" w:hAnsi="Times New Roman" w:cs="Times New Roman" w:eastAsia="Times New Roman"/>
        <w:sz w:val="24"/>
      </w:rPr>
    </w:lvl>
    <w:lvl w:ilvl="6">
      <w:numFmt w:val="bullet"/>
      <w:lvlText w:val="•"/>
      <w:lvlJc w:val="left"/>
      <w:pPr>
        <w:ind w:left="6120" w:hanging="135"/>
        <w:tab w:val="num" w:pos="6120"/>
      </w:pPr>
      <w:rPr>
        <w:rFonts w:ascii="Times New Roman" w:hAnsi="Times New Roman" w:cs="Times New Roman" w:eastAsia="Times New Roman"/>
        <w:sz w:val="24"/>
      </w:rPr>
    </w:lvl>
    <w:lvl w:ilvl="7">
      <w:numFmt w:val="bullet"/>
      <w:lvlText w:val="•"/>
      <w:lvlJc w:val="left"/>
      <w:pPr>
        <w:ind w:left="7080" w:hanging="135"/>
        <w:tab w:val="num" w:pos="7080"/>
      </w:pPr>
      <w:rPr>
        <w:rFonts w:ascii="Times New Roman" w:hAnsi="Times New Roman" w:cs="Times New Roman" w:eastAsia="Times New Roman"/>
        <w:sz w:val="24"/>
      </w:rPr>
    </w:lvl>
    <w:lvl w:ilvl="8">
      <w:numFmt w:val="bullet"/>
      <w:lvlText w:val="•"/>
      <w:lvlJc w:val="left"/>
      <w:pPr>
        <w:ind w:left="8040" w:hanging="135"/>
        <w:tab w:val="num" w:pos="8040"/>
      </w:pPr>
      <w:rPr>
        <w:rFonts w:ascii="Times New Roman" w:hAnsi="Times New Roman" w:cs="Times New Roman" w:eastAsia="Times New Roman"/>
        <w:sz w:val="24"/>
      </w:rPr>
    </w:lvl>
  </w:abstractNum>
  <w:abstractNum w:abstractNumId="2">
    <w:multiLevelType w:val="hybridMultilevel"/>
    <w:lvl w:ilvl="0">
      <w:numFmt w:val="upperRoman"/>
      <w:lvlText w:val="%1"/>
      <w:lvlJc w:val="left"/>
      <w:start w:val="2"/>
      <w:pPr>
        <w:ind w:left="570" w:hanging="180"/>
        <w:tab w:val="num" w:pos="570"/>
      </w:pPr>
      <w:rPr>
        <w:rFonts w:ascii="Arial MT" w:hAnsi="Arial MT" w:cs="Arial MT" w:eastAsia="Arial MT"/>
      </w:rPr>
    </w:lvl>
    <w:lvl w:ilvl="1">
      <w:numFmt w:val="bullet"/>
      <w:lvlText w:val="•"/>
      <w:lvlJc w:val="left"/>
      <w:pPr>
        <w:ind w:left="1500" w:hanging="165"/>
        <w:tab w:val="num" w:pos="1500"/>
      </w:pPr>
      <w:rPr>
        <w:rFonts w:ascii="Times New Roman" w:hAnsi="Times New Roman" w:cs="Times New Roman" w:eastAsia="Times New Roman"/>
        <w:sz w:val="24"/>
      </w:rPr>
    </w:lvl>
    <w:lvl w:ilvl="2">
      <w:numFmt w:val="bullet"/>
      <w:lvlText w:val="•"/>
      <w:lvlJc w:val="left"/>
      <w:pPr>
        <w:ind w:left="2430" w:hanging="165"/>
        <w:tab w:val="num" w:pos="2430"/>
      </w:pPr>
      <w:rPr>
        <w:rFonts w:ascii="Times New Roman" w:hAnsi="Times New Roman" w:cs="Times New Roman" w:eastAsia="Times New Roman"/>
        <w:sz w:val="24"/>
      </w:rPr>
    </w:lvl>
    <w:lvl w:ilvl="3">
      <w:numFmt w:val="bullet"/>
      <w:lvlText w:val="•"/>
      <w:lvlJc w:val="left"/>
      <w:pPr>
        <w:ind w:left="3375" w:hanging="165"/>
        <w:tab w:val="num" w:pos="3375"/>
      </w:pPr>
      <w:rPr>
        <w:rFonts w:ascii="Times New Roman" w:hAnsi="Times New Roman" w:cs="Times New Roman" w:eastAsia="Times New Roman"/>
        <w:sz w:val="24"/>
      </w:rPr>
    </w:lvl>
    <w:lvl w:ilvl="4">
      <w:numFmt w:val="bullet"/>
      <w:lvlText w:val="•"/>
      <w:lvlJc w:val="left"/>
      <w:pPr>
        <w:ind w:left="4320" w:hanging="165"/>
        <w:tab w:val="num" w:pos="4320"/>
      </w:pPr>
      <w:rPr>
        <w:rFonts w:ascii="Times New Roman" w:hAnsi="Times New Roman" w:cs="Times New Roman" w:eastAsia="Times New Roman"/>
        <w:sz w:val="24"/>
      </w:rPr>
    </w:lvl>
    <w:lvl w:ilvl="5">
      <w:numFmt w:val="bullet"/>
      <w:lvlText w:val="•"/>
      <w:lvlJc w:val="left"/>
      <w:pPr>
        <w:ind w:left="5250" w:hanging="165"/>
        <w:tab w:val="num" w:pos="5250"/>
      </w:pPr>
      <w:rPr>
        <w:rFonts w:ascii="Times New Roman" w:hAnsi="Times New Roman" w:cs="Times New Roman" w:eastAsia="Times New Roman"/>
        <w:sz w:val="24"/>
      </w:rPr>
    </w:lvl>
    <w:lvl w:ilvl="6">
      <w:numFmt w:val="bullet"/>
      <w:lvlText w:val="•"/>
      <w:lvlJc w:val="left"/>
      <w:pPr>
        <w:ind w:left="6195" w:hanging="165"/>
        <w:tab w:val="num" w:pos="6195"/>
      </w:pPr>
      <w:rPr>
        <w:rFonts w:ascii="Times New Roman" w:hAnsi="Times New Roman" w:cs="Times New Roman" w:eastAsia="Times New Roman"/>
        <w:sz w:val="24"/>
      </w:rPr>
    </w:lvl>
    <w:lvl w:ilvl="7">
      <w:numFmt w:val="bullet"/>
      <w:lvlText w:val="•"/>
      <w:lvlJc w:val="left"/>
      <w:pPr>
        <w:ind w:left="7125" w:hanging="165"/>
        <w:tab w:val="num" w:pos="7125"/>
      </w:pPr>
      <w:rPr>
        <w:rFonts w:ascii="Times New Roman" w:hAnsi="Times New Roman" w:cs="Times New Roman" w:eastAsia="Times New Roman"/>
        <w:sz w:val="24"/>
      </w:rPr>
    </w:lvl>
    <w:lvl w:ilvl="8">
      <w:numFmt w:val="bullet"/>
      <w:lvlText w:val="•"/>
      <w:lvlJc w:val="left"/>
      <w:pPr>
        <w:ind w:left="8070" w:hanging="165"/>
        <w:tab w:val="num" w:pos="8070"/>
      </w:pPr>
      <w:rPr>
        <w:rFonts w:ascii="Times New Roman" w:hAnsi="Times New Roman" w:cs="Times New Roman" w:eastAsia="Times New Roman"/>
        <w:sz w:val="24"/>
      </w:rPr>
    </w:lvl>
  </w:abstractNum>
  <w:abstractNum w:abstractNumId="3">
    <w:multiLevelType w:val="hybridMultilevel"/>
    <w:lvl w:ilvl="0">
      <w:numFmt w:val="lowerLetter"/>
      <w:lvlText w:val="%1)"/>
      <w:lvlJc w:val="left"/>
      <w:start w:val="1"/>
      <w:pPr>
        <w:ind w:left="405" w:firstLine="0"/>
        <w:tab w:val="num" w:pos="645"/>
      </w:pPr>
      <w:rPr>
        <w:rFonts w:ascii="Arial MT" w:hAnsi="Arial MT" w:cs="Arial MT" w:eastAsia="Arial MT"/>
      </w:rPr>
    </w:lvl>
    <w:lvl w:ilvl="1">
      <w:numFmt w:val="bullet"/>
      <w:lvlText w:val="•"/>
      <w:lvlJc w:val="left"/>
      <w:pPr>
        <w:ind w:left="1350" w:hanging="240"/>
        <w:tab w:val="num" w:pos="1350"/>
      </w:pPr>
      <w:rPr>
        <w:rFonts w:ascii="Times New Roman" w:hAnsi="Times New Roman" w:cs="Times New Roman" w:eastAsia="Times New Roman"/>
        <w:sz w:val="24"/>
      </w:rPr>
    </w:lvl>
    <w:lvl w:ilvl="2">
      <w:numFmt w:val="bullet"/>
      <w:lvlText w:val="•"/>
      <w:lvlJc w:val="left"/>
      <w:pPr>
        <w:ind w:left="2310" w:hanging="240"/>
        <w:tab w:val="num" w:pos="2310"/>
      </w:pPr>
      <w:rPr>
        <w:rFonts w:ascii="Times New Roman" w:hAnsi="Times New Roman" w:cs="Times New Roman" w:eastAsia="Times New Roman"/>
        <w:sz w:val="24"/>
      </w:rPr>
    </w:lvl>
    <w:lvl w:ilvl="3">
      <w:numFmt w:val="bullet"/>
      <w:lvlText w:val="•"/>
      <w:lvlJc w:val="left"/>
      <w:pPr>
        <w:ind w:left="3270" w:hanging="240"/>
        <w:tab w:val="num" w:pos="3270"/>
      </w:pPr>
      <w:rPr>
        <w:rFonts w:ascii="Times New Roman" w:hAnsi="Times New Roman" w:cs="Times New Roman" w:eastAsia="Times New Roman"/>
        <w:sz w:val="24"/>
      </w:rPr>
    </w:lvl>
    <w:lvl w:ilvl="4">
      <w:numFmt w:val="bullet"/>
      <w:lvlText w:val="•"/>
      <w:lvlJc w:val="left"/>
      <w:pPr>
        <w:ind w:left="4215" w:hanging="240"/>
        <w:tab w:val="num" w:pos="4215"/>
      </w:pPr>
      <w:rPr>
        <w:rFonts w:ascii="Times New Roman" w:hAnsi="Times New Roman" w:cs="Times New Roman" w:eastAsia="Times New Roman"/>
        <w:sz w:val="24"/>
      </w:rPr>
    </w:lvl>
    <w:lvl w:ilvl="5">
      <w:numFmt w:val="bullet"/>
      <w:lvlText w:val="•"/>
      <w:lvlJc w:val="left"/>
      <w:pPr>
        <w:ind w:left="5175" w:hanging="240"/>
        <w:tab w:val="num" w:pos="5175"/>
      </w:pPr>
      <w:rPr>
        <w:rFonts w:ascii="Times New Roman" w:hAnsi="Times New Roman" w:cs="Times New Roman" w:eastAsia="Times New Roman"/>
        <w:sz w:val="24"/>
      </w:rPr>
    </w:lvl>
    <w:lvl w:ilvl="6">
      <w:numFmt w:val="bullet"/>
      <w:lvlText w:val="•"/>
      <w:lvlJc w:val="left"/>
      <w:pPr>
        <w:ind w:left="6120" w:hanging="240"/>
        <w:tab w:val="num" w:pos="6120"/>
      </w:pPr>
      <w:rPr>
        <w:rFonts w:ascii="Times New Roman" w:hAnsi="Times New Roman" w:cs="Times New Roman" w:eastAsia="Times New Roman"/>
        <w:sz w:val="24"/>
      </w:rPr>
    </w:lvl>
    <w:lvl w:ilvl="7">
      <w:numFmt w:val="bullet"/>
      <w:lvlText w:val="•"/>
      <w:lvlJc w:val="left"/>
      <w:pPr>
        <w:ind w:left="7080" w:hanging="240"/>
        <w:tab w:val="num" w:pos="7080"/>
      </w:pPr>
      <w:rPr>
        <w:rFonts w:ascii="Times New Roman" w:hAnsi="Times New Roman" w:cs="Times New Roman" w:eastAsia="Times New Roman"/>
        <w:sz w:val="24"/>
      </w:rPr>
    </w:lvl>
    <w:lvl w:ilvl="8">
      <w:numFmt w:val="bullet"/>
      <w:lvlText w:val="•"/>
      <w:lvlJc w:val="left"/>
      <w:pPr>
        <w:ind w:left="8040" w:hanging="240"/>
        <w:tab w:val="num" w:pos="8040"/>
      </w:pPr>
      <w:rPr>
        <w:rFonts w:ascii="Times New Roman" w:hAnsi="Times New Roman" w:cs="Times New Roman" w:eastAsia="Times New Roman"/>
        <w:sz w:val="24"/>
      </w:rPr>
    </w:lvl>
  </w:abstractNum>
  <w:abstractNum w:abstractNumId="4">
    <w:multiLevelType w:val="hybridMultilevel"/>
    <w:lvl w:ilvl="0">
      <w:numFmt w:val="decimal"/>
      <w:lvlText w:val="%1"/>
      <w:lvlJc w:val="left"/>
      <w:start w:val="1"/>
      <w:pPr>
        <w:ind w:left="570" w:hanging="180"/>
        <w:tab w:val="num" w:pos="570"/>
      </w:pPr>
      <w:rPr>
        <w:b/>
      </w:rPr>
    </w:lvl>
    <w:lvl w:ilvl="1">
      <w:numFmt w:val="decimal"/>
      <w:lvlText w:val="%1.%2"/>
      <w:lvlJc w:val="left"/>
      <w:start w:val="1"/>
      <w:pPr>
        <w:ind w:left="735" w:firstLine="0"/>
        <w:tab w:val="num" w:pos="1065"/>
      </w:pPr>
      <w:rPr>
        <w:rFonts w:ascii="Arial MT" w:hAnsi="Arial MT" w:cs="Arial MT" w:eastAsia="Arial MT"/>
      </w:rPr>
    </w:lvl>
    <w:lvl w:ilvl="2">
      <w:numFmt w:val="decimal"/>
      <w:lvlText w:val="%1.%2.%3"/>
      <w:lvlJc w:val="left"/>
      <w:start w:val="1"/>
      <w:pPr>
        <w:ind w:left="1575" w:hanging="495"/>
        <w:tab w:val="num" w:pos="1575"/>
      </w:pPr>
      <w:rPr>
        <w:rFonts w:ascii="Arial MT" w:hAnsi="Arial MT" w:cs="Arial MT" w:eastAsia="Arial MT"/>
      </w:rPr>
    </w:lvl>
    <w:lvl w:ilvl="3">
      <w:numFmt w:val="decimal"/>
      <w:lvlText w:val="%1.%2.%3.%4."/>
      <w:lvlJc w:val="left"/>
      <w:start w:val="1"/>
      <w:pPr>
        <w:ind w:left="1425" w:firstLine="0"/>
        <w:tab w:val="num" w:pos="2265"/>
      </w:pPr>
      <w:rPr>
        <w:rFonts w:ascii="Times New Roman" w:hAnsi="Times New Roman" w:cs="Times New Roman" w:eastAsia="Times New Roman"/>
      </w:rPr>
    </w:lvl>
    <w:lvl w:ilvl="4">
      <w:numFmt w:val="bullet"/>
      <w:lvlText w:val="•"/>
      <w:lvlJc w:val="left"/>
      <w:pPr>
        <w:ind w:left="1425" w:hanging="840"/>
        <w:tab w:val="num" w:pos="1425"/>
      </w:pPr>
      <w:rPr>
        <w:rFonts w:ascii="Times New Roman" w:hAnsi="Times New Roman" w:cs="Times New Roman" w:eastAsia="Times New Roman"/>
        <w:sz w:val="24"/>
      </w:rPr>
    </w:lvl>
    <w:lvl w:ilvl="5">
      <w:numFmt w:val="bullet"/>
      <w:lvlText w:val="•"/>
      <w:lvlJc w:val="left"/>
      <w:pPr>
        <w:ind w:left="1575" w:hanging="840"/>
        <w:tab w:val="num" w:pos="1575"/>
      </w:pPr>
      <w:rPr>
        <w:rFonts w:ascii="Times New Roman" w:hAnsi="Times New Roman" w:cs="Times New Roman" w:eastAsia="Times New Roman"/>
        <w:sz w:val="24"/>
      </w:rPr>
    </w:lvl>
    <w:lvl w:ilvl="6">
      <w:numFmt w:val="bullet"/>
      <w:lvlText w:val="•"/>
      <w:lvlJc w:val="left"/>
      <w:pPr>
        <w:ind w:left="1680" w:hanging="840"/>
        <w:tab w:val="num" w:pos="1680"/>
      </w:pPr>
      <w:rPr>
        <w:rFonts w:ascii="Times New Roman" w:hAnsi="Times New Roman" w:cs="Times New Roman" w:eastAsia="Times New Roman"/>
        <w:sz w:val="24"/>
      </w:rPr>
    </w:lvl>
    <w:lvl w:ilvl="7">
      <w:numFmt w:val="bullet"/>
      <w:lvlText w:val="•"/>
      <w:lvlJc w:val="left"/>
      <w:pPr>
        <w:ind w:left="2265" w:hanging="840"/>
        <w:tab w:val="num" w:pos="2265"/>
      </w:pPr>
      <w:rPr>
        <w:rFonts w:ascii="Times New Roman" w:hAnsi="Times New Roman" w:cs="Times New Roman" w:eastAsia="Times New Roman"/>
        <w:sz w:val="24"/>
      </w:rPr>
    </w:lvl>
    <w:lvl w:ilvl="8">
      <w:numFmt w:val="bullet"/>
      <w:lvlText w:val="•"/>
      <w:lvlJc w:val="left"/>
      <w:pPr>
        <w:ind w:left="4815" w:hanging="840"/>
        <w:tab w:val="num" w:pos="4815"/>
      </w:pPr>
      <w:rPr>
        <w:rFonts w:ascii="Times New Roman" w:hAnsi="Times New Roman" w:cs="Times New Roman" w:eastAsia="Times New Roman"/>
        <w:sz w:val="24"/>
      </w:rPr>
    </w:lvl>
  </w:abstractNum>
  <w:abstractNum w:abstractNumId="5">
    <w:multiLevelType w:val="hybridMultilevel"/>
    <w:lvl w:ilvl="0">
      <w:numFmt w:val="upperRoman"/>
      <w:lvlText w:val="%1"/>
      <w:lvlJc w:val="left"/>
      <w:start w:val="1"/>
      <w:pPr>
        <w:ind w:left="510" w:hanging="120"/>
        <w:tab w:val="num" w:pos="510"/>
      </w:pPr>
      <w:rPr>
        <w:rFonts w:ascii="Arial MT" w:hAnsi="Arial MT" w:cs="Arial MT" w:eastAsia="Arial MT"/>
      </w:rPr>
    </w:lvl>
    <w:lvl w:ilvl="1">
      <w:numFmt w:val="bullet"/>
      <w:lvlText w:val="•"/>
      <w:lvlJc w:val="left"/>
      <w:pPr>
        <w:ind w:left="1440" w:hanging="105"/>
        <w:tab w:val="num" w:pos="1440"/>
      </w:pPr>
      <w:rPr>
        <w:rFonts w:ascii="Times New Roman" w:hAnsi="Times New Roman" w:cs="Times New Roman" w:eastAsia="Times New Roman"/>
        <w:sz w:val="24"/>
      </w:rPr>
    </w:lvl>
    <w:lvl w:ilvl="2">
      <w:numFmt w:val="bullet"/>
      <w:lvlText w:val="•"/>
      <w:lvlJc w:val="left"/>
      <w:pPr>
        <w:ind w:left="2385" w:hanging="105"/>
        <w:tab w:val="num" w:pos="2385"/>
      </w:pPr>
      <w:rPr>
        <w:rFonts w:ascii="Times New Roman" w:hAnsi="Times New Roman" w:cs="Times New Roman" w:eastAsia="Times New Roman"/>
        <w:sz w:val="24"/>
      </w:rPr>
    </w:lvl>
    <w:lvl w:ilvl="3">
      <w:numFmt w:val="bullet"/>
      <w:lvlText w:val="•"/>
      <w:lvlJc w:val="left"/>
      <w:pPr>
        <w:ind w:left="3330" w:hanging="105"/>
        <w:tab w:val="num" w:pos="3330"/>
      </w:pPr>
      <w:rPr>
        <w:rFonts w:ascii="Times New Roman" w:hAnsi="Times New Roman" w:cs="Times New Roman" w:eastAsia="Times New Roman"/>
        <w:sz w:val="24"/>
      </w:rPr>
    </w:lvl>
    <w:lvl w:ilvl="4">
      <w:numFmt w:val="bullet"/>
      <w:lvlText w:val="•"/>
      <w:lvlJc w:val="left"/>
      <w:pPr>
        <w:ind w:left="4275" w:hanging="105"/>
        <w:tab w:val="num" w:pos="4275"/>
      </w:pPr>
      <w:rPr>
        <w:rFonts w:ascii="Times New Roman" w:hAnsi="Times New Roman" w:cs="Times New Roman" w:eastAsia="Times New Roman"/>
        <w:sz w:val="24"/>
      </w:rPr>
    </w:lvl>
    <w:lvl w:ilvl="5">
      <w:numFmt w:val="bullet"/>
      <w:lvlText w:val="•"/>
      <w:lvlJc w:val="left"/>
      <w:pPr>
        <w:ind w:left="5220" w:hanging="105"/>
        <w:tab w:val="num" w:pos="5220"/>
      </w:pPr>
      <w:rPr>
        <w:rFonts w:ascii="Times New Roman" w:hAnsi="Times New Roman" w:cs="Times New Roman" w:eastAsia="Times New Roman"/>
        <w:sz w:val="24"/>
      </w:rPr>
    </w:lvl>
    <w:lvl w:ilvl="6">
      <w:numFmt w:val="bullet"/>
      <w:lvlText w:val="•"/>
      <w:lvlJc w:val="left"/>
      <w:pPr>
        <w:ind w:left="6165" w:hanging="105"/>
        <w:tab w:val="num" w:pos="6165"/>
      </w:pPr>
      <w:rPr>
        <w:rFonts w:ascii="Times New Roman" w:hAnsi="Times New Roman" w:cs="Times New Roman" w:eastAsia="Times New Roman"/>
        <w:sz w:val="24"/>
      </w:rPr>
    </w:lvl>
    <w:lvl w:ilvl="7">
      <w:numFmt w:val="bullet"/>
      <w:lvlText w:val="•"/>
      <w:lvlJc w:val="left"/>
      <w:pPr>
        <w:ind w:left="7110" w:hanging="105"/>
        <w:tab w:val="num" w:pos="7110"/>
      </w:pPr>
      <w:rPr>
        <w:rFonts w:ascii="Times New Roman" w:hAnsi="Times New Roman" w:cs="Times New Roman" w:eastAsia="Times New Roman"/>
        <w:sz w:val="24"/>
      </w:rPr>
    </w:lvl>
    <w:lvl w:ilvl="8">
      <w:numFmt w:val="bullet"/>
      <w:lvlText w:val="•"/>
      <w:lvlJc w:val="left"/>
      <w:pPr>
        <w:ind w:left="8055" w:hanging="105"/>
        <w:tab w:val="num" w:pos="8055"/>
      </w:pPr>
      <w:rPr>
        <w:rFonts w:ascii="Times New Roman" w:hAnsi="Times New Roman" w:cs="Times New Roman" w:eastAsia="Times New Roman"/>
        <w:sz w:val="24"/>
      </w:rPr>
    </w:lvl>
  </w:abstractNum>
  <w:abstractNum w:abstractNumId="6">
    <w:multiLevelType w:val="hybridMultilevel"/>
    <w:lvl w:ilvl="0">
      <w:numFmt w:val="upperRoman"/>
      <w:lvlText w:val="%1"/>
      <w:lvlJc w:val="left"/>
      <w:start w:val="2"/>
      <w:pPr>
        <w:ind w:left="570" w:hanging="180"/>
        <w:tab w:val="num" w:pos="570"/>
      </w:pPr>
      <w:rPr>
        <w:rFonts w:ascii="Arial MT" w:hAnsi="Arial MT" w:cs="Arial MT" w:eastAsia="Arial MT"/>
      </w:rPr>
    </w:lvl>
    <w:lvl w:ilvl="1">
      <w:numFmt w:val="bullet"/>
      <w:lvlText w:val="•"/>
      <w:lvlJc w:val="left"/>
      <w:pPr>
        <w:ind w:left="1500" w:hanging="165"/>
        <w:tab w:val="num" w:pos="1500"/>
      </w:pPr>
      <w:rPr>
        <w:rFonts w:ascii="Times New Roman" w:hAnsi="Times New Roman" w:cs="Times New Roman" w:eastAsia="Times New Roman"/>
        <w:sz w:val="24"/>
      </w:rPr>
    </w:lvl>
    <w:lvl w:ilvl="2">
      <w:numFmt w:val="bullet"/>
      <w:lvlText w:val="•"/>
      <w:lvlJc w:val="left"/>
      <w:pPr>
        <w:ind w:left="2430" w:hanging="165"/>
        <w:tab w:val="num" w:pos="2430"/>
      </w:pPr>
      <w:rPr>
        <w:rFonts w:ascii="Times New Roman" w:hAnsi="Times New Roman" w:cs="Times New Roman" w:eastAsia="Times New Roman"/>
        <w:sz w:val="24"/>
      </w:rPr>
    </w:lvl>
    <w:lvl w:ilvl="3">
      <w:numFmt w:val="bullet"/>
      <w:lvlText w:val="•"/>
      <w:lvlJc w:val="left"/>
      <w:pPr>
        <w:ind w:left="3375" w:hanging="165"/>
        <w:tab w:val="num" w:pos="3375"/>
      </w:pPr>
      <w:rPr>
        <w:rFonts w:ascii="Times New Roman" w:hAnsi="Times New Roman" w:cs="Times New Roman" w:eastAsia="Times New Roman"/>
        <w:sz w:val="24"/>
      </w:rPr>
    </w:lvl>
    <w:lvl w:ilvl="4">
      <w:numFmt w:val="bullet"/>
      <w:lvlText w:val="•"/>
      <w:lvlJc w:val="left"/>
      <w:pPr>
        <w:ind w:left="4320" w:hanging="165"/>
        <w:tab w:val="num" w:pos="4320"/>
      </w:pPr>
      <w:rPr>
        <w:rFonts w:ascii="Times New Roman" w:hAnsi="Times New Roman" w:cs="Times New Roman" w:eastAsia="Times New Roman"/>
        <w:sz w:val="24"/>
      </w:rPr>
    </w:lvl>
    <w:lvl w:ilvl="5">
      <w:numFmt w:val="bullet"/>
      <w:lvlText w:val="•"/>
      <w:lvlJc w:val="left"/>
      <w:pPr>
        <w:ind w:left="5250" w:hanging="165"/>
        <w:tab w:val="num" w:pos="5250"/>
      </w:pPr>
      <w:rPr>
        <w:rFonts w:ascii="Times New Roman" w:hAnsi="Times New Roman" w:cs="Times New Roman" w:eastAsia="Times New Roman"/>
        <w:sz w:val="24"/>
      </w:rPr>
    </w:lvl>
    <w:lvl w:ilvl="6">
      <w:numFmt w:val="bullet"/>
      <w:lvlText w:val="•"/>
      <w:lvlJc w:val="left"/>
      <w:pPr>
        <w:ind w:left="6195" w:hanging="165"/>
        <w:tab w:val="num" w:pos="6195"/>
      </w:pPr>
      <w:rPr>
        <w:rFonts w:ascii="Times New Roman" w:hAnsi="Times New Roman" w:cs="Times New Roman" w:eastAsia="Times New Roman"/>
        <w:sz w:val="24"/>
      </w:rPr>
    </w:lvl>
    <w:lvl w:ilvl="7">
      <w:numFmt w:val="bullet"/>
      <w:lvlText w:val="•"/>
      <w:lvlJc w:val="left"/>
      <w:pPr>
        <w:ind w:left="7125" w:hanging="165"/>
        <w:tab w:val="num" w:pos="7125"/>
      </w:pPr>
      <w:rPr>
        <w:rFonts w:ascii="Times New Roman" w:hAnsi="Times New Roman" w:cs="Times New Roman" w:eastAsia="Times New Roman"/>
        <w:sz w:val="24"/>
      </w:rPr>
    </w:lvl>
    <w:lvl w:ilvl="8">
      <w:numFmt w:val="bullet"/>
      <w:lvlText w:val="•"/>
      <w:lvlJc w:val="left"/>
      <w:pPr>
        <w:ind w:left="8070" w:hanging="165"/>
        <w:tab w:val="num" w:pos="8070"/>
      </w:pPr>
      <w:rPr>
        <w:rFonts w:ascii="Times New Roman" w:hAnsi="Times New Roman" w:cs="Times New Roman" w:eastAsia="Times New Roman"/>
        <w:sz w:val="24"/>
      </w:rPr>
    </w:lvl>
  </w:abstractNum>
  <w:abstractNum w:abstractNumId="7">
    <w:multiLevelType w:val="hybridMultilevel"/>
    <w:lvl w:ilvl="0">
      <w:numFmt w:val="upperRoman"/>
      <w:lvlText w:val="%1"/>
      <w:lvlJc w:val="left"/>
      <w:start w:val="1"/>
      <w:pPr>
        <w:ind w:left="405" w:firstLine="0"/>
        <w:tab w:val="num" w:pos="525"/>
      </w:pPr>
      <w:rPr>
        <w:rFonts w:ascii="Arial MT" w:hAnsi="Arial MT" w:cs="Arial MT" w:eastAsia="Arial MT"/>
      </w:rPr>
    </w:lvl>
    <w:lvl w:ilvl="1">
      <w:numFmt w:val="bullet"/>
      <w:lvlText w:val="•"/>
      <w:lvlJc w:val="left"/>
      <w:pPr>
        <w:ind w:left="1350" w:hanging="120"/>
        <w:tab w:val="num" w:pos="1350"/>
      </w:pPr>
      <w:rPr>
        <w:rFonts w:ascii="Times New Roman" w:hAnsi="Times New Roman" w:cs="Times New Roman" w:eastAsia="Times New Roman"/>
        <w:sz w:val="24"/>
      </w:rPr>
    </w:lvl>
    <w:lvl w:ilvl="2">
      <w:numFmt w:val="bullet"/>
      <w:lvlText w:val="•"/>
      <w:lvlJc w:val="left"/>
      <w:pPr>
        <w:ind w:left="2310" w:hanging="120"/>
        <w:tab w:val="num" w:pos="231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15" w:hanging="120"/>
        <w:tab w:val="num" w:pos="4215"/>
      </w:pPr>
      <w:rPr>
        <w:rFonts w:ascii="Times New Roman" w:hAnsi="Times New Roman" w:cs="Times New Roman" w:eastAsia="Times New Roman"/>
        <w:sz w:val="24"/>
      </w:rPr>
    </w:lvl>
    <w:lvl w:ilvl="5">
      <w:numFmt w:val="bullet"/>
      <w:lvlText w:val="•"/>
      <w:lvlJc w:val="left"/>
      <w:pPr>
        <w:ind w:left="5175" w:hanging="120"/>
        <w:tab w:val="num" w:pos="5175"/>
      </w:pPr>
      <w:rPr>
        <w:rFonts w:ascii="Times New Roman" w:hAnsi="Times New Roman" w:cs="Times New Roman" w:eastAsia="Times New Roman"/>
        <w:sz w:val="24"/>
      </w:rPr>
    </w:lvl>
    <w:lvl w:ilvl="6">
      <w:numFmt w:val="bullet"/>
      <w:lvlText w:val="•"/>
      <w:lvlJc w:val="left"/>
      <w:pPr>
        <w:ind w:left="6120" w:hanging="120"/>
        <w:tab w:val="num" w:pos="6120"/>
      </w:pPr>
      <w:rPr>
        <w:rFonts w:ascii="Times New Roman" w:hAnsi="Times New Roman" w:cs="Times New Roman" w:eastAsia="Times New Roman"/>
        <w:sz w:val="24"/>
      </w:rPr>
    </w:lvl>
    <w:lvl w:ilvl="7">
      <w:numFmt w:val="bullet"/>
      <w:lvlText w:val="•"/>
      <w:lvlJc w:val="left"/>
      <w:pPr>
        <w:ind w:left="7080" w:hanging="120"/>
        <w:tab w:val="num" w:pos="7080"/>
      </w:pPr>
      <w:rPr>
        <w:rFonts w:ascii="Times New Roman" w:hAnsi="Times New Roman" w:cs="Times New Roman" w:eastAsia="Times New Roman"/>
        <w:sz w:val="24"/>
      </w:rPr>
    </w:lvl>
    <w:lvl w:ilvl="8">
      <w:numFmt w:val="bullet"/>
      <w:lvlText w:val="•"/>
      <w:lvlJc w:val="left"/>
      <w:pPr>
        <w:ind w:left="8040" w:hanging="120"/>
        <w:tab w:val="num" w:pos="8040"/>
      </w:pPr>
      <w:rPr>
        <w:rFonts w:ascii="Times New Roman" w:hAnsi="Times New Roman" w:cs="Times New Roman" w:eastAsia="Times New Roman"/>
        <w:sz w:val="24"/>
      </w:rPr>
    </w:lvl>
  </w:abstractNum>
  <w:abstractNum w:abstractNumId="8">
    <w:multiLevelType w:val="hybridMultilevel"/>
    <w:lvl w:ilvl="0">
      <w:numFmt w:val="decimal"/>
      <w:lvlText w:val="%1)"/>
      <w:lvlJc w:val="left"/>
      <w:start w:val="1"/>
      <w:pPr>
        <w:ind w:left="405" w:firstLine="0"/>
        <w:tab w:val="num" w:pos="645"/>
      </w:pPr>
      <w:rPr>
        <w:rFonts w:ascii="Times New Roman" w:hAnsi="Times New Roman" w:cs="Times New Roman" w:eastAsia="Times New Roman"/>
      </w:rPr>
    </w:lvl>
    <w:lvl w:ilvl="1">
      <w:numFmt w:val="bullet"/>
      <w:lvlText w:val="•"/>
      <w:lvlJc w:val="left"/>
      <w:pPr>
        <w:ind w:left="1350" w:hanging="240"/>
        <w:tab w:val="num" w:pos="1350"/>
      </w:pPr>
      <w:rPr>
        <w:rFonts w:ascii="Times New Roman" w:hAnsi="Times New Roman" w:cs="Times New Roman" w:eastAsia="Times New Roman"/>
        <w:sz w:val="24"/>
      </w:rPr>
    </w:lvl>
    <w:lvl w:ilvl="2">
      <w:numFmt w:val="bullet"/>
      <w:lvlText w:val="•"/>
      <w:lvlJc w:val="left"/>
      <w:pPr>
        <w:ind w:left="2310" w:hanging="240"/>
        <w:tab w:val="num" w:pos="2310"/>
      </w:pPr>
      <w:rPr>
        <w:rFonts w:ascii="Times New Roman" w:hAnsi="Times New Roman" w:cs="Times New Roman" w:eastAsia="Times New Roman"/>
        <w:sz w:val="24"/>
      </w:rPr>
    </w:lvl>
    <w:lvl w:ilvl="3">
      <w:numFmt w:val="bullet"/>
      <w:lvlText w:val="•"/>
      <w:lvlJc w:val="left"/>
      <w:pPr>
        <w:ind w:left="3270" w:hanging="240"/>
        <w:tab w:val="num" w:pos="3270"/>
      </w:pPr>
      <w:rPr>
        <w:rFonts w:ascii="Times New Roman" w:hAnsi="Times New Roman" w:cs="Times New Roman" w:eastAsia="Times New Roman"/>
        <w:sz w:val="24"/>
      </w:rPr>
    </w:lvl>
    <w:lvl w:ilvl="4">
      <w:numFmt w:val="bullet"/>
      <w:lvlText w:val="•"/>
      <w:lvlJc w:val="left"/>
      <w:pPr>
        <w:ind w:left="4215" w:hanging="240"/>
        <w:tab w:val="num" w:pos="4215"/>
      </w:pPr>
      <w:rPr>
        <w:rFonts w:ascii="Times New Roman" w:hAnsi="Times New Roman" w:cs="Times New Roman" w:eastAsia="Times New Roman"/>
        <w:sz w:val="24"/>
      </w:rPr>
    </w:lvl>
    <w:lvl w:ilvl="5">
      <w:numFmt w:val="bullet"/>
      <w:lvlText w:val="•"/>
      <w:lvlJc w:val="left"/>
      <w:pPr>
        <w:ind w:left="5175" w:hanging="240"/>
        <w:tab w:val="num" w:pos="5175"/>
      </w:pPr>
      <w:rPr>
        <w:rFonts w:ascii="Times New Roman" w:hAnsi="Times New Roman" w:cs="Times New Roman" w:eastAsia="Times New Roman"/>
        <w:sz w:val="24"/>
      </w:rPr>
    </w:lvl>
    <w:lvl w:ilvl="6">
      <w:numFmt w:val="bullet"/>
      <w:lvlText w:val="•"/>
      <w:lvlJc w:val="left"/>
      <w:pPr>
        <w:ind w:left="6120" w:hanging="240"/>
        <w:tab w:val="num" w:pos="6120"/>
      </w:pPr>
      <w:rPr>
        <w:rFonts w:ascii="Times New Roman" w:hAnsi="Times New Roman" w:cs="Times New Roman" w:eastAsia="Times New Roman"/>
        <w:sz w:val="24"/>
      </w:rPr>
    </w:lvl>
    <w:lvl w:ilvl="7">
      <w:numFmt w:val="bullet"/>
      <w:lvlText w:val="•"/>
      <w:lvlJc w:val="left"/>
      <w:pPr>
        <w:ind w:left="7080" w:hanging="240"/>
        <w:tab w:val="num" w:pos="7080"/>
      </w:pPr>
      <w:rPr>
        <w:rFonts w:ascii="Times New Roman" w:hAnsi="Times New Roman" w:cs="Times New Roman" w:eastAsia="Times New Roman"/>
        <w:sz w:val="24"/>
      </w:rPr>
    </w:lvl>
    <w:lvl w:ilvl="8">
      <w:numFmt w:val="bullet"/>
      <w:lvlText w:val="•"/>
      <w:lvlJc w:val="left"/>
      <w:pPr>
        <w:ind w:left="8040" w:hanging="240"/>
        <w:tab w:val="num" w:pos="8040"/>
      </w:pPr>
      <w:rPr>
        <w:rFonts w:ascii="Times New Roman" w:hAnsi="Times New Roman" w:cs="Times New Roman" w:eastAsia="Times New Roman"/>
        <w:sz w:val="24"/>
      </w:rPr>
    </w:lvl>
  </w:abstractNum>
  <w:abstractNum w:abstractNumId="9">
    <w:multiLevelType w:val="hybridMultilevel"/>
    <w:lvl w:ilvl="0">
      <w:numFmt w:val="upperRoman"/>
      <w:lvlText w:val="%1"/>
      <w:lvlJc w:val="left"/>
      <w:start w:val="4"/>
      <w:pPr>
        <w:ind w:left="645" w:hanging="255"/>
        <w:tab w:val="num" w:pos="645"/>
      </w:pPr>
      <w:rPr>
        <w:rFonts w:ascii="Arial MT" w:hAnsi="Arial MT" w:cs="Arial MT" w:eastAsia="Arial MT"/>
      </w:rPr>
    </w:lvl>
    <w:lvl w:ilvl="1">
      <w:numFmt w:val="bullet"/>
      <w:lvlText w:val="•"/>
      <w:lvlJc w:val="left"/>
      <w:pPr>
        <w:ind w:left="1575" w:hanging="240"/>
        <w:tab w:val="num" w:pos="1575"/>
      </w:pPr>
      <w:rPr>
        <w:rFonts w:ascii="Times New Roman" w:hAnsi="Times New Roman" w:cs="Times New Roman" w:eastAsia="Times New Roman"/>
        <w:sz w:val="24"/>
      </w:rPr>
    </w:lvl>
    <w:lvl w:ilvl="2">
      <w:numFmt w:val="bullet"/>
      <w:lvlText w:val="•"/>
      <w:lvlJc w:val="left"/>
      <w:pPr>
        <w:ind w:left="2505" w:hanging="240"/>
        <w:tab w:val="num" w:pos="2505"/>
      </w:pPr>
      <w:rPr>
        <w:rFonts w:ascii="Times New Roman" w:hAnsi="Times New Roman" w:cs="Times New Roman" w:eastAsia="Times New Roman"/>
        <w:sz w:val="24"/>
      </w:rPr>
    </w:lvl>
    <w:lvl w:ilvl="3">
      <w:numFmt w:val="bullet"/>
      <w:lvlText w:val="•"/>
      <w:lvlJc w:val="left"/>
      <w:pPr>
        <w:ind w:left="3435" w:hanging="240"/>
        <w:tab w:val="num" w:pos="3435"/>
      </w:pPr>
      <w:rPr>
        <w:rFonts w:ascii="Times New Roman" w:hAnsi="Times New Roman" w:cs="Times New Roman" w:eastAsia="Times New Roman"/>
        <w:sz w:val="24"/>
      </w:rPr>
    </w:lvl>
    <w:lvl w:ilvl="4">
      <w:numFmt w:val="bullet"/>
      <w:lvlText w:val="•"/>
      <w:lvlJc w:val="left"/>
      <w:pPr>
        <w:ind w:left="4365" w:hanging="240"/>
        <w:tab w:val="num" w:pos="4365"/>
      </w:pPr>
      <w:rPr>
        <w:rFonts w:ascii="Times New Roman" w:hAnsi="Times New Roman" w:cs="Times New Roman" w:eastAsia="Times New Roman"/>
        <w:sz w:val="24"/>
      </w:rPr>
    </w:lvl>
    <w:lvl w:ilvl="5">
      <w:numFmt w:val="bullet"/>
      <w:lvlText w:val="•"/>
      <w:lvlJc w:val="left"/>
      <w:pPr>
        <w:ind w:left="5295" w:hanging="240"/>
        <w:tab w:val="num" w:pos="5295"/>
      </w:pPr>
      <w:rPr>
        <w:rFonts w:ascii="Times New Roman" w:hAnsi="Times New Roman" w:cs="Times New Roman" w:eastAsia="Times New Roman"/>
        <w:sz w:val="24"/>
      </w:rPr>
    </w:lvl>
    <w:lvl w:ilvl="6">
      <w:numFmt w:val="bullet"/>
      <w:lvlText w:val="•"/>
      <w:lvlJc w:val="left"/>
      <w:pPr>
        <w:ind w:left="6225" w:hanging="240"/>
        <w:tab w:val="num" w:pos="6225"/>
      </w:pPr>
      <w:rPr>
        <w:rFonts w:ascii="Times New Roman" w:hAnsi="Times New Roman" w:cs="Times New Roman" w:eastAsia="Times New Roman"/>
        <w:sz w:val="24"/>
      </w:rPr>
    </w:lvl>
    <w:lvl w:ilvl="7">
      <w:numFmt w:val="bullet"/>
      <w:lvlText w:val="•"/>
      <w:lvlJc w:val="left"/>
      <w:pPr>
        <w:ind w:left="7155" w:hanging="240"/>
        <w:tab w:val="num" w:pos="7155"/>
      </w:pPr>
      <w:rPr>
        <w:rFonts w:ascii="Times New Roman" w:hAnsi="Times New Roman" w:cs="Times New Roman" w:eastAsia="Times New Roman"/>
        <w:sz w:val="24"/>
      </w:rPr>
    </w:lvl>
    <w:lvl w:ilvl="8">
      <w:numFmt w:val="bullet"/>
      <w:lvlText w:val="•"/>
      <w:lvlJc w:val="left"/>
      <w:pPr>
        <w:ind w:left="8085" w:hanging="240"/>
        <w:tab w:val="num" w:pos="8085"/>
      </w:pPr>
      <w:rPr>
        <w:rFonts w:ascii="Times New Roman" w:hAnsi="Times New Roman" w:cs="Times New Roman" w:eastAsia="Times New Roman"/>
        <w:sz w:val="24"/>
      </w:rPr>
    </w:lvl>
  </w:abstractNum>
  <w:abstractNum w:abstractNumId="10">
    <w:multiLevelType w:val="hybridMultilevel"/>
    <w:lvl w:ilvl="0">
      <w:numFmt w:val="upperRoman"/>
      <w:lvlText w:val="%1"/>
      <w:lvlJc w:val="left"/>
      <w:start w:val="6"/>
      <w:pPr>
        <w:ind w:left="645" w:hanging="255"/>
        <w:tab w:val="num" w:pos="645"/>
      </w:pPr>
      <w:rPr>
        <w:rFonts w:ascii="Arial MT" w:hAnsi="Arial MT" w:cs="Arial MT" w:eastAsia="Arial MT"/>
      </w:rPr>
    </w:lvl>
    <w:lvl w:ilvl="1">
      <w:numFmt w:val="bullet"/>
      <w:lvlText w:val="•"/>
      <w:lvlJc w:val="left"/>
      <w:pPr>
        <w:ind w:left="1575" w:hanging="240"/>
        <w:tab w:val="num" w:pos="1575"/>
      </w:pPr>
      <w:rPr>
        <w:rFonts w:ascii="Times New Roman" w:hAnsi="Times New Roman" w:cs="Times New Roman" w:eastAsia="Times New Roman"/>
        <w:sz w:val="24"/>
      </w:rPr>
    </w:lvl>
    <w:lvl w:ilvl="2">
      <w:numFmt w:val="bullet"/>
      <w:lvlText w:val="•"/>
      <w:lvlJc w:val="left"/>
      <w:pPr>
        <w:ind w:left="2505" w:hanging="240"/>
        <w:tab w:val="num" w:pos="2505"/>
      </w:pPr>
      <w:rPr>
        <w:rFonts w:ascii="Times New Roman" w:hAnsi="Times New Roman" w:cs="Times New Roman" w:eastAsia="Times New Roman"/>
        <w:sz w:val="24"/>
      </w:rPr>
    </w:lvl>
    <w:lvl w:ilvl="3">
      <w:numFmt w:val="bullet"/>
      <w:lvlText w:val="•"/>
      <w:lvlJc w:val="left"/>
      <w:pPr>
        <w:ind w:left="3435" w:hanging="240"/>
        <w:tab w:val="num" w:pos="3435"/>
      </w:pPr>
      <w:rPr>
        <w:rFonts w:ascii="Times New Roman" w:hAnsi="Times New Roman" w:cs="Times New Roman" w:eastAsia="Times New Roman"/>
        <w:sz w:val="24"/>
      </w:rPr>
    </w:lvl>
    <w:lvl w:ilvl="4">
      <w:numFmt w:val="bullet"/>
      <w:lvlText w:val="•"/>
      <w:lvlJc w:val="left"/>
      <w:pPr>
        <w:ind w:left="4365" w:hanging="240"/>
        <w:tab w:val="num" w:pos="4365"/>
      </w:pPr>
      <w:rPr>
        <w:rFonts w:ascii="Times New Roman" w:hAnsi="Times New Roman" w:cs="Times New Roman" w:eastAsia="Times New Roman"/>
        <w:sz w:val="24"/>
      </w:rPr>
    </w:lvl>
    <w:lvl w:ilvl="5">
      <w:numFmt w:val="bullet"/>
      <w:lvlText w:val="•"/>
      <w:lvlJc w:val="left"/>
      <w:pPr>
        <w:ind w:left="5295" w:hanging="240"/>
        <w:tab w:val="num" w:pos="5295"/>
      </w:pPr>
      <w:rPr>
        <w:rFonts w:ascii="Times New Roman" w:hAnsi="Times New Roman" w:cs="Times New Roman" w:eastAsia="Times New Roman"/>
        <w:sz w:val="24"/>
      </w:rPr>
    </w:lvl>
    <w:lvl w:ilvl="6">
      <w:numFmt w:val="bullet"/>
      <w:lvlText w:val="•"/>
      <w:lvlJc w:val="left"/>
      <w:pPr>
        <w:ind w:left="6225" w:hanging="240"/>
        <w:tab w:val="num" w:pos="6225"/>
      </w:pPr>
      <w:rPr>
        <w:rFonts w:ascii="Times New Roman" w:hAnsi="Times New Roman" w:cs="Times New Roman" w:eastAsia="Times New Roman"/>
        <w:sz w:val="24"/>
      </w:rPr>
    </w:lvl>
    <w:lvl w:ilvl="7">
      <w:numFmt w:val="bullet"/>
      <w:lvlText w:val="•"/>
      <w:lvlJc w:val="left"/>
      <w:pPr>
        <w:ind w:left="7155" w:hanging="240"/>
        <w:tab w:val="num" w:pos="7155"/>
      </w:pPr>
      <w:rPr>
        <w:rFonts w:ascii="Times New Roman" w:hAnsi="Times New Roman" w:cs="Times New Roman" w:eastAsia="Times New Roman"/>
        <w:sz w:val="24"/>
      </w:rPr>
    </w:lvl>
    <w:lvl w:ilvl="8">
      <w:numFmt w:val="bullet"/>
      <w:lvlText w:val="•"/>
      <w:lvlJc w:val="left"/>
      <w:pPr>
        <w:ind w:left="8085" w:hanging="240"/>
        <w:tab w:val="num" w:pos="8085"/>
      </w:pPr>
      <w:rPr>
        <w:rFonts w:ascii="Times New Roman" w:hAnsi="Times New Roman" w:cs="Times New Roman" w:eastAsia="Times New Roman"/>
        <w:sz w:val="24"/>
      </w:rPr>
    </w:lvl>
  </w:abstractNum>
  <w:abstractNum w:abstractNumId="11">
    <w:multiLevelType w:val="hybridMultilevel"/>
    <w:lvl w:ilvl="0">
      <w:numFmt w:val="upperRoman"/>
      <w:lvlText w:val="%1"/>
      <w:lvlJc w:val="left"/>
      <w:start w:val="2"/>
      <w:pPr>
        <w:ind w:left="570" w:hanging="180"/>
        <w:tab w:val="num" w:pos="570"/>
      </w:pPr>
      <w:rPr>
        <w:rFonts w:ascii="Arial MT" w:hAnsi="Arial MT" w:cs="Arial MT" w:eastAsia="Arial MT"/>
      </w:rPr>
    </w:lvl>
    <w:lvl w:ilvl="1">
      <w:numFmt w:val="bullet"/>
      <w:lvlText w:val="•"/>
      <w:lvlJc w:val="left"/>
      <w:pPr>
        <w:ind w:left="1500" w:hanging="165"/>
        <w:tab w:val="num" w:pos="1500"/>
      </w:pPr>
      <w:rPr>
        <w:rFonts w:ascii="Times New Roman" w:hAnsi="Times New Roman" w:cs="Times New Roman" w:eastAsia="Times New Roman"/>
        <w:sz w:val="24"/>
      </w:rPr>
    </w:lvl>
    <w:lvl w:ilvl="2">
      <w:numFmt w:val="bullet"/>
      <w:lvlText w:val="•"/>
      <w:lvlJc w:val="left"/>
      <w:pPr>
        <w:ind w:left="2430" w:hanging="165"/>
        <w:tab w:val="num" w:pos="2430"/>
      </w:pPr>
      <w:rPr>
        <w:rFonts w:ascii="Times New Roman" w:hAnsi="Times New Roman" w:cs="Times New Roman" w:eastAsia="Times New Roman"/>
        <w:sz w:val="24"/>
      </w:rPr>
    </w:lvl>
    <w:lvl w:ilvl="3">
      <w:numFmt w:val="bullet"/>
      <w:lvlText w:val="•"/>
      <w:lvlJc w:val="left"/>
      <w:pPr>
        <w:ind w:left="3375" w:hanging="165"/>
        <w:tab w:val="num" w:pos="3375"/>
      </w:pPr>
      <w:rPr>
        <w:rFonts w:ascii="Times New Roman" w:hAnsi="Times New Roman" w:cs="Times New Roman" w:eastAsia="Times New Roman"/>
        <w:sz w:val="24"/>
      </w:rPr>
    </w:lvl>
    <w:lvl w:ilvl="4">
      <w:numFmt w:val="bullet"/>
      <w:lvlText w:val="•"/>
      <w:lvlJc w:val="left"/>
      <w:pPr>
        <w:ind w:left="4320" w:hanging="165"/>
        <w:tab w:val="num" w:pos="4320"/>
      </w:pPr>
      <w:rPr>
        <w:rFonts w:ascii="Times New Roman" w:hAnsi="Times New Roman" w:cs="Times New Roman" w:eastAsia="Times New Roman"/>
        <w:sz w:val="24"/>
      </w:rPr>
    </w:lvl>
    <w:lvl w:ilvl="5">
      <w:numFmt w:val="bullet"/>
      <w:lvlText w:val="•"/>
      <w:lvlJc w:val="left"/>
      <w:pPr>
        <w:ind w:left="5250" w:hanging="165"/>
        <w:tab w:val="num" w:pos="5250"/>
      </w:pPr>
      <w:rPr>
        <w:rFonts w:ascii="Times New Roman" w:hAnsi="Times New Roman" w:cs="Times New Roman" w:eastAsia="Times New Roman"/>
        <w:sz w:val="24"/>
      </w:rPr>
    </w:lvl>
    <w:lvl w:ilvl="6">
      <w:numFmt w:val="bullet"/>
      <w:lvlText w:val="•"/>
      <w:lvlJc w:val="left"/>
      <w:pPr>
        <w:ind w:left="6195" w:hanging="165"/>
        <w:tab w:val="num" w:pos="6195"/>
      </w:pPr>
      <w:rPr>
        <w:rFonts w:ascii="Times New Roman" w:hAnsi="Times New Roman" w:cs="Times New Roman" w:eastAsia="Times New Roman"/>
        <w:sz w:val="24"/>
      </w:rPr>
    </w:lvl>
    <w:lvl w:ilvl="7">
      <w:numFmt w:val="bullet"/>
      <w:lvlText w:val="•"/>
      <w:lvlJc w:val="left"/>
      <w:pPr>
        <w:ind w:left="7125" w:hanging="165"/>
        <w:tab w:val="num" w:pos="7125"/>
      </w:pPr>
      <w:rPr>
        <w:rFonts w:ascii="Times New Roman" w:hAnsi="Times New Roman" w:cs="Times New Roman" w:eastAsia="Times New Roman"/>
        <w:sz w:val="24"/>
      </w:rPr>
    </w:lvl>
    <w:lvl w:ilvl="8">
      <w:numFmt w:val="bullet"/>
      <w:lvlText w:val="•"/>
      <w:lvlJc w:val="left"/>
      <w:pPr>
        <w:ind w:left="8070" w:hanging="165"/>
        <w:tab w:val="num" w:pos="8070"/>
      </w:pPr>
      <w:rPr>
        <w:rFonts w:ascii="Times New Roman" w:hAnsi="Times New Roman" w:cs="Times New Roman" w:eastAsia="Times New Roman"/>
        <w:sz w:val="24"/>
      </w:rPr>
    </w:lvl>
  </w:abstractNum>
  <w:abstractNum w:abstractNumId="12">
    <w:multiLevelType w:val="hybridMultilevel"/>
    <w:lvl w:ilvl="0">
      <w:numFmt w:val="lowerLetter"/>
      <w:lvlText w:val="%1)"/>
      <w:lvlJc w:val="left"/>
      <w:start w:val="1"/>
      <w:pPr>
        <w:ind w:left="1125" w:hanging="375"/>
        <w:tab w:val="num" w:pos="1125"/>
      </w:pPr>
      <w:rPr>
        <w:rFonts w:ascii="Arial MT" w:hAnsi="Arial MT" w:cs="Arial MT" w:eastAsia="Arial MT"/>
      </w:rPr>
    </w:lvl>
    <w:lvl w:ilvl="1">
      <w:numFmt w:val="bullet"/>
      <w:lvlText w:val="•"/>
      <w:lvlJc w:val="left"/>
      <w:pPr>
        <w:ind w:left="1995" w:hanging="360"/>
        <w:tab w:val="num" w:pos="1995"/>
      </w:pPr>
      <w:rPr>
        <w:rFonts w:ascii="Times New Roman" w:hAnsi="Times New Roman" w:cs="Times New Roman" w:eastAsia="Times New Roman"/>
        <w:sz w:val="24"/>
      </w:rPr>
    </w:lvl>
    <w:lvl w:ilvl="2">
      <w:numFmt w:val="bullet"/>
      <w:lvlText w:val="•"/>
      <w:lvlJc w:val="left"/>
      <w:pPr>
        <w:ind w:left="2880" w:hanging="360"/>
        <w:tab w:val="num" w:pos="2880"/>
      </w:pPr>
      <w:rPr>
        <w:rFonts w:ascii="Times New Roman" w:hAnsi="Times New Roman" w:cs="Times New Roman" w:eastAsia="Times New Roman"/>
        <w:sz w:val="24"/>
      </w:rPr>
    </w:lvl>
    <w:lvl w:ilvl="3">
      <w:numFmt w:val="bullet"/>
      <w:lvlText w:val="•"/>
      <w:lvlJc w:val="left"/>
      <w:pPr>
        <w:ind w:left="3765" w:hanging="360"/>
        <w:tab w:val="num" w:pos="3765"/>
      </w:pPr>
      <w:rPr>
        <w:rFonts w:ascii="Times New Roman" w:hAnsi="Times New Roman" w:cs="Times New Roman" w:eastAsia="Times New Roman"/>
        <w:sz w:val="24"/>
      </w:rPr>
    </w:lvl>
    <w:lvl w:ilvl="4">
      <w:numFmt w:val="bullet"/>
      <w:lvlText w:val="•"/>
      <w:lvlJc w:val="left"/>
      <w:pPr>
        <w:ind w:left="4650" w:hanging="360"/>
        <w:tab w:val="num" w:pos="4650"/>
      </w:pPr>
      <w:rPr>
        <w:rFonts w:ascii="Times New Roman" w:hAnsi="Times New Roman" w:cs="Times New Roman" w:eastAsia="Times New Roman"/>
        <w:sz w:val="24"/>
      </w:rPr>
    </w:lvl>
    <w:lvl w:ilvl="5">
      <w:numFmt w:val="bullet"/>
      <w:lvlText w:val="•"/>
      <w:lvlJc w:val="left"/>
      <w:pPr>
        <w:ind w:left="5535" w:hanging="360"/>
        <w:tab w:val="num" w:pos="5535"/>
      </w:pPr>
      <w:rPr>
        <w:rFonts w:ascii="Times New Roman" w:hAnsi="Times New Roman" w:cs="Times New Roman" w:eastAsia="Times New Roman"/>
        <w:sz w:val="24"/>
      </w:rPr>
    </w:lvl>
    <w:lvl w:ilvl="6">
      <w:numFmt w:val="bullet"/>
      <w:lvlText w:val="•"/>
      <w:lvlJc w:val="left"/>
      <w:pPr>
        <w:ind w:left="6420" w:hanging="360"/>
        <w:tab w:val="num" w:pos="6420"/>
      </w:pPr>
      <w:rPr>
        <w:rFonts w:ascii="Times New Roman" w:hAnsi="Times New Roman" w:cs="Times New Roman" w:eastAsia="Times New Roman"/>
        <w:sz w:val="24"/>
      </w:rPr>
    </w:lvl>
    <w:lvl w:ilvl="7">
      <w:numFmt w:val="bullet"/>
      <w:lvlText w:val="•"/>
      <w:lvlJc w:val="left"/>
      <w:pPr>
        <w:ind w:left="7290" w:hanging="360"/>
        <w:tab w:val="num" w:pos="7290"/>
      </w:pPr>
      <w:rPr>
        <w:rFonts w:ascii="Times New Roman" w:hAnsi="Times New Roman" w:cs="Times New Roman" w:eastAsia="Times New Roman"/>
        <w:sz w:val="24"/>
      </w:rPr>
    </w:lvl>
    <w:lvl w:ilvl="8">
      <w:numFmt w:val="bullet"/>
      <w:lvlText w:val="•"/>
      <w:lvlJc w:val="left"/>
      <w:pPr>
        <w:ind w:left="8175" w:hanging="360"/>
        <w:tab w:val="num" w:pos="8175"/>
      </w:pPr>
      <w:rPr>
        <w:rFonts w:ascii="Times New Roman" w:hAnsi="Times New Roman" w:cs="Times New Roman" w:eastAsia="Times New Roman"/>
        <w:sz w:val="24"/>
      </w:rPr>
    </w:lvl>
  </w:abstractNum>
  <w:abstractNum w:abstractNumId="13">
    <w:multiLevelType w:val="hybridMultilevel"/>
    <w:lvl w:ilvl="0">
      <w:numFmt w:val="upperRoman"/>
      <w:lvlText w:val="%1"/>
      <w:lvlJc w:val="left"/>
      <w:start w:val="1"/>
      <w:pPr>
        <w:ind w:left="405" w:firstLine="0"/>
        <w:tab w:val="num" w:pos="525"/>
      </w:pPr>
      <w:rPr>
        <w:rFonts w:ascii="Arial MT" w:hAnsi="Arial MT" w:cs="Arial MT" w:eastAsia="Arial MT"/>
      </w:rPr>
    </w:lvl>
    <w:lvl w:ilvl="1">
      <w:numFmt w:val="bullet"/>
      <w:lvlText w:val="•"/>
      <w:lvlJc w:val="left"/>
      <w:pPr>
        <w:ind w:left="1350" w:hanging="120"/>
        <w:tab w:val="num" w:pos="1350"/>
      </w:pPr>
      <w:rPr>
        <w:rFonts w:ascii="Times New Roman" w:hAnsi="Times New Roman" w:cs="Times New Roman" w:eastAsia="Times New Roman"/>
        <w:sz w:val="24"/>
      </w:rPr>
    </w:lvl>
    <w:lvl w:ilvl="2">
      <w:numFmt w:val="bullet"/>
      <w:lvlText w:val="•"/>
      <w:lvlJc w:val="left"/>
      <w:pPr>
        <w:ind w:left="2310" w:hanging="120"/>
        <w:tab w:val="num" w:pos="231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15" w:hanging="120"/>
        <w:tab w:val="num" w:pos="4215"/>
      </w:pPr>
      <w:rPr>
        <w:rFonts w:ascii="Times New Roman" w:hAnsi="Times New Roman" w:cs="Times New Roman" w:eastAsia="Times New Roman"/>
        <w:sz w:val="24"/>
      </w:rPr>
    </w:lvl>
    <w:lvl w:ilvl="5">
      <w:numFmt w:val="bullet"/>
      <w:lvlText w:val="•"/>
      <w:lvlJc w:val="left"/>
      <w:pPr>
        <w:ind w:left="5175" w:hanging="120"/>
        <w:tab w:val="num" w:pos="5175"/>
      </w:pPr>
      <w:rPr>
        <w:rFonts w:ascii="Times New Roman" w:hAnsi="Times New Roman" w:cs="Times New Roman" w:eastAsia="Times New Roman"/>
        <w:sz w:val="24"/>
      </w:rPr>
    </w:lvl>
    <w:lvl w:ilvl="6">
      <w:numFmt w:val="bullet"/>
      <w:lvlText w:val="•"/>
      <w:lvlJc w:val="left"/>
      <w:pPr>
        <w:ind w:left="6120" w:hanging="120"/>
        <w:tab w:val="num" w:pos="6120"/>
      </w:pPr>
      <w:rPr>
        <w:rFonts w:ascii="Times New Roman" w:hAnsi="Times New Roman" w:cs="Times New Roman" w:eastAsia="Times New Roman"/>
        <w:sz w:val="24"/>
      </w:rPr>
    </w:lvl>
    <w:lvl w:ilvl="7">
      <w:numFmt w:val="bullet"/>
      <w:lvlText w:val="•"/>
      <w:lvlJc w:val="left"/>
      <w:pPr>
        <w:ind w:left="7080" w:hanging="120"/>
        <w:tab w:val="num" w:pos="7080"/>
      </w:pPr>
      <w:rPr>
        <w:rFonts w:ascii="Times New Roman" w:hAnsi="Times New Roman" w:cs="Times New Roman" w:eastAsia="Times New Roman"/>
        <w:sz w:val="24"/>
      </w:rPr>
    </w:lvl>
    <w:lvl w:ilvl="8">
      <w:numFmt w:val="bullet"/>
      <w:lvlText w:val="•"/>
      <w:lvlJc w:val="left"/>
      <w:pPr>
        <w:ind w:left="8040" w:hanging="120"/>
        <w:tab w:val="num" w:pos="8040"/>
      </w:pPr>
      <w:rPr>
        <w:rFonts w:ascii="Times New Roman" w:hAnsi="Times New Roman" w:cs="Times New Roman" w:eastAsia="Times New Roman"/>
        <w:sz w:val="24"/>
      </w:rPr>
    </w:lvl>
  </w:abstractNum>
  <w:abstractNum w:abstractNumId="14">
    <w:multiLevelType w:val="hybridMultilevel"/>
    <w:lvl w:ilvl="0">
      <w:numFmt w:val="upperRoman"/>
      <w:lvlText w:val="%1"/>
      <w:lvlJc w:val="left"/>
      <w:start w:val="3"/>
      <w:pPr>
        <w:ind w:left="615" w:hanging="225"/>
        <w:tab w:val="num" w:pos="615"/>
      </w:pPr>
      <w:rPr>
        <w:rFonts w:ascii="Arial MT" w:hAnsi="Arial MT" w:cs="Arial MT" w:eastAsia="Arial MT"/>
      </w:rPr>
    </w:lvl>
    <w:lvl w:ilvl="1">
      <w:numFmt w:val="bullet"/>
      <w:lvlText w:val="•"/>
      <w:lvlJc w:val="left"/>
      <w:pPr>
        <w:ind w:left="1545" w:hanging="225"/>
        <w:tab w:val="num" w:pos="1545"/>
      </w:pPr>
      <w:rPr>
        <w:rFonts w:ascii="Times New Roman" w:hAnsi="Times New Roman" w:cs="Times New Roman" w:eastAsia="Times New Roman"/>
        <w:sz w:val="24"/>
      </w:rPr>
    </w:lvl>
    <w:lvl w:ilvl="2">
      <w:numFmt w:val="bullet"/>
      <w:lvlText w:val="•"/>
      <w:lvlJc w:val="left"/>
      <w:pPr>
        <w:ind w:left="2490" w:hanging="225"/>
        <w:tab w:val="num" w:pos="2490"/>
      </w:pPr>
      <w:rPr>
        <w:rFonts w:ascii="Times New Roman" w:hAnsi="Times New Roman" w:cs="Times New Roman" w:eastAsia="Times New Roman"/>
        <w:sz w:val="24"/>
      </w:rPr>
    </w:lvl>
    <w:lvl w:ilvl="3">
      <w:numFmt w:val="bullet"/>
      <w:lvlText w:val="•"/>
      <w:lvlJc w:val="left"/>
      <w:pPr>
        <w:ind w:left="3420" w:hanging="225"/>
        <w:tab w:val="num" w:pos="3420"/>
      </w:pPr>
      <w:rPr>
        <w:rFonts w:ascii="Times New Roman" w:hAnsi="Times New Roman" w:cs="Times New Roman" w:eastAsia="Times New Roman"/>
        <w:sz w:val="24"/>
      </w:rPr>
    </w:lvl>
    <w:lvl w:ilvl="4">
      <w:numFmt w:val="bullet"/>
      <w:lvlText w:val="•"/>
      <w:lvlJc w:val="left"/>
      <w:pPr>
        <w:ind w:left="4350" w:hanging="225"/>
        <w:tab w:val="num" w:pos="4350"/>
      </w:pPr>
      <w:rPr>
        <w:rFonts w:ascii="Times New Roman" w:hAnsi="Times New Roman" w:cs="Times New Roman" w:eastAsia="Times New Roman"/>
        <w:sz w:val="24"/>
      </w:rPr>
    </w:lvl>
    <w:lvl w:ilvl="5">
      <w:numFmt w:val="bullet"/>
      <w:lvlText w:val="•"/>
      <w:lvlJc w:val="left"/>
      <w:pPr>
        <w:ind w:left="5280" w:hanging="225"/>
        <w:tab w:val="num" w:pos="5280"/>
      </w:pPr>
      <w:rPr>
        <w:rFonts w:ascii="Times New Roman" w:hAnsi="Times New Roman" w:cs="Times New Roman" w:eastAsia="Times New Roman"/>
        <w:sz w:val="24"/>
      </w:rPr>
    </w:lvl>
    <w:lvl w:ilvl="6">
      <w:numFmt w:val="bullet"/>
      <w:lvlText w:val="•"/>
      <w:lvlJc w:val="left"/>
      <w:pPr>
        <w:ind w:left="6210" w:hanging="225"/>
        <w:tab w:val="num" w:pos="6210"/>
      </w:pPr>
      <w:rPr>
        <w:rFonts w:ascii="Times New Roman" w:hAnsi="Times New Roman" w:cs="Times New Roman" w:eastAsia="Times New Roman"/>
        <w:sz w:val="24"/>
      </w:rPr>
    </w:lvl>
    <w:lvl w:ilvl="7">
      <w:numFmt w:val="bullet"/>
      <w:lvlText w:val="•"/>
      <w:lvlJc w:val="left"/>
      <w:pPr>
        <w:ind w:left="7140" w:hanging="225"/>
        <w:tab w:val="num" w:pos="7140"/>
      </w:pPr>
      <w:rPr>
        <w:rFonts w:ascii="Times New Roman" w:hAnsi="Times New Roman" w:cs="Times New Roman" w:eastAsia="Times New Roman"/>
        <w:sz w:val="24"/>
      </w:rPr>
    </w:lvl>
    <w:lvl w:ilvl="8">
      <w:numFmt w:val="bullet"/>
      <w:lvlText w:val="•"/>
      <w:lvlJc w:val="left"/>
      <w:pPr>
        <w:ind w:left="8085" w:hanging="225"/>
        <w:tab w:val="num" w:pos="8085"/>
      </w:pPr>
      <w:rPr>
        <w:rFonts w:ascii="Times New Roman" w:hAnsi="Times New Roman" w:cs="Times New Roman" w:eastAsia="Times New Roman"/>
        <w:sz w:val="24"/>
      </w:rPr>
    </w:lvl>
  </w:abstractNum>
  <w:abstractNum w:abstractNumId="15">
    <w:multiLevelType w:val="hybridMultilevel"/>
    <w:lvl w:ilvl="0">
      <w:numFmt w:val="upperRoman"/>
      <w:lvlText w:val="%1"/>
      <w:lvlJc w:val="left"/>
      <w:start w:val="2"/>
      <w:pPr>
        <w:ind w:left="405" w:firstLine="0"/>
        <w:tab w:val="num" w:pos="630"/>
      </w:pPr>
      <w:rPr>
        <w:rFonts w:ascii="Arial MT" w:hAnsi="Arial MT" w:cs="Arial MT" w:eastAsia="Arial MT"/>
      </w:rPr>
    </w:lvl>
    <w:lvl w:ilvl="1">
      <w:numFmt w:val="bullet"/>
      <w:lvlText w:val="•"/>
      <w:lvlJc w:val="left"/>
      <w:pPr>
        <w:ind w:left="1350" w:hanging="225"/>
        <w:tab w:val="num" w:pos="1350"/>
      </w:pPr>
      <w:rPr>
        <w:rFonts w:ascii="Times New Roman" w:hAnsi="Times New Roman" w:cs="Times New Roman" w:eastAsia="Times New Roman"/>
        <w:sz w:val="24"/>
      </w:rPr>
    </w:lvl>
    <w:lvl w:ilvl="2">
      <w:numFmt w:val="bullet"/>
      <w:lvlText w:val="•"/>
      <w:lvlJc w:val="left"/>
      <w:pPr>
        <w:ind w:left="2310" w:hanging="225"/>
        <w:tab w:val="num" w:pos="2310"/>
      </w:pPr>
      <w:rPr>
        <w:rFonts w:ascii="Times New Roman" w:hAnsi="Times New Roman" w:cs="Times New Roman" w:eastAsia="Times New Roman"/>
        <w:sz w:val="24"/>
      </w:rPr>
    </w:lvl>
    <w:lvl w:ilvl="3">
      <w:numFmt w:val="bullet"/>
      <w:lvlText w:val="•"/>
      <w:lvlJc w:val="left"/>
      <w:pPr>
        <w:ind w:left="3270" w:hanging="225"/>
        <w:tab w:val="num" w:pos="3270"/>
      </w:pPr>
      <w:rPr>
        <w:rFonts w:ascii="Times New Roman" w:hAnsi="Times New Roman" w:cs="Times New Roman" w:eastAsia="Times New Roman"/>
        <w:sz w:val="24"/>
      </w:rPr>
    </w:lvl>
    <w:lvl w:ilvl="4">
      <w:numFmt w:val="bullet"/>
      <w:lvlText w:val="•"/>
      <w:lvlJc w:val="left"/>
      <w:pPr>
        <w:ind w:left="4215" w:hanging="225"/>
        <w:tab w:val="num" w:pos="4215"/>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120" w:hanging="225"/>
        <w:tab w:val="num" w:pos="6120"/>
      </w:pPr>
      <w:rPr>
        <w:rFonts w:ascii="Times New Roman" w:hAnsi="Times New Roman" w:cs="Times New Roman" w:eastAsia="Times New Roman"/>
        <w:sz w:val="24"/>
      </w:rPr>
    </w:lvl>
    <w:lvl w:ilvl="7">
      <w:numFmt w:val="bullet"/>
      <w:lvlText w:val="•"/>
      <w:lvlJc w:val="left"/>
      <w:pPr>
        <w:ind w:left="7080" w:hanging="225"/>
        <w:tab w:val="num" w:pos="7080"/>
      </w:pPr>
      <w:rPr>
        <w:rFonts w:ascii="Times New Roman" w:hAnsi="Times New Roman" w:cs="Times New Roman" w:eastAsia="Times New Roman"/>
        <w:sz w:val="24"/>
      </w:rPr>
    </w:lvl>
    <w:lvl w:ilvl="8">
      <w:numFmt w:val="bullet"/>
      <w:lvlText w:val="•"/>
      <w:lvlJc w:val="left"/>
      <w:pPr>
        <w:ind w:left="8040" w:hanging="225"/>
        <w:tab w:val="num" w:pos="8040"/>
      </w:pPr>
      <w:rPr>
        <w:rFonts w:ascii="Times New Roman" w:hAnsi="Times New Roman" w:cs="Times New Roman" w:eastAsia="Times New Roman"/>
        <w:sz w:val="24"/>
      </w:rPr>
    </w:lvl>
  </w:abstractNum>
  <w:abstractNum w:abstractNumId="16">
    <w:multiLevelType w:val="hybridMultilevel"/>
    <w:lvl w:ilvl="0">
      <w:numFmt w:val="upperRoman"/>
      <w:lvlText w:val="%1"/>
      <w:lvlJc w:val="left"/>
      <w:start w:val="1"/>
      <w:pPr>
        <w:ind w:left="405" w:firstLine="0"/>
        <w:tab w:val="num" w:pos="540"/>
      </w:pPr>
      <w:rPr>
        <w:rFonts w:ascii="Arial MT" w:hAnsi="Arial MT" w:cs="Arial MT" w:eastAsia="Arial MT"/>
      </w:rPr>
    </w:lvl>
    <w:lvl w:ilvl="1">
      <w:numFmt w:val="bullet"/>
      <w:lvlText w:val="•"/>
      <w:lvlJc w:val="left"/>
      <w:pPr>
        <w:ind w:left="1350" w:hanging="135"/>
        <w:tab w:val="num" w:pos="1350"/>
      </w:pPr>
      <w:rPr>
        <w:rFonts w:ascii="Times New Roman" w:hAnsi="Times New Roman" w:cs="Times New Roman" w:eastAsia="Times New Roman"/>
        <w:sz w:val="24"/>
      </w:rPr>
    </w:lvl>
    <w:lvl w:ilvl="2">
      <w:numFmt w:val="bullet"/>
      <w:lvlText w:val="•"/>
      <w:lvlJc w:val="left"/>
      <w:pPr>
        <w:ind w:left="2310" w:hanging="135"/>
        <w:tab w:val="num" w:pos="2310"/>
      </w:pPr>
      <w:rPr>
        <w:rFonts w:ascii="Times New Roman" w:hAnsi="Times New Roman" w:cs="Times New Roman" w:eastAsia="Times New Roman"/>
        <w:sz w:val="24"/>
      </w:rPr>
    </w:lvl>
    <w:lvl w:ilvl="3">
      <w:numFmt w:val="bullet"/>
      <w:lvlText w:val="•"/>
      <w:lvlJc w:val="left"/>
      <w:pPr>
        <w:ind w:left="3270" w:hanging="135"/>
        <w:tab w:val="num" w:pos="3270"/>
      </w:pPr>
      <w:rPr>
        <w:rFonts w:ascii="Times New Roman" w:hAnsi="Times New Roman" w:cs="Times New Roman" w:eastAsia="Times New Roman"/>
        <w:sz w:val="24"/>
      </w:rPr>
    </w:lvl>
    <w:lvl w:ilvl="4">
      <w:numFmt w:val="bullet"/>
      <w:lvlText w:val="•"/>
      <w:lvlJc w:val="left"/>
      <w:pPr>
        <w:ind w:left="4215" w:hanging="135"/>
        <w:tab w:val="num" w:pos="4215"/>
      </w:pPr>
      <w:rPr>
        <w:rFonts w:ascii="Times New Roman" w:hAnsi="Times New Roman" w:cs="Times New Roman" w:eastAsia="Times New Roman"/>
        <w:sz w:val="24"/>
      </w:rPr>
    </w:lvl>
    <w:lvl w:ilvl="5">
      <w:numFmt w:val="bullet"/>
      <w:lvlText w:val="•"/>
      <w:lvlJc w:val="left"/>
      <w:pPr>
        <w:ind w:left="5175" w:hanging="135"/>
        <w:tab w:val="num" w:pos="5175"/>
      </w:pPr>
      <w:rPr>
        <w:rFonts w:ascii="Times New Roman" w:hAnsi="Times New Roman" w:cs="Times New Roman" w:eastAsia="Times New Roman"/>
        <w:sz w:val="24"/>
      </w:rPr>
    </w:lvl>
    <w:lvl w:ilvl="6">
      <w:numFmt w:val="bullet"/>
      <w:lvlText w:val="•"/>
      <w:lvlJc w:val="left"/>
      <w:pPr>
        <w:ind w:left="6120" w:hanging="135"/>
        <w:tab w:val="num" w:pos="6120"/>
      </w:pPr>
      <w:rPr>
        <w:rFonts w:ascii="Times New Roman" w:hAnsi="Times New Roman" w:cs="Times New Roman" w:eastAsia="Times New Roman"/>
        <w:sz w:val="24"/>
      </w:rPr>
    </w:lvl>
    <w:lvl w:ilvl="7">
      <w:numFmt w:val="bullet"/>
      <w:lvlText w:val="•"/>
      <w:lvlJc w:val="left"/>
      <w:pPr>
        <w:ind w:left="7080" w:hanging="135"/>
        <w:tab w:val="num" w:pos="7080"/>
      </w:pPr>
      <w:rPr>
        <w:rFonts w:ascii="Times New Roman" w:hAnsi="Times New Roman" w:cs="Times New Roman" w:eastAsia="Times New Roman"/>
        <w:sz w:val="24"/>
      </w:rPr>
    </w:lvl>
    <w:lvl w:ilvl="8">
      <w:numFmt w:val="bullet"/>
      <w:lvlText w:val="•"/>
      <w:lvlJc w:val="left"/>
      <w:pPr>
        <w:ind w:left="8040" w:hanging="135"/>
        <w:tab w:val="num" w:pos="8040"/>
      </w:pPr>
      <w:rPr>
        <w:rFonts w:ascii="Times New Roman" w:hAnsi="Times New Roman" w:cs="Times New Roman" w:eastAsia="Times New Roman"/>
        <w:sz w:val="24"/>
      </w:rPr>
    </w:lvl>
  </w:abstractNum>
  <w:abstractNum w:abstractNumId="17">
    <w:multiLevelType w:val="hybridMultilevel"/>
    <w:lvl w:ilvl="0">
      <w:numFmt w:val="upperRoman"/>
      <w:lvlText w:val="%1"/>
      <w:lvlJc w:val="left"/>
      <w:start w:val="2"/>
      <w:pPr>
        <w:ind w:left="570" w:hanging="180"/>
        <w:tab w:val="num" w:pos="570"/>
      </w:pPr>
      <w:rPr>
        <w:rFonts w:ascii="Arial MT" w:hAnsi="Arial MT" w:cs="Arial MT" w:eastAsia="Arial MT"/>
      </w:rPr>
    </w:lvl>
    <w:lvl w:ilvl="1">
      <w:numFmt w:val="bullet"/>
      <w:lvlText w:val="•"/>
      <w:lvlJc w:val="left"/>
      <w:pPr>
        <w:ind w:left="1500" w:hanging="165"/>
        <w:tab w:val="num" w:pos="1500"/>
      </w:pPr>
      <w:rPr>
        <w:rFonts w:ascii="Times New Roman" w:hAnsi="Times New Roman" w:cs="Times New Roman" w:eastAsia="Times New Roman"/>
        <w:sz w:val="24"/>
      </w:rPr>
    </w:lvl>
    <w:lvl w:ilvl="2">
      <w:numFmt w:val="bullet"/>
      <w:lvlText w:val="•"/>
      <w:lvlJc w:val="left"/>
      <w:pPr>
        <w:ind w:left="2430" w:hanging="165"/>
        <w:tab w:val="num" w:pos="2430"/>
      </w:pPr>
      <w:rPr>
        <w:rFonts w:ascii="Times New Roman" w:hAnsi="Times New Roman" w:cs="Times New Roman" w:eastAsia="Times New Roman"/>
        <w:sz w:val="24"/>
      </w:rPr>
    </w:lvl>
    <w:lvl w:ilvl="3">
      <w:numFmt w:val="bullet"/>
      <w:lvlText w:val="•"/>
      <w:lvlJc w:val="left"/>
      <w:pPr>
        <w:ind w:left="3375" w:hanging="165"/>
        <w:tab w:val="num" w:pos="3375"/>
      </w:pPr>
      <w:rPr>
        <w:rFonts w:ascii="Times New Roman" w:hAnsi="Times New Roman" w:cs="Times New Roman" w:eastAsia="Times New Roman"/>
        <w:sz w:val="24"/>
      </w:rPr>
    </w:lvl>
    <w:lvl w:ilvl="4">
      <w:numFmt w:val="bullet"/>
      <w:lvlText w:val="•"/>
      <w:lvlJc w:val="left"/>
      <w:pPr>
        <w:ind w:left="4320" w:hanging="165"/>
        <w:tab w:val="num" w:pos="4320"/>
      </w:pPr>
      <w:rPr>
        <w:rFonts w:ascii="Times New Roman" w:hAnsi="Times New Roman" w:cs="Times New Roman" w:eastAsia="Times New Roman"/>
        <w:sz w:val="24"/>
      </w:rPr>
    </w:lvl>
    <w:lvl w:ilvl="5">
      <w:numFmt w:val="bullet"/>
      <w:lvlText w:val="•"/>
      <w:lvlJc w:val="left"/>
      <w:pPr>
        <w:ind w:left="5250" w:hanging="165"/>
        <w:tab w:val="num" w:pos="5250"/>
      </w:pPr>
      <w:rPr>
        <w:rFonts w:ascii="Times New Roman" w:hAnsi="Times New Roman" w:cs="Times New Roman" w:eastAsia="Times New Roman"/>
        <w:sz w:val="24"/>
      </w:rPr>
    </w:lvl>
    <w:lvl w:ilvl="6">
      <w:numFmt w:val="bullet"/>
      <w:lvlText w:val="•"/>
      <w:lvlJc w:val="left"/>
      <w:pPr>
        <w:ind w:left="6195" w:hanging="165"/>
        <w:tab w:val="num" w:pos="6195"/>
      </w:pPr>
      <w:rPr>
        <w:rFonts w:ascii="Times New Roman" w:hAnsi="Times New Roman" w:cs="Times New Roman" w:eastAsia="Times New Roman"/>
        <w:sz w:val="24"/>
      </w:rPr>
    </w:lvl>
    <w:lvl w:ilvl="7">
      <w:numFmt w:val="bullet"/>
      <w:lvlText w:val="•"/>
      <w:lvlJc w:val="left"/>
      <w:pPr>
        <w:ind w:left="7125" w:hanging="165"/>
        <w:tab w:val="num" w:pos="7125"/>
      </w:pPr>
      <w:rPr>
        <w:rFonts w:ascii="Times New Roman" w:hAnsi="Times New Roman" w:cs="Times New Roman" w:eastAsia="Times New Roman"/>
        <w:sz w:val="24"/>
      </w:rPr>
    </w:lvl>
    <w:lvl w:ilvl="8">
      <w:numFmt w:val="bullet"/>
      <w:lvlText w:val="•"/>
      <w:lvlJc w:val="left"/>
      <w:pPr>
        <w:ind w:left="8070" w:hanging="165"/>
        <w:tab w:val="num" w:pos="8070"/>
      </w:pPr>
      <w:rPr>
        <w:rFonts w:ascii="Times New Roman" w:hAnsi="Times New Roman" w:cs="Times New Roman" w:eastAsia="Times New Roman"/>
        <w:sz w:val="24"/>
      </w:rPr>
    </w:lvl>
  </w:abstractNum>
  <w:abstractNum w:abstractNumId="18">
    <w:multiLevelType w:val="hybridMultilevel"/>
    <w:lvl w:ilvl="0">
      <w:numFmt w:val="lowerLetter"/>
      <w:lvlText w:val="%1)"/>
      <w:lvlJc w:val="left"/>
      <w:start w:val="1"/>
      <w:pPr>
        <w:ind w:left="405" w:firstLine="0"/>
        <w:tab w:val="num" w:pos="645"/>
      </w:pPr>
      <w:rPr>
        <w:rFonts w:ascii="Arial MT" w:hAnsi="Arial MT" w:cs="Arial MT" w:eastAsia="Arial MT"/>
      </w:rPr>
    </w:lvl>
    <w:lvl w:ilvl="1">
      <w:numFmt w:val="bullet"/>
      <w:lvlText w:val="•"/>
      <w:lvlJc w:val="left"/>
      <w:pPr>
        <w:ind w:left="1350" w:hanging="240"/>
        <w:tab w:val="num" w:pos="1350"/>
      </w:pPr>
      <w:rPr>
        <w:rFonts w:ascii="Times New Roman" w:hAnsi="Times New Roman" w:cs="Times New Roman" w:eastAsia="Times New Roman"/>
        <w:sz w:val="24"/>
      </w:rPr>
    </w:lvl>
    <w:lvl w:ilvl="2">
      <w:numFmt w:val="bullet"/>
      <w:lvlText w:val="•"/>
      <w:lvlJc w:val="left"/>
      <w:pPr>
        <w:ind w:left="2310" w:hanging="240"/>
        <w:tab w:val="num" w:pos="2310"/>
      </w:pPr>
      <w:rPr>
        <w:rFonts w:ascii="Times New Roman" w:hAnsi="Times New Roman" w:cs="Times New Roman" w:eastAsia="Times New Roman"/>
        <w:sz w:val="24"/>
      </w:rPr>
    </w:lvl>
    <w:lvl w:ilvl="3">
      <w:numFmt w:val="bullet"/>
      <w:lvlText w:val="•"/>
      <w:lvlJc w:val="left"/>
      <w:pPr>
        <w:ind w:left="3270" w:hanging="240"/>
        <w:tab w:val="num" w:pos="3270"/>
      </w:pPr>
      <w:rPr>
        <w:rFonts w:ascii="Times New Roman" w:hAnsi="Times New Roman" w:cs="Times New Roman" w:eastAsia="Times New Roman"/>
        <w:sz w:val="24"/>
      </w:rPr>
    </w:lvl>
    <w:lvl w:ilvl="4">
      <w:numFmt w:val="bullet"/>
      <w:lvlText w:val="•"/>
      <w:lvlJc w:val="left"/>
      <w:pPr>
        <w:ind w:left="4215" w:hanging="240"/>
        <w:tab w:val="num" w:pos="4215"/>
      </w:pPr>
      <w:rPr>
        <w:rFonts w:ascii="Times New Roman" w:hAnsi="Times New Roman" w:cs="Times New Roman" w:eastAsia="Times New Roman"/>
        <w:sz w:val="24"/>
      </w:rPr>
    </w:lvl>
    <w:lvl w:ilvl="5">
      <w:numFmt w:val="bullet"/>
      <w:lvlText w:val="•"/>
      <w:lvlJc w:val="left"/>
      <w:pPr>
        <w:ind w:left="5175" w:hanging="240"/>
        <w:tab w:val="num" w:pos="5175"/>
      </w:pPr>
      <w:rPr>
        <w:rFonts w:ascii="Times New Roman" w:hAnsi="Times New Roman" w:cs="Times New Roman" w:eastAsia="Times New Roman"/>
        <w:sz w:val="24"/>
      </w:rPr>
    </w:lvl>
    <w:lvl w:ilvl="6">
      <w:numFmt w:val="bullet"/>
      <w:lvlText w:val="•"/>
      <w:lvlJc w:val="left"/>
      <w:pPr>
        <w:ind w:left="6120" w:hanging="240"/>
        <w:tab w:val="num" w:pos="6120"/>
      </w:pPr>
      <w:rPr>
        <w:rFonts w:ascii="Times New Roman" w:hAnsi="Times New Roman" w:cs="Times New Roman" w:eastAsia="Times New Roman"/>
        <w:sz w:val="24"/>
      </w:rPr>
    </w:lvl>
    <w:lvl w:ilvl="7">
      <w:numFmt w:val="bullet"/>
      <w:lvlText w:val="•"/>
      <w:lvlJc w:val="left"/>
      <w:pPr>
        <w:ind w:left="7080" w:hanging="240"/>
        <w:tab w:val="num" w:pos="7080"/>
      </w:pPr>
      <w:rPr>
        <w:rFonts w:ascii="Times New Roman" w:hAnsi="Times New Roman" w:cs="Times New Roman" w:eastAsia="Times New Roman"/>
        <w:sz w:val="24"/>
      </w:rPr>
    </w:lvl>
    <w:lvl w:ilvl="8">
      <w:numFmt w:val="bullet"/>
      <w:lvlText w:val="•"/>
      <w:lvlJc w:val="left"/>
      <w:pPr>
        <w:ind w:left="8040" w:hanging="240"/>
        <w:tab w:val="num" w:pos="8040"/>
      </w:pPr>
      <w:rPr>
        <w:rFonts w:ascii="Times New Roman" w:hAnsi="Times New Roman" w:cs="Times New Roman" w:eastAsia="Times New Roman"/>
        <w:sz w:val="24"/>
      </w:rPr>
    </w:lvl>
  </w:abstractNum>
  <w:abstractNum w:abstractNumId="19">
    <w:multiLevelType w:val="hybridMultilevel"/>
    <w:lvl w:ilvl="0">
      <w:numFmt w:val="decimal"/>
      <w:lvlText w:val="%1"/>
      <w:lvlJc w:val="left"/>
      <w:start w:val="1"/>
      <w:pPr>
        <w:ind w:left="570" w:hanging="180"/>
        <w:tab w:val="num" w:pos="570"/>
      </w:pPr>
      <w:rPr>
        <w:b/>
      </w:rPr>
    </w:lvl>
    <w:lvl w:ilvl="1">
      <w:numFmt w:val="decimal"/>
      <w:lvlText w:val="%1.%2"/>
      <w:lvlJc w:val="left"/>
      <w:start w:val="1"/>
      <w:pPr>
        <w:ind w:left="735" w:firstLine="0"/>
        <w:tab w:val="num" w:pos="1065"/>
      </w:pPr>
      <w:rPr>
        <w:rFonts w:ascii="Arial MT" w:hAnsi="Arial MT" w:cs="Arial MT" w:eastAsia="Arial MT"/>
      </w:rPr>
    </w:lvl>
    <w:lvl w:ilvl="2">
      <w:numFmt w:val="decimal"/>
      <w:lvlText w:val="%1.%2.%3"/>
      <w:lvlJc w:val="left"/>
      <w:start w:val="1"/>
      <w:pPr>
        <w:ind w:left="1575" w:hanging="495"/>
        <w:tab w:val="num" w:pos="1575"/>
      </w:pPr>
      <w:rPr>
        <w:rFonts w:ascii="Arial MT" w:hAnsi="Arial MT" w:cs="Arial MT" w:eastAsia="Arial MT"/>
      </w:rPr>
    </w:lvl>
    <w:lvl w:ilvl="3">
      <w:numFmt w:val="decimal"/>
      <w:lvlText w:val="%1.%2.%3.%4."/>
      <w:lvlJc w:val="left"/>
      <w:start w:val="1"/>
      <w:pPr>
        <w:ind w:left="1425" w:firstLine="0"/>
        <w:tab w:val="num" w:pos="2265"/>
      </w:pPr>
      <w:rPr>
        <w:rFonts w:ascii="Times New Roman" w:hAnsi="Times New Roman" w:cs="Times New Roman" w:eastAsia="Times New Roman"/>
      </w:rPr>
    </w:lvl>
    <w:lvl w:ilvl="4">
      <w:numFmt w:val="bullet"/>
      <w:lvlText w:val="•"/>
      <w:lvlJc w:val="left"/>
      <w:pPr>
        <w:ind w:left="1425" w:hanging="840"/>
        <w:tab w:val="num" w:pos="1425"/>
      </w:pPr>
      <w:rPr>
        <w:rFonts w:ascii="Times New Roman" w:hAnsi="Times New Roman" w:cs="Times New Roman" w:eastAsia="Times New Roman"/>
        <w:sz w:val="24"/>
      </w:rPr>
    </w:lvl>
    <w:lvl w:ilvl="5">
      <w:numFmt w:val="bullet"/>
      <w:lvlText w:val="•"/>
      <w:lvlJc w:val="left"/>
      <w:pPr>
        <w:ind w:left="1575" w:hanging="840"/>
        <w:tab w:val="num" w:pos="1575"/>
      </w:pPr>
      <w:rPr>
        <w:rFonts w:ascii="Times New Roman" w:hAnsi="Times New Roman" w:cs="Times New Roman" w:eastAsia="Times New Roman"/>
        <w:sz w:val="24"/>
      </w:rPr>
    </w:lvl>
    <w:lvl w:ilvl="6">
      <w:numFmt w:val="bullet"/>
      <w:lvlText w:val="•"/>
      <w:lvlJc w:val="left"/>
      <w:pPr>
        <w:ind w:left="1680" w:hanging="840"/>
        <w:tab w:val="num" w:pos="1680"/>
      </w:pPr>
      <w:rPr>
        <w:rFonts w:ascii="Times New Roman" w:hAnsi="Times New Roman" w:cs="Times New Roman" w:eastAsia="Times New Roman"/>
        <w:sz w:val="24"/>
      </w:rPr>
    </w:lvl>
    <w:lvl w:ilvl="7">
      <w:numFmt w:val="bullet"/>
      <w:lvlText w:val="•"/>
      <w:lvlJc w:val="left"/>
      <w:pPr>
        <w:ind w:left="2265" w:hanging="840"/>
        <w:tab w:val="num" w:pos="2265"/>
      </w:pPr>
      <w:rPr>
        <w:rFonts w:ascii="Times New Roman" w:hAnsi="Times New Roman" w:cs="Times New Roman" w:eastAsia="Times New Roman"/>
        <w:sz w:val="24"/>
      </w:rPr>
    </w:lvl>
    <w:lvl w:ilvl="8">
      <w:numFmt w:val="bullet"/>
      <w:lvlText w:val="•"/>
      <w:lvlJc w:val="left"/>
      <w:pPr>
        <w:ind w:left="4815" w:hanging="840"/>
        <w:tab w:val="num" w:pos="4815"/>
      </w:pPr>
      <w:rPr>
        <w:rFonts w:ascii="Times New Roman" w:hAnsi="Times New Roman" w:cs="Times New Roman" w:eastAsia="Times New Roman"/>
        <w:sz w:val="24"/>
      </w:rPr>
    </w:lvl>
  </w:abstractNum>
  <w:abstractNum w:abstractNumId="20">
    <w:multiLevelType w:val="hybridMultilevel"/>
    <w:lvl w:ilvl="0">
      <w:numFmt w:val="upperRoman"/>
      <w:lvlText w:val="%1"/>
      <w:lvlJc w:val="left"/>
      <w:start w:val="1"/>
      <w:pPr>
        <w:ind w:left="510" w:hanging="120"/>
        <w:tab w:val="num" w:pos="510"/>
      </w:pPr>
      <w:rPr>
        <w:rFonts w:ascii="Arial MT" w:hAnsi="Arial MT" w:cs="Arial MT" w:eastAsia="Arial MT"/>
      </w:rPr>
    </w:lvl>
    <w:lvl w:ilvl="1">
      <w:numFmt w:val="bullet"/>
      <w:lvlText w:val="•"/>
      <w:lvlJc w:val="left"/>
      <w:pPr>
        <w:ind w:left="1440" w:hanging="105"/>
        <w:tab w:val="num" w:pos="1440"/>
      </w:pPr>
      <w:rPr>
        <w:rFonts w:ascii="Times New Roman" w:hAnsi="Times New Roman" w:cs="Times New Roman" w:eastAsia="Times New Roman"/>
        <w:sz w:val="24"/>
      </w:rPr>
    </w:lvl>
    <w:lvl w:ilvl="2">
      <w:numFmt w:val="bullet"/>
      <w:lvlText w:val="•"/>
      <w:lvlJc w:val="left"/>
      <w:pPr>
        <w:ind w:left="2385" w:hanging="105"/>
        <w:tab w:val="num" w:pos="2385"/>
      </w:pPr>
      <w:rPr>
        <w:rFonts w:ascii="Times New Roman" w:hAnsi="Times New Roman" w:cs="Times New Roman" w:eastAsia="Times New Roman"/>
        <w:sz w:val="24"/>
      </w:rPr>
    </w:lvl>
    <w:lvl w:ilvl="3">
      <w:numFmt w:val="bullet"/>
      <w:lvlText w:val="•"/>
      <w:lvlJc w:val="left"/>
      <w:pPr>
        <w:ind w:left="3330" w:hanging="105"/>
        <w:tab w:val="num" w:pos="3330"/>
      </w:pPr>
      <w:rPr>
        <w:rFonts w:ascii="Times New Roman" w:hAnsi="Times New Roman" w:cs="Times New Roman" w:eastAsia="Times New Roman"/>
        <w:sz w:val="24"/>
      </w:rPr>
    </w:lvl>
    <w:lvl w:ilvl="4">
      <w:numFmt w:val="bullet"/>
      <w:lvlText w:val="•"/>
      <w:lvlJc w:val="left"/>
      <w:pPr>
        <w:ind w:left="4275" w:hanging="105"/>
        <w:tab w:val="num" w:pos="4275"/>
      </w:pPr>
      <w:rPr>
        <w:rFonts w:ascii="Times New Roman" w:hAnsi="Times New Roman" w:cs="Times New Roman" w:eastAsia="Times New Roman"/>
        <w:sz w:val="24"/>
      </w:rPr>
    </w:lvl>
    <w:lvl w:ilvl="5">
      <w:numFmt w:val="bullet"/>
      <w:lvlText w:val="•"/>
      <w:lvlJc w:val="left"/>
      <w:pPr>
        <w:ind w:left="5220" w:hanging="105"/>
        <w:tab w:val="num" w:pos="5220"/>
      </w:pPr>
      <w:rPr>
        <w:rFonts w:ascii="Times New Roman" w:hAnsi="Times New Roman" w:cs="Times New Roman" w:eastAsia="Times New Roman"/>
        <w:sz w:val="24"/>
      </w:rPr>
    </w:lvl>
    <w:lvl w:ilvl="6">
      <w:numFmt w:val="bullet"/>
      <w:lvlText w:val="•"/>
      <w:lvlJc w:val="left"/>
      <w:pPr>
        <w:ind w:left="6165" w:hanging="105"/>
        <w:tab w:val="num" w:pos="6165"/>
      </w:pPr>
      <w:rPr>
        <w:rFonts w:ascii="Times New Roman" w:hAnsi="Times New Roman" w:cs="Times New Roman" w:eastAsia="Times New Roman"/>
        <w:sz w:val="24"/>
      </w:rPr>
    </w:lvl>
    <w:lvl w:ilvl="7">
      <w:numFmt w:val="bullet"/>
      <w:lvlText w:val="•"/>
      <w:lvlJc w:val="left"/>
      <w:pPr>
        <w:ind w:left="7110" w:hanging="105"/>
        <w:tab w:val="num" w:pos="7110"/>
      </w:pPr>
      <w:rPr>
        <w:rFonts w:ascii="Times New Roman" w:hAnsi="Times New Roman" w:cs="Times New Roman" w:eastAsia="Times New Roman"/>
        <w:sz w:val="24"/>
      </w:rPr>
    </w:lvl>
    <w:lvl w:ilvl="8">
      <w:numFmt w:val="bullet"/>
      <w:lvlText w:val="•"/>
      <w:lvlJc w:val="left"/>
      <w:pPr>
        <w:ind w:left="8055" w:hanging="105"/>
        <w:tab w:val="num" w:pos="8055"/>
      </w:pPr>
      <w:rPr>
        <w:rFonts w:ascii="Times New Roman" w:hAnsi="Times New Roman" w:cs="Times New Roman" w:eastAsia="Times New Roman"/>
        <w:sz w:val="24"/>
      </w:rPr>
    </w:lvl>
  </w:abstractNum>
  <w:abstractNum w:abstractNumId="21">
    <w:multiLevelType w:val="hybridMultilevel"/>
    <w:lvl w:ilvl="0">
      <w:numFmt w:val="upperRoman"/>
      <w:lvlText w:val="%1"/>
      <w:lvlJc w:val="left"/>
      <w:start w:val="2"/>
      <w:pPr>
        <w:ind w:left="570" w:hanging="180"/>
        <w:tab w:val="num" w:pos="570"/>
      </w:pPr>
      <w:rPr>
        <w:rFonts w:ascii="Arial MT" w:hAnsi="Arial MT" w:cs="Arial MT" w:eastAsia="Arial MT"/>
      </w:rPr>
    </w:lvl>
    <w:lvl w:ilvl="1">
      <w:numFmt w:val="bullet"/>
      <w:lvlText w:val="•"/>
      <w:lvlJc w:val="left"/>
      <w:pPr>
        <w:ind w:left="1500" w:hanging="165"/>
        <w:tab w:val="num" w:pos="1500"/>
      </w:pPr>
      <w:rPr>
        <w:rFonts w:ascii="Times New Roman" w:hAnsi="Times New Roman" w:cs="Times New Roman" w:eastAsia="Times New Roman"/>
        <w:sz w:val="24"/>
      </w:rPr>
    </w:lvl>
    <w:lvl w:ilvl="2">
      <w:numFmt w:val="bullet"/>
      <w:lvlText w:val="•"/>
      <w:lvlJc w:val="left"/>
      <w:pPr>
        <w:ind w:left="2430" w:hanging="165"/>
        <w:tab w:val="num" w:pos="2430"/>
      </w:pPr>
      <w:rPr>
        <w:rFonts w:ascii="Times New Roman" w:hAnsi="Times New Roman" w:cs="Times New Roman" w:eastAsia="Times New Roman"/>
        <w:sz w:val="24"/>
      </w:rPr>
    </w:lvl>
    <w:lvl w:ilvl="3">
      <w:numFmt w:val="bullet"/>
      <w:lvlText w:val="•"/>
      <w:lvlJc w:val="left"/>
      <w:pPr>
        <w:ind w:left="3375" w:hanging="165"/>
        <w:tab w:val="num" w:pos="3375"/>
      </w:pPr>
      <w:rPr>
        <w:rFonts w:ascii="Times New Roman" w:hAnsi="Times New Roman" w:cs="Times New Roman" w:eastAsia="Times New Roman"/>
        <w:sz w:val="24"/>
      </w:rPr>
    </w:lvl>
    <w:lvl w:ilvl="4">
      <w:numFmt w:val="bullet"/>
      <w:lvlText w:val="•"/>
      <w:lvlJc w:val="left"/>
      <w:pPr>
        <w:ind w:left="4320" w:hanging="165"/>
        <w:tab w:val="num" w:pos="4320"/>
      </w:pPr>
      <w:rPr>
        <w:rFonts w:ascii="Times New Roman" w:hAnsi="Times New Roman" w:cs="Times New Roman" w:eastAsia="Times New Roman"/>
        <w:sz w:val="24"/>
      </w:rPr>
    </w:lvl>
    <w:lvl w:ilvl="5">
      <w:numFmt w:val="bullet"/>
      <w:lvlText w:val="•"/>
      <w:lvlJc w:val="left"/>
      <w:pPr>
        <w:ind w:left="5250" w:hanging="165"/>
        <w:tab w:val="num" w:pos="5250"/>
      </w:pPr>
      <w:rPr>
        <w:rFonts w:ascii="Times New Roman" w:hAnsi="Times New Roman" w:cs="Times New Roman" w:eastAsia="Times New Roman"/>
        <w:sz w:val="24"/>
      </w:rPr>
    </w:lvl>
    <w:lvl w:ilvl="6">
      <w:numFmt w:val="bullet"/>
      <w:lvlText w:val="•"/>
      <w:lvlJc w:val="left"/>
      <w:pPr>
        <w:ind w:left="6195" w:hanging="165"/>
        <w:tab w:val="num" w:pos="6195"/>
      </w:pPr>
      <w:rPr>
        <w:rFonts w:ascii="Times New Roman" w:hAnsi="Times New Roman" w:cs="Times New Roman" w:eastAsia="Times New Roman"/>
        <w:sz w:val="24"/>
      </w:rPr>
    </w:lvl>
    <w:lvl w:ilvl="7">
      <w:numFmt w:val="bullet"/>
      <w:lvlText w:val="•"/>
      <w:lvlJc w:val="left"/>
      <w:pPr>
        <w:ind w:left="7125" w:hanging="165"/>
        <w:tab w:val="num" w:pos="7125"/>
      </w:pPr>
      <w:rPr>
        <w:rFonts w:ascii="Times New Roman" w:hAnsi="Times New Roman" w:cs="Times New Roman" w:eastAsia="Times New Roman"/>
        <w:sz w:val="24"/>
      </w:rPr>
    </w:lvl>
    <w:lvl w:ilvl="8">
      <w:numFmt w:val="bullet"/>
      <w:lvlText w:val="•"/>
      <w:lvlJc w:val="left"/>
      <w:pPr>
        <w:ind w:left="8070" w:hanging="165"/>
        <w:tab w:val="num" w:pos="8070"/>
      </w:pPr>
      <w:rPr>
        <w:rFonts w:ascii="Times New Roman" w:hAnsi="Times New Roman" w:cs="Times New Roman" w:eastAsia="Times New Roman"/>
        <w:sz w:val="24"/>
      </w:rPr>
    </w:lvl>
  </w:abstractNum>
  <w:abstractNum w:abstractNumId="22">
    <w:multiLevelType w:val="hybridMultilevel"/>
    <w:lvl w:ilvl="0">
      <w:numFmt w:val="upperRoman"/>
      <w:lvlText w:val="%1"/>
      <w:lvlJc w:val="left"/>
      <w:start w:val="1"/>
      <w:pPr>
        <w:ind w:left="405" w:firstLine="0"/>
        <w:tab w:val="num" w:pos="525"/>
      </w:pPr>
      <w:rPr>
        <w:rFonts w:ascii="Arial MT" w:hAnsi="Arial MT" w:cs="Arial MT" w:eastAsia="Arial MT"/>
      </w:rPr>
    </w:lvl>
    <w:lvl w:ilvl="1">
      <w:numFmt w:val="bullet"/>
      <w:lvlText w:val="•"/>
      <w:lvlJc w:val="left"/>
      <w:pPr>
        <w:ind w:left="1350" w:hanging="120"/>
        <w:tab w:val="num" w:pos="1350"/>
      </w:pPr>
      <w:rPr>
        <w:rFonts w:ascii="Times New Roman" w:hAnsi="Times New Roman" w:cs="Times New Roman" w:eastAsia="Times New Roman"/>
        <w:sz w:val="24"/>
      </w:rPr>
    </w:lvl>
    <w:lvl w:ilvl="2">
      <w:numFmt w:val="bullet"/>
      <w:lvlText w:val="•"/>
      <w:lvlJc w:val="left"/>
      <w:pPr>
        <w:ind w:left="2310" w:hanging="120"/>
        <w:tab w:val="num" w:pos="231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15" w:hanging="120"/>
        <w:tab w:val="num" w:pos="4215"/>
      </w:pPr>
      <w:rPr>
        <w:rFonts w:ascii="Times New Roman" w:hAnsi="Times New Roman" w:cs="Times New Roman" w:eastAsia="Times New Roman"/>
        <w:sz w:val="24"/>
      </w:rPr>
    </w:lvl>
    <w:lvl w:ilvl="5">
      <w:numFmt w:val="bullet"/>
      <w:lvlText w:val="•"/>
      <w:lvlJc w:val="left"/>
      <w:pPr>
        <w:ind w:left="5175" w:hanging="120"/>
        <w:tab w:val="num" w:pos="5175"/>
      </w:pPr>
      <w:rPr>
        <w:rFonts w:ascii="Times New Roman" w:hAnsi="Times New Roman" w:cs="Times New Roman" w:eastAsia="Times New Roman"/>
        <w:sz w:val="24"/>
      </w:rPr>
    </w:lvl>
    <w:lvl w:ilvl="6">
      <w:numFmt w:val="bullet"/>
      <w:lvlText w:val="•"/>
      <w:lvlJc w:val="left"/>
      <w:pPr>
        <w:ind w:left="6120" w:hanging="120"/>
        <w:tab w:val="num" w:pos="6120"/>
      </w:pPr>
      <w:rPr>
        <w:rFonts w:ascii="Times New Roman" w:hAnsi="Times New Roman" w:cs="Times New Roman" w:eastAsia="Times New Roman"/>
        <w:sz w:val="24"/>
      </w:rPr>
    </w:lvl>
    <w:lvl w:ilvl="7">
      <w:numFmt w:val="bullet"/>
      <w:lvlText w:val="•"/>
      <w:lvlJc w:val="left"/>
      <w:pPr>
        <w:ind w:left="7080" w:hanging="120"/>
        <w:tab w:val="num" w:pos="7080"/>
      </w:pPr>
      <w:rPr>
        <w:rFonts w:ascii="Times New Roman" w:hAnsi="Times New Roman" w:cs="Times New Roman" w:eastAsia="Times New Roman"/>
        <w:sz w:val="24"/>
      </w:rPr>
    </w:lvl>
    <w:lvl w:ilvl="8">
      <w:numFmt w:val="bullet"/>
      <w:lvlText w:val="•"/>
      <w:lvlJc w:val="left"/>
      <w:pPr>
        <w:ind w:left="8040" w:hanging="120"/>
        <w:tab w:val="num" w:pos="8040"/>
      </w:pPr>
      <w:rPr>
        <w:rFonts w:ascii="Times New Roman" w:hAnsi="Times New Roman" w:cs="Times New Roman" w:eastAsia="Times New Roman"/>
        <w:sz w:val="24"/>
      </w:rPr>
    </w:lvl>
  </w:abstractNum>
  <w:abstractNum w:abstractNumId="23">
    <w:multiLevelType w:val="hybridMultilevel"/>
    <w:lvl w:ilvl="0">
      <w:numFmt w:val="decimal"/>
      <w:lvlText w:val="%1)"/>
      <w:lvlJc w:val="left"/>
      <w:start w:val="1"/>
      <w:pPr>
        <w:ind w:left="405" w:firstLine="0"/>
        <w:tab w:val="num" w:pos="645"/>
      </w:pPr>
      <w:rPr>
        <w:rFonts w:ascii="Times New Roman" w:hAnsi="Times New Roman" w:cs="Times New Roman" w:eastAsia="Times New Roman"/>
      </w:rPr>
    </w:lvl>
    <w:lvl w:ilvl="1">
      <w:numFmt w:val="bullet"/>
      <w:lvlText w:val="•"/>
      <w:lvlJc w:val="left"/>
      <w:pPr>
        <w:ind w:left="1350" w:hanging="240"/>
        <w:tab w:val="num" w:pos="1350"/>
      </w:pPr>
      <w:rPr>
        <w:rFonts w:ascii="Times New Roman" w:hAnsi="Times New Roman" w:cs="Times New Roman" w:eastAsia="Times New Roman"/>
        <w:sz w:val="24"/>
      </w:rPr>
    </w:lvl>
    <w:lvl w:ilvl="2">
      <w:numFmt w:val="bullet"/>
      <w:lvlText w:val="•"/>
      <w:lvlJc w:val="left"/>
      <w:pPr>
        <w:ind w:left="2310" w:hanging="240"/>
        <w:tab w:val="num" w:pos="2310"/>
      </w:pPr>
      <w:rPr>
        <w:rFonts w:ascii="Times New Roman" w:hAnsi="Times New Roman" w:cs="Times New Roman" w:eastAsia="Times New Roman"/>
        <w:sz w:val="24"/>
      </w:rPr>
    </w:lvl>
    <w:lvl w:ilvl="3">
      <w:numFmt w:val="bullet"/>
      <w:lvlText w:val="•"/>
      <w:lvlJc w:val="left"/>
      <w:pPr>
        <w:ind w:left="3270" w:hanging="240"/>
        <w:tab w:val="num" w:pos="3270"/>
      </w:pPr>
      <w:rPr>
        <w:rFonts w:ascii="Times New Roman" w:hAnsi="Times New Roman" w:cs="Times New Roman" w:eastAsia="Times New Roman"/>
        <w:sz w:val="24"/>
      </w:rPr>
    </w:lvl>
    <w:lvl w:ilvl="4">
      <w:numFmt w:val="bullet"/>
      <w:lvlText w:val="•"/>
      <w:lvlJc w:val="left"/>
      <w:pPr>
        <w:ind w:left="4215" w:hanging="240"/>
        <w:tab w:val="num" w:pos="4215"/>
      </w:pPr>
      <w:rPr>
        <w:rFonts w:ascii="Times New Roman" w:hAnsi="Times New Roman" w:cs="Times New Roman" w:eastAsia="Times New Roman"/>
        <w:sz w:val="24"/>
      </w:rPr>
    </w:lvl>
    <w:lvl w:ilvl="5">
      <w:numFmt w:val="bullet"/>
      <w:lvlText w:val="•"/>
      <w:lvlJc w:val="left"/>
      <w:pPr>
        <w:ind w:left="5175" w:hanging="240"/>
        <w:tab w:val="num" w:pos="5175"/>
      </w:pPr>
      <w:rPr>
        <w:rFonts w:ascii="Times New Roman" w:hAnsi="Times New Roman" w:cs="Times New Roman" w:eastAsia="Times New Roman"/>
        <w:sz w:val="24"/>
      </w:rPr>
    </w:lvl>
    <w:lvl w:ilvl="6">
      <w:numFmt w:val="bullet"/>
      <w:lvlText w:val="•"/>
      <w:lvlJc w:val="left"/>
      <w:pPr>
        <w:ind w:left="6120" w:hanging="240"/>
        <w:tab w:val="num" w:pos="6120"/>
      </w:pPr>
      <w:rPr>
        <w:rFonts w:ascii="Times New Roman" w:hAnsi="Times New Roman" w:cs="Times New Roman" w:eastAsia="Times New Roman"/>
        <w:sz w:val="24"/>
      </w:rPr>
    </w:lvl>
    <w:lvl w:ilvl="7">
      <w:numFmt w:val="bullet"/>
      <w:lvlText w:val="•"/>
      <w:lvlJc w:val="left"/>
      <w:pPr>
        <w:ind w:left="7080" w:hanging="240"/>
        <w:tab w:val="num" w:pos="7080"/>
      </w:pPr>
      <w:rPr>
        <w:rFonts w:ascii="Times New Roman" w:hAnsi="Times New Roman" w:cs="Times New Roman" w:eastAsia="Times New Roman"/>
        <w:sz w:val="24"/>
      </w:rPr>
    </w:lvl>
    <w:lvl w:ilvl="8">
      <w:numFmt w:val="bullet"/>
      <w:lvlText w:val="•"/>
      <w:lvlJc w:val="left"/>
      <w:pPr>
        <w:ind w:left="8040" w:hanging="240"/>
        <w:tab w:val="num" w:pos="8040"/>
      </w:pPr>
      <w:rPr>
        <w:rFonts w:ascii="Times New Roman" w:hAnsi="Times New Roman" w:cs="Times New Roman" w:eastAsia="Times New Roman"/>
        <w:sz w:val="24"/>
      </w:rPr>
    </w:lvl>
  </w:abstractNum>
  <w:abstractNum w:abstractNumId="24">
    <w:multiLevelType w:val="hybridMultilevel"/>
    <w:lvl w:ilvl="0">
      <w:numFmt w:val="upperRoman"/>
      <w:lvlText w:val="%1"/>
      <w:lvlJc w:val="left"/>
      <w:start w:val="4"/>
      <w:pPr>
        <w:ind w:left="645" w:hanging="255"/>
        <w:tab w:val="num" w:pos="645"/>
      </w:pPr>
      <w:rPr>
        <w:rFonts w:ascii="Arial MT" w:hAnsi="Arial MT" w:cs="Arial MT" w:eastAsia="Arial MT"/>
      </w:rPr>
    </w:lvl>
    <w:lvl w:ilvl="1">
      <w:numFmt w:val="bullet"/>
      <w:lvlText w:val="•"/>
      <w:lvlJc w:val="left"/>
      <w:pPr>
        <w:ind w:left="1575" w:hanging="240"/>
        <w:tab w:val="num" w:pos="1575"/>
      </w:pPr>
      <w:rPr>
        <w:rFonts w:ascii="Times New Roman" w:hAnsi="Times New Roman" w:cs="Times New Roman" w:eastAsia="Times New Roman"/>
        <w:sz w:val="24"/>
      </w:rPr>
    </w:lvl>
    <w:lvl w:ilvl="2">
      <w:numFmt w:val="bullet"/>
      <w:lvlText w:val="•"/>
      <w:lvlJc w:val="left"/>
      <w:pPr>
        <w:ind w:left="2505" w:hanging="240"/>
        <w:tab w:val="num" w:pos="2505"/>
      </w:pPr>
      <w:rPr>
        <w:rFonts w:ascii="Times New Roman" w:hAnsi="Times New Roman" w:cs="Times New Roman" w:eastAsia="Times New Roman"/>
        <w:sz w:val="24"/>
      </w:rPr>
    </w:lvl>
    <w:lvl w:ilvl="3">
      <w:numFmt w:val="bullet"/>
      <w:lvlText w:val="•"/>
      <w:lvlJc w:val="left"/>
      <w:pPr>
        <w:ind w:left="3435" w:hanging="240"/>
        <w:tab w:val="num" w:pos="3435"/>
      </w:pPr>
      <w:rPr>
        <w:rFonts w:ascii="Times New Roman" w:hAnsi="Times New Roman" w:cs="Times New Roman" w:eastAsia="Times New Roman"/>
        <w:sz w:val="24"/>
      </w:rPr>
    </w:lvl>
    <w:lvl w:ilvl="4">
      <w:numFmt w:val="bullet"/>
      <w:lvlText w:val="•"/>
      <w:lvlJc w:val="left"/>
      <w:pPr>
        <w:ind w:left="4365" w:hanging="240"/>
        <w:tab w:val="num" w:pos="4365"/>
      </w:pPr>
      <w:rPr>
        <w:rFonts w:ascii="Times New Roman" w:hAnsi="Times New Roman" w:cs="Times New Roman" w:eastAsia="Times New Roman"/>
        <w:sz w:val="24"/>
      </w:rPr>
    </w:lvl>
    <w:lvl w:ilvl="5">
      <w:numFmt w:val="bullet"/>
      <w:lvlText w:val="•"/>
      <w:lvlJc w:val="left"/>
      <w:pPr>
        <w:ind w:left="5295" w:hanging="240"/>
        <w:tab w:val="num" w:pos="5295"/>
      </w:pPr>
      <w:rPr>
        <w:rFonts w:ascii="Times New Roman" w:hAnsi="Times New Roman" w:cs="Times New Roman" w:eastAsia="Times New Roman"/>
        <w:sz w:val="24"/>
      </w:rPr>
    </w:lvl>
    <w:lvl w:ilvl="6">
      <w:numFmt w:val="bullet"/>
      <w:lvlText w:val="•"/>
      <w:lvlJc w:val="left"/>
      <w:pPr>
        <w:ind w:left="6225" w:hanging="240"/>
        <w:tab w:val="num" w:pos="6225"/>
      </w:pPr>
      <w:rPr>
        <w:rFonts w:ascii="Times New Roman" w:hAnsi="Times New Roman" w:cs="Times New Roman" w:eastAsia="Times New Roman"/>
        <w:sz w:val="24"/>
      </w:rPr>
    </w:lvl>
    <w:lvl w:ilvl="7">
      <w:numFmt w:val="bullet"/>
      <w:lvlText w:val="•"/>
      <w:lvlJc w:val="left"/>
      <w:pPr>
        <w:ind w:left="7155" w:hanging="240"/>
        <w:tab w:val="num" w:pos="7155"/>
      </w:pPr>
      <w:rPr>
        <w:rFonts w:ascii="Times New Roman" w:hAnsi="Times New Roman" w:cs="Times New Roman" w:eastAsia="Times New Roman"/>
        <w:sz w:val="24"/>
      </w:rPr>
    </w:lvl>
    <w:lvl w:ilvl="8">
      <w:numFmt w:val="bullet"/>
      <w:lvlText w:val="•"/>
      <w:lvlJc w:val="left"/>
      <w:pPr>
        <w:ind w:left="8085" w:hanging="240"/>
        <w:tab w:val="num" w:pos="8085"/>
      </w:pPr>
      <w:rPr>
        <w:rFonts w:ascii="Times New Roman" w:hAnsi="Times New Roman" w:cs="Times New Roman" w:eastAsia="Times New Roman"/>
        <w:sz w:val="24"/>
      </w:rPr>
    </w:lvl>
  </w:abstractNum>
  <w:abstractNum w:abstractNumId="25">
    <w:multiLevelType w:val="hybridMultilevel"/>
    <w:lvl w:ilvl="0">
      <w:numFmt w:val="upperRoman"/>
      <w:lvlText w:val="%1"/>
      <w:lvlJc w:val="left"/>
      <w:start w:val="6"/>
      <w:pPr>
        <w:ind w:left="645" w:hanging="255"/>
        <w:tab w:val="num" w:pos="645"/>
      </w:pPr>
      <w:rPr>
        <w:rFonts w:ascii="Arial MT" w:hAnsi="Arial MT" w:cs="Arial MT" w:eastAsia="Arial MT"/>
      </w:rPr>
    </w:lvl>
    <w:lvl w:ilvl="1">
      <w:numFmt w:val="bullet"/>
      <w:lvlText w:val="•"/>
      <w:lvlJc w:val="left"/>
      <w:pPr>
        <w:ind w:left="1575" w:hanging="240"/>
        <w:tab w:val="num" w:pos="1575"/>
      </w:pPr>
      <w:rPr>
        <w:rFonts w:ascii="Times New Roman" w:hAnsi="Times New Roman" w:cs="Times New Roman" w:eastAsia="Times New Roman"/>
        <w:sz w:val="24"/>
      </w:rPr>
    </w:lvl>
    <w:lvl w:ilvl="2">
      <w:numFmt w:val="bullet"/>
      <w:lvlText w:val="•"/>
      <w:lvlJc w:val="left"/>
      <w:pPr>
        <w:ind w:left="2505" w:hanging="240"/>
        <w:tab w:val="num" w:pos="2505"/>
      </w:pPr>
      <w:rPr>
        <w:rFonts w:ascii="Times New Roman" w:hAnsi="Times New Roman" w:cs="Times New Roman" w:eastAsia="Times New Roman"/>
        <w:sz w:val="24"/>
      </w:rPr>
    </w:lvl>
    <w:lvl w:ilvl="3">
      <w:numFmt w:val="bullet"/>
      <w:lvlText w:val="•"/>
      <w:lvlJc w:val="left"/>
      <w:pPr>
        <w:ind w:left="3435" w:hanging="240"/>
        <w:tab w:val="num" w:pos="3435"/>
      </w:pPr>
      <w:rPr>
        <w:rFonts w:ascii="Times New Roman" w:hAnsi="Times New Roman" w:cs="Times New Roman" w:eastAsia="Times New Roman"/>
        <w:sz w:val="24"/>
      </w:rPr>
    </w:lvl>
    <w:lvl w:ilvl="4">
      <w:numFmt w:val="bullet"/>
      <w:lvlText w:val="•"/>
      <w:lvlJc w:val="left"/>
      <w:pPr>
        <w:ind w:left="4365" w:hanging="240"/>
        <w:tab w:val="num" w:pos="4365"/>
      </w:pPr>
      <w:rPr>
        <w:rFonts w:ascii="Times New Roman" w:hAnsi="Times New Roman" w:cs="Times New Roman" w:eastAsia="Times New Roman"/>
        <w:sz w:val="24"/>
      </w:rPr>
    </w:lvl>
    <w:lvl w:ilvl="5">
      <w:numFmt w:val="bullet"/>
      <w:lvlText w:val="•"/>
      <w:lvlJc w:val="left"/>
      <w:pPr>
        <w:ind w:left="5295" w:hanging="240"/>
        <w:tab w:val="num" w:pos="5295"/>
      </w:pPr>
      <w:rPr>
        <w:rFonts w:ascii="Times New Roman" w:hAnsi="Times New Roman" w:cs="Times New Roman" w:eastAsia="Times New Roman"/>
        <w:sz w:val="24"/>
      </w:rPr>
    </w:lvl>
    <w:lvl w:ilvl="6">
      <w:numFmt w:val="bullet"/>
      <w:lvlText w:val="•"/>
      <w:lvlJc w:val="left"/>
      <w:pPr>
        <w:ind w:left="6225" w:hanging="240"/>
        <w:tab w:val="num" w:pos="6225"/>
      </w:pPr>
      <w:rPr>
        <w:rFonts w:ascii="Times New Roman" w:hAnsi="Times New Roman" w:cs="Times New Roman" w:eastAsia="Times New Roman"/>
        <w:sz w:val="24"/>
      </w:rPr>
    </w:lvl>
    <w:lvl w:ilvl="7">
      <w:numFmt w:val="bullet"/>
      <w:lvlText w:val="•"/>
      <w:lvlJc w:val="left"/>
      <w:pPr>
        <w:ind w:left="7155" w:hanging="240"/>
        <w:tab w:val="num" w:pos="7155"/>
      </w:pPr>
      <w:rPr>
        <w:rFonts w:ascii="Times New Roman" w:hAnsi="Times New Roman" w:cs="Times New Roman" w:eastAsia="Times New Roman"/>
        <w:sz w:val="24"/>
      </w:rPr>
    </w:lvl>
    <w:lvl w:ilvl="8">
      <w:numFmt w:val="bullet"/>
      <w:lvlText w:val="•"/>
      <w:lvlJc w:val="left"/>
      <w:pPr>
        <w:ind w:left="8085" w:hanging="240"/>
        <w:tab w:val="num" w:pos="8085"/>
      </w:pPr>
      <w:rPr>
        <w:rFonts w:ascii="Times New Roman" w:hAnsi="Times New Roman" w:cs="Times New Roman" w:eastAsia="Times New Roman"/>
        <w:sz w:val="24"/>
      </w:rPr>
    </w:lvl>
  </w:abstractNum>
  <w:abstractNum w:abstractNumId="26">
    <w:multiLevelType w:val="hybridMultilevel"/>
    <w:lvl w:ilvl="0">
      <w:numFmt w:val="upperRoman"/>
      <w:lvlText w:val="%1"/>
      <w:lvlJc w:val="left"/>
      <w:start w:val="2"/>
      <w:pPr>
        <w:ind w:left="570" w:hanging="180"/>
        <w:tab w:val="num" w:pos="570"/>
      </w:pPr>
      <w:rPr>
        <w:rFonts w:ascii="Arial MT" w:hAnsi="Arial MT" w:cs="Arial MT" w:eastAsia="Arial MT"/>
      </w:rPr>
    </w:lvl>
    <w:lvl w:ilvl="1">
      <w:numFmt w:val="bullet"/>
      <w:lvlText w:val="•"/>
      <w:lvlJc w:val="left"/>
      <w:pPr>
        <w:ind w:left="1500" w:hanging="165"/>
        <w:tab w:val="num" w:pos="1500"/>
      </w:pPr>
      <w:rPr>
        <w:rFonts w:ascii="Times New Roman" w:hAnsi="Times New Roman" w:cs="Times New Roman" w:eastAsia="Times New Roman"/>
        <w:sz w:val="24"/>
      </w:rPr>
    </w:lvl>
    <w:lvl w:ilvl="2">
      <w:numFmt w:val="bullet"/>
      <w:lvlText w:val="•"/>
      <w:lvlJc w:val="left"/>
      <w:pPr>
        <w:ind w:left="2430" w:hanging="165"/>
        <w:tab w:val="num" w:pos="2430"/>
      </w:pPr>
      <w:rPr>
        <w:rFonts w:ascii="Times New Roman" w:hAnsi="Times New Roman" w:cs="Times New Roman" w:eastAsia="Times New Roman"/>
        <w:sz w:val="24"/>
      </w:rPr>
    </w:lvl>
    <w:lvl w:ilvl="3">
      <w:numFmt w:val="bullet"/>
      <w:lvlText w:val="•"/>
      <w:lvlJc w:val="left"/>
      <w:pPr>
        <w:ind w:left="3375" w:hanging="165"/>
        <w:tab w:val="num" w:pos="3375"/>
      </w:pPr>
      <w:rPr>
        <w:rFonts w:ascii="Times New Roman" w:hAnsi="Times New Roman" w:cs="Times New Roman" w:eastAsia="Times New Roman"/>
        <w:sz w:val="24"/>
      </w:rPr>
    </w:lvl>
    <w:lvl w:ilvl="4">
      <w:numFmt w:val="bullet"/>
      <w:lvlText w:val="•"/>
      <w:lvlJc w:val="left"/>
      <w:pPr>
        <w:ind w:left="4320" w:hanging="165"/>
        <w:tab w:val="num" w:pos="4320"/>
      </w:pPr>
      <w:rPr>
        <w:rFonts w:ascii="Times New Roman" w:hAnsi="Times New Roman" w:cs="Times New Roman" w:eastAsia="Times New Roman"/>
        <w:sz w:val="24"/>
      </w:rPr>
    </w:lvl>
    <w:lvl w:ilvl="5">
      <w:numFmt w:val="bullet"/>
      <w:lvlText w:val="•"/>
      <w:lvlJc w:val="left"/>
      <w:pPr>
        <w:ind w:left="5250" w:hanging="165"/>
        <w:tab w:val="num" w:pos="5250"/>
      </w:pPr>
      <w:rPr>
        <w:rFonts w:ascii="Times New Roman" w:hAnsi="Times New Roman" w:cs="Times New Roman" w:eastAsia="Times New Roman"/>
        <w:sz w:val="24"/>
      </w:rPr>
    </w:lvl>
    <w:lvl w:ilvl="6">
      <w:numFmt w:val="bullet"/>
      <w:lvlText w:val="•"/>
      <w:lvlJc w:val="left"/>
      <w:pPr>
        <w:ind w:left="6195" w:hanging="165"/>
        <w:tab w:val="num" w:pos="6195"/>
      </w:pPr>
      <w:rPr>
        <w:rFonts w:ascii="Times New Roman" w:hAnsi="Times New Roman" w:cs="Times New Roman" w:eastAsia="Times New Roman"/>
        <w:sz w:val="24"/>
      </w:rPr>
    </w:lvl>
    <w:lvl w:ilvl="7">
      <w:numFmt w:val="bullet"/>
      <w:lvlText w:val="•"/>
      <w:lvlJc w:val="left"/>
      <w:pPr>
        <w:ind w:left="7125" w:hanging="165"/>
        <w:tab w:val="num" w:pos="7125"/>
      </w:pPr>
      <w:rPr>
        <w:rFonts w:ascii="Times New Roman" w:hAnsi="Times New Roman" w:cs="Times New Roman" w:eastAsia="Times New Roman"/>
        <w:sz w:val="24"/>
      </w:rPr>
    </w:lvl>
    <w:lvl w:ilvl="8">
      <w:numFmt w:val="bullet"/>
      <w:lvlText w:val="•"/>
      <w:lvlJc w:val="left"/>
      <w:pPr>
        <w:ind w:left="8070" w:hanging="165"/>
        <w:tab w:val="num" w:pos="8070"/>
      </w:pPr>
      <w:rPr>
        <w:rFonts w:ascii="Times New Roman" w:hAnsi="Times New Roman" w:cs="Times New Roman" w:eastAsia="Times New Roman"/>
        <w:sz w:val="24"/>
      </w:rPr>
    </w:lvl>
  </w:abstractNum>
  <w:abstractNum w:abstractNumId="27">
    <w:multiLevelType w:val="hybridMultilevel"/>
    <w:lvl w:ilvl="0">
      <w:numFmt w:val="lowerLetter"/>
      <w:lvlText w:val="%1)"/>
      <w:lvlJc w:val="left"/>
      <w:start w:val="1"/>
      <w:pPr>
        <w:ind w:left="1125" w:hanging="375"/>
        <w:tab w:val="num" w:pos="1125"/>
      </w:pPr>
      <w:rPr>
        <w:rFonts w:ascii="Arial MT" w:hAnsi="Arial MT" w:cs="Arial MT" w:eastAsia="Arial MT"/>
      </w:rPr>
    </w:lvl>
    <w:lvl w:ilvl="1">
      <w:numFmt w:val="bullet"/>
      <w:lvlText w:val="•"/>
      <w:lvlJc w:val="left"/>
      <w:pPr>
        <w:ind w:left="1995" w:hanging="360"/>
        <w:tab w:val="num" w:pos="1995"/>
      </w:pPr>
      <w:rPr>
        <w:rFonts w:ascii="Times New Roman" w:hAnsi="Times New Roman" w:cs="Times New Roman" w:eastAsia="Times New Roman"/>
        <w:sz w:val="24"/>
      </w:rPr>
    </w:lvl>
    <w:lvl w:ilvl="2">
      <w:numFmt w:val="bullet"/>
      <w:lvlText w:val="•"/>
      <w:lvlJc w:val="left"/>
      <w:pPr>
        <w:ind w:left="2880" w:hanging="360"/>
        <w:tab w:val="num" w:pos="2880"/>
      </w:pPr>
      <w:rPr>
        <w:rFonts w:ascii="Times New Roman" w:hAnsi="Times New Roman" w:cs="Times New Roman" w:eastAsia="Times New Roman"/>
        <w:sz w:val="24"/>
      </w:rPr>
    </w:lvl>
    <w:lvl w:ilvl="3">
      <w:numFmt w:val="bullet"/>
      <w:lvlText w:val="•"/>
      <w:lvlJc w:val="left"/>
      <w:pPr>
        <w:ind w:left="3765" w:hanging="360"/>
        <w:tab w:val="num" w:pos="3765"/>
      </w:pPr>
      <w:rPr>
        <w:rFonts w:ascii="Times New Roman" w:hAnsi="Times New Roman" w:cs="Times New Roman" w:eastAsia="Times New Roman"/>
        <w:sz w:val="24"/>
      </w:rPr>
    </w:lvl>
    <w:lvl w:ilvl="4">
      <w:numFmt w:val="bullet"/>
      <w:lvlText w:val="•"/>
      <w:lvlJc w:val="left"/>
      <w:pPr>
        <w:ind w:left="4650" w:hanging="360"/>
        <w:tab w:val="num" w:pos="4650"/>
      </w:pPr>
      <w:rPr>
        <w:rFonts w:ascii="Times New Roman" w:hAnsi="Times New Roman" w:cs="Times New Roman" w:eastAsia="Times New Roman"/>
        <w:sz w:val="24"/>
      </w:rPr>
    </w:lvl>
    <w:lvl w:ilvl="5">
      <w:numFmt w:val="bullet"/>
      <w:lvlText w:val="•"/>
      <w:lvlJc w:val="left"/>
      <w:pPr>
        <w:ind w:left="5535" w:hanging="360"/>
        <w:tab w:val="num" w:pos="5535"/>
      </w:pPr>
      <w:rPr>
        <w:rFonts w:ascii="Times New Roman" w:hAnsi="Times New Roman" w:cs="Times New Roman" w:eastAsia="Times New Roman"/>
        <w:sz w:val="24"/>
      </w:rPr>
    </w:lvl>
    <w:lvl w:ilvl="6">
      <w:numFmt w:val="bullet"/>
      <w:lvlText w:val="•"/>
      <w:lvlJc w:val="left"/>
      <w:pPr>
        <w:ind w:left="6420" w:hanging="360"/>
        <w:tab w:val="num" w:pos="6420"/>
      </w:pPr>
      <w:rPr>
        <w:rFonts w:ascii="Times New Roman" w:hAnsi="Times New Roman" w:cs="Times New Roman" w:eastAsia="Times New Roman"/>
        <w:sz w:val="24"/>
      </w:rPr>
    </w:lvl>
    <w:lvl w:ilvl="7">
      <w:numFmt w:val="bullet"/>
      <w:lvlText w:val="•"/>
      <w:lvlJc w:val="left"/>
      <w:pPr>
        <w:ind w:left="7290" w:hanging="360"/>
        <w:tab w:val="num" w:pos="7290"/>
      </w:pPr>
      <w:rPr>
        <w:rFonts w:ascii="Times New Roman" w:hAnsi="Times New Roman" w:cs="Times New Roman" w:eastAsia="Times New Roman"/>
        <w:sz w:val="24"/>
      </w:rPr>
    </w:lvl>
    <w:lvl w:ilvl="8">
      <w:numFmt w:val="bullet"/>
      <w:lvlText w:val="•"/>
      <w:lvlJc w:val="left"/>
      <w:pPr>
        <w:ind w:left="8175" w:hanging="360"/>
        <w:tab w:val="num" w:pos="8175"/>
      </w:pPr>
      <w:rPr>
        <w:rFonts w:ascii="Times New Roman" w:hAnsi="Times New Roman" w:cs="Times New Roman" w:eastAsia="Times New Roman"/>
        <w:sz w:val="24"/>
      </w:rPr>
    </w:lvl>
  </w:abstractNum>
  <w:abstractNum w:abstractNumId="28">
    <w:multiLevelType w:val="hybridMultilevel"/>
    <w:lvl w:ilvl="0">
      <w:numFmt w:val="upperRoman"/>
      <w:lvlText w:val="%1"/>
      <w:lvlJc w:val="left"/>
      <w:start w:val="1"/>
      <w:pPr>
        <w:ind w:left="405" w:firstLine="0"/>
        <w:tab w:val="num" w:pos="525"/>
      </w:pPr>
      <w:rPr>
        <w:rFonts w:ascii="Arial MT" w:hAnsi="Arial MT" w:cs="Arial MT" w:eastAsia="Arial MT"/>
      </w:rPr>
    </w:lvl>
    <w:lvl w:ilvl="1">
      <w:numFmt w:val="bullet"/>
      <w:lvlText w:val="•"/>
      <w:lvlJc w:val="left"/>
      <w:pPr>
        <w:ind w:left="1350" w:hanging="120"/>
        <w:tab w:val="num" w:pos="1350"/>
      </w:pPr>
      <w:rPr>
        <w:rFonts w:ascii="Times New Roman" w:hAnsi="Times New Roman" w:cs="Times New Roman" w:eastAsia="Times New Roman"/>
        <w:sz w:val="24"/>
      </w:rPr>
    </w:lvl>
    <w:lvl w:ilvl="2">
      <w:numFmt w:val="bullet"/>
      <w:lvlText w:val="•"/>
      <w:lvlJc w:val="left"/>
      <w:pPr>
        <w:ind w:left="2310" w:hanging="120"/>
        <w:tab w:val="num" w:pos="231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15" w:hanging="120"/>
        <w:tab w:val="num" w:pos="4215"/>
      </w:pPr>
      <w:rPr>
        <w:rFonts w:ascii="Times New Roman" w:hAnsi="Times New Roman" w:cs="Times New Roman" w:eastAsia="Times New Roman"/>
        <w:sz w:val="24"/>
      </w:rPr>
    </w:lvl>
    <w:lvl w:ilvl="5">
      <w:numFmt w:val="bullet"/>
      <w:lvlText w:val="•"/>
      <w:lvlJc w:val="left"/>
      <w:pPr>
        <w:ind w:left="5175" w:hanging="120"/>
        <w:tab w:val="num" w:pos="5175"/>
      </w:pPr>
      <w:rPr>
        <w:rFonts w:ascii="Times New Roman" w:hAnsi="Times New Roman" w:cs="Times New Roman" w:eastAsia="Times New Roman"/>
        <w:sz w:val="24"/>
      </w:rPr>
    </w:lvl>
    <w:lvl w:ilvl="6">
      <w:numFmt w:val="bullet"/>
      <w:lvlText w:val="•"/>
      <w:lvlJc w:val="left"/>
      <w:pPr>
        <w:ind w:left="6120" w:hanging="120"/>
        <w:tab w:val="num" w:pos="6120"/>
      </w:pPr>
      <w:rPr>
        <w:rFonts w:ascii="Times New Roman" w:hAnsi="Times New Roman" w:cs="Times New Roman" w:eastAsia="Times New Roman"/>
        <w:sz w:val="24"/>
      </w:rPr>
    </w:lvl>
    <w:lvl w:ilvl="7">
      <w:numFmt w:val="bullet"/>
      <w:lvlText w:val="•"/>
      <w:lvlJc w:val="left"/>
      <w:pPr>
        <w:ind w:left="7080" w:hanging="120"/>
        <w:tab w:val="num" w:pos="7080"/>
      </w:pPr>
      <w:rPr>
        <w:rFonts w:ascii="Times New Roman" w:hAnsi="Times New Roman" w:cs="Times New Roman" w:eastAsia="Times New Roman"/>
        <w:sz w:val="24"/>
      </w:rPr>
    </w:lvl>
    <w:lvl w:ilvl="8">
      <w:numFmt w:val="bullet"/>
      <w:lvlText w:val="•"/>
      <w:lvlJc w:val="left"/>
      <w:pPr>
        <w:ind w:left="8040" w:hanging="120"/>
        <w:tab w:val="num" w:pos="8040"/>
      </w:pPr>
      <w:rPr>
        <w:rFonts w:ascii="Times New Roman" w:hAnsi="Times New Roman" w:cs="Times New Roman" w:eastAsia="Times New Roman"/>
        <w:sz w:val="24"/>
      </w:rPr>
    </w:lvl>
  </w:abstractNum>
  <w:abstractNum w:abstractNumId="29">
    <w:multiLevelType w:val="hybridMultilevel"/>
    <w:lvl w:ilvl="0">
      <w:numFmt w:val="decimal"/>
      <w:lvlText w:val="%1."/>
      <w:lvlJc w:val="left"/>
      <w:start w:val="1"/>
      <w:pPr>
        <w:ind w:left="585" w:hanging="360"/>
        <w:tab w:val="num" w:pos="585"/>
      </w:pPr>
      <w:rPr>
        <w:rFonts w:ascii="Times New Roman" w:hAnsi="Times New Roman" w:cs="Times New Roman" w:eastAsia="Times New Roman"/>
        <w:b/>
        <w:sz w:val="22"/>
      </w:rPr>
    </w:lvl>
    <w:lvl w:ilvl="1">
      <w:numFmt w:val="decimal"/>
      <w:lvlText w:val="%1.%2."/>
      <w:lvlJc w:val="left"/>
      <w:start w:val="1"/>
      <w:pPr>
        <w:ind w:left="1020" w:hanging="435"/>
        <w:tab w:val="num" w:pos="1020"/>
      </w:pPr>
      <w:rPr>
        <w:rFonts w:ascii="Times New Roman" w:hAnsi="Times New Roman" w:cs="Times New Roman" w:eastAsia="Times New Roman"/>
        <w:b/>
        <w:sz w:val="22"/>
      </w:rPr>
    </w:lvl>
    <w:lvl w:ilvl="2">
      <w:numFmt w:val="lowerLetter"/>
      <w:lvlText w:val="%3)"/>
      <w:lvlJc w:val="left"/>
      <w:start w:val="1"/>
      <w:pPr>
        <w:ind w:left="1350" w:hanging="285"/>
        <w:tab w:val="num" w:pos="1350"/>
      </w:pPr>
      <w:rPr>
        <w:rFonts w:ascii="Times New Roman" w:hAnsi="Times New Roman" w:cs="Times New Roman" w:eastAsia="Times New Roman"/>
        <w:b/>
        <w:sz w:val="22"/>
      </w:rPr>
    </w:lvl>
    <w:lvl w:ilvl="3">
      <w:numFmt w:val="lowerRoman"/>
      <w:lvlText w:val="%4."/>
      <w:lvlJc w:val="left"/>
      <w:start w:val="1"/>
      <w:pPr>
        <w:ind w:left="1920" w:hanging="405"/>
        <w:tab w:val="num" w:pos="1920"/>
      </w:pPr>
      <w:rPr>
        <w:rFonts w:ascii="Times New Roman" w:hAnsi="Times New Roman" w:cs="Times New Roman" w:eastAsia="Times New Roman"/>
        <w:b/>
        <w:sz w:val="22"/>
      </w:rPr>
    </w:lvl>
    <w:lvl w:ilvl="4">
      <w:numFmt w:val="bullet"/>
      <w:lvlText w:val="•"/>
      <w:lvlJc w:val="left"/>
      <w:pPr>
        <w:ind w:left="1440" w:hanging="405"/>
        <w:tab w:val="num" w:pos="1440"/>
      </w:pPr>
      <w:rPr>
        <w:rFonts w:ascii="Times New Roman" w:hAnsi="Times New Roman" w:cs="Times New Roman" w:eastAsia="Times New Roman"/>
        <w:sz w:val="24"/>
      </w:rPr>
    </w:lvl>
    <w:lvl w:ilvl="5">
      <w:numFmt w:val="bullet"/>
      <w:lvlText w:val="•"/>
      <w:lvlJc w:val="left"/>
      <w:pPr>
        <w:ind w:left="1500" w:hanging="405"/>
        <w:tab w:val="num" w:pos="1500"/>
      </w:pPr>
      <w:rPr>
        <w:rFonts w:ascii="Times New Roman" w:hAnsi="Times New Roman" w:cs="Times New Roman" w:eastAsia="Times New Roman"/>
        <w:sz w:val="24"/>
      </w:rPr>
    </w:lvl>
    <w:lvl w:ilvl="6">
      <w:numFmt w:val="bullet"/>
      <w:lvlText w:val="•"/>
      <w:lvlJc w:val="left"/>
      <w:pPr>
        <w:ind w:left="1740" w:hanging="405"/>
        <w:tab w:val="num" w:pos="1740"/>
      </w:pPr>
      <w:rPr>
        <w:rFonts w:ascii="Times New Roman" w:hAnsi="Times New Roman" w:cs="Times New Roman" w:eastAsia="Times New Roman"/>
        <w:sz w:val="24"/>
      </w:rPr>
    </w:lvl>
    <w:lvl w:ilvl="7">
      <w:numFmt w:val="bullet"/>
      <w:lvlText w:val="•"/>
      <w:lvlJc w:val="left"/>
      <w:pPr>
        <w:ind w:left="1785" w:hanging="405"/>
        <w:tab w:val="num" w:pos="1785"/>
      </w:pPr>
      <w:rPr>
        <w:rFonts w:ascii="Times New Roman" w:hAnsi="Times New Roman" w:cs="Times New Roman" w:eastAsia="Times New Roman"/>
        <w:sz w:val="24"/>
      </w:rPr>
    </w:lvl>
    <w:lvl w:ilvl="8">
      <w:numFmt w:val="bullet"/>
      <w:lvlText w:val="•"/>
      <w:lvlJc w:val="left"/>
      <w:pPr>
        <w:ind w:left="1920" w:hanging="405"/>
        <w:tab w:val="num" w:pos="1920"/>
      </w:pPr>
      <w:rPr>
        <w:rFonts w:ascii="Times New Roman" w:hAnsi="Times New Roman" w:cs="Times New Roman" w:eastAsia="Times New Roman"/>
        <w:sz w:val="24"/>
      </w:rPr>
    </w:lvl>
  </w:abstractNum>
  <w:abstractNum w:abstractNumId="30">
    <w:multiLevelType w:val="singleLevel"/>
    <w:lvl w:ilvl="0">
      <w:numFmt w:val="lowerLetter"/>
      <w:lvlText w:val="%1)"/>
      <w:lvlJc w:val="left"/>
      <w:start w:val="1"/>
      <w:pPr>
        <w:ind w:left="1425" w:hanging="15"/>
        <w:tab w:val="num" w:pos="1425"/>
      </w:pPr>
      <w:rPr>
        <w:rFonts w:ascii="Calibri" w:hAnsi="Calibri" w:cs="Calibri" w:eastAsia="Calibri"/>
        <w:b/>
      </w:rPr>
    </w:lvl>
  </w:abstractNum>
  <w:abstractNum w:abstractNumId="31">
    <w:multiLevelType w:val="singleLevel"/>
    <w:lvl w:ilvl="0">
      <w:numFmt w:val="lowerLetter"/>
      <w:lvlText w:val="%1)"/>
      <w:lvlJc w:val="left"/>
      <w:start w:val="1"/>
      <w:pPr>
        <w:ind w:left="990" w:firstLine="705"/>
        <w:tab w:val="num" w:pos="990"/>
      </w:pPr>
      <w:rPr>
        <w:rFonts w:ascii="Calibri" w:hAnsi="Calibri" w:cs="Calibri" w:eastAsia="Calibri"/>
      </w:rPr>
    </w:lvl>
  </w:abstractNum>
  <w:abstractNum w:abstractNumId="32">
    <w:multiLevelType w:val="multilevel"/>
    <w:lvl w:ilvl="0">
      <w:numFmt w:val="decimal"/>
      <w:lvlText w:val=""/>
      <w:lvlJc w:val="left"/>
      <w:start w:val="1"/>
      <w:pPr>
        <w:ind w:left="720" w:hanging="360"/>
        <w:tab w:val="num" w:pos="720"/>
      </w:pPr>
      <w:rPr>
        <w:rFonts w:ascii="Times New Roman" w:hAnsi="Times New Roman" w:cs="Times New Roman" w:eastAsia="Times New Roman"/>
        <w:sz w:val="24"/>
      </w:rPr>
    </w:lvl>
    <w:lvl w:ilvl="1">
      <w:numFmt w:val="lowerLetter"/>
      <w:lvlText w:val="%2."/>
      <w:lvlJc w:val="left"/>
      <w:start w:val="1"/>
      <w:pPr>
        <w:ind w:left="1440" w:hanging="360"/>
        <w:tab w:val="num" w:pos="1440"/>
      </w:pPr>
      <w:rPr>
        <w:rFonts w:ascii="Times New Roman" w:hAnsi="Times New Roman" w:cs="Times New Roman" w:eastAsia="Times New Roman"/>
        <w:sz w:val="18"/>
        <w:color w:val="000000"/>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1800" w:hanging="360"/>
        <w:tab w:val="num" w:pos="1800"/>
      </w:pPr>
      <w:rPr>
        <w:rFonts w:ascii="Times New Roman" w:hAnsi="Times New Roman" w:cs="Times New Roman" w:eastAsia="Times New Roman"/>
        <w:b/>
        <w:sz w:val="18"/>
        <w:color w:val="000000"/>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33">
    <w:multiLevelType w:val="singleLevel"/>
    <w:lvl w:ilvl="0">
      <w:numFmt w:val="lowerLetter"/>
      <w:lvlText w:val="%1)"/>
      <w:lvlJc w:val="left"/>
      <w:start w:val="1"/>
      <w:pPr>
        <w:ind w:left="855" w:firstLine="0"/>
        <w:tab w:val="num" w:pos="855"/>
      </w:pPr>
      <w:rPr>
        <w:rFonts w:ascii="Calibri" w:hAnsi="Calibri" w:cs="Calibri" w:eastAsia="Calibri"/>
      </w:rPr>
    </w:lvl>
  </w:abstractNum>
  <w:abstractNum w:abstractNumId="34">
    <w:multiLevelType w:val="singleLevel"/>
    <w:lvl w:ilvl="0">
      <w:numFmt w:val="lowerLetter"/>
      <w:lvlText w:val="%1)"/>
      <w:lvlJc w:val="left"/>
      <w:start w:val="1"/>
      <w:pPr>
        <w:ind w:left="570" w:hanging="240"/>
        <w:tab w:val="num" w:pos="570"/>
      </w:pPr>
      <w:rPr>
        <w:rFonts w:ascii="Calibri" w:hAnsi="Calibri" w:cs="Calibri" w:eastAsia="Calibri"/>
      </w:rPr>
    </w:lvl>
  </w:abstractNum>
  <w:abstractNum w:abstractNumId="35">
    <w:multiLevelType w:val="multilevel"/>
    <w:lvl w:ilvl="0">
      <w:numFmt w:val="decimal"/>
      <w:lvlText w:val="%1 "/>
      <w:lvlJc w:val="left"/>
      <w:start w:val="2"/>
      <w:pPr>
        <w:ind w:left="195" w:hanging="150"/>
        <w:tab w:val="num" w:pos="195"/>
      </w:pPr>
      <w:rPr>
        <w:rFonts w:ascii="Times New Roman" w:hAnsi="Times New Roman" w:cs="Times New Roman" w:eastAsia="Times New Roman"/>
        <w:b/>
      </w:rPr>
    </w:lvl>
    <w:lvl w:ilvl="1">
      <w:numFmt w:val="decimal"/>
      <w:lvlText w:val="%2 "/>
      <w:lvlJc w:val="left"/>
      <w:start w:val="1"/>
      <w:pPr>
        <w:ind w:left="0" w:firstLine="0"/>
        <w:tab w:val="num" w:pos="0"/>
      </w:pPr>
      <w:rPr>
        <w:rFonts w:ascii="Times New Roman" w:hAnsi="Times New Roman" w:cs="Times New Roman" w:eastAsia="Times New Roman"/>
        <w:sz w:val="24"/>
      </w:rPr>
    </w:lvl>
    <w:lvl w:ilvl="2">
      <w:numFmt w:val="decimal"/>
      <w:lvlText w:val=""/>
      <w:lvlJc w:val="left"/>
      <w:start w:val="0"/>
      <w:pPr>
        <w:ind w:left="0" w:firstLine="0"/>
        <w:tab w:val="num" w:pos="0"/>
      </w:pPr>
      <w:rPr>
        <w:rFonts w:ascii="Times New Roman" w:hAnsi="Times New Roman" w:cs="Times New Roman" w:eastAsia="Times New Roman"/>
        <w:sz w:val="24"/>
      </w:rPr>
    </w:lvl>
    <w:lvl w:ilvl="3">
      <w:numFmt w:val="decimal"/>
      <w:lvlText w:val=""/>
      <w:lvlJc w:val="left"/>
      <w:start w:val="0"/>
      <w:pPr>
        <w:ind w:left="0" w:firstLine="0"/>
        <w:tab w:val="num" w:pos="0"/>
      </w:pPr>
      <w:rPr>
        <w:rFonts w:ascii="Times New Roman" w:hAnsi="Times New Roman" w:cs="Times New Roman" w:eastAsia="Times New Roman"/>
        <w:sz w:val="24"/>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abstractNum w:abstractNumId="36">
    <w:multiLevelType w:val="singleLevel"/>
    <w:lvl w:ilvl="0">
      <w:numFmt w:val="bullet"/>
      <w:lvlText w:val=""/>
      <w:lvlJc w:val="left"/>
      <w:pPr>
        <w:ind w:left="570" w:hanging="150"/>
        <w:tab w:val="num" w:pos="570"/>
      </w:pPr>
      <w:rPr>
        <w:rFonts w:ascii="Symbol" w:hAnsi="Symbol" w:cs="Symbol" w:eastAsia="Symbol"/>
      </w:rPr>
    </w:lvl>
  </w:abstractNum>
  <w:abstractNum w:abstractNumId="37">
    <w:multiLevelType w:val="multilevel"/>
    <w:lvl w:ilvl="0">
      <w:numFmt w:val="upperRoman"/>
      <w:lvlText w:val="%1"/>
      <w:lvlJc w:val="left"/>
      <w:start w:val="2"/>
      <w:pPr>
        <w:ind w:left="0" w:firstLine="0"/>
        <w:tab w:val="num" w:pos="0"/>
      </w:pPr>
      <w:rPr>
        <w:rFonts w:ascii="Calibri" w:hAnsi="Calibri" w:cs="Calibri" w:eastAsia="Calibri"/>
        <w:b/>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38">
    <w:multiLevelType w:val="hybridMultilevel"/>
    <w:lvl w:ilvl="0">
      <w:numFmt w:val="bullet"/>
      <w:lvlText w:val="·"/>
      <w:lvlJc w:val="left"/>
      <w:pPr>
        <w:ind w:left="0" w:firstLine="0"/>
        <w:tab w:val="num" w:pos="0"/>
      </w:pPr>
      <w:rPr>
        <w:rFonts w:ascii="Symbol" w:hAnsi="Symbol" w:cs="Symbol" w:eastAsia="Symbol"/>
        <w:sz w:val="24"/>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39">
    <w:multiLevelType w:val="singleLevel"/>
    <w:lvl w:ilvl="0">
      <w:numFmt w:val="upperRoman"/>
      <w:lvlText w:val="%1"/>
      <w:lvlJc w:val="left"/>
      <w:start w:val="1"/>
      <w:pPr>
        <w:ind w:left="60" w:hanging="15"/>
        <w:tab w:val="num" w:pos="60"/>
      </w:pPr>
      <w:rPr>
        <w:rFonts w:ascii="Calibri" w:hAnsi="Calibri" w:cs="Calibri" w:eastAsia="Calibri"/>
      </w:rPr>
    </w:lvl>
  </w:abstractNum>
  <w:abstractNum w:abstractNumId="40">
    <w:multiLevelType w:val="singleLevel"/>
    <w:lvl w:ilvl="0">
      <w:numFmt w:val="upperRoman"/>
      <w:lvlText w:val="%1"/>
      <w:lvlJc w:val="left"/>
      <w:start w:val="3"/>
      <w:pPr>
        <w:ind w:left="60" w:hanging="15"/>
        <w:tab w:val="num" w:pos="60"/>
      </w:pPr>
      <w:rPr>
        <w:rFonts w:ascii="Calibri" w:hAnsi="Calibri" w:cs="Calibri" w:eastAsia="Calibri"/>
        <w:b/>
      </w:rPr>
    </w:lvl>
  </w:abstractNum>
  <w:abstractNum w:abstractNumId="41">
    <w:multiLevelType w:val="singleLevel"/>
    <w:lvl w:ilvl="0">
      <w:numFmt w:val="upperRoman"/>
      <w:lvlText w:val="%1"/>
      <w:lvlJc w:val="left"/>
      <w:start w:val="5"/>
      <w:pPr>
        <w:ind w:left="60" w:hanging="15"/>
        <w:tab w:val="num" w:pos="60"/>
      </w:pPr>
      <w:rPr>
        <w:rFonts w:ascii="Calibri" w:hAnsi="Calibri" w:cs="Calibri" w:eastAsia="Calibri"/>
        <w:b/>
      </w:rPr>
    </w:lvl>
  </w:abstractNum>
  <w:abstractNum w:abstractNumId="42">
    <w:multiLevelType w:val="singleLevel"/>
    <w:lvl w:ilvl="0">
      <w:numFmt w:val="upperRoman"/>
      <w:lvlText w:val="%1"/>
      <w:lvlJc w:val="left"/>
      <w:start w:val="1"/>
      <w:pPr>
        <w:ind w:left="150" w:hanging="105"/>
        <w:tab w:val="num" w:pos="150"/>
      </w:pPr>
      <w:rPr>
        <w:rFonts w:ascii="Calibri" w:hAnsi="Calibri" w:cs="Calibri" w:eastAsia="Calibri"/>
        <w:b/>
      </w:rPr>
    </w:lvl>
  </w:abstractNum>
  <w:abstractNum w:abstractNumId="43">
    <w:multiLevelType w:val="singleLevel"/>
    <w:lvl w:ilvl="0">
      <w:numFmt w:val="lowerLetter"/>
      <w:lvlText w:val="%1)"/>
      <w:lvlJc w:val="left"/>
      <w:start w:val="1"/>
      <w:pPr>
        <w:ind w:left="705" w:firstLine="0"/>
        <w:tab w:val="num" w:pos="705"/>
      </w:pPr>
      <w:rPr>
        <w:rFonts w:ascii="Calibri" w:hAnsi="Calibri" w:cs="Calibri" w:eastAsia="Calibri"/>
      </w:rPr>
    </w:lvl>
  </w:abstractNum>
  <w:abstractNum w:abstractNumId="44">
    <w:multiLevelType w:val="singleLevel"/>
    <w:lvl w:ilvl="0">
      <w:numFmt w:val="lowerLetter"/>
      <w:lvlText w:val="%1)"/>
      <w:lvlJc w:val="left"/>
      <w:start w:val="1"/>
      <w:pPr>
        <w:ind w:left="705" w:firstLine="0"/>
        <w:tab w:val="num" w:pos="705"/>
      </w:pPr>
      <w:rPr>
        <w:rFonts w:ascii="Calibri" w:hAnsi="Calibri" w:cs="Calibri" w:eastAsia="Calibri"/>
      </w:rPr>
    </w:lvl>
  </w:abstractNum>
  <w:abstractNum w:abstractNumId="45">
    <w:multiLevelType w:val="singleLevel"/>
    <w:lvl w:ilvl="0">
      <w:numFmt w:val="lowerLetter"/>
      <w:lvlText w:val="%1)"/>
      <w:lvlJc w:val="left"/>
      <w:start w:val="1"/>
      <w:pPr>
        <w:ind w:left="705" w:firstLine="0"/>
        <w:tab w:val="num" w:pos="705"/>
      </w:pPr>
      <w:rPr>
        <w:rFonts w:ascii="Calibri" w:hAnsi="Calibri" w:cs="Calibri" w:eastAsia="Calibri"/>
      </w:rPr>
    </w:lvl>
  </w:abstractNum>
  <w:abstractNum w:abstractNumId="46">
    <w:multiLevelType w:val="singleLevel"/>
    <w:lvl w:ilvl="0">
      <w:numFmt w:val="lowerLetter"/>
      <w:lvlText w:val="%1)"/>
      <w:lvlJc w:val="left"/>
      <w:start w:val="1"/>
      <w:pPr>
        <w:ind w:left="285" w:hanging="15"/>
        <w:tab w:val="num" w:pos="285"/>
      </w:pPr>
      <w:rPr>
        <w:rFonts w:ascii="Calibri" w:hAnsi="Calibri" w:cs="Calibri" w:eastAsia="Calibri"/>
        <w:b/>
      </w:rPr>
    </w:lvl>
  </w:abstractNum>
  <w:abstractNum w:abstractNumId="47">
    <w:multiLevelType w:val="singleLevel"/>
    <w:lvl w:ilvl="0">
      <w:numFmt w:val="upperRoman"/>
      <w:lvlText w:val="%1."/>
      <w:lvlJc w:val="left"/>
      <w:start w:val="1"/>
      <w:pPr>
        <w:ind w:left="855" w:firstLine="0"/>
        <w:tab w:val="num" w:pos="855"/>
      </w:pPr>
      <w:rPr>
        <w:rFonts w:ascii="Calibri" w:hAnsi="Calibri" w:cs="Calibri" w:eastAsia="Calibri"/>
      </w:rPr>
    </w:lvl>
  </w:abstractNum>
  <w:abstractNum w:abstractNumId="48">
    <w:multiLevelType w:val="multilevel"/>
    <w:lvl w:ilvl="0">
      <w:numFmt w:val="decimal"/>
      <w:lvlText w:val=""/>
      <w:lvlJc w:val="left"/>
      <w:start w:val="1"/>
      <w:pPr>
        <w:ind w:left="360" w:hanging="360"/>
        <w:tab w:val="num" w:pos="360"/>
      </w:pPr>
      <w:rPr>
        <w:rFonts w:ascii="Times New Roman" w:hAnsi="Times New Roman" w:cs="Times New Roman" w:eastAsia="Times New Roman"/>
        <w:b/>
        <w:sz w:val="24"/>
      </w:rPr>
    </w:lvl>
    <w:lvl w:ilvl="1">
      <w:numFmt w:val="decimal"/>
      <w:lvlText w:val=""/>
      <w:lvlJc w:val="left"/>
      <w:start w:val="1"/>
      <w:pPr>
        <w:ind w:left="0" w:firstLine="0"/>
        <w:tab w:val="num" w:pos="0"/>
      </w:pPr>
      <w:rPr>
        <w:rFonts w:ascii="Times New Roman" w:hAnsi="Times New Roman" w:cs="Times New Roman" w:eastAsia="Times New Roman"/>
        <w:b/>
        <w:sz w:val="24"/>
      </w:rPr>
    </w:lvl>
    <w:lvl w:ilvl="2">
      <w:numFmt w:val="decimal"/>
      <w:lvlText w:val=""/>
      <w:lvlJc w:val="left"/>
      <w:start w:val="0"/>
      <w:pPr>
        <w:ind w:left="0" w:firstLine="0"/>
        <w:tab w:val="num" w:pos="0"/>
      </w:pPr>
      <w:rPr>
        <w:rFonts w:ascii="Times New Roman" w:hAnsi="Times New Roman" w:cs="Times New Roman" w:eastAsia="Times New Roman"/>
        <w:sz w:val="24"/>
      </w:rPr>
    </w:lvl>
    <w:lvl w:ilvl="3">
      <w:numFmt w:val="decimal"/>
      <w:lvlText w:val=""/>
      <w:lvlJc w:val="left"/>
      <w:start w:val="0"/>
      <w:pPr>
        <w:ind w:left="0" w:firstLine="0"/>
        <w:tab w:val="num" w:pos="0"/>
      </w:pPr>
      <w:rPr>
        <w:rFonts w:ascii="Times New Roman" w:hAnsi="Times New Roman" w:cs="Times New Roman" w:eastAsia="Times New Roman"/>
        <w:sz w:val="24"/>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abstractNum w:abstractNumId="49">
    <w:multiLevelType w:val="hybridMultilevel"/>
    <w:lvl w:ilvl="0">
      <w:numFmt w:val="bullet"/>
      <w:lvlText w:val="Ø"/>
      <w:lvlJc w:val="left"/>
      <w:pPr>
        <w:ind w:left="360" w:hanging="360"/>
        <w:tab w:val="num" w:pos="360"/>
      </w:pPr>
      <w:rPr>
        <w:rFonts w:ascii="Wingdings" w:hAnsi="Wingdings" w:cs="Wingdings" w:eastAsia="Wingdings"/>
        <w:sz w:val="24"/>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50">
    <w:multiLevelType w:val="multilevel"/>
    <w:lvl w:ilvl="0">
      <w:numFmt w:val="lowerLetter"/>
      <w:lvlText w:val="%1)"/>
      <w:lvlJc w:val="left"/>
      <w:start w:val="1"/>
      <w:pPr>
        <w:ind w:left="705" w:firstLine="0"/>
        <w:tab w:val="num" w:pos="705"/>
      </w:pPr>
      <w:rPr>
        <w:rFonts w:ascii="Times New Roman" w:hAnsi="Times New Roman" w:cs="Times New Roman" w:eastAsia="Times New Roman"/>
      </w:rPr>
    </w:lvl>
    <w:lvl w:ilvl="1">
      <w:numFmt w:val="decimal"/>
      <w:lvlText w:val="%2."/>
      <w:lvlJc w:val="left"/>
      <w:start w:val="1"/>
      <w:pPr>
        <w:ind w:left="0" w:firstLine="0"/>
        <w:tab w:val="num" w:pos="0"/>
      </w:pPr>
      <w:rPr>
        <w:rFonts w:ascii="Times New Roman" w:hAnsi="Times New Roman" w:cs="Times New Roman" w:eastAsia="Times New Roman"/>
        <w:sz w:val="24"/>
      </w:rPr>
    </w:lvl>
    <w:lvl w:ilvl="2">
      <w:numFmt w:val="lowerLetter"/>
      <w:lvlText w:val="%3."/>
      <w:lvlJc w:val="left"/>
      <w:start w:val="1"/>
      <w:pPr>
        <w:ind w:left="0" w:firstLine="0"/>
        <w:tab w:val="num" w:pos="0"/>
      </w:pPr>
      <w:rPr>
        <w:rFonts w:ascii="Times New Roman" w:hAnsi="Times New Roman" w:cs="Times New Roman" w:eastAsia="Times New Roman"/>
        <w:sz w:val="24"/>
      </w:rPr>
    </w:lvl>
    <w:lvl w:ilvl="3">
      <w:numFmt w:val="lowerRoman"/>
      <w:lvlText w:val="(%4)"/>
      <w:lvlJc w:val="left"/>
      <w:start w:val="1"/>
      <w:pPr>
        <w:ind w:left="1275" w:hanging="285"/>
        <w:tab w:val="num" w:pos="1275"/>
      </w:pPr>
      <w:rPr>
        <w:rFonts w:ascii="Times New Roman" w:hAnsi="Times New Roman" w:cs="Times New Roman" w:eastAsia="Times New Roman"/>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abstractNum w:abstractNumId="51">
    <w:multiLevelType w:val="singleLevel"/>
    <w:lvl w:ilvl="0">
      <w:numFmt w:val="lowerLetter"/>
      <w:lvlText w:val="%1)"/>
      <w:lvlJc w:val="left"/>
      <w:start w:val="1"/>
      <w:pPr>
        <w:ind w:left="285" w:hanging="15"/>
        <w:tab w:val="num" w:pos="285"/>
      </w:pPr>
      <w:rPr>
        <w:rFonts w:ascii="Calibri" w:hAnsi="Calibri" w:cs="Calibri" w:eastAsia="Calibri"/>
        <w:b/>
      </w:rPr>
    </w:lvl>
  </w:abstractNum>
  <w:abstractNum w:abstractNumId="52">
    <w:multiLevelType w:val="singleLevel"/>
    <w:lvl w:ilvl="0">
      <w:numFmt w:val="lowerLetter"/>
      <w:lvlText w:val="%1)"/>
      <w:lvlJc w:val="left"/>
      <w:start w:val="1"/>
      <w:pPr>
        <w:ind w:left="1140" w:hanging="240"/>
        <w:tab w:val="num" w:pos="1140"/>
      </w:pPr>
      <w:rPr>
        <w:rFonts w:ascii="Calibri" w:hAnsi="Calibri" w:cs="Calibri" w:eastAsia="Calibri"/>
      </w:rPr>
    </w:lvl>
  </w:abstractNum>
  <w:abstractNum w:abstractNumId="53">
    <w:multiLevelType w:val="singleLevel"/>
    <w:lvl w:ilvl="0">
      <w:numFmt w:val="upperRoman"/>
      <w:lvlText w:val="%1"/>
      <w:lvlJc w:val="left"/>
      <w:start w:val="1"/>
      <w:pPr>
        <w:ind w:left="705" w:firstLine="0"/>
        <w:tab w:val="num" w:pos="705"/>
      </w:pPr>
      <w:rPr>
        <w:rFonts w:ascii="Calibri" w:hAnsi="Calibri" w:cs="Calibri" w:eastAsia="Calibri"/>
      </w:rPr>
    </w:lvl>
  </w:abstractNum>
  <w:abstractNum w:abstractNumId="54">
    <w:multiLevelType w:val="singleLevel"/>
    <w:lvl w:ilvl="0">
      <w:numFmt w:val="upperRoman"/>
      <w:lvlText w:val="%1"/>
      <w:lvlJc w:val="left"/>
      <w:start w:val="1"/>
      <w:pPr>
        <w:ind w:left="195" w:hanging="150"/>
        <w:tab w:val="num" w:pos="195"/>
      </w:pPr>
      <w:rPr>
        <w:rFonts w:ascii="Calibri" w:hAnsi="Calibri" w:cs="Calibri" w:eastAsia="Calibri"/>
      </w:rPr>
    </w:lvl>
  </w:abstractNum>
  <w:abstractNum w:abstractNumId="55">
    <w:multiLevelType w:val="multilevel"/>
    <w:lvl w:ilvl="0">
      <w:numFmt w:val="decimal"/>
      <w:lvlText w:val="%1."/>
      <w:lvlJc w:val="left"/>
      <w:start w:val="1"/>
      <w:pPr>
        <w:ind w:left="0" w:firstLine="0"/>
        <w:tab w:val="num" w:pos="0"/>
      </w:pPr>
      <w:rPr>
        <w:rFonts w:ascii="Times New Roman" w:hAnsi="Times New Roman" w:cs="Times New Roman" w:eastAsia="Times New Roman"/>
        <w:sz w:val="24"/>
      </w:rPr>
    </w:lvl>
    <w:lvl w:ilvl="1">
      <w:numFmt w:val="lowerLetter"/>
      <w:lvlText w:val="%2."/>
      <w:lvlJc w:val="left"/>
      <w:start w:val="1"/>
      <w:pPr>
        <w:ind w:left="0" w:firstLine="0"/>
        <w:tab w:val="num" w:pos="0"/>
      </w:pPr>
      <w:rPr>
        <w:rFonts w:ascii="Times New Roman" w:hAnsi="Times New Roman" w:cs="Times New Roman" w:eastAsia="Times New Roman"/>
        <w:sz w:val="24"/>
      </w:rPr>
    </w:lvl>
    <w:lvl w:ilvl="2">
      <w:numFmt w:val="upperLetter"/>
      <w:lvlText w:val="%3."/>
      <w:lvlJc w:val="left"/>
      <w:start w:val="1"/>
      <w:pPr>
        <w:ind w:left="0" w:firstLine="0"/>
        <w:tab w:val="num" w:pos="0"/>
      </w:pPr>
      <w:rPr>
        <w:rFonts w:ascii="Times New Roman" w:hAnsi="Times New Roman" w:cs="Times New Roman" w:eastAsia="Times New Roman"/>
        <w:sz w:val="24"/>
      </w:rPr>
    </w:lvl>
    <w:lvl w:ilvl="3">
      <w:numFmt w:val="lowerRoman"/>
      <w:lvlText w:val="(%4)"/>
      <w:lvlJc w:val="left"/>
      <w:start w:val="1"/>
      <w:pPr>
        <w:ind w:left="990" w:firstLine="0"/>
        <w:tab w:val="num" w:pos="990"/>
      </w:pPr>
      <w:rPr>
        <w:rFonts w:ascii="Times New Roman" w:hAnsi="Times New Roman" w:cs="Times New Roman" w:eastAsia="Times New Roman"/>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abstractNum w:abstractNumId="56">
    <w:multiLevelType w:val="singleLevel"/>
    <w:lvl w:ilvl="0">
      <w:numFmt w:val="upperRoman"/>
      <w:lvlText w:val="%1"/>
      <w:lvlJc w:val="left"/>
      <w:start w:val="7"/>
      <w:pPr>
        <w:ind w:left="60" w:hanging="15"/>
        <w:tab w:val="num" w:pos="60"/>
      </w:pPr>
      <w:rPr>
        <w:rFonts w:ascii="Calibri" w:hAnsi="Calibri" w:cs="Calibri" w:eastAsia="Calibri"/>
      </w:rPr>
    </w:lvl>
  </w:abstractNum>
  <w:abstractNum w:abstractNumId="57">
    <w:multiLevelType w:val="hybridMultilevel"/>
    <w:lvl w:ilvl="0">
      <w:numFmt w:val="bullet"/>
      <w:lvlText w:val="·"/>
      <w:lvlJc w:val="left"/>
      <w:pPr>
        <w:ind w:left="0" w:firstLine="0"/>
        <w:tab w:val="num" w:pos="0"/>
      </w:pPr>
      <w:rPr>
        <w:rFonts w:ascii="Symbol" w:hAnsi="Symbol" w:cs="Symbol" w:eastAsia="Symbol"/>
        <w:sz w:val="24"/>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58">
    <w:multiLevelType w:val="hybridMultilevel"/>
    <w:lvl w:ilvl="0">
      <w:numFmt w:val="bullet"/>
      <w:lvlText w:val="Ø"/>
      <w:lvlJc w:val="left"/>
      <w:pPr>
        <w:ind w:left="360" w:hanging="360"/>
        <w:tab w:val="num" w:pos="360"/>
      </w:pPr>
      <w:rPr>
        <w:rFonts w:ascii="Wingdings" w:hAnsi="Wingdings" w:cs="Wingdings" w:eastAsia="Wingdings"/>
        <w:sz w:val="24"/>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59">
    <w:multiLevelType w:val="singleLevel"/>
    <w:lvl w:ilvl="0">
      <w:numFmt w:val="decimal"/>
      <w:lvlText w:val="%1)"/>
      <w:lvlJc w:val="left"/>
      <w:start w:val="7"/>
      <w:pPr>
        <w:ind w:left="285" w:hanging="240"/>
        <w:tab w:val="num" w:pos="285"/>
      </w:pPr>
      <w:rPr>
        <w:rFonts w:ascii="Calibri" w:hAnsi="Calibri" w:cs="Calibri" w:eastAsia="Calibri"/>
      </w:rPr>
    </w:lvl>
  </w:abstractNum>
  <w:abstractNum w:abstractNumId="60">
    <w:multiLevelType w:val="singleLevel"/>
    <w:lvl w:ilvl="0">
      <w:numFmt w:val="lowerLetter"/>
      <w:lvlText w:val="%1)"/>
      <w:lvlJc w:val="left"/>
      <w:start w:val="1"/>
      <w:pPr>
        <w:ind w:left="285" w:hanging="15"/>
        <w:tab w:val="num" w:pos="285"/>
      </w:pPr>
      <w:rPr>
        <w:rFonts w:ascii="Calibri" w:hAnsi="Calibri" w:cs="Calibri" w:eastAsia="Calibri"/>
        <w:b/>
      </w:rPr>
    </w:lvl>
  </w:abstractNum>
  <w:abstractNum w:abstractNumId="61">
    <w:multiLevelType w:val="singleLevel"/>
    <w:lvl w:ilvl="0">
      <w:numFmt w:val="upperRoman"/>
      <w:lvlText w:val="%1"/>
      <w:lvlJc w:val="left"/>
      <w:start w:val="1"/>
      <w:pPr>
        <w:ind w:left="60" w:hanging="15"/>
        <w:tab w:val="num" w:pos="60"/>
      </w:pPr>
      <w:rPr>
        <w:rFonts w:ascii="Calibri" w:hAnsi="Calibri" w:cs="Calibri" w:eastAsia="Calibri"/>
        <w:b/>
      </w:rPr>
    </w:lvl>
  </w:abstractNum>
  <w:abstractNum w:abstractNumId="62">
    <w:multiLevelType w:val="singleLevel"/>
    <w:lvl w:ilvl="0">
      <w:numFmt w:val="upperRoman"/>
      <w:lvlText w:val="%1"/>
      <w:lvlJc w:val="left"/>
      <w:start w:val="1"/>
      <w:pPr>
        <w:ind w:left="60" w:hanging="15"/>
        <w:tab w:val="num" w:pos="60"/>
      </w:pPr>
      <w:rPr>
        <w:rFonts w:ascii="Calibri" w:hAnsi="Calibri" w:cs="Calibri" w:eastAsia="Calibri"/>
        <w:b/>
      </w:rPr>
    </w:lvl>
  </w:abstractNum>
  <w:abstractNum w:abstractNumId="63">
    <w:multiLevelType w:val="singleLevel"/>
    <w:lvl w:ilvl="0">
      <w:numFmt w:val="upperRoman"/>
      <w:lvlText w:val="%1"/>
      <w:lvlJc w:val="left"/>
      <w:start w:val="4"/>
      <w:pPr>
        <w:ind w:left="60" w:hanging="15"/>
        <w:tab w:val="num" w:pos="60"/>
      </w:pPr>
      <w:rPr>
        <w:rFonts w:ascii="Calibri" w:hAnsi="Calibri" w:cs="Calibri" w:eastAsia="Calibri"/>
        <w:b/>
      </w:rPr>
    </w:lvl>
  </w:abstractNum>
  <w:abstractNum w:abstractNumId="64">
    <w:multiLevelType w:val="singleLevel"/>
    <w:lvl w:ilvl="0">
      <w:numFmt w:val="decimal"/>
      <w:lvlText w:val="%1."/>
      <w:lvlJc w:val="left"/>
      <w:start w:val="1"/>
      <w:pPr>
        <w:ind w:left="270" w:firstLine="15"/>
        <w:tab w:val="num" w:pos="270"/>
      </w:pPr>
      <w:rPr>
        <w:rFonts w:ascii="Calibri" w:hAnsi="Calibri" w:cs="Calibri" w:eastAsia="Calibri"/>
        <w:b/>
      </w:rPr>
    </w:lvl>
  </w:abstractNum>
  <w:abstractNum w:abstractNumId="65">
    <w:multiLevelType w:val="singleLevel"/>
    <w:lvl w:ilvl="0">
      <w:numFmt w:val="upperRoman"/>
      <w:lvlText w:val="%1"/>
      <w:lvlJc w:val="left"/>
      <w:start w:val="1"/>
      <w:pPr>
        <w:ind w:left="1275" w:firstLine="0"/>
        <w:tab w:val="num" w:pos="1275"/>
      </w:pPr>
      <w:rPr>
        <w:rFonts w:ascii="Calibri" w:hAnsi="Calibri" w:cs="Calibri" w:eastAsia="Calibri"/>
      </w:rPr>
    </w:lvl>
  </w:abstractNum>
  <w:abstractNum w:abstractNumId="66">
    <w:multiLevelType w:val="multilevel"/>
    <w:lvl w:ilvl="0">
      <w:numFmt w:val="decimal"/>
      <w:lvlText w:val="%1"/>
      <w:lvlJc w:val="left"/>
      <w:start w:val="2"/>
      <w:pPr>
        <w:ind w:left="360" w:hanging="360"/>
        <w:tab w:val="num" w:pos="360"/>
      </w:pPr>
      <w:rPr>
        <w:rFonts w:ascii="Times New Roman" w:hAnsi="Times New Roman" w:cs="Times New Roman" w:eastAsia="Times New Roman"/>
        <w:sz w:val="24"/>
      </w:rPr>
    </w:lvl>
    <w:lvl w:ilvl="1">
      <w:numFmt w:val="decimal"/>
      <w:lvlText w:val="%1.%2"/>
      <w:lvlJc w:val="left"/>
      <w:start w:val="1"/>
      <w:pPr>
        <w:ind w:left="720" w:hanging="360"/>
        <w:tab w:val="num" w:pos="720"/>
      </w:pPr>
      <w:rPr>
        <w:rFonts w:ascii="Times New Roman" w:hAnsi="Times New Roman" w:cs="Times New Roman" w:eastAsia="Times New Roman"/>
        <w:b/>
      </w:rPr>
    </w:lvl>
    <w:lvl w:ilvl="2">
      <w:numFmt w:val="decimal"/>
      <w:lvlText w:val="%1.%2.%3"/>
      <w:lvlJc w:val="left"/>
      <w:start w:val="1"/>
      <w:pPr>
        <w:ind w:left="1440" w:hanging="720"/>
        <w:tab w:val="num" w:pos="1440"/>
      </w:pPr>
      <w:rPr>
        <w:rFonts w:ascii="Times New Roman" w:hAnsi="Times New Roman" w:cs="Times New Roman" w:eastAsia="Times New Roman"/>
        <w:sz w:val="24"/>
      </w:rPr>
    </w:lvl>
    <w:lvl w:ilvl="3">
      <w:numFmt w:val="decimal"/>
      <w:lvlText w:val="%1.%2.%3.%4"/>
      <w:lvlJc w:val="left"/>
      <w:start w:val="1"/>
      <w:pPr>
        <w:ind w:left="1785" w:hanging="720"/>
        <w:tab w:val="num" w:pos="1785"/>
      </w:pPr>
      <w:rPr>
        <w:rFonts w:ascii="Times New Roman" w:hAnsi="Times New Roman" w:cs="Times New Roman" w:eastAsia="Times New Roman"/>
        <w:sz w:val="24"/>
      </w:rPr>
    </w:lvl>
    <w:lvl w:ilvl="4">
      <w:numFmt w:val="decimal"/>
      <w:lvlText w:val="%1.%2.%3.%4.%5"/>
      <w:lvlJc w:val="left"/>
      <w:start w:val="1"/>
      <w:pPr>
        <w:ind w:left="2505" w:hanging="1080"/>
        <w:tab w:val="num" w:pos="2505"/>
      </w:pPr>
      <w:rPr>
        <w:rFonts w:ascii="Times New Roman" w:hAnsi="Times New Roman" w:cs="Times New Roman" w:eastAsia="Times New Roman"/>
        <w:sz w:val="24"/>
      </w:rPr>
    </w:lvl>
    <w:lvl w:ilvl="5">
      <w:numFmt w:val="decimal"/>
      <w:lvlText w:val="%1.%2.%3.%4.%5.%6"/>
      <w:lvlJc w:val="left"/>
      <w:start w:val="1"/>
      <w:pPr>
        <w:ind w:left="2865" w:hanging="1080"/>
        <w:tab w:val="num" w:pos="2865"/>
      </w:pPr>
      <w:rPr>
        <w:rFonts w:ascii="Times New Roman" w:hAnsi="Times New Roman" w:cs="Times New Roman" w:eastAsia="Times New Roman"/>
        <w:sz w:val="24"/>
      </w:rPr>
    </w:lvl>
    <w:lvl w:ilvl="6">
      <w:numFmt w:val="decimal"/>
      <w:lvlText w:val="%1.%2.%3.%4.%5.%6.%7"/>
      <w:lvlJc w:val="left"/>
      <w:start w:val="1"/>
      <w:pPr>
        <w:ind w:left="3585" w:hanging="1440"/>
        <w:tab w:val="num" w:pos="3585"/>
      </w:pPr>
      <w:rPr>
        <w:rFonts w:ascii="Times New Roman" w:hAnsi="Times New Roman" w:cs="Times New Roman" w:eastAsia="Times New Roman"/>
        <w:sz w:val="24"/>
      </w:rPr>
    </w:lvl>
    <w:lvl w:ilvl="7">
      <w:numFmt w:val="decimal"/>
      <w:lvlText w:val="%1.%2.%3.%4.%5.%6.%7.%8"/>
      <w:lvlJc w:val="left"/>
      <w:start w:val="1"/>
      <w:pPr>
        <w:ind w:left="3945" w:hanging="1440"/>
        <w:tab w:val="num" w:pos="3945"/>
      </w:pPr>
      <w:rPr>
        <w:rFonts w:ascii="Times New Roman" w:hAnsi="Times New Roman" w:cs="Times New Roman" w:eastAsia="Times New Roman"/>
        <w:sz w:val="24"/>
      </w:rPr>
    </w:lvl>
    <w:lvl w:ilvl="8">
      <w:numFmt w:val="decimal"/>
      <w:lvlText w:val="%1.%2.%3.%4.%5.%6.%7.%8.%9"/>
      <w:lvlJc w:val="left"/>
      <w:start w:val="1"/>
      <w:pPr>
        <w:ind w:left="4290" w:hanging="1440"/>
        <w:tab w:val="num" w:pos="4290"/>
      </w:pPr>
      <w:rPr>
        <w:rFonts w:ascii="Times New Roman" w:hAnsi="Times New Roman" w:cs="Times New Roman" w:eastAsia="Times New Roman"/>
        <w:sz w:val="24"/>
      </w:rPr>
    </w:lvl>
  </w:abstractNum>
  <w:abstractNum w:abstractNumId="67">
    <w:multiLevelType w:val="singleLevel"/>
    <w:lvl w:ilvl="0">
      <w:numFmt w:val="upperRoman"/>
      <w:lvlText w:val="%1"/>
      <w:lvlJc w:val="left"/>
      <w:start w:val="1"/>
      <w:pPr>
        <w:ind w:left="855" w:firstLine="0"/>
        <w:tab w:val="num" w:pos="855"/>
      </w:pPr>
      <w:rPr>
        <w:rFonts w:ascii="Calibri" w:hAnsi="Calibri" w:cs="Calibri" w:eastAsia="Calibri"/>
      </w:rPr>
    </w:lvl>
  </w:abstractNum>
  <w:abstractNum w:abstractNumId="68">
    <w:multiLevelType w:val="singleLevel"/>
    <w:lvl w:ilvl="0">
      <w:numFmt w:val="lowerLetter"/>
      <w:lvlText w:val="%1)"/>
      <w:lvlJc w:val="left"/>
      <w:start w:val="1"/>
      <w:pPr>
        <w:ind w:left="705" w:firstLine="0"/>
        <w:tab w:val="num" w:pos="705"/>
      </w:pPr>
      <w:rPr>
        <w:rFonts w:ascii="Calibri" w:hAnsi="Calibri" w:cs="Calibri" w:eastAsia="Calibri"/>
      </w:rPr>
    </w:lvl>
  </w:abstractNum>
  <w:abstractNum w:abstractNumId="69">
    <w:multiLevelType w:val="singleLevel"/>
    <w:lvl w:ilvl="0">
      <w:numFmt w:val="upperRoman"/>
      <w:lvlText w:val="%1"/>
      <w:lvlJc w:val="left"/>
      <w:start w:val="1"/>
      <w:pPr>
        <w:ind w:left="60" w:hanging="15"/>
        <w:tab w:val="num" w:pos="60"/>
      </w:pPr>
      <w:rPr>
        <w:rFonts w:ascii="Calibri" w:hAnsi="Calibri" w:cs="Calibri" w:eastAsia="Calibri"/>
        <w:b/>
      </w:rPr>
    </w:lvl>
  </w:abstractNum>
  <w:abstractNum w:abstractNumId="70">
    <w:multiLevelType w:val="singleLevel"/>
    <w:lvl w:ilvl="0">
      <w:numFmt w:val="lowerLetter"/>
      <w:lvlText w:val="%1)"/>
      <w:lvlJc w:val="left"/>
      <w:start w:val="2"/>
      <w:pPr>
        <w:ind w:left="135" w:firstLine="0"/>
        <w:tab w:val="num" w:pos="135"/>
      </w:pPr>
      <w:rPr>
        <w:rFonts w:ascii="Calibri" w:hAnsi="Calibri" w:cs="Calibri" w:eastAsia="Calibri"/>
        <w:b/>
      </w:rPr>
    </w:lvl>
  </w:abstractNum>
  <w:abstractNum w:abstractNumId="71">
    <w:multiLevelType w:val="singleLevel"/>
    <w:lvl w:ilvl="0">
      <w:numFmt w:val="lowerLetter"/>
      <w:lvlText w:val="%1)"/>
      <w:lvlJc w:val="left"/>
      <w:start w:val="1"/>
      <w:pPr>
        <w:ind w:left="270" w:firstLine="15"/>
        <w:tab w:val="num" w:pos="270"/>
      </w:pPr>
      <w:rPr>
        <w:rFonts w:ascii="Calibri" w:hAnsi="Calibri" w:cs="Calibri" w:eastAsia="Calibri"/>
        <w:b/>
      </w:rPr>
    </w:lvl>
  </w:abstractNum>
  <w:abstractNum w:abstractNumId="72">
    <w:multiLevelType w:val="singleLevel"/>
    <w:lvl w:ilvl="0">
      <w:numFmt w:val="lowerLetter"/>
      <w:lvlText w:val="%1)"/>
      <w:lvlJc w:val="left"/>
      <w:start w:val="1"/>
      <w:pPr>
        <w:ind w:left="1140" w:firstLine="0"/>
        <w:tab w:val="num" w:pos="1140"/>
      </w:pPr>
      <w:rPr>
        <w:rFonts w:ascii="Calibri" w:hAnsi="Calibri" w:cs="Calibri" w:eastAsia="Calibri"/>
        <w:b/>
      </w:rPr>
    </w:lvl>
  </w:abstractNum>
  <w:abstractNum w:abstractNumId="73">
    <w:multiLevelType w:val="singleLevel"/>
    <w:lvl w:ilvl="0">
      <w:numFmt w:val="lowerLetter"/>
      <w:lvlText w:val="%1)"/>
      <w:lvlJc w:val="left"/>
      <w:start w:val="1"/>
      <w:pPr>
        <w:ind w:left="855" w:hanging="240"/>
        <w:tab w:val="num" w:pos="855"/>
      </w:pPr>
      <w:rPr>
        <w:rFonts w:ascii="Calibri" w:hAnsi="Calibri" w:cs="Calibri" w:eastAsia="Calibri"/>
      </w:rPr>
    </w:lvl>
  </w:abstractNum>
  <w:abstractNum w:abstractNumId="74">
    <w:multiLevelType w:val="singleLevel"/>
    <w:lvl w:ilvl="0">
      <w:numFmt w:val="lowerLetter"/>
      <w:lvlText w:val="%1)"/>
      <w:lvlJc w:val="left"/>
      <w:start w:val="1"/>
      <w:pPr>
        <w:ind w:left="270" w:firstLine="15"/>
        <w:tab w:val="num" w:pos="270"/>
      </w:pPr>
      <w:rPr>
        <w:rFonts w:ascii="Calibri" w:hAnsi="Calibri" w:cs="Calibri" w:eastAsia="Calibri"/>
      </w:rPr>
    </w:lvl>
  </w:abstractNum>
  <w:abstractNum w:abstractNumId="75">
    <w:multiLevelType w:val="singleLevel"/>
    <w:lvl w:ilvl="0">
      <w:numFmt w:val="lowerLetter"/>
      <w:lvlText w:val="%1)"/>
      <w:lvlJc w:val="left"/>
      <w:start w:val="1"/>
      <w:pPr>
        <w:ind w:left="270" w:firstLine="15"/>
        <w:tab w:val="num" w:pos="270"/>
      </w:pPr>
      <w:rPr>
        <w:rFonts w:ascii="Calibri" w:hAnsi="Calibri" w:cs="Calibri" w:eastAsia="Calibri"/>
        <w:b/>
      </w:rPr>
    </w:lvl>
  </w:abstractNum>
  <w:abstractNum w:abstractNumId="76">
    <w:multiLevelType w:val="singleLevel"/>
    <w:lvl w:ilvl="0">
      <w:numFmt w:val="upperRoman"/>
      <w:lvlText w:val="%1"/>
      <w:lvlJc w:val="left"/>
      <w:start w:val="1"/>
      <w:pPr>
        <w:ind w:left="60" w:hanging="15"/>
        <w:tab w:val="num" w:pos="60"/>
      </w:pPr>
      <w:rPr>
        <w:rFonts w:ascii="Calibri" w:hAnsi="Calibri" w:cs="Calibri" w:eastAsia="Calibri"/>
        <w:b/>
      </w:rPr>
    </w:lvl>
  </w:abstractNum>
  <w:abstractNum w:abstractNumId="77">
    <w:multiLevelType w:val="singleLevel"/>
    <w:lvl w:ilvl="0">
      <w:numFmt w:val="lowerLetter"/>
      <w:lvlText w:val="%1)"/>
      <w:lvlJc w:val="left"/>
      <w:start w:val="1"/>
      <w:pPr>
        <w:ind w:left="285" w:hanging="15"/>
        <w:tab w:val="num" w:pos="285"/>
      </w:pPr>
      <w:rPr>
        <w:rFonts w:ascii="Calibri" w:hAnsi="Calibri" w:cs="Calibri" w:eastAsia="Calibri"/>
        <w:b/>
      </w:rPr>
    </w:lvl>
  </w:abstractNum>
  <w:abstractNum w:abstractNumId="78">
    <w:multiLevelType w:val="singleLevel"/>
    <w:lvl w:ilvl="0">
      <w:numFmt w:val="lowerLetter"/>
      <w:lvlText w:val="%1)"/>
      <w:lvlJc w:val="left"/>
      <w:start w:val="1"/>
      <w:pPr>
        <w:ind w:left="135" w:firstLine="0"/>
        <w:tab w:val="num" w:pos="135"/>
      </w:pPr>
      <w:rPr>
        <w:rFonts w:ascii="Calibri" w:hAnsi="Calibri" w:cs="Calibri" w:eastAsia="Calibri"/>
        <w:b/>
      </w:rPr>
    </w:lvl>
  </w:abstractNum>
  <w:abstractNum w:abstractNumId="79">
    <w:multiLevelType w:val="singleLevel"/>
    <w:lvl w:ilvl="0">
      <w:numFmt w:val="upperRoman"/>
      <w:lvlText w:val="%1"/>
      <w:lvlJc w:val="left"/>
      <w:start w:val="1"/>
      <w:pPr>
        <w:ind w:left="255" w:firstLine="30"/>
        <w:tab w:val="num" w:pos="255"/>
      </w:pPr>
      <w:rPr>
        <w:rFonts w:ascii="Calibri" w:hAnsi="Calibri" w:cs="Calibri" w:eastAsia="Calibri"/>
      </w:rPr>
    </w:lvl>
  </w:abstractNum>
  <w:abstractNum w:abstractNumId="80">
    <w:multiLevelType w:val="multilevel"/>
    <w:lvl w:ilvl="0">
      <w:numFmt w:val="lowerLetter"/>
      <w:lvlText w:val=""/>
      <w:lvlJc w:val="left"/>
      <w:start w:val="1"/>
      <w:pPr>
        <w:ind w:left="720" w:hanging="360"/>
        <w:tab w:val="num" w:pos="720"/>
      </w:pPr>
      <w:rPr>
        <w:rFonts w:ascii="Times New Roman" w:hAnsi="Times New Roman" w:cs="Times New Roman" w:eastAsia="Times New Roman"/>
        <w:b/>
        <w:sz w:val="22"/>
        <w:color w:val="000000"/>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81">
    <w:multiLevelType w:val="singleLevel"/>
    <w:lvl w:ilvl="0">
      <w:numFmt w:val="lowerLetter"/>
      <w:lvlText w:val="%1)"/>
      <w:lvlJc w:val="left"/>
      <w:start w:val="1"/>
      <w:pPr>
        <w:ind w:left="285" w:firstLine="15"/>
        <w:tab w:val="num" w:pos="285"/>
      </w:pPr>
      <w:rPr>
        <w:rFonts w:ascii="Calibri" w:hAnsi="Calibri" w:cs="Calibri" w:eastAsia="Calibri"/>
        <w:b/>
      </w:rPr>
    </w:lvl>
  </w:abstractNum>
  <w:abstractNum w:abstractNumId="82">
    <w:multiLevelType w:val="singleLevel"/>
    <w:lvl w:ilvl="0">
      <w:numFmt w:val="lowerLetter"/>
      <w:lvlText w:val="%1)"/>
      <w:lvlJc w:val="left"/>
      <w:start w:val="1"/>
      <w:pPr>
        <w:ind w:left="1140" w:hanging="15"/>
        <w:tab w:val="num" w:pos="1140"/>
      </w:pPr>
      <w:rPr>
        <w:rFonts w:ascii="Calibri" w:hAnsi="Calibri" w:cs="Calibri" w:eastAsia="Calibri"/>
      </w:rPr>
    </w:lvl>
  </w:abstractNum>
  <w:abstractNum w:abstractNumId="83">
    <w:multiLevelType w:val="singleLevel"/>
    <w:lvl w:ilvl="0">
      <w:numFmt w:val="lowerLetter"/>
      <w:lvlText w:val="%1)"/>
      <w:lvlJc w:val="left"/>
      <w:start w:val="1"/>
      <w:pPr>
        <w:ind w:left="270" w:firstLine="15"/>
        <w:tab w:val="num" w:pos="270"/>
      </w:pPr>
      <w:rPr>
        <w:rFonts w:ascii="Calibri" w:hAnsi="Calibri" w:cs="Calibri" w:eastAsia="Calibri"/>
        <w:b/>
      </w:rPr>
    </w:lvl>
  </w:abstractNum>
  <w:abstractNum w:abstractNumId="84">
    <w:multiLevelType w:val="singleLevel"/>
    <w:lvl w:ilvl="0">
      <w:numFmt w:val="upperRoman"/>
      <w:lvlText w:val="%1"/>
      <w:lvlJc w:val="left"/>
      <w:start w:val="1"/>
      <w:pPr>
        <w:ind w:left="1275" w:firstLine="0"/>
        <w:tab w:val="num" w:pos="1275"/>
      </w:pPr>
      <w:rPr>
        <w:rFonts w:ascii="Calibri" w:hAnsi="Calibri" w:cs="Calibri" w:eastAsia="Calibri"/>
      </w:rPr>
    </w:lvl>
  </w:abstractNum>
  <w:abstractNum w:abstractNumId="85">
    <w:multiLevelType w:val="singleLevel"/>
    <w:lvl w:ilvl="0">
      <w:numFmt w:val="lowerLetter"/>
      <w:lvlText w:val="%1)"/>
      <w:lvlJc w:val="left"/>
      <w:start w:val="1"/>
      <w:pPr>
        <w:ind w:left="570" w:hanging="285"/>
        <w:tab w:val="num" w:pos="570"/>
      </w:pPr>
      <w:rPr>
        <w:rFonts w:ascii="Calibri" w:hAnsi="Calibri" w:cs="Calibri" w:eastAsia="Calibri"/>
        <w:b/>
      </w:rPr>
    </w:lvl>
  </w:abstractNum>
  <w:abstractNum w:abstractNumId="86">
    <w:multiLevelType w:val="singleLevel"/>
    <w:lvl w:ilvl="0">
      <w:numFmt w:val="lowerLetter"/>
      <w:lvlText w:val="%1)"/>
      <w:lvlJc w:val="left"/>
      <w:start w:val="1"/>
      <w:pPr>
        <w:ind w:left="705" w:firstLine="0"/>
        <w:tab w:val="num" w:pos="705"/>
      </w:pPr>
      <w:rPr>
        <w:rFonts w:ascii="Calibri" w:hAnsi="Calibri" w:cs="Calibri" w:eastAsia="Calibri"/>
      </w:rPr>
    </w:lvl>
  </w:abstractNum>
  <w:abstractNum w:abstractNumId="87">
    <w:multiLevelType w:val="singleLevel"/>
    <w:lvl w:ilvl="0">
      <w:numFmt w:val="upperRoman"/>
      <w:lvlText w:val="%1"/>
      <w:lvlJc w:val="left"/>
      <w:start w:val="1"/>
      <w:pPr>
        <w:ind w:left="60" w:hanging="15"/>
        <w:tab w:val="num" w:pos="60"/>
      </w:pPr>
      <w:rPr>
        <w:rFonts w:ascii="Calibri" w:hAnsi="Calibri" w:cs="Calibri" w:eastAsia="Calibri"/>
        <w:b/>
      </w:rPr>
    </w:lvl>
  </w:abstractNum>
  <w:abstractNum w:abstractNumId="88">
    <w:multiLevelType w:val="singleLevel"/>
    <w:lvl w:ilvl="0">
      <w:numFmt w:val="upperRoman"/>
      <w:lvlText w:val="%1"/>
      <w:lvlJc w:val="left"/>
      <w:start w:val="4"/>
      <w:pPr>
        <w:ind w:left="270" w:hanging="225"/>
        <w:tab w:val="num" w:pos="270"/>
      </w:pPr>
      <w:rPr>
        <w:rFonts w:ascii="Calibri" w:hAnsi="Calibri" w:cs="Calibri" w:eastAsia="Calibri"/>
        <w:b/>
      </w:rPr>
    </w:lvl>
  </w:abstractNum>
  <w:abstractNum w:abstractNumId="89">
    <w:multiLevelType w:val="singleLevel"/>
    <w:lvl w:ilvl="0">
      <w:numFmt w:val="upperRoman"/>
      <w:lvlText w:val="%1"/>
      <w:lvlJc w:val="left"/>
      <w:start w:val="1"/>
      <w:pPr>
        <w:ind w:left="255" w:hanging="210"/>
        <w:tab w:val="num" w:pos="255"/>
      </w:pPr>
      <w:rPr>
        <w:rFonts w:ascii="Calibri" w:hAnsi="Calibri" w:cs="Calibri" w:eastAsia="Calibri"/>
        <w:b/>
      </w:rPr>
    </w:lvl>
  </w:abstractNum>
  <w:abstractNum w:abstractNumId="90">
    <w:multiLevelType w:val="singleLevel"/>
    <w:lvl w:ilvl="0">
      <w:numFmt w:val="decimal"/>
      <w:lvlText w:val="%1)"/>
      <w:lvlJc w:val="left"/>
      <w:start w:val="1"/>
      <w:pPr>
        <w:ind w:left="285" w:hanging="240"/>
        <w:tab w:val="num" w:pos="285"/>
      </w:pPr>
      <w:rPr>
        <w:rFonts w:ascii="Calibri" w:hAnsi="Calibri" w:cs="Calibri" w:eastAsia="Calibri"/>
      </w:rPr>
    </w:lvl>
  </w:abstractNum>
  <w:abstractNum w:abstractNumId="91">
    <w:multiLevelType w:val="singleLevel"/>
    <w:lvl w:ilvl="0">
      <w:numFmt w:val="lowerLetter"/>
      <w:lvlText w:val="%1)"/>
      <w:lvlJc w:val="left"/>
      <w:start w:val="8"/>
      <w:pPr>
        <w:ind w:left="1140" w:hanging="285"/>
        <w:tab w:val="num" w:pos="1140"/>
      </w:pPr>
      <w:rPr>
        <w:rFonts w:ascii="Calibri" w:hAnsi="Calibri" w:cs="Calibri" w:eastAsia="Calibri"/>
      </w:rPr>
    </w:lvl>
  </w:abstractNum>
  <w:abstractNum w:abstractNumId="92">
    <w:multiLevelType w:val="multilevel"/>
    <w:lvl w:ilvl="0">
      <w:numFmt w:val="decimal"/>
      <w:lvlText w:val=""/>
      <w:lvlJc w:val="left"/>
      <w:start w:val="1"/>
      <w:pPr>
        <w:ind w:left="360" w:hanging="360"/>
        <w:tab w:val="num" w:pos="360"/>
      </w:pPr>
      <w:rPr>
        <w:rFonts w:ascii="Times New Roman" w:hAnsi="Times New Roman" w:cs="Times New Roman" w:eastAsia="Times New Roman"/>
        <w:b/>
        <w:sz w:val="24"/>
      </w:rPr>
    </w:lvl>
    <w:lvl w:ilvl="1">
      <w:numFmt w:val="decimal"/>
      <w:lvlText w:val=""/>
      <w:lvlJc w:val="left"/>
      <w:start w:val="1"/>
      <w:pPr>
        <w:ind w:left="0" w:firstLine="0"/>
        <w:tab w:val="num" w:pos="0"/>
      </w:pPr>
      <w:rPr>
        <w:rFonts w:ascii="Times New Roman" w:hAnsi="Times New Roman" w:cs="Times New Roman" w:eastAsia="Times New Roman"/>
        <w:b/>
        <w:sz w:val="24"/>
      </w:rPr>
    </w:lvl>
    <w:lvl w:ilvl="2">
      <w:numFmt w:val="decimal"/>
      <w:lvlText w:val=""/>
      <w:lvlJc w:val="left"/>
      <w:start w:val="0"/>
      <w:pPr>
        <w:ind w:left="0" w:firstLine="0"/>
        <w:tab w:val="num" w:pos="0"/>
      </w:pPr>
      <w:rPr>
        <w:rFonts w:ascii="Times New Roman" w:hAnsi="Times New Roman" w:cs="Times New Roman" w:eastAsia="Times New Roman"/>
        <w:sz w:val="24"/>
      </w:rPr>
    </w:lvl>
    <w:lvl w:ilvl="3">
      <w:numFmt w:val="decimal"/>
      <w:lvlText w:val=""/>
      <w:lvlJc w:val="left"/>
      <w:start w:val="0"/>
      <w:pPr>
        <w:ind w:left="0" w:firstLine="0"/>
        <w:tab w:val="num" w:pos="0"/>
      </w:pPr>
      <w:rPr>
        <w:rFonts w:ascii="Times New Roman" w:hAnsi="Times New Roman" w:cs="Times New Roman" w:eastAsia="Times New Roman"/>
        <w:sz w:val="24"/>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abstractNum w:abstractNumId="93">
    <w:multiLevelType w:val="singleLevel"/>
    <w:lvl w:ilvl="0">
      <w:numFmt w:val="lowerLetter"/>
      <w:lvlText w:val="%1)"/>
      <w:lvlJc w:val="left"/>
      <w:start w:val="1"/>
      <w:pPr>
        <w:ind w:left="270" w:firstLine="15"/>
        <w:tab w:val="num" w:pos="270"/>
      </w:pPr>
      <w:rPr>
        <w:rFonts w:ascii="Calibri" w:hAnsi="Calibri" w:cs="Calibri" w:eastAsia="Calibri"/>
        <w:b/>
      </w:rPr>
    </w:lvl>
  </w:abstractNum>
  <w:abstractNum w:abstractNumId="94">
    <w:multiLevelType w:val="singleLevel"/>
    <w:lvl w:ilvl="0">
      <w:numFmt w:val="lowerLetter"/>
      <w:lvlText w:val="%1)"/>
      <w:lvlJc w:val="left"/>
      <w:start w:val="1"/>
      <w:pPr>
        <w:ind w:left="270" w:firstLine="15"/>
        <w:tab w:val="num" w:pos="270"/>
      </w:pPr>
      <w:rPr>
        <w:rFonts w:ascii="Calibri" w:hAnsi="Calibri" w:cs="Calibri" w:eastAsia="Calibri"/>
        <w:b/>
      </w:rPr>
    </w:lvl>
  </w:abstractNum>
  <w:abstractNum w:abstractNumId="95">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570"/>
      </w:pPr>
      <w:rPr>
        <w:b/>
      </w:rPr>
    </w:lvl>
    <w:lvl w:ilvl="2">
      <w:numFmt w:val="decimal"/>
      <w:lvlText w:val="%1.%2.%3"/>
      <w:lvlJc w:val="left"/>
      <w:start w:val="1"/>
      <w:pPr>
        <w:ind w:left="495" w:firstLine="0"/>
        <w:tab w:val="num" w:pos="1020"/>
      </w:pPr>
      <w:rPr>
        <w:b/>
      </w:rPr>
    </w:lvl>
    <w:lvl w:ilvl="3">
      <w:numFmt w:val="bullet"/>
      <w:lvlText w:val="%s"/>
      <w:lvlJc w:val="left"/>
      <w:pPr>
        <w:ind w:left="2700" w:hanging="525"/>
        <w:tab w:val="num" w:pos="2700"/>
      </w:pPr>
      <w:rPr>
        <w:rFonts w:ascii="Times New Roman" w:hAnsi="Times New Roman" w:cs="Times New Roman" w:eastAsia="Times New Roman"/>
        <w:sz w:val="24"/>
      </w:rPr>
    </w:lvl>
    <w:lvl w:ilvl="4">
      <w:numFmt w:val="bullet"/>
      <w:lvlText w:val="%s"/>
      <w:lvlJc w:val="left"/>
      <w:pPr>
        <w:ind w:left="3795" w:hanging="525"/>
        <w:tab w:val="num" w:pos="3795"/>
      </w:pPr>
      <w:rPr>
        <w:rFonts w:ascii="Times New Roman" w:hAnsi="Times New Roman" w:cs="Times New Roman" w:eastAsia="Times New Roman"/>
        <w:sz w:val="24"/>
      </w:rPr>
    </w:lvl>
    <w:lvl w:ilvl="5">
      <w:numFmt w:val="bullet"/>
      <w:lvlText w:val="%s"/>
      <w:lvlJc w:val="left"/>
      <w:pPr>
        <w:ind w:left="4905" w:hanging="525"/>
        <w:tab w:val="num" w:pos="4905"/>
      </w:pPr>
      <w:rPr>
        <w:rFonts w:ascii="Times New Roman" w:hAnsi="Times New Roman" w:cs="Times New Roman" w:eastAsia="Times New Roman"/>
        <w:sz w:val="24"/>
      </w:rPr>
    </w:lvl>
    <w:lvl w:ilvl="6">
      <w:numFmt w:val="bullet"/>
      <w:lvlText w:val="%s"/>
      <w:lvlJc w:val="left"/>
      <w:pPr>
        <w:ind w:left="6000" w:hanging="525"/>
        <w:tab w:val="num" w:pos="6000"/>
      </w:pPr>
      <w:rPr>
        <w:rFonts w:ascii="Times New Roman" w:hAnsi="Times New Roman" w:cs="Times New Roman" w:eastAsia="Times New Roman"/>
        <w:sz w:val="24"/>
      </w:rPr>
    </w:lvl>
    <w:lvl w:ilvl="7">
      <w:numFmt w:val="bullet"/>
      <w:lvlText w:val="%s"/>
      <w:lvlJc w:val="left"/>
      <w:pPr>
        <w:ind w:left="7110" w:hanging="525"/>
        <w:tab w:val="num" w:pos="7110"/>
      </w:pPr>
      <w:rPr>
        <w:rFonts w:ascii="Times New Roman" w:hAnsi="Times New Roman" w:cs="Times New Roman" w:eastAsia="Times New Roman"/>
        <w:sz w:val="24"/>
      </w:rPr>
    </w:lvl>
    <w:lvl w:ilvl="8">
      <w:numFmt w:val="bullet"/>
      <w:lvlText w:val="%s"/>
      <w:lvlJc w:val="left"/>
      <w:pPr>
        <w:ind w:left="8205" w:hanging="525"/>
        <w:tab w:val="num" w:pos="8205"/>
      </w:pPr>
      <w:rPr>
        <w:rFonts w:ascii="Times New Roman" w:hAnsi="Times New Roman" w:cs="Times New Roman" w:eastAsia="Times New Roman"/>
        <w:sz w:val="24"/>
      </w:rPr>
    </w:lvl>
  </w:abstractNum>
  <w:abstractNum w:abstractNumId="96">
    <w:multiLevelType w:val="singleLevel"/>
    <w:lvl w:ilvl="0">
      <w:numFmt w:val="lowerLetter"/>
      <w:lvlText w:val="%1)"/>
      <w:lvlJc w:val="left"/>
      <w:start w:val="1"/>
      <w:pPr>
        <w:ind w:left="1020" w:firstLine="0"/>
        <w:tab w:val="num" w:pos="1020"/>
      </w:pPr>
      <w:rPr>
        <w:rFonts w:ascii="Times New Roman" w:hAnsi="Times New Roman" w:cs="Times New Roman" w:eastAsia="Times New Roman"/>
        <w:sz w:val="22"/>
      </w:rPr>
    </w:lvl>
  </w:abstractNum>
  <w:abstractNum w:abstractNumId="97">
    <w:multiLevelType w:val="hybridMultilevel"/>
    <w:lvl w:ilvl="0">
      <w:numFmt w:val="upperRoman"/>
      <w:lvlText w:val="%1"/>
      <w:lvlJc w:val="left"/>
      <w:start w:val="2"/>
      <w:pPr>
        <w:ind w:left="405" w:firstLine="0"/>
        <w:tab w:val="num" w:pos="630"/>
      </w:pPr>
      <w:rPr>
        <w:rFonts w:ascii="Arial MT" w:hAnsi="Arial MT" w:cs="Arial MT" w:eastAsia="Arial MT"/>
      </w:rPr>
    </w:lvl>
    <w:lvl w:ilvl="1">
      <w:numFmt w:val="bullet"/>
      <w:lvlText w:val="•"/>
      <w:lvlJc w:val="left"/>
      <w:pPr>
        <w:ind w:left="1350" w:hanging="225"/>
        <w:tab w:val="num" w:pos="1350"/>
      </w:pPr>
      <w:rPr>
        <w:rFonts w:ascii="Times New Roman" w:hAnsi="Times New Roman" w:cs="Times New Roman" w:eastAsia="Times New Roman"/>
        <w:sz w:val="24"/>
      </w:rPr>
    </w:lvl>
    <w:lvl w:ilvl="2">
      <w:numFmt w:val="bullet"/>
      <w:lvlText w:val="•"/>
      <w:lvlJc w:val="left"/>
      <w:pPr>
        <w:ind w:left="2310" w:hanging="225"/>
        <w:tab w:val="num" w:pos="2310"/>
      </w:pPr>
      <w:rPr>
        <w:rFonts w:ascii="Times New Roman" w:hAnsi="Times New Roman" w:cs="Times New Roman" w:eastAsia="Times New Roman"/>
        <w:sz w:val="24"/>
      </w:rPr>
    </w:lvl>
    <w:lvl w:ilvl="3">
      <w:numFmt w:val="bullet"/>
      <w:lvlText w:val="•"/>
      <w:lvlJc w:val="left"/>
      <w:pPr>
        <w:ind w:left="3270" w:hanging="225"/>
        <w:tab w:val="num" w:pos="3270"/>
      </w:pPr>
      <w:rPr>
        <w:rFonts w:ascii="Times New Roman" w:hAnsi="Times New Roman" w:cs="Times New Roman" w:eastAsia="Times New Roman"/>
        <w:sz w:val="24"/>
      </w:rPr>
    </w:lvl>
    <w:lvl w:ilvl="4">
      <w:numFmt w:val="bullet"/>
      <w:lvlText w:val="•"/>
      <w:lvlJc w:val="left"/>
      <w:pPr>
        <w:ind w:left="4215" w:hanging="225"/>
        <w:tab w:val="num" w:pos="4215"/>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120" w:hanging="225"/>
        <w:tab w:val="num" w:pos="6120"/>
      </w:pPr>
      <w:rPr>
        <w:rFonts w:ascii="Times New Roman" w:hAnsi="Times New Roman" w:cs="Times New Roman" w:eastAsia="Times New Roman"/>
        <w:sz w:val="24"/>
      </w:rPr>
    </w:lvl>
    <w:lvl w:ilvl="7">
      <w:numFmt w:val="bullet"/>
      <w:lvlText w:val="•"/>
      <w:lvlJc w:val="left"/>
      <w:pPr>
        <w:ind w:left="7080" w:hanging="225"/>
        <w:tab w:val="num" w:pos="7080"/>
      </w:pPr>
      <w:rPr>
        <w:rFonts w:ascii="Times New Roman" w:hAnsi="Times New Roman" w:cs="Times New Roman" w:eastAsia="Times New Roman"/>
        <w:sz w:val="24"/>
      </w:rPr>
    </w:lvl>
    <w:lvl w:ilvl="8">
      <w:numFmt w:val="bullet"/>
      <w:lvlText w:val="•"/>
      <w:lvlJc w:val="left"/>
      <w:pPr>
        <w:ind w:left="8040" w:hanging="225"/>
        <w:tab w:val="num" w:pos="8040"/>
      </w:pPr>
      <w:rPr>
        <w:rFonts w:ascii="Times New Roman" w:hAnsi="Times New Roman" w:cs="Times New Roman" w:eastAsia="Times New Roman"/>
        <w:sz w:val="24"/>
      </w:rPr>
    </w:lvl>
  </w:abstractNum>
  <w:abstractNum w:abstractNumId="98">
    <w:multiLevelType w:val="hybridMultilevel"/>
    <w:lvl w:ilvl="0">
      <w:numFmt w:val="upperRoman"/>
      <w:lvlText w:val="%1"/>
      <w:lvlJc w:val="left"/>
      <w:start w:val="1"/>
      <w:pPr>
        <w:ind w:left="405" w:firstLine="0"/>
        <w:tab w:val="num" w:pos="540"/>
      </w:pPr>
      <w:rPr>
        <w:rFonts w:ascii="Arial MT" w:hAnsi="Arial MT" w:cs="Arial MT" w:eastAsia="Arial MT"/>
      </w:rPr>
    </w:lvl>
    <w:lvl w:ilvl="1">
      <w:numFmt w:val="bullet"/>
      <w:lvlText w:val="•"/>
      <w:lvlJc w:val="left"/>
      <w:pPr>
        <w:ind w:left="1350" w:hanging="135"/>
        <w:tab w:val="num" w:pos="1350"/>
      </w:pPr>
      <w:rPr>
        <w:rFonts w:ascii="Times New Roman" w:hAnsi="Times New Roman" w:cs="Times New Roman" w:eastAsia="Times New Roman"/>
        <w:sz w:val="24"/>
      </w:rPr>
    </w:lvl>
    <w:lvl w:ilvl="2">
      <w:numFmt w:val="bullet"/>
      <w:lvlText w:val="•"/>
      <w:lvlJc w:val="left"/>
      <w:pPr>
        <w:ind w:left="2310" w:hanging="135"/>
        <w:tab w:val="num" w:pos="2310"/>
      </w:pPr>
      <w:rPr>
        <w:rFonts w:ascii="Times New Roman" w:hAnsi="Times New Roman" w:cs="Times New Roman" w:eastAsia="Times New Roman"/>
        <w:sz w:val="24"/>
      </w:rPr>
    </w:lvl>
    <w:lvl w:ilvl="3">
      <w:numFmt w:val="bullet"/>
      <w:lvlText w:val="•"/>
      <w:lvlJc w:val="left"/>
      <w:pPr>
        <w:ind w:left="3270" w:hanging="135"/>
        <w:tab w:val="num" w:pos="3270"/>
      </w:pPr>
      <w:rPr>
        <w:rFonts w:ascii="Times New Roman" w:hAnsi="Times New Roman" w:cs="Times New Roman" w:eastAsia="Times New Roman"/>
        <w:sz w:val="24"/>
      </w:rPr>
    </w:lvl>
    <w:lvl w:ilvl="4">
      <w:numFmt w:val="bullet"/>
      <w:lvlText w:val="•"/>
      <w:lvlJc w:val="left"/>
      <w:pPr>
        <w:ind w:left="4215" w:hanging="135"/>
        <w:tab w:val="num" w:pos="4215"/>
      </w:pPr>
      <w:rPr>
        <w:rFonts w:ascii="Times New Roman" w:hAnsi="Times New Roman" w:cs="Times New Roman" w:eastAsia="Times New Roman"/>
        <w:sz w:val="24"/>
      </w:rPr>
    </w:lvl>
    <w:lvl w:ilvl="5">
      <w:numFmt w:val="bullet"/>
      <w:lvlText w:val="•"/>
      <w:lvlJc w:val="left"/>
      <w:pPr>
        <w:ind w:left="5175" w:hanging="135"/>
        <w:tab w:val="num" w:pos="5175"/>
      </w:pPr>
      <w:rPr>
        <w:rFonts w:ascii="Times New Roman" w:hAnsi="Times New Roman" w:cs="Times New Roman" w:eastAsia="Times New Roman"/>
        <w:sz w:val="24"/>
      </w:rPr>
    </w:lvl>
    <w:lvl w:ilvl="6">
      <w:numFmt w:val="bullet"/>
      <w:lvlText w:val="•"/>
      <w:lvlJc w:val="left"/>
      <w:pPr>
        <w:ind w:left="6120" w:hanging="135"/>
        <w:tab w:val="num" w:pos="6120"/>
      </w:pPr>
      <w:rPr>
        <w:rFonts w:ascii="Times New Roman" w:hAnsi="Times New Roman" w:cs="Times New Roman" w:eastAsia="Times New Roman"/>
        <w:sz w:val="24"/>
      </w:rPr>
    </w:lvl>
    <w:lvl w:ilvl="7">
      <w:numFmt w:val="bullet"/>
      <w:lvlText w:val="•"/>
      <w:lvlJc w:val="left"/>
      <w:pPr>
        <w:ind w:left="7080" w:hanging="135"/>
        <w:tab w:val="num" w:pos="7080"/>
      </w:pPr>
      <w:rPr>
        <w:rFonts w:ascii="Times New Roman" w:hAnsi="Times New Roman" w:cs="Times New Roman" w:eastAsia="Times New Roman"/>
        <w:sz w:val="24"/>
      </w:rPr>
    </w:lvl>
    <w:lvl w:ilvl="8">
      <w:numFmt w:val="bullet"/>
      <w:lvlText w:val="•"/>
      <w:lvlJc w:val="left"/>
      <w:pPr>
        <w:ind w:left="8040" w:hanging="135"/>
        <w:tab w:val="num" w:pos="8040"/>
      </w:pPr>
      <w:rPr>
        <w:rFonts w:ascii="Times New Roman" w:hAnsi="Times New Roman" w:cs="Times New Roman" w:eastAsia="Times New Roman"/>
        <w:sz w:val="24"/>
      </w:rPr>
    </w:lvl>
  </w:abstractNum>
  <w:abstractNum w:abstractNumId="99">
    <w:multiLevelType w:val="hybridMultilevel"/>
    <w:lvl w:ilvl="0">
      <w:numFmt w:val="upperRoman"/>
      <w:lvlText w:val="%1"/>
      <w:lvlJc w:val="left"/>
      <w:start w:val="2"/>
      <w:pPr>
        <w:ind w:left="570" w:hanging="180"/>
        <w:tab w:val="num" w:pos="570"/>
      </w:pPr>
      <w:rPr>
        <w:rFonts w:ascii="Arial MT" w:hAnsi="Arial MT" w:cs="Arial MT" w:eastAsia="Arial MT"/>
      </w:rPr>
    </w:lvl>
    <w:lvl w:ilvl="1">
      <w:numFmt w:val="bullet"/>
      <w:lvlText w:val="•"/>
      <w:lvlJc w:val="left"/>
      <w:pPr>
        <w:ind w:left="1500" w:hanging="165"/>
        <w:tab w:val="num" w:pos="1500"/>
      </w:pPr>
      <w:rPr>
        <w:rFonts w:ascii="Times New Roman" w:hAnsi="Times New Roman" w:cs="Times New Roman" w:eastAsia="Times New Roman"/>
        <w:sz w:val="24"/>
      </w:rPr>
    </w:lvl>
    <w:lvl w:ilvl="2">
      <w:numFmt w:val="bullet"/>
      <w:lvlText w:val="•"/>
      <w:lvlJc w:val="left"/>
      <w:pPr>
        <w:ind w:left="2430" w:hanging="165"/>
        <w:tab w:val="num" w:pos="2430"/>
      </w:pPr>
      <w:rPr>
        <w:rFonts w:ascii="Times New Roman" w:hAnsi="Times New Roman" w:cs="Times New Roman" w:eastAsia="Times New Roman"/>
        <w:sz w:val="24"/>
      </w:rPr>
    </w:lvl>
    <w:lvl w:ilvl="3">
      <w:numFmt w:val="bullet"/>
      <w:lvlText w:val="•"/>
      <w:lvlJc w:val="left"/>
      <w:pPr>
        <w:ind w:left="3375" w:hanging="165"/>
        <w:tab w:val="num" w:pos="3375"/>
      </w:pPr>
      <w:rPr>
        <w:rFonts w:ascii="Times New Roman" w:hAnsi="Times New Roman" w:cs="Times New Roman" w:eastAsia="Times New Roman"/>
        <w:sz w:val="24"/>
      </w:rPr>
    </w:lvl>
    <w:lvl w:ilvl="4">
      <w:numFmt w:val="bullet"/>
      <w:lvlText w:val="•"/>
      <w:lvlJc w:val="left"/>
      <w:pPr>
        <w:ind w:left="4320" w:hanging="165"/>
        <w:tab w:val="num" w:pos="4320"/>
      </w:pPr>
      <w:rPr>
        <w:rFonts w:ascii="Times New Roman" w:hAnsi="Times New Roman" w:cs="Times New Roman" w:eastAsia="Times New Roman"/>
        <w:sz w:val="24"/>
      </w:rPr>
    </w:lvl>
    <w:lvl w:ilvl="5">
      <w:numFmt w:val="bullet"/>
      <w:lvlText w:val="•"/>
      <w:lvlJc w:val="left"/>
      <w:pPr>
        <w:ind w:left="5250" w:hanging="165"/>
        <w:tab w:val="num" w:pos="5250"/>
      </w:pPr>
      <w:rPr>
        <w:rFonts w:ascii="Times New Roman" w:hAnsi="Times New Roman" w:cs="Times New Roman" w:eastAsia="Times New Roman"/>
        <w:sz w:val="24"/>
      </w:rPr>
    </w:lvl>
    <w:lvl w:ilvl="6">
      <w:numFmt w:val="bullet"/>
      <w:lvlText w:val="•"/>
      <w:lvlJc w:val="left"/>
      <w:pPr>
        <w:ind w:left="6195" w:hanging="165"/>
        <w:tab w:val="num" w:pos="6195"/>
      </w:pPr>
      <w:rPr>
        <w:rFonts w:ascii="Times New Roman" w:hAnsi="Times New Roman" w:cs="Times New Roman" w:eastAsia="Times New Roman"/>
        <w:sz w:val="24"/>
      </w:rPr>
    </w:lvl>
    <w:lvl w:ilvl="7">
      <w:numFmt w:val="bullet"/>
      <w:lvlText w:val="•"/>
      <w:lvlJc w:val="left"/>
      <w:pPr>
        <w:ind w:left="7125" w:hanging="165"/>
        <w:tab w:val="num" w:pos="7125"/>
      </w:pPr>
      <w:rPr>
        <w:rFonts w:ascii="Times New Roman" w:hAnsi="Times New Roman" w:cs="Times New Roman" w:eastAsia="Times New Roman"/>
        <w:sz w:val="24"/>
      </w:rPr>
    </w:lvl>
    <w:lvl w:ilvl="8">
      <w:numFmt w:val="bullet"/>
      <w:lvlText w:val="•"/>
      <w:lvlJc w:val="left"/>
      <w:pPr>
        <w:ind w:left="8070" w:hanging="165"/>
        <w:tab w:val="num" w:pos="8070"/>
      </w:pPr>
      <w:rPr>
        <w:rFonts w:ascii="Times New Roman" w:hAnsi="Times New Roman" w:cs="Times New Roman" w:eastAsia="Times New Roman"/>
        <w:sz w:val="24"/>
      </w:rPr>
    </w:lvl>
  </w:abstractNum>
  <w:abstractNum w:abstractNumId="100">
    <w:multiLevelType w:val="hybridMultilevel"/>
    <w:lvl w:ilvl="0">
      <w:numFmt w:val="lowerLetter"/>
      <w:lvlText w:val="%1)"/>
      <w:lvlJc w:val="left"/>
      <w:start w:val="1"/>
      <w:pPr>
        <w:ind w:left="405" w:firstLine="0"/>
        <w:tab w:val="num" w:pos="645"/>
      </w:pPr>
      <w:rPr>
        <w:rFonts w:ascii="Arial MT" w:hAnsi="Arial MT" w:cs="Arial MT" w:eastAsia="Arial MT"/>
      </w:rPr>
    </w:lvl>
    <w:lvl w:ilvl="1">
      <w:numFmt w:val="bullet"/>
      <w:lvlText w:val="•"/>
      <w:lvlJc w:val="left"/>
      <w:pPr>
        <w:ind w:left="1350" w:hanging="240"/>
        <w:tab w:val="num" w:pos="1350"/>
      </w:pPr>
      <w:rPr>
        <w:rFonts w:ascii="Times New Roman" w:hAnsi="Times New Roman" w:cs="Times New Roman" w:eastAsia="Times New Roman"/>
        <w:sz w:val="24"/>
      </w:rPr>
    </w:lvl>
    <w:lvl w:ilvl="2">
      <w:numFmt w:val="bullet"/>
      <w:lvlText w:val="•"/>
      <w:lvlJc w:val="left"/>
      <w:pPr>
        <w:ind w:left="2310" w:hanging="240"/>
        <w:tab w:val="num" w:pos="2310"/>
      </w:pPr>
      <w:rPr>
        <w:rFonts w:ascii="Times New Roman" w:hAnsi="Times New Roman" w:cs="Times New Roman" w:eastAsia="Times New Roman"/>
        <w:sz w:val="24"/>
      </w:rPr>
    </w:lvl>
    <w:lvl w:ilvl="3">
      <w:numFmt w:val="bullet"/>
      <w:lvlText w:val="•"/>
      <w:lvlJc w:val="left"/>
      <w:pPr>
        <w:ind w:left="3270" w:hanging="240"/>
        <w:tab w:val="num" w:pos="3270"/>
      </w:pPr>
      <w:rPr>
        <w:rFonts w:ascii="Times New Roman" w:hAnsi="Times New Roman" w:cs="Times New Roman" w:eastAsia="Times New Roman"/>
        <w:sz w:val="24"/>
      </w:rPr>
    </w:lvl>
    <w:lvl w:ilvl="4">
      <w:numFmt w:val="bullet"/>
      <w:lvlText w:val="•"/>
      <w:lvlJc w:val="left"/>
      <w:pPr>
        <w:ind w:left="4215" w:hanging="240"/>
        <w:tab w:val="num" w:pos="4215"/>
      </w:pPr>
      <w:rPr>
        <w:rFonts w:ascii="Times New Roman" w:hAnsi="Times New Roman" w:cs="Times New Roman" w:eastAsia="Times New Roman"/>
        <w:sz w:val="24"/>
      </w:rPr>
    </w:lvl>
    <w:lvl w:ilvl="5">
      <w:numFmt w:val="bullet"/>
      <w:lvlText w:val="•"/>
      <w:lvlJc w:val="left"/>
      <w:pPr>
        <w:ind w:left="5175" w:hanging="240"/>
        <w:tab w:val="num" w:pos="5175"/>
      </w:pPr>
      <w:rPr>
        <w:rFonts w:ascii="Times New Roman" w:hAnsi="Times New Roman" w:cs="Times New Roman" w:eastAsia="Times New Roman"/>
        <w:sz w:val="24"/>
      </w:rPr>
    </w:lvl>
    <w:lvl w:ilvl="6">
      <w:numFmt w:val="bullet"/>
      <w:lvlText w:val="•"/>
      <w:lvlJc w:val="left"/>
      <w:pPr>
        <w:ind w:left="6120" w:hanging="240"/>
        <w:tab w:val="num" w:pos="6120"/>
      </w:pPr>
      <w:rPr>
        <w:rFonts w:ascii="Times New Roman" w:hAnsi="Times New Roman" w:cs="Times New Roman" w:eastAsia="Times New Roman"/>
        <w:sz w:val="24"/>
      </w:rPr>
    </w:lvl>
    <w:lvl w:ilvl="7">
      <w:numFmt w:val="bullet"/>
      <w:lvlText w:val="•"/>
      <w:lvlJc w:val="left"/>
      <w:pPr>
        <w:ind w:left="7080" w:hanging="240"/>
        <w:tab w:val="num" w:pos="7080"/>
      </w:pPr>
      <w:rPr>
        <w:rFonts w:ascii="Times New Roman" w:hAnsi="Times New Roman" w:cs="Times New Roman" w:eastAsia="Times New Roman"/>
        <w:sz w:val="24"/>
      </w:rPr>
    </w:lvl>
    <w:lvl w:ilvl="8">
      <w:numFmt w:val="bullet"/>
      <w:lvlText w:val="•"/>
      <w:lvlJc w:val="left"/>
      <w:pPr>
        <w:ind w:left="8040" w:hanging="240"/>
        <w:tab w:val="num" w:pos="8040"/>
      </w:pPr>
      <w:rPr>
        <w:rFonts w:ascii="Times New Roman" w:hAnsi="Times New Roman" w:cs="Times New Roman" w:eastAsia="Times New Roman"/>
        <w:sz w:val="24"/>
      </w:rPr>
    </w:lvl>
  </w:abstractNum>
  <w:abstractNum w:abstractNumId="101">
    <w:multiLevelType w:val="hybridMultilevel"/>
    <w:lvl w:ilvl="0">
      <w:numFmt w:val="decimal"/>
      <w:lvlText w:val="%1"/>
      <w:lvlJc w:val="left"/>
      <w:start w:val="1"/>
      <w:pPr>
        <w:ind w:left="570" w:hanging="180"/>
        <w:tab w:val="num" w:pos="570"/>
      </w:pPr>
      <w:rPr>
        <w:b/>
      </w:rPr>
    </w:lvl>
    <w:lvl w:ilvl="1">
      <w:numFmt w:val="decimal"/>
      <w:lvlText w:val="%1.%2"/>
      <w:lvlJc w:val="left"/>
      <w:start w:val="1"/>
      <w:pPr>
        <w:ind w:left="735" w:firstLine="0"/>
        <w:tab w:val="num" w:pos="1065"/>
      </w:pPr>
      <w:rPr>
        <w:rFonts w:ascii="Arial MT" w:hAnsi="Arial MT" w:cs="Arial MT" w:eastAsia="Arial MT"/>
      </w:rPr>
    </w:lvl>
    <w:lvl w:ilvl="2">
      <w:numFmt w:val="decimal"/>
      <w:lvlText w:val="%1.%2.%3"/>
      <w:lvlJc w:val="left"/>
      <w:start w:val="1"/>
      <w:pPr>
        <w:ind w:left="1575" w:hanging="495"/>
        <w:tab w:val="num" w:pos="1575"/>
      </w:pPr>
      <w:rPr>
        <w:rFonts w:ascii="Arial MT" w:hAnsi="Arial MT" w:cs="Arial MT" w:eastAsia="Arial MT"/>
      </w:rPr>
    </w:lvl>
    <w:lvl w:ilvl="3">
      <w:numFmt w:val="decimal"/>
      <w:lvlText w:val="%1.%2.%3.%4."/>
      <w:lvlJc w:val="left"/>
      <w:start w:val="1"/>
      <w:pPr>
        <w:ind w:left="1425" w:firstLine="0"/>
        <w:tab w:val="num" w:pos="2265"/>
      </w:pPr>
      <w:rPr>
        <w:rFonts w:ascii="Times New Roman" w:hAnsi="Times New Roman" w:cs="Times New Roman" w:eastAsia="Times New Roman"/>
      </w:rPr>
    </w:lvl>
    <w:lvl w:ilvl="4">
      <w:numFmt w:val="bullet"/>
      <w:lvlText w:val="•"/>
      <w:lvlJc w:val="left"/>
      <w:pPr>
        <w:ind w:left="1425" w:hanging="840"/>
        <w:tab w:val="num" w:pos="1425"/>
      </w:pPr>
      <w:rPr>
        <w:rFonts w:ascii="Times New Roman" w:hAnsi="Times New Roman" w:cs="Times New Roman" w:eastAsia="Times New Roman"/>
        <w:sz w:val="24"/>
      </w:rPr>
    </w:lvl>
    <w:lvl w:ilvl="5">
      <w:numFmt w:val="bullet"/>
      <w:lvlText w:val="•"/>
      <w:lvlJc w:val="left"/>
      <w:pPr>
        <w:ind w:left="1575" w:hanging="840"/>
        <w:tab w:val="num" w:pos="1575"/>
      </w:pPr>
      <w:rPr>
        <w:rFonts w:ascii="Times New Roman" w:hAnsi="Times New Roman" w:cs="Times New Roman" w:eastAsia="Times New Roman"/>
        <w:sz w:val="24"/>
      </w:rPr>
    </w:lvl>
    <w:lvl w:ilvl="6">
      <w:numFmt w:val="bullet"/>
      <w:lvlText w:val="•"/>
      <w:lvlJc w:val="left"/>
      <w:pPr>
        <w:ind w:left="1680" w:hanging="840"/>
        <w:tab w:val="num" w:pos="1680"/>
      </w:pPr>
      <w:rPr>
        <w:rFonts w:ascii="Times New Roman" w:hAnsi="Times New Roman" w:cs="Times New Roman" w:eastAsia="Times New Roman"/>
        <w:sz w:val="24"/>
      </w:rPr>
    </w:lvl>
    <w:lvl w:ilvl="7">
      <w:numFmt w:val="bullet"/>
      <w:lvlText w:val="•"/>
      <w:lvlJc w:val="left"/>
      <w:pPr>
        <w:ind w:left="2265" w:hanging="840"/>
        <w:tab w:val="num" w:pos="2265"/>
      </w:pPr>
      <w:rPr>
        <w:rFonts w:ascii="Times New Roman" w:hAnsi="Times New Roman" w:cs="Times New Roman" w:eastAsia="Times New Roman"/>
        <w:sz w:val="24"/>
      </w:rPr>
    </w:lvl>
    <w:lvl w:ilvl="8">
      <w:numFmt w:val="bullet"/>
      <w:lvlText w:val="•"/>
      <w:lvlJc w:val="left"/>
      <w:pPr>
        <w:ind w:left="4815" w:hanging="840"/>
        <w:tab w:val="num" w:pos="4815"/>
      </w:pPr>
      <w:rPr>
        <w:rFonts w:ascii="Times New Roman" w:hAnsi="Times New Roman" w:cs="Times New Roman" w:eastAsia="Times New Roman"/>
        <w:sz w:val="24"/>
      </w:rPr>
    </w:lvl>
  </w:abstractNum>
  <w:abstractNum w:abstractNumId="102">
    <w:multiLevelType w:val="hybridMultilevel"/>
    <w:lvl w:ilvl="0">
      <w:numFmt w:val="upperRoman"/>
      <w:lvlText w:val="%1"/>
      <w:lvlJc w:val="left"/>
      <w:start w:val="1"/>
      <w:pPr>
        <w:ind w:left="510" w:hanging="120"/>
        <w:tab w:val="num" w:pos="510"/>
      </w:pPr>
      <w:rPr>
        <w:rFonts w:ascii="Arial MT" w:hAnsi="Arial MT" w:cs="Arial MT" w:eastAsia="Arial MT"/>
      </w:rPr>
    </w:lvl>
    <w:lvl w:ilvl="1">
      <w:numFmt w:val="bullet"/>
      <w:lvlText w:val="•"/>
      <w:lvlJc w:val="left"/>
      <w:pPr>
        <w:ind w:left="1440" w:hanging="105"/>
        <w:tab w:val="num" w:pos="1440"/>
      </w:pPr>
      <w:rPr>
        <w:rFonts w:ascii="Times New Roman" w:hAnsi="Times New Roman" w:cs="Times New Roman" w:eastAsia="Times New Roman"/>
        <w:sz w:val="24"/>
      </w:rPr>
    </w:lvl>
    <w:lvl w:ilvl="2">
      <w:numFmt w:val="bullet"/>
      <w:lvlText w:val="•"/>
      <w:lvlJc w:val="left"/>
      <w:pPr>
        <w:ind w:left="2385" w:hanging="105"/>
        <w:tab w:val="num" w:pos="2385"/>
      </w:pPr>
      <w:rPr>
        <w:rFonts w:ascii="Times New Roman" w:hAnsi="Times New Roman" w:cs="Times New Roman" w:eastAsia="Times New Roman"/>
        <w:sz w:val="24"/>
      </w:rPr>
    </w:lvl>
    <w:lvl w:ilvl="3">
      <w:numFmt w:val="bullet"/>
      <w:lvlText w:val="•"/>
      <w:lvlJc w:val="left"/>
      <w:pPr>
        <w:ind w:left="3330" w:hanging="105"/>
        <w:tab w:val="num" w:pos="3330"/>
      </w:pPr>
      <w:rPr>
        <w:rFonts w:ascii="Times New Roman" w:hAnsi="Times New Roman" w:cs="Times New Roman" w:eastAsia="Times New Roman"/>
        <w:sz w:val="24"/>
      </w:rPr>
    </w:lvl>
    <w:lvl w:ilvl="4">
      <w:numFmt w:val="bullet"/>
      <w:lvlText w:val="•"/>
      <w:lvlJc w:val="left"/>
      <w:pPr>
        <w:ind w:left="4275" w:hanging="105"/>
        <w:tab w:val="num" w:pos="4275"/>
      </w:pPr>
      <w:rPr>
        <w:rFonts w:ascii="Times New Roman" w:hAnsi="Times New Roman" w:cs="Times New Roman" w:eastAsia="Times New Roman"/>
        <w:sz w:val="24"/>
      </w:rPr>
    </w:lvl>
    <w:lvl w:ilvl="5">
      <w:numFmt w:val="bullet"/>
      <w:lvlText w:val="•"/>
      <w:lvlJc w:val="left"/>
      <w:pPr>
        <w:ind w:left="5220" w:hanging="105"/>
        <w:tab w:val="num" w:pos="5220"/>
      </w:pPr>
      <w:rPr>
        <w:rFonts w:ascii="Times New Roman" w:hAnsi="Times New Roman" w:cs="Times New Roman" w:eastAsia="Times New Roman"/>
        <w:sz w:val="24"/>
      </w:rPr>
    </w:lvl>
    <w:lvl w:ilvl="6">
      <w:numFmt w:val="bullet"/>
      <w:lvlText w:val="•"/>
      <w:lvlJc w:val="left"/>
      <w:pPr>
        <w:ind w:left="6165" w:hanging="105"/>
        <w:tab w:val="num" w:pos="6165"/>
      </w:pPr>
      <w:rPr>
        <w:rFonts w:ascii="Times New Roman" w:hAnsi="Times New Roman" w:cs="Times New Roman" w:eastAsia="Times New Roman"/>
        <w:sz w:val="24"/>
      </w:rPr>
    </w:lvl>
    <w:lvl w:ilvl="7">
      <w:numFmt w:val="bullet"/>
      <w:lvlText w:val="•"/>
      <w:lvlJc w:val="left"/>
      <w:pPr>
        <w:ind w:left="7110" w:hanging="105"/>
        <w:tab w:val="num" w:pos="7110"/>
      </w:pPr>
      <w:rPr>
        <w:rFonts w:ascii="Times New Roman" w:hAnsi="Times New Roman" w:cs="Times New Roman" w:eastAsia="Times New Roman"/>
        <w:sz w:val="24"/>
      </w:rPr>
    </w:lvl>
    <w:lvl w:ilvl="8">
      <w:numFmt w:val="bullet"/>
      <w:lvlText w:val="•"/>
      <w:lvlJc w:val="left"/>
      <w:pPr>
        <w:ind w:left="8055" w:hanging="105"/>
        <w:tab w:val="num" w:pos="8055"/>
      </w:pPr>
      <w:rPr>
        <w:rFonts w:ascii="Times New Roman" w:hAnsi="Times New Roman" w:cs="Times New Roman" w:eastAsia="Times New Roman"/>
        <w:sz w:val="24"/>
      </w:rPr>
    </w:lvl>
  </w:abstractNum>
  <w:abstractNum w:abstractNumId="103">
    <w:multiLevelType w:val="hybridMultilevel"/>
    <w:lvl w:ilvl="0">
      <w:numFmt w:val="upperRoman"/>
      <w:lvlText w:val="%1"/>
      <w:lvlJc w:val="left"/>
      <w:start w:val="2"/>
      <w:pPr>
        <w:ind w:left="570" w:hanging="180"/>
        <w:tab w:val="num" w:pos="570"/>
      </w:pPr>
      <w:rPr>
        <w:rFonts w:ascii="Arial MT" w:hAnsi="Arial MT" w:cs="Arial MT" w:eastAsia="Arial MT"/>
      </w:rPr>
    </w:lvl>
    <w:lvl w:ilvl="1">
      <w:numFmt w:val="bullet"/>
      <w:lvlText w:val="•"/>
      <w:lvlJc w:val="left"/>
      <w:pPr>
        <w:ind w:left="1500" w:hanging="165"/>
        <w:tab w:val="num" w:pos="1500"/>
      </w:pPr>
      <w:rPr>
        <w:rFonts w:ascii="Times New Roman" w:hAnsi="Times New Roman" w:cs="Times New Roman" w:eastAsia="Times New Roman"/>
        <w:sz w:val="24"/>
      </w:rPr>
    </w:lvl>
    <w:lvl w:ilvl="2">
      <w:numFmt w:val="bullet"/>
      <w:lvlText w:val="•"/>
      <w:lvlJc w:val="left"/>
      <w:pPr>
        <w:ind w:left="2430" w:hanging="165"/>
        <w:tab w:val="num" w:pos="2430"/>
      </w:pPr>
      <w:rPr>
        <w:rFonts w:ascii="Times New Roman" w:hAnsi="Times New Roman" w:cs="Times New Roman" w:eastAsia="Times New Roman"/>
        <w:sz w:val="24"/>
      </w:rPr>
    </w:lvl>
    <w:lvl w:ilvl="3">
      <w:numFmt w:val="bullet"/>
      <w:lvlText w:val="•"/>
      <w:lvlJc w:val="left"/>
      <w:pPr>
        <w:ind w:left="3375" w:hanging="165"/>
        <w:tab w:val="num" w:pos="3375"/>
      </w:pPr>
      <w:rPr>
        <w:rFonts w:ascii="Times New Roman" w:hAnsi="Times New Roman" w:cs="Times New Roman" w:eastAsia="Times New Roman"/>
        <w:sz w:val="24"/>
      </w:rPr>
    </w:lvl>
    <w:lvl w:ilvl="4">
      <w:numFmt w:val="bullet"/>
      <w:lvlText w:val="•"/>
      <w:lvlJc w:val="left"/>
      <w:pPr>
        <w:ind w:left="4320" w:hanging="165"/>
        <w:tab w:val="num" w:pos="4320"/>
      </w:pPr>
      <w:rPr>
        <w:rFonts w:ascii="Times New Roman" w:hAnsi="Times New Roman" w:cs="Times New Roman" w:eastAsia="Times New Roman"/>
        <w:sz w:val="24"/>
      </w:rPr>
    </w:lvl>
    <w:lvl w:ilvl="5">
      <w:numFmt w:val="bullet"/>
      <w:lvlText w:val="•"/>
      <w:lvlJc w:val="left"/>
      <w:pPr>
        <w:ind w:left="5250" w:hanging="165"/>
        <w:tab w:val="num" w:pos="5250"/>
      </w:pPr>
      <w:rPr>
        <w:rFonts w:ascii="Times New Roman" w:hAnsi="Times New Roman" w:cs="Times New Roman" w:eastAsia="Times New Roman"/>
        <w:sz w:val="24"/>
      </w:rPr>
    </w:lvl>
    <w:lvl w:ilvl="6">
      <w:numFmt w:val="bullet"/>
      <w:lvlText w:val="•"/>
      <w:lvlJc w:val="left"/>
      <w:pPr>
        <w:ind w:left="6195" w:hanging="165"/>
        <w:tab w:val="num" w:pos="6195"/>
      </w:pPr>
      <w:rPr>
        <w:rFonts w:ascii="Times New Roman" w:hAnsi="Times New Roman" w:cs="Times New Roman" w:eastAsia="Times New Roman"/>
        <w:sz w:val="24"/>
      </w:rPr>
    </w:lvl>
    <w:lvl w:ilvl="7">
      <w:numFmt w:val="bullet"/>
      <w:lvlText w:val="•"/>
      <w:lvlJc w:val="left"/>
      <w:pPr>
        <w:ind w:left="7125" w:hanging="165"/>
        <w:tab w:val="num" w:pos="7125"/>
      </w:pPr>
      <w:rPr>
        <w:rFonts w:ascii="Times New Roman" w:hAnsi="Times New Roman" w:cs="Times New Roman" w:eastAsia="Times New Roman"/>
        <w:sz w:val="24"/>
      </w:rPr>
    </w:lvl>
    <w:lvl w:ilvl="8">
      <w:numFmt w:val="bullet"/>
      <w:lvlText w:val="•"/>
      <w:lvlJc w:val="left"/>
      <w:pPr>
        <w:ind w:left="8070" w:hanging="165"/>
        <w:tab w:val="num" w:pos="8070"/>
      </w:pPr>
      <w:rPr>
        <w:rFonts w:ascii="Times New Roman" w:hAnsi="Times New Roman" w:cs="Times New Roman" w:eastAsia="Times New Roman"/>
        <w:sz w:val="24"/>
      </w:rPr>
    </w:lvl>
  </w:abstractNum>
  <w:abstractNum w:abstractNumId="104">
    <w:multiLevelType w:val="hybridMultilevel"/>
    <w:lvl w:ilvl="0">
      <w:numFmt w:val="upperRoman"/>
      <w:lvlText w:val="%1"/>
      <w:lvlJc w:val="left"/>
      <w:start w:val="1"/>
      <w:pPr>
        <w:ind w:left="405" w:firstLine="0"/>
        <w:tab w:val="num" w:pos="525"/>
      </w:pPr>
      <w:rPr>
        <w:rFonts w:ascii="Arial MT" w:hAnsi="Arial MT" w:cs="Arial MT" w:eastAsia="Arial MT"/>
      </w:rPr>
    </w:lvl>
    <w:lvl w:ilvl="1">
      <w:numFmt w:val="bullet"/>
      <w:lvlText w:val="•"/>
      <w:lvlJc w:val="left"/>
      <w:pPr>
        <w:ind w:left="1350" w:hanging="120"/>
        <w:tab w:val="num" w:pos="1350"/>
      </w:pPr>
      <w:rPr>
        <w:rFonts w:ascii="Times New Roman" w:hAnsi="Times New Roman" w:cs="Times New Roman" w:eastAsia="Times New Roman"/>
        <w:sz w:val="24"/>
      </w:rPr>
    </w:lvl>
    <w:lvl w:ilvl="2">
      <w:numFmt w:val="bullet"/>
      <w:lvlText w:val="•"/>
      <w:lvlJc w:val="left"/>
      <w:pPr>
        <w:ind w:left="2310" w:hanging="120"/>
        <w:tab w:val="num" w:pos="231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15" w:hanging="120"/>
        <w:tab w:val="num" w:pos="4215"/>
      </w:pPr>
      <w:rPr>
        <w:rFonts w:ascii="Times New Roman" w:hAnsi="Times New Roman" w:cs="Times New Roman" w:eastAsia="Times New Roman"/>
        <w:sz w:val="24"/>
      </w:rPr>
    </w:lvl>
    <w:lvl w:ilvl="5">
      <w:numFmt w:val="bullet"/>
      <w:lvlText w:val="•"/>
      <w:lvlJc w:val="left"/>
      <w:pPr>
        <w:ind w:left="5175" w:hanging="120"/>
        <w:tab w:val="num" w:pos="5175"/>
      </w:pPr>
      <w:rPr>
        <w:rFonts w:ascii="Times New Roman" w:hAnsi="Times New Roman" w:cs="Times New Roman" w:eastAsia="Times New Roman"/>
        <w:sz w:val="24"/>
      </w:rPr>
    </w:lvl>
    <w:lvl w:ilvl="6">
      <w:numFmt w:val="bullet"/>
      <w:lvlText w:val="•"/>
      <w:lvlJc w:val="left"/>
      <w:pPr>
        <w:ind w:left="6120" w:hanging="120"/>
        <w:tab w:val="num" w:pos="6120"/>
      </w:pPr>
      <w:rPr>
        <w:rFonts w:ascii="Times New Roman" w:hAnsi="Times New Roman" w:cs="Times New Roman" w:eastAsia="Times New Roman"/>
        <w:sz w:val="24"/>
      </w:rPr>
    </w:lvl>
    <w:lvl w:ilvl="7">
      <w:numFmt w:val="bullet"/>
      <w:lvlText w:val="•"/>
      <w:lvlJc w:val="left"/>
      <w:pPr>
        <w:ind w:left="7080" w:hanging="120"/>
        <w:tab w:val="num" w:pos="7080"/>
      </w:pPr>
      <w:rPr>
        <w:rFonts w:ascii="Times New Roman" w:hAnsi="Times New Roman" w:cs="Times New Roman" w:eastAsia="Times New Roman"/>
        <w:sz w:val="24"/>
      </w:rPr>
    </w:lvl>
    <w:lvl w:ilvl="8">
      <w:numFmt w:val="bullet"/>
      <w:lvlText w:val="•"/>
      <w:lvlJc w:val="left"/>
      <w:pPr>
        <w:ind w:left="8040" w:hanging="120"/>
        <w:tab w:val="num" w:pos="8040"/>
      </w:pPr>
      <w:rPr>
        <w:rFonts w:ascii="Times New Roman" w:hAnsi="Times New Roman" w:cs="Times New Roman" w:eastAsia="Times New Roman"/>
        <w:sz w:val="24"/>
      </w:rPr>
    </w:lvl>
  </w:abstractNum>
  <w:abstractNum w:abstractNumId="105">
    <w:multiLevelType w:val="hybridMultilevel"/>
    <w:lvl w:ilvl="0">
      <w:numFmt w:val="decimal"/>
      <w:lvlText w:val="%1)"/>
      <w:lvlJc w:val="left"/>
      <w:start w:val="1"/>
      <w:pPr>
        <w:ind w:left="405" w:firstLine="0"/>
        <w:tab w:val="num" w:pos="645"/>
      </w:pPr>
      <w:rPr>
        <w:rFonts w:ascii="Times New Roman" w:hAnsi="Times New Roman" w:cs="Times New Roman" w:eastAsia="Times New Roman"/>
      </w:rPr>
    </w:lvl>
    <w:lvl w:ilvl="1">
      <w:numFmt w:val="bullet"/>
      <w:lvlText w:val="•"/>
      <w:lvlJc w:val="left"/>
      <w:pPr>
        <w:ind w:left="1350" w:hanging="240"/>
        <w:tab w:val="num" w:pos="1350"/>
      </w:pPr>
      <w:rPr>
        <w:rFonts w:ascii="Times New Roman" w:hAnsi="Times New Roman" w:cs="Times New Roman" w:eastAsia="Times New Roman"/>
        <w:sz w:val="24"/>
      </w:rPr>
    </w:lvl>
    <w:lvl w:ilvl="2">
      <w:numFmt w:val="bullet"/>
      <w:lvlText w:val="•"/>
      <w:lvlJc w:val="left"/>
      <w:pPr>
        <w:ind w:left="2310" w:hanging="240"/>
        <w:tab w:val="num" w:pos="2310"/>
      </w:pPr>
      <w:rPr>
        <w:rFonts w:ascii="Times New Roman" w:hAnsi="Times New Roman" w:cs="Times New Roman" w:eastAsia="Times New Roman"/>
        <w:sz w:val="24"/>
      </w:rPr>
    </w:lvl>
    <w:lvl w:ilvl="3">
      <w:numFmt w:val="bullet"/>
      <w:lvlText w:val="•"/>
      <w:lvlJc w:val="left"/>
      <w:pPr>
        <w:ind w:left="3270" w:hanging="240"/>
        <w:tab w:val="num" w:pos="3270"/>
      </w:pPr>
      <w:rPr>
        <w:rFonts w:ascii="Times New Roman" w:hAnsi="Times New Roman" w:cs="Times New Roman" w:eastAsia="Times New Roman"/>
        <w:sz w:val="24"/>
      </w:rPr>
    </w:lvl>
    <w:lvl w:ilvl="4">
      <w:numFmt w:val="bullet"/>
      <w:lvlText w:val="•"/>
      <w:lvlJc w:val="left"/>
      <w:pPr>
        <w:ind w:left="4215" w:hanging="240"/>
        <w:tab w:val="num" w:pos="4215"/>
      </w:pPr>
      <w:rPr>
        <w:rFonts w:ascii="Times New Roman" w:hAnsi="Times New Roman" w:cs="Times New Roman" w:eastAsia="Times New Roman"/>
        <w:sz w:val="24"/>
      </w:rPr>
    </w:lvl>
    <w:lvl w:ilvl="5">
      <w:numFmt w:val="bullet"/>
      <w:lvlText w:val="•"/>
      <w:lvlJc w:val="left"/>
      <w:pPr>
        <w:ind w:left="5175" w:hanging="240"/>
        <w:tab w:val="num" w:pos="5175"/>
      </w:pPr>
      <w:rPr>
        <w:rFonts w:ascii="Times New Roman" w:hAnsi="Times New Roman" w:cs="Times New Roman" w:eastAsia="Times New Roman"/>
        <w:sz w:val="24"/>
      </w:rPr>
    </w:lvl>
    <w:lvl w:ilvl="6">
      <w:numFmt w:val="bullet"/>
      <w:lvlText w:val="•"/>
      <w:lvlJc w:val="left"/>
      <w:pPr>
        <w:ind w:left="6120" w:hanging="240"/>
        <w:tab w:val="num" w:pos="6120"/>
      </w:pPr>
      <w:rPr>
        <w:rFonts w:ascii="Times New Roman" w:hAnsi="Times New Roman" w:cs="Times New Roman" w:eastAsia="Times New Roman"/>
        <w:sz w:val="24"/>
      </w:rPr>
    </w:lvl>
    <w:lvl w:ilvl="7">
      <w:numFmt w:val="bullet"/>
      <w:lvlText w:val="•"/>
      <w:lvlJc w:val="left"/>
      <w:pPr>
        <w:ind w:left="7080" w:hanging="240"/>
        <w:tab w:val="num" w:pos="7080"/>
      </w:pPr>
      <w:rPr>
        <w:rFonts w:ascii="Times New Roman" w:hAnsi="Times New Roman" w:cs="Times New Roman" w:eastAsia="Times New Roman"/>
        <w:sz w:val="24"/>
      </w:rPr>
    </w:lvl>
    <w:lvl w:ilvl="8">
      <w:numFmt w:val="bullet"/>
      <w:lvlText w:val="•"/>
      <w:lvlJc w:val="left"/>
      <w:pPr>
        <w:ind w:left="8040" w:hanging="240"/>
        <w:tab w:val="num" w:pos="8040"/>
      </w:pPr>
      <w:rPr>
        <w:rFonts w:ascii="Times New Roman" w:hAnsi="Times New Roman" w:cs="Times New Roman" w:eastAsia="Times New Roman"/>
        <w:sz w:val="24"/>
      </w:rPr>
    </w:lvl>
  </w:abstractNum>
  <w:abstractNum w:abstractNumId="106">
    <w:multiLevelType w:val="hybridMultilevel"/>
    <w:lvl w:ilvl="0">
      <w:numFmt w:val="upperRoman"/>
      <w:lvlText w:val="%1"/>
      <w:lvlJc w:val="left"/>
      <w:start w:val="4"/>
      <w:pPr>
        <w:ind w:left="645" w:hanging="255"/>
        <w:tab w:val="num" w:pos="645"/>
      </w:pPr>
      <w:rPr>
        <w:rFonts w:ascii="Arial MT" w:hAnsi="Arial MT" w:cs="Arial MT" w:eastAsia="Arial MT"/>
      </w:rPr>
    </w:lvl>
    <w:lvl w:ilvl="1">
      <w:numFmt w:val="bullet"/>
      <w:lvlText w:val="•"/>
      <w:lvlJc w:val="left"/>
      <w:pPr>
        <w:ind w:left="1575" w:hanging="240"/>
        <w:tab w:val="num" w:pos="1575"/>
      </w:pPr>
      <w:rPr>
        <w:rFonts w:ascii="Times New Roman" w:hAnsi="Times New Roman" w:cs="Times New Roman" w:eastAsia="Times New Roman"/>
        <w:sz w:val="24"/>
      </w:rPr>
    </w:lvl>
    <w:lvl w:ilvl="2">
      <w:numFmt w:val="bullet"/>
      <w:lvlText w:val="•"/>
      <w:lvlJc w:val="left"/>
      <w:pPr>
        <w:ind w:left="2505" w:hanging="240"/>
        <w:tab w:val="num" w:pos="2505"/>
      </w:pPr>
      <w:rPr>
        <w:rFonts w:ascii="Times New Roman" w:hAnsi="Times New Roman" w:cs="Times New Roman" w:eastAsia="Times New Roman"/>
        <w:sz w:val="24"/>
      </w:rPr>
    </w:lvl>
    <w:lvl w:ilvl="3">
      <w:numFmt w:val="bullet"/>
      <w:lvlText w:val="•"/>
      <w:lvlJc w:val="left"/>
      <w:pPr>
        <w:ind w:left="3435" w:hanging="240"/>
        <w:tab w:val="num" w:pos="3435"/>
      </w:pPr>
      <w:rPr>
        <w:rFonts w:ascii="Times New Roman" w:hAnsi="Times New Roman" w:cs="Times New Roman" w:eastAsia="Times New Roman"/>
        <w:sz w:val="24"/>
      </w:rPr>
    </w:lvl>
    <w:lvl w:ilvl="4">
      <w:numFmt w:val="bullet"/>
      <w:lvlText w:val="•"/>
      <w:lvlJc w:val="left"/>
      <w:pPr>
        <w:ind w:left="4365" w:hanging="240"/>
        <w:tab w:val="num" w:pos="4365"/>
      </w:pPr>
      <w:rPr>
        <w:rFonts w:ascii="Times New Roman" w:hAnsi="Times New Roman" w:cs="Times New Roman" w:eastAsia="Times New Roman"/>
        <w:sz w:val="24"/>
      </w:rPr>
    </w:lvl>
    <w:lvl w:ilvl="5">
      <w:numFmt w:val="bullet"/>
      <w:lvlText w:val="•"/>
      <w:lvlJc w:val="left"/>
      <w:pPr>
        <w:ind w:left="5295" w:hanging="240"/>
        <w:tab w:val="num" w:pos="5295"/>
      </w:pPr>
      <w:rPr>
        <w:rFonts w:ascii="Times New Roman" w:hAnsi="Times New Roman" w:cs="Times New Roman" w:eastAsia="Times New Roman"/>
        <w:sz w:val="24"/>
      </w:rPr>
    </w:lvl>
    <w:lvl w:ilvl="6">
      <w:numFmt w:val="bullet"/>
      <w:lvlText w:val="•"/>
      <w:lvlJc w:val="left"/>
      <w:pPr>
        <w:ind w:left="6225" w:hanging="240"/>
        <w:tab w:val="num" w:pos="6225"/>
      </w:pPr>
      <w:rPr>
        <w:rFonts w:ascii="Times New Roman" w:hAnsi="Times New Roman" w:cs="Times New Roman" w:eastAsia="Times New Roman"/>
        <w:sz w:val="24"/>
      </w:rPr>
    </w:lvl>
    <w:lvl w:ilvl="7">
      <w:numFmt w:val="bullet"/>
      <w:lvlText w:val="•"/>
      <w:lvlJc w:val="left"/>
      <w:pPr>
        <w:ind w:left="7155" w:hanging="240"/>
        <w:tab w:val="num" w:pos="7155"/>
      </w:pPr>
      <w:rPr>
        <w:rFonts w:ascii="Times New Roman" w:hAnsi="Times New Roman" w:cs="Times New Roman" w:eastAsia="Times New Roman"/>
        <w:sz w:val="24"/>
      </w:rPr>
    </w:lvl>
    <w:lvl w:ilvl="8">
      <w:numFmt w:val="bullet"/>
      <w:lvlText w:val="•"/>
      <w:lvlJc w:val="left"/>
      <w:pPr>
        <w:ind w:left="8085" w:hanging="240"/>
        <w:tab w:val="num" w:pos="8085"/>
      </w:pPr>
      <w:rPr>
        <w:rFonts w:ascii="Times New Roman" w:hAnsi="Times New Roman" w:cs="Times New Roman" w:eastAsia="Times New Roman"/>
        <w:sz w:val="24"/>
      </w:rPr>
    </w:lvl>
  </w:abstractNum>
  <w:abstractNum w:abstractNumId="107">
    <w:multiLevelType w:val="hybridMultilevel"/>
    <w:lvl w:ilvl="0">
      <w:numFmt w:val="upperRoman"/>
      <w:lvlText w:val="%1"/>
      <w:lvlJc w:val="left"/>
      <w:start w:val="6"/>
      <w:pPr>
        <w:ind w:left="645" w:hanging="255"/>
        <w:tab w:val="num" w:pos="645"/>
      </w:pPr>
      <w:rPr>
        <w:rFonts w:ascii="Arial MT" w:hAnsi="Arial MT" w:cs="Arial MT" w:eastAsia="Arial MT"/>
      </w:rPr>
    </w:lvl>
    <w:lvl w:ilvl="1">
      <w:numFmt w:val="bullet"/>
      <w:lvlText w:val="•"/>
      <w:lvlJc w:val="left"/>
      <w:pPr>
        <w:ind w:left="1575" w:hanging="240"/>
        <w:tab w:val="num" w:pos="1575"/>
      </w:pPr>
      <w:rPr>
        <w:rFonts w:ascii="Times New Roman" w:hAnsi="Times New Roman" w:cs="Times New Roman" w:eastAsia="Times New Roman"/>
        <w:sz w:val="24"/>
      </w:rPr>
    </w:lvl>
    <w:lvl w:ilvl="2">
      <w:numFmt w:val="bullet"/>
      <w:lvlText w:val="•"/>
      <w:lvlJc w:val="left"/>
      <w:pPr>
        <w:ind w:left="2505" w:hanging="240"/>
        <w:tab w:val="num" w:pos="2505"/>
      </w:pPr>
      <w:rPr>
        <w:rFonts w:ascii="Times New Roman" w:hAnsi="Times New Roman" w:cs="Times New Roman" w:eastAsia="Times New Roman"/>
        <w:sz w:val="24"/>
      </w:rPr>
    </w:lvl>
    <w:lvl w:ilvl="3">
      <w:numFmt w:val="bullet"/>
      <w:lvlText w:val="•"/>
      <w:lvlJc w:val="left"/>
      <w:pPr>
        <w:ind w:left="3435" w:hanging="240"/>
        <w:tab w:val="num" w:pos="3435"/>
      </w:pPr>
      <w:rPr>
        <w:rFonts w:ascii="Times New Roman" w:hAnsi="Times New Roman" w:cs="Times New Roman" w:eastAsia="Times New Roman"/>
        <w:sz w:val="24"/>
      </w:rPr>
    </w:lvl>
    <w:lvl w:ilvl="4">
      <w:numFmt w:val="bullet"/>
      <w:lvlText w:val="•"/>
      <w:lvlJc w:val="left"/>
      <w:pPr>
        <w:ind w:left="4365" w:hanging="240"/>
        <w:tab w:val="num" w:pos="4365"/>
      </w:pPr>
      <w:rPr>
        <w:rFonts w:ascii="Times New Roman" w:hAnsi="Times New Roman" w:cs="Times New Roman" w:eastAsia="Times New Roman"/>
        <w:sz w:val="24"/>
      </w:rPr>
    </w:lvl>
    <w:lvl w:ilvl="5">
      <w:numFmt w:val="bullet"/>
      <w:lvlText w:val="•"/>
      <w:lvlJc w:val="left"/>
      <w:pPr>
        <w:ind w:left="5295" w:hanging="240"/>
        <w:tab w:val="num" w:pos="5295"/>
      </w:pPr>
      <w:rPr>
        <w:rFonts w:ascii="Times New Roman" w:hAnsi="Times New Roman" w:cs="Times New Roman" w:eastAsia="Times New Roman"/>
        <w:sz w:val="24"/>
      </w:rPr>
    </w:lvl>
    <w:lvl w:ilvl="6">
      <w:numFmt w:val="bullet"/>
      <w:lvlText w:val="•"/>
      <w:lvlJc w:val="left"/>
      <w:pPr>
        <w:ind w:left="6225" w:hanging="240"/>
        <w:tab w:val="num" w:pos="6225"/>
      </w:pPr>
      <w:rPr>
        <w:rFonts w:ascii="Times New Roman" w:hAnsi="Times New Roman" w:cs="Times New Roman" w:eastAsia="Times New Roman"/>
        <w:sz w:val="24"/>
      </w:rPr>
    </w:lvl>
    <w:lvl w:ilvl="7">
      <w:numFmt w:val="bullet"/>
      <w:lvlText w:val="•"/>
      <w:lvlJc w:val="left"/>
      <w:pPr>
        <w:ind w:left="7155" w:hanging="240"/>
        <w:tab w:val="num" w:pos="7155"/>
      </w:pPr>
      <w:rPr>
        <w:rFonts w:ascii="Times New Roman" w:hAnsi="Times New Roman" w:cs="Times New Roman" w:eastAsia="Times New Roman"/>
        <w:sz w:val="24"/>
      </w:rPr>
    </w:lvl>
    <w:lvl w:ilvl="8">
      <w:numFmt w:val="bullet"/>
      <w:lvlText w:val="•"/>
      <w:lvlJc w:val="left"/>
      <w:pPr>
        <w:ind w:left="8085" w:hanging="240"/>
        <w:tab w:val="num" w:pos="8085"/>
      </w:pPr>
      <w:rPr>
        <w:rFonts w:ascii="Times New Roman" w:hAnsi="Times New Roman" w:cs="Times New Roman" w:eastAsia="Times New Roman"/>
        <w:sz w:val="24"/>
      </w:rPr>
    </w:lvl>
  </w:abstractNum>
  <w:abstractNum w:abstractNumId="108">
    <w:multiLevelType w:val="hybridMultilevel"/>
    <w:lvl w:ilvl="0">
      <w:numFmt w:val="upperRoman"/>
      <w:lvlText w:val="%1"/>
      <w:lvlJc w:val="left"/>
      <w:start w:val="2"/>
      <w:pPr>
        <w:ind w:left="570" w:hanging="180"/>
        <w:tab w:val="num" w:pos="570"/>
      </w:pPr>
      <w:rPr>
        <w:rFonts w:ascii="Arial MT" w:hAnsi="Arial MT" w:cs="Arial MT" w:eastAsia="Arial MT"/>
      </w:rPr>
    </w:lvl>
    <w:lvl w:ilvl="1">
      <w:numFmt w:val="bullet"/>
      <w:lvlText w:val="•"/>
      <w:lvlJc w:val="left"/>
      <w:pPr>
        <w:ind w:left="1500" w:hanging="165"/>
        <w:tab w:val="num" w:pos="1500"/>
      </w:pPr>
      <w:rPr>
        <w:rFonts w:ascii="Times New Roman" w:hAnsi="Times New Roman" w:cs="Times New Roman" w:eastAsia="Times New Roman"/>
        <w:sz w:val="24"/>
      </w:rPr>
    </w:lvl>
    <w:lvl w:ilvl="2">
      <w:numFmt w:val="bullet"/>
      <w:lvlText w:val="•"/>
      <w:lvlJc w:val="left"/>
      <w:pPr>
        <w:ind w:left="2430" w:hanging="165"/>
        <w:tab w:val="num" w:pos="2430"/>
      </w:pPr>
      <w:rPr>
        <w:rFonts w:ascii="Times New Roman" w:hAnsi="Times New Roman" w:cs="Times New Roman" w:eastAsia="Times New Roman"/>
        <w:sz w:val="24"/>
      </w:rPr>
    </w:lvl>
    <w:lvl w:ilvl="3">
      <w:numFmt w:val="bullet"/>
      <w:lvlText w:val="•"/>
      <w:lvlJc w:val="left"/>
      <w:pPr>
        <w:ind w:left="3375" w:hanging="165"/>
        <w:tab w:val="num" w:pos="3375"/>
      </w:pPr>
      <w:rPr>
        <w:rFonts w:ascii="Times New Roman" w:hAnsi="Times New Roman" w:cs="Times New Roman" w:eastAsia="Times New Roman"/>
        <w:sz w:val="24"/>
      </w:rPr>
    </w:lvl>
    <w:lvl w:ilvl="4">
      <w:numFmt w:val="bullet"/>
      <w:lvlText w:val="•"/>
      <w:lvlJc w:val="left"/>
      <w:pPr>
        <w:ind w:left="4320" w:hanging="165"/>
        <w:tab w:val="num" w:pos="4320"/>
      </w:pPr>
      <w:rPr>
        <w:rFonts w:ascii="Times New Roman" w:hAnsi="Times New Roman" w:cs="Times New Roman" w:eastAsia="Times New Roman"/>
        <w:sz w:val="24"/>
      </w:rPr>
    </w:lvl>
    <w:lvl w:ilvl="5">
      <w:numFmt w:val="bullet"/>
      <w:lvlText w:val="•"/>
      <w:lvlJc w:val="left"/>
      <w:pPr>
        <w:ind w:left="5250" w:hanging="165"/>
        <w:tab w:val="num" w:pos="5250"/>
      </w:pPr>
      <w:rPr>
        <w:rFonts w:ascii="Times New Roman" w:hAnsi="Times New Roman" w:cs="Times New Roman" w:eastAsia="Times New Roman"/>
        <w:sz w:val="24"/>
      </w:rPr>
    </w:lvl>
    <w:lvl w:ilvl="6">
      <w:numFmt w:val="bullet"/>
      <w:lvlText w:val="•"/>
      <w:lvlJc w:val="left"/>
      <w:pPr>
        <w:ind w:left="6195" w:hanging="165"/>
        <w:tab w:val="num" w:pos="6195"/>
      </w:pPr>
      <w:rPr>
        <w:rFonts w:ascii="Times New Roman" w:hAnsi="Times New Roman" w:cs="Times New Roman" w:eastAsia="Times New Roman"/>
        <w:sz w:val="24"/>
      </w:rPr>
    </w:lvl>
    <w:lvl w:ilvl="7">
      <w:numFmt w:val="bullet"/>
      <w:lvlText w:val="•"/>
      <w:lvlJc w:val="left"/>
      <w:pPr>
        <w:ind w:left="7125" w:hanging="165"/>
        <w:tab w:val="num" w:pos="7125"/>
      </w:pPr>
      <w:rPr>
        <w:rFonts w:ascii="Times New Roman" w:hAnsi="Times New Roman" w:cs="Times New Roman" w:eastAsia="Times New Roman"/>
        <w:sz w:val="24"/>
      </w:rPr>
    </w:lvl>
    <w:lvl w:ilvl="8">
      <w:numFmt w:val="bullet"/>
      <w:lvlText w:val="•"/>
      <w:lvlJc w:val="left"/>
      <w:pPr>
        <w:ind w:left="8070" w:hanging="165"/>
        <w:tab w:val="num" w:pos="8070"/>
      </w:pPr>
      <w:rPr>
        <w:rFonts w:ascii="Times New Roman" w:hAnsi="Times New Roman" w:cs="Times New Roman" w:eastAsia="Times New Roman"/>
        <w:sz w:val="24"/>
      </w:rPr>
    </w:lvl>
  </w:abstractNum>
  <w:abstractNum w:abstractNumId="109">
    <w:multiLevelType w:val="hybridMultilevel"/>
    <w:lvl w:ilvl="0">
      <w:numFmt w:val="lowerLetter"/>
      <w:lvlText w:val="%1)"/>
      <w:lvlJc w:val="left"/>
      <w:start w:val="1"/>
      <w:pPr>
        <w:ind w:left="1125" w:hanging="375"/>
        <w:tab w:val="num" w:pos="1125"/>
      </w:pPr>
      <w:rPr>
        <w:rFonts w:ascii="Arial MT" w:hAnsi="Arial MT" w:cs="Arial MT" w:eastAsia="Arial MT"/>
      </w:rPr>
    </w:lvl>
    <w:lvl w:ilvl="1">
      <w:numFmt w:val="bullet"/>
      <w:lvlText w:val="•"/>
      <w:lvlJc w:val="left"/>
      <w:pPr>
        <w:ind w:left="1995" w:hanging="360"/>
        <w:tab w:val="num" w:pos="1995"/>
      </w:pPr>
      <w:rPr>
        <w:rFonts w:ascii="Times New Roman" w:hAnsi="Times New Roman" w:cs="Times New Roman" w:eastAsia="Times New Roman"/>
        <w:sz w:val="24"/>
      </w:rPr>
    </w:lvl>
    <w:lvl w:ilvl="2">
      <w:numFmt w:val="bullet"/>
      <w:lvlText w:val="•"/>
      <w:lvlJc w:val="left"/>
      <w:pPr>
        <w:ind w:left="2880" w:hanging="360"/>
        <w:tab w:val="num" w:pos="2880"/>
      </w:pPr>
      <w:rPr>
        <w:rFonts w:ascii="Times New Roman" w:hAnsi="Times New Roman" w:cs="Times New Roman" w:eastAsia="Times New Roman"/>
        <w:sz w:val="24"/>
      </w:rPr>
    </w:lvl>
    <w:lvl w:ilvl="3">
      <w:numFmt w:val="bullet"/>
      <w:lvlText w:val="•"/>
      <w:lvlJc w:val="left"/>
      <w:pPr>
        <w:ind w:left="3765" w:hanging="360"/>
        <w:tab w:val="num" w:pos="3765"/>
      </w:pPr>
      <w:rPr>
        <w:rFonts w:ascii="Times New Roman" w:hAnsi="Times New Roman" w:cs="Times New Roman" w:eastAsia="Times New Roman"/>
        <w:sz w:val="24"/>
      </w:rPr>
    </w:lvl>
    <w:lvl w:ilvl="4">
      <w:numFmt w:val="bullet"/>
      <w:lvlText w:val="•"/>
      <w:lvlJc w:val="left"/>
      <w:pPr>
        <w:ind w:left="4650" w:hanging="360"/>
        <w:tab w:val="num" w:pos="4650"/>
      </w:pPr>
      <w:rPr>
        <w:rFonts w:ascii="Times New Roman" w:hAnsi="Times New Roman" w:cs="Times New Roman" w:eastAsia="Times New Roman"/>
        <w:sz w:val="24"/>
      </w:rPr>
    </w:lvl>
    <w:lvl w:ilvl="5">
      <w:numFmt w:val="bullet"/>
      <w:lvlText w:val="•"/>
      <w:lvlJc w:val="left"/>
      <w:pPr>
        <w:ind w:left="5535" w:hanging="360"/>
        <w:tab w:val="num" w:pos="5535"/>
      </w:pPr>
      <w:rPr>
        <w:rFonts w:ascii="Times New Roman" w:hAnsi="Times New Roman" w:cs="Times New Roman" w:eastAsia="Times New Roman"/>
        <w:sz w:val="24"/>
      </w:rPr>
    </w:lvl>
    <w:lvl w:ilvl="6">
      <w:numFmt w:val="bullet"/>
      <w:lvlText w:val="•"/>
      <w:lvlJc w:val="left"/>
      <w:pPr>
        <w:ind w:left="6420" w:hanging="360"/>
        <w:tab w:val="num" w:pos="6420"/>
      </w:pPr>
      <w:rPr>
        <w:rFonts w:ascii="Times New Roman" w:hAnsi="Times New Roman" w:cs="Times New Roman" w:eastAsia="Times New Roman"/>
        <w:sz w:val="24"/>
      </w:rPr>
    </w:lvl>
    <w:lvl w:ilvl="7">
      <w:numFmt w:val="bullet"/>
      <w:lvlText w:val="•"/>
      <w:lvlJc w:val="left"/>
      <w:pPr>
        <w:ind w:left="7290" w:hanging="360"/>
        <w:tab w:val="num" w:pos="7290"/>
      </w:pPr>
      <w:rPr>
        <w:rFonts w:ascii="Times New Roman" w:hAnsi="Times New Roman" w:cs="Times New Roman" w:eastAsia="Times New Roman"/>
        <w:sz w:val="24"/>
      </w:rPr>
    </w:lvl>
    <w:lvl w:ilvl="8">
      <w:numFmt w:val="bullet"/>
      <w:lvlText w:val="•"/>
      <w:lvlJc w:val="left"/>
      <w:pPr>
        <w:ind w:left="8175" w:hanging="360"/>
        <w:tab w:val="num" w:pos="8175"/>
      </w:pPr>
      <w:rPr>
        <w:rFonts w:ascii="Times New Roman" w:hAnsi="Times New Roman" w:cs="Times New Roman" w:eastAsia="Times New Roman"/>
        <w:sz w:val="24"/>
      </w:rPr>
    </w:lvl>
  </w:abstractNum>
  <w:abstractNum w:abstractNumId="110">
    <w:multiLevelType w:val="hybridMultilevel"/>
    <w:lvl w:ilvl="0">
      <w:numFmt w:val="upperRoman"/>
      <w:lvlText w:val="%1"/>
      <w:lvlJc w:val="left"/>
      <w:start w:val="1"/>
      <w:pPr>
        <w:ind w:left="405" w:firstLine="0"/>
        <w:tab w:val="num" w:pos="525"/>
      </w:pPr>
      <w:rPr>
        <w:rFonts w:ascii="Arial MT" w:hAnsi="Arial MT" w:cs="Arial MT" w:eastAsia="Arial MT"/>
      </w:rPr>
    </w:lvl>
    <w:lvl w:ilvl="1">
      <w:numFmt w:val="bullet"/>
      <w:lvlText w:val="•"/>
      <w:lvlJc w:val="left"/>
      <w:pPr>
        <w:ind w:left="1350" w:hanging="120"/>
        <w:tab w:val="num" w:pos="1350"/>
      </w:pPr>
      <w:rPr>
        <w:rFonts w:ascii="Times New Roman" w:hAnsi="Times New Roman" w:cs="Times New Roman" w:eastAsia="Times New Roman"/>
        <w:sz w:val="24"/>
      </w:rPr>
    </w:lvl>
    <w:lvl w:ilvl="2">
      <w:numFmt w:val="bullet"/>
      <w:lvlText w:val="•"/>
      <w:lvlJc w:val="left"/>
      <w:pPr>
        <w:ind w:left="2310" w:hanging="120"/>
        <w:tab w:val="num" w:pos="231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15" w:hanging="120"/>
        <w:tab w:val="num" w:pos="4215"/>
      </w:pPr>
      <w:rPr>
        <w:rFonts w:ascii="Times New Roman" w:hAnsi="Times New Roman" w:cs="Times New Roman" w:eastAsia="Times New Roman"/>
        <w:sz w:val="24"/>
      </w:rPr>
    </w:lvl>
    <w:lvl w:ilvl="5">
      <w:numFmt w:val="bullet"/>
      <w:lvlText w:val="•"/>
      <w:lvlJc w:val="left"/>
      <w:pPr>
        <w:ind w:left="5175" w:hanging="120"/>
        <w:tab w:val="num" w:pos="5175"/>
      </w:pPr>
      <w:rPr>
        <w:rFonts w:ascii="Times New Roman" w:hAnsi="Times New Roman" w:cs="Times New Roman" w:eastAsia="Times New Roman"/>
        <w:sz w:val="24"/>
      </w:rPr>
    </w:lvl>
    <w:lvl w:ilvl="6">
      <w:numFmt w:val="bullet"/>
      <w:lvlText w:val="•"/>
      <w:lvlJc w:val="left"/>
      <w:pPr>
        <w:ind w:left="6120" w:hanging="120"/>
        <w:tab w:val="num" w:pos="6120"/>
      </w:pPr>
      <w:rPr>
        <w:rFonts w:ascii="Times New Roman" w:hAnsi="Times New Roman" w:cs="Times New Roman" w:eastAsia="Times New Roman"/>
        <w:sz w:val="24"/>
      </w:rPr>
    </w:lvl>
    <w:lvl w:ilvl="7">
      <w:numFmt w:val="bullet"/>
      <w:lvlText w:val="•"/>
      <w:lvlJc w:val="left"/>
      <w:pPr>
        <w:ind w:left="7080" w:hanging="120"/>
        <w:tab w:val="num" w:pos="7080"/>
      </w:pPr>
      <w:rPr>
        <w:rFonts w:ascii="Times New Roman" w:hAnsi="Times New Roman" w:cs="Times New Roman" w:eastAsia="Times New Roman"/>
        <w:sz w:val="24"/>
      </w:rPr>
    </w:lvl>
    <w:lvl w:ilvl="8">
      <w:numFmt w:val="bullet"/>
      <w:lvlText w:val="•"/>
      <w:lvlJc w:val="left"/>
      <w:pPr>
        <w:ind w:left="8040" w:hanging="120"/>
        <w:tab w:val="num" w:pos="8040"/>
      </w:pPr>
      <w:rPr>
        <w:rFonts w:ascii="Times New Roman" w:hAnsi="Times New Roman" w:cs="Times New Roman" w:eastAsia="Times New Roman"/>
        <w:sz w:val="24"/>
      </w:rPr>
    </w:lvl>
  </w:abstractNum>
  <w:abstractNum w:abstractNumId="111">
    <w:multiLevelType w:val="hybridMultilevel"/>
    <w:lvl w:ilvl="0">
      <w:numFmt w:val="upperRoman"/>
      <w:lvlText w:val="%1"/>
      <w:lvlJc w:val="left"/>
      <w:start w:val="3"/>
      <w:pPr>
        <w:ind w:left="615" w:hanging="225"/>
        <w:tab w:val="num" w:pos="615"/>
      </w:pPr>
      <w:rPr>
        <w:rFonts w:ascii="Arial MT" w:hAnsi="Arial MT" w:cs="Arial MT" w:eastAsia="Arial MT"/>
      </w:rPr>
    </w:lvl>
    <w:lvl w:ilvl="1">
      <w:numFmt w:val="bullet"/>
      <w:lvlText w:val="•"/>
      <w:lvlJc w:val="left"/>
      <w:pPr>
        <w:ind w:left="1545" w:hanging="225"/>
        <w:tab w:val="num" w:pos="1545"/>
      </w:pPr>
      <w:rPr>
        <w:rFonts w:ascii="Times New Roman" w:hAnsi="Times New Roman" w:cs="Times New Roman" w:eastAsia="Times New Roman"/>
        <w:sz w:val="24"/>
      </w:rPr>
    </w:lvl>
    <w:lvl w:ilvl="2">
      <w:numFmt w:val="bullet"/>
      <w:lvlText w:val="•"/>
      <w:lvlJc w:val="left"/>
      <w:pPr>
        <w:ind w:left="2490" w:hanging="225"/>
        <w:tab w:val="num" w:pos="2490"/>
      </w:pPr>
      <w:rPr>
        <w:rFonts w:ascii="Times New Roman" w:hAnsi="Times New Roman" w:cs="Times New Roman" w:eastAsia="Times New Roman"/>
        <w:sz w:val="24"/>
      </w:rPr>
    </w:lvl>
    <w:lvl w:ilvl="3">
      <w:numFmt w:val="bullet"/>
      <w:lvlText w:val="•"/>
      <w:lvlJc w:val="left"/>
      <w:pPr>
        <w:ind w:left="3420" w:hanging="225"/>
        <w:tab w:val="num" w:pos="3420"/>
      </w:pPr>
      <w:rPr>
        <w:rFonts w:ascii="Times New Roman" w:hAnsi="Times New Roman" w:cs="Times New Roman" w:eastAsia="Times New Roman"/>
        <w:sz w:val="24"/>
      </w:rPr>
    </w:lvl>
    <w:lvl w:ilvl="4">
      <w:numFmt w:val="bullet"/>
      <w:lvlText w:val="•"/>
      <w:lvlJc w:val="left"/>
      <w:pPr>
        <w:ind w:left="4350" w:hanging="225"/>
        <w:tab w:val="num" w:pos="4350"/>
      </w:pPr>
      <w:rPr>
        <w:rFonts w:ascii="Times New Roman" w:hAnsi="Times New Roman" w:cs="Times New Roman" w:eastAsia="Times New Roman"/>
        <w:sz w:val="24"/>
      </w:rPr>
    </w:lvl>
    <w:lvl w:ilvl="5">
      <w:numFmt w:val="bullet"/>
      <w:lvlText w:val="•"/>
      <w:lvlJc w:val="left"/>
      <w:pPr>
        <w:ind w:left="5280" w:hanging="225"/>
        <w:tab w:val="num" w:pos="5280"/>
      </w:pPr>
      <w:rPr>
        <w:rFonts w:ascii="Times New Roman" w:hAnsi="Times New Roman" w:cs="Times New Roman" w:eastAsia="Times New Roman"/>
        <w:sz w:val="24"/>
      </w:rPr>
    </w:lvl>
    <w:lvl w:ilvl="6">
      <w:numFmt w:val="bullet"/>
      <w:lvlText w:val="•"/>
      <w:lvlJc w:val="left"/>
      <w:pPr>
        <w:ind w:left="6210" w:hanging="225"/>
        <w:tab w:val="num" w:pos="6210"/>
      </w:pPr>
      <w:rPr>
        <w:rFonts w:ascii="Times New Roman" w:hAnsi="Times New Roman" w:cs="Times New Roman" w:eastAsia="Times New Roman"/>
        <w:sz w:val="24"/>
      </w:rPr>
    </w:lvl>
    <w:lvl w:ilvl="7">
      <w:numFmt w:val="bullet"/>
      <w:lvlText w:val="•"/>
      <w:lvlJc w:val="left"/>
      <w:pPr>
        <w:ind w:left="7140" w:hanging="225"/>
        <w:tab w:val="num" w:pos="7140"/>
      </w:pPr>
      <w:rPr>
        <w:rFonts w:ascii="Times New Roman" w:hAnsi="Times New Roman" w:cs="Times New Roman" w:eastAsia="Times New Roman"/>
        <w:sz w:val="24"/>
      </w:rPr>
    </w:lvl>
    <w:lvl w:ilvl="8">
      <w:numFmt w:val="bullet"/>
      <w:lvlText w:val="•"/>
      <w:lvlJc w:val="left"/>
      <w:pPr>
        <w:ind w:left="8085" w:hanging="225"/>
        <w:tab w:val="num" w:pos="8085"/>
      </w:pPr>
      <w:rPr>
        <w:rFonts w:ascii="Times New Roman" w:hAnsi="Times New Roman" w:cs="Times New Roman" w:eastAsia="Times New Roman"/>
        <w:sz w:val="24"/>
      </w:rPr>
    </w:lvl>
  </w:abstractNum>
  <w:abstractNum w:abstractNumId="112">
    <w:multiLevelType w:val="hybridMultilevel"/>
    <w:lvl w:ilvl="0">
      <w:numFmt w:val="upperRoman"/>
      <w:lvlText w:val="%1"/>
      <w:lvlJc w:val="left"/>
      <w:start w:val="2"/>
      <w:pPr>
        <w:ind w:left="405" w:firstLine="0"/>
        <w:tab w:val="num" w:pos="630"/>
      </w:pPr>
      <w:rPr>
        <w:rFonts w:ascii="Arial MT" w:hAnsi="Arial MT" w:cs="Arial MT" w:eastAsia="Arial MT"/>
      </w:rPr>
    </w:lvl>
    <w:lvl w:ilvl="1">
      <w:numFmt w:val="bullet"/>
      <w:lvlText w:val="•"/>
      <w:lvlJc w:val="left"/>
      <w:pPr>
        <w:ind w:left="1350" w:hanging="225"/>
        <w:tab w:val="num" w:pos="1350"/>
      </w:pPr>
      <w:rPr>
        <w:rFonts w:ascii="Times New Roman" w:hAnsi="Times New Roman" w:cs="Times New Roman" w:eastAsia="Times New Roman"/>
        <w:sz w:val="24"/>
      </w:rPr>
    </w:lvl>
    <w:lvl w:ilvl="2">
      <w:numFmt w:val="bullet"/>
      <w:lvlText w:val="•"/>
      <w:lvlJc w:val="left"/>
      <w:pPr>
        <w:ind w:left="2310" w:hanging="225"/>
        <w:tab w:val="num" w:pos="2310"/>
      </w:pPr>
      <w:rPr>
        <w:rFonts w:ascii="Times New Roman" w:hAnsi="Times New Roman" w:cs="Times New Roman" w:eastAsia="Times New Roman"/>
        <w:sz w:val="24"/>
      </w:rPr>
    </w:lvl>
    <w:lvl w:ilvl="3">
      <w:numFmt w:val="bullet"/>
      <w:lvlText w:val="•"/>
      <w:lvlJc w:val="left"/>
      <w:pPr>
        <w:ind w:left="3270" w:hanging="225"/>
        <w:tab w:val="num" w:pos="3270"/>
      </w:pPr>
      <w:rPr>
        <w:rFonts w:ascii="Times New Roman" w:hAnsi="Times New Roman" w:cs="Times New Roman" w:eastAsia="Times New Roman"/>
        <w:sz w:val="24"/>
      </w:rPr>
    </w:lvl>
    <w:lvl w:ilvl="4">
      <w:numFmt w:val="bullet"/>
      <w:lvlText w:val="•"/>
      <w:lvlJc w:val="left"/>
      <w:pPr>
        <w:ind w:left="4215" w:hanging="225"/>
        <w:tab w:val="num" w:pos="4215"/>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120" w:hanging="225"/>
        <w:tab w:val="num" w:pos="6120"/>
      </w:pPr>
      <w:rPr>
        <w:rFonts w:ascii="Times New Roman" w:hAnsi="Times New Roman" w:cs="Times New Roman" w:eastAsia="Times New Roman"/>
        <w:sz w:val="24"/>
      </w:rPr>
    </w:lvl>
    <w:lvl w:ilvl="7">
      <w:numFmt w:val="bullet"/>
      <w:lvlText w:val="•"/>
      <w:lvlJc w:val="left"/>
      <w:pPr>
        <w:ind w:left="7080" w:hanging="225"/>
        <w:tab w:val="num" w:pos="7080"/>
      </w:pPr>
      <w:rPr>
        <w:rFonts w:ascii="Times New Roman" w:hAnsi="Times New Roman" w:cs="Times New Roman" w:eastAsia="Times New Roman"/>
        <w:sz w:val="24"/>
      </w:rPr>
    </w:lvl>
    <w:lvl w:ilvl="8">
      <w:numFmt w:val="bullet"/>
      <w:lvlText w:val="•"/>
      <w:lvlJc w:val="left"/>
      <w:pPr>
        <w:ind w:left="8040" w:hanging="225"/>
        <w:tab w:val="num" w:pos="8040"/>
      </w:pPr>
      <w:rPr>
        <w:rFonts w:ascii="Times New Roman" w:hAnsi="Times New Roman" w:cs="Times New Roman" w:eastAsia="Times New Roman"/>
        <w:sz w:val="24"/>
      </w:rPr>
    </w:lvl>
  </w:abstractNum>
  <w:abstractNum w:abstractNumId="113">
    <w:multiLevelType w:val="hybridMultilevel"/>
    <w:lvl w:ilvl="0">
      <w:numFmt w:val="upperRoman"/>
      <w:lvlText w:val="%1"/>
      <w:lvlJc w:val="left"/>
      <w:start w:val="1"/>
      <w:pPr>
        <w:ind w:left="405" w:firstLine="0"/>
        <w:tab w:val="num" w:pos="540"/>
      </w:pPr>
      <w:rPr>
        <w:rFonts w:ascii="Arial MT" w:hAnsi="Arial MT" w:cs="Arial MT" w:eastAsia="Arial MT"/>
      </w:rPr>
    </w:lvl>
    <w:lvl w:ilvl="1">
      <w:numFmt w:val="bullet"/>
      <w:lvlText w:val="•"/>
      <w:lvlJc w:val="left"/>
      <w:pPr>
        <w:ind w:left="1350" w:hanging="135"/>
        <w:tab w:val="num" w:pos="1350"/>
      </w:pPr>
      <w:rPr>
        <w:rFonts w:ascii="Times New Roman" w:hAnsi="Times New Roman" w:cs="Times New Roman" w:eastAsia="Times New Roman"/>
        <w:sz w:val="24"/>
      </w:rPr>
    </w:lvl>
    <w:lvl w:ilvl="2">
      <w:numFmt w:val="bullet"/>
      <w:lvlText w:val="•"/>
      <w:lvlJc w:val="left"/>
      <w:pPr>
        <w:ind w:left="2310" w:hanging="135"/>
        <w:tab w:val="num" w:pos="2310"/>
      </w:pPr>
      <w:rPr>
        <w:rFonts w:ascii="Times New Roman" w:hAnsi="Times New Roman" w:cs="Times New Roman" w:eastAsia="Times New Roman"/>
        <w:sz w:val="24"/>
      </w:rPr>
    </w:lvl>
    <w:lvl w:ilvl="3">
      <w:numFmt w:val="bullet"/>
      <w:lvlText w:val="•"/>
      <w:lvlJc w:val="left"/>
      <w:pPr>
        <w:ind w:left="3270" w:hanging="135"/>
        <w:tab w:val="num" w:pos="3270"/>
      </w:pPr>
      <w:rPr>
        <w:rFonts w:ascii="Times New Roman" w:hAnsi="Times New Roman" w:cs="Times New Roman" w:eastAsia="Times New Roman"/>
        <w:sz w:val="24"/>
      </w:rPr>
    </w:lvl>
    <w:lvl w:ilvl="4">
      <w:numFmt w:val="bullet"/>
      <w:lvlText w:val="•"/>
      <w:lvlJc w:val="left"/>
      <w:pPr>
        <w:ind w:left="4215" w:hanging="135"/>
        <w:tab w:val="num" w:pos="4215"/>
      </w:pPr>
      <w:rPr>
        <w:rFonts w:ascii="Times New Roman" w:hAnsi="Times New Roman" w:cs="Times New Roman" w:eastAsia="Times New Roman"/>
        <w:sz w:val="24"/>
      </w:rPr>
    </w:lvl>
    <w:lvl w:ilvl="5">
      <w:numFmt w:val="bullet"/>
      <w:lvlText w:val="•"/>
      <w:lvlJc w:val="left"/>
      <w:pPr>
        <w:ind w:left="5175" w:hanging="135"/>
        <w:tab w:val="num" w:pos="5175"/>
      </w:pPr>
      <w:rPr>
        <w:rFonts w:ascii="Times New Roman" w:hAnsi="Times New Roman" w:cs="Times New Roman" w:eastAsia="Times New Roman"/>
        <w:sz w:val="24"/>
      </w:rPr>
    </w:lvl>
    <w:lvl w:ilvl="6">
      <w:numFmt w:val="bullet"/>
      <w:lvlText w:val="•"/>
      <w:lvlJc w:val="left"/>
      <w:pPr>
        <w:ind w:left="6120" w:hanging="135"/>
        <w:tab w:val="num" w:pos="6120"/>
      </w:pPr>
      <w:rPr>
        <w:rFonts w:ascii="Times New Roman" w:hAnsi="Times New Roman" w:cs="Times New Roman" w:eastAsia="Times New Roman"/>
        <w:sz w:val="24"/>
      </w:rPr>
    </w:lvl>
    <w:lvl w:ilvl="7">
      <w:numFmt w:val="bullet"/>
      <w:lvlText w:val="•"/>
      <w:lvlJc w:val="left"/>
      <w:pPr>
        <w:ind w:left="7080" w:hanging="135"/>
        <w:tab w:val="num" w:pos="7080"/>
      </w:pPr>
      <w:rPr>
        <w:rFonts w:ascii="Times New Roman" w:hAnsi="Times New Roman" w:cs="Times New Roman" w:eastAsia="Times New Roman"/>
        <w:sz w:val="24"/>
      </w:rPr>
    </w:lvl>
    <w:lvl w:ilvl="8">
      <w:numFmt w:val="bullet"/>
      <w:lvlText w:val="•"/>
      <w:lvlJc w:val="left"/>
      <w:pPr>
        <w:ind w:left="8040" w:hanging="135"/>
        <w:tab w:val="num" w:pos="8040"/>
      </w:pPr>
      <w:rPr>
        <w:rFonts w:ascii="Times New Roman" w:hAnsi="Times New Roman" w:cs="Times New Roman" w:eastAsia="Times New Roman"/>
        <w:sz w:val="24"/>
      </w:rPr>
    </w:lvl>
  </w:abstractNum>
  <w:abstractNum w:abstractNumId="114">
    <w:multiLevelType w:val="hybridMultilevel"/>
    <w:lvl w:ilvl="0">
      <w:numFmt w:val="upperRoman"/>
      <w:lvlText w:val="%1"/>
      <w:lvlJc w:val="left"/>
      <w:start w:val="2"/>
      <w:pPr>
        <w:ind w:left="570" w:hanging="180"/>
        <w:tab w:val="num" w:pos="570"/>
      </w:pPr>
      <w:rPr>
        <w:rFonts w:ascii="Arial MT" w:hAnsi="Arial MT" w:cs="Arial MT" w:eastAsia="Arial MT"/>
      </w:rPr>
    </w:lvl>
    <w:lvl w:ilvl="1">
      <w:numFmt w:val="bullet"/>
      <w:lvlText w:val="•"/>
      <w:lvlJc w:val="left"/>
      <w:pPr>
        <w:ind w:left="1500" w:hanging="165"/>
        <w:tab w:val="num" w:pos="1500"/>
      </w:pPr>
      <w:rPr>
        <w:rFonts w:ascii="Times New Roman" w:hAnsi="Times New Roman" w:cs="Times New Roman" w:eastAsia="Times New Roman"/>
        <w:sz w:val="24"/>
      </w:rPr>
    </w:lvl>
    <w:lvl w:ilvl="2">
      <w:numFmt w:val="bullet"/>
      <w:lvlText w:val="•"/>
      <w:lvlJc w:val="left"/>
      <w:pPr>
        <w:ind w:left="2430" w:hanging="165"/>
        <w:tab w:val="num" w:pos="2430"/>
      </w:pPr>
      <w:rPr>
        <w:rFonts w:ascii="Times New Roman" w:hAnsi="Times New Roman" w:cs="Times New Roman" w:eastAsia="Times New Roman"/>
        <w:sz w:val="24"/>
      </w:rPr>
    </w:lvl>
    <w:lvl w:ilvl="3">
      <w:numFmt w:val="bullet"/>
      <w:lvlText w:val="•"/>
      <w:lvlJc w:val="left"/>
      <w:pPr>
        <w:ind w:left="3375" w:hanging="165"/>
        <w:tab w:val="num" w:pos="3375"/>
      </w:pPr>
      <w:rPr>
        <w:rFonts w:ascii="Times New Roman" w:hAnsi="Times New Roman" w:cs="Times New Roman" w:eastAsia="Times New Roman"/>
        <w:sz w:val="24"/>
      </w:rPr>
    </w:lvl>
    <w:lvl w:ilvl="4">
      <w:numFmt w:val="bullet"/>
      <w:lvlText w:val="•"/>
      <w:lvlJc w:val="left"/>
      <w:pPr>
        <w:ind w:left="4320" w:hanging="165"/>
        <w:tab w:val="num" w:pos="4320"/>
      </w:pPr>
      <w:rPr>
        <w:rFonts w:ascii="Times New Roman" w:hAnsi="Times New Roman" w:cs="Times New Roman" w:eastAsia="Times New Roman"/>
        <w:sz w:val="24"/>
      </w:rPr>
    </w:lvl>
    <w:lvl w:ilvl="5">
      <w:numFmt w:val="bullet"/>
      <w:lvlText w:val="•"/>
      <w:lvlJc w:val="left"/>
      <w:pPr>
        <w:ind w:left="5250" w:hanging="165"/>
        <w:tab w:val="num" w:pos="5250"/>
      </w:pPr>
      <w:rPr>
        <w:rFonts w:ascii="Times New Roman" w:hAnsi="Times New Roman" w:cs="Times New Roman" w:eastAsia="Times New Roman"/>
        <w:sz w:val="24"/>
      </w:rPr>
    </w:lvl>
    <w:lvl w:ilvl="6">
      <w:numFmt w:val="bullet"/>
      <w:lvlText w:val="•"/>
      <w:lvlJc w:val="left"/>
      <w:pPr>
        <w:ind w:left="6195" w:hanging="165"/>
        <w:tab w:val="num" w:pos="6195"/>
      </w:pPr>
      <w:rPr>
        <w:rFonts w:ascii="Times New Roman" w:hAnsi="Times New Roman" w:cs="Times New Roman" w:eastAsia="Times New Roman"/>
        <w:sz w:val="24"/>
      </w:rPr>
    </w:lvl>
    <w:lvl w:ilvl="7">
      <w:numFmt w:val="bullet"/>
      <w:lvlText w:val="•"/>
      <w:lvlJc w:val="left"/>
      <w:pPr>
        <w:ind w:left="7125" w:hanging="165"/>
        <w:tab w:val="num" w:pos="7125"/>
      </w:pPr>
      <w:rPr>
        <w:rFonts w:ascii="Times New Roman" w:hAnsi="Times New Roman" w:cs="Times New Roman" w:eastAsia="Times New Roman"/>
        <w:sz w:val="24"/>
      </w:rPr>
    </w:lvl>
    <w:lvl w:ilvl="8">
      <w:numFmt w:val="bullet"/>
      <w:lvlText w:val="•"/>
      <w:lvlJc w:val="left"/>
      <w:pPr>
        <w:ind w:left="8070" w:hanging="165"/>
        <w:tab w:val="num" w:pos="8070"/>
      </w:pPr>
      <w:rPr>
        <w:rFonts w:ascii="Times New Roman" w:hAnsi="Times New Roman" w:cs="Times New Roman" w:eastAsia="Times New Roman"/>
        <w:sz w:val="24"/>
      </w:rPr>
    </w:lvl>
  </w:abstractNum>
  <w:abstractNum w:abstractNumId="115">
    <w:multiLevelType w:val="hybridMultilevel"/>
    <w:lvl w:ilvl="0">
      <w:numFmt w:val="lowerLetter"/>
      <w:lvlText w:val="%1)"/>
      <w:lvlJc w:val="left"/>
      <w:start w:val="1"/>
      <w:pPr>
        <w:ind w:left="405" w:firstLine="0"/>
        <w:tab w:val="num" w:pos="645"/>
      </w:pPr>
      <w:rPr>
        <w:rFonts w:ascii="Arial MT" w:hAnsi="Arial MT" w:cs="Arial MT" w:eastAsia="Arial MT"/>
      </w:rPr>
    </w:lvl>
    <w:lvl w:ilvl="1">
      <w:numFmt w:val="bullet"/>
      <w:lvlText w:val="•"/>
      <w:lvlJc w:val="left"/>
      <w:pPr>
        <w:ind w:left="1350" w:hanging="240"/>
        <w:tab w:val="num" w:pos="1350"/>
      </w:pPr>
      <w:rPr>
        <w:rFonts w:ascii="Times New Roman" w:hAnsi="Times New Roman" w:cs="Times New Roman" w:eastAsia="Times New Roman"/>
        <w:sz w:val="24"/>
      </w:rPr>
    </w:lvl>
    <w:lvl w:ilvl="2">
      <w:numFmt w:val="bullet"/>
      <w:lvlText w:val="•"/>
      <w:lvlJc w:val="left"/>
      <w:pPr>
        <w:ind w:left="2310" w:hanging="240"/>
        <w:tab w:val="num" w:pos="2310"/>
      </w:pPr>
      <w:rPr>
        <w:rFonts w:ascii="Times New Roman" w:hAnsi="Times New Roman" w:cs="Times New Roman" w:eastAsia="Times New Roman"/>
        <w:sz w:val="24"/>
      </w:rPr>
    </w:lvl>
    <w:lvl w:ilvl="3">
      <w:numFmt w:val="bullet"/>
      <w:lvlText w:val="•"/>
      <w:lvlJc w:val="left"/>
      <w:pPr>
        <w:ind w:left="3270" w:hanging="240"/>
        <w:tab w:val="num" w:pos="3270"/>
      </w:pPr>
      <w:rPr>
        <w:rFonts w:ascii="Times New Roman" w:hAnsi="Times New Roman" w:cs="Times New Roman" w:eastAsia="Times New Roman"/>
        <w:sz w:val="24"/>
      </w:rPr>
    </w:lvl>
    <w:lvl w:ilvl="4">
      <w:numFmt w:val="bullet"/>
      <w:lvlText w:val="•"/>
      <w:lvlJc w:val="left"/>
      <w:pPr>
        <w:ind w:left="4215" w:hanging="240"/>
        <w:tab w:val="num" w:pos="4215"/>
      </w:pPr>
      <w:rPr>
        <w:rFonts w:ascii="Times New Roman" w:hAnsi="Times New Roman" w:cs="Times New Roman" w:eastAsia="Times New Roman"/>
        <w:sz w:val="24"/>
      </w:rPr>
    </w:lvl>
    <w:lvl w:ilvl="5">
      <w:numFmt w:val="bullet"/>
      <w:lvlText w:val="•"/>
      <w:lvlJc w:val="left"/>
      <w:pPr>
        <w:ind w:left="5175" w:hanging="240"/>
        <w:tab w:val="num" w:pos="5175"/>
      </w:pPr>
      <w:rPr>
        <w:rFonts w:ascii="Times New Roman" w:hAnsi="Times New Roman" w:cs="Times New Roman" w:eastAsia="Times New Roman"/>
        <w:sz w:val="24"/>
      </w:rPr>
    </w:lvl>
    <w:lvl w:ilvl="6">
      <w:numFmt w:val="bullet"/>
      <w:lvlText w:val="•"/>
      <w:lvlJc w:val="left"/>
      <w:pPr>
        <w:ind w:left="6120" w:hanging="240"/>
        <w:tab w:val="num" w:pos="6120"/>
      </w:pPr>
      <w:rPr>
        <w:rFonts w:ascii="Times New Roman" w:hAnsi="Times New Roman" w:cs="Times New Roman" w:eastAsia="Times New Roman"/>
        <w:sz w:val="24"/>
      </w:rPr>
    </w:lvl>
    <w:lvl w:ilvl="7">
      <w:numFmt w:val="bullet"/>
      <w:lvlText w:val="•"/>
      <w:lvlJc w:val="left"/>
      <w:pPr>
        <w:ind w:left="7080" w:hanging="240"/>
        <w:tab w:val="num" w:pos="7080"/>
      </w:pPr>
      <w:rPr>
        <w:rFonts w:ascii="Times New Roman" w:hAnsi="Times New Roman" w:cs="Times New Roman" w:eastAsia="Times New Roman"/>
        <w:sz w:val="24"/>
      </w:rPr>
    </w:lvl>
    <w:lvl w:ilvl="8">
      <w:numFmt w:val="bullet"/>
      <w:lvlText w:val="•"/>
      <w:lvlJc w:val="left"/>
      <w:pPr>
        <w:ind w:left="8040" w:hanging="240"/>
        <w:tab w:val="num" w:pos="8040"/>
      </w:pPr>
      <w:rPr>
        <w:rFonts w:ascii="Times New Roman" w:hAnsi="Times New Roman" w:cs="Times New Roman" w:eastAsia="Times New Roman"/>
        <w:sz w:val="24"/>
      </w:rPr>
    </w:lvl>
  </w:abstractNum>
  <w:abstractNum w:abstractNumId="116">
    <w:multiLevelType w:val="hybridMultilevel"/>
    <w:lvl w:ilvl="0">
      <w:numFmt w:val="decimal"/>
      <w:lvlText w:val="%1"/>
      <w:lvlJc w:val="left"/>
      <w:start w:val="1"/>
      <w:pPr>
        <w:ind w:left="570" w:hanging="180"/>
        <w:tab w:val="num" w:pos="570"/>
      </w:pPr>
      <w:rPr>
        <w:b/>
      </w:rPr>
    </w:lvl>
    <w:lvl w:ilvl="1">
      <w:numFmt w:val="decimal"/>
      <w:lvlText w:val="%1.%2"/>
      <w:lvlJc w:val="left"/>
      <w:start w:val="1"/>
      <w:pPr>
        <w:ind w:left="735" w:firstLine="0"/>
        <w:tab w:val="num" w:pos="1065"/>
      </w:pPr>
      <w:rPr>
        <w:rFonts w:ascii="Arial MT" w:hAnsi="Arial MT" w:cs="Arial MT" w:eastAsia="Arial MT"/>
      </w:rPr>
    </w:lvl>
    <w:lvl w:ilvl="2">
      <w:numFmt w:val="decimal"/>
      <w:lvlText w:val="%1.%2.%3"/>
      <w:lvlJc w:val="left"/>
      <w:start w:val="1"/>
      <w:pPr>
        <w:ind w:left="1575" w:hanging="495"/>
        <w:tab w:val="num" w:pos="1575"/>
      </w:pPr>
      <w:rPr>
        <w:rFonts w:ascii="Arial MT" w:hAnsi="Arial MT" w:cs="Arial MT" w:eastAsia="Arial MT"/>
      </w:rPr>
    </w:lvl>
    <w:lvl w:ilvl="3">
      <w:numFmt w:val="decimal"/>
      <w:lvlText w:val="%1.%2.%3.%4."/>
      <w:lvlJc w:val="left"/>
      <w:start w:val="1"/>
      <w:pPr>
        <w:ind w:left="1425" w:firstLine="0"/>
        <w:tab w:val="num" w:pos="2265"/>
      </w:pPr>
      <w:rPr>
        <w:rFonts w:ascii="Times New Roman" w:hAnsi="Times New Roman" w:cs="Times New Roman" w:eastAsia="Times New Roman"/>
      </w:rPr>
    </w:lvl>
    <w:lvl w:ilvl="4">
      <w:numFmt w:val="bullet"/>
      <w:lvlText w:val="•"/>
      <w:lvlJc w:val="left"/>
      <w:pPr>
        <w:ind w:left="1425" w:hanging="840"/>
        <w:tab w:val="num" w:pos="1425"/>
      </w:pPr>
      <w:rPr>
        <w:rFonts w:ascii="Times New Roman" w:hAnsi="Times New Roman" w:cs="Times New Roman" w:eastAsia="Times New Roman"/>
        <w:sz w:val="24"/>
      </w:rPr>
    </w:lvl>
    <w:lvl w:ilvl="5">
      <w:numFmt w:val="bullet"/>
      <w:lvlText w:val="•"/>
      <w:lvlJc w:val="left"/>
      <w:pPr>
        <w:ind w:left="1575" w:hanging="840"/>
        <w:tab w:val="num" w:pos="1575"/>
      </w:pPr>
      <w:rPr>
        <w:rFonts w:ascii="Times New Roman" w:hAnsi="Times New Roman" w:cs="Times New Roman" w:eastAsia="Times New Roman"/>
        <w:sz w:val="24"/>
      </w:rPr>
    </w:lvl>
    <w:lvl w:ilvl="6">
      <w:numFmt w:val="bullet"/>
      <w:lvlText w:val="•"/>
      <w:lvlJc w:val="left"/>
      <w:pPr>
        <w:ind w:left="1680" w:hanging="840"/>
        <w:tab w:val="num" w:pos="1680"/>
      </w:pPr>
      <w:rPr>
        <w:rFonts w:ascii="Times New Roman" w:hAnsi="Times New Roman" w:cs="Times New Roman" w:eastAsia="Times New Roman"/>
        <w:sz w:val="24"/>
      </w:rPr>
    </w:lvl>
    <w:lvl w:ilvl="7">
      <w:numFmt w:val="bullet"/>
      <w:lvlText w:val="•"/>
      <w:lvlJc w:val="left"/>
      <w:pPr>
        <w:ind w:left="2265" w:hanging="840"/>
        <w:tab w:val="num" w:pos="2265"/>
      </w:pPr>
      <w:rPr>
        <w:rFonts w:ascii="Times New Roman" w:hAnsi="Times New Roman" w:cs="Times New Roman" w:eastAsia="Times New Roman"/>
        <w:sz w:val="24"/>
      </w:rPr>
    </w:lvl>
    <w:lvl w:ilvl="8">
      <w:numFmt w:val="bullet"/>
      <w:lvlText w:val="•"/>
      <w:lvlJc w:val="left"/>
      <w:pPr>
        <w:ind w:left="4815" w:hanging="840"/>
        <w:tab w:val="num" w:pos="4815"/>
      </w:pPr>
      <w:rPr>
        <w:rFonts w:ascii="Times New Roman" w:hAnsi="Times New Roman" w:cs="Times New Roman" w:eastAsia="Times New Roman"/>
        <w:sz w:val="24"/>
      </w:rPr>
    </w:lvl>
  </w:abstractNum>
  <w:abstractNum w:abstractNumId="117">
    <w:multiLevelType w:val="hybridMultilevel"/>
    <w:lvl w:ilvl="0">
      <w:numFmt w:val="upperRoman"/>
      <w:lvlText w:val="%1"/>
      <w:lvlJc w:val="left"/>
      <w:start w:val="1"/>
      <w:pPr>
        <w:ind w:left="510" w:hanging="120"/>
        <w:tab w:val="num" w:pos="510"/>
      </w:pPr>
      <w:rPr>
        <w:rFonts w:ascii="Arial MT" w:hAnsi="Arial MT" w:cs="Arial MT" w:eastAsia="Arial MT"/>
      </w:rPr>
    </w:lvl>
    <w:lvl w:ilvl="1">
      <w:numFmt w:val="bullet"/>
      <w:lvlText w:val="•"/>
      <w:lvlJc w:val="left"/>
      <w:pPr>
        <w:ind w:left="1440" w:hanging="105"/>
        <w:tab w:val="num" w:pos="1440"/>
      </w:pPr>
      <w:rPr>
        <w:rFonts w:ascii="Times New Roman" w:hAnsi="Times New Roman" w:cs="Times New Roman" w:eastAsia="Times New Roman"/>
        <w:sz w:val="24"/>
      </w:rPr>
    </w:lvl>
    <w:lvl w:ilvl="2">
      <w:numFmt w:val="bullet"/>
      <w:lvlText w:val="•"/>
      <w:lvlJc w:val="left"/>
      <w:pPr>
        <w:ind w:left="2385" w:hanging="105"/>
        <w:tab w:val="num" w:pos="2385"/>
      </w:pPr>
      <w:rPr>
        <w:rFonts w:ascii="Times New Roman" w:hAnsi="Times New Roman" w:cs="Times New Roman" w:eastAsia="Times New Roman"/>
        <w:sz w:val="24"/>
      </w:rPr>
    </w:lvl>
    <w:lvl w:ilvl="3">
      <w:numFmt w:val="bullet"/>
      <w:lvlText w:val="•"/>
      <w:lvlJc w:val="left"/>
      <w:pPr>
        <w:ind w:left="3330" w:hanging="105"/>
        <w:tab w:val="num" w:pos="3330"/>
      </w:pPr>
      <w:rPr>
        <w:rFonts w:ascii="Times New Roman" w:hAnsi="Times New Roman" w:cs="Times New Roman" w:eastAsia="Times New Roman"/>
        <w:sz w:val="24"/>
      </w:rPr>
    </w:lvl>
    <w:lvl w:ilvl="4">
      <w:numFmt w:val="bullet"/>
      <w:lvlText w:val="•"/>
      <w:lvlJc w:val="left"/>
      <w:pPr>
        <w:ind w:left="4275" w:hanging="105"/>
        <w:tab w:val="num" w:pos="4275"/>
      </w:pPr>
      <w:rPr>
        <w:rFonts w:ascii="Times New Roman" w:hAnsi="Times New Roman" w:cs="Times New Roman" w:eastAsia="Times New Roman"/>
        <w:sz w:val="24"/>
      </w:rPr>
    </w:lvl>
    <w:lvl w:ilvl="5">
      <w:numFmt w:val="bullet"/>
      <w:lvlText w:val="•"/>
      <w:lvlJc w:val="left"/>
      <w:pPr>
        <w:ind w:left="5220" w:hanging="105"/>
        <w:tab w:val="num" w:pos="5220"/>
      </w:pPr>
      <w:rPr>
        <w:rFonts w:ascii="Times New Roman" w:hAnsi="Times New Roman" w:cs="Times New Roman" w:eastAsia="Times New Roman"/>
        <w:sz w:val="24"/>
      </w:rPr>
    </w:lvl>
    <w:lvl w:ilvl="6">
      <w:numFmt w:val="bullet"/>
      <w:lvlText w:val="•"/>
      <w:lvlJc w:val="left"/>
      <w:pPr>
        <w:ind w:left="6165" w:hanging="105"/>
        <w:tab w:val="num" w:pos="6165"/>
      </w:pPr>
      <w:rPr>
        <w:rFonts w:ascii="Times New Roman" w:hAnsi="Times New Roman" w:cs="Times New Roman" w:eastAsia="Times New Roman"/>
        <w:sz w:val="24"/>
      </w:rPr>
    </w:lvl>
    <w:lvl w:ilvl="7">
      <w:numFmt w:val="bullet"/>
      <w:lvlText w:val="•"/>
      <w:lvlJc w:val="left"/>
      <w:pPr>
        <w:ind w:left="7110" w:hanging="105"/>
        <w:tab w:val="num" w:pos="7110"/>
      </w:pPr>
      <w:rPr>
        <w:rFonts w:ascii="Times New Roman" w:hAnsi="Times New Roman" w:cs="Times New Roman" w:eastAsia="Times New Roman"/>
        <w:sz w:val="24"/>
      </w:rPr>
    </w:lvl>
    <w:lvl w:ilvl="8">
      <w:numFmt w:val="bullet"/>
      <w:lvlText w:val="•"/>
      <w:lvlJc w:val="left"/>
      <w:pPr>
        <w:ind w:left="8055" w:hanging="105"/>
        <w:tab w:val="num" w:pos="8055"/>
      </w:pPr>
      <w:rPr>
        <w:rFonts w:ascii="Times New Roman" w:hAnsi="Times New Roman" w:cs="Times New Roman" w:eastAsia="Times New Roman"/>
        <w:sz w:val="24"/>
      </w:rPr>
    </w:lvl>
  </w:abstractNum>
  <w:abstractNum w:abstractNumId="118">
    <w:multiLevelType w:val="hybridMultilevel"/>
    <w:lvl w:ilvl="0">
      <w:numFmt w:val="upperRoman"/>
      <w:lvlText w:val="%1"/>
      <w:lvlJc w:val="left"/>
      <w:start w:val="2"/>
      <w:pPr>
        <w:ind w:left="570" w:hanging="180"/>
        <w:tab w:val="num" w:pos="570"/>
      </w:pPr>
      <w:rPr>
        <w:rFonts w:ascii="Arial MT" w:hAnsi="Arial MT" w:cs="Arial MT" w:eastAsia="Arial MT"/>
      </w:rPr>
    </w:lvl>
    <w:lvl w:ilvl="1">
      <w:numFmt w:val="bullet"/>
      <w:lvlText w:val="•"/>
      <w:lvlJc w:val="left"/>
      <w:pPr>
        <w:ind w:left="1500" w:hanging="165"/>
        <w:tab w:val="num" w:pos="1500"/>
      </w:pPr>
      <w:rPr>
        <w:rFonts w:ascii="Times New Roman" w:hAnsi="Times New Roman" w:cs="Times New Roman" w:eastAsia="Times New Roman"/>
        <w:sz w:val="24"/>
      </w:rPr>
    </w:lvl>
    <w:lvl w:ilvl="2">
      <w:numFmt w:val="bullet"/>
      <w:lvlText w:val="•"/>
      <w:lvlJc w:val="left"/>
      <w:pPr>
        <w:ind w:left="2430" w:hanging="165"/>
        <w:tab w:val="num" w:pos="2430"/>
      </w:pPr>
      <w:rPr>
        <w:rFonts w:ascii="Times New Roman" w:hAnsi="Times New Roman" w:cs="Times New Roman" w:eastAsia="Times New Roman"/>
        <w:sz w:val="24"/>
      </w:rPr>
    </w:lvl>
    <w:lvl w:ilvl="3">
      <w:numFmt w:val="bullet"/>
      <w:lvlText w:val="•"/>
      <w:lvlJc w:val="left"/>
      <w:pPr>
        <w:ind w:left="3375" w:hanging="165"/>
        <w:tab w:val="num" w:pos="3375"/>
      </w:pPr>
      <w:rPr>
        <w:rFonts w:ascii="Times New Roman" w:hAnsi="Times New Roman" w:cs="Times New Roman" w:eastAsia="Times New Roman"/>
        <w:sz w:val="24"/>
      </w:rPr>
    </w:lvl>
    <w:lvl w:ilvl="4">
      <w:numFmt w:val="bullet"/>
      <w:lvlText w:val="•"/>
      <w:lvlJc w:val="left"/>
      <w:pPr>
        <w:ind w:left="4320" w:hanging="165"/>
        <w:tab w:val="num" w:pos="4320"/>
      </w:pPr>
      <w:rPr>
        <w:rFonts w:ascii="Times New Roman" w:hAnsi="Times New Roman" w:cs="Times New Roman" w:eastAsia="Times New Roman"/>
        <w:sz w:val="24"/>
      </w:rPr>
    </w:lvl>
    <w:lvl w:ilvl="5">
      <w:numFmt w:val="bullet"/>
      <w:lvlText w:val="•"/>
      <w:lvlJc w:val="left"/>
      <w:pPr>
        <w:ind w:left="5250" w:hanging="165"/>
        <w:tab w:val="num" w:pos="5250"/>
      </w:pPr>
      <w:rPr>
        <w:rFonts w:ascii="Times New Roman" w:hAnsi="Times New Roman" w:cs="Times New Roman" w:eastAsia="Times New Roman"/>
        <w:sz w:val="24"/>
      </w:rPr>
    </w:lvl>
    <w:lvl w:ilvl="6">
      <w:numFmt w:val="bullet"/>
      <w:lvlText w:val="•"/>
      <w:lvlJc w:val="left"/>
      <w:pPr>
        <w:ind w:left="6195" w:hanging="165"/>
        <w:tab w:val="num" w:pos="6195"/>
      </w:pPr>
      <w:rPr>
        <w:rFonts w:ascii="Times New Roman" w:hAnsi="Times New Roman" w:cs="Times New Roman" w:eastAsia="Times New Roman"/>
        <w:sz w:val="24"/>
      </w:rPr>
    </w:lvl>
    <w:lvl w:ilvl="7">
      <w:numFmt w:val="bullet"/>
      <w:lvlText w:val="•"/>
      <w:lvlJc w:val="left"/>
      <w:pPr>
        <w:ind w:left="7125" w:hanging="165"/>
        <w:tab w:val="num" w:pos="7125"/>
      </w:pPr>
      <w:rPr>
        <w:rFonts w:ascii="Times New Roman" w:hAnsi="Times New Roman" w:cs="Times New Roman" w:eastAsia="Times New Roman"/>
        <w:sz w:val="24"/>
      </w:rPr>
    </w:lvl>
    <w:lvl w:ilvl="8">
      <w:numFmt w:val="bullet"/>
      <w:lvlText w:val="•"/>
      <w:lvlJc w:val="left"/>
      <w:pPr>
        <w:ind w:left="8070" w:hanging="165"/>
        <w:tab w:val="num" w:pos="8070"/>
      </w:pPr>
      <w:rPr>
        <w:rFonts w:ascii="Times New Roman" w:hAnsi="Times New Roman" w:cs="Times New Roman" w:eastAsia="Times New Roman"/>
        <w:sz w:val="24"/>
      </w:rPr>
    </w:lvl>
  </w:abstractNum>
  <w:abstractNum w:abstractNumId="119">
    <w:multiLevelType w:val="hybridMultilevel"/>
    <w:lvl w:ilvl="0">
      <w:numFmt w:val="upperRoman"/>
      <w:lvlText w:val="%1"/>
      <w:lvlJc w:val="left"/>
      <w:start w:val="1"/>
      <w:pPr>
        <w:ind w:left="405" w:firstLine="0"/>
        <w:tab w:val="num" w:pos="525"/>
      </w:pPr>
      <w:rPr>
        <w:rFonts w:ascii="Arial MT" w:hAnsi="Arial MT" w:cs="Arial MT" w:eastAsia="Arial MT"/>
      </w:rPr>
    </w:lvl>
    <w:lvl w:ilvl="1">
      <w:numFmt w:val="bullet"/>
      <w:lvlText w:val="•"/>
      <w:lvlJc w:val="left"/>
      <w:pPr>
        <w:ind w:left="1350" w:hanging="120"/>
        <w:tab w:val="num" w:pos="1350"/>
      </w:pPr>
      <w:rPr>
        <w:rFonts w:ascii="Times New Roman" w:hAnsi="Times New Roman" w:cs="Times New Roman" w:eastAsia="Times New Roman"/>
        <w:sz w:val="24"/>
      </w:rPr>
    </w:lvl>
    <w:lvl w:ilvl="2">
      <w:numFmt w:val="bullet"/>
      <w:lvlText w:val="•"/>
      <w:lvlJc w:val="left"/>
      <w:pPr>
        <w:ind w:left="2310" w:hanging="120"/>
        <w:tab w:val="num" w:pos="231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15" w:hanging="120"/>
        <w:tab w:val="num" w:pos="4215"/>
      </w:pPr>
      <w:rPr>
        <w:rFonts w:ascii="Times New Roman" w:hAnsi="Times New Roman" w:cs="Times New Roman" w:eastAsia="Times New Roman"/>
        <w:sz w:val="24"/>
      </w:rPr>
    </w:lvl>
    <w:lvl w:ilvl="5">
      <w:numFmt w:val="bullet"/>
      <w:lvlText w:val="•"/>
      <w:lvlJc w:val="left"/>
      <w:pPr>
        <w:ind w:left="5175" w:hanging="120"/>
        <w:tab w:val="num" w:pos="5175"/>
      </w:pPr>
      <w:rPr>
        <w:rFonts w:ascii="Times New Roman" w:hAnsi="Times New Roman" w:cs="Times New Roman" w:eastAsia="Times New Roman"/>
        <w:sz w:val="24"/>
      </w:rPr>
    </w:lvl>
    <w:lvl w:ilvl="6">
      <w:numFmt w:val="bullet"/>
      <w:lvlText w:val="•"/>
      <w:lvlJc w:val="left"/>
      <w:pPr>
        <w:ind w:left="6120" w:hanging="120"/>
        <w:tab w:val="num" w:pos="6120"/>
      </w:pPr>
      <w:rPr>
        <w:rFonts w:ascii="Times New Roman" w:hAnsi="Times New Roman" w:cs="Times New Roman" w:eastAsia="Times New Roman"/>
        <w:sz w:val="24"/>
      </w:rPr>
    </w:lvl>
    <w:lvl w:ilvl="7">
      <w:numFmt w:val="bullet"/>
      <w:lvlText w:val="•"/>
      <w:lvlJc w:val="left"/>
      <w:pPr>
        <w:ind w:left="7080" w:hanging="120"/>
        <w:tab w:val="num" w:pos="7080"/>
      </w:pPr>
      <w:rPr>
        <w:rFonts w:ascii="Times New Roman" w:hAnsi="Times New Roman" w:cs="Times New Roman" w:eastAsia="Times New Roman"/>
        <w:sz w:val="24"/>
      </w:rPr>
    </w:lvl>
    <w:lvl w:ilvl="8">
      <w:numFmt w:val="bullet"/>
      <w:lvlText w:val="•"/>
      <w:lvlJc w:val="left"/>
      <w:pPr>
        <w:ind w:left="8040" w:hanging="120"/>
        <w:tab w:val="num" w:pos="8040"/>
      </w:pPr>
      <w:rPr>
        <w:rFonts w:ascii="Times New Roman" w:hAnsi="Times New Roman" w:cs="Times New Roman" w:eastAsia="Times New Roman"/>
        <w:sz w:val="24"/>
      </w:rPr>
    </w:lvl>
  </w:abstractNum>
  <w:abstractNum w:abstractNumId="120">
    <w:multiLevelType w:val="hybridMultilevel"/>
    <w:lvl w:ilvl="0">
      <w:numFmt w:val="decimal"/>
      <w:lvlText w:val="%1)"/>
      <w:lvlJc w:val="left"/>
      <w:start w:val="1"/>
      <w:pPr>
        <w:ind w:left="405" w:firstLine="0"/>
        <w:tab w:val="num" w:pos="645"/>
      </w:pPr>
      <w:rPr>
        <w:rFonts w:ascii="Times New Roman" w:hAnsi="Times New Roman" w:cs="Times New Roman" w:eastAsia="Times New Roman"/>
      </w:rPr>
    </w:lvl>
    <w:lvl w:ilvl="1">
      <w:numFmt w:val="bullet"/>
      <w:lvlText w:val="•"/>
      <w:lvlJc w:val="left"/>
      <w:pPr>
        <w:ind w:left="1350" w:hanging="240"/>
        <w:tab w:val="num" w:pos="1350"/>
      </w:pPr>
      <w:rPr>
        <w:rFonts w:ascii="Times New Roman" w:hAnsi="Times New Roman" w:cs="Times New Roman" w:eastAsia="Times New Roman"/>
        <w:sz w:val="24"/>
      </w:rPr>
    </w:lvl>
    <w:lvl w:ilvl="2">
      <w:numFmt w:val="bullet"/>
      <w:lvlText w:val="•"/>
      <w:lvlJc w:val="left"/>
      <w:pPr>
        <w:ind w:left="2310" w:hanging="240"/>
        <w:tab w:val="num" w:pos="2310"/>
      </w:pPr>
      <w:rPr>
        <w:rFonts w:ascii="Times New Roman" w:hAnsi="Times New Roman" w:cs="Times New Roman" w:eastAsia="Times New Roman"/>
        <w:sz w:val="24"/>
      </w:rPr>
    </w:lvl>
    <w:lvl w:ilvl="3">
      <w:numFmt w:val="bullet"/>
      <w:lvlText w:val="•"/>
      <w:lvlJc w:val="left"/>
      <w:pPr>
        <w:ind w:left="3270" w:hanging="240"/>
        <w:tab w:val="num" w:pos="3270"/>
      </w:pPr>
      <w:rPr>
        <w:rFonts w:ascii="Times New Roman" w:hAnsi="Times New Roman" w:cs="Times New Roman" w:eastAsia="Times New Roman"/>
        <w:sz w:val="24"/>
      </w:rPr>
    </w:lvl>
    <w:lvl w:ilvl="4">
      <w:numFmt w:val="bullet"/>
      <w:lvlText w:val="•"/>
      <w:lvlJc w:val="left"/>
      <w:pPr>
        <w:ind w:left="4215" w:hanging="240"/>
        <w:tab w:val="num" w:pos="4215"/>
      </w:pPr>
      <w:rPr>
        <w:rFonts w:ascii="Times New Roman" w:hAnsi="Times New Roman" w:cs="Times New Roman" w:eastAsia="Times New Roman"/>
        <w:sz w:val="24"/>
      </w:rPr>
    </w:lvl>
    <w:lvl w:ilvl="5">
      <w:numFmt w:val="bullet"/>
      <w:lvlText w:val="•"/>
      <w:lvlJc w:val="left"/>
      <w:pPr>
        <w:ind w:left="5175" w:hanging="240"/>
        <w:tab w:val="num" w:pos="5175"/>
      </w:pPr>
      <w:rPr>
        <w:rFonts w:ascii="Times New Roman" w:hAnsi="Times New Roman" w:cs="Times New Roman" w:eastAsia="Times New Roman"/>
        <w:sz w:val="24"/>
      </w:rPr>
    </w:lvl>
    <w:lvl w:ilvl="6">
      <w:numFmt w:val="bullet"/>
      <w:lvlText w:val="•"/>
      <w:lvlJc w:val="left"/>
      <w:pPr>
        <w:ind w:left="6120" w:hanging="240"/>
        <w:tab w:val="num" w:pos="6120"/>
      </w:pPr>
      <w:rPr>
        <w:rFonts w:ascii="Times New Roman" w:hAnsi="Times New Roman" w:cs="Times New Roman" w:eastAsia="Times New Roman"/>
        <w:sz w:val="24"/>
      </w:rPr>
    </w:lvl>
    <w:lvl w:ilvl="7">
      <w:numFmt w:val="bullet"/>
      <w:lvlText w:val="•"/>
      <w:lvlJc w:val="left"/>
      <w:pPr>
        <w:ind w:left="7080" w:hanging="240"/>
        <w:tab w:val="num" w:pos="7080"/>
      </w:pPr>
      <w:rPr>
        <w:rFonts w:ascii="Times New Roman" w:hAnsi="Times New Roman" w:cs="Times New Roman" w:eastAsia="Times New Roman"/>
        <w:sz w:val="24"/>
      </w:rPr>
    </w:lvl>
    <w:lvl w:ilvl="8">
      <w:numFmt w:val="bullet"/>
      <w:lvlText w:val="•"/>
      <w:lvlJc w:val="left"/>
      <w:pPr>
        <w:ind w:left="8040" w:hanging="240"/>
        <w:tab w:val="num" w:pos="8040"/>
      </w:pPr>
      <w:rPr>
        <w:rFonts w:ascii="Times New Roman" w:hAnsi="Times New Roman" w:cs="Times New Roman" w:eastAsia="Times New Roman"/>
        <w:sz w:val="24"/>
      </w:rPr>
    </w:lvl>
  </w:abstractNum>
  <w:abstractNum w:abstractNumId="121">
    <w:multiLevelType w:val="hybridMultilevel"/>
    <w:lvl w:ilvl="0">
      <w:numFmt w:val="upperRoman"/>
      <w:lvlText w:val="%1"/>
      <w:lvlJc w:val="left"/>
      <w:start w:val="4"/>
      <w:pPr>
        <w:ind w:left="645" w:hanging="255"/>
        <w:tab w:val="num" w:pos="645"/>
      </w:pPr>
      <w:rPr>
        <w:rFonts w:ascii="Arial MT" w:hAnsi="Arial MT" w:cs="Arial MT" w:eastAsia="Arial MT"/>
      </w:rPr>
    </w:lvl>
    <w:lvl w:ilvl="1">
      <w:numFmt w:val="bullet"/>
      <w:lvlText w:val="•"/>
      <w:lvlJc w:val="left"/>
      <w:pPr>
        <w:ind w:left="1575" w:hanging="240"/>
        <w:tab w:val="num" w:pos="1575"/>
      </w:pPr>
      <w:rPr>
        <w:rFonts w:ascii="Times New Roman" w:hAnsi="Times New Roman" w:cs="Times New Roman" w:eastAsia="Times New Roman"/>
        <w:sz w:val="24"/>
      </w:rPr>
    </w:lvl>
    <w:lvl w:ilvl="2">
      <w:numFmt w:val="bullet"/>
      <w:lvlText w:val="•"/>
      <w:lvlJc w:val="left"/>
      <w:pPr>
        <w:ind w:left="2505" w:hanging="240"/>
        <w:tab w:val="num" w:pos="2505"/>
      </w:pPr>
      <w:rPr>
        <w:rFonts w:ascii="Times New Roman" w:hAnsi="Times New Roman" w:cs="Times New Roman" w:eastAsia="Times New Roman"/>
        <w:sz w:val="24"/>
      </w:rPr>
    </w:lvl>
    <w:lvl w:ilvl="3">
      <w:numFmt w:val="bullet"/>
      <w:lvlText w:val="•"/>
      <w:lvlJc w:val="left"/>
      <w:pPr>
        <w:ind w:left="3435" w:hanging="240"/>
        <w:tab w:val="num" w:pos="3435"/>
      </w:pPr>
      <w:rPr>
        <w:rFonts w:ascii="Times New Roman" w:hAnsi="Times New Roman" w:cs="Times New Roman" w:eastAsia="Times New Roman"/>
        <w:sz w:val="24"/>
      </w:rPr>
    </w:lvl>
    <w:lvl w:ilvl="4">
      <w:numFmt w:val="bullet"/>
      <w:lvlText w:val="•"/>
      <w:lvlJc w:val="left"/>
      <w:pPr>
        <w:ind w:left="4365" w:hanging="240"/>
        <w:tab w:val="num" w:pos="4365"/>
      </w:pPr>
      <w:rPr>
        <w:rFonts w:ascii="Times New Roman" w:hAnsi="Times New Roman" w:cs="Times New Roman" w:eastAsia="Times New Roman"/>
        <w:sz w:val="24"/>
      </w:rPr>
    </w:lvl>
    <w:lvl w:ilvl="5">
      <w:numFmt w:val="bullet"/>
      <w:lvlText w:val="•"/>
      <w:lvlJc w:val="left"/>
      <w:pPr>
        <w:ind w:left="5295" w:hanging="240"/>
        <w:tab w:val="num" w:pos="5295"/>
      </w:pPr>
      <w:rPr>
        <w:rFonts w:ascii="Times New Roman" w:hAnsi="Times New Roman" w:cs="Times New Roman" w:eastAsia="Times New Roman"/>
        <w:sz w:val="24"/>
      </w:rPr>
    </w:lvl>
    <w:lvl w:ilvl="6">
      <w:numFmt w:val="bullet"/>
      <w:lvlText w:val="•"/>
      <w:lvlJc w:val="left"/>
      <w:pPr>
        <w:ind w:left="6225" w:hanging="240"/>
        <w:tab w:val="num" w:pos="6225"/>
      </w:pPr>
      <w:rPr>
        <w:rFonts w:ascii="Times New Roman" w:hAnsi="Times New Roman" w:cs="Times New Roman" w:eastAsia="Times New Roman"/>
        <w:sz w:val="24"/>
      </w:rPr>
    </w:lvl>
    <w:lvl w:ilvl="7">
      <w:numFmt w:val="bullet"/>
      <w:lvlText w:val="•"/>
      <w:lvlJc w:val="left"/>
      <w:pPr>
        <w:ind w:left="7155" w:hanging="240"/>
        <w:tab w:val="num" w:pos="7155"/>
      </w:pPr>
      <w:rPr>
        <w:rFonts w:ascii="Times New Roman" w:hAnsi="Times New Roman" w:cs="Times New Roman" w:eastAsia="Times New Roman"/>
        <w:sz w:val="24"/>
      </w:rPr>
    </w:lvl>
    <w:lvl w:ilvl="8">
      <w:numFmt w:val="bullet"/>
      <w:lvlText w:val="•"/>
      <w:lvlJc w:val="left"/>
      <w:pPr>
        <w:ind w:left="8085" w:hanging="240"/>
        <w:tab w:val="num" w:pos="8085"/>
      </w:pPr>
      <w:rPr>
        <w:rFonts w:ascii="Times New Roman" w:hAnsi="Times New Roman" w:cs="Times New Roman" w:eastAsia="Times New Roman"/>
        <w:sz w:val="24"/>
      </w:rPr>
    </w:lvl>
  </w:abstractNum>
  <w:abstractNum w:abstractNumId="122">
    <w:multiLevelType w:val="hybridMultilevel"/>
    <w:lvl w:ilvl="0">
      <w:numFmt w:val="upperRoman"/>
      <w:lvlText w:val="%1"/>
      <w:lvlJc w:val="left"/>
      <w:start w:val="6"/>
      <w:pPr>
        <w:ind w:left="645" w:hanging="255"/>
        <w:tab w:val="num" w:pos="645"/>
      </w:pPr>
      <w:rPr>
        <w:rFonts w:ascii="Arial MT" w:hAnsi="Arial MT" w:cs="Arial MT" w:eastAsia="Arial MT"/>
      </w:rPr>
    </w:lvl>
    <w:lvl w:ilvl="1">
      <w:numFmt w:val="bullet"/>
      <w:lvlText w:val="•"/>
      <w:lvlJc w:val="left"/>
      <w:pPr>
        <w:ind w:left="1575" w:hanging="240"/>
        <w:tab w:val="num" w:pos="1575"/>
      </w:pPr>
      <w:rPr>
        <w:rFonts w:ascii="Times New Roman" w:hAnsi="Times New Roman" w:cs="Times New Roman" w:eastAsia="Times New Roman"/>
        <w:sz w:val="24"/>
      </w:rPr>
    </w:lvl>
    <w:lvl w:ilvl="2">
      <w:numFmt w:val="bullet"/>
      <w:lvlText w:val="•"/>
      <w:lvlJc w:val="left"/>
      <w:pPr>
        <w:ind w:left="2505" w:hanging="240"/>
        <w:tab w:val="num" w:pos="2505"/>
      </w:pPr>
      <w:rPr>
        <w:rFonts w:ascii="Times New Roman" w:hAnsi="Times New Roman" w:cs="Times New Roman" w:eastAsia="Times New Roman"/>
        <w:sz w:val="24"/>
      </w:rPr>
    </w:lvl>
    <w:lvl w:ilvl="3">
      <w:numFmt w:val="bullet"/>
      <w:lvlText w:val="•"/>
      <w:lvlJc w:val="left"/>
      <w:pPr>
        <w:ind w:left="3435" w:hanging="240"/>
        <w:tab w:val="num" w:pos="3435"/>
      </w:pPr>
      <w:rPr>
        <w:rFonts w:ascii="Times New Roman" w:hAnsi="Times New Roman" w:cs="Times New Roman" w:eastAsia="Times New Roman"/>
        <w:sz w:val="24"/>
      </w:rPr>
    </w:lvl>
    <w:lvl w:ilvl="4">
      <w:numFmt w:val="bullet"/>
      <w:lvlText w:val="•"/>
      <w:lvlJc w:val="left"/>
      <w:pPr>
        <w:ind w:left="4365" w:hanging="240"/>
        <w:tab w:val="num" w:pos="4365"/>
      </w:pPr>
      <w:rPr>
        <w:rFonts w:ascii="Times New Roman" w:hAnsi="Times New Roman" w:cs="Times New Roman" w:eastAsia="Times New Roman"/>
        <w:sz w:val="24"/>
      </w:rPr>
    </w:lvl>
    <w:lvl w:ilvl="5">
      <w:numFmt w:val="bullet"/>
      <w:lvlText w:val="•"/>
      <w:lvlJc w:val="left"/>
      <w:pPr>
        <w:ind w:left="5295" w:hanging="240"/>
        <w:tab w:val="num" w:pos="5295"/>
      </w:pPr>
      <w:rPr>
        <w:rFonts w:ascii="Times New Roman" w:hAnsi="Times New Roman" w:cs="Times New Roman" w:eastAsia="Times New Roman"/>
        <w:sz w:val="24"/>
      </w:rPr>
    </w:lvl>
    <w:lvl w:ilvl="6">
      <w:numFmt w:val="bullet"/>
      <w:lvlText w:val="•"/>
      <w:lvlJc w:val="left"/>
      <w:pPr>
        <w:ind w:left="6225" w:hanging="240"/>
        <w:tab w:val="num" w:pos="6225"/>
      </w:pPr>
      <w:rPr>
        <w:rFonts w:ascii="Times New Roman" w:hAnsi="Times New Roman" w:cs="Times New Roman" w:eastAsia="Times New Roman"/>
        <w:sz w:val="24"/>
      </w:rPr>
    </w:lvl>
    <w:lvl w:ilvl="7">
      <w:numFmt w:val="bullet"/>
      <w:lvlText w:val="•"/>
      <w:lvlJc w:val="left"/>
      <w:pPr>
        <w:ind w:left="7155" w:hanging="240"/>
        <w:tab w:val="num" w:pos="7155"/>
      </w:pPr>
      <w:rPr>
        <w:rFonts w:ascii="Times New Roman" w:hAnsi="Times New Roman" w:cs="Times New Roman" w:eastAsia="Times New Roman"/>
        <w:sz w:val="24"/>
      </w:rPr>
    </w:lvl>
    <w:lvl w:ilvl="8">
      <w:numFmt w:val="bullet"/>
      <w:lvlText w:val="•"/>
      <w:lvlJc w:val="left"/>
      <w:pPr>
        <w:ind w:left="8085" w:hanging="240"/>
        <w:tab w:val="num" w:pos="8085"/>
      </w:pPr>
      <w:rPr>
        <w:rFonts w:ascii="Times New Roman" w:hAnsi="Times New Roman" w:cs="Times New Roman" w:eastAsia="Times New Roman"/>
        <w:sz w:val="24"/>
      </w:rPr>
    </w:lvl>
  </w:abstractNum>
  <w:abstractNum w:abstractNumId="123">
    <w:multiLevelType w:val="hybridMultilevel"/>
    <w:lvl w:ilvl="0">
      <w:numFmt w:val="upperRoman"/>
      <w:lvlText w:val="%1"/>
      <w:lvlJc w:val="left"/>
      <w:start w:val="2"/>
      <w:pPr>
        <w:ind w:left="570" w:hanging="180"/>
        <w:tab w:val="num" w:pos="570"/>
      </w:pPr>
      <w:rPr>
        <w:rFonts w:ascii="Arial MT" w:hAnsi="Arial MT" w:cs="Arial MT" w:eastAsia="Arial MT"/>
      </w:rPr>
    </w:lvl>
    <w:lvl w:ilvl="1">
      <w:numFmt w:val="bullet"/>
      <w:lvlText w:val="•"/>
      <w:lvlJc w:val="left"/>
      <w:pPr>
        <w:ind w:left="1500" w:hanging="165"/>
        <w:tab w:val="num" w:pos="1500"/>
      </w:pPr>
      <w:rPr>
        <w:rFonts w:ascii="Times New Roman" w:hAnsi="Times New Roman" w:cs="Times New Roman" w:eastAsia="Times New Roman"/>
        <w:sz w:val="24"/>
      </w:rPr>
    </w:lvl>
    <w:lvl w:ilvl="2">
      <w:numFmt w:val="bullet"/>
      <w:lvlText w:val="•"/>
      <w:lvlJc w:val="left"/>
      <w:pPr>
        <w:ind w:left="2430" w:hanging="165"/>
        <w:tab w:val="num" w:pos="2430"/>
      </w:pPr>
      <w:rPr>
        <w:rFonts w:ascii="Times New Roman" w:hAnsi="Times New Roman" w:cs="Times New Roman" w:eastAsia="Times New Roman"/>
        <w:sz w:val="24"/>
      </w:rPr>
    </w:lvl>
    <w:lvl w:ilvl="3">
      <w:numFmt w:val="bullet"/>
      <w:lvlText w:val="•"/>
      <w:lvlJc w:val="left"/>
      <w:pPr>
        <w:ind w:left="3375" w:hanging="165"/>
        <w:tab w:val="num" w:pos="3375"/>
      </w:pPr>
      <w:rPr>
        <w:rFonts w:ascii="Times New Roman" w:hAnsi="Times New Roman" w:cs="Times New Roman" w:eastAsia="Times New Roman"/>
        <w:sz w:val="24"/>
      </w:rPr>
    </w:lvl>
    <w:lvl w:ilvl="4">
      <w:numFmt w:val="bullet"/>
      <w:lvlText w:val="•"/>
      <w:lvlJc w:val="left"/>
      <w:pPr>
        <w:ind w:left="4320" w:hanging="165"/>
        <w:tab w:val="num" w:pos="4320"/>
      </w:pPr>
      <w:rPr>
        <w:rFonts w:ascii="Times New Roman" w:hAnsi="Times New Roman" w:cs="Times New Roman" w:eastAsia="Times New Roman"/>
        <w:sz w:val="24"/>
      </w:rPr>
    </w:lvl>
    <w:lvl w:ilvl="5">
      <w:numFmt w:val="bullet"/>
      <w:lvlText w:val="•"/>
      <w:lvlJc w:val="left"/>
      <w:pPr>
        <w:ind w:left="5250" w:hanging="165"/>
        <w:tab w:val="num" w:pos="5250"/>
      </w:pPr>
      <w:rPr>
        <w:rFonts w:ascii="Times New Roman" w:hAnsi="Times New Roman" w:cs="Times New Roman" w:eastAsia="Times New Roman"/>
        <w:sz w:val="24"/>
      </w:rPr>
    </w:lvl>
    <w:lvl w:ilvl="6">
      <w:numFmt w:val="bullet"/>
      <w:lvlText w:val="•"/>
      <w:lvlJc w:val="left"/>
      <w:pPr>
        <w:ind w:left="6195" w:hanging="165"/>
        <w:tab w:val="num" w:pos="6195"/>
      </w:pPr>
      <w:rPr>
        <w:rFonts w:ascii="Times New Roman" w:hAnsi="Times New Roman" w:cs="Times New Roman" w:eastAsia="Times New Roman"/>
        <w:sz w:val="24"/>
      </w:rPr>
    </w:lvl>
    <w:lvl w:ilvl="7">
      <w:numFmt w:val="bullet"/>
      <w:lvlText w:val="•"/>
      <w:lvlJc w:val="left"/>
      <w:pPr>
        <w:ind w:left="7125" w:hanging="165"/>
        <w:tab w:val="num" w:pos="7125"/>
      </w:pPr>
      <w:rPr>
        <w:rFonts w:ascii="Times New Roman" w:hAnsi="Times New Roman" w:cs="Times New Roman" w:eastAsia="Times New Roman"/>
        <w:sz w:val="24"/>
      </w:rPr>
    </w:lvl>
    <w:lvl w:ilvl="8">
      <w:numFmt w:val="bullet"/>
      <w:lvlText w:val="•"/>
      <w:lvlJc w:val="left"/>
      <w:pPr>
        <w:ind w:left="8070" w:hanging="165"/>
        <w:tab w:val="num" w:pos="8070"/>
      </w:pPr>
      <w:rPr>
        <w:rFonts w:ascii="Times New Roman" w:hAnsi="Times New Roman" w:cs="Times New Roman" w:eastAsia="Times New Roman"/>
        <w:sz w:val="24"/>
      </w:rPr>
    </w:lvl>
  </w:abstractNum>
  <w:abstractNum w:abstractNumId="124">
    <w:multiLevelType w:val="hybridMultilevel"/>
    <w:lvl w:ilvl="0">
      <w:numFmt w:val="lowerLetter"/>
      <w:lvlText w:val="%1)"/>
      <w:lvlJc w:val="left"/>
      <w:start w:val="1"/>
      <w:pPr>
        <w:ind w:left="1125" w:hanging="375"/>
        <w:tab w:val="num" w:pos="1125"/>
      </w:pPr>
      <w:rPr>
        <w:rFonts w:ascii="Arial MT" w:hAnsi="Arial MT" w:cs="Arial MT" w:eastAsia="Arial MT"/>
      </w:rPr>
    </w:lvl>
    <w:lvl w:ilvl="1">
      <w:numFmt w:val="bullet"/>
      <w:lvlText w:val="•"/>
      <w:lvlJc w:val="left"/>
      <w:pPr>
        <w:ind w:left="1995" w:hanging="360"/>
        <w:tab w:val="num" w:pos="1995"/>
      </w:pPr>
      <w:rPr>
        <w:rFonts w:ascii="Times New Roman" w:hAnsi="Times New Roman" w:cs="Times New Roman" w:eastAsia="Times New Roman"/>
        <w:sz w:val="24"/>
      </w:rPr>
    </w:lvl>
    <w:lvl w:ilvl="2">
      <w:numFmt w:val="bullet"/>
      <w:lvlText w:val="•"/>
      <w:lvlJc w:val="left"/>
      <w:pPr>
        <w:ind w:left="2880" w:hanging="360"/>
        <w:tab w:val="num" w:pos="2880"/>
      </w:pPr>
      <w:rPr>
        <w:rFonts w:ascii="Times New Roman" w:hAnsi="Times New Roman" w:cs="Times New Roman" w:eastAsia="Times New Roman"/>
        <w:sz w:val="24"/>
      </w:rPr>
    </w:lvl>
    <w:lvl w:ilvl="3">
      <w:numFmt w:val="bullet"/>
      <w:lvlText w:val="•"/>
      <w:lvlJc w:val="left"/>
      <w:pPr>
        <w:ind w:left="3765" w:hanging="360"/>
        <w:tab w:val="num" w:pos="3765"/>
      </w:pPr>
      <w:rPr>
        <w:rFonts w:ascii="Times New Roman" w:hAnsi="Times New Roman" w:cs="Times New Roman" w:eastAsia="Times New Roman"/>
        <w:sz w:val="24"/>
      </w:rPr>
    </w:lvl>
    <w:lvl w:ilvl="4">
      <w:numFmt w:val="bullet"/>
      <w:lvlText w:val="•"/>
      <w:lvlJc w:val="left"/>
      <w:pPr>
        <w:ind w:left="4650" w:hanging="360"/>
        <w:tab w:val="num" w:pos="4650"/>
      </w:pPr>
      <w:rPr>
        <w:rFonts w:ascii="Times New Roman" w:hAnsi="Times New Roman" w:cs="Times New Roman" w:eastAsia="Times New Roman"/>
        <w:sz w:val="24"/>
      </w:rPr>
    </w:lvl>
    <w:lvl w:ilvl="5">
      <w:numFmt w:val="bullet"/>
      <w:lvlText w:val="•"/>
      <w:lvlJc w:val="left"/>
      <w:pPr>
        <w:ind w:left="5535" w:hanging="360"/>
        <w:tab w:val="num" w:pos="5535"/>
      </w:pPr>
      <w:rPr>
        <w:rFonts w:ascii="Times New Roman" w:hAnsi="Times New Roman" w:cs="Times New Roman" w:eastAsia="Times New Roman"/>
        <w:sz w:val="24"/>
      </w:rPr>
    </w:lvl>
    <w:lvl w:ilvl="6">
      <w:numFmt w:val="bullet"/>
      <w:lvlText w:val="•"/>
      <w:lvlJc w:val="left"/>
      <w:pPr>
        <w:ind w:left="6420" w:hanging="360"/>
        <w:tab w:val="num" w:pos="6420"/>
      </w:pPr>
      <w:rPr>
        <w:rFonts w:ascii="Times New Roman" w:hAnsi="Times New Roman" w:cs="Times New Roman" w:eastAsia="Times New Roman"/>
        <w:sz w:val="24"/>
      </w:rPr>
    </w:lvl>
    <w:lvl w:ilvl="7">
      <w:numFmt w:val="bullet"/>
      <w:lvlText w:val="•"/>
      <w:lvlJc w:val="left"/>
      <w:pPr>
        <w:ind w:left="7290" w:hanging="360"/>
        <w:tab w:val="num" w:pos="7290"/>
      </w:pPr>
      <w:rPr>
        <w:rFonts w:ascii="Times New Roman" w:hAnsi="Times New Roman" w:cs="Times New Roman" w:eastAsia="Times New Roman"/>
        <w:sz w:val="24"/>
      </w:rPr>
    </w:lvl>
    <w:lvl w:ilvl="8">
      <w:numFmt w:val="bullet"/>
      <w:lvlText w:val="•"/>
      <w:lvlJc w:val="left"/>
      <w:pPr>
        <w:ind w:left="8175" w:hanging="360"/>
        <w:tab w:val="num" w:pos="8175"/>
      </w:pPr>
      <w:rPr>
        <w:rFonts w:ascii="Times New Roman" w:hAnsi="Times New Roman" w:cs="Times New Roman" w:eastAsia="Times New Roman"/>
        <w:sz w:val="24"/>
      </w:rPr>
    </w:lvl>
  </w:abstractNum>
  <w:abstractNum w:abstractNumId="125">
    <w:multiLevelType w:val="hybridMultilevel"/>
    <w:lvl w:ilvl="0">
      <w:numFmt w:val="upperRoman"/>
      <w:lvlText w:val="%1"/>
      <w:lvlJc w:val="left"/>
      <w:start w:val="1"/>
      <w:pPr>
        <w:ind w:left="405" w:firstLine="0"/>
        <w:tab w:val="num" w:pos="525"/>
      </w:pPr>
      <w:rPr>
        <w:rFonts w:ascii="Arial MT" w:hAnsi="Arial MT" w:cs="Arial MT" w:eastAsia="Arial MT"/>
      </w:rPr>
    </w:lvl>
    <w:lvl w:ilvl="1">
      <w:numFmt w:val="bullet"/>
      <w:lvlText w:val="•"/>
      <w:lvlJc w:val="left"/>
      <w:pPr>
        <w:ind w:left="1350" w:hanging="120"/>
        <w:tab w:val="num" w:pos="1350"/>
      </w:pPr>
      <w:rPr>
        <w:rFonts w:ascii="Times New Roman" w:hAnsi="Times New Roman" w:cs="Times New Roman" w:eastAsia="Times New Roman"/>
        <w:sz w:val="24"/>
      </w:rPr>
    </w:lvl>
    <w:lvl w:ilvl="2">
      <w:numFmt w:val="bullet"/>
      <w:lvlText w:val="•"/>
      <w:lvlJc w:val="left"/>
      <w:pPr>
        <w:ind w:left="2310" w:hanging="120"/>
        <w:tab w:val="num" w:pos="231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15" w:hanging="120"/>
        <w:tab w:val="num" w:pos="4215"/>
      </w:pPr>
      <w:rPr>
        <w:rFonts w:ascii="Times New Roman" w:hAnsi="Times New Roman" w:cs="Times New Roman" w:eastAsia="Times New Roman"/>
        <w:sz w:val="24"/>
      </w:rPr>
    </w:lvl>
    <w:lvl w:ilvl="5">
      <w:numFmt w:val="bullet"/>
      <w:lvlText w:val="•"/>
      <w:lvlJc w:val="left"/>
      <w:pPr>
        <w:ind w:left="5175" w:hanging="120"/>
        <w:tab w:val="num" w:pos="5175"/>
      </w:pPr>
      <w:rPr>
        <w:rFonts w:ascii="Times New Roman" w:hAnsi="Times New Roman" w:cs="Times New Roman" w:eastAsia="Times New Roman"/>
        <w:sz w:val="24"/>
      </w:rPr>
    </w:lvl>
    <w:lvl w:ilvl="6">
      <w:numFmt w:val="bullet"/>
      <w:lvlText w:val="•"/>
      <w:lvlJc w:val="left"/>
      <w:pPr>
        <w:ind w:left="6120" w:hanging="120"/>
        <w:tab w:val="num" w:pos="6120"/>
      </w:pPr>
      <w:rPr>
        <w:rFonts w:ascii="Times New Roman" w:hAnsi="Times New Roman" w:cs="Times New Roman" w:eastAsia="Times New Roman"/>
        <w:sz w:val="24"/>
      </w:rPr>
    </w:lvl>
    <w:lvl w:ilvl="7">
      <w:numFmt w:val="bullet"/>
      <w:lvlText w:val="•"/>
      <w:lvlJc w:val="left"/>
      <w:pPr>
        <w:ind w:left="7080" w:hanging="120"/>
        <w:tab w:val="num" w:pos="7080"/>
      </w:pPr>
      <w:rPr>
        <w:rFonts w:ascii="Times New Roman" w:hAnsi="Times New Roman" w:cs="Times New Roman" w:eastAsia="Times New Roman"/>
        <w:sz w:val="24"/>
      </w:rPr>
    </w:lvl>
    <w:lvl w:ilvl="8">
      <w:numFmt w:val="bullet"/>
      <w:lvlText w:val="•"/>
      <w:lvlJc w:val="left"/>
      <w:pPr>
        <w:ind w:left="8040" w:hanging="120"/>
        <w:tab w:val="num" w:pos="8040"/>
      </w:pPr>
      <w:rPr>
        <w:rFonts w:ascii="Times New Roman" w:hAnsi="Times New Roman" w:cs="Times New Roman" w:eastAsia="Times New Roman"/>
        <w:sz w:val="24"/>
      </w:rPr>
    </w:lvl>
  </w:abstractNum>
  <w:abstractNum w:abstractNumId="126">
    <w:multiLevelType w:val="hybridMultilevel"/>
    <w:lvl w:ilvl="0">
      <w:numFmt w:val="decimal"/>
      <w:lvlText w:val="%1."/>
      <w:lvlJc w:val="left"/>
      <w:start w:val="1"/>
      <w:pPr>
        <w:ind w:left="585" w:hanging="360"/>
        <w:tab w:val="num" w:pos="585"/>
      </w:pPr>
      <w:rPr>
        <w:rFonts w:ascii="Times New Roman" w:hAnsi="Times New Roman" w:cs="Times New Roman" w:eastAsia="Times New Roman"/>
        <w:b/>
        <w:sz w:val="22"/>
      </w:rPr>
    </w:lvl>
    <w:lvl w:ilvl="1">
      <w:numFmt w:val="decimal"/>
      <w:lvlText w:val="%1.%2."/>
      <w:lvlJc w:val="left"/>
      <w:start w:val="1"/>
      <w:pPr>
        <w:ind w:left="1020" w:hanging="435"/>
        <w:tab w:val="num" w:pos="1020"/>
      </w:pPr>
      <w:rPr>
        <w:rFonts w:ascii="Times New Roman" w:hAnsi="Times New Roman" w:cs="Times New Roman" w:eastAsia="Times New Roman"/>
        <w:b/>
        <w:sz w:val="22"/>
      </w:rPr>
    </w:lvl>
    <w:lvl w:ilvl="2">
      <w:numFmt w:val="lowerLetter"/>
      <w:lvlText w:val="%3)"/>
      <w:lvlJc w:val="left"/>
      <w:start w:val="1"/>
      <w:pPr>
        <w:ind w:left="1350" w:hanging="285"/>
        <w:tab w:val="num" w:pos="1350"/>
      </w:pPr>
      <w:rPr>
        <w:rFonts w:ascii="Times New Roman" w:hAnsi="Times New Roman" w:cs="Times New Roman" w:eastAsia="Times New Roman"/>
        <w:b/>
        <w:sz w:val="22"/>
      </w:rPr>
    </w:lvl>
    <w:lvl w:ilvl="3">
      <w:numFmt w:val="lowerRoman"/>
      <w:lvlText w:val="%4."/>
      <w:lvlJc w:val="left"/>
      <w:start w:val="1"/>
      <w:pPr>
        <w:ind w:left="1920" w:hanging="405"/>
        <w:tab w:val="num" w:pos="1920"/>
      </w:pPr>
      <w:rPr>
        <w:rFonts w:ascii="Times New Roman" w:hAnsi="Times New Roman" w:cs="Times New Roman" w:eastAsia="Times New Roman"/>
        <w:b/>
        <w:sz w:val="22"/>
      </w:rPr>
    </w:lvl>
    <w:lvl w:ilvl="4">
      <w:numFmt w:val="bullet"/>
      <w:lvlText w:val="•"/>
      <w:lvlJc w:val="left"/>
      <w:pPr>
        <w:ind w:left="1440" w:hanging="405"/>
        <w:tab w:val="num" w:pos="1440"/>
      </w:pPr>
      <w:rPr>
        <w:rFonts w:ascii="Times New Roman" w:hAnsi="Times New Roman" w:cs="Times New Roman" w:eastAsia="Times New Roman"/>
        <w:sz w:val="24"/>
      </w:rPr>
    </w:lvl>
    <w:lvl w:ilvl="5">
      <w:numFmt w:val="bullet"/>
      <w:lvlText w:val="•"/>
      <w:lvlJc w:val="left"/>
      <w:pPr>
        <w:ind w:left="1500" w:hanging="405"/>
        <w:tab w:val="num" w:pos="1500"/>
      </w:pPr>
      <w:rPr>
        <w:rFonts w:ascii="Times New Roman" w:hAnsi="Times New Roman" w:cs="Times New Roman" w:eastAsia="Times New Roman"/>
        <w:sz w:val="24"/>
      </w:rPr>
    </w:lvl>
    <w:lvl w:ilvl="6">
      <w:numFmt w:val="bullet"/>
      <w:lvlText w:val="•"/>
      <w:lvlJc w:val="left"/>
      <w:pPr>
        <w:ind w:left="1740" w:hanging="405"/>
        <w:tab w:val="num" w:pos="1740"/>
      </w:pPr>
      <w:rPr>
        <w:rFonts w:ascii="Times New Roman" w:hAnsi="Times New Roman" w:cs="Times New Roman" w:eastAsia="Times New Roman"/>
        <w:sz w:val="24"/>
      </w:rPr>
    </w:lvl>
    <w:lvl w:ilvl="7">
      <w:numFmt w:val="bullet"/>
      <w:lvlText w:val="•"/>
      <w:lvlJc w:val="left"/>
      <w:pPr>
        <w:ind w:left="1785" w:hanging="405"/>
        <w:tab w:val="num" w:pos="1785"/>
      </w:pPr>
      <w:rPr>
        <w:rFonts w:ascii="Times New Roman" w:hAnsi="Times New Roman" w:cs="Times New Roman" w:eastAsia="Times New Roman"/>
        <w:sz w:val="24"/>
      </w:rPr>
    </w:lvl>
    <w:lvl w:ilvl="8">
      <w:numFmt w:val="bullet"/>
      <w:lvlText w:val="•"/>
      <w:lvlJc w:val="left"/>
      <w:pPr>
        <w:ind w:left="1920" w:hanging="405"/>
        <w:tab w:val="num" w:pos="1920"/>
      </w:pPr>
      <w:rPr>
        <w:rFonts w:ascii="Times New Roman" w:hAnsi="Times New Roman" w:cs="Times New Roman" w:eastAsia="Times New Roman"/>
        <w:sz w:val="24"/>
      </w:rPr>
    </w:lvl>
  </w:abstractNum>
  <w:abstractNum w:abstractNumId="127">
    <w:multiLevelType w:val="singleLevel"/>
    <w:lvl w:ilvl="0">
      <w:numFmt w:val="lowerLetter"/>
      <w:lvlText w:val="%1)"/>
      <w:lvlJc w:val="left"/>
      <w:start w:val="1"/>
      <w:pPr>
        <w:ind w:left="1425" w:hanging="15"/>
        <w:tab w:val="num" w:pos="1425"/>
      </w:pPr>
      <w:rPr>
        <w:rFonts w:ascii="Calibri" w:hAnsi="Calibri" w:cs="Calibri" w:eastAsia="Calibri"/>
        <w:b/>
      </w:rPr>
    </w:lvl>
  </w:abstractNum>
  <w:abstractNum w:abstractNumId="128">
    <w:multiLevelType w:val="singleLevel"/>
    <w:lvl w:ilvl="0">
      <w:numFmt w:val="lowerLetter"/>
      <w:lvlText w:val="%1)"/>
      <w:lvlJc w:val="left"/>
      <w:start w:val="1"/>
      <w:pPr>
        <w:ind w:left="990" w:firstLine="705"/>
        <w:tab w:val="num" w:pos="990"/>
      </w:pPr>
      <w:rPr>
        <w:rFonts w:ascii="Calibri" w:hAnsi="Calibri" w:cs="Calibri" w:eastAsia="Calibri"/>
      </w:rPr>
    </w:lvl>
  </w:abstractNum>
  <w:abstractNum w:abstractNumId="129">
    <w:multiLevelType w:val="multilevel"/>
    <w:lvl w:ilvl="0">
      <w:numFmt w:val="decimal"/>
      <w:lvlText w:val=""/>
      <w:lvlJc w:val="left"/>
      <w:start w:val="1"/>
      <w:pPr>
        <w:ind w:left="720" w:hanging="360"/>
        <w:tab w:val="num" w:pos="720"/>
      </w:pPr>
      <w:rPr>
        <w:rFonts w:ascii="Times New Roman" w:hAnsi="Times New Roman" w:cs="Times New Roman" w:eastAsia="Times New Roman"/>
        <w:sz w:val="24"/>
      </w:rPr>
    </w:lvl>
    <w:lvl w:ilvl="1">
      <w:numFmt w:val="lowerLetter"/>
      <w:lvlText w:val="%2."/>
      <w:lvlJc w:val="left"/>
      <w:start w:val="1"/>
      <w:pPr>
        <w:ind w:left="1440" w:hanging="360"/>
        <w:tab w:val="num" w:pos="1440"/>
      </w:pPr>
      <w:rPr>
        <w:rFonts w:ascii="Times New Roman" w:hAnsi="Times New Roman" w:cs="Times New Roman" w:eastAsia="Times New Roman"/>
        <w:sz w:val="18"/>
        <w:color w:val="000000"/>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1800" w:hanging="360"/>
        <w:tab w:val="num" w:pos="1800"/>
      </w:pPr>
      <w:rPr>
        <w:rFonts w:ascii="Times New Roman" w:hAnsi="Times New Roman" w:cs="Times New Roman" w:eastAsia="Times New Roman"/>
        <w:b/>
        <w:sz w:val="18"/>
        <w:color w:val="000000"/>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130">
    <w:multiLevelType w:val="singleLevel"/>
    <w:lvl w:ilvl="0">
      <w:numFmt w:val="lowerLetter"/>
      <w:lvlText w:val="%1)"/>
      <w:lvlJc w:val="left"/>
      <w:start w:val="1"/>
      <w:pPr>
        <w:ind w:left="855" w:firstLine="0"/>
        <w:tab w:val="num" w:pos="855"/>
      </w:pPr>
      <w:rPr>
        <w:rFonts w:ascii="Calibri" w:hAnsi="Calibri" w:cs="Calibri" w:eastAsia="Calibri"/>
      </w:rPr>
    </w:lvl>
  </w:abstractNum>
  <w:abstractNum w:abstractNumId="131">
    <w:multiLevelType w:val="singleLevel"/>
    <w:lvl w:ilvl="0">
      <w:numFmt w:val="lowerLetter"/>
      <w:lvlText w:val="%1)"/>
      <w:lvlJc w:val="left"/>
      <w:start w:val="1"/>
      <w:pPr>
        <w:ind w:left="570" w:hanging="240"/>
        <w:tab w:val="num" w:pos="570"/>
      </w:pPr>
      <w:rPr>
        <w:rFonts w:ascii="Calibri" w:hAnsi="Calibri" w:cs="Calibri" w:eastAsia="Calibri"/>
      </w:rPr>
    </w:lvl>
  </w:abstractNum>
  <w:abstractNum w:abstractNumId="132">
    <w:multiLevelType w:val="multilevel"/>
    <w:lvl w:ilvl="0">
      <w:numFmt w:val="decimal"/>
      <w:lvlText w:val="%1 "/>
      <w:lvlJc w:val="left"/>
      <w:start w:val="2"/>
      <w:pPr>
        <w:ind w:left="195" w:hanging="150"/>
        <w:tab w:val="num" w:pos="195"/>
      </w:pPr>
      <w:rPr>
        <w:rFonts w:ascii="Times New Roman" w:hAnsi="Times New Roman" w:cs="Times New Roman" w:eastAsia="Times New Roman"/>
        <w:b/>
      </w:rPr>
    </w:lvl>
    <w:lvl w:ilvl="1">
      <w:numFmt w:val="decimal"/>
      <w:lvlText w:val="%2 "/>
      <w:lvlJc w:val="left"/>
      <w:start w:val="1"/>
      <w:pPr>
        <w:ind w:left="0" w:firstLine="0"/>
        <w:tab w:val="num" w:pos="0"/>
      </w:pPr>
      <w:rPr>
        <w:rFonts w:ascii="Times New Roman" w:hAnsi="Times New Roman" w:cs="Times New Roman" w:eastAsia="Times New Roman"/>
        <w:sz w:val="24"/>
      </w:rPr>
    </w:lvl>
    <w:lvl w:ilvl="2">
      <w:numFmt w:val="decimal"/>
      <w:lvlText w:val=""/>
      <w:lvlJc w:val="left"/>
      <w:start w:val="0"/>
      <w:pPr>
        <w:ind w:left="0" w:firstLine="0"/>
        <w:tab w:val="num" w:pos="0"/>
      </w:pPr>
      <w:rPr>
        <w:rFonts w:ascii="Times New Roman" w:hAnsi="Times New Roman" w:cs="Times New Roman" w:eastAsia="Times New Roman"/>
        <w:sz w:val="24"/>
      </w:rPr>
    </w:lvl>
    <w:lvl w:ilvl="3">
      <w:numFmt w:val="decimal"/>
      <w:lvlText w:val=""/>
      <w:lvlJc w:val="left"/>
      <w:start w:val="0"/>
      <w:pPr>
        <w:ind w:left="0" w:firstLine="0"/>
        <w:tab w:val="num" w:pos="0"/>
      </w:pPr>
      <w:rPr>
        <w:rFonts w:ascii="Times New Roman" w:hAnsi="Times New Roman" w:cs="Times New Roman" w:eastAsia="Times New Roman"/>
        <w:sz w:val="24"/>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abstractNum w:abstractNumId="133">
    <w:multiLevelType w:val="singleLevel"/>
    <w:lvl w:ilvl="0">
      <w:numFmt w:val="bullet"/>
      <w:lvlText w:val=""/>
      <w:lvlJc w:val="left"/>
      <w:pPr>
        <w:ind w:left="570" w:hanging="150"/>
        <w:tab w:val="num" w:pos="570"/>
      </w:pPr>
      <w:rPr>
        <w:rFonts w:ascii="Symbol" w:hAnsi="Symbol" w:cs="Symbol" w:eastAsia="Symbol"/>
      </w:rPr>
    </w:lvl>
  </w:abstractNum>
  <w:abstractNum w:abstractNumId="134">
    <w:multiLevelType w:val="multilevel"/>
    <w:lvl w:ilvl="0">
      <w:numFmt w:val="upperRoman"/>
      <w:lvlText w:val="%1"/>
      <w:lvlJc w:val="left"/>
      <w:start w:val="2"/>
      <w:pPr>
        <w:ind w:left="0" w:firstLine="0"/>
        <w:tab w:val="num" w:pos="0"/>
      </w:pPr>
      <w:rPr>
        <w:rFonts w:ascii="Calibri" w:hAnsi="Calibri" w:cs="Calibri" w:eastAsia="Calibri"/>
        <w:b/>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135">
    <w:multiLevelType w:val="hybridMultilevel"/>
    <w:lvl w:ilvl="0">
      <w:numFmt w:val="bullet"/>
      <w:lvlText w:val="·"/>
      <w:lvlJc w:val="left"/>
      <w:pPr>
        <w:ind w:left="0" w:firstLine="0"/>
        <w:tab w:val="num" w:pos="0"/>
      </w:pPr>
      <w:rPr>
        <w:rFonts w:ascii="Symbol" w:hAnsi="Symbol" w:cs="Symbol" w:eastAsia="Symbol"/>
        <w:sz w:val="24"/>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136">
    <w:multiLevelType w:val="singleLevel"/>
    <w:lvl w:ilvl="0">
      <w:numFmt w:val="upperRoman"/>
      <w:lvlText w:val="%1"/>
      <w:lvlJc w:val="left"/>
      <w:start w:val="1"/>
      <w:pPr>
        <w:ind w:left="60" w:hanging="15"/>
        <w:tab w:val="num" w:pos="60"/>
      </w:pPr>
      <w:rPr>
        <w:rFonts w:ascii="Calibri" w:hAnsi="Calibri" w:cs="Calibri" w:eastAsia="Calibri"/>
      </w:rPr>
    </w:lvl>
  </w:abstractNum>
  <w:abstractNum w:abstractNumId="137">
    <w:multiLevelType w:val="singleLevel"/>
    <w:lvl w:ilvl="0">
      <w:numFmt w:val="upperRoman"/>
      <w:lvlText w:val="%1"/>
      <w:lvlJc w:val="left"/>
      <w:start w:val="3"/>
      <w:pPr>
        <w:ind w:left="60" w:hanging="15"/>
        <w:tab w:val="num" w:pos="60"/>
      </w:pPr>
      <w:rPr>
        <w:rFonts w:ascii="Calibri" w:hAnsi="Calibri" w:cs="Calibri" w:eastAsia="Calibri"/>
        <w:b/>
      </w:rPr>
    </w:lvl>
  </w:abstractNum>
  <w:abstractNum w:abstractNumId="138">
    <w:multiLevelType w:val="singleLevel"/>
    <w:lvl w:ilvl="0">
      <w:numFmt w:val="upperRoman"/>
      <w:lvlText w:val="%1"/>
      <w:lvlJc w:val="left"/>
      <w:start w:val="5"/>
      <w:pPr>
        <w:ind w:left="60" w:hanging="15"/>
        <w:tab w:val="num" w:pos="60"/>
      </w:pPr>
      <w:rPr>
        <w:rFonts w:ascii="Calibri" w:hAnsi="Calibri" w:cs="Calibri" w:eastAsia="Calibri"/>
        <w:b/>
      </w:rPr>
    </w:lvl>
  </w:abstractNum>
  <w:abstractNum w:abstractNumId="139">
    <w:multiLevelType w:val="singleLevel"/>
    <w:lvl w:ilvl="0">
      <w:numFmt w:val="upperRoman"/>
      <w:lvlText w:val="%1"/>
      <w:lvlJc w:val="left"/>
      <w:start w:val="1"/>
      <w:pPr>
        <w:ind w:left="150" w:hanging="105"/>
        <w:tab w:val="num" w:pos="150"/>
      </w:pPr>
      <w:rPr>
        <w:rFonts w:ascii="Calibri" w:hAnsi="Calibri" w:cs="Calibri" w:eastAsia="Calibri"/>
        <w:b/>
      </w:rPr>
    </w:lvl>
  </w:abstractNum>
  <w:abstractNum w:abstractNumId="140">
    <w:multiLevelType w:val="singleLevel"/>
    <w:lvl w:ilvl="0">
      <w:numFmt w:val="lowerLetter"/>
      <w:lvlText w:val="%1)"/>
      <w:lvlJc w:val="left"/>
      <w:start w:val="1"/>
      <w:pPr>
        <w:ind w:left="705" w:firstLine="0"/>
        <w:tab w:val="num" w:pos="705"/>
      </w:pPr>
      <w:rPr>
        <w:rFonts w:ascii="Calibri" w:hAnsi="Calibri" w:cs="Calibri" w:eastAsia="Calibri"/>
      </w:rPr>
    </w:lvl>
  </w:abstractNum>
  <w:abstractNum w:abstractNumId="141">
    <w:multiLevelType w:val="singleLevel"/>
    <w:lvl w:ilvl="0">
      <w:numFmt w:val="lowerLetter"/>
      <w:lvlText w:val="%1)"/>
      <w:lvlJc w:val="left"/>
      <w:start w:val="1"/>
      <w:pPr>
        <w:ind w:left="705" w:firstLine="0"/>
        <w:tab w:val="num" w:pos="705"/>
      </w:pPr>
      <w:rPr>
        <w:rFonts w:ascii="Calibri" w:hAnsi="Calibri" w:cs="Calibri" w:eastAsia="Calibri"/>
      </w:rPr>
    </w:lvl>
  </w:abstractNum>
  <w:abstractNum w:abstractNumId="142">
    <w:multiLevelType w:val="singleLevel"/>
    <w:lvl w:ilvl="0">
      <w:numFmt w:val="lowerLetter"/>
      <w:lvlText w:val="%1)"/>
      <w:lvlJc w:val="left"/>
      <w:start w:val="1"/>
      <w:pPr>
        <w:ind w:left="705" w:firstLine="0"/>
        <w:tab w:val="num" w:pos="705"/>
      </w:pPr>
      <w:rPr>
        <w:rFonts w:ascii="Calibri" w:hAnsi="Calibri" w:cs="Calibri" w:eastAsia="Calibri"/>
      </w:rPr>
    </w:lvl>
  </w:abstractNum>
  <w:abstractNum w:abstractNumId="143">
    <w:multiLevelType w:val="singleLevel"/>
    <w:lvl w:ilvl="0">
      <w:numFmt w:val="lowerLetter"/>
      <w:lvlText w:val="%1)"/>
      <w:lvlJc w:val="left"/>
      <w:start w:val="1"/>
      <w:pPr>
        <w:ind w:left="285" w:hanging="15"/>
        <w:tab w:val="num" w:pos="285"/>
      </w:pPr>
      <w:rPr>
        <w:rFonts w:ascii="Calibri" w:hAnsi="Calibri" w:cs="Calibri" w:eastAsia="Calibri"/>
        <w:b/>
      </w:rPr>
    </w:lvl>
  </w:abstractNum>
  <w:abstractNum w:abstractNumId="144">
    <w:multiLevelType w:val="singleLevel"/>
    <w:lvl w:ilvl="0">
      <w:numFmt w:val="upperRoman"/>
      <w:lvlText w:val="%1."/>
      <w:lvlJc w:val="left"/>
      <w:start w:val="1"/>
      <w:pPr>
        <w:ind w:left="855" w:firstLine="0"/>
        <w:tab w:val="num" w:pos="855"/>
      </w:pPr>
      <w:rPr>
        <w:rFonts w:ascii="Calibri" w:hAnsi="Calibri" w:cs="Calibri" w:eastAsia="Calibri"/>
      </w:rPr>
    </w:lvl>
  </w:abstractNum>
  <w:abstractNum w:abstractNumId="145">
    <w:multiLevelType w:val="multilevel"/>
    <w:lvl w:ilvl="0">
      <w:numFmt w:val="decimal"/>
      <w:lvlText w:val=""/>
      <w:lvlJc w:val="left"/>
      <w:start w:val="1"/>
      <w:pPr>
        <w:ind w:left="360" w:hanging="360"/>
        <w:tab w:val="num" w:pos="360"/>
      </w:pPr>
      <w:rPr>
        <w:rFonts w:ascii="Times New Roman" w:hAnsi="Times New Roman" w:cs="Times New Roman" w:eastAsia="Times New Roman"/>
        <w:b/>
        <w:sz w:val="24"/>
      </w:rPr>
    </w:lvl>
    <w:lvl w:ilvl="1">
      <w:numFmt w:val="decimal"/>
      <w:lvlText w:val=""/>
      <w:lvlJc w:val="left"/>
      <w:start w:val="1"/>
      <w:pPr>
        <w:ind w:left="0" w:firstLine="0"/>
        <w:tab w:val="num" w:pos="0"/>
      </w:pPr>
      <w:rPr>
        <w:rFonts w:ascii="Times New Roman" w:hAnsi="Times New Roman" w:cs="Times New Roman" w:eastAsia="Times New Roman"/>
        <w:b/>
        <w:sz w:val="24"/>
      </w:rPr>
    </w:lvl>
    <w:lvl w:ilvl="2">
      <w:numFmt w:val="decimal"/>
      <w:lvlText w:val=""/>
      <w:lvlJc w:val="left"/>
      <w:start w:val="0"/>
      <w:pPr>
        <w:ind w:left="0" w:firstLine="0"/>
        <w:tab w:val="num" w:pos="0"/>
      </w:pPr>
      <w:rPr>
        <w:rFonts w:ascii="Times New Roman" w:hAnsi="Times New Roman" w:cs="Times New Roman" w:eastAsia="Times New Roman"/>
        <w:sz w:val="24"/>
      </w:rPr>
    </w:lvl>
    <w:lvl w:ilvl="3">
      <w:numFmt w:val="decimal"/>
      <w:lvlText w:val=""/>
      <w:lvlJc w:val="left"/>
      <w:start w:val="0"/>
      <w:pPr>
        <w:ind w:left="0" w:firstLine="0"/>
        <w:tab w:val="num" w:pos="0"/>
      </w:pPr>
      <w:rPr>
        <w:rFonts w:ascii="Times New Roman" w:hAnsi="Times New Roman" w:cs="Times New Roman" w:eastAsia="Times New Roman"/>
        <w:sz w:val="24"/>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abstractNum w:abstractNumId="146">
    <w:multiLevelType w:val="hybridMultilevel"/>
    <w:lvl w:ilvl="0">
      <w:numFmt w:val="bullet"/>
      <w:lvlText w:val="Ø"/>
      <w:lvlJc w:val="left"/>
      <w:pPr>
        <w:ind w:left="360" w:hanging="360"/>
        <w:tab w:val="num" w:pos="360"/>
      </w:pPr>
      <w:rPr>
        <w:rFonts w:ascii="Wingdings" w:hAnsi="Wingdings" w:cs="Wingdings" w:eastAsia="Wingdings"/>
        <w:sz w:val="24"/>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147">
    <w:multiLevelType w:val="multilevel"/>
    <w:lvl w:ilvl="0">
      <w:numFmt w:val="lowerLetter"/>
      <w:lvlText w:val="%1)"/>
      <w:lvlJc w:val="left"/>
      <w:start w:val="1"/>
      <w:pPr>
        <w:ind w:left="705" w:firstLine="0"/>
        <w:tab w:val="num" w:pos="705"/>
      </w:pPr>
      <w:rPr>
        <w:rFonts w:ascii="Times New Roman" w:hAnsi="Times New Roman" w:cs="Times New Roman" w:eastAsia="Times New Roman"/>
      </w:rPr>
    </w:lvl>
    <w:lvl w:ilvl="1">
      <w:numFmt w:val="decimal"/>
      <w:lvlText w:val="%2."/>
      <w:lvlJc w:val="left"/>
      <w:start w:val="1"/>
      <w:pPr>
        <w:ind w:left="0" w:firstLine="0"/>
        <w:tab w:val="num" w:pos="0"/>
      </w:pPr>
      <w:rPr>
        <w:rFonts w:ascii="Times New Roman" w:hAnsi="Times New Roman" w:cs="Times New Roman" w:eastAsia="Times New Roman"/>
        <w:sz w:val="24"/>
      </w:rPr>
    </w:lvl>
    <w:lvl w:ilvl="2">
      <w:numFmt w:val="lowerLetter"/>
      <w:lvlText w:val="%3."/>
      <w:lvlJc w:val="left"/>
      <w:start w:val="1"/>
      <w:pPr>
        <w:ind w:left="0" w:firstLine="0"/>
        <w:tab w:val="num" w:pos="0"/>
      </w:pPr>
      <w:rPr>
        <w:rFonts w:ascii="Times New Roman" w:hAnsi="Times New Roman" w:cs="Times New Roman" w:eastAsia="Times New Roman"/>
        <w:sz w:val="24"/>
      </w:rPr>
    </w:lvl>
    <w:lvl w:ilvl="3">
      <w:numFmt w:val="lowerRoman"/>
      <w:lvlText w:val="(%4)"/>
      <w:lvlJc w:val="left"/>
      <w:start w:val="1"/>
      <w:pPr>
        <w:ind w:left="1275" w:hanging="285"/>
        <w:tab w:val="num" w:pos="1275"/>
      </w:pPr>
      <w:rPr>
        <w:rFonts w:ascii="Times New Roman" w:hAnsi="Times New Roman" w:cs="Times New Roman" w:eastAsia="Times New Roman"/>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abstractNum w:abstractNumId="148">
    <w:multiLevelType w:val="singleLevel"/>
    <w:lvl w:ilvl="0">
      <w:numFmt w:val="lowerLetter"/>
      <w:lvlText w:val="%1)"/>
      <w:lvlJc w:val="left"/>
      <w:start w:val="1"/>
      <w:pPr>
        <w:ind w:left="285" w:hanging="15"/>
        <w:tab w:val="num" w:pos="285"/>
      </w:pPr>
      <w:rPr>
        <w:rFonts w:ascii="Calibri" w:hAnsi="Calibri" w:cs="Calibri" w:eastAsia="Calibri"/>
        <w:b/>
      </w:rPr>
    </w:lvl>
  </w:abstractNum>
  <w:abstractNum w:abstractNumId="149">
    <w:multiLevelType w:val="singleLevel"/>
    <w:lvl w:ilvl="0">
      <w:numFmt w:val="lowerLetter"/>
      <w:lvlText w:val="%1)"/>
      <w:lvlJc w:val="left"/>
      <w:start w:val="1"/>
      <w:pPr>
        <w:ind w:left="1140" w:hanging="240"/>
        <w:tab w:val="num" w:pos="1140"/>
      </w:pPr>
      <w:rPr>
        <w:rFonts w:ascii="Calibri" w:hAnsi="Calibri" w:cs="Calibri" w:eastAsia="Calibri"/>
      </w:rPr>
    </w:lvl>
  </w:abstractNum>
  <w:abstractNum w:abstractNumId="150">
    <w:multiLevelType w:val="singleLevel"/>
    <w:lvl w:ilvl="0">
      <w:numFmt w:val="upperRoman"/>
      <w:lvlText w:val="%1"/>
      <w:lvlJc w:val="left"/>
      <w:start w:val="1"/>
      <w:pPr>
        <w:ind w:left="705" w:firstLine="0"/>
        <w:tab w:val="num" w:pos="705"/>
      </w:pPr>
      <w:rPr>
        <w:rFonts w:ascii="Calibri" w:hAnsi="Calibri" w:cs="Calibri" w:eastAsia="Calibri"/>
      </w:rPr>
    </w:lvl>
  </w:abstractNum>
  <w:abstractNum w:abstractNumId="151">
    <w:multiLevelType w:val="singleLevel"/>
    <w:lvl w:ilvl="0">
      <w:numFmt w:val="upperRoman"/>
      <w:lvlText w:val="%1"/>
      <w:lvlJc w:val="left"/>
      <w:start w:val="1"/>
      <w:pPr>
        <w:ind w:left="195" w:hanging="150"/>
        <w:tab w:val="num" w:pos="195"/>
      </w:pPr>
      <w:rPr>
        <w:rFonts w:ascii="Calibri" w:hAnsi="Calibri" w:cs="Calibri" w:eastAsia="Calibri"/>
      </w:rPr>
    </w:lvl>
  </w:abstractNum>
  <w:abstractNum w:abstractNumId="152">
    <w:multiLevelType w:val="multilevel"/>
    <w:lvl w:ilvl="0">
      <w:numFmt w:val="decimal"/>
      <w:lvlText w:val="%1."/>
      <w:lvlJc w:val="left"/>
      <w:start w:val="1"/>
      <w:pPr>
        <w:ind w:left="0" w:firstLine="0"/>
        <w:tab w:val="num" w:pos="0"/>
      </w:pPr>
      <w:rPr>
        <w:rFonts w:ascii="Times New Roman" w:hAnsi="Times New Roman" w:cs="Times New Roman" w:eastAsia="Times New Roman"/>
        <w:sz w:val="24"/>
      </w:rPr>
    </w:lvl>
    <w:lvl w:ilvl="1">
      <w:numFmt w:val="lowerLetter"/>
      <w:lvlText w:val="%2."/>
      <w:lvlJc w:val="left"/>
      <w:start w:val="1"/>
      <w:pPr>
        <w:ind w:left="0" w:firstLine="0"/>
        <w:tab w:val="num" w:pos="0"/>
      </w:pPr>
      <w:rPr>
        <w:rFonts w:ascii="Times New Roman" w:hAnsi="Times New Roman" w:cs="Times New Roman" w:eastAsia="Times New Roman"/>
        <w:sz w:val="24"/>
      </w:rPr>
    </w:lvl>
    <w:lvl w:ilvl="2">
      <w:numFmt w:val="upperLetter"/>
      <w:lvlText w:val="%3."/>
      <w:lvlJc w:val="left"/>
      <w:start w:val="1"/>
      <w:pPr>
        <w:ind w:left="0" w:firstLine="0"/>
        <w:tab w:val="num" w:pos="0"/>
      </w:pPr>
      <w:rPr>
        <w:rFonts w:ascii="Times New Roman" w:hAnsi="Times New Roman" w:cs="Times New Roman" w:eastAsia="Times New Roman"/>
        <w:sz w:val="24"/>
      </w:rPr>
    </w:lvl>
    <w:lvl w:ilvl="3">
      <w:numFmt w:val="lowerRoman"/>
      <w:lvlText w:val="(%4)"/>
      <w:lvlJc w:val="left"/>
      <w:start w:val="1"/>
      <w:pPr>
        <w:ind w:left="990" w:firstLine="0"/>
        <w:tab w:val="num" w:pos="990"/>
      </w:pPr>
      <w:rPr>
        <w:rFonts w:ascii="Times New Roman" w:hAnsi="Times New Roman" w:cs="Times New Roman" w:eastAsia="Times New Roman"/>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abstractNum w:abstractNumId="153">
    <w:multiLevelType w:val="singleLevel"/>
    <w:lvl w:ilvl="0">
      <w:numFmt w:val="upperRoman"/>
      <w:lvlText w:val="%1"/>
      <w:lvlJc w:val="left"/>
      <w:start w:val="7"/>
      <w:pPr>
        <w:ind w:left="60" w:hanging="15"/>
        <w:tab w:val="num" w:pos="60"/>
      </w:pPr>
      <w:rPr>
        <w:rFonts w:ascii="Calibri" w:hAnsi="Calibri" w:cs="Calibri" w:eastAsia="Calibri"/>
      </w:rPr>
    </w:lvl>
  </w:abstractNum>
  <w:abstractNum w:abstractNumId="154">
    <w:multiLevelType w:val="hybridMultilevel"/>
    <w:lvl w:ilvl="0">
      <w:numFmt w:val="bullet"/>
      <w:lvlText w:val="·"/>
      <w:lvlJc w:val="left"/>
      <w:pPr>
        <w:ind w:left="0" w:firstLine="0"/>
        <w:tab w:val="num" w:pos="0"/>
      </w:pPr>
      <w:rPr>
        <w:rFonts w:ascii="Symbol" w:hAnsi="Symbol" w:cs="Symbol" w:eastAsia="Symbol"/>
        <w:sz w:val="24"/>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155">
    <w:multiLevelType w:val="hybridMultilevel"/>
    <w:lvl w:ilvl="0">
      <w:numFmt w:val="bullet"/>
      <w:lvlText w:val="Ø"/>
      <w:lvlJc w:val="left"/>
      <w:pPr>
        <w:ind w:left="360" w:hanging="360"/>
        <w:tab w:val="num" w:pos="360"/>
      </w:pPr>
      <w:rPr>
        <w:rFonts w:ascii="Wingdings" w:hAnsi="Wingdings" w:cs="Wingdings" w:eastAsia="Wingdings"/>
        <w:sz w:val="24"/>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156">
    <w:multiLevelType w:val="singleLevel"/>
    <w:lvl w:ilvl="0">
      <w:numFmt w:val="decimal"/>
      <w:lvlText w:val="%1)"/>
      <w:lvlJc w:val="left"/>
      <w:start w:val="7"/>
      <w:pPr>
        <w:ind w:left="285" w:hanging="240"/>
        <w:tab w:val="num" w:pos="285"/>
      </w:pPr>
      <w:rPr>
        <w:rFonts w:ascii="Calibri" w:hAnsi="Calibri" w:cs="Calibri" w:eastAsia="Calibri"/>
      </w:rPr>
    </w:lvl>
  </w:abstractNum>
  <w:abstractNum w:abstractNumId="157">
    <w:multiLevelType w:val="singleLevel"/>
    <w:lvl w:ilvl="0">
      <w:numFmt w:val="lowerLetter"/>
      <w:lvlText w:val="%1)"/>
      <w:lvlJc w:val="left"/>
      <w:start w:val="1"/>
      <w:pPr>
        <w:ind w:left="285" w:hanging="15"/>
        <w:tab w:val="num" w:pos="285"/>
      </w:pPr>
      <w:rPr>
        <w:rFonts w:ascii="Calibri" w:hAnsi="Calibri" w:cs="Calibri" w:eastAsia="Calibri"/>
        <w:b/>
      </w:rPr>
    </w:lvl>
  </w:abstractNum>
  <w:abstractNum w:abstractNumId="158">
    <w:multiLevelType w:val="singleLevel"/>
    <w:lvl w:ilvl="0">
      <w:numFmt w:val="upperRoman"/>
      <w:lvlText w:val="%1"/>
      <w:lvlJc w:val="left"/>
      <w:start w:val="1"/>
      <w:pPr>
        <w:ind w:left="60" w:hanging="15"/>
        <w:tab w:val="num" w:pos="60"/>
      </w:pPr>
      <w:rPr>
        <w:rFonts w:ascii="Calibri" w:hAnsi="Calibri" w:cs="Calibri" w:eastAsia="Calibri"/>
        <w:b/>
      </w:rPr>
    </w:lvl>
  </w:abstractNum>
  <w:abstractNum w:abstractNumId="159">
    <w:multiLevelType w:val="singleLevel"/>
    <w:lvl w:ilvl="0">
      <w:numFmt w:val="upperRoman"/>
      <w:lvlText w:val="%1"/>
      <w:lvlJc w:val="left"/>
      <w:start w:val="1"/>
      <w:pPr>
        <w:ind w:left="60" w:hanging="15"/>
        <w:tab w:val="num" w:pos="60"/>
      </w:pPr>
      <w:rPr>
        <w:rFonts w:ascii="Calibri" w:hAnsi="Calibri" w:cs="Calibri" w:eastAsia="Calibri"/>
        <w:b/>
      </w:rPr>
    </w:lvl>
  </w:abstractNum>
  <w:abstractNum w:abstractNumId="160">
    <w:multiLevelType w:val="singleLevel"/>
    <w:lvl w:ilvl="0">
      <w:numFmt w:val="upperRoman"/>
      <w:lvlText w:val="%1"/>
      <w:lvlJc w:val="left"/>
      <w:start w:val="4"/>
      <w:pPr>
        <w:ind w:left="60" w:hanging="15"/>
        <w:tab w:val="num" w:pos="60"/>
      </w:pPr>
      <w:rPr>
        <w:rFonts w:ascii="Calibri" w:hAnsi="Calibri" w:cs="Calibri" w:eastAsia="Calibri"/>
        <w:b/>
      </w:rPr>
    </w:lvl>
  </w:abstractNum>
  <w:abstractNum w:abstractNumId="161">
    <w:multiLevelType w:val="singleLevel"/>
    <w:lvl w:ilvl="0">
      <w:numFmt w:val="decimal"/>
      <w:lvlText w:val="%1."/>
      <w:lvlJc w:val="left"/>
      <w:start w:val="1"/>
      <w:pPr>
        <w:ind w:left="270" w:firstLine="15"/>
        <w:tab w:val="num" w:pos="270"/>
      </w:pPr>
      <w:rPr>
        <w:rFonts w:ascii="Calibri" w:hAnsi="Calibri" w:cs="Calibri" w:eastAsia="Calibri"/>
        <w:b/>
      </w:rPr>
    </w:lvl>
  </w:abstractNum>
  <w:abstractNum w:abstractNumId="162">
    <w:multiLevelType w:val="singleLevel"/>
    <w:lvl w:ilvl="0">
      <w:numFmt w:val="upperRoman"/>
      <w:lvlText w:val="%1"/>
      <w:lvlJc w:val="left"/>
      <w:start w:val="1"/>
      <w:pPr>
        <w:ind w:left="1275" w:firstLine="0"/>
        <w:tab w:val="num" w:pos="1275"/>
      </w:pPr>
      <w:rPr>
        <w:rFonts w:ascii="Calibri" w:hAnsi="Calibri" w:cs="Calibri" w:eastAsia="Calibri"/>
      </w:rPr>
    </w:lvl>
  </w:abstractNum>
  <w:abstractNum w:abstractNumId="163">
    <w:multiLevelType w:val="multilevel"/>
    <w:lvl w:ilvl="0">
      <w:numFmt w:val="decimal"/>
      <w:lvlText w:val="%1"/>
      <w:lvlJc w:val="left"/>
      <w:start w:val="2"/>
      <w:pPr>
        <w:ind w:left="360" w:hanging="360"/>
        <w:tab w:val="num" w:pos="360"/>
      </w:pPr>
      <w:rPr>
        <w:rFonts w:ascii="Times New Roman" w:hAnsi="Times New Roman" w:cs="Times New Roman" w:eastAsia="Times New Roman"/>
        <w:sz w:val="24"/>
      </w:rPr>
    </w:lvl>
    <w:lvl w:ilvl="1">
      <w:numFmt w:val="decimal"/>
      <w:lvlText w:val="%1.%2"/>
      <w:lvlJc w:val="left"/>
      <w:start w:val="1"/>
      <w:pPr>
        <w:ind w:left="720" w:hanging="360"/>
        <w:tab w:val="num" w:pos="720"/>
      </w:pPr>
      <w:rPr>
        <w:rFonts w:ascii="Times New Roman" w:hAnsi="Times New Roman" w:cs="Times New Roman" w:eastAsia="Times New Roman"/>
        <w:b/>
      </w:rPr>
    </w:lvl>
    <w:lvl w:ilvl="2">
      <w:numFmt w:val="decimal"/>
      <w:lvlText w:val="%1.%2.%3"/>
      <w:lvlJc w:val="left"/>
      <w:start w:val="1"/>
      <w:pPr>
        <w:ind w:left="1440" w:hanging="720"/>
        <w:tab w:val="num" w:pos="1440"/>
      </w:pPr>
      <w:rPr>
        <w:rFonts w:ascii="Times New Roman" w:hAnsi="Times New Roman" w:cs="Times New Roman" w:eastAsia="Times New Roman"/>
        <w:sz w:val="24"/>
      </w:rPr>
    </w:lvl>
    <w:lvl w:ilvl="3">
      <w:numFmt w:val="decimal"/>
      <w:lvlText w:val="%1.%2.%3.%4"/>
      <w:lvlJc w:val="left"/>
      <w:start w:val="1"/>
      <w:pPr>
        <w:ind w:left="1785" w:hanging="720"/>
        <w:tab w:val="num" w:pos="1785"/>
      </w:pPr>
      <w:rPr>
        <w:rFonts w:ascii="Times New Roman" w:hAnsi="Times New Roman" w:cs="Times New Roman" w:eastAsia="Times New Roman"/>
        <w:sz w:val="24"/>
      </w:rPr>
    </w:lvl>
    <w:lvl w:ilvl="4">
      <w:numFmt w:val="decimal"/>
      <w:lvlText w:val="%1.%2.%3.%4.%5"/>
      <w:lvlJc w:val="left"/>
      <w:start w:val="1"/>
      <w:pPr>
        <w:ind w:left="2505" w:hanging="1080"/>
        <w:tab w:val="num" w:pos="2505"/>
      </w:pPr>
      <w:rPr>
        <w:rFonts w:ascii="Times New Roman" w:hAnsi="Times New Roman" w:cs="Times New Roman" w:eastAsia="Times New Roman"/>
        <w:sz w:val="24"/>
      </w:rPr>
    </w:lvl>
    <w:lvl w:ilvl="5">
      <w:numFmt w:val="decimal"/>
      <w:lvlText w:val="%1.%2.%3.%4.%5.%6"/>
      <w:lvlJc w:val="left"/>
      <w:start w:val="1"/>
      <w:pPr>
        <w:ind w:left="2865" w:hanging="1080"/>
        <w:tab w:val="num" w:pos="2865"/>
      </w:pPr>
      <w:rPr>
        <w:rFonts w:ascii="Times New Roman" w:hAnsi="Times New Roman" w:cs="Times New Roman" w:eastAsia="Times New Roman"/>
        <w:sz w:val="24"/>
      </w:rPr>
    </w:lvl>
    <w:lvl w:ilvl="6">
      <w:numFmt w:val="decimal"/>
      <w:lvlText w:val="%1.%2.%3.%4.%5.%6.%7"/>
      <w:lvlJc w:val="left"/>
      <w:start w:val="1"/>
      <w:pPr>
        <w:ind w:left="3585" w:hanging="1440"/>
        <w:tab w:val="num" w:pos="3585"/>
      </w:pPr>
      <w:rPr>
        <w:rFonts w:ascii="Times New Roman" w:hAnsi="Times New Roman" w:cs="Times New Roman" w:eastAsia="Times New Roman"/>
        <w:sz w:val="24"/>
      </w:rPr>
    </w:lvl>
    <w:lvl w:ilvl="7">
      <w:numFmt w:val="decimal"/>
      <w:lvlText w:val="%1.%2.%3.%4.%5.%6.%7.%8"/>
      <w:lvlJc w:val="left"/>
      <w:start w:val="1"/>
      <w:pPr>
        <w:ind w:left="3945" w:hanging="1440"/>
        <w:tab w:val="num" w:pos="3945"/>
      </w:pPr>
      <w:rPr>
        <w:rFonts w:ascii="Times New Roman" w:hAnsi="Times New Roman" w:cs="Times New Roman" w:eastAsia="Times New Roman"/>
        <w:sz w:val="24"/>
      </w:rPr>
    </w:lvl>
    <w:lvl w:ilvl="8">
      <w:numFmt w:val="decimal"/>
      <w:lvlText w:val="%1.%2.%3.%4.%5.%6.%7.%8.%9"/>
      <w:lvlJc w:val="left"/>
      <w:start w:val="1"/>
      <w:pPr>
        <w:ind w:left="4290" w:hanging="1440"/>
        <w:tab w:val="num" w:pos="4290"/>
      </w:pPr>
      <w:rPr>
        <w:rFonts w:ascii="Times New Roman" w:hAnsi="Times New Roman" w:cs="Times New Roman" w:eastAsia="Times New Roman"/>
        <w:sz w:val="24"/>
      </w:rPr>
    </w:lvl>
  </w:abstractNum>
  <w:abstractNum w:abstractNumId="164">
    <w:multiLevelType w:val="singleLevel"/>
    <w:lvl w:ilvl="0">
      <w:numFmt w:val="upperRoman"/>
      <w:lvlText w:val="%1"/>
      <w:lvlJc w:val="left"/>
      <w:start w:val="1"/>
      <w:pPr>
        <w:ind w:left="855" w:firstLine="0"/>
        <w:tab w:val="num" w:pos="855"/>
      </w:pPr>
      <w:rPr>
        <w:rFonts w:ascii="Calibri" w:hAnsi="Calibri" w:cs="Calibri" w:eastAsia="Calibri"/>
      </w:rPr>
    </w:lvl>
  </w:abstractNum>
  <w:abstractNum w:abstractNumId="165">
    <w:multiLevelType w:val="singleLevel"/>
    <w:lvl w:ilvl="0">
      <w:numFmt w:val="lowerLetter"/>
      <w:lvlText w:val="%1)"/>
      <w:lvlJc w:val="left"/>
      <w:start w:val="1"/>
      <w:pPr>
        <w:ind w:left="705" w:firstLine="0"/>
        <w:tab w:val="num" w:pos="705"/>
      </w:pPr>
      <w:rPr>
        <w:rFonts w:ascii="Calibri" w:hAnsi="Calibri" w:cs="Calibri" w:eastAsia="Calibri"/>
      </w:rPr>
    </w:lvl>
  </w:abstractNum>
  <w:abstractNum w:abstractNumId="166">
    <w:multiLevelType w:val="singleLevel"/>
    <w:lvl w:ilvl="0">
      <w:numFmt w:val="upperRoman"/>
      <w:lvlText w:val="%1"/>
      <w:lvlJc w:val="left"/>
      <w:start w:val="1"/>
      <w:pPr>
        <w:ind w:left="60" w:hanging="15"/>
        <w:tab w:val="num" w:pos="60"/>
      </w:pPr>
      <w:rPr>
        <w:rFonts w:ascii="Calibri" w:hAnsi="Calibri" w:cs="Calibri" w:eastAsia="Calibri"/>
        <w:b/>
      </w:rPr>
    </w:lvl>
  </w:abstractNum>
  <w:abstractNum w:abstractNumId="167">
    <w:multiLevelType w:val="singleLevel"/>
    <w:lvl w:ilvl="0">
      <w:numFmt w:val="lowerLetter"/>
      <w:lvlText w:val="%1)"/>
      <w:lvlJc w:val="left"/>
      <w:start w:val="2"/>
      <w:pPr>
        <w:ind w:left="135" w:firstLine="0"/>
        <w:tab w:val="num" w:pos="135"/>
      </w:pPr>
      <w:rPr>
        <w:rFonts w:ascii="Calibri" w:hAnsi="Calibri" w:cs="Calibri" w:eastAsia="Calibri"/>
        <w:b/>
      </w:rPr>
    </w:lvl>
  </w:abstractNum>
  <w:abstractNum w:abstractNumId="168">
    <w:multiLevelType w:val="singleLevel"/>
    <w:lvl w:ilvl="0">
      <w:numFmt w:val="lowerLetter"/>
      <w:lvlText w:val="%1)"/>
      <w:lvlJc w:val="left"/>
      <w:start w:val="1"/>
      <w:pPr>
        <w:ind w:left="270" w:firstLine="15"/>
        <w:tab w:val="num" w:pos="270"/>
      </w:pPr>
      <w:rPr>
        <w:rFonts w:ascii="Calibri" w:hAnsi="Calibri" w:cs="Calibri" w:eastAsia="Calibri"/>
        <w:b/>
      </w:rPr>
    </w:lvl>
  </w:abstractNum>
  <w:abstractNum w:abstractNumId="169">
    <w:multiLevelType w:val="singleLevel"/>
    <w:lvl w:ilvl="0">
      <w:numFmt w:val="lowerLetter"/>
      <w:lvlText w:val="%1)"/>
      <w:lvlJc w:val="left"/>
      <w:start w:val="1"/>
      <w:pPr>
        <w:ind w:left="1140" w:firstLine="0"/>
        <w:tab w:val="num" w:pos="1140"/>
      </w:pPr>
      <w:rPr>
        <w:rFonts w:ascii="Calibri" w:hAnsi="Calibri" w:cs="Calibri" w:eastAsia="Calibri"/>
        <w:b/>
      </w:rPr>
    </w:lvl>
  </w:abstractNum>
  <w:abstractNum w:abstractNumId="170">
    <w:multiLevelType w:val="singleLevel"/>
    <w:lvl w:ilvl="0">
      <w:numFmt w:val="lowerLetter"/>
      <w:lvlText w:val="%1)"/>
      <w:lvlJc w:val="left"/>
      <w:start w:val="1"/>
      <w:pPr>
        <w:ind w:left="855" w:hanging="240"/>
        <w:tab w:val="num" w:pos="855"/>
      </w:pPr>
      <w:rPr>
        <w:rFonts w:ascii="Calibri" w:hAnsi="Calibri" w:cs="Calibri" w:eastAsia="Calibri"/>
      </w:rPr>
    </w:lvl>
  </w:abstractNum>
  <w:abstractNum w:abstractNumId="171">
    <w:multiLevelType w:val="singleLevel"/>
    <w:lvl w:ilvl="0">
      <w:numFmt w:val="lowerLetter"/>
      <w:lvlText w:val="%1)"/>
      <w:lvlJc w:val="left"/>
      <w:start w:val="1"/>
      <w:pPr>
        <w:ind w:left="270" w:firstLine="15"/>
        <w:tab w:val="num" w:pos="270"/>
      </w:pPr>
      <w:rPr>
        <w:rFonts w:ascii="Calibri" w:hAnsi="Calibri" w:cs="Calibri" w:eastAsia="Calibri"/>
      </w:rPr>
    </w:lvl>
  </w:abstractNum>
  <w:abstractNum w:abstractNumId="172">
    <w:multiLevelType w:val="singleLevel"/>
    <w:lvl w:ilvl="0">
      <w:numFmt w:val="lowerLetter"/>
      <w:lvlText w:val="%1)"/>
      <w:lvlJc w:val="left"/>
      <w:start w:val="1"/>
      <w:pPr>
        <w:ind w:left="270" w:firstLine="15"/>
        <w:tab w:val="num" w:pos="270"/>
      </w:pPr>
      <w:rPr>
        <w:rFonts w:ascii="Calibri" w:hAnsi="Calibri" w:cs="Calibri" w:eastAsia="Calibri"/>
        <w:b/>
      </w:rPr>
    </w:lvl>
  </w:abstractNum>
  <w:abstractNum w:abstractNumId="173">
    <w:multiLevelType w:val="singleLevel"/>
    <w:lvl w:ilvl="0">
      <w:numFmt w:val="upperRoman"/>
      <w:lvlText w:val="%1"/>
      <w:lvlJc w:val="left"/>
      <w:start w:val="1"/>
      <w:pPr>
        <w:ind w:left="60" w:hanging="15"/>
        <w:tab w:val="num" w:pos="60"/>
      </w:pPr>
      <w:rPr>
        <w:rFonts w:ascii="Calibri" w:hAnsi="Calibri" w:cs="Calibri" w:eastAsia="Calibri"/>
        <w:b/>
      </w:rPr>
    </w:lvl>
  </w:abstractNum>
  <w:abstractNum w:abstractNumId="174">
    <w:multiLevelType w:val="singleLevel"/>
    <w:lvl w:ilvl="0">
      <w:numFmt w:val="lowerLetter"/>
      <w:lvlText w:val="%1)"/>
      <w:lvlJc w:val="left"/>
      <w:start w:val="1"/>
      <w:pPr>
        <w:ind w:left="285" w:hanging="15"/>
        <w:tab w:val="num" w:pos="285"/>
      </w:pPr>
      <w:rPr>
        <w:rFonts w:ascii="Calibri" w:hAnsi="Calibri" w:cs="Calibri" w:eastAsia="Calibri"/>
        <w:b/>
      </w:rPr>
    </w:lvl>
  </w:abstractNum>
  <w:abstractNum w:abstractNumId="175">
    <w:multiLevelType w:val="singleLevel"/>
    <w:lvl w:ilvl="0">
      <w:numFmt w:val="lowerLetter"/>
      <w:lvlText w:val="%1)"/>
      <w:lvlJc w:val="left"/>
      <w:start w:val="1"/>
      <w:pPr>
        <w:ind w:left="135" w:firstLine="0"/>
        <w:tab w:val="num" w:pos="135"/>
      </w:pPr>
      <w:rPr>
        <w:rFonts w:ascii="Calibri" w:hAnsi="Calibri" w:cs="Calibri" w:eastAsia="Calibri"/>
        <w:b/>
      </w:rPr>
    </w:lvl>
  </w:abstractNum>
  <w:abstractNum w:abstractNumId="176">
    <w:multiLevelType w:val="singleLevel"/>
    <w:lvl w:ilvl="0">
      <w:numFmt w:val="upperRoman"/>
      <w:lvlText w:val="%1"/>
      <w:lvlJc w:val="left"/>
      <w:start w:val="1"/>
      <w:pPr>
        <w:ind w:left="255" w:firstLine="30"/>
        <w:tab w:val="num" w:pos="255"/>
      </w:pPr>
      <w:rPr>
        <w:rFonts w:ascii="Calibri" w:hAnsi="Calibri" w:cs="Calibri" w:eastAsia="Calibri"/>
      </w:rPr>
    </w:lvl>
  </w:abstractNum>
  <w:abstractNum w:abstractNumId="177">
    <w:multiLevelType w:val="multilevel"/>
    <w:lvl w:ilvl="0">
      <w:numFmt w:val="lowerLetter"/>
      <w:lvlText w:val=""/>
      <w:lvlJc w:val="left"/>
      <w:start w:val="1"/>
      <w:pPr>
        <w:ind w:left="720" w:hanging="360"/>
        <w:tab w:val="num" w:pos="720"/>
      </w:pPr>
      <w:rPr>
        <w:rFonts w:ascii="Times New Roman" w:hAnsi="Times New Roman" w:cs="Times New Roman" w:eastAsia="Times New Roman"/>
        <w:b/>
        <w:sz w:val="22"/>
        <w:color w:val="000000"/>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178">
    <w:multiLevelType w:val="singleLevel"/>
    <w:lvl w:ilvl="0">
      <w:numFmt w:val="lowerLetter"/>
      <w:lvlText w:val="%1)"/>
      <w:lvlJc w:val="left"/>
      <w:start w:val="1"/>
      <w:pPr>
        <w:ind w:left="285" w:firstLine="15"/>
        <w:tab w:val="num" w:pos="285"/>
      </w:pPr>
      <w:rPr>
        <w:rFonts w:ascii="Calibri" w:hAnsi="Calibri" w:cs="Calibri" w:eastAsia="Calibri"/>
        <w:b/>
      </w:rPr>
    </w:lvl>
  </w:abstractNum>
  <w:abstractNum w:abstractNumId="179">
    <w:multiLevelType w:val="singleLevel"/>
    <w:lvl w:ilvl="0">
      <w:numFmt w:val="lowerLetter"/>
      <w:lvlText w:val="%1)"/>
      <w:lvlJc w:val="left"/>
      <w:start w:val="1"/>
      <w:pPr>
        <w:ind w:left="1140" w:hanging="15"/>
        <w:tab w:val="num" w:pos="1140"/>
      </w:pPr>
      <w:rPr>
        <w:rFonts w:ascii="Calibri" w:hAnsi="Calibri" w:cs="Calibri" w:eastAsia="Calibri"/>
      </w:rPr>
    </w:lvl>
  </w:abstractNum>
  <w:abstractNum w:abstractNumId="180">
    <w:multiLevelType w:val="singleLevel"/>
    <w:lvl w:ilvl="0">
      <w:numFmt w:val="lowerLetter"/>
      <w:lvlText w:val="%1)"/>
      <w:lvlJc w:val="left"/>
      <w:start w:val="1"/>
      <w:pPr>
        <w:ind w:left="270" w:firstLine="15"/>
        <w:tab w:val="num" w:pos="270"/>
      </w:pPr>
      <w:rPr>
        <w:rFonts w:ascii="Calibri" w:hAnsi="Calibri" w:cs="Calibri" w:eastAsia="Calibri"/>
        <w:b/>
      </w:rPr>
    </w:lvl>
  </w:abstractNum>
  <w:abstractNum w:abstractNumId="181">
    <w:multiLevelType w:val="singleLevel"/>
    <w:lvl w:ilvl="0">
      <w:numFmt w:val="upperRoman"/>
      <w:lvlText w:val="%1"/>
      <w:lvlJc w:val="left"/>
      <w:start w:val="1"/>
      <w:pPr>
        <w:ind w:left="1275" w:firstLine="0"/>
        <w:tab w:val="num" w:pos="1275"/>
      </w:pPr>
      <w:rPr>
        <w:rFonts w:ascii="Calibri" w:hAnsi="Calibri" w:cs="Calibri" w:eastAsia="Calibri"/>
      </w:rPr>
    </w:lvl>
  </w:abstractNum>
  <w:abstractNum w:abstractNumId="182">
    <w:multiLevelType w:val="singleLevel"/>
    <w:lvl w:ilvl="0">
      <w:numFmt w:val="lowerLetter"/>
      <w:lvlText w:val="%1)"/>
      <w:lvlJc w:val="left"/>
      <w:start w:val="1"/>
      <w:pPr>
        <w:ind w:left="570" w:hanging="285"/>
        <w:tab w:val="num" w:pos="570"/>
      </w:pPr>
      <w:rPr>
        <w:rFonts w:ascii="Calibri" w:hAnsi="Calibri" w:cs="Calibri" w:eastAsia="Calibri"/>
        <w:b/>
      </w:rPr>
    </w:lvl>
  </w:abstractNum>
  <w:abstractNum w:abstractNumId="183">
    <w:multiLevelType w:val="singleLevel"/>
    <w:lvl w:ilvl="0">
      <w:numFmt w:val="lowerLetter"/>
      <w:lvlText w:val="%1)"/>
      <w:lvlJc w:val="left"/>
      <w:start w:val="1"/>
      <w:pPr>
        <w:ind w:left="705" w:firstLine="0"/>
        <w:tab w:val="num" w:pos="705"/>
      </w:pPr>
      <w:rPr>
        <w:rFonts w:ascii="Calibri" w:hAnsi="Calibri" w:cs="Calibri" w:eastAsia="Calibri"/>
      </w:rPr>
    </w:lvl>
  </w:abstractNum>
  <w:abstractNum w:abstractNumId="184">
    <w:multiLevelType w:val="singleLevel"/>
    <w:lvl w:ilvl="0">
      <w:numFmt w:val="upperRoman"/>
      <w:lvlText w:val="%1"/>
      <w:lvlJc w:val="left"/>
      <w:start w:val="1"/>
      <w:pPr>
        <w:ind w:left="60" w:hanging="15"/>
        <w:tab w:val="num" w:pos="60"/>
      </w:pPr>
      <w:rPr>
        <w:rFonts w:ascii="Calibri" w:hAnsi="Calibri" w:cs="Calibri" w:eastAsia="Calibri"/>
        <w:b/>
      </w:rPr>
    </w:lvl>
  </w:abstractNum>
  <w:abstractNum w:abstractNumId="185">
    <w:multiLevelType w:val="singleLevel"/>
    <w:lvl w:ilvl="0">
      <w:numFmt w:val="upperRoman"/>
      <w:lvlText w:val="%1"/>
      <w:lvlJc w:val="left"/>
      <w:start w:val="4"/>
      <w:pPr>
        <w:ind w:left="270" w:hanging="225"/>
        <w:tab w:val="num" w:pos="270"/>
      </w:pPr>
      <w:rPr>
        <w:rFonts w:ascii="Calibri" w:hAnsi="Calibri" w:cs="Calibri" w:eastAsia="Calibri"/>
        <w:b/>
      </w:rPr>
    </w:lvl>
  </w:abstractNum>
  <w:abstractNum w:abstractNumId="186">
    <w:multiLevelType w:val="singleLevel"/>
    <w:lvl w:ilvl="0">
      <w:numFmt w:val="upperRoman"/>
      <w:lvlText w:val="%1"/>
      <w:lvlJc w:val="left"/>
      <w:start w:val="1"/>
      <w:pPr>
        <w:ind w:left="255" w:hanging="210"/>
        <w:tab w:val="num" w:pos="255"/>
      </w:pPr>
      <w:rPr>
        <w:rFonts w:ascii="Calibri" w:hAnsi="Calibri" w:cs="Calibri" w:eastAsia="Calibri"/>
        <w:b/>
      </w:rPr>
    </w:lvl>
  </w:abstractNum>
  <w:abstractNum w:abstractNumId="187">
    <w:multiLevelType w:val="singleLevel"/>
    <w:lvl w:ilvl="0">
      <w:numFmt w:val="decimal"/>
      <w:lvlText w:val="%1)"/>
      <w:lvlJc w:val="left"/>
      <w:start w:val="1"/>
      <w:pPr>
        <w:ind w:left="285" w:hanging="240"/>
        <w:tab w:val="num" w:pos="285"/>
      </w:pPr>
      <w:rPr>
        <w:rFonts w:ascii="Calibri" w:hAnsi="Calibri" w:cs="Calibri" w:eastAsia="Calibri"/>
      </w:rPr>
    </w:lvl>
  </w:abstractNum>
  <w:abstractNum w:abstractNumId="188">
    <w:multiLevelType w:val="singleLevel"/>
    <w:lvl w:ilvl="0">
      <w:numFmt w:val="lowerLetter"/>
      <w:lvlText w:val="%1)"/>
      <w:lvlJc w:val="left"/>
      <w:start w:val="8"/>
      <w:pPr>
        <w:ind w:left="1140" w:hanging="285"/>
        <w:tab w:val="num" w:pos="1140"/>
      </w:pPr>
      <w:rPr>
        <w:rFonts w:ascii="Calibri" w:hAnsi="Calibri" w:cs="Calibri" w:eastAsia="Calibri"/>
      </w:rPr>
    </w:lvl>
  </w:abstractNum>
  <w:abstractNum w:abstractNumId="189">
    <w:multiLevelType w:val="multilevel"/>
    <w:lvl w:ilvl="0">
      <w:numFmt w:val="decimal"/>
      <w:lvlText w:val=""/>
      <w:lvlJc w:val="left"/>
      <w:start w:val="1"/>
      <w:pPr>
        <w:ind w:left="360" w:hanging="360"/>
        <w:tab w:val="num" w:pos="360"/>
      </w:pPr>
      <w:rPr>
        <w:rFonts w:ascii="Times New Roman" w:hAnsi="Times New Roman" w:cs="Times New Roman" w:eastAsia="Times New Roman"/>
        <w:b/>
        <w:sz w:val="24"/>
      </w:rPr>
    </w:lvl>
    <w:lvl w:ilvl="1">
      <w:numFmt w:val="decimal"/>
      <w:lvlText w:val=""/>
      <w:lvlJc w:val="left"/>
      <w:start w:val="1"/>
      <w:pPr>
        <w:ind w:left="0" w:firstLine="0"/>
        <w:tab w:val="num" w:pos="0"/>
      </w:pPr>
      <w:rPr>
        <w:rFonts w:ascii="Times New Roman" w:hAnsi="Times New Roman" w:cs="Times New Roman" w:eastAsia="Times New Roman"/>
        <w:b/>
        <w:sz w:val="24"/>
      </w:rPr>
    </w:lvl>
    <w:lvl w:ilvl="2">
      <w:numFmt w:val="decimal"/>
      <w:lvlText w:val=""/>
      <w:lvlJc w:val="left"/>
      <w:start w:val="0"/>
      <w:pPr>
        <w:ind w:left="0" w:firstLine="0"/>
        <w:tab w:val="num" w:pos="0"/>
      </w:pPr>
      <w:rPr>
        <w:rFonts w:ascii="Times New Roman" w:hAnsi="Times New Roman" w:cs="Times New Roman" w:eastAsia="Times New Roman"/>
        <w:sz w:val="24"/>
      </w:rPr>
    </w:lvl>
    <w:lvl w:ilvl="3">
      <w:numFmt w:val="decimal"/>
      <w:lvlText w:val=""/>
      <w:lvlJc w:val="left"/>
      <w:start w:val="0"/>
      <w:pPr>
        <w:ind w:left="0" w:firstLine="0"/>
        <w:tab w:val="num" w:pos="0"/>
      </w:pPr>
      <w:rPr>
        <w:rFonts w:ascii="Times New Roman" w:hAnsi="Times New Roman" w:cs="Times New Roman" w:eastAsia="Times New Roman"/>
        <w:sz w:val="24"/>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abstractNum w:abstractNumId="190">
    <w:multiLevelType w:val="singleLevel"/>
    <w:lvl w:ilvl="0">
      <w:numFmt w:val="lowerLetter"/>
      <w:lvlText w:val="%1)"/>
      <w:lvlJc w:val="left"/>
      <w:start w:val="1"/>
      <w:pPr>
        <w:ind w:left="270" w:firstLine="15"/>
        <w:tab w:val="num" w:pos="270"/>
      </w:pPr>
      <w:rPr>
        <w:rFonts w:ascii="Calibri" w:hAnsi="Calibri" w:cs="Calibri" w:eastAsia="Calibri"/>
        <w:b/>
      </w:rPr>
    </w:lvl>
  </w:abstractNum>
  <w:abstractNum w:abstractNumId="191">
    <w:multiLevelType w:val="singleLevel"/>
    <w:lvl w:ilvl="0">
      <w:numFmt w:val="lowerLetter"/>
      <w:lvlText w:val="%1)"/>
      <w:lvlJc w:val="left"/>
      <w:start w:val="1"/>
      <w:pPr>
        <w:ind w:left="270" w:firstLine="15"/>
        <w:tab w:val="num" w:pos="270"/>
      </w:pPr>
      <w:rPr>
        <w:rFonts w:ascii="Calibri" w:hAnsi="Calibri" w:cs="Calibri" w:eastAsia="Calibri"/>
        <w:b/>
      </w:rPr>
    </w:lvl>
  </w:abstractNum>
  <w:abstractNum w:abstractNumId="192">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570"/>
      </w:pPr>
      <w:rPr>
        <w:b/>
      </w:rPr>
    </w:lvl>
    <w:lvl w:ilvl="2">
      <w:numFmt w:val="decimal"/>
      <w:lvlText w:val="%1.%2.%3"/>
      <w:lvlJc w:val="left"/>
      <w:start w:val="1"/>
      <w:pPr>
        <w:ind w:left="495" w:firstLine="0"/>
        <w:tab w:val="num" w:pos="1020"/>
      </w:pPr>
      <w:rPr>
        <w:b/>
      </w:rPr>
    </w:lvl>
    <w:lvl w:ilvl="3">
      <w:numFmt w:val="bullet"/>
      <w:lvlText w:val="%s"/>
      <w:lvlJc w:val="left"/>
      <w:pPr>
        <w:ind w:left="2700" w:hanging="525"/>
        <w:tab w:val="num" w:pos="2700"/>
      </w:pPr>
      <w:rPr>
        <w:rFonts w:ascii="Times New Roman" w:hAnsi="Times New Roman" w:cs="Times New Roman" w:eastAsia="Times New Roman"/>
        <w:sz w:val="24"/>
      </w:rPr>
    </w:lvl>
    <w:lvl w:ilvl="4">
      <w:numFmt w:val="bullet"/>
      <w:lvlText w:val="%s"/>
      <w:lvlJc w:val="left"/>
      <w:pPr>
        <w:ind w:left="3795" w:hanging="525"/>
        <w:tab w:val="num" w:pos="3795"/>
      </w:pPr>
      <w:rPr>
        <w:rFonts w:ascii="Times New Roman" w:hAnsi="Times New Roman" w:cs="Times New Roman" w:eastAsia="Times New Roman"/>
        <w:sz w:val="24"/>
      </w:rPr>
    </w:lvl>
    <w:lvl w:ilvl="5">
      <w:numFmt w:val="bullet"/>
      <w:lvlText w:val="%s"/>
      <w:lvlJc w:val="left"/>
      <w:pPr>
        <w:ind w:left="4905" w:hanging="525"/>
        <w:tab w:val="num" w:pos="4905"/>
      </w:pPr>
      <w:rPr>
        <w:rFonts w:ascii="Times New Roman" w:hAnsi="Times New Roman" w:cs="Times New Roman" w:eastAsia="Times New Roman"/>
        <w:sz w:val="24"/>
      </w:rPr>
    </w:lvl>
    <w:lvl w:ilvl="6">
      <w:numFmt w:val="bullet"/>
      <w:lvlText w:val="%s"/>
      <w:lvlJc w:val="left"/>
      <w:pPr>
        <w:ind w:left="6000" w:hanging="525"/>
        <w:tab w:val="num" w:pos="6000"/>
      </w:pPr>
      <w:rPr>
        <w:rFonts w:ascii="Times New Roman" w:hAnsi="Times New Roman" w:cs="Times New Roman" w:eastAsia="Times New Roman"/>
        <w:sz w:val="24"/>
      </w:rPr>
    </w:lvl>
    <w:lvl w:ilvl="7">
      <w:numFmt w:val="bullet"/>
      <w:lvlText w:val="%s"/>
      <w:lvlJc w:val="left"/>
      <w:pPr>
        <w:ind w:left="7110" w:hanging="525"/>
        <w:tab w:val="num" w:pos="7110"/>
      </w:pPr>
      <w:rPr>
        <w:rFonts w:ascii="Times New Roman" w:hAnsi="Times New Roman" w:cs="Times New Roman" w:eastAsia="Times New Roman"/>
        <w:sz w:val="24"/>
      </w:rPr>
    </w:lvl>
    <w:lvl w:ilvl="8">
      <w:numFmt w:val="bullet"/>
      <w:lvlText w:val="%s"/>
      <w:lvlJc w:val="left"/>
      <w:pPr>
        <w:ind w:left="8205" w:hanging="525"/>
        <w:tab w:val="num" w:pos="8205"/>
      </w:pPr>
      <w:rPr>
        <w:rFonts w:ascii="Times New Roman" w:hAnsi="Times New Roman" w:cs="Times New Roman" w:eastAsia="Times New Roman"/>
        <w:sz w:val="24"/>
      </w:rPr>
    </w:lvl>
  </w:abstractNum>
  <w:abstractNum w:abstractNumId="193">
    <w:multiLevelType w:val="singleLevel"/>
    <w:lvl w:ilvl="0">
      <w:numFmt w:val="lowerLetter"/>
      <w:lvlText w:val="%1)"/>
      <w:lvlJc w:val="left"/>
      <w:start w:val="1"/>
      <w:pPr>
        <w:ind w:left="1020" w:firstLine="0"/>
        <w:tab w:val="num" w:pos="1020"/>
      </w:pPr>
      <w:rPr>
        <w:rFonts w:ascii="Times New Roman" w:hAnsi="Times New Roman" w:cs="Times New Roman" w:eastAsia="Times New Roman"/>
        <w:sz w:val="22"/>
      </w:rPr>
    </w:lvl>
  </w:abstractNum>
  <w:abstractNum w:abstractNumId="194">
    <w:multiLevelType w:val="multilevel"/>
    <w:lvl w:ilvl="0">
      <w:numFmt w:val="decimal"/>
      <w:lvlText w:val="%1."/>
      <w:lvlJc w:val="left"/>
      <w:start w:val="1"/>
      <w:pPr>
        <w:ind w:left="360" w:hanging="360"/>
        <w:tab w:val="num" w:pos="360"/>
      </w:pPr>
      <w:rPr>
        <w:rFonts w:ascii="Times New Roman" w:hAnsi="Times New Roman" w:cs="Times New Roman" w:eastAsia="Times New Roman"/>
        <w:b/>
        <w:sz w:val="24"/>
      </w:rPr>
    </w:lvl>
    <w:lvl w:ilvl="1">
      <w:numFmt w:val="decimal"/>
      <w:lvlText w:val="%1.%2."/>
      <w:lvlJc w:val="left"/>
      <w:start w:val="1"/>
      <w:pPr>
        <w:ind w:left="2565" w:hanging="435"/>
        <w:tab w:val="num" w:pos="2565"/>
      </w:pPr>
      <w:rPr>
        <w:rFonts w:ascii="Times New Roman" w:hAnsi="Times New Roman" w:cs="Times New Roman" w:eastAsia="Times New Roman"/>
      </w:rPr>
    </w:lvl>
    <w:lvl w:ilvl="2">
      <w:numFmt w:val="decimal"/>
      <w:lvlText w:val="%1.%2.%3."/>
      <w:lvlJc w:val="left"/>
      <w:start w:val="1"/>
      <w:pPr>
        <w:ind w:left="8025" w:hanging="510"/>
        <w:tab w:val="num" w:pos="8025"/>
      </w:pPr>
    </w:lvl>
    <w:lvl w:ilvl="3">
      <w:numFmt w:val="decimal"/>
      <w:lvlText w:val="%1.%2.%3.%4."/>
      <w:lvlJc w:val="left"/>
      <w:start w:val="1"/>
      <w:pPr>
        <w:ind w:left="2490" w:hanging="645"/>
        <w:tab w:val="num" w:pos="2490"/>
      </w:pPr>
      <w:rPr>
        <w:rFonts w:ascii="Times New Roman" w:hAnsi="Times New Roman" w:cs="Times New Roman" w:eastAsia="Times New Roman"/>
        <w:sz w:val="24"/>
      </w:rPr>
    </w:lvl>
    <w:lvl w:ilvl="4">
      <w:numFmt w:val="decimal"/>
      <w:lvlText w:val="%1.%2.%3.%4.%5."/>
      <w:lvlJc w:val="left"/>
      <w:start w:val="1"/>
      <w:pPr>
        <w:ind w:left="2235" w:hanging="795"/>
        <w:tab w:val="num" w:pos="2235"/>
      </w:pPr>
      <w:rPr>
        <w:rFonts w:ascii="Times New Roman" w:hAnsi="Times New Roman" w:cs="Times New Roman" w:eastAsia="Times New Roman"/>
        <w:sz w:val="24"/>
      </w:rPr>
    </w:lvl>
    <w:lvl w:ilvl="5">
      <w:numFmt w:val="decimal"/>
      <w:lvlText w:val="%1.%2.%3.%4.%5.%6."/>
      <w:lvlJc w:val="left"/>
      <w:start w:val="1"/>
      <w:pPr>
        <w:ind w:left="2730" w:hanging="930"/>
        <w:tab w:val="num" w:pos="2730"/>
      </w:pPr>
      <w:rPr>
        <w:rFonts w:ascii="Times New Roman" w:hAnsi="Times New Roman" w:cs="Times New Roman" w:eastAsia="Times New Roman"/>
        <w:sz w:val="24"/>
      </w:rPr>
    </w:lvl>
    <w:lvl w:ilvl="6">
      <w:numFmt w:val="decimal"/>
      <w:lvlText w:val="%1.%2.%3.%4.%5.%6.%7."/>
      <w:lvlJc w:val="left"/>
      <w:start w:val="1"/>
      <w:pPr>
        <w:ind w:left="3240" w:hanging="1080"/>
        <w:tab w:val="num" w:pos="3240"/>
      </w:pPr>
      <w:rPr>
        <w:rFonts w:ascii="Times New Roman" w:hAnsi="Times New Roman" w:cs="Times New Roman" w:eastAsia="Times New Roman"/>
        <w:sz w:val="24"/>
      </w:rPr>
    </w:lvl>
    <w:lvl w:ilvl="7">
      <w:numFmt w:val="decimal"/>
      <w:lvlText w:val="%1.%2.%3.%4.%5.%6.%7.%8."/>
      <w:lvlJc w:val="left"/>
      <w:start w:val="1"/>
      <w:pPr>
        <w:ind w:left="3750" w:hanging="1230"/>
        <w:tab w:val="num" w:pos="3750"/>
      </w:pPr>
      <w:rPr>
        <w:rFonts w:ascii="Times New Roman" w:hAnsi="Times New Roman" w:cs="Times New Roman" w:eastAsia="Times New Roman"/>
        <w:sz w:val="24"/>
      </w:rPr>
    </w:lvl>
    <w:lvl w:ilvl="8">
      <w:numFmt w:val="decimal"/>
      <w:lvlText w:val="%1.%2.%3.%4.%5.%6.%7.%8.%9."/>
      <w:lvlJc w:val="left"/>
      <w:start w:val="1"/>
      <w:pPr>
        <w:ind w:left="4320" w:hanging="1440"/>
        <w:tab w:val="num" w:pos="4320"/>
      </w:pPr>
      <w:rPr>
        <w:rFonts w:ascii="Times New Roman" w:hAnsi="Times New Roman" w:cs="Times New Roman" w:eastAsia="Times New Roman"/>
        <w:sz w:val="24"/>
      </w:rPr>
    </w:lvl>
  </w:abstractNum>
  <w:abstractNum w:abstractNumId="195">
    <w:multiLevelType w:val="multilevel"/>
    <w:lvl w:ilvl="0">
      <w:numFmt w:val="bullet"/>
      <w:lvlText w:val="●"/>
      <w:lvlJc w:val="left"/>
      <w:pPr>
        <w:ind w:left="1065" w:hanging="360"/>
        <w:tab w:val="num" w:pos="1065"/>
      </w:pPr>
      <w:rPr>
        <w:rFonts w:ascii="Noto Sans Symbols" w:hAnsi="Noto Sans Symbols" w:cs="Noto Sans Symbols" w:eastAsia="Noto Sans Symbols"/>
        <w:sz w:val="24"/>
      </w:rPr>
    </w:lvl>
    <w:lvl w:ilvl="1">
      <w:numFmt w:val="bullet"/>
      <w:lvlText w:val="o"/>
      <w:lvlJc w:val="left"/>
      <w:pPr>
        <w:ind w:left="1785" w:hanging="360"/>
        <w:tab w:val="num" w:pos="1785"/>
      </w:pPr>
      <w:rPr>
        <w:rFonts w:ascii="Courier New" w:hAnsi="Courier New" w:cs="Courier New" w:eastAsia="Courier New"/>
        <w:sz w:val="24"/>
      </w:rPr>
    </w:lvl>
    <w:lvl w:ilvl="2">
      <w:numFmt w:val="bullet"/>
      <w:lvlText w:val="▪"/>
      <w:lvlJc w:val="left"/>
      <w:pPr>
        <w:ind w:left="2505" w:hanging="360"/>
        <w:tab w:val="num" w:pos="2505"/>
      </w:pPr>
      <w:rPr>
        <w:rFonts w:ascii="Noto Sans Symbols" w:hAnsi="Noto Sans Symbols" w:cs="Noto Sans Symbols" w:eastAsia="Noto Sans Symbols"/>
        <w:sz w:val="24"/>
      </w:rPr>
    </w:lvl>
    <w:lvl w:ilvl="3">
      <w:numFmt w:val="bullet"/>
      <w:lvlText w:val="●"/>
      <w:lvlJc w:val="left"/>
      <w:pPr>
        <w:ind w:left="3225" w:hanging="360"/>
        <w:tab w:val="num" w:pos="3225"/>
      </w:pPr>
      <w:rPr>
        <w:rFonts w:ascii="Noto Sans Symbols" w:hAnsi="Noto Sans Symbols" w:cs="Noto Sans Symbols" w:eastAsia="Noto Sans Symbols"/>
        <w:sz w:val="24"/>
      </w:rPr>
    </w:lvl>
    <w:lvl w:ilvl="4">
      <w:numFmt w:val="bullet"/>
      <w:lvlText w:val="o"/>
      <w:lvlJc w:val="left"/>
      <w:pPr>
        <w:ind w:left="3945" w:hanging="360"/>
        <w:tab w:val="num" w:pos="3945"/>
      </w:pPr>
      <w:rPr>
        <w:rFonts w:ascii="Courier New" w:hAnsi="Courier New" w:cs="Courier New" w:eastAsia="Courier New"/>
        <w:sz w:val="24"/>
      </w:rPr>
    </w:lvl>
    <w:lvl w:ilvl="5">
      <w:numFmt w:val="bullet"/>
      <w:lvlText w:val="▪"/>
      <w:lvlJc w:val="left"/>
      <w:pPr>
        <w:ind w:left="4665" w:hanging="360"/>
        <w:tab w:val="num" w:pos="4665"/>
      </w:pPr>
      <w:rPr>
        <w:rFonts w:ascii="Noto Sans Symbols" w:hAnsi="Noto Sans Symbols" w:cs="Noto Sans Symbols" w:eastAsia="Noto Sans Symbols"/>
        <w:sz w:val="24"/>
      </w:rPr>
    </w:lvl>
    <w:lvl w:ilvl="6">
      <w:numFmt w:val="bullet"/>
      <w:lvlText w:val="●"/>
      <w:lvlJc w:val="left"/>
      <w:pPr>
        <w:ind w:left="5385" w:hanging="360"/>
        <w:tab w:val="num" w:pos="5385"/>
      </w:pPr>
      <w:rPr>
        <w:rFonts w:ascii="Noto Sans Symbols" w:hAnsi="Noto Sans Symbols" w:cs="Noto Sans Symbols" w:eastAsia="Noto Sans Symbols"/>
        <w:sz w:val="24"/>
      </w:rPr>
    </w:lvl>
    <w:lvl w:ilvl="7">
      <w:numFmt w:val="bullet"/>
      <w:lvlText w:val="o"/>
      <w:lvlJc w:val="left"/>
      <w:pPr>
        <w:ind w:left="6105" w:hanging="360"/>
        <w:tab w:val="num" w:pos="6105"/>
      </w:pPr>
      <w:rPr>
        <w:rFonts w:ascii="Courier New" w:hAnsi="Courier New" w:cs="Courier New" w:eastAsia="Courier New"/>
        <w:sz w:val="24"/>
      </w:rPr>
    </w:lvl>
    <w:lvl w:ilvl="8">
      <w:numFmt w:val="bullet"/>
      <w:lvlText w:val="▪"/>
      <w:lvlJc w:val="left"/>
      <w:pPr>
        <w:ind w:left="6825" w:hanging="360"/>
        <w:tab w:val="num" w:pos="6825"/>
      </w:pPr>
      <w:rPr>
        <w:rFonts w:ascii="Noto Sans Symbols" w:hAnsi="Noto Sans Symbols" w:cs="Noto Sans Symbols" w:eastAsia="Noto Sans Symbols"/>
        <w:sz w:val="24"/>
      </w:rPr>
    </w:lvl>
  </w:abstractNum>
  <w:abstractNum w:abstractNumId="196">
    <w:multiLevelType w:val="multilevel"/>
    <w:lvl w:ilvl="0">
      <w:numFmt w:val="bullet"/>
      <w:lvlText w:val="●"/>
      <w:lvlJc w:val="left"/>
      <w:pPr>
        <w:ind w:left="720" w:hanging="360"/>
        <w:tab w:val="num" w:pos="720"/>
      </w:pPr>
      <w:rPr>
        <w:rFonts w:ascii="Noto Sans Symbols" w:hAnsi="Noto Sans Symbols" w:cs="Noto Sans Symbols" w:eastAsia="Noto Sans Symbols"/>
      </w:rPr>
    </w:lvl>
    <w:lvl w:ilvl="1">
      <w:numFmt w:val="bullet"/>
      <w:lvlText w:val="o"/>
      <w:lvlJc w:val="left"/>
      <w:pPr>
        <w:ind w:left="1440" w:hanging="360"/>
        <w:tab w:val="num" w:pos="1440"/>
      </w:pPr>
      <w:rPr>
        <w:rFonts w:ascii="Courier New" w:hAnsi="Courier New" w:cs="Courier New" w:eastAsia="Courier New"/>
        <w:sz w:val="24"/>
      </w:rPr>
    </w:lvl>
    <w:lvl w:ilvl="2">
      <w:numFmt w:val="bullet"/>
      <w:lvlText w:val="▪"/>
      <w:lvlJc w:val="left"/>
      <w:pPr>
        <w:ind w:left="2160" w:hanging="360"/>
        <w:tab w:val="num" w:pos="2160"/>
      </w:pPr>
      <w:rPr>
        <w:rFonts w:ascii="Noto Sans Symbols" w:hAnsi="Noto Sans Symbols" w:cs="Noto Sans Symbols" w:eastAsia="Noto Sans Symbols"/>
        <w:sz w:val="24"/>
      </w:rPr>
    </w:lvl>
    <w:lvl w:ilvl="3">
      <w:numFmt w:val="bullet"/>
      <w:lvlText w:val="▪"/>
      <w:lvlJc w:val="left"/>
      <w:pPr>
        <w:ind w:left="2880" w:hanging="360"/>
        <w:tab w:val="num" w:pos="2880"/>
      </w:pPr>
      <w:rPr>
        <w:rFonts w:ascii="Noto Sans Symbols" w:hAnsi="Noto Sans Symbols" w:cs="Noto Sans Symbols" w:eastAsia="Noto Sans Symbols"/>
        <w:sz w:val="24"/>
      </w:rPr>
    </w:lvl>
    <w:lvl w:ilvl="4">
      <w:numFmt w:val="bullet"/>
      <w:lvlText w:val="▪"/>
      <w:lvlJc w:val="left"/>
      <w:pPr>
        <w:ind w:left="3600" w:hanging="360"/>
        <w:tab w:val="num" w:pos="3600"/>
      </w:pPr>
      <w:rPr>
        <w:rFonts w:ascii="Noto Sans Symbols" w:hAnsi="Noto Sans Symbols" w:cs="Noto Sans Symbols" w:eastAsia="Noto Sans Symbols"/>
        <w:sz w:val="24"/>
      </w:rPr>
    </w:lvl>
    <w:lvl w:ilvl="5">
      <w:numFmt w:val="bullet"/>
      <w:lvlText w:val="▪"/>
      <w:lvlJc w:val="left"/>
      <w:pPr>
        <w:ind w:left="4320" w:hanging="360"/>
        <w:tab w:val="num" w:pos="4320"/>
      </w:pPr>
      <w:rPr>
        <w:rFonts w:ascii="Noto Sans Symbols" w:hAnsi="Noto Sans Symbols" w:cs="Noto Sans Symbols" w:eastAsia="Noto Sans Symbols"/>
        <w:sz w:val="24"/>
      </w:rPr>
    </w:lvl>
    <w:lvl w:ilvl="6">
      <w:numFmt w:val="bullet"/>
      <w:lvlText w:val="▪"/>
      <w:lvlJc w:val="left"/>
      <w:pPr>
        <w:ind w:left="5040" w:hanging="360"/>
        <w:tab w:val="num" w:pos="5040"/>
      </w:pPr>
      <w:rPr>
        <w:rFonts w:ascii="Noto Sans Symbols" w:hAnsi="Noto Sans Symbols" w:cs="Noto Sans Symbols" w:eastAsia="Noto Sans Symbols"/>
        <w:sz w:val="24"/>
      </w:rPr>
    </w:lvl>
    <w:lvl w:ilvl="7">
      <w:numFmt w:val="bullet"/>
      <w:lvlText w:val="▪"/>
      <w:lvlJc w:val="left"/>
      <w:pPr>
        <w:ind w:left="5760" w:hanging="360"/>
        <w:tab w:val="num" w:pos="5760"/>
      </w:pPr>
      <w:rPr>
        <w:rFonts w:ascii="Noto Sans Symbols" w:hAnsi="Noto Sans Symbols" w:cs="Noto Sans Symbols" w:eastAsia="Noto Sans Symbols"/>
        <w:sz w:val="24"/>
      </w:rPr>
    </w:lvl>
    <w:lvl w:ilvl="8">
      <w:numFmt w:val="bullet"/>
      <w:lvlText w:val="▪"/>
      <w:lvlJc w:val="left"/>
      <w:pPr>
        <w:ind w:left="6480" w:hanging="360"/>
        <w:tab w:val="num" w:pos="6480"/>
      </w:pPr>
      <w:rPr>
        <w:rFonts w:ascii="Noto Sans Symbols" w:hAnsi="Noto Sans Symbols" w:cs="Noto Sans Symbols" w:eastAsia="Noto Sans Symbols"/>
        <w:sz w:val="24"/>
      </w:rPr>
    </w:lvl>
  </w:abstractNum>
  <w:abstractNum w:abstractNumId="197">
    <w:multiLevelType w:val="singleLevel"/>
    <w:lvl w:ilvl="0">
      <w:numFmt w:val="lowerLetter"/>
      <w:lvlText w:val="%1)"/>
      <w:lvlJc w:val="left"/>
      <w:start w:val="1"/>
      <w:pPr>
        <w:ind w:left="855" w:hanging="240"/>
        <w:tab w:val="num" w:pos="855"/>
      </w:pPr>
      <w:rPr>
        <w:rFonts w:ascii="Calibri" w:hAnsi="Calibri" w:cs="Calibri" w:eastAsia="Calibri"/>
      </w:rPr>
    </w:lvl>
  </w:abstractNum>
  <w:abstractNum w:abstractNumId="198">
    <w:multiLevelType w:val="singleLevel"/>
    <w:lvl w:ilvl="0">
      <w:numFmt w:val="lowerLetter"/>
      <w:lvlText w:val="%1)"/>
      <w:lvlJc w:val="left"/>
      <w:start w:val="1"/>
      <w:pPr>
        <w:ind w:left="855" w:firstLine="0"/>
        <w:tab w:val="num" w:pos="855"/>
      </w:pPr>
      <w:rPr>
        <w:rFonts w:ascii="Calibri" w:hAnsi="Calibri" w:cs="Calibri" w:eastAsia="Calibri"/>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Nm" Type="http://schemas.openxmlformats.org/officeDocument/2006/relationships/numbering" Target="numbering.xml"/><Relationship Id="rIdSet" Type="http://schemas.openxmlformats.org/officeDocument/2006/relationships/settings" Target="settings.xml"/><Relationship Id="hrId1" Type="http://schemas.openxmlformats.org/officeDocument/2006/relationships/hyperlink" Target="file:///C:\Users\josej\Downloads\www.japura.pr.gov.br" TargetMode="External"/><Relationship Id="hrId2" Type="http://schemas.openxmlformats.org/officeDocument/2006/relationships/hyperlink" Target="file:///C:\Users\josej\Downloads\www.japura.pr.gov.br" TargetMode="External"/><Relationship Id="hrId3" Type="http://schemas.openxmlformats.org/officeDocument/2006/relationships/hyperlink" Target="https://bllcompras.com/" TargetMode="External"/><Relationship Id="hrId4" Type="http://schemas.openxmlformats.org/officeDocument/2006/relationships/hyperlink" Target="https://portaldatransparencia.gov.br/sancoes/consulta?cadastro=1&amp;ordenarPor=nomeSancionado&amp;direcao=asc" TargetMode="External"/><Relationship Id="hrId5" Type="http://schemas.openxmlformats.org/officeDocument/2006/relationships/hyperlink" Target="https://certidoes.sit.trabalho.gov.br/aprendiz" TargetMode="External"/><Relationship Id="prId1" Type="http://schemas.openxmlformats.org/officeDocument/2006/relationships/image" Target="media/img2.emf"/><Relationship Id="prId2" Type="http://schemas.openxmlformats.org/officeDocument/2006/relationships/image" Target="media/img3.emf"/><Relationship Id="prId3" Type="http://schemas.openxmlformats.org/officeDocument/2006/relationships/image" Target="media/img4.emf"/><Relationship Id="prId4" Type="http://schemas.openxmlformats.org/officeDocument/2006/relationships/image" Target="media/img5.emf"/><Relationship Id="prId5" Type="http://schemas.openxmlformats.org/officeDocument/2006/relationships/image" Target="media/img6.emf"/><Relationship Id="prId6" Type="http://schemas.openxmlformats.org/officeDocument/2006/relationships/image" Target="media/img7.emf"/><Relationship Id="prId7" Type="http://schemas.openxmlformats.org/officeDocument/2006/relationships/image" Target="media/img8.emf"/></Relationships>
</file>

<file path=word/_rels/header.xml.rels><?xml version="1.0" encoding="UTF-8" standalone="yes"?>
<Relationships xmlns="http://schemas.openxmlformats.org/package/2006/relationships"><Relationship Id="prId1" Type="http://schemas.openxmlformats.org/officeDocument/2006/relationships/image" Target="media/img1.png"/></Relationships>
</file>