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ind w:left="15" w:hanging="15"/>
        <w:spacing w:after="45"/>
      </w:pPr>
      <w:r>
        <w:rPr>
          <w:b/>
          <w:u w:val="single"/>
          <w:sz w:val="22"/>
        </w:rPr>
        <w:t>AVISO DE LICITAÇÃO</w:t>
      </w:r>
    </w:p>
    <w:p>
      <w:pPr>
        <w:jc w:val="center"/>
        <w:widowControl/>
        <w:ind w:left="15" w:hanging="15"/>
        <w:spacing w:after="45"/>
      </w:pPr>
      <w:r>
        <w:rPr>
          <w:rFonts w:ascii="Times New Roman" w:hAnsi="Times New Roman" w:cs="Times New Roman" w:eastAsia="Times New Roman"/>
        </w:rPr>
        <w:t/>
      </w:r>
    </w:p>
    <w:p>
      <w:pPr>
        <w:jc w:val="center"/>
        <w:widowControl/>
        <w:ind w:left="15" w:right="15" w:hanging="15"/>
        <w:spacing w:before="0" w:after="15"/>
        <w:pBdr>
          <w:top w:val="single" w:color="000000"/>
          <w:left w:val="single" w:color="000000"/>
          <w:bottom w:val="single" w:color="000000"/>
          <w:right w:val="single" w:color="000000"/>
        </w:pBdr>
      </w:pPr>
      <w:r>
        <w:rPr>
          <w:b/>
        </w:rPr>
        <w:t xml:space="preserve">CONCORRÊNCIA ELETRÔNICA Nº </w:t>
      </w:r>
      <w:r>
        <w:rPr>
          <w:rFonts w:ascii="Calibri" w:hAnsi="Calibri" w:cs="Calibri" w:eastAsia="Calibri"/>
          <w:b/>
          <w:sz w:val="22"/>
        </w:rPr>
        <w:t>8/2026.</w:t>
      </w:r>
      <w:r>
        <w:rPr>
          <w:b/>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rPr>
        <w:t>PROCESSO ADMINISTRATIVO N.°</w:t>
      </w:r>
      <w:r>
        <w:rPr>
          <w:b/>
          <w:sz w:val="24"/>
        </w:rPr>
        <w:t xml:space="preserve"> </w:t>
      </w:r>
      <w:r>
        <w:rPr>
          <w:rFonts w:ascii="Calibri" w:hAnsi="Calibri" w:cs="Calibri" w:eastAsia="Calibri"/>
          <w:b/>
          <w:sz w:val="22"/>
        </w:rPr>
        <w:t>74/2026</w:t>
      </w:r>
    </w:p>
    <w:p>
      <w:pPr>
        <w:jc w:val="both"/>
        <w:widowControl/>
        <w:ind w:left="60" w:right="45" w:hanging="15"/>
        <w:spacing w:after="45"/>
      </w:pPr>
      <w:r>
        <w:rPr>
          <w:rFonts w:ascii="Times New Roman" w:hAnsi="Times New Roman" w:cs="Times New Roman" w:eastAsia="Times New Roman"/>
        </w:rPr>
        <w:t/>
      </w:r>
    </w:p>
    <w:p>
      <w:pPr>
        <w:jc w:val="both"/>
        <w:widowControl/>
        <w:ind w:left="60" w:right="45" w:hanging="15"/>
        <w:spacing w:after="45"/>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procedimentos a seguir definidos, objetivando obter a melhor proposta, observadas as datas e horários discriminados a seguir:</w:t>
      </w:r>
    </w:p>
    <w:p>
      <w:pPr>
        <w:jc w:val="both"/>
        <w:widowControl/>
        <w:ind w:left="60" w:right="45" w:hanging="15"/>
        <w:spacing w:after="45"/>
      </w:pPr>
      <w:r>
        <w:rPr>
          <w:sz w:val="22"/>
        </w:rPr>
        <w:t/>
      </w:r>
    </w:p>
    <w:p>
      <w:pPr>
        <w:jc w:val="both"/>
        <w:widowControl/>
        <w:ind w:left="60" w:right="45" w:hanging="15"/>
        <w:spacing w:after="45"/>
      </w:pPr>
      <w:r>
        <w:rPr>
          <w:b/>
          <w:sz w:val="22"/>
        </w:rPr>
        <w:t xml:space="preserve">OBJETO: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p>
    <w:p>
      <w:pPr>
        <w:jc w:val="both"/>
        <w:widowControl/>
        <w:ind w:left="60" w:right="45" w:hanging="15"/>
        <w:spacing w:after="45"/>
      </w:pPr>
      <w:r>
        <w:rPr>
          <w:b/>
          <w:sz w:val="22"/>
        </w:rPr>
        <w:t xml:space="preserve"> </w:t>
      </w:r>
    </w:p>
    <w:p>
      <w:pPr>
        <w:widowControl/>
        <w:ind w:left="225"/>
      </w:pPr>
      <w:r>
        <w:rPr>
          <w:b/>
          <w:sz w:val="22"/>
        </w:rPr>
        <w:t xml:space="preserve">RECEBIMENTO DAS PROPOSTAS DE PREÇOS: </w:t>
      </w:r>
      <w:r>
        <w:rPr>
          <w:rFonts w:ascii="Arial MT" w:hAnsi="Arial MT" w:cs="Arial MT" w:eastAsia="Arial MT"/>
          <w:sz w:val="22"/>
        </w:rPr>
        <w:t>Até às 09:00 horas do dia 23/07/2026.</w:t>
      </w:r>
    </w:p>
    <w:p>
      <w:pPr>
        <w:widowControl/>
        <w:ind w:left="225"/>
      </w:pPr>
      <w:r>
        <w:rPr>
          <w:sz w:val="22"/>
        </w:rPr>
        <w:t/>
      </w:r>
    </w:p>
    <w:p>
      <w:pPr>
        <w:jc w:val="both"/>
        <w:widowControl/>
        <w:ind w:left="60" w:right="45" w:hanging="15"/>
        <w:spacing w:after="45"/>
      </w:pPr>
      <w:r>
        <w:rPr>
          <w:b/>
          <w:sz w:val="22"/>
        </w:rPr>
        <w:t xml:space="preserve">ABERTURA DAS PROPOSTAS: </w:t>
      </w:r>
      <w:r>
        <w:rPr>
          <w:sz w:val="22"/>
        </w:rPr>
        <w:t>à</w:t>
      </w:r>
      <w:r>
        <w:rPr>
          <w:rFonts w:ascii="Arial MT" w:hAnsi="Arial MT" w:cs="Arial MT" w:eastAsia="Arial MT"/>
          <w:sz w:val="22"/>
        </w:rPr>
        <w:t>s 09:00 horas do dia 23/07/2026</w:t>
      </w:r>
    </w:p>
    <w:p>
      <w:pPr>
        <w:widowControl/>
        <w:ind w:left="165"/>
        <w:spacing w:before="150"/>
      </w:pPr>
      <w:r>
        <w:rPr>
          <w:b/>
          <w:sz w:val="22"/>
        </w:rPr>
        <w:t xml:space="preserve">INÍCIO DA SESSÃO DE DISPUTA DE PREÇOS: </w:t>
      </w:r>
      <w:r>
        <w:rPr>
          <w:rFonts w:ascii="Arial MT" w:hAnsi="Arial MT" w:cs="Arial MT" w:eastAsia="Arial MT"/>
          <w:sz w:val="22"/>
        </w:rPr>
        <w:t>às 09:00 horas do dia 23/07/2026.</w:t>
      </w:r>
    </w:p>
    <w:p>
      <w:pPr>
        <w:widowControl/>
        <w:ind w:left="165"/>
        <w:spacing w:before="150"/>
      </w:pPr>
      <w:r>
        <w:rPr>
          <w:sz w:val="22"/>
        </w:rPr>
        <w:t/>
      </w:r>
    </w:p>
    <w:p>
      <w:pPr>
        <w:jc w:val="both"/>
        <w:widowControl/>
        <w:ind w:left="60" w:right="45" w:hanging="15"/>
        <w:spacing w:after="45"/>
      </w:pPr>
      <w:r>
        <w:rPr>
          <w:b/>
          <w:sz w:val="22"/>
        </w:rPr>
        <w:t>LINK PARA CADASTRO DAS PROPOSTAS INICIAIS E DISPUTA Compras BR (</w:t>
      </w:r>
      <w:r>
        <w:rPr>
          <w:b/>
          <w:u w:val="single" w:color="0000FF"/>
          <w:sz w:val="22"/>
        </w:rPr>
        <w:t>https://comprasbr.com.br/</w:t>
      </w:r>
      <w:r>
        <w:rPr>
          <w:b/>
          <w:sz w:val="22"/>
        </w:rPr>
        <w:t>)</w:t>
      </w:r>
    </w:p>
    <w:p>
      <w:pPr>
        <w:jc w:val="both"/>
        <w:widowControl/>
        <w:ind w:left="60" w:right="45" w:hanging="15"/>
        <w:spacing w:after="45"/>
      </w:pPr>
      <w:r>
        <w:rPr>
          <w:b/>
          <w:sz w:val="22"/>
        </w:rPr>
        <w:t/>
      </w:r>
    </w:p>
    <w:p>
      <w:pPr>
        <w:jc w:val="both"/>
        <w:widowControl/>
        <w:ind w:left="60" w:right="45" w:hanging="15"/>
        <w:spacing w:after="45"/>
      </w:pPr>
      <w:r>
        <w:rPr>
          <w:b/>
          <w:sz w:val="22"/>
        </w:rPr>
        <w:t xml:space="preserve">REGIME DE EXECUÇÃO: </w:t>
      </w:r>
      <w:r>
        <w:rPr>
          <w:sz w:val="22"/>
        </w:rPr>
        <w:t>EMPREITADA POR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CRITÉRIO DE JULGAMENTO: </w:t>
      </w:r>
      <w:r>
        <w:rPr>
          <w:sz w:val="22"/>
        </w:rPr>
        <w:t>MENOR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MODO DE DISPUTA: </w:t>
      </w:r>
      <w:r>
        <w:rPr>
          <w:sz w:val="22"/>
        </w:rPr>
        <w:t>ABERTO</w:t>
      </w:r>
    </w:p>
    <w:p>
      <w:pPr>
        <w:outlineLvl w:val="1"/>
        <w:widowControl/>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R$ 398.123,88 (Trezentos e Noventa e Oito Mil, Cento e Vinte e Três Reais e Oitenta e Oito Centavos).</w:t>
      </w:r>
    </w:p>
    <w:p>
      <w:pPr>
        <w:jc w:val="both"/>
        <w:widowControl/>
        <w:ind w:left="60" w:right="45" w:hanging="15"/>
        <w:spacing w:after="45"/>
      </w:pPr>
      <w:r>
        <w:rPr>
          <w:b/>
          <w:sz w:val="22"/>
        </w:rPr>
        <w:t xml:space="preserve">REFERÊNCIA DE HORÁRIO: </w:t>
      </w:r>
      <w:r>
        <w:rPr>
          <w:sz w:val="22"/>
        </w:rPr>
        <w:t>Horário de Brasília/DF.</w:t>
      </w:r>
    </w:p>
    <w:p>
      <w:pPr>
        <w:jc w:val="both"/>
        <w:widowControl/>
        <w:ind w:left="60" w:right="45" w:hanging="15"/>
        <w:spacing w:after="45"/>
      </w:pPr>
      <w:r>
        <w:rPr>
          <w:sz w:val="22"/>
        </w:rPr>
        <w:t/>
      </w:r>
    </w:p>
    <w:p>
      <w:pPr>
        <w:jc w:val="both"/>
        <w:widowControl/>
        <w:ind w:left="60" w:right="45" w:hanging="15"/>
        <w:spacing w:after="45"/>
      </w:pPr>
      <w:r>
        <w:rPr>
          <w:sz w:val="18"/>
        </w:rPr>
        <w:t>O EDITAL FICARÁ DISPONÍVEL: No site do Município de Guairaçá (</w:t>
      </w:r>
      <w:hyperlink r:id="hrId1">
        <w:r>
          <w:rPr>
            <w:u w:val="single" w:color="0000FF"/>
            <w:sz w:val="18"/>
          </w:rPr>
          <w:t>www.guairaca.pr.gov.br</w:t>
        </w:r>
      </w:hyperlink>
      <w:r>
        <w:rPr>
          <w:u w:val="single" w:color="0000FF"/>
          <w:sz w:val="18"/>
        </w:rPr>
        <w:t>)</w:t>
      </w:r>
      <w:r>
        <w:rPr>
          <w:sz w:val="18"/>
        </w:rPr>
        <w:t>; no Setor de Licitações e Contratos da Prefeitura Municipal de Guairaçá, situado à Rua Francisco Vieira 1181 - centro E/OU no Portal Compras BR (</w:t>
      </w:r>
      <w:r>
        <w:rPr>
          <w:b/>
          <w:u w:val="single" w:color="0000FF"/>
          <w:sz w:val="18"/>
        </w:rPr>
        <w:t>https://comprasbr.com.br/</w:t>
      </w:r>
      <w:r>
        <w:rPr>
          <w:sz w:val="18"/>
        </w:rPr>
        <w:t>).</w:t>
      </w:r>
    </w:p>
    <w:p>
      <w:pPr>
        <w:jc w:val="both"/>
        <w:widowControl/>
        <w:ind w:left="60" w:right="45" w:hanging="15"/>
        <w:spacing w:after="45"/>
      </w:pPr>
      <w:r>
        <w:rPr>
          <w:sz w:val="18"/>
        </w:rPr>
        <w:t>Eventuais esclarecimentos poderão ser fornecidos diretamente na Diretoria de Licitações e Contratos, situada na Rua francisco Vieira 1181 - centro – Guairaçá-Pr, E/OU por meio do Telefone (44) 3442-1772 ou e-mail: licitacao@guairaca.pr.gov.br</w:t>
      </w:r>
    </w:p>
    <w:p>
      <w:pPr>
        <w:jc w:val="both"/>
        <w:widowControl/>
        <w:ind w:left="60" w:right="45" w:hanging="15"/>
        <w:spacing w:after="45"/>
      </w:pPr>
      <w:r>
        <w:rPr>
          <w:sz w:val="22"/>
        </w:rPr>
        <w:t/>
      </w:r>
    </w:p>
    <w:p>
      <w:pPr>
        <w:jc w:val="right"/>
        <w:widowControl/>
        <w:spacing w:after="165" w:lineRule="auto" w:line="252"/>
      </w:pPr>
      <w:r>
        <w:rPr>
          <w:rFonts w:ascii="Arial MT" w:hAnsi="Arial MT" w:cs="Arial MT" w:eastAsia="Arial MT"/>
          <w:sz w:val="18"/>
        </w:rPr>
        <w:t>Guairaçá/Pr, vinte e três dias de junho de 2026</w:t>
      </w:r>
      <w:r>
        <w:rPr>
          <w:sz w:val="18"/>
        </w:rPr>
        <w:t>.</w:t>
      </w:r>
    </w:p>
    <w:p>
      <w:pPr>
        <w:jc w:val="center"/>
        <w:outlineLvl w:val="1"/>
        <w:widowControl/>
        <w:ind w:left="1335" w:right="1335"/>
      </w:pPr>
      <w:r>
        <w:rPr>
          <w:b/>
          <w:sz w:val="22"/>
        </w:rPr>
        <w:t>MARCELO ALVES DE OLIVEIRA</w:t>
      </w:r>
    </w:p>
    <w:p>
      <w:pPr>
        <w:jc w:val="center"/>
        <w:widowControl/>
        <w:ind w:left="1335" w:right="1335"/>
      </w:pPr>
      <w:r>
        <w:rPr>
          <w:rFonts w:ascii="Arial MT" w:hAnsi="Arial MT" w:cs="Arial MT" w:eastAsia="Arial MT"/>
          <w:sz w:val="22"/>
        </w:rPr>
        <w:t>Prefeito Municipal</w:t>
      </w:r>
    </w:p>
    <w:p>
      <w:r>
        <w:br w:type="page"/>
      </w:r>
    </w:p>
    <w:p>
      <w:pPr>
        <w:jc w:val="center"/>
        <w:widowControl/>
        <w:ind w:left="15" w:hanging="15"/>
        <w:spacing w:after="45"/>
      </w:pPr>
      <w:r>
        <w:rPr>
          <w:b/>
          <w:u w:val="single"/>
          <w:sz w:val="22"/>
        </w:rPr>
        <w:t>EDITAL DE LICITAÇÃO</w:t>
      </w:r>
    </w:p>
    <w:p>
      <w:pPr>
        <w:jc w:val="center"/>
        <w:widowControl/>
        <w:ind w:left="15" w:hanging="15"/>
        <w:spacing w:after="45"/>
      </w:pPr>
      <w:r>
        <w:rPr>
          <w:rFonts w:ascii="Times New Roman" w:hAnsi="Times New Roman" w:cs="Times New Roman" w:eastAsia="Times New Roman"/>
          <w:sz w:val="22"/>
        </w:rPr>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CONCORRÊNCIA ELETRÔNICA Nº </w:t>
      </w:r>
      <w:r>
        <w:rPr>
          <w:rFonts w:ascii="Calibri" w:hAnsi="Calibri" w:cs="Calibri" w:eastAsia="Calibri"/>
          <w:b/>
          <w:sz w:val="22"/>
        </w:rPr>
        <w:t>8/2026</w:t>
      </w:r>
      <w:r>
        <w:rPr>
          <w:b/>
          <w:sz w:val="22"/>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PROCESSO ADMINISTRATIVO N.° </w:t>
      </w:r>
      <w:r>
        <w:rPr>
          <w:rFonts w:ascii="Calibri" w:hAnsi="Calibri" w:cs="Calibri" w:eastAsia="Calibri"/>
          <w:b/>
          <w:sz w:val="22"/>
        </w:rPr>
        <w:t>74/2026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A Prefeitura do Município de Guairaçá, torna público que realizará licitação, na modalidade de CONCORRÊNCIA PÚBLICA, do tipo MENOR PREÇO GLOBAL, tendo por objeto a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pPr>
        <w:jc w:val="both"/>
        <w:widowControl/>
        <w:ind w:left="60" w:right="45" w:hanging="15"/>
        <w:spacing w:after="45"/>
      </w:pPr>
      <w:r>
        <w:rPr>
          <w:sz w:val="22"/>
        </w:rPr>
        <w:t/>
      </w:r>
    </w:p>
    <w:p>
      <w:pPr>
        <w:widowControl/>
        <w:ind w:left="135" w:hanging="30"/>
      </w:pPr>
      <w:r>
        <w:rPr>
          <w:b/>
          <w:sz w:val="22"/>
        </w:rPr>
        <w:t xml:space="preserve">RECEBIMENTO DAS PROPOSTAS DE PREÇOS: </w:t>
      </w:r>
      <w:r>
        <w:rPr>
          <w:rFonts w:ascii="Arial MT" w:hAnsi="Arial MT" w:cs="Arial MT" w:eastAsia="Arial MT"/>
          <w:sz w:val="22"/>
        </w:rPr>
        <w:t>Até às 09:00 horas do dia 23/07/2026.</w:t>
      </w:r>
    </w:p>
    <w:p>
      <w:pPr>
        <w:widowControl/>
        <w:ind w:firstLine="345"/>
      </w:pPr>
      <w:r>
        <w:rPr>
          <w:sz w:val="22"/>
        </w:rPr>
        <w:t/>
      </w:r>
    </w:p>
    <w:p>
      <w:pPr>
        <w:widowControl/>
        <w:ind w:left="165" w:firstLine="15"/>
      </w:pPr>
      <w:r>
        <w:rPr>
          <w:b/>
          <w:sz w:val="22"/>
        </w:rPr>
        <w:t>ABERTURA E JULGAMENTO DAS PROPOSTAS:</w:t>
      </w:r>
      <w:r>
        <w:rPr>
          <w:sz w:val="22"/>
        </w:rPr>
        <w:t xml:space="preserve"> às</w:t>
      </w:r>
      <w:r>
        <w:rPr>
          <w:rFonts w:ascii="Arial MT" w:hAnsi="Arial MT" w:cs="Arial MT" w:eastAsia="Arial MT"/>
          <w:sz w:val="22"/>
          <w:color w:val="FF0000"/>
        </w:rPr>
        <w:t xml:space="preserve"> </w:t>
      </w:r>
      <w:r>
        <w:rPr>
          <w:rFonts w:ascii="Arial MT" w:hAnsi="Arial MT" w:cs="Arial MT" w:eastAsia="Arial MT"/>
          <w:sz w:val="22"/>
        </w:rPr>
        <w:t>09:00 do dia 23/07/2026.</w:t>
      </w:r>
    </w:p>
    <w:p>
      <w:pPr>
        <w:widowControl/>
        <w:ind w:left="225" w:firstLine="345"/>
      </w:pPr>
      <w:r>
        <w:rPr>
          <w:rFonts w:ascii="Arial MT" w:hAnsi="Arial MT" w:cs="Arial MT" w:eastAsia="Arial MT"/>
          <w:sz w:val="22"/>
        </w:rPr>
        <w:t/>
      </w:r>
    </w:p>
    <w:p>
      <w:pPr>
        <w:widowControl/>
        <w:ind w:left="150"/>
        <w:spacing w:after="165" w:lineRule="auto" w:line="252"/>
      </w:pPr>
      <w:r>
        <w:rPr>
          <w:rFonts w:ascii="Calibri" w:hAnsi="Calibri" w:cs="Calibri" w:eastAsia="Calibri"/>
          <w:b/>
          <w:sz w:val="22"/>
        </w:rPr>
        <w:t xml:space="preserve">INÍCIO DA SESSÃO DE DISPUTA DE PREÇOS: </w:t>
      </w:r>
      <w:r>
        <w:rPr>
          <w:rFonts w:ascii="Arial MT" w:hAnsi="Arial MT" w:cs="Arial MT" w:eastAsia="Arial MT"/>
          <w:sz w:val="22"/>
        </w:rPr>
        <w:t>às 09:00 horas do dia 23/07/2026</w:t>
      </w:r>
    </w:p>
    <w:p>
      <w:pPr>
        <w:jc w:val="both"/>
        <w:widowControl/>
        <w:ind w:left="60" w:right="45" w:hanging="15"/>
        <w:spacing w:after="45"/>
      </w:pPr>
      <w:r>
        <w:rPr>
          <w:sz w:val="22"/>
        </w:rPr>
        <w:t/>
      </w:r>
    </w:p>
    <w:p>
      <w:pPr>
        <w:jc w:val="both"/>
        <w:outlineLvl w:val="0"/>
        <w:keepLines/>
        <w:keepNext/>
        <w:widowControl/>
        <w:ind w:left="60" w:right="915" w:hanging="15"/>
        <w:spacing w:after="45"/>
      </w:pPr>
      <w:r>
        <w:rPr>
          <w:b/>
          <w:sz w:val="22"/>
        </w:rPr>
        <w:t xml:space="preserve">CADASTRO DE PROPOSTAS INICIAIS E DISPUTA: Compras BR </w:t>
      </w:r>
      <w:r>
        <w:rPr>
          <w:b/>
          <w:u w:val="single" w:color="0000FF"/>
          <w:sz w:val="22"/>
        </w:rPr>
        <w:t xml:space="preserve">https://comprasbr.com.br/ </w:t>
      </w:r>
      <w:r>
        <w:rPr>
          <w:b/>
          <w:sz w:val="22"/>
        </w:rPr>
        <w:t>(acesso identificado).</w:t>
      </w:r>
    </w:p>
    <w:p>
      <w:pPr>
        <w:jc w:val="both"/>
        <w:widowControl/>
        <w:ind w:left="60" w:right="45" w:hanging="15"/>
        <w:spacing w:after="45"/>
      </w:pPr>
      <w:r>
        <w:rPr>
          <w:rFonts w:ascii="Times New Roman" w:hAnsi="Times New Roman" w:cs="Times New Roman" w:eastAsia="Times New Roman"/>
          <w:sz w:val="22"/>
          <w:color w:val="FF9900"/>
        </w:rPr>
        <w:t/>
      </w:r>
    </w:p>
    <w:p>
      <w:pPr>
        <w:jc w:val="both"/>
        <w:outlineLvl w:val="0"/>
        <w:keepLines/>
        <w:keepNext/>
        <w:widowControl/>
        <w:ind w:left="60" w:right="45" w:hanging="15"/>
        <w:spacing w:after="45"/>
        <w:shd w:val="clear" w:color="auto" w:fill="0D0D0D"/>
      </w:pPr>
      <w:r>
        <w:rPr>
          <w:b/>
          <w:sz w:val="22"/>
          <w:color w:val="FFFFFF"/>
        </w:rPr>
        <w:t>1 - DISPOSIÇÕES PRELIMINARES</w:t>
      </w:r>
    </w:p>
    <w:p>
      <w:pPr>
        <w:jc w:val="both"/>
        <w:widowControl/>
        <w:ind w:right="45" w:hanging="15"/>
        <w:spacing w:after="45"/>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u w:val="single" w:color="0000FF"/>
          <w:sz w:val="22"/>
        </w:rPr>
        <w:t>comprasbr.com.br</w:t>
      </w:r>
      <w:r>
        <w:rPr>
          <w:sz w:val="22"/>
        </w:rPr>
        <w:t>, conforme convênio de cooperação técnica celebrado entre a Prefeitura Municipal de Guairaçá e o Compras BR.</w:t>
      </w:r>
    </w:p>
    <w:p>
      <w:pPr>
        <w:jc w:val="both"/>
        <w:widowControl/>
        <w:ind w:right="45" w:hanging="15"/>
        <w:spacing w:after="45"/>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b/>
          <w:sz w:val="22"/>
        </w:rPr>
        <w:t>1.3</w:t>
      </w:r>
      <w:r>
        <w:rPr>
          <w:sz w:val="22"/>
        </w:rPr>
        <w:t xml:space="preserve"> – Integram o edital, dele fazendo parte como se transcritos em seu corpo, os seguintes anexos, que especificam o serviço:</w:t>
      </w:r>
    </w:p>
    <w:p>
      <w:pPr>
        <w:jc w:val="both"/>
        <w:widowControl/>
        <w:ind w:left="285" w:right="45" w:hanging="15"/>
        <w:spacing w:after="45"/>
      </w:pPr>
      <w:r>
        <w:rPr>
          <w:b/>
          <w:sz w:val="22"/>
        </w:rPr>
        <w:t>Anexo I –</w:t>
      </w:r>
      <w:r>
        <w:rPr>
          <w:sz w:val="22"/>
        </w:rPr>
        <w:t xml:space="preserve"> Termo de referência;</w:t>
      </w:r>
    </w:p>
    <w:p>
      <w:pPr>
        <w:jc w:val="both"/>
        <w:widowControl/>
        <w:ind w:left="285" w:right="45" w:hanging="15"/>
        <w:spacing w:after="45"/>
      </w:pPr>
      <w:r>
        <w:rPr>
          <w:b/>
          <w:sz w:val="22"/>
        </w:rPr>
        <w:t>Anexo II –</w:t>
      </w:r>
      <w:r>
        <w:rPr>
          <w:sz w:val="22"/>
        </w:rPr>
        <w:t xml:space="preserve"> Modelo declaração de responsabilidade técnica;</w:t>
      </w:r>
    </w:p>
    <w:p>
      <w:pPr>
        <w:jc w:val="both"/>
        <w:widowControl/>
        <w:ind w:left="285" w:right="45" w:hanging="15"/>
        <w:spacing w:after="45"/>
      </w:pPr>
      <w:r>
        <w:rPr>
          <w:b/>
          <w:sz w:val="22"/>
        </w:rPr>
        <w:t>Anexo III –</w:t>
      </w:r>
      <w:r>
        <w:rPr>
          <w:sz w:val="22"/>
        </w:rPr>
        <w:t xml:space="preserve"> Modelo de tratamento diferenciado (ME/EPP);</w:t>
      </w:r>
    </w:p>
    <w:p>
      <w:pPr>
        <w:jc w:val="both"/>
        <w:widowControl/>
        <w:ind w:left="285" w:right="45" w:hanging="15"/>
        <w:spacing w:after="45"/>
      </w:pPr>
      <w:r>
        <w:rPr>
          <w:b/>
          <w:sz w:val="22"/>
        </w:rPr>
        <w:t>Anexo IV –</w:t>
      </w:r>
      <w:r>
        <w:rPr>
          <w:sz w:val="22"/>
        </w:rPr>
        <w:t xml:space="preserve"> Modelo de Atestado do Visita;</w:t>
      </w:r>
    </w:p>
    <w:p>
      <w:pPr>
        <w:jc w:val="both"/>
        <w:widowControl/>
        <w:ind w:left="285" w:right="45" w:hanging="15"/>
        <w:spacing w:after="45"/>
      </w:pPr>
      <w:r>
        <w:rPr>
          <w:b/>
          <w:sz w:val="22"/>
        </w:rPr>
        <w:t>Anexo V –</w:t>
      </w:r>
      <w:r>
        <w:rPr>
          <w:sz w:val="22"/>
        </w:rPr>
        <w:t xml:space="preserve"> Modelo declaração unificada;</w:t>
      </w:r>
    </w:p>
    <w:p>
      <w:pPr>
        <w:jc w:val="both"/>
        <w:widowControl/>
        <w:ind w:left="285" w:right="45" w:hanging="15"/>
        <w:spacing w:after="45"/>
      </w:pPr>
      <w:r>
        <w:rPr>
          <w:b/>
          <w:sz w:val="22"/>
        </w:rPr>
        <w:t>Anexo VI –</w:t>
      </w:r>
      <w:r>
        <w:rPr>
          <w:sz w:val="22"/>
        </w:rPr>
        <w:t xml:space="preserve"> Modelo de Proposta de Preço Reajustada, Planilha Orçamentária e BDI;(Deverá ser encaminhado                        pelo licitante vencedor após o encerramento do processo licitatório);</w:t>
      </w:r>
    </w:p>
    <w:p>
      <w:pPr>
        <w:jc w:val="both"/>
        <w:widowControl/>
        <w:ind w:left="255" w:right="45"/>
        <w:spacing w:after="45"/>
      </w:pPr>
      <w:r>
        <w:rPr>
          <w:b/>
          <w:sz w:val="22"/>
        </w:rPr>
        <w:t xml:space="preserve">Anexo VII – </w:t>
      </w:r>
      <w:r>
        <w:rPr>
          <w:sz w:val="22"/>
        </w:rPr>
        <w:t>Modelo de Declaração de Pleno Conhecimento (não vistoria);</w:t>
      </w:r>
    </w:p>
    <w:p>
      <w:pPr>
        <w:jc w:val="both"/>
        <w:widowControl/>
        <w:ind w:left="285" w:right="45" w:hanging="15"/>
        <w:spacing w:after="45"/>
      </w:pPr>
      <w:r>
        <w:rPr>
          <w:b/>
          <w:sz w:val="22"/>
        </w:rPr>
        <w:t>Anexo VIII –</w:t>
      </w:r>
      <w:r>
        <w:rPr>
          <w:sz w:val="22"/>
        </w:rPr>
        <w:t xml:space="preserve"> Minuta de Contrato;</w:t>
      </w:r>
    </w:p>
    <w:p>
      <w:pPr>
        <w:jc w:val="both"/>
        <w:widowControl/>
        <w:ind w:left="60"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1.4</w:t>
      </w:r>
      <w:r>
        <w:rPr>
          <w:sz w:val="22"/>
        </w:rPr>
        <w:t xml:space="preserve"> - O inteiro teor deste ato convocatório e de seus anexos encontram-se à disposição dos interessados no </w:t>
      </w:r>
      <w:r>
        <w:rPr>
          <w:u w:val="single" w:color="000000"/>
          <w:sz w:val="22"/>
        </w:rPr>
        <w:t xml:space="preserve">site </w:t>
      </w:r>
      <w:hyperlink r:id="hrId2">
        <w:r>
          <w:rPr>
            <w:u w:val="single" w:color="000000"/>
            <w:sz w:val="22"/>
          </w:rPr>
          <w:t>www.guairaca.pr.gov.br</w:t>
        </w:r>
      </w:hyperlink>
      <w:r>
        <w:rPr>
          <w:sz w:val="22"/>
        </w:rPr>
        <w:t xml:space="preserve"> (portal de transparência) no link licitações, E/OU na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 xml:space="preserve">1.5 - </w:t>
      </w:r>
      <w:r>
        <w:rPr>
          <w:sz w:val="22"/>
        </w:rPr>
        <w:t xml:space="preserve"> </w:t>
      </w: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R$ 398.123,88 (Trezentos e Noventa e Oito Mil, Cento e Vinte e Três Reais e Oitenta e Oito Centavos).</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2 - FORMALIZAÇÃO DE CONSULTAS</w:t>
      </w:r>
    </w:p>
    <w:p>
      <w:pPr>
        <w:jc w:val="both"/>
        <w:widowControl/>
        <w:ind w:left="60" w:right="45" w:hanging="15"/>
        <w:spacing w:after="45"/>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u w:val="single" w:color="000000"/>
          <w:sz w:val="22"/>
        </w:rPr>
        <w:t>licitacao@guairaca.pr.gov.br</w:t>
      </w:r>
      <w:r>
        <w:rPr>
          <w:sz w:val="22"/>
        </w:rPr>
        <w:t>, ou ser protocolizado no horário de expediente da Prefeitura (das 08:00 às 17:00) – no Setor de Licitações e Contratos, situado à Rua Francisco Vieira 1181 - centro Guairaçá-Pr.</w:t>
      </w:r>
    </w:p>
    <w:p>
      <w:pPr>
        <w:jc w:val="both"/>
        <w:widowControl/>
        <w:ind w:left="420" w:right="45" w:hanging="15"/>
        <w:spacing w:after="45"/>
      </w:pPr>
      <w:r>
        <w:rPr>
          <w:sz w:val="22"/>
        </w:rPr>
        <w:t>2.1.1 - As informações administrativas relativas a este Edital poderão ser obtidas junto ao Setor de Licitações pelo telefone (44) 3442-1772.</w:t>
      </w:r>
    </w:p>
    <w:p>
      <w:pPr>
        <w:jc w:val="both"/>
        <w:widowControl/>
        <w:ind w:left="420" w:right="45" w:hanging="15"/>
        <w:spacing w:after="45"/>
      </w:pPr>
      <w:r>
        <w:rPr>
          <w:sz w:val="22"/>
        </w:rPr>
        <w:t>2.1.2 - As questões estritamente técnicas referentes ao objeto licitado serão prestadas pelo Departamento de Engenharia, pelo telefone nº (44) 3442-1772.</w:t>
      </w:r>
    </w:p>
    <w:p>
      <w:pPr>
        <w:jc w:val="both"/>
        <w:widowControl/>
        <w:ind w:left="60" w:right="45" w:hanging="15"/>
        <w:spacing w:after="45"/>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pPr>
        <w:jc w:val="both"/>
        <w:widowControl/>
        <w:ind w:left="420" w:right="45" w:hanging="15"/>
        <w:spacing w:after="45"/>
      </w:pPr>
      <w:r>
        <w:rPr>
          <w:sz w:val="22"/>
        </w:rPr>
        <w:t>2.2.1 - Não serão conhecidas as impugnações e os recursos apresentados fora do prazo legal e/ou subscritos por representante não habilitado legalmente ou não identificado no processo para responder pelo proponente.</w:t>
      </w:r>
    </w:p>
    <w:p>
      <w:pPr>
        <w:jc w:val="both"/>
        <w:widowControl/>
        <w:ind w:left="60" w:right="45" w:hanging="15"/>
        <w:spacing w:after="45"/>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pPr>
        <w:jc w:val="both"/>
        <w:widowControl/>
        <w:ind w:left="60" w:right="45" w:hanging="15"/>
        <w:spacing w:after="45"/>
      </w:pPr>
      <w:r>
        <w:rPr>
          <w:b/>
          <w:sz w:val="22"/>
        </w:rPr>
        <w:t>2.4</w:t>
      </w:r>
      <w:r>
        <w:rPr>
          <w:sz w:val="22"/>
        </w:rPr>
        <w:t xml:space="preserve"> - Acolhida a impugnação, será definida e publicada nova data para a realização do certame.</w:t>
      </w:r>
    </w:p>
    <w:p>
      <w:pPr>
        <w:jc w:val="both"/>
        <w:widowControl/>
        <w:ind w:left="60" w:right="45" w:hanging="15"/>
        <w:spacing w:after="45"/>
      </w:pPr>
      <w:r>
        <w:rPr>
          <w:b/>
          <w:sz w:val="22"/>
        </w:rPr>
        <w:t>2.5</w:t>
      </w:r>
      <w:r>
        <w:rPr>
          <w:sz w:val="22"/>
        </w:rPr>
        <w:t xml:space="preserve"> - As impugnações e pedidos de esclarecimentos não suspendem os prazos previstos no certame.</w:t>
      </w:r>
    </w:p>
    <w:p>
      <w:pPr>
        <w:jc w:val="both"/>
        <w:widowControl/>
        <w:ind w:left="420" w:right="45" w:hanging="15"/>
        <w:spacing w:after="45"/>
      </w:pPr>
      <w:r>
        <w:rPr>
          <w:sz w:val="22"/>
        </w:rPr>
        <w:t>2.5.1 - A concessão de efeito suspensivo à impugnação é medida excepcional e deverá ser motivada pelo agente de contratação e ou equipe de apoio, nos autos do processo de licitação.</w:t>
      </w:r>
    </w:p>
    <w:p>
      <w:pPr>
        <w:jc w:val="both"/>
        <w:widowControl/>
        <w:ind w:left="60" w:right="45" w:hanging="15"/>
        <w:spacing w:after="45"/>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pPr>
        <w:jc w:val="both"/>
        <w:widowControl/>
        <w:ind w:left="60" w:right="45" w:hanging="15"/>
        <w:spacing w:after="45"/>
      </w:pPr>
      <w:r>
        <w:rPr>
          <w:b/>
          <w:sz w:val="22"/>
        </w:rPr>
        <w:t>2.7</w:t>
      </w:r>
      <w:r>
        <w:rPr>
          <w:sz w:val="22"/>
        </w:rPr>
        <w:t xml:space="preserve"> - Em caso de divergência existente entre o detalhamento dos descritivos dos itens registrados na página eletrônica da Compras BR </w:t>
      </w:r>
      <w:r>
        <w:rPr>
          <w:b/>
          <w:u w:val="single" w:color="0000FF"/>
          <w:sz w:val="22"/>
        </w:rPr>
        <w:t xml:space="preserve">comprasbr.com.br </w:t>
      </w:r>
      <w:r>
        <w:rPr>
          <w:sz w:val="22"/>
        </w:rPr>
        <w:t>e as especificações constantes no Termo de Referência, PARA EFEITO DE PROPOSTA, ENTREGA E RECEBIMENTO DO OBJETO prevalecerão às últimas.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3 - REFERÊNCIAS DE TEMPO</w:t>
      </w:r>
    </w:p>
    <w:p>
      <w:pPr>
        <w:jc w:val="both"/>
        <w:widowControl/>
        <w:ind w:left="60" w:right="45" w:hanging="15"/>
        <w:spacing w:after="45"/>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4 - CONDIÇÕES PARA PARTICIPAÇÃO</w:t>
      </w:r>
    </w:p>
    <w:p>
      <w:pPr>
        <w:jc w:val="both"/>
        <w:widowControl/>
        <w:ind w:left="60" w:right="45" w:hanging="15"/>
        <w:spacing w:after="45"/>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pPr>
        <w:jc w:val="both"/>
        <w:widowControl/>
        <w:ind w:left="60" w:right="45" w:hanging="15"/>
        <w:spacing w:after="45"/>
      </w:pPr>
      <w:r>
        <w:rPr>
          <w:b/>
          <w:sz w:val="22"/>
        </w:rPr>
        <w:t>4.2</w:t>
      </w:r>
      <w:r>
        <w:rPr>
          <w:sz w:val="22"/>
        </w:rPr>
        <w:t xml:space="preserve"> - Consórcio: será permitida a participação de consórcio.</w:t>
      </w:r>
    </w:p>
    <w:p>
      <w:pPr>
        <w:jc w:val="both"/>
        <w:widowControl/>
        <w:ind w:left="420" w:right="45" w:hanging="15"/>
        <w:spacing w:after="45"/>
      </w:pPr>
      <w:r>
        <w:rPr>
          <w:sz w:val="22"/>
        </w:rPr>
        <w:t>4.2.1 - A empresa líder deverá ser nacional e de maior participação no Consórcio. No caso de participações iguais, a líder deverá ser a consorciada de maior Capital Social.</w:t>
      </w:r>
    </w:p>
    <w:p>
      <w:pPr>
        <w:jc w:val="both"/>
        <w:widowControl/>
        <w:ind w:left="420" w:right="45" w:hanging="15"/>
        <w:spacing w:after="45"/>
      </w:pPr>
      <w:r>
        <w:rPr>
          <w:sz w:val="22"/>
        </w:rPr>
        <w:t>4.2.2 - A constituição do Consórcio será feita observando-se as seguintes normas:</w:t>
      </w:r>
    </w:p>
    <w:p>
      <w:pPr>
        <w:jc w:val="both"/>
        <w:widowControl/>
        <w:ind w:left="420" w:right="45" w:hanging="15"/>
        <w:spacing w:after="45"/>
      </w:pPr>
      <w:r>
        <w:rPr>
          <w:sz w:val="22"/>
        </w:rPr>
        <w:t>4.2.3 - Comprovação do compromisso, público ou particular, de constituição do Consórcio, subscrito pelos consorciados, incluindo os seguintes itens:</w:t>
      </w:r>
    </w:p>
    <w:p>
      <w:pPr>
        <w:jc w:val="both"/>
        <w:widowControl/>
        <w:ind w:right="45"/>
        <w:spacing w:after="45"/>
        <w:numPr>
          <w:ilvl w:val="0"/>
          <w:numId w:val="53"/>
        </w:numPr>
      </w:pPr>
      <w:r/>
      <w:r>
        <w:rPr>
          <w:sz w:val="22"/>
        </w:rPr>
        <w:t>Designação do Consórcio e sua composição;</w:t>
      </w:r>
    </w:p>
    <w:p>
      <w:pPr>
        <w:jc w:val="both"/>
        <w:widowControl/>
        <w:ind w:right="45"/>
        <w:spacing w:after="45"/>
        <w:numPr>
          <w:ilvl w:val="0"/>
          <w:numId w:val="53"/>
        </w:numPr>
      </w:pPr>
      <w:r/>
      <w:r>
        <w:rPr>
          <w:sz w:val="22"/>
        </w:rPr>
        <w:t>Finalidade do Consórcio;</w:t>
      </w:r>
    </w:p>
    <w:p>
      <w:pPr>
        <w:jc w:val="both"/>
        <w:widowControl/>
        <w:ind w:right="45"/>
        <w:spacing w:after="45"/>
        <w:numPr>
          <w:ilvl w:val="0"/>
          <w:numId w:val="53"/>
        </w:numPr>
      </w:pPr>
      <w:r/>
      <w:r>
        <w:rPr>
          <w:sz w:val="22"/>
        </w:rPr>
        <w:t>Prazo de duração do Consórcio, que deve coincidir, no mínimo, com o prazo contratual, acrescido de 03 (três)meses, bem como o endereço do Consórcio e o foro competente para dirimir eventuais demandas entre as partes;</w:t>
      </w:r>
    </w:p>
    <w:p>
      <w:pPr>
        <w:jc w:val="both"/>
        <w:widowControl/>
        <w:ind w:right="45"/>
        <w:spacing w:after="45"/>
        <w:numPr>
          <w:ilvl w:val="0"/>
          <w:numId w:val="53"/>
        </w:numPr>
      </w:pPr>
      <w:r/>
      <w:r>
        <w:rPr>
          <w:sz w:val="22"/>
        </w:rPr>
        <w:t>Definição das obrigações e responsabilidades de cada consorciada e das prestações específicas (participação em porcentual do valor total), em relação ao objeto da licitação;</w:t>
      </w:r>
    </w:p>
    <w:p>
      <w:pPr>
        <w:jc w:val="both"/>
        <w:widowControl/>
        <w:ind w:right="45"/>
        <w:spacing w:after="45"/>
        <w:numPr>
          <w:ilvl w:val="0"/>
          <w:numId w:val="53"/>
        </w:numPr>
      </w:pPr>
      <w:r/>
      <w:r>
        <w:rPr>
          <w:sz w:val="22"/>
        </w:rPr>
        <w:t>Compromisso expresso de que cada consorciado responderá por todos os atos do consórcio, sendo obrigatória à assinatura do contrato com o Município de Guairaçá por todos os consorciados;</w:t>
      </w:r>
    </w:p>
    <w:p>
      <w:pPr>
        <w:jc w:val="both"/>
        <w:widowControl/>
        <w:ind w:right="270"/>
        <w:spacing w:after="45"/>
        <w:numPr>
          <w:ilvl w:val="0"/>
          <w:numId w:val="53"/>
        </w:numPr>
      </w:pPr>
      <w: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pPr>
        <w:jc w:val="both"/>
        <w:widowControl/>
        <w:ind w:right="270"/>
        <w:spacing w:after="45"/>
        <w:numPr>
          <w:ilvl w:val="0"/>
          <w:numId w:val="53"/>
        </w:numPr>
      </w:pPr>
      <w:r/>
      <w:r>
        <w:rPr>
          <w:sz w:val="22"/>
        </w:rPr>
        <w:t>Designação do representante legal do consórcio;</w:t>
      </w:r>
    </w:p>
    <w:p>
      <w:pPr>
        <w:jc w:val="both"/>
        <w:widowControl/>
        <w:ind w:right="45"/>
        <w:spacing w:after="45"/>
        <w:numPr>
          <w:ilvl w:val="0"/>
          <w:numId w:val="92"/>
        </w:numPr>
      </w:pPr>
      <w: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pPr>
        <w:jc w:val="both"/>
        <w:widowControl/>
        <w:ind w:right="45"/>
        <w:spacing w:after="45"/>
        <w:numPr>
          <w:ilvl w:val="0"/>
          <w:numId w:val="92"/>
        </w:numPr>
      </w:pPr>
      <w: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pPr>
        <w:jc w:val="both"/>
        <w:widowControl/>
        <w:ind w:right="45"/>
        <w:spacing w:after="45"/>
        <w:numPr>
          <w:ilvl w:val="0"/>
          <w:numId w:val="92"/>
        </w:numPr>
      </w:pPr>
      <w:r/>
      <w:r>
        <w:rPr>
          <w:sz w:val="22"/>
        </w:rPr>
        <w:t>Que cada consorciado apresente a documentação relacionada item 6.2 – DOCUMENTAÇÃO DE HABILITAÇÂO deste edital, e suas subdivisões, admitindo-se, para efeito de qualificação técnica, o somatório dos quantitativos de cada consorciado;</w:t>
      </w:r>
    </w:p>
    <w:p>
      <w:pPr>
        <w:jc w:val="both"/>
        <w:widowControl/>
        <w:ind w:left="420" w:right="45" w:hanging="15"/>
        <w:spacing w:after="45"/>
      </w:pPr>
      <w:r>
        <w:rPr>
          <w:sz w:val="22"/>
        </w:rPr>
        <w:t>4.2.4 - A empresa consorciada não poderá participar da mesma licitação isoladamente ou em outra formação de consórcio;</w:t>
      </w:r>
    </w:p>
    <w:p>
      <w:pPr>
        <w:jc w:val="both"/>
        <w:widowControl/>
        <w:ind w:left="420" w:right="45" w:hanging="15"/>
        <w:spacing w:after="45"/>
      </w:pPr>
      <w:r>
        <w:rPr>
          <w:sz w:val="22"/>
        </w:rPr>
        <w:t>4.2.5 - No caso de consórcio entre empresas brasileiras e estrangeiras, a liderança caberá obrigatoriamente à empresa brasileira, respeitada a alínea “f”, supra.</w:t>
      </w:r>
    </w:p>
    <w:p>
      <w:pPr>
        <w:jc w:val="both"/>
        <w:widowControl/>
        <w:ind w:left="60" w:right="45" w:hanging="15"/>
        <w:spacing w:after="45"/>
      </w:pPr>
      <w:r>
        <w:rPr>
          <w:b/>
          <w:sz w:val="22"/>
        </w:rPr>
        <w:t>4.3</w:t>
      </w:r>
      <w:r>
        <w:rPr>
          <w:sz w:val="22"/>
        </w:rPr>
        <w:t xml:space="preserve"> - Não poderão participar direta ou indiretamente desta licitação, os interessados que se enquadrarem em uma ou mais das situações a seguir:</w:t>
      </w:r>
    </w:p>
    <w:p>
      <w:pPr>
        <w:jc w:val="both"/>
        <w:widowControl/>
        <w:ind w:left="990" w:right="45" w:hanging="570"/>
        <w:spacing w:after="45"/>
      </w:pPr>
      <w:r>
        <w:rPr>
          <w:sz w:val="22"/>
        </w:rPr>
        <w:t>4.3.1</w:t>
      </w:r>
      <w:r>
        <w:rPr>
          <w:sz w:val="22"/>
        </w:rPr>
        <w:tab/>
      </w:r>
      <w:r>
        <w:rPr>
          <w:sz w:val="22"/>
        </w:rPr>
        <w:t>- Que não atendam às condições deste Edital e seus anexos</w:t>
      </w:r>
    </w:p>
    <w:p>
      <w:pPr>
        <w:jc w:val="both"/>
        <w:widowControl/>
        <w:ind w:left="990" w:right="45" w:hanging="570"/>
        <w:spacing w:after="45"/>
      </w:pPr>
      <w:r>
        <w:rPr>
          <w:sz w:val="22"/>
        </w:rPr>
        <w:t>4.3.2</w:t>
      </w:r>
      <w:r>
        <w:rPr>
          <w:sz w:val="22"/>
        </w:rPr>
        <w:tab/>
      </w:r>
      <w:r>
        <w:rPr>
          <w:sz w:val="22"/>
        </w:rPr>
        <w:t>- Estrangeiros que não tenham representação legal no Brasil com poderes expressos para receber citação e responder administrativa ou judicialmente;</w:t>
      </w:r>
    </w:p>
    <w:p>
      <w:pPr>
        <w:jc w:val="both"/>
        <w:widowControl/>
        <w:ind w:left="990" w:right="45" w:hanging="570"/>
        <w:spacing w:after="45"/>
      </w:pPr>
      <w:r>
        <w:rPr>
          <w:sz w:val="22"/>
        </w:rPr>
        <w:t>4.3.3</w:t>
      </w:r>
      <w:r>
        <w:rPr>
          <w:sz w:val="22"/>
        </w:rPr>
        <w:tab/>
      </w:r>
      <w:r>
        <w:rPr>
          <w:sz w:val="22"/>
        </w:rPr>
        <w:t>- Que se enquadrem nas vedações previstas no artigo 14 da Lei nº 14.133/2021;</w:t>
      </w:r>
    </w:p>
    <w:p>
      <w:pPr>
        <w:jc w:val="both"/>
        <w:widowControl/>
        <w:ind w:left="990" w:right="45" w:hanging="570"/>
        <w:spacing w:after="45"/>
      </w:pPr>
      <w:r>
        <w:rPr>
          <w:sz w:val="22"/>
        </w:rPr>
        <w:t>4.3.4</w:t>
      </w:r>
      <w:r>
        <w:rPr>
          <w:sz w:val="22"/>
        </w:rPr>
        <w:tab/>
      </w:r>
      <w:r>
        <w:rPr>
          <w:sz w:val="22"/>
        </w:rPr>
        <w:t>- Que estejam sob falência, concurso de credores, concordata ou insolvência, em processo de dissolução ou liquidação;</w:t>
      </w:r>
    </w:p>
    <w:p>
      <w:pPr>
        <w:jc w:val="both"/>
        <w:widowControl/>
        <w:ind w:left="990" w:right="45" w:hanging="570"/>
        <w:spacing w:after="45"/>
      </w:pPr>
      <w:r>
        <w:rPr>
          <w:sz w:val="22"/>
        </w:rPr>
        <w:t>4.3.5</w:t>
      </w:r>
      <w:r>
        <w:rPr>
          <w:sz w:val="22"/>
        </w:rPr>
        <w:tab/>
      </w:r>
      <w:r>
        <w:rPr>
          <w:sz w:val="22"/>
        </w:rPr>
        <w:t xml:space="preserve">- Proibidos de participar de licitações e celebrar contratos administrativos, na forma da legislação vigente; </w:t>
      </w:r>
    </w:p>
    <w:p>
      <w:pPr>
        <w:jc w:val="both"/>
        <w:widowControl/>
        <w:ind w:left="990" w:right="45" w:hanging="570"/>
        <w:spacing w:after="45"/>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pPr>
        <w:jc w:val="both"/>
        <w:widowControl/>
        <w:ind w:left="60" w:right="45" w:hanging="15"/>
        <w:spacing w:after="45"/>
        <w:tabs>
          <w:tab w:val="left" w:pos="420"/>
        </w:tabs>
      </w:pPr>
      <w:r>
        <w:rPr>
          <w:b/>
          <w:sz w:val="22"/>
        </w:rPr>
        <w:t>4.5</w:t>
      </w:r>
      <w:r>
        <w:rPr>
          <w:sz w:val="22"/>
        </w:rPr>
        <w:tab/>
      </w:r>
      <w:r>
        <w:rPr>
          <w:sz w:val="22"/>
        </w:rPr>
        <w:t>- É proibida a participação de empresa que já esteja contratada para serviços de assistência a fiscalização e gerenciamento de obras do Município, se o objeto da presente licitação estiver entre os contratos a serem fiscalizados ou gerenciados.</w:t>
      </w:r>
    </w:p>
    <w:p>
      <w:pPr>
        <w:jc w:val="both"/>
        <w:widowControl/>
        <w:ind w:left="60" w:right="45" w:hanging="15"/>
        <w:spacing w:after="45"/>
        <w:tabs>
          <w:tab w:val="left" w:pos="420"/>
        </w:tabs>
      </w:pPr>
      <w:r>
        <w:rPr>
          <w:b/>
          <w:sz w:val="22"/>
        </w:rPr>
        <w:t>4.6</w:t>
      </w:r>
      <w:r>
        <w:rPr>
          <w:sz w:val="22"/>
        </w:rPr>
        <w:tab/>
      </w:r>
      <w:r>
        <w:rPr>
          <w:sz w:val="22"/>
        </w:rPr>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left="60" w:right="45" w:hanging="15"/>
        <w:spacing w:after="45"/>
        <w:tabs>
          <w:tab w:val="left" w:pos="420"/>
        </w:tabs>
      </w:pPr>
      <w:r>
        <w:rPr>
          <w:b/>
          <w:sz w:val="22"/>
        </w:rPr>
        <w:t>4.7</w:t>
      </w:r>
      <w:r>
        <w:rPr>
          <w:sz w:val="22"/>
        </w:rPr>
        <w:tab/>
      </w:r>
      <w:r>
        <w:rPr>
          <w:sz w:val="22"/>
        </w:rPr>
        <w:t xml:space="preserve">- O licitante deverá promover a sua inscrição e credenciamento para participar da licitação diretamente ou através de empresas associadas ao Compras BR </w:t>
      </w:r>
      <w:r>
        <w:rPr>
          <w:b/>
          <w:u w:val="single" w:color="0000FF"/>
          <w:sz w:val="22"/>
        </w:rPr>
        <w:t>comprasbr.com.br</w:t>
      </w:r>
      <w:r>
        <w:rPr>
          <w:sz w:val="22"/>
        </w:rPr>
        <w:t xml:space="preserve">, por ele indicada, até o horário fixado no edital para inscrição e cadastramento, que poderá ser feito através dos telefones (67) 3303-2730 e (67) 3303-2702 ou através do site  </w:t>
      </w:r>
      <w:r>
        <w:rPr>
          <w:b/>
          <w:u w:val="single" w:color="0000FF"/>
          <w:sz w:val="22"/>
        </w:rPr>
        <w:t>comprasbr.com.br</w:t>
      </w:r>
      <w:r>
        <w:rPr>
          <w:sz w:val="22"/>
        </w:rPr>
        <w:t xml:space="preserve"> no link CADASTRAMENTO.</w:t>
      </w:r>
    </w:p>
    <w:p>
      <w:pPr>
        <w:jc w:val="both"/>
        <w:widowControl/>
        <w:ind w:left="60" w:right="45" w:hanging="15"/>
        <w:spacing w:after="45"/>
        <w:tabs>
          <w:tab w:val="left" w:pos="420"/>
        </w:tabs>
      </w:pPr>
      <w:r>
        <w:rPr>
          <w:b/>
          <w:sz w:val="22"/>
        </w:rPr>
        <w:t>4.8</w:t>
      </w:r>
      <w:r>
        <w:rPr>
          <w:sz w:val="22"/>
        </w:rPr>
        <w:tab/>
      </w:r>
      <w:r>
        <w:rPr>
          <w:sz w:val="22"/>
        </w:rPr>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pPr>
        <w:jc w:val="both"/>
        <w:widowControl/>
        <w:ind w:left="60" w:right="45" w:hanging="15"/>
        <w:spacing w:after="45"/>
        <w:tabs>
          <w:tab w:val="left" w:pos="420"/>
        </w:tabs>
      </w:pPr>
      <w:r>
        <w:rPr>
          <w:b/>
          <w:sz w:val="22"/>
        </w:rPr>
        <w:t>4.9</w:t>
      </w:r>
      <w:r>
        <w:rPr>
          <w:sz w:val="22"/>
        </w:rPr>
        <w:tab/>
      </w:r>
      <w:r>
        <w:rPr>
          <w:sz w:val="22"/>
        </w:rPr>
        <w:t xml:space="preserve">– O custo de operacionalização e uso do sistema, ficará a cargo do licitante, que pagará a Compras BR conforme o Regulamento Operacional da Compras BR, que pode ser verificado no site  </w:t>
      </w:r>
      <w:r>
        <w:rPr>
          <w:b/>
          <w:u w:val="single" w:color="0000FF"/>
          <w:sz w:val="22"/>
        </w:rPr>
        <w:t>comprasbr.com.br</w:t>
      </w:r>
      <w:r>
        <w:rPr>
          <w:sz w:val="22"/>
        </w:rPr>
        <w:t>, a título de taxa pela utilização dos recursos de tecnologia da informação.</w:t>
      </w:r>
    </w:p>
    <w:p>
      <w:pPr>
        <w:jc w:val="both"/>
        <w:widowControl/>
        <w:ind w:left="60" w:right="45" w:hanging="15"/>
        <w:spacing w:after="45"/>
        <w:tabs>
          <w:tab w:val="left" w:pos="570"/>
        </w:tabs>
      </w:pPr>
      <w:r>
        <w:rPr>
          <w:b/>
          <w:sz w:val="22"/>
        </w:rPr>
        <w:t>4.10</w:t>
      </w:r>
      <w:r>
        <w:rPr>
          <w:sz w:val="22"/>
        </w:rPr>
        <w:tab/>
      </w:r>
      <w:r>
        <w:rPr>
          <w:sz w:val="22"/>
        </w:rPr>
        <w:t>- O Licitante arcará integralmente com todos os custos de preparação e apresentação de sua proposta de preços, independente do resultado do procedimento licitatório.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5 - CREDENCIAMENTOS NO APLICATIVO LICITAÇÕES</w:t>
      </w:r>
    </w:p>
    <w:p>
      <w:pPr>
        <w:jc w:val="both"/>
        <w:widowControl/>
        <w:ind w:left="60" w:right="45" w:hanging="15"/>
        <w:spacing w:after="45"/>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pPr>
        <w:jc w:val="both"/>
        <w:widowControl/>
        <w:ind w:left="60" w:right="45" w:hanging="15"/>
        <w:spacing w:after="45"/>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pPr>
        <w:jc w:val="both"/>
        <w:widowControl/>
        <w:ind w:left="60" w:right="45" w:hanging="15"/>
        <w:spacing w:after="45"/>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pPr>
        <w:jc w:val="both"/>
        <w:widowControl/>
        <w:ind w:left="60" w:right="45" w:hanging="15"/>
        <w:spacing w:after="45"/>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pPr>
        <w:jc w:val="both"/>
        <w:widowControl/>
        <w:ind w:left="60" w:right="45" w:hanging="15"/>
        <w:spacing w:after="45"/>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pPr>
        <w:jc w:val="both"/>
        <w:widowControl/>
        <w:ind w:left="60" w:right="45" w:hanging="15"/>
        <w:spacing w:after="45"/>
      </w:pPr>
      <w:r>
        <w:rPr>
          <w:b/>
          <w:sz w:val="22"/>
        </w:rPr>
        <w:t>5.7</w:t>
      </w:r>
      <w:r>
        <w:rPr>
          <w:sz w:val="22"/>
        </w:rPr>
        <w:t xml:space="preserve"> - Qualquer dúvida em relação ao acesso no sistema operacional poderá ser esclarecida através de uma empresa associada ou pelos telefones:  (67) 3303-2730 e (67) 3303-2702 ou através da Compras BR, pelo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6 - DA APRESENTAÇÃO DA PROPOSTA</w:t>
      </w:r>
    </w:p>
    <w:p>
      <w:pPr>
        <w:jc w:val="both"/>
        <w:widowControl/>
        <w:ind w:left="60" w:right="45" w:hanging="15"/>
        <w:spacing w:after="45"/>
      </w:pPr>
      <w:r>
        <w:rPr>
          <w:b/>
          <w:sz w:val="22"/>
        </w:rPr>
        <w:t>6.1</w:t>
      </w:r>
      <w:r>
        <w:rPr>
          <w:sz w:val="22"/>
        </w:rPr>
        <w:t xml:space="preserve"> - A participação no certame Eletrônico ocorrerá mediante utilização da chave de identificação e de senha privativa do Licitante e subsequente encaminhamento da PROPOSTA, no valor total do item/grupo ou percentual de menor preço.</w:t>
      </w:r>
    </w:p>
    <w:p>
      <w:pPr>
        <w:jc w:val="both"/>
        <w:widowControl/>
        <w:ind w:left="60" w:right="45" w:hanging="15"/>
        <w:spacing w:after="45"/>
      </w:pPr>
      <w:r>
        <w:rPr>
          <w:b/>
          <w:sz w:val="22"/>
        </w:rPr>
        <w:t>6.2</w:t>
      </w:r>
      <w:r>
        <w:rPr>
          <w:sz w:val="22"/>
        </w:rPr>
        <w:t xml:space="preserve">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u w:val="single" w:color="0000FF"/>
          <w:sz w:val="22"/>
        </w:rPr>
        <w:t>comprasbr.com.br</w:t>
      </w:r>
      <w:r>
        <w:rPr>
          <w:u w:val="single" w:color="0000FF"/>
          <w:sz w:val="22"/>
        </w:rPr>
        <w:t xml:space="preserve"> </w:t>
      </w:r>
      <w:r>
        <w:rPr>
          <w:sz w:val="22"/>
        </w:rPr>
        <w:t>- quando, então, encerrar-se-á, automaticamente, a fase de recebimento de propostas.</w:t>
      </w:r>
    </w:p>
    <w:p>
      <w:pPr>
        <w:jc w:val="both"/>
        <w:widowControl/>
        <w:ind w:left="60" w:right="45" w:hanging="15"/>
        <w:spacing w:after="45"/>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pPr>
        <w:jc w:val="both"/>
        <w:widowControl/>
        <w:ind w:left="60" w:right="45" w:hanging="15"/>
        <w:spacing w:after="45"/>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pPr>
        <w:jc w:val="both"/>
        <w:widowControl/>
        <w:ind w:left="60" w:right="45" w:hanging="15"/>
        <w:spacing w:after="45"/>
      </w:pPr>
      <w:r>
        <w:rPr>
          <w:b/>
          <w:sz w:val="22"/>
        </w:rPr>
        <w:t>6.5</w:t>
      </w:r>
      <w:r>
        <w:rPr>
          <w:sz w:val="22"/>
        </w:rPr>
        <w:t xml:space="preserve"> - Os itens das propostas que eventualmente contemplem objeto que não corresponda às especificações contidas no ANEXO I deste Edital serão desconsiderados.</w:t>
      </w:r>
    </w:p>
    <w:p>
      <w:pPr>
        <w:jc w:val="both"/>
        <w:widowControl/>
        <w:ind w:left="60" w:right="45" w:hanging="15"/>
        <w:spacing w:after="45"/>
      </w:pPr>
      <w:r>
        <w:rPr>
          <w:b/>
          <w:sz w:val="22"/>
        </w:rPr>
        <w:t>6.6</w:t>
      </w:r>
      <w:r>
        <w:rPr>
          <w:sz w:val="22"/>
        </w:rPr>
        <w:t xml:space="preserve"> - Nas propostas, serão consideradas obrigatoriamente:</w:t>
      </w:r>
    </w:p>
    <w:p>
      <w:pPr>
        <w:jc w:val="both"/>
        <w:widowControl/>
        <w:ind w:right="45"/>
        <w:spacing w:after="45"/>
        <w:numPr>
          <w:ilvl w:val="0"/>
          <w:numId w:val="35"/>
        </w:numPr>
      </w:pPr>
      <w:r/>
      <w:r>
        <w:rPr>
          <w:sz w:val="22"/>
        </w:rPr>
        <w:t>Preço unitário de cada item, objeto licitado, de acordo com os preços praticados no mercado, conforme estabelece o art. 12, inciso II, da Lei Federal nº 14.133/21 em moeda corrente nacional, em algarismo com no máximo duas casas decimais;</w:t>
      </w:r>
    </w:p>
    <w:p>
      <w:pPr>
        <w:jc w:val="both"/>
        <w:widowControl/>
        <w:ind w:right="45"/>
        <w:spacing w:after="45"/>
        <w:numPr>
          <w:ilvl w:val="0"/>
          <w:numId w:val="35"/>
        </w:numPr>
      </w:pPr>
      <w:r/>
      <w:r>
        <w:rPr>
          <w:sz w:val="22"/>
        </w:rPr>
        <w:t>Marca e especificações detalhadas dos objetos ofertados, no que couber.</w:t>
      </w:r>
    </w:p>
    <w:p>
      <w:pPr>
        <w:jc w:val="both"/>
        <w:widowControl/>
        <w:ind w:right="45"/>
        <w:spacing w:after="45"/>
        <w:numPr>
          <w:ilvl w:val="0"/>
          <w:numId w:val="35"/>
        </w:numPr>
      </w:pPr>
      <w: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pPr>
        <w:jc w:val="both"/>
        <w:widowControl/>
        <w:ind w:right="45"/>
        <w:spacing w:after="45"/>
        <w:numPr>
          <w:ilvl w:val="0"/>
          <w:numId w:val="35"/>
        </w:numPr>
      </w:pPr>
      <w:r/>
      <w:r>
        <w:rPr>
          <w:sz w:val="22"/>
        </w:rPr>
        <w:t>Prazo de validade da proposta de, no mínimo, 60 (sessenta) dias, a contar da data da sessão desta concorrência eletrônica;</w:t>
      </w:r>
    </w:p>
    <w:p>
      <w:pPr>
        <w:jc w:val="both"/>
        <w:widowControl/>
        <w:ind w:left="60" w:right="45" w:hanging="15"/>
        <w:spacing w:after="45"/>
        <w:tabs>
          <w:tab w:val="left" w:pos="420"/>
        </w:tabs>
      </w:pPr>
      <w:r>
        <w:rPr>
          <w:b/>
          <w:sz w:val="22"/>
        </w:rPr>
        <w:t>6.7</w:t>
      </w:r>
      <w:r>
        <w:rPr>
          <w:sz w:val="22"/>
        </w:rPr>
        <w:tab/>
      </w:r>
      <w:r>
        <w:rPr>
          <w:sz w:val="22"/>
        </w:rPr>
        <w:t>- Poderão ser admitidos pelo Agente de Contratação e ou equipe de apoio, erros de natureza formal, desde que não comprometam o interesse público e da Administração.</w:t>
      </w:r>
    </w:p>
    <w:p>
      <w:pPr>
        <w:jc w:val="both"/>
        <w:widowControl/>
        <w:ind w:left="60" w:right="45" w:hanging="15"/>
        <w:spacing w:after="45"/>
        <w:tabs>
          <w:tab w:val="left" w:pos="420"/>
        </w:tabs>
      </w:pPr>
      <w:r>
        <w:rPr>
          <w:b/>
          <w:sz w:val="22"/>
        </w:rPr>
        <w:t>6.8</w:t>
      </w:r>
      <w:r>
        <w:rPr>
          <w:sz w:val="22"/>
        </w:rPr>
        <w:tab/>
      </w:r>
      <w:r>
        <w:rPr>
          <w:sz w:val="22"/>
        </w:rPr>
        <w:t>- A apresentação da proposta implicará plena aceitação, por parte do proponente das condições estabelecidas neste Edital e seus anexos, implicando na plena aceitação destas pelo proponente.</w:t>
      </w:r>
    </w:p>
    <w:p>
      <w:pPr>
        <w:jc w:val="both"/>
        <w:widowControl/>
        <w:ind w:left="60" w:right="45" w:hanging="15"/>
        <w:spacing w:after="45"/>
        <w:tabs>
          <w:tab w:val="left" w:pos="420"/>
        </w:tabs>
      </w:pPr>
      <w:r>
        <w:rPr>
          <w:b/>
          <w:sz w:val="22"/>
        </w:rPr>
        <w:t>6.9</w:t>
      </w:r>
      <w:r>
        <w:rPr>
          <w:sz w:val="22"/>
        </w:rPr>
        <w:tab/>
      </w:r>
      <w:r>
        <w:rPr>
          <w:sz w:val="22"/>
        </w:rPr>
        <w:t>- Serão desclassificadas as propostas que não atenderem as exigências do presente edital e seus anexos, que forem omissas ou apresentarem irregularidades insanáveis.</w:t>
      </w:r>
    </w:p>
    <w:p>
      <w:pPr>
        <w:jc w:val="both"/>
        <w:widowControl/>
        <w:ind w:left="60" w:right="45" w:hanging="15"/>
        <w:spacing w:after="45"/>
        <w:tabs>
          <w:tab w:val="left" w:pos="570"/>
        </w:tabs>
      </w:pPr>
      <w:r>
        <w:rPr>
          <w:b/>
          <w:sz w:val="22"/>
        </w:rPr>
        <w:t>6.10</w:t>
      </w:r>
      <w:r>
        <w:rPr>
          <w:sz w:val="22"/>
        </w:rPr>
        <w:tab/>
      </w:r>
      <w:r>
        <w:rPr>
          <w:sz w:val="22"/>
        </w:rPr>
        <w:t>- O menor preço proposto será de exclusiva responsabilidade do Licitante, não lhe assistindo o direito de pleitear qualquer alteração do mesmo, sob a alegação de erro, omissão ou qualquer outro pretexto.</w:t>
      </w:r>
    </w:p>
    <w:p>
      <w:pPr>
        <w:jc w:val="both"/>
        <w:widowControl/>
        <w:ind w:left="60" w:right="45" w:hanging="15"/>
        <w:spacing w:after="45"/>
        <w:tabs>
          <w:tab w:val="left" w:pos="570"/>
        </w:tabs>
      </w:pPr>
      <w:r>
        <w:rPr>
          <w:b/>
          <w:sz w:val="22"/>
        </w:rPr>
        <w:t>6.11</w:t>
      </w:r>
      <w:r>
        <w:rPr>
          <w:sz w:val="22"/>
        </w:rPr>
        <w:tab/>
      </w:r>
      <w:r>
        <w:rPr>
          <w:sz w:val="22"/>
        </w:rPr>
        <w:t>- A omissão de qualquer despesa necessária ao perfeito cumprimento do objeto deste certame será interpretada como não existente ou já incluída no preço, não podendo o Licitante pleitear acréscimo após a abertura da sessão pública.</w:t>
      </w:r>
    </w:p>
    <w:p>
      <w:pPr>
        <w:jc w:val="both"/>
        <w:widowControl/>
        <w:ind w:left="510" w:right="45" w:hanging="465"/>
        <w:spacing w:after="45"/>
        <w:tabs>
          <w:tab w:val="left" w:pos="420"/>
        </w:tabs>
      </w:pPr>
      <w:r>
        <w:rPr>
          <w:b/>
          <w:sz w:val="22"/>
        </w:rPr>
        <w:t>6.12</w:t>
      </w:r>
      <w:r>
        <w:rPr>
          <w:sz w:val="22"/>
        </w:rPr>
        <w:tab/>
      </w:r>
      <w:r>
        <w:rPr>
          <w:sz w:val="22"/>
        </w:rPr>
        <w:t>- A proposta da licitante deverá considerar a tributação que efetivamente incidirá durante a execução do contrato.</w:t>
      </w:r>
    </w:p>
    <w:p>
      <w:pPr>
        <w:jc w:val="both"/>
        <w:widowControl/>
        <w:ind w:left="510" w:right="45" w:hanging="465"/>
        <w:spacing w:after="45"/>
        <w:tabs>
          <w:tab w:val="left" w:pos="420"/>
        </w:tabs>
      </w:pPr>
      <w:r>
        <w:rPr>
          <w:b/>
          <w:sz w:val="22"/>
        </w:rPr>
        <w:t>6.13</w:t>
      </w:r>
      <w:r>
        <w:rPr>
          <w:sz w:val="22"/>
        </w:rPr>
        <w:tab/>
      </w:r>
      <w:r>
        <w:rPr>
          <w:sz w:val="22"/>
        </w:rPr>
        <w:t>- Qualquer elemento que possa identificar o Licitante importará na desclassificação da proposta, sem prejuízo das sanções previstas neste Edital.</w:t>
      </w:r>
    </w:p>
    <w:p>
      <w:pPr>
        <w:jc w:val="both"/>
        <w:widowControl/>
        <w:ind w:left="510" w:right="45" w:hanging="465"/>
        <w:spacing w:after="45"/>
      </w:pPr>
      <w:r>
        <w:rPr>
          <w:b/>
          <w:sz w:val="22"/>
        </w:rPr>
        <w:t>6.14</w:t>
      </w:r>
      <w:r>
        <w:rPr>
          <w:sz w:val="22"/>
        </w:rPr>
        <w:tab/>
      </w:r>
      <w:r>
        <w:rPr>
          <w:sz w:val="22"/>
        </w:rPr>
        <w:t>- As propostas e eventuais anexos ficarão disponíveis no sistema eletrônico.</w:t>
      </w:r>
    </w:p>
    <w:p>
      <w:pPr>
        <w:jc w:val="both"/>
        <w:widowControl/>
        <w:ind w:left="510" w:right="45" w:hanging="46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7 - DA ABERTURA DA SESSÃO, CLASSIFICAÇÃO DAS PROPOSTAS E FORMULAÇÃO DE LANCES</w:t>
      </w:r>
    </w:p>
    <w:p>
      <w:pPr>
        <w:jc w:val="both"/>
        <w:widowControl/>
        <w:ind w:left="60" w:right="45" w:hanging="15"/>
        <w:spacing w:after="45"/>
      </w:pPr>
      <w:r>
        <w:rPr>
          <w:b/>
          <w:sz w:val="22"/>
        </w:rPr>
        <w:t>7.1</w:t>
      </w:r>
      <w:r>
        <w:rPr>
          <w:sz w:val="22"/>
        </w:rPr>
        <w:t xml:space="preserve"> - O Agente de Contratação e ou equipe de apoio, via sistema eletrônico, dará início à Sessão Pública, na data e horário previstos neste Edital, com a divulgação da melhor proposta para o item licitado.</w:t>
      </w:r>
    </w:p>
    <w:p>
      <w:pPr>
        <w:jc w:val="both"/>
        <w:widowControl/>
        <w:ind w:left="60" w:right="45" w:hanging="15"/>
        <w:spacing w:after="45"/>
      </w:pPr>
      <w:r>
        <w:rPr>
          <w:b/>
          <w:sz w:val="22"/>
        </w:rPr>
        <w:t>7.2</w:t>
      </w:r>
      <w:r>
        <w:rPr>
          <w:sz w:val="22"/>
        </w:rPr>
        <w:t xml:space="preserve"> - Aberta a etapa competitiva, os Licitantes classificados poderão encaminhar lances públicos, sucessivos e com menor preço, exclusivamente por meio do sistema eletrônico, sendo imediatamente informados do horário e percentual consignados no registro de cada lance.</w:t>
      </w:r>
    </w:p>
    <w:p>
      <w:pPr>
        <w:jc w:val="both"/>
        <w:widowControl/>
        <w:ind w:left="60" w:right="45" w:hanging="15"/>
        <w:spacing w:after="45"/>
      </w:pPr>
      <w:r>
        <w:rPr>
          <w:b/>
          <w:sz w:val="22"/>
        </w:rPr>
        <w:t>7.3</w:t>
      </w:r>
      <w:r>
        <w:rPr>
          <w:sz w:val="22"/>
        </w:rPr>
        <w:t xml:space="preserve"> - Durante o transcurso da sessão, os Licitantes terão informações, em tempo real, do valor de menor preço registrado, mantendo-se em sigilo a identificação do ofertante.</w:t>
      </w:r>
    </w:p>
    <w:p>
      <w:pPr>
        <w:widowControl/>
        <w:ind w:left="60"/>
        <w:spacing w:after="45"/>
      </w:pPr>
      <w:r>
        <w:rPr>
          <w:b/>
          <w:sz w:val="22"/>
        </w:rPr>
        <w:t>7.4</w:t>
      </w:r>
      <w:r>
        <w:rPr>
          <w:sz w:val="22"/>
        </w:rPr>
        <w:t xml:space="preserve">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pPr>
        <w:jc w:val="both"/>
        <w:widowControl/>
        <w:ind w:left="60" w:right="45" w:hanging="15"/>
        <w:spacing w:after="45"/>
      </w:pPr>
      <w:r>
        <w:rPr>
          <w:b/>
          <w:sz w:val="22"/>
        </w:rPr>
        <w:t>7.5</w:t>
      </w:r>
      <w:r>
        <w:rPr>
          <w:sz w:val="22"/>
        </w:rPr>
        <w:t xml:space="preserve"> - Não poderá haver desistência dos lances ofertados após a abertura da seção, sujeitando-se a Licitante desistente às sanções previstas neste Edital.</w:t>
      </w:r>
    </w:p>
    <w:p>
      <w:pPr>
        <w:jc w:val="both"/>
        <w:widowControl/>
        <w:ind w:left="60" w:right="45" w:hanging="15"/>
        <w:spacing w:after="45"/>
      </w:pPr>
      <w:r>
        <w:rPr>
          <w:b/>
          <w:sz w:val="22"/>
        </w:rPr>
        <w:t>7.6</w:t>
      </w:r>
      <w:r>
        <w:rPr>
          <w:sz w:val="22"/>
        </w:rPr>
        <w:t xml:space="preserve"> - Durante a fase de lances, o Agente de Contratação e ou equipe de apoio poderá excluir, justificadamente, lance cujo valor seja manifestamente inexequível.</w:t>
      </w:r>
    </w:p>
    <w:p>
      <w:pPr>
        <w:jc w:val="both"/>
        <w:widowControl/>
        <w:ind w:left="420" w:right="45" w:hanging="15"/>
        <w:spacing w:after="45"/>
      </w:pPr>
      <w:r>
        <w:rPr>
          <w:b/>
          <w:sz w:val="22"/>
        </w:rPr>
        <w:t>7.6.1 - O LANCE DEVERÁ SER OFERTADO PELO VALOR GLOBAL.</w:t>
      </w:r>
    </w:p>
    <w:p>
      <w:pPr>
        <w:jc w:val="both"/>
        <w:widowControl/>
        <w:ind w:left="60" w:right="45" w:hanging="15"/>
        <w:spacing w:after="45"/>
      </w:pPr>
      <w:r>
        <w:rPr>
          <w:b/>
          <w:sz w:val="22"/>
        </w:rPr>
        <w:t>7.7</w:t>
      </w:r>
      <w:r>
        <w:rPr>
          <w:sz w:val="22"/>
        </w:rPr>
        <w:t xml:space="preserve"> - Fica previsto o intervalo mínimo de diferença de valor de</w:t>
      </w:r>
      <w:r>
        <w:rPr>
          <w:b/>
          <w:sz w:val="22"/>
          <w:color w:val="FF0000"/>
        </w:rPr>
        <w:t xml:space="preserve"> </w:t>
      </w:r>
      <w:r>
        <w:rPr>
          <w:b/>
          <w:u w:val="single"/>
          <w:sz w:val="22"/>
        </w:rPr>
        <w:t>R$ 100,00 (cem reais)</w:t>
      </w:r>
      <w:r>
        <w:rPr>
          <w:b/>
          <w:sz w:val="22"/>
          <w:color w:val="FF0000"/>
        </w:rPr>
        <w:t xml:space="preserve"> </w:t>
      </w:r>
      <w:r>
        <w:rPr>
          <w:sz w:val="22"/>
        </w:rPr>
        <w:t>entre os lances, que incidirá tanto em relação aos lances intermediários quanto em relação ao lance que cobrir a melhor oferta, podendo ser alterado pelo agente de contratação ou equipe de apoio.</w:t>
      </w:r>
    </w:p>
    <w:p>
      <w:pPr>
        <w:jc w:val="both"/>
        <w:widowControl/>
        <w:ind w:left="60" w:right="45" w:hanging="15"/>
        <w:spacing w:after="45"/>
      </w:pPr>
      <w:r>
        <w:rPr>
          <w:b/>
          <w:sz w:val="22"/>
        </w:rPr>
        <w:t>7.8</w:t>
      </w:r>
      <w:r>
        <w:rPr>
          <w:sz w:val="22"/>
        </w:rPr>
        <w:t xml:space="preserve"> - Será adotado para o envio de lances na presente Concorrência Eletrônica o MODO DE DISPUTA “ABERTO”, onde os licitantes apresentarão lances públicos e sucessivos, com prorrogações, conforme o critério de julgamento adotado neste edital.</w:t>
      </w:r>
    </w:p>
    <w:p>
      <w:pPr>
        <w:jc w:val="both"/>
        <w:widowControl/>
        <w:ind w:left="420" w:right="45" w:hanging="15"/>
        <w:spacing w:after="45"/>
      </w:pPr>
      <w:r>
        <w:rPr>
          <w:sz w:val="22"/>
        </w:rPr>
        <w:t>7.8.1 - Neste modo de disputa, a etapa de envio de lances na sessão pública durará dez minutos e, após isso, será prorrogada automaticamente pelo sistema quando houver lance ofertado nos últimos dois minutos do período de duração da sessão pública.</w:t>
      </w:r>
    </w:p>
    <w:p>
      <w:pPr>
        <w:jc w:val="both"/>
        <w:widowControl/>
        <w:ind w:left="420" w:right="45" w:hanging="15"/>
        <w:spacing w:after="45"/>
      </w:pPr>
      <w:r>
        <w:rPr>
          <w:sz w:val="22"/>
        </w:rPr>
        <w:t>7.8.2 - A prorrogação automática da etapa de envio de lances, de que trata o item anterior será de dois minutos e ocorrerá sucessivamente sempre que houver lances enviados nesse período de prorrogação, inclusive quando se tratar de lances intermediários.</w:t>
      </w:r>
    </w:p>
    <w:p>
      <w:pPr>
        <w:jc w:val="both"/>
        <w:widowControl/>
        <w:ind w:left="420" w:right="45" w:hanging="15"/>
        <w:spacing w:after="45"/>
      </w:pPr>
      <w:r>
        <w:rPr>
          <w:sz w:val="22"/>
        </w:rPr>
        <w:t>7.8.3 - Na hipótese de não haver novos lances na forma estabelecida neste edital, a sessão pública será encerrada automaticamente.</w:t>
      </w:r>
    </w:p>
    <w:p>
      <w:pPr>
        <w:jc w:val="both"/>
        <w:widowControl/>
        <w:ind w:left="60" w:right="45" w:hanging="15"/>
        <w:spacing w:after="45"/>
      </w:pPr>
      <w:r>
        <w:rPr>
          <w:b/>
          <w:sz w:val="22"/>
        </w:rPr>
        <w:t>7.9</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pPr>
        <w:jc w:val="both"/>
        <w:widowControl/>
        <w:ind w:left="60" w:right="45" w:hanging="15"/>
        <w:spacing w:after="45"/>
      </w:pPr>
      <w:r>
        <w:rPr>
          <w:b/>
          <w:sz w:val="22"/>
        </w:rPr>
        <w:t>7.10</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hrId3">
        <w:r>
          <w:rPr>
            <w:sz w:val="22"/>
          </w:rPr>
          <w:t>https://comprasbr.com/</w:t>
        </w:r>
      </w:hyperlink>
      <w:r>
        <w:rPr>
          <w:sz w:val="22"/>
        </w:rPr>
        <w:t>, divulgando data e hora da reabertura da sessão.</w:t>
      </w:r>
    </w:p>
    <w:p>
      <w:pPr>
        <w:jc w:val="both"/>
        <w:widowControl/>
        <w:ind w:left="60" w:right="45" w:hanging="15"/>
        <w:spacing w:after="45"/>
      </w:pPr>
      <w:r>
        <w:rPr>
          <w:b/>
          <w:sz w:val="22"/>
        </w:rPr>
        <w:t>7.11</w:t>
      </w:r>
      <w:r>
        <w:rPr>
          <w:sz w:val="22"/>
        </w:rPr>
        <w:t xml:space="preserve"> - O Critério de julgamento adotado será o menor preço, conforme definido neste Edital e seus anexos.</w:t>
      </w:r>
    </w:p>
    <w:p>
      <w:pPr>
        <w:jc w:val="both"/>
        <w:widowControl/>
        <w:ind w:left="60" w:right="45" w:hanging="15"/>
        <w:spacing w:after="45"/>
      </w:pPr>
      <w:r>
        <w:rPr>
          <w:b/>
          <w:sz w:val="22"/>
        </w:rPr>
        <w:t>7.12</w:t>
      </w:r>
      <w:r>
        <w:rPr>
          <w:sz w:val="22"/>
        </w:rPr>
        <w:t xml:space="preserve"> - Caso o licitante não apresente lances, concorrerá com o valor de sua proposta.</w:t>
      </w:r>
    </w:p>
    <w:p>
      <w:pPr>
        <w:jc w:val="both"/>
        <w:widowControl/>
        <w:ind w:left="60" w:right="45" w:hanging="15"/>
        <w:spacing w:after="45"/>
      </w:pPr>
      <w:r>
        <w:rPr>
          <w:b/>
          <w:sz w:val="22"/>
        </w:rPr>
        <w:t>7.13</w:t>
      </w:r>
      <w:r>
        <w:rPr>
          <w:sz w:val="22"/>
        </w:rPr>
        <w:t xml:space="preserve"> – O valor de sua proposta será o valor inicial ofertado.</w:t>
      </w:r>
    </w:p>
    <w:p>
      <w:pPr>
        <w:jc w:val="both"/>
        <w:widowControl/>
        <w:ind w:left="60" w:right="45" w:hanging="15"/>
        <w:spacing w:after="45"/>
      </w:pPr>
      <w:r>
        <w:rPr>
          <w:b/>
          <w:sz w:val="22"/>
        </w:rPr>
        <w:t>7.14</w:t>
      </w:r>
      <w:r>
        <w:rPr>
          <w:sz w:val="22"/>
        </w:rPr>
        <w:t xml:space="preserve"> – No caso em que a sessão pública se encerrar sem prorrogação automática pelo sistema, o Agente de</w:t>
      </w:r>
    </w:p>
    <w:p>
      <w:pPr>
        <w:jc w:val="both"/>
        <w:widowControl/>
        <w:ind w:left="60" w:right="45" w:hanging="15"/>
        <w:spacing w:after="45"/>
      </w:pPr>
      <w:r>
        <w:rPr>
          <w:sz w:val="22"/>
        </w:rPr>
        <w:t>Contratação poderá, assessorado pela equipe de apoio, admitir o reinício da etapa de envio de lances, em prol da consecução do melhor preço, mediante justificativa.</w:t>
      </w:r>
    </w:p>
    <w:p>
      <w:pPr>
        <w:jc w:val="both"/>
        <w:widowControl/>
        <w:ind w:left="60" w:right="45" w:hanging="15"/>
        <w:spacing w:after="45"/>
      </w:pPr>
      <w:r>
        <w:rPr>
          <w:b/>
          <w:sz w:val="22"/>
        </w:rPr>
        <w:t>7.15</w:t>
      </w:r>
      <w:r>
        <w:rPr>
          <w:sz w:val="22"/>
        </w:rPr>
        <w:t xml:space="preserve">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pPr>
        <w:jc w:val="both"/>
        <w:widowControl/>
        <w:ind w:left="570" w:right="45" w:hanging="15"/>
        <w:spacing w:after="45"/>
      </w:pPr>
      <w:r>
        <w:rPr>
          <w:sz w:val="22"/>
        </w:rPr>
        <w:t>7.15.1 - Entende-se por empate, nos termos da LC 123/06, aquelas situações em que as propostas ou lances apresentados pelas ME e EPP sejam iguais ou até 10% (dez por cento) superiores à proposta ou lance melhor classificado durante a etapa de lances;</w:t>
      </w:r>
    </w:p>
    <w:p>
      <w:pPr>
        <w:jc w:val="both"/>
        <w:widowControl/>
        <w:ind w:left="570" w:right="45" w:hanging="15"/>
        <w:spacing w:after="45"/>
      </w:pPr>
      <w:r>
        <w:rPr>
          <w:sz w:val="22"/>
        </w:rPr>
        <w:t>7.15.2. Na ocorrência de empate, proceder-se-á da seguinte forma:</w:t>
      </w:r>
    </w:p>
    <w:p>
      <w:pPr>
        <w:jc w:val="both"/>
        <w:widowControl/>
        <w:ind w:right="45"/>
        <w:spacing w:after="45"/>
        <w:numPr>
          <w:ilvl w:val="0"/>
          <w:numId w:val="83"/>
        </w:numPr>
      </w:pPr>
      <w:r/>
      <w:r>
        <w:rPr>
          <w:sz w:val="22"/>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pPr>
        <w:jc w:val="both"/>
        <w:widowControl/>
        <w:ind w:right="45"/>
        <w:spacing w:after="45"/>
        <w:numPr>
          <w:ilvl w:val="0"/>
          <w:numId w:val="83"/>
        </w:numPr>
      </w:pPr>
      <w:r/>
      <w:r>
        <w:rPr>
          <w:sz w:val="22"/>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pPr>
        <w:jc w:val="both"/>
        <w:widowControl/>
        <w:ind w:left="1140" w:right="45" w:hanging="15"/>
        <w:spacing w:after="45"/>
      </w:pPr>
      <w:r>
        <w:rPr>
          <w:sz w:val="22"/>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pPr>
        <w:jc w:val="both"/>
        <w:widowControl/>
        <w:ind w:left="60" w:right="45" w:hanging="15"/>
        <w:spacing w:after="45"/>
      </w:pPr>
      <w:r>
        <w:rPr>
          <w:b/>
          <w:sz w:val="22"/>
        </w:rPr>
        <w:t>7.16</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pPr>
        <w:jc w:val="both"/>
        <w:widowControl/>
        <w:ind w:left="60" w:right="45" w:hanging="15"/>
        <w:spacing w:after="45"/>
      </w:pPr>
      <w:r>
        <w:rPr>
          <w:b/>
          <w:sz w:val="22"/>
        </w:rPr>
        <w:t>7.17</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570" w:right="45" w:hanging="15"/>
        <w:spacing w:after="45"/>
      </w:pPr>
      <w:r>
        <w:rPr>
          <w:sz w:val="22"/>
        </w:rPr>
        <w:t>7.17.1 - Também nas hipóteses em que o Agente de Contratação não aceitar a proposta e passar à subsequente, poderá negociar com o licitante para que seja obtido preço melhor.</w:t>
      </w:r>
    </w:p>
    <w:p>
      <w:pPr>
        <w:jc w:val="both"/>
        <w:widowControl/>
        <w:ind w:left="60" w:right="45" w:hanging="15"/>
        <w:spacing w:after="45"/>
      </w:pPr>
      <w:r>
        <w:rPr>
          <w:b/>
          <w:sz w:val="22"/>
        </w:rPr>
        <w:t>7.18</w:t>
      </w:r>
      <w:r>
        <w:rPr>
          <w:sz w:val="22"/>
        </w:rPr>
        <w:t xml:space="preserve"> - A negociação será realizada por meio do sistema, podendo ser acompanhada pelos demais licitantes.</w:t>
      </w:r>
    </w:p>
    <w:p>
      <w:pPr>
        <w:jc w:val="both"/>
        <w:widowControl/>
        <w:ind w:left="60" w:right="45" w:hanging="15"/>
        <w:spacing w:after="45"/>
      </w:pPr>
      <w:r>
        <w:rPr>
          <w:b/>
          <w:sz w:val="22"/>
        </w:rPr>
        <w:t>7.19</w:t>
      </w:r>
      <w:r>
        <w:rPr>
          <w:sz w:val="22"/>
        </w:rPr>
        <w:t xml:space="preserve"> - É vedada a desistência dos lances já ofertados sujeitando-se o proponente às sanções previstas nas leis pertinentes.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8 - DA ACEITABILIDADE DA PROPOSTA VENCEDORA</w:t>
      </w:r>
    </w:p>
    <w:p>
      <w:pPr>
        <w:jc w:val="both"/>
        <w:widowControl/>
        <w:ind w:left="60" w:right="45" w:hanging="15"/>
        <w:spacing w:after="45"/>
      </w:pPr>
      <w:r>
        <w:rPr>
          <w:b/>
          <w:sz w:val="22"/>
        </w:rPr>
        <w:t>8.1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pPr>
        <w:jc w:val="both"/>
        <w:widowControl/>
        <w:ind w:left="60" w:right="45" w:hanging="15"/>
        <w:spacing w:after="45"/>
      </w:pPr>
      <w:r>
        <w:rPr>
          <w:b/>
          <w:sz w:val="22"/>
        </w:rPr>
        <w:t>8.2</w:t>
      </w:r>
      <w:r>
        <w:rPr>
          <w:sz w:val="22"/>
        </w:rPr>
        <w:t xml:space="preserve"> - Na verificação da conformidade da melhor proposta apresentada (aquela que tiver o menor preço global) com os requisitos do instrumento convocatório, será desclassificada aquela que:</w:t>
      </w:r>
    </w:p>
    <w:p>
      <w:pPr>
        <w:jc w:val="both"/>
        <w:widowControl/>
        <w:ind w:left="420" w:right="45" w:hanging="15"/>
        <w:spacing w:after="45"/>
      </w:pPr>
      <w:r>
        <w:rPr>
          <w:sz w:val="22"/>
        </w:rPr>
        <w:t>8.2.1 - Contenha vícios insanáveis;</w:t>
      </w:r>
    </w:p>
    <w:p>
      <w:pPr>
        <w:jc w:val="both"/>
        <w:widowControl/>
        <w:ind w:left="420" w:right="45" w:hanging="15"/>
        <w:spacing w:after="45"/>
      </w:pPr>
      <w:r>
        <w:rPr>
          <w:sz w:val="22"/>
        </w:rPr>
        <w:t>8.2.2 - Não obedeça às especificações técnicas pormenorizadas no instrumento convocatório;</w:t>
      </w:r>
    </w:p>
    <w:p>
      <w:pPr>
        <w:jc w:val="both"/>
        <w:widowControl/>
        <w:ind w:left="990" w:right="45" w:hanging="585"/>
        <w:spacing w:after="45"/>
      </w:pPr>
      <w:r>
        <w:rPr>
          <w:sz w:val="22"/>
        </w:rPr>
        <w:t>8.2.3 -</w:t>
      </w:r>
      <w:r>
        <w:rPr>
          <w:sz w:val="22"/>
        </w:rPr>
        <w:tab/>
      </w:r>
      <w:r>
        <w:rPr>
          <w:sz w:val="22"/>
        </w:rPr>
        <w:t>Apresente preço manifestamente inexequível ou permaneça acima do orçamento estimado para a contratação;</w:t>
      </w:r>
    </w:p>
    <w:p>
      <w:pPr>
        <w:jc w:val="both"/>
        <w:widowControl/>
        <w:ind w:left="420" w:right="45" w:hanging="15"/>
        <w:spacing w:after="45"/>
      </w:pPr>
      <w:r>
        <w:rPr>
          <w:sz w:val="22"/>
        </w:rPr>
        <w:t>8.2.4 - Não tenha sua exequibilidade demonstrada, quando exigido pela Administração Pública;</w:t>
      </w:r>
    </w:p>
    <w:p>
      <w:pPr>
        <w:jc w:val="both"/>
        <w:widowControl/>
        <w:ind w:left="420" w:right="45" w:hanging="15"/>
        <w:spacing w:after="45"/>
      </w:pPr>
      <w:r>
        <w:rPr>
          <w:sz w:val="22"/>
        </w:rPr>
        <w:t>8.2.5 - Apresente desconformidade com quaisquer outras exigências do instrumento convocatório, desde que insanável.</w:t>
      </w:r>
    </w:p>
    <w:p>
      <w:pPr>
        <w:jc w:val="both"/>
        <w:widowControl/>
        <w:ind w:left="60" w:right="45" w:hanging="15"/>
        <w:spacing w:after="45"/>
      </w:pPr>
      <w:r>
        <w:rPr>
          <w:b/>
          <w:sz w:val="22"/>
        </w:rPr>
        <w:t>8.3</w:t>
      </w:r>
      <w:r>
        <w:rPr>
          <w:sz w:val="22"/>
        </w:rPr>
        <w:t xml:space="preserve"> – O Agente de Contratação ou equipe de apoio poderá realizar diligências para aferir a exequibilidade da proposta mais bem classificada ou exigir do Licitante que ela seja demonstrada.</w:t>
      </w:r>
    </w:p>
    <w:p>
      <w:pPr>
        <w:jc w:val="both"/>
        <w:widowControl/>
        <w:ind w:left="60" w:right="45" w:hanging="15"/>
        <w:spacing w:after="45"/>
      </w:pPr>
      <w:r>
        <w:rPr>
          <w:sz w:val="22"/>
        </w:rPr>
        <w:t/>
      </w:r>
    </w:p>
    <w:p>
      <w:pPr>
        <w:jc w:val="both"/>
        <w:widowControl/>
        <w:ind w:left="420" w:right="45" w:hanging="15"/>
        <w:spacing w:after="45"/>
      </w:pPr>
      <w:r>
        <w:rPr>
          <w:b/>
          <w:sz w:val="22"/>
        </w:rPr>
        <w:t>8.3.1</w:t>
      </w:r>
      <w:r>
        <w:rPr>
          <w:sz w:val="22"/>
        </w:rPr>
        <w:t xml:space="preserve"> - No caso de obras e serviços de engenharia, serão consideradas inexequíveis as propostas cujos valores forem inferiores a 75% (setenta e cinco por cento) do valor orçado pela Administração, conforme disposto no art. 59 §4º da Lei 14.133/2021.</w:t>
      </w:r>
    </w:p>
    <w:p>
      <w:pPr>
        <w:jc w:val="both"/>
        <w:widowControl/>
        <w:ind w:left="420" w:right="45" w:hanging="15"/>
        <w:spacing w:after="45"/>
      </w:pPr>
      <w:r>
        <w:rPr>
          <w:sz w:val="22"/>
        </w:rPr>
        <w:t/>
      </w:r>
    </w:p>
    <w:p>
      <w:pPr>
        <w:jc w:val="both"/>
        <w:widowControl/>
        <w:ind w:left="120" w:right="45" w:firstLine="15"/>
        <w:spacing w:after="45"/>
      </w:pPr>
      <w:r>
        <w:rPr>
          <w:b/>
          <w:sz w:val="22"/>
        </w:rPr>
        <w:t xml:space="preserve">8.4 </w:t>
      </w:r>
      <w:r>
        <w:rPr>
          <w:sz w:val="22"/>
          <w:color w:val="000000"/>
        </w:rPr>
        <w:t>Se houver indícios de inexequibilidade da proposta de preço, ou em caso da necessidade de esclarecimentos complementares, poderão ser efetuadas diligências, para que a empresa comprove a exequibilidade da proposta.</w:t>
      </w:r>
    </w:p>
    <w:p>
      <w:pPr>
        <w:jc w:val="both"/>
        <w:widowControl/>
        <w:ind w:left="480" w:right="45" w:hanging="15"/>
        <w:spacing w:after="45"/>
      </w:pPr>
      <w:r>
        <w:rPr>
          <w:sz w:val="22"/>
        </w:rPr>
        <w:t/>
      </w:r>
    </w:p>
    <w:p>
      <w:pPr>
        <w:jc w:val="both"/>
        <w:widowControl/>
        <w:ind w:left="480" w:right="45" w:hanging="15"/>
        <w:spacing w:after="45"/>
      </w:pPr>
      <w:r>
        <w:rPr>
          <w:b/>
          <w:sz w:val="22"/>
        </w:rPr>
        <w:t>8.4.1</w:t>
      </w:r>
      <w:r>
        <w:rPr>
          <w:sz w:val="22"/>
        </w:rPr>
        <w:t xml:space="preserve"> A  Administração conferirá ao Licitante a oportunidade de demonstrar a exequibilidade da sua proposta, considerados o preço global, os quantitativos e os preços unitários relevantes, para comprovar que a proposta é economicamente viável, apresentando a planilha de custos, o orçamento detalhado e a garantia de cumprimento das obrigações financeiras. </w:t>
      </w:r>
    </w:p>
    <w:p>
      <w:pPr>
        <w:jc w:val="both"/>
        <w:widowControl/>
        <w:ind w:left="60" w:right="45" w:hanging="15"/>
        <w:spacing w:after="45"/>
      </w:pPr>
      <w:r>
        <w:rPr>
          <w:rFonts w:ascii="Calibri" w:hAnsi="Calibri" w:cs="Calibri" w:eastAsia="Calibri"/>
          <w:sz w:val="22"/>
        </w:rPr>
        <w:t/>
      </w:r>
    </w:p>
    <w:p>
      <w:pPr>
        <w:jc w:val="both"/>
        <w:widowControl/>
        <w:ind w:left="60" w:right="45" w:hanging="15"/>
        <w:spacing w:after="45"/>
      </w:pPr>
      <w:r>
        <w:rPr>
          <w:b/>
          <w:sz w:val="22"/>
        </w:rPr>
        <w:t>8.5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pPr>
        <w:jc w:val="both"/>
        <w:widowControl/>
        <w:ind w:left="60" w:right="45" w:hanging="15"/>
        <w:spacing w:after="45"/>
      </w:pPr>
      <w:r>
        <w:rPr>
          <w:sz w:val="22"/>
        </w:rPr>
        <w:t/>
      </w:r>
    </w:p>
    <w:p>
      <w:pPr>
        <w:jc w:val="both"/>
        <w:widowControl/>
        <w:ind w:left="60" w:right="45" w:hanging="15"/>
        <w:spacing w:after="45"/>
      </w:pPr>
      <w:r>
        <w:rPr>
          <w:b/>
          <w:sz w:val="22"/>
        </w:rPr>
        <w:t>8.6</w:t>
      </w:r>
      <w:r>
        <w:rPr>
          <w:sz w:val="22"/>
        </w:rPr>
        <w:t xml:space="preserve"> - Qualquer interessado poderá requerer que se realizem diligências para aferir a exequibilidade e a legalidade das propostas, devendo apresentar as provas ou os indícios que fundamentam a suspeita;</w:t>
      </w:r>
    </w:p>
    <w:p>
      <w:pPr>
        <w:jc w:val="both"/>
        <w:widowControl/>
        <w:ind w:left="60" w:right="45" w:hanging="15"/>
        <w:spacing w:after="45"/>
      </w:pPr>
      <w:r>
        <w:rPr>
          <w:sz w:val="22"/>
        </w:rPr>
        <w:t/>
      </w:r>
    </w:p>
    <w:p>
      <w:pPr>
        <w:jc w:val="both"/>
        <w:widowControl/>
        <w:ind w:left="60" w:right="45" w:hanging="15"/>
        <w:spacing w:after="45"/>
      </w:pPr>
      <w:r>
        <w:rPr>
          <w:b/>
          <w:sz w:val="22"/>
        </w:rPr>
        <w:t>8.7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jc w:val="both"/>
        <w:widowControl/>
        <w:ind w:left="60" w:right="45" w:hanging="15"/>
        <w:spacing w:after="45"/>
      </w:pPr>
      <w:r>
        <w:rPr>
          <w:b/>
          <w:sz w:val="22"/>
        </w:rPr>
        <w:t>8.8</w:t>
      </w:r>
      <w:r>
        <w:rPr>
          <w:sz w:val="22"/>
        </w:rPr>
        <w:t xml:space="preserve"> - Se a proposta ou lance vencedor for desclassificado, o Agente de Contratação ou equipe de apoio examinará a proposta ou lance subsequente, e, assim sucessivamente, na ordem de classificação.</w:t>
      </w:r>
    </w:p>
    <w:p>
      <w:pPr>
        <w:jc w:val="both"/>
        <w:widowControl/>
        <w:ind w:left="60" w:right="45" w:hanging="15"/>
        <w:spacing w:after="45"/>
      </w:pPr>
      <w:r>
        <w:rPr>
          <w:b/>
          <w:sz w:val="22"/>
        </w:rPr>
        <w:t>8.9</w:t>
      </w:r>
      <w:r>
        <w:rPr>
          <w:sz w:val="22"/>
        </w:rPr>
        <w:t xml:space="preserve"> - Havendo necessidade, o Agente de Contratação ou equipe de apoio suspenderá a sessão, informando no “chat” a nova data e horário para a sua continuidade.</w:t>
      </w:r>
    </w:p>
    <w:p>
      <w:pPr>
        <w:jc w:val="both"/>
        <w:widowControl/>
        <w:ind w:left="60" w:right="45" w:hanging="15"/>
        <w:spacing w:after="45"/>
      </w:pPr>
      <w:r>
        <w:rPr>
          <w:b/>
          <w:sz w:val="22"/>
        </w:rPr>
        <w:t>8.10</w:t>
      </w:r>
      <w:r>
        <w:rPr>
          <w:sz w:val="22"/>
        </w:rPr>
        <w:t xml:space="preserve"> - Após o julgamento das propostas, o licitante arrematante será convocado para reelaborar e apresentar ao Agente de Contratação e equipe de apoio, por email:</w:t>
      </w:r>
      <w:r>
        <w:rPr>
          <w:u w:val="single"/>
          <w:sz w:val="22"/>
        </w:rPr>
        <w:t>licitacao@guairaca.pr.gov.br</w:t>
      </w:r>
      <w:r>
        <w:rPr>
          <w:sz w:val="22"/>
        </w:rPr>
        <w:t xml:space="preserve">, a PROPOSTA DE PREÇOS adequada ao seu último lance, no prazo máximo de </w:t>
      </w:r>
      <w:r>
        <w:rPr>
          <w:b/>
          <w:sz w:val="22"/>
        </w:rPr>
        <w:t>24 (vinte e quatro)</w:t>
      </w:r>
      <w:r>
        <w:rPr>
          <w:sz w:val="22"/>
        </w:rPr>
        <w:t xml:space="preserve"> horas,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 e no www.comprasbr.com.br</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9 - DO ENVIO DA DOCUMENTAÇÃO</w:t>
      </w:r>
    </w:p>
    <w:p>
      <w:pPr>
        <w:jc w:val="both"/>
        <w:widowControl/>
        <w:ind w:left="120"/>
      </w:pPr>
      <w:r>
        <w:rPr>
          <w:b/>
          <w:sz w:val="22"/>
        </w:rPr>
        <w:t xml:space="preserve">9.1 Os licitantes deverão encaminhar, exclusivamente por meio do sistema eletrônico, concomitantemente à proposta de preços, todos os documentos de habilitação exigidos neste Edital, até a data e o horário estabelecidos para a abertura da sessão pública, </w:t>
      </w:r>
      <w:r>
        <w:rPr>
          <w:sz w:val="22"/>
        </w:rPr>
        <w:t xml:space="preserve"> com a descrição do objeto ofertado e o preço, contendo as informações similares à especificação do Termo de Referência indicando, no que for aplicável, quando, então, encerrar-se-á automaticamente a etapa de envio dessa documentação.</w:t>
      </w:r>
    </w:p>
    <w:p>
      <w:pPr>
        <w:jc w:val="both"/>
        <w:widowControl/>
        <w:ind w:left="120"/>
      </w:pPr>
      <w:r>
        <w:rPr>
          <w:b/>
          <w:sz w:val="22"/>
        </w:rPr>
        <w:t/>
      </w:r>
    </w:p>
    <w:p>
      <w:pPr>
        <w:jc w:val="both"/>
        <w:widowControl/>
        <w:ind w:left="510"/>
      </w:pPr>
      <w:r>
        <w:rPr>
          <w:b/>
          <w:sz w:val="22"/>
        </w:rPr>
        <w:t>9.1.1</w:t>
      </w:r>
      <w:r>
        <w:rPr>
          <w:sz w:val="22"/>
        </w:rPr>
        <w:t xml:space="preserve"> Os licitantes deverão, obrigatoriamente, anexar toda a documentação de habilitação exigida no edital no momento do envio da proposta, sob pena de inabilitação,</w:t>
      </w:r>
    </w:p>
    <w:p>
      <w:pPr>
        <w:jc w:val="both"/>
        <w:widowControl/>
        <w:ind w:left="540"/>
      </w:pPr>
      <w:r>
        <w:rPr>
          <w:b/>
          <w:sz w:val="22"/>
        </w:rPr>
        <w:t>9.1.2</w:t>
      </w:r>
      <w:r>
        <w:rPr>
          <w:b/>
          <w:sz w:val="22"/>
          <w:color w:val="EE0000"/>
        </w:rPr>
        <w:t xml:space="preserve"> </w:t>
      </w:r>
      <w:r>
        <w:rPr>
          <w:sz w:val="22"/>
        </w:rPr>
        <w:t>O envio da proposta, acompanhada dos documentos de habilitação exigidos neste Edital, ocorrerá por meio de chave de acesso e senha intransferíveis.</w:t>
      </w:r>
    </w:p>
    <w:p>
      <w:pPr>
        <w:jc w:val="both"/>
        <w:widowControl/>
        <w:ind w:left="540"/>
      </w:pPr>
      <w:r>
        <w:rPr>
          <w:b/>
          <w:sz w:val="22"/>
        </w:rPr>
        <w:t xml:space="preserve">9.1.3 </w:t>
      </w:r>
      <w:r>
        <w:rPr>
          <w:sz w:val="22"/>
        </w:rPr>
        <w:t>As Microempresas e Empresas de Pequeno Porte deverão encaminhar a documentação de habilitação, ainda que haja alguma restrição de regularidade fiscal e trabalhista, nos termos do Art. 43, § 1º da LC nº 123, de 2006.</w:t>
      </w:r>
    </w:p>
    <w:p>
      <w:pPr>
        <w:jc w:val="both"/>
        <w:widowControl/>
        <w:ind w:left="555"/>
      </w:pPr>
      <w:r>
        <w:rPr>
          <w:b/>
          <w:sz w:val="22"/>
        </w:rPr>
        <w:t>9.1.4</w:t>
      </w:r>
      <w:r>
        <w:rPr>
          <w:sz w:val="22"/>
        </w:rPr>
        <w:t xml:space="preserve"> Os documentos que compõem a proposta e a habilitação do licitante melhor classificado somente serão disponibilizados para avaliação da comissão de licitação e para acesso público após o encerramento do envio de lances.</w:t>
      </w:r>
    </w:p>
    <w:p>
      <w:pPr>
        <w:jc w:val="both"/>
        <w:widowControl/>
        <w:ind w:left="555"/>
      </w:pPr>
      <w:r>
        <w:rPr>
          <w:b/>
          <w:sz w:val="22"/>
        </w:rPr>
        <w:t xml:space="preserve">9.1.5 </w:t>
      </w:r>
      <w:r>
        <w:rPr>
          <w:sz w:val="22"/>
        </w:rPr>
        <w:t xml:space="preserve">Os documentos complementares à habilitação, quando necessários à confirmação daqueles exigidos no edital e </w:t>
      </w:r>
      <w:r>
        <w:rPr>
          <w:b/>
          <w:sz w:val="22"/>
        </w:rPr>
        <w:t>JÁ APRESENTADOS</w:t>
      </w:r>
      <w:r>
        <w:rPr>
          <w:sz w:val="22"/>
        </w:rPr>
        <w:t>, se houver, serão encaminhados pelo licitante melhor classificado após o encerramento do envio de lances no prazo definido pelo pregoeiro, de no mínimo 02 (duas) horas, sob pena de inabilitação.</w:t>
      </w:r>
    </w:p>
    <w:p>
      <w:pPr>
        <w:jc w:val="both"/>
        <w:widowControl/>
        <w:ind w:left="-705" w:right="-855"/>
      </w:pPr>
      <w:r>
        <w:rPr>
          <w:rFonts w:ascii="Calibri" w:hAnsi="Calibri" w:cs="Calibri" w:eastAsia="Calibri"/>
          <w:sz w:val="22"/>
        </w:rPr>
        <w:t/>
      </w:r>
    </w:p>
    <w:p>
      <w:pPr>
        <w:jc w:val="both"/>
        <w:widowControl/>
        <w:ind w:left="525" w:right="45" w:firstLine="15"/>
        <w:spacing w:after="45"/>
      </w:pPr>
      <w:r>
        <w:rPr>
          <w:b/>
          <w:sz w:val="22"/>
        </w:rPr>
        <w:t>9.1.6</w:t>
      </w:r>
      <w:r>
        <w:rPr>
          <w:sz w:val="22"/>
        </w:rPr>
        <w:t xml:space="preserve">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pPr>
        <w:jc w:val="both"/>
        <w:widowControl/>
        <w:ind w:left="420" w:right="45" w:hanging="15"/>
        <w:spacing w:after="45"/>
      </w:pPr>
      <w:r>
        <w:rPr>
          <w:sz w:val="22"/>
        </w:rPr>
        <w:t/>
      </w:r>
    </w:p>
    <w:p>
      <w:pPr>
        <w:jc w:val="both"/>
        <w:widowControl/>
        <w:ind w:left="60" w:right="45" w:hanging="15"/>
        <w:spacing w:after="45"/>
      </w:pPr>
      <w:r>
        <w:rPr>
          <w:b/>
          <w:sz w:val="22"/>
        </w:rPr>
        <w:t xml:space="preserve">9.2 </w:t>
      </w:r>
      <w:r>
        <w:rPr>
          <w:sz w:val="22"/>
        </w:rPr>
        <w:t>-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pPr>
        <w:jc w:val="both"/>
        <w:widowControl/>
        <w:ind w:left="1080" w:right="45" w:hanging="315"/>
        <w:spacing w:after="45"/>
      </w:pPr>
      <w:r>
        <w:rPr>
          <w:sz w:val="22"/>
        </w:rPr>
        <w:t>I - Cadastro Nacional de Empresas Inidôneas e Suspensas – CEIS, mantido pela Controladoria-Geral da União(</w:t>
      </w:r>
      <w:hyperlink r:id="hrId4">
        <w:r>
          <w:rPr>
            <w:u w:val="single" w:color="0000FF"/>
            <w:sz w:val="22"/>
          </w:rPr>
          <w:t>https://portaldatransparencia.gov.br/sancoes/consulta?cadastro=1&amp;ordenarPor=nomeSancionado&amp;direcao=asc</w:t>
        </w:r>
      </w:hyperlink>
      <w:r>
        <w:rPr>
          <w:sz w:val="22"/>
        </w:rPr>
        <w:t>);</w:t>
      </w:r>
    </w:p>
    <w:p>
      <w:pPr>
        <w:jc w:val="both"/>
        <w:widowControl/>
        <w:ind w:left="420" w:right="45" w:hanging="15"/>
        <w:spacing w:after="45"/>
      </w:pPr>
      <w:r>
        <w:rPr>
          <w:b/>
          <w:sz w:val="22"/>
        </w:rPr>
        <w:t>9.2.1</w:t>
      </w:r>
      <w:r>
        <w:rPr>
          <w:sz w:val="22"/>
        </w:rPr>
        <w:t xml:space="preserve"> - A consulta aos Cadastros acima será realizada em nome da empresa licitante.</w:t>
      </w:r>
    </w:p>
    <w:p>
      <w:pPr>
        <w:jc w:val="both"/>
        <w:widowControl/>
        <w:ind w:left="420" w:right="45" w:hanging="15"/>
        <w:spacing w:after="45"/>
      </w:pPr>
      <w:r>
        <w:rPr>
          <w:b/>
          <w:sz w:val="22"/>
        </w:rPr>
        <w:t>9.2.2</w:t>
      </w:r>
      <w:r>
        <w:rPr>
          <w:sz w:val="22"/>
        </w:rPr>
        <w:t xml:space="preserve"> - Constatada a existência de sanção, o Agente de Contratação ou equipe de apoio reputará a licitante inabilitada, por falta de condição de participação.</w:t>
      </w:r>
    </w:p>
    <w:p>
      <w:pPr>
        <w:jc w:val="both"/>
        <w:widowControl/>
        <w:ind w:left="60" w:right="45" w:hanging="15"/>
        <w:spacing w:after="45"/>
      </w:pPr>
      <w:r>
        <w:rPr>
          <w:b/>
          <w:sz w:val="22"/>
        </w:rPr>
        <w:t>9.3</w:t>
      </w:r>
      <w:r>
        <w:rPr>
          <w:sz w:val="22"/>
        </w:rPr>
        <w:t>. - Será considerado habilitado o licitante que apresentar os documentos relacionados nos subitens 9.6 a 9.13.</w:t>
      </w:r>
    </w:p>
    <w:p>
      <w:pPr>
        <w:jc w:val="both"/>
        <w:widowControl/>
        <w:ind w:left="420" w:right="45" w:hanging="15"/>
        <w:spacing w:after="45"/>
      </w:pPr>
      <w:r>
        <w:rPr>
          <w:b/>
          <w:sz w:val="22"/>
        </w:rPr>
        <w:t>9.3.1</w:t>
      </w:r>
      <w:r>
        <w:rPr>
          <w:sz w:val="22"/>
        </w:rPr>
        <w:t>. - O licitante que participar do certame declarando que cumpre os requisitos de habilitação e não cumpri-los, será inabilitado e estará sujeito às penalidades previstas no item 19 do edital.</w:t>
      </w:r>
    </w:p>
    <w:p>
      <w:pPr>
        <w:jc w:val="both"/>
        <w:widowControl/>
        <w:ind w:left="60" w:right="45" w:hanging="15"/>
        <w:spacing w:after="45"/>
      </w:pPr>
      <w:r>
        <w:rPr>
          <w:b/>
          <w:sz w:val="22"/>
        </w:rPr>
        <w:t>9.4.</w:t>
      </w:r>
      <w:r>
        <w:rPr>
          <w:sz w:val="22"/>
        </w:rPr>
        <w:t xml:space="preserve"> - Constituem motivos para inabilitação do licitante:</w:t>
      </w:r>
    </w:p>
    <w:p>
      <w:pPr>
        <w:jc w:val="both"/>
        <w:widowControl/>
        <w:ind w:left="420" w:right="45" w:hanging="15"/>
        <w:spacing w:after="45"/>
      </w:pPr>
      <w:r>
        <w:rPr>
          <w:b/>
          <w:sz w:val="22"/>
        </w:rPr>
        <w:t>9.4.1</w:t>
      </w:r>
      <w:r>
        <w:rPr>
          <w:sz w:val="22"/>
        </w:rPr>
        <w:t xml:space="preserve"> - a apresentação de documentos com prazo de validade vencido;</w:t>
      </w:r>
    </w:p>
    <w:p>
      <w:pPr>
        <w:jc w:val="both"/>
        <w:widowControl/>
        <w:ind w:left="420" w:right="255" w:hanging="15"/>
        <w:spacing w:after="45"/>
      </w:pPr>
      <w:r>
        <w:rPr>
          <w:b/>
          <w:sz w:val="22"/>
        </w:rPr>
        <w:t>9.4.2</w:t>
      </w:r>
      <w:r>
        <w:rPr>
          <w:sz w:val="22"/>
        </w:rPr>
        <w:t xml:space="preserve"> - a substituição dos documentos exigidos para habilitação por protocolos de requerimento de certidão; </w:t>
      </w:r>
      <w:r>
        <w:rPr>
          <w:b/>
          <w:sz w:val="22"/>
        </w:rPr>
        <w:t>9.4.3</w:t>
      </w:r>
      <w:r>
        <w:rPr>
          <w:sz w:val="22"/>
        </w:rPr>
        <w:t xml:space="preserve"> - o não cumprimento dos requisitos de habilitação.</w:t>
      </w:r>
    </w:p>
    <w:p>
      <w:pPr>
        <w:jc w:val="both"/>
        <w:widowControl/>
        <w:ind w:left="60" w:right="45" w:hanging="15"/>
        <w:spacing w:after="45"/>
      </w:pPr>
      <w:r>
        <w:rPr>
          <w:b/>
          <w:sz w:val="22"/>
        </w:rPr>
        <w:t>9.5</w:t>
      </w:r>
      <w:r>
        <w:rPr>
          <w:sz w:val="22"/>
        </w:rPr>
        <w:t xml:space="preserve"> - Não serão aceitos documentos de habilitação com indicação de CNPJ/CPF diferentes, salvo aqueles legalmente permitidos.</w:t>
      </w:r>
    </w:p>
    <w:p>
      <w:pPr>
        <w:jc w:val="both"/>
        <w:widowControl/>
        <w:ind w:left="420" w:right="45" w:hanging="15"/>
        <w:spacing w:after="45"/>
      </w:pPr>
      <w:r>
        <w:rPr>
          <w:sz w:val="22"/>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jc w:val="both"/>
        <w:widowControl/>
        <w:ind w:left="420" w:right="45" w:hanging="15"/>
        <w:spacing w:after="45"/>
      </w:pPr>
      <w:r>
        <w:rPr>
          <w:sz w:val="22"/>
        </w:rPr>
        <w:t>9.5.2 - Serão aceitos registros de CNPJ de licitante matriz e filial com diferenças de números de documentos pertinentes ao CND e ao CRF/FGTS, quando for comprovada a centralização do recolhimento dessas contribuições.</w:t>
      </w:r>
    </w:p>
    <w:p>
      <w:pPr>
        <w:jc w:val="both"/>
        <w:ind w:left="360" w:right="210"/>
        <w:spacing w:before="150" w:lineRule="auto" w:line="276"/>
      </w:pPr>
      <w:r>
        <w:rPr>
          <w:rFonts w:ascii="Arial MT" w:hAnsi="Arial MT" w:cs="Arial MT" w:eastAsia="Arial MT"/>
          <w:sz w:val="22"/>
        </w:rPr>
        <w:t/>
      </w:r>
    </w:p>
    <w:p>
      <w:pPr>
        <w:jc w:val="both"/>
        <w:outlineLvl w:val="1"/>
        <w:keepLines/>
        <w:keepNext/>
        <w:widowControl/>
        <w:ind w:left="60" w:right="45" w:hanging="15"/>
        <w:spacing w:after="45"/>
        <w:shd w:val="clear" w:color="auto" w:fill="0D0D0D"/>
      </w:pPr>
      <w:r>
        <w:rPr>
          <w:b/>
          <w:sz w:val="22"/>
          <w:color w:val="FFFFFF"/>
        </w:rPr>
        <w:t>9.6 – DECLARAÇÕES</w:t>
      </w:r>
    </w:p>
    <w:p>
      <w:pPr>
        <w:jc w:val="both"/>
        <w:widowControl/>
        <w:ind w:left="570" w:right="45" w:hanging="15"/>
        <w:spacing w:after="45"/>
      </w:pPr>
      <w:r>
        <w:rPr>
          <w:b/>
          <w:sz w:val="22"/>
        </w:rPr>
        <w:t>9.6.1</w:t>
      </w:r>
      <w:r>
        <w:rPr>
          <w:sz w:val="22"/>
        </w:rPr>
        <w:t>- Declaração unificada, conforme modelo constante no anexo V.</w:t>
      </w:r>
    </w:p>
    <w:p>
      <w:pPr>
        <w:jc w:val="both"/>
        <w:widowControl/>
        <w:ind w:left="1095" w:right="45" w:hanging="15"/>
        <w:spacing w:after="45"/>
      </w:pPr>
      <w:r>
        <w:rPr>
          <w:b/>
          <w:u w:val="single"/>
          <w:sz w:val="22"/>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pPr>
        <w:jc w:val="both"/>
        <w:outlineLvl w:val="1"/>
        <w:keepLines/>
        <w:keepNext/>
        <w:widowControl/>
        <w:ind w:left="60" w:right="45" w:hanging="15"/>
        <w:spacing w:after="45"/>
        <w:shd w:val="clear" w:color="auto" w:fill="0D0D0D"/>
      </w:pPr>
      <w:r>
        <w:rPr>
          <w:b/>
          <w:sz w:val="22"/>
          <w:color w:val="FFFFFF"/>
        </w:rPr>
        <w:t>9.7 – DA PARTICIPAÇÃO DE MICROEMPRESA (ME), EMPRESA DE PEQUENO PORTE (EPP)</w:t>
      </w:r>
    </w:p>
    <w:p>
      <w:pPr>
        <w:jc w:val="both"/>
        <w:widowControl/>
        <w:ind w:left="555" w:right="45" w:hanging="15"/>
        <w:spacing w:after="45"/>
      </w:pPr>
      <w:r>
        <w:rPr>
          <w:b/>
          <w:sz w:val="22"/>
        </w:rPr>
        <w:t>9.7.1</w:t>
      </w:r>
      <w:r>
        <w:rPr>
          <w:sz w:val="22"/>
        </w:rPr>
        <w:t xml:space="preserve"> - Para participar na condição de ME/EPP e ter tratamento diferenciado, as empresas deverão apresentar juntamente com os documentos de habilitação os documentos abaixo:</w:t>
      </w:r>
    </w:p>
    <w:p>
      <w:pPr>
        <w:jc w:val="both"/>
        <w:widowControl/>
        <w:ind w:left="1065" w:right="45" w:hanging="15"/>
        <w:spacing w:after="45"/>
      </w:pPr>
      <w:r>
        <w:rPr>
          <w:b/>
          <w:sz w:val="22"/>
        </w:rPr>
        <w:t>9.7.1.1</w:t>
      </w:r>
      <w:r>
        <w:rPr>
          <w:sz w:val="22"/>
        </w:rPr>
        <w:t xml:space="preserve"> – Declaração solicitando tratamento diferenciado e afirmando estar na condição de ME/EPP, conforme modelo constante no anexo III deste edital;</w:t>
      </w:r>
    </w:p>
    <w:p>
      <w:pPr>
        <w:jc w:val="both"/>
        <w:widowControl/>
        <w:ind w:left="1065" w:right="45" w:hanging="15"/>
        <w:spacing w:after="45"/>
      </w:pPr>
      <w:r>
        <w:rPr>
          <w:b/>
          <w:sz w:val="22"/>
        </w:rPr>
        <w:t>9.7.1.2</w:t>
      </w:r>
      <w:r>
        <w:rPr>
          <w:sz w:val="22"/>
        </w:rPr>
        <w:t xml:space="preserve"> - Certidão simplificada da Junta Comercial, emitida há menos de 90 dias da data prevista para abertura das propostas, na qual deverá comprovada esta condição.</w:t>
      </w:r>
    </w:p>
    <w:p>
      <w:pPr>
        <w:jc w:val="both"/>
        <w:widowControl/>
        <w:ind w:left="1065" w:right="45" w:hanging="15"/>
        <w:spacing w:after="45"/>
      </w:pPr>
      <w:r>
        <w:rPr>
          <w:b/>
          <w:sz w:val="22"/>
        </w:rPr>
        <w:t>9.7.1.3</w:t>
      </w:r>
      <w:r>
        <w:rPr>
          <w:sz w:val="22"/>
        </w:rPr>
        <w:t xml:space="preserve"> - A não apresentação dos documentos constantes nos itens </w:t>
      </w:r>
      <w:r>
        <w:rPr>
          <w:b/>
          <w:sz w:val="22"/>
        </w:rPr>
        <w:t>9.7.1.1 e 9.7.1.2</w:t>
      </w:r>
      <w:r>
        <w:rPr>
          <w:sz w:val="22"/>
        </w:rPr>
        <w:t xml:space="preserve"> não acarretará na inabilitação, a empresa participará normalmente do certame, porém, mesmo sendo ME/EPP, participará da licitação sem os benefícios concedidos às ME/EPP.</w:t>
      </w:r>
    </w:p>
    <w:p>
      <w:pPr>
        <w:jc w:val="both"/>
        <w:outlineLvl w:val="1"/>
        <w:keepLines/>
        <w:keepNext/>
        <w:widowControl/>
        <w:ind w:left="60" w:right="45" w:hanging="15"/>
        <w:spacing w:after="45"/>
        <w:shd w:val="clear" w:color="auto" w:fill="0D0D0D"/>
      </w:pPr>
      <w:r>
        <w:rPr>
          <w:b/>
          <w:sz w:val="22"/>
          <w:color w:val="FFFFFF"/>
        </w:rPr>
        <w:t>9.8 - DA COMPROVAÇÃO DA REGULARIDADE FISCAL E DO DIREITO DE PREFERÊNCIA DAS MICROEMPRESA (ME), EMPRESA DE PEQUENO PORTE (EPP)</w:t>
      </w:r>
    </w:p>
    <w:p>
      <w:pPr>
        <w:jc w:val="both"/>
        <w:widowControl/>
        <w:ind w:left="570" w:right="45" w:hanging="15"/>
        <w:spacing w:after="45"/>
      </w:pPr>
      <w:r>
        <w:rPr>
          <w:b/>
          <w:sz w:val="22"/>
        </w:rPr>
        <w:t>9.8.1</w:t>
      </w:r>
      <w:r>
        <w:rPr>
          <w:sz w:val="22"/>
        </w:rPr>
        <w:t xml:space="preserve"> - As Microempresas, Empresa de Pequeno Porte deverão apresentar toda a documentação exigida para efeito de comprovação de sua regularidade fiscal e trabalhista, mesmo que apresente alguma restrição. </w:t>
      </w:r>
    </w:p>
    <w:p>
      <w:pPr>
        <w:jc w:val="both"/>
        <w:widowControl/>
        <w:ind w:left="570" w:right="45" w:hanging="15"/>
        <w:spacing w:after="45"/>
      </w:pPr>
      <w:r>
        <w:rPr>
          <w:b/>
          <w:sz w:val="22"/>
        </w:rPr>
        <w:t>9.8.2</w:t>
      </w:r>
      <w:r>
        <w:rPr>
          <w:sz w:val="22"/>
        </w:rPr>
        <w:t xml:space="preserve"> - Será assegurado, como critério de desempate, a preferência de contratação para as ME ou EPP.</w:t>
      </w:r>
    </w:p>
    <w:p>
      <w:pPr>
        <w:jc w:val="both"/>
        <w:widowControl/>
        <w:ind w:left="570" w:right="45" w:hanging="15"/>
        <w:spacing w:after="45"/>
      </w:pPr>
      <w:r>
        <w:rPr>
          <w:b/>
          <w:sz w:val="22"/>
        </w:rPr>
        <w:t>9.8.3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pPr>
        <w:jc w:val="both"/>
        <w:widowControl/>
        <w:ind w:left="570" w:right="45" w:hanging="15"/>
        <w:spacing w:after="45"/>
      </w:pPr>
      <w:r>
        <w:rPr>
          <w:b/>
          <w:sz w:val="22"/>
        </w:rPr>
        <w:t>9.8.4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pPr>
        <w:jc w:val="both"/>
        <w:widowControl/>
        <w:ind w:left="570" w:right="45" w:hanging="15"/>
        <w:spacing w:after="45"/>
      </w:pPr>
      <w:r>
        <w:rPr>
          <w:b/>
          <w:sz w:val="22"/>
        </w:rPr>
        <w:t>9.8.5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pPr>
        <w:jc w:val="both"/>
        <w:widowControl/>
        <w:ind w:left="570" w:right="45" w:hanging="15"/>
        <w:spacing w:after="45"/>
      </w:pPr>
      <w:r>
        <w:rPr>
          <w:b/>
          <w:sz w:val="22"/>
        </w:rPr>
        <w:t>9.8.6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pPr>
        <w:jc w:val="both"/>
        <w:widowControl/>
        <w:ind w:left="570" w:right="45" w:hanging="15"/>
        <w:spacing w:after="45"/>
      </w:pPr>
      <w:r>
        <w:rPr>
          <w:b/>
          <w:sz w:val="22"/>
        </w:rPr>
        <w:t>9.8.7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pPr>
        <w:jc w:val="both"/>
        <w:widowControl/>
        <w:ind w:left="570" w:right="45" w:hanging="15"/>
        <w:spacing w:after="45"/>
      </w:pPr>
      <w:r>
        <w:rPr>
          <w:b/>
          <w:sz w:val="22"/>
        </w:rPr>
        <w:t>9.8.8</w:t>
      </w:r>
      <w:r>
        <w:rPr>
          <w:sz w:val="22"/>
        </w:rPr>
        <w:t xml:space="preserve"> - Na hipótese de não contratação de ME ou EPP, nos termos dos itens anteriores, o objeto será adjudicado em favor da proposta de menor preço originalmente vencedora do certame.</w:t>
      </w:r>
    </w:p>
    <w:p>
      <w:pPr>
        <w:jc w:val="both"/>
        <w:widowControl/>
        <w:ind w:left="60" w:right="45" w:hanging="15"/>
        <w:spacing w:after="45"/>
      </w:pPr>
      <w:r>
        <w:rPr>
          <w:b/>
          <w:sz w:val="22"/>
        </w:rPr>
        <w:t>9.9</w:t>
      </w:r>
      <w:r>
        <w:rPr>
          <w:sz w:val="22"/>
        </w:rPr>
        <w:t xml:space="preserve"> – Dos critérios gerais para desempate entre propostas:</w:t>
      </w:r>
    </w:p>
    <w:p>
      <w:pPr>
        <w:jc w:val="both"/>
        <w:widowControl/>
        <w:ind w:left="570" w:right="45" w:hanging="15"/>
        <w:spacing w:after="45"/>
      </w:pPr>
      <w:r>
        <w:rPr>
          <w:b/>
          <w:sz w:val="22"/>
        </w:rPr>
        <w:t>9.9.1</w:t>
      </w:r>
      <w:r>
        <w:rPr>
          <w:sz w:val="22"/>
        </w:rPr>
        <w:t xml:space="preserve"> - Em caso de empate entre duas ou mais propostas, serão utilizados os seguintes critérios de desempate, nesta ordem:</w:t>
      </w:r>
    </w:p>
    <w:p>
      <w:pPr>
        <w:jc w:val="both"/>
        <w:widowControl/>
        <w:ind w:right="45"/>
        <w:spacing w:after="45"/>
        <w:numPr>
          <w:ilvl w:val="0"/>
          <w:numId w:val="66"/>
        </w:numPr>
      </w:pPr>
      <w:r/>
      <w:r>
        <w:rPr>
          <w:sz w:val="22"/>
        </w:rPr>
        <w:t>– disputa final, hipótese em que os licitantes empatados poderão apresentar nova proposta em ato contínuo à classificação;</w:t>
      </w:r>
    </w:p>
    <w:p>
      <w:pPr>
        <w:jc w:val="both"/>
        <w:widowControl/>
        <w:ind w:right="45"/>
        <w:spacing w:after="45"/>
        <w:numPr>
          <w:ilvl w:val="0"/>
          <w:numId w:val="66"/>
        </w:numPr>
      </w:pPr>
      <w:r/>
      <w:r>
        <w:rPr>
          <w:sz w:val="22"/>
        </w:rPr>
        <w:t>– avaliação do desempenho contratual prévio dos licitantes, para a qual serão preferencialmente utilizados registros cadastrais para efeito de atesto de cumprimento de obrigações previstos na Lei 14.133/21;</w:t>
      </w:r>
    </w:p>
    <w:p>
      <w:pPr>
        <w:jc w:val="both"/>
        <w:widowControl/>
        <w:ind w:right="45"/>
        <w:spacing w:after="45"/>
        <w:numPr>
          <w:ilvl w:val="0"/>
          <w:numId w:val="66"/>
        </w:numPr>
      </w:pPr>
      <w:r/>
      <w:r>
        <w:rPr>
          <w:sz w:val="22"/>
        </w:rPr>
        <w:t>– desenvolvimento pelo licitante de ações de equidade entre homens e mulheres no ambiente de trabalho, conforme regulamento;</w:t>
      </w:r>
    </w:p>
    <w:p>
      <w:pPr>
        <w:jc w:val="both"/>
        <w:widowControl/>
        <w:ind w:right="45"/>
        <w:spacing w:after="45"/>
        <w:numPr>
          <w:ilvl w:val="0"/>
          <w:numId w:val="66"/>
        </w:numPr>
      </w:pPr>
      <w:r/>
      <w:r>
        <w:rPr>
          <w:sz w:val="22"/>
        </w:rPr>
        <w:t>– desenvolvimento pelo licitante de programa de integridade, conforme orientações dos órgãos de controle.</w:t>
      </w:r>
    </w:p>
    <w:p>
      <w:pPr>
        <w:jc w:val="both"/>
        <w:widowControl/>
        <w:ind w:left="570" w:right="45" w:hanging="15"/>
        <w:spacing w:after="45"/>
      </w:pPr>
      <w:r>
        <w:rPr>
          <w:b/>
          <w:sz w:val="22"/>
        </w:rPr>
        <w:t>9.9.2</w:t>
      </w:r>
      <w:r>
        <w:rPr>
          <w:sz w:val="22"/>
        </w:rPr>
        <w:t xml:space="preserve"> - Em igualdade de condições, se não houver desempate, será assegurada preferência, sucessivamente, aos bens e serviços produzidos ou prestados por:</w:t>
      </w:r>
    </w:p>
    <w:p>
      <w:pPr>
        <w:jc w:val="both"/>
        <w:widowControl/>
        <w:ind w:right="45"/>
        <w:spacing w:after="45"/>
        <w:numPr>
          <w:ilvl w:val="0"/>
          <w:numId w:val="85"/>
        </w:numPr>
      </w:pPr>
      <w:r/>
      <w:r>
        <w:rPr>
          <w:sz w:val="22"/>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widowControl/>
        <w:ind w:right="45"/>
        <w:spacing w:after="45"/>
        <w:numPr>
          <w:ilvl w:val="0"/>
          <w:numId w:val="85"/>
        </w:numPr>
      </w:pPr>
      <w:r/>
      <w:r>
        <w:rPr>
          <w:sz w:val="22"/>
        </w:rPr>
        <w:t>– empresas brasileiras;</w:t>
      </w:r>
    </w:p>
    <w:p>
      <w:pPr>
        <w:jc w:val="both"/>
        <w:widowControl/>
        <w:ind w:right="45"/>
        <w:spacing w:after="45"/>
        <w:numPr>
          <w:ilvl w:val="0"/>
          <w:numId w:val="85"/>
        </w:numPr>
      </w:pPr>
      <w:r/>
      <w:r>
        <w:rPr>
          <w:sz w:val="22"/>
        </w:rPr>
        <w:t>– empresas que invistam em pesquisa e no desenvolvimento de tecnologia no País;</w:t>
      </w:r>
    </w:p>
    <w:p>
      <w:pPr>
        <w:jc w:val="both"/>
        <w:widowControl/>
        <w:ind w:right="45"/>
        <w:spacing w:after="45"/>
        <w:numPr>
          <w:ilvl w:val="0"/>
          <w:numId w:val="85"/>
        </w:numPr>
      </w:pPr>
      <w:r/>
      <w:r>
        <w:rPr>
          <w:sz w:val="22"/>
        </w:rPr>
        <w:t>– empresas que comprovem a prática de mitigação, nos termos da Lei nº 12.187, de 29 de dezembro de 2009.</w:t>
      </w:r>
    </w:p>
    <w:p>
      <w:pPr>
        <w:jc w:val="both"/>
        <w:widowControl/>
        <w:ind w:left="60" w:right="45" w:hanging="15"/>
        <w:spacing w:after="45"/>
        <w:tabs>
          <w:tab w:val="left" w:pos="570"/>
        </w:tabs>
      </w:pPr>
      <w:r>
        <w:rPr>
          <w:b/>
          <w:sz w:val="22"/>
        </w:rPr>
        <w:t>9.10</w:t>
      </w:r>
      <w:r>
        <w:rPr>
          <w:sz w:val="22"/>
        </w:rPr>
        <w:tab/>
      </w:r>
      <w:r>
        <w:rPr>
          <w:sz w:val="22"/>
        </w:rPr>
        <w:t>- As regras previstas no item 9.14.2 não prejudicarão a aplicação do disposto no art. 44 da Lei Complementar nº 123, de 14 de dezembro de 2006.</w:t>
      </w:r>
    </w:p>
    <w:p>
      <w:pPr>
        <w:jc w:val="both"/>
        <w:widowControl/>
        <w:ind w:left="60" w:right="45" w:hanging="15"/>
        <w:spacing w:after="45"/>
        <w:tabs>
          <w:tab w:val="left" w:pos="570"/>
        </w:tabs>
      </w:pPr>
      <w:r>
        <w:rPr>
          <w:b/>
          <w:sz w:val="22"/>
        </w:rPr>
        <w:t>9.11</w:t>
      </w:r>
      <w:r>
        <w:rPr>
          <w:sz w:val="22"/>
        </w:rPr>
        <w:tab/>
      </w:r>
      <w:r>
        <w:rPr>
          <w:sz w:val="22"/>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480" w:right="45" w:hanging="450"/>
        <w:spacing w:after="45"/>
      </w:pPr>
      <w:r>
        <w:rPr>
          <w:b/>
          <w:sz w:val="22"/>
        </w:rPr>
        <w:t>9.12</w:t>
      </w:r>
      <w:r>
        <w:rPr>
          <w:b/>
          <w:sz w:val="22"/>
        </w:rPr>
        <w:tab/>
      </w:r>
      <w:r>
        <w:rPr>
          <w:sz w:val="22"/>
        </w:rPr>
        <w:t>- A negociação será realizada por meio do sistema, podendo ser acompanhada pelos demais licitantes.</w:t>
      </w:r>
    </w:p>
    <w:p>
      <w:pPr>
        <w:jc w:val="both"/>
        <w:widowControl/>
        <w:ind w:left="480" w:right="45" w:hanging="450"/>
        <w:spacing w:after="45"/>
      </w:pPr>
      <w:r>
        <w:rPr>
          <w:b/>
          <w:sz w:val="22"/>
        </w:rPr>
        <w:t>9.13</w:t>
      </w:r>
      <w:r>
        <w:rPr>
          <w:sz w:val="22"/>
        </w:rPr>
        <w:tab/>
      </w:r>
      <w:r>
        <w:rPr>
          <w:sz w:val="22"/>
        </w:rPr>
        <w:t>- É vedada a desistência dos lances já ofertados sujeitando-se o proponente às sanções previstas nas leis pertinentes.</w:t>
      </w:r>
    </w:p>
    <w:p>
      <w:pPr>
        <w:jc w:val="both"/>
        <w:widowControl/>
        <w:ind w:left="480" w:right="45" w:hanging="450"/>
        <w:spacing w:after="45"/>
      </w:pPr>
      <w:r>
        <w:rPr>
          <w:sz w:val="22"/>
          <w:color w:val="FFFFFF"/>
        </w:rPr>
        <w:t/>
      </w:r>
    </w:p>
    <w:p>
      <w:pPr>
        <w:outlineLvl w:val="0"/>
        <w:keepLines/>
        <w:keepNext/>
        <w:widowControl/>
        <w:spacing w:after="45"/>
        <w:shd w:val="clear" w:color="auto" w:fill="0D0D0D"/>
        <w:tabs>
          <w:tab w:val="left" w:pos="285"/>
          <w:tab w:val="center" w:pos="3135"/>
        </w:tabs>
      </w:pPr>
      <w:r>
        <w:rPr>
          <w:b/>
          <w:sz w:val="22"/>
          <w:color w:val="FFFFFF"/>
        </w:rPr>
        <w:t>10</w:t>
      </w:r>
      <w:r>
        <w:rPr>
          <w:b/>
          <w:sz w:val="22"/>
          <w:color w:val="FFFFFF"/>
        </w:rPr>
        <w:tab/>
      </w:r>
      <w:r>
        <w:rPr>
          <w:b/>
          <w:sz w:val="22"/>
          <w:color w:val="FFFFFF"/>
        </w:rPr>
        <w:t>- DA MANIFESTAÇÃO DOS RECURSOS DO PROCESSO</w:t>
      </w:r>
    </w:p>
    <w:p>
      <w:pPr>
        <w:jc w:val="both"/>
        <w:widowControl/>
        <w:ind w:left="285" w:right="45" w:hanging="15"/>
        <w:spacing w:after="45"/>
      </w:pPr>
      <w:r>
        <w:rPr>
          <w:b/>
          <w:sz w:val="22"/>
        </w:rPr>
        <w:t>10.1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10.2</w:t>
      </w:r>
      <w:r>
        <w:rPr>
          <w:sz w:val="22"/>
        </w:rPr>
        <w:t xml:space="preserve"> - O acolhimento do recurso invalida tão somente os atos insuscetíveis de aproveitamento.</w:t>
      </w:r>
    </w:p>
    <w:p>
      <w:pPr>
        <w:jc w:val="both"/>
        <w:widowControl/>
        <w:ind w:left="285" w:right="45" w:hanging="15"/>
        <w:spacing w:after="45"/>
      </w:pPr>
      <w:r>
        <w:rPr>
          <w:b/>
          <w:sz w:val="22"/>
        </w:rPr>
        <w:t>10.3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pPr>
        <w:jc w:val="both"/>
        <w:widowControl/>
        <w:ind w:left="285" w:right="45" w:hanging="15"/>
        <w:spacing w:after="45"/>
      </w:pPr>
      <w:r>
        <w:rPr>
          <w:b/>
          <w:sz w:val="22"/>
        </w:rPr>
        <w:t>10.4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pPr>
        <w:jc w:val="both"/>
        <w:widowControl/>
        <w:ind w:left="285" w:right="45" w:hanging="15"/>
        <w:spacing w:after="45"/>
      </w:pPr>
      <w:r>
        <w:rPr>
          <w:b/>
          <w:sz w:val="22"/>
        </w:rPr>
        <w:t>10.5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pPr>
        <w:jc w:val="both"/>
        <w:widowControl/>
        <w:ind w:left="285" w:right="45" w:hanging="15"/>
        <w:spacing w:after="45"/>
      </w:pPr>
      <w:r>
        <w:rPr>
          <w:b/>
          <w:sz w:val="22"/>
        </w:rPr>
        <w:t>10.6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pPr>
        <w:jc w:val="both"/>
        <w:widowControl/>
        <w:ind w:left="285" w:right="45" w:hanging="15"/>
        <w:spacing w:after="45"/>
      </w:pPr>
      <w:r>
        <w:rPr>
          <w:b/>
          <w:sz w:val="22"/>
        </w:rPr>
        <w:t>10.7</w:t>
      </w:r>
      <w:r>
        <w:rPr>
          <w:sz w:val="22"/>
        </w:rPr>
        <w:t xml:space="preserve"> - A falta de manifestação imediata e motivada da licitante importará na decadência do direito de recurso e adjudicação do objeto pelo Agente de Contratação à vencedora.</w:t>
      </w:r>
    </w:p>
    <w:p>
      <w:pPr>
        <w:jc w:val="both"/>
        <w:widowControl/>
        <w:ind w:left="285" w:right="45" w:hanging="15"/>
        <w:spacing w:after="45"/>
      </w:pPr>
      <w:r>
        <w:rPr>
          <w:b/>
          <w:sz w:val="22"/>
        </w:rPr>
        <w:t>10.8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10.9</w:t>
      </w:r>
      <w:r>
        <w:rPr>
          <w:sz w:val="22"/>
        </w:rPr>
        <w:t xml:space="preserve"> - O acolhimento do recurso importará na invalidação apenas dos atos insuscetíveis de aproveitamento.</w:t>
      </w:r>
    </w:p>
    <w:p>
      <w:pPr>
        <w:jc w:val="both"/>
        <w:widowControl/>
        <w:ind w:left="285" w:right="45" w:hanging="15"/>
        <w:spacing w:after="45"/>
      </w:pPr>
      <w:r>
        <w:rPr>
          <w:b/>
          <w:sz w:val="22"/>
        </w:rPr>
        <w:t>10.10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pPr>
        <w:jc w:val="both"/>
        <w:widowControl/>
        <w:ind w:left="285" w:right="45" w:hanging="15"/>
        <w:spacing w:after="45"/>
      </w:pPr>
      <w:r>
        <w:rPr>
          <w:b/>
          <w:sz w:val="22"/>
        </w:rPr>
        <w:t>10.11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pPr>
        <w:jc w:val="both"/>
        <w:widowControl/>
        <w:ind w:left="285" w:right="45" w:hanging="15"/>
        <w:spacing w:after="45"/>
      </w:pPr>
      <w:r>
        <w:rPr>
          <w:b/>
          <w:sz w:val="22"/>
        </w:rPr>
        <w:t>10.12</w:t>
      </w:r>
      <w:r>
        <w:rPr>
          <w:sz w:val="22"/>
        </w:rPr>
        <w:t xml:space="preserve"> - O recurso e o pedido de reconsideração terão efeito suspensivo do ato ou da decisão recorrida até que sobrevenha decisão final da autoridade competente.</w:t>
      </w:r>
    </w:p>
    <w:p>
      <w:pPr>
        <w:jc w:val="both"/>
        <w:widowControl/>
        <w:ind w:left="285" w:right="45" w:hanging="15"/>
        <w:spacing w:after="45"/>
      </w:pPr>
      <w:r>
        <w:rPr>
          <w:b/>
          <w:sz w:val="22"/>
        </w:rPr>
        <w:t>10.13</w:t>
      </w:r>
      <w:r>
        <w:rPr>
          <w:sz w:val="22"/>
        </w:rPr>
        <w:t xml:space="preserve"> - O acolhimento de recurso importará na invalidação apenas dos atos insuscetíveis de aproveitamento.</w:t>
      </w:r>
    </w:p>
    <w:p>
      <w:pPr>
        <w:jc w:val="both"/>
        <w:widowControl/>
        <w:ind w:left="285" w:right="45" w:hanging="15"/>
        <w:spacing w:after="45"/>
      </w:pPr>
      <w:r>
        <w:rPr>
          <w:b/>
          <w:sz w:val="22"/>
        </w:rPr>
        <w:t>10.14</w:t>
      </w:r>
      <w:r>
        <w:rPr>
          <w:sz w:val="22"/>
        </w:rPr>
        <w:t xml:space="preserve"> - Na contagem dos prazos excluir-se-á o dia de início e incluir-se-á o do vencimento.</w:t>
      </w:r>
    </w:p>
    <w:p>
      <w:pPr>
        <w:jc w:val="both"/>
        <w:widowControl/>
        <w:ind w:left="285" w:right="45" w:hanging="15"/>
        <w:spacing w:after="45"/>
      </w:pPr>
      <w:r>
        <w:rPr>
          <w:b/>
          <w:sz w:val="22"/>
        </w:rPr>
        <w:t>10.15</w:t>
      </w:r>
      <w:r>
        <w:rPr>
          <w:sz w:val="22"/>
        </w:rPr>
        <w:t xml:space="preserve"> - Os prazos previstos iniciam e expiram exclusivamente em dia de expediente no âmbito do Município de Guairaçá.-PR.</w:t>
      </w:r>
    </w:p>
    <w:p>
      <w:pPr>
        <w:jc w:val="both"/>
        <w:widowControl/>
        <w:ind w:left="60" w:right="45" w:hanging="15"/>
        <w:spacing w:after="45"/>
      </w:pPr>
      <w:r>
        <w:rPr>
          <w:rFonts w:ascii="Times New Roman" w:hAnsi="Times New Roman" w:cs="Times New Roman" w:eastAsia="Times New Roman"/>
          <w:sz w:val="22"/>
        </w:rPr>
        <w:t/>
      </w:r>
    </w:p>
    <w:p>
      <w:pPr>
        <w:outlineLvl w:val="0"/>
        <w:keepLines/>
        <w:keepNext/>
        <w:widowControl/>
        <w:spacing w:after="45"/>
        <w:shd w:val="clear" w:color="auto" w:fill="0D0D0D"/>
        <w:tabs>
          <w:tab w:val="left" w:pos="285"/>
          <w:tab w:val="center" w:pos="2310"/>
        </w:tabs>
      </w:pPr>
      <w:r>
        <w:rPr>
          <w:b/>
          <w:sz w:val="22"/>
          <w:color w:val="FFFFFF"/>
        </w:rPr>
        <w:t>11</w:t>
      </w:r>
      <w:r>
        <w:rPr>
          <w:b/>
          <w:sz w:val="22"/>
          <w:color w:val="FFFFFF"/>
        </w:rPr>
        <w:tab/>
      </w:r>
      <w:r>
        <w:rPr>
          <w:b/>
          <w:sz w:val="22"/>
          <w:color w:val="FFFFFF"/>
        </w:rPr>
        <w:t>- DA HOMOLOGAÇÃO/ADJUDICAÇÃO</w:t>
      </w:r>
    </w:p>
    <w:p>
      <w:pPr>
        <w:jc w:val="both"/>
        <w:widowControl/>
        <w:ind w:left="285" w:right="45" w:hanging="15"/>
        <w:spacing w:after="45"/>
      </w:pPr>
      <w:r>
        <w:rPr>
          <w:b/>
          <w:sz w:val="22"/>
        </w:rPr>
        <w:t>11.1</w:t>
      </w:r>
      <w:r>
        <w:rPr>
          <w:sz w:val="22"/>
        </w:rPr>
        <w:t xml:space="preserve"> - Finalizada a fase recursal e definido o resultado de julgamento o Agente de Contratação ou a Equipe de apoio fará a adjudicação do objeto do presente certame à Licitante vencedora.</w:t>
      </w:r>
    </w:p>
    <w:p>
      <w:pPr>
        <w:jc w:val="both"/>
        <w:widowControl/>
        <w:ind w:left="285" w:right="45" w:hanging="15"/>
        <w:spacing w:after="45"/>
      </w:pPr>
      <w:r>
        <w:rPr>
          <w:b/>
          <w:sz w:val="22"/>
        </w:rPr>
        <w:t>11.2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pPr>
        <w:jc w:val="both"/>
        <w:widowControl/>
        <w:ind w:left="285" w:right="45" w:hanging="15"/>
        <w:spacing w:after="45"/>
      </w:pPr>
      <w:r>
        <w:rPr>
          <w:b/>
          <w:sz w:val="22"/>
        </w:rPr>
        <w:t xml:space="preserve">11.3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jc w:val="both"/>
        <w:widowControl/>
        <w:ind w:left="285" w:right="45" w:hanging="15"/>
        <w:spacing w:after="45"/>
      </w:pPr>
      <w:r>
        <w:rPr>
          <w:b/>
          <w:sz w:val="22"/>
        </w:rPr>
        <w:t>11.4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pPr>
        <w:jc w:val="both"/>
        <w:widowControl/>
        <w:ind w:right="45"/>
        <w:spacing w:after="45"/>
        <w:numPr>
          <w:ilvl w:val="0"/>
          <w:numId w:val="54"/>
        </w:numPr>
      </w:pPr>
      <w:r/>
      <w:r>
        <w:rPr>
          <w:sz w:val="22"/>
        </w:rPr>
        <w:t>- convocar os licitantes remanescentes para negociação, na ordem de classificação, com vistas à obtenção de preço melhor, mesmo que acima do preço do adjudicatário;</w:t>
      </w:r>
    </w:p>
    <w:p>
      <w:pPr>
        <w:jc w:val="both"/>
        <w:widowControl/>
        <w:ind w:right="45"/>
        <w:spacing w:after="45"/>
        <w:numPr>
          <w:ilvl w:val="0"/>
          <w:numId w:val="54"/>
        </w:numPr>
      </w:pPr>
      <w:r/>
      <w:r>
        <w:rPr>
          <w:sz w:val="22"/>
        </w:rPr>
        <w:t>- adjudicar e celebrar o contrato nas condições ofertadas pelos licitantes remanescentes, atendida a ordem classificatória, quando frustrada a negociação de melhor condição.</w:t>
      </w:r>
    </w:p>
    <w:p>
      <w:pPr>
        <w:jc w:val="both"/>
        <w:widowControl/>
        <w:ind w:left="60" w:right="4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12 - DA ASSINATURA DO CONTRATO</w:t>
      </w:r>
    </w:p>
    <w:p>
      <w:pPr>
        <w:jc w:val="both"/>
        <w:widowControl/>
        <w:ind w:left="420" w:right="45" w:hanging="15"/>
        <w:spacing w:after="45"/>
      </w:pPr>
      <w:r>
        <w:rPr>
          <w:b/>
          <w:sz w:val="22"/>
        </w:rPr>
        <w:t>12.1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13 – DA EXECUÇÃO E FISCALIZAÇÃO E RECEBIMENTO DO OBJETO</w:t>
      </w:r>
    </w:p>
    <w:p>
      <w:pPr>
        <w:jc w:val="both"/>
        <w:widowControl/>
        <w:ind w:left="285" w:right="45" w:hanging="15"/>
        <w:spacing w:after="45"/>
      </w:pPr>
      <w:r>
        <w:rPr>
          <w:b/>
          <w:sz w:val="22"/>
        </w:rPr>
        <w:t>13.1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pPr>
        <w:jc w:val="both"/>
        <w:widowControl/>
        <w:ind w:right="45"/>
        <w:spacing w:after="45"/>
        <w:numPr>
          <w:ilvl w:val="0"/>
          <w:numId w:val="68"/>
        </w:numPr>
      </w:pPr>
      <w:r/>
      <w:r>
        <w:rPr>
          <w:sz w:val="22"/>
        </w:rPr>
        <w:t>- atestar, em documento hábil, o fornecimento e a entrega dos serviços executados e após conferência prévia do objeto contratado encaminhar os documentos pertinentes ao gestor para certificação;</w:t>
      </w:r>
    </w:p>
    <w:p>
      <w:pPr>
        <w:jc w:val="both"/>
        <w:widowControl/>
        <w:ind w:right="45"/>
        <w:spacing w:after="45"/>
        <w:numPr>
          <w:ilvl w:val="0"/>
          <w:numId w:val="68"/>
        </w:numPr>
      </w:pPr>
      <w:r/>
      <w:r>
        <w:rPr>
          <w:sz w:val="22"/>
        </w:rPr>
        <w:t>- confrontar os preços e quantidades constantes da nota fiscal com os estabelecidos no contrato;</w:t>
      </w:r>
    </w:p>
    <w:p>
      <w:pPr>
        <w:jc w:val="both"/>
        <w:widowControl/>
        <w:ind w:right="45"/>
        <w:spacing w:after="45"/>
        <w:numPr>
          <w:ilvl w:val="0"/>
          <w:numId w:val="68"/>
        </w:numPr>
      </w:pPr>
      <w:r/>
      <w:r>
        <w:rPr>
          <w:sz w:val="22"/>
        </w:rPr>
        <w:t>- verificar se o prazo de entrega, especificações e quantidades encontram-se de acordo com o estabelecido no instrumento contratual;</w:t>
      </w:r>
    </w:p>
    <w:p>
      <w:pPr>
        <w:jc w:val="both"/>
        <w:widowControl/>
        <w:ind w:right="45"/>
        <w:spacing w:after="45"/>
        <w:numPr>
          <w:ilvl w:val="0"/>
          <w:numId w:val="68"/>
        </w:numPr>
      </w:pPr>
      <w:r/>
      <w:r>
        <w:rPr>
          <w:sz w:val="22"/>
        </w:rPr>
        <w:t>- comunicar ao gestor eventuais atrasos nos prazos de entrega e/ou execução do objeto, bem como os pedidos de prorrogação, se for o caso;</w:t>
      </w:r>
    </w:p>
    <w:p>
      <w:pPr>
        <w:jc w:val="both"/>
        <w:widowControl/>
        <w:ind w:right="45"/>
        <w:spacing w:after="45"/>
        <w:numPr>
          <w:ilvl w:val="0"/>
          <w:numId w:val="68"/>
        </w:numPr>
      </w:pPr>
      <w:r/>
      <w:r>
        <w:rPr>
          <w:sz w:val="22"/>
        </w:rPr>
        <w:t>- acompanhar e controlar, quando for o caso, o estoque de materiais de reposição, destinado à execução do objeto contratado, relativamente à qualidade e quantidade necessárias e /ou previstas contratualmente;</w:t>
      </w:r>
    </w:p>
    <w:p>
      <w:pPr>
        <w:jc w:val="both"/>
        <w:widowControl/>
        <w:ind w:right="45"/>
        <w:spacing w:after="45"/>
        <w:numPr>
          <w:ilvl w:val="0"/>
          <w:numId w:val="68"/>
        </w:numPr>
      </w:pPr>
      <w:r/>
      <w:r>
        <w:rPr>
          <w:sz w:val="22"/>
        </w:rPr>
        <w:t>- informar, em prazo hábil no caso de haver necessidade de acréscimos ou supressões no objeto do contrato ao gestor do contrato;</w:t>
      </w:r>
    </w:p>
    <w:p>
      <w:pPr>
        <w:jc w:val="both"/>
        <w:widowControl/>
        <w:ind w:right="45"/>
        <w:spacing w:after="45"/>
        <w:numPr>
          <w:ilvl w:val="0"/>
          <w:numId w:val="68"/>
        </w:numPr>
      </w:pPr>
      <w:r/>
      <w:r>
        <w:rPr>
          <w:sz w:val="22"/>
        </w:rPr>
        <w:t>- emitir e controlar, periodicamente, as ordens de serviço necessárias para a execução do objeto contratado;</w:t>
      </w:r>
    </w:p>
    <w:p>
      <w:pPr>
        <w:jc w:val="both"/>
        <w:widowControl/>
        <w:ind w:left="285" w:right="45"/>
        <w:spacing w:after="45"/>
      </w:pPr>
      <w:r>
        <w:rPr>
          <w:b/>
          <w:sz w:val="22"/>
        </w:rPr>
        <w:t>13.2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pPr>
        <w:jc w:val="both"/>
        <w:widowControl/>
        <w:ind w:left="285" w:right="45"/>
        <w:spacing w:after="45"/>
      </w:pPr>
      <w:r>
        <w:rPr>
          <w:b/>
          <w:sz w:val="22"/>
        </w:rPr>
        <w:t>13.3</w:t>
      </w:r>
      <w:r>
        <w:rPr>
          <w:sz w:val="22"/>
        </w:rPr>
        <w:tab/>
      </w:r>
      <w:r>
        <w:rPr>
          <w:sz w:val="22"/>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pPr>
        <w:jc w:val="both"/>
        <w:widowControl/>
        <w:ind w:left="285" w:right="45"/>
        <w:spacing w:after="45"/>
      </w:pPr>
      <w:r>
        <w:rPr>
          <w:b/>
          <w:sz w:val="22"/>
        </w:rPr>
        <w:t>13.4</w:t>
      </w:r>
      <w:r>
        <w:rPr>
          <w:sz w:val="22"/>
        </w:rPr>
        <w:tab/>
      </w:r>
      <w:r>
        <w:rPr>
          <w:sz w:val="22"/>
        </w:rPr>
        <w:t>– À Administração não caberá qualquer ônus pela rejeição dos produtos considerados inadequados.</w:t>
      </w:r>
    </w:p>
    <w:p>
      <w:pPr>
        <w:jc w:val="both"/>
        <w:widowControl/>
        <w:ind w:left="285" w:right="45"/>
        <w:spacing w:after="45"/>
      </w:pPr>
      <w:r>
        <w:rPr>
          <w:b/>
          <w:sz w:val="22"/>
        </w:rPr>
        <w:t>13.5</w:t>
      </w:r>
      <w:r>
        <w:rPr>
          <w:sz w:val="22"/>
        </w:rPr>
        <w:tab/>
      </w:r>
      <w:r>
        <w:rPr>
          <w:sz w:val="22"/>
        </w:rPr>
        <w:t>- Ao preposto da empresa vencedora competirá, entre outras atribuições:</w:t>
      </w:r>
    </w:p>
    <w:p>
      <w:pPr>
        <w:jc w:val="both"/>
        <w:widowControl/>
        <w:ind w:right="45"/>
        <w:spacing w:after="45"/>
        <w:numPr>
          <w:ilvl w:val="0"/>
          <w:numId w:val="69"/>
        </w:numPr>
      </w:pPr>
      <w:r/>
      <w:r>
        <w:rPr>
          <w:sz w:val="22"/>
        </w:rPr>
        <w:t xml:space="preserve"> representar os interesses da empresa perante a Administração;</w:t>
      </w:r>
    </w:p>
    <w:p>
      <w:pPr>
        <w:jc w:val="both"/>
        <w:widowControl/>
        <w:ind w:right="45"/>
        <w:spacing w:after="45"/>
        <w:numPr>
          <w:ilvl w:val="0"/>
          <w:numId w:val="69"/>
        </w:numPr>
      </w:pPr>
      <w:r/>
      <w:r>
        <w:rPr>
          <w:sz w:val="22"/>
        </w:rPr>
        <w:t xml:space="preserve"> realizar os procedimentos administrativos junto a Administração;</w:t>
      </w:r>
    </w:p>
    <w:p>
      <w:pPr>
        <w:jc w:val="both"/>
        <w:widowControl/>
        <w:ind w:right="45"/>
        <w:spacing w:after="45"/>
        <w:numPr>
          <w:ilvl w:val="0"/>
          <w:numId w:val="69"/>
        </w:numPr>
      </w:pPr>
      <w:r/>
      <w:r>
        <w:rPr>
          <w:sz w:val="22"/>
        </w:rPr>
        <w:t xml:space="preserve"> manter a Administração informada sobre o andamento e a qualidade dos produtos fornecidos;</w:t>
      </w:r>
    </w:p>
    <w:p>
      <w:pPr>
        <w:jc w:val="both"/>
        <w:widowControl/>
        <w:ind w:right="45"/>
        <w:spacing w:after="45"/>
        <w:numPr>
          <w:ilvl w:val="0"/>
          <w:numId w:val="69"/>
        </w:numPr>
      </w:pPr>
      <w:r/>
      <w:r>
        <w:rPr>
          <w:sz w:val="22"/>
        </w:rPr>
        <w:t xml:space="preserve"> comunicar eventuais irregularidades de caráter urgente, por escrito, ao fiscal do contrato com os esclarecimentos julgados necessários.</w:t>
      </w:r>
    </w:p>
    <w:p>
      <w:pPr>
        <w:jc w:val="both"/>
        <w:widowControl/>
        <w:ind w:left="285" w:right="45"/>
        <w:spacing w:after="45"/>
      </w:pPr>
      <w:r>
        <w:rPr>
          <w:b/>
          <w:sz w:val="22"/>
        </w:rPr>
        <w:t>13.6</w:t>
      </w:r>
      <w:r>
        <w:rPr>
          <w:sz w:val="22"/>
        </w:rPr>
        <w:tab/>
      </w:r>
      <w:r>
        <w:rPr>
          <w:sz w:val="22"/>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pPr>
        <w:jc w:val="both"/>
        <w:widowControl/>
        <w:ind w:left="285" w:right="45" w:hanging="15"/>
        <w:spacing w:after="45"/>
      </w:pPr>
      <w:r>
        <w:rPr>
          <w:b/>
          <w:sz w:val="22"/>
        </w:rPr>
        <w:t>13.7</w:t>
      </w:r>
      <w:r>
        <w:rPr>
          <w:sz w:val="22"/>
        </w:rPr>
        <w:tab/>
      </w:r>
      <w:r>
        <w:rPr>
          <w:sz w:val="22"/>
        </w:rPr>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pPr>
        <w:jc w:val="both"/>
        <w:widowControl/>
        <w:ind w:left="285" w:right="45" w:hanging="15"/>
        <w:spacing w:after="45"/>
      </w:pPr>
      <w:r>
        <w:rPr>
          <w:b/>
          <w:sz w:val="22"/>
        </w:rPr>
        <w:t>13.8</w:t>
      </w:r>
      <w:r>
        <w:rPr>
          <w:sz w:val="22"/>
        </w:rPr>
        <w:tab/>
      </w:r>
      <w:r>
        <w:rPr>
          <w:sz w:val="22"/>
        </w:rPr>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pPr>
        <w:jc w:val="both"/>
        <w:widowControl/>
        <w:ind w:left="285" w:right="45" w:hanging="15"/>
        <w:spacing w:after="45"/>
      </w:pPr>
      <w:r>
        <w:rPr>
          <w:b/>
          <w:sz w:val="22"/>
        </w:rPr>
        <w:t>13.9</w:t>
      </w:r>
      <w:r>
        <w:rPr>
          <w:sz w:val="22"/>
        </w:rPr>
        <w:tab/>
      </w:r>
      <w:r>
        <w:rPr>
          <w:sz w:val="22"/>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14 - DAS OBRIGAÇÕES</w:t>
      </w:r>
    </w:p>
    <w:p>
      <w:pPr>
        <w:jc w:val="both"/>
        <w:outlineLvl w:val="1"/>
        <w:keepLines/>
        <w:keepNext/>
        <w:widowControl/>
        <w:ind w:left="285" w:right="45" w:hanging="15"/>
        <w:spacing w:after="45"/>
      </w:pPr>
      <w:r>
        <w:rPr>
          <w:b/>
          <w:sz w:val="22"/>
        </w:rPr>
        <w:t>14.1 - Obrigações da CONTRATADA</w:t>
      </w:r>
    </w:p>
    <w:p>
      <w:pPr>
        <w:jc w:val="both"/>
        <w:widowControl/>
        <w:ind w:left="705" w:right="45" w:hanging="15"/>
        <w:spacing w:after="45"/>
      </w:pPr>
      <w:r>
        <w:rPr>
          <w:b/>
          <w:sz w:val="22"/>
        </w:rPr>
        <w:t>14.1.1</w:t>
      </w:r>
      <w:r>
        <w:rPr>
          <w:sz w:val="22"/>
        </w:rPr>
        <w:t xml:space="preserve"> - A Contratada deve cumprir todas as obrigações constantes no Edital, no contrato, e seus anexos, assumindo como exclusivamente seus os riscos e as despesas decorrentes da boa e perfeita execução do objeto e, ainda:</w:t>
      </w:r>
    </w:p>
    <w:p>
      <w:pPr>
        <w:jc w:val="both"/>
        <w:widowControl/>
        <w:ind w:left="1425" w:right="45" w:hanging="15"/>
        <w:spacing w:after="45"/>
      </w:pPr>
      <w:r>
        <w:rPr>
          <w:b/>
          <w:sz w:val="22"/>
        </w:rPr>
        <w:t xml:space="preserve">14.1.1.1 </w:t>
      </w:r>
      <w:r>
        <w:rPr>
          <w:sz w:val="22"/>
        </w:rPr>
        <w:t>- A Contratada deverá substituir, reparar ou corrigir, às suas expensas, no prazo máximo de 5 (cinco) dias o material/serviços com avarias, defeitos ou vícios;</w:t>
      </w:r>
    </w:p>
    <w:p>
      <w:pPr>
        <w:jc w:val="both"/>
        <w:widowControl/>
        <w:ind w:left="1425" w:right="45" w:hanging="15"/>
        <w:spacing w:after="45"/>
      </w:pPr>
      <w:r>
        <w:rPr>
          <w:b/>
          <w:sz w:val="22"/>
        </w:rPr>
        <w:t xml:space="preserve">14.1.1.2 </w:t>
      </w:r>
      <w:r>
        <w:rPr>
          <w:sz w:val="22"/>
        </w:rPr>
        <w:t>- A Contratada deverá comunicar à Contratante, no prazo máximo de 24 (vinte e quatro) horas que antecede a data da execução, os motivos que impossibilitem o cumprimento do prazo previsto, com a devida comprovação;</w:t>
      </w:r>
    </w:p>
    <w:p>
      <w:pPr>
        <w:jc w:val="both"/>
        <w:widowControl/>
        <w:ind w:left="1425" w:right="45" w:hanging="15"/>
        <w:spacing w:after="45"/>
      </w:pPr>
      <w:r>
        <w:rPr>
          <w:b/>
          <w:sz w:val="22"/>
        </w:rPr>
        <w:t>14.1.1.3</w:t>
      </w:r>
      <w:r>
        <w:rPr>
          <w:sz w:val="22"/>
        </w:rPr>
        <w:t xml:space="preserve"> - A Contratada deverá manter, durante toda a execução do contrato, em compatibilidade com as obrigações assumidas, todas as condições de habilitação e qualificação exigidas na licitação; </w:t>
      </w:r>
    </w:p>
    <w:p>
      <w:pPr>
        <w:jc w:val="both"/>
        <w:widowControl/>
        <w:ind w:left="1425" w:right="45" w:hanging="15"/>
        <w:spacing w:after="45"/>
      </w:pPr>
      <w:r>
        <w:rPr>
          <w:b/>
          <w:sz w:val="22"/>
        </w:rPr>
        <w:t>14.1.1.4</w:t>
      </w:r>
      <w:r>
        <w:rPr>
          <w:sz w:val="22"/>
        </w:rPr>
        <w:t xml:space="preserve"> - Manter instalações adequadas à execução do contrato, conforme especificado neste anexo.</w:t>
      </w:r>
    </w:p>
    <w:p>
      <w:pPr>
        <w:jc w:val="both"/>
        <w:widowControl/>
        <w:ind w:left="1425" w:right="45" w:hanging="15"/>
        <w:spacing w:after="45"/>
      </w:pPr>
      <w:r>
        <w:rPr>
          <w:b/>
          <w:sz w:val="22"/>
        </w:rPr>
        <w:t>14.1.1.5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1425" w:right="45" w:hanging="15"/>
        <w:spacing w:after="45"/>
      </w:pPr>
      <w:r>
        <w:rPr>
          <w:b/>
          <w:sz w:val="22"/>
        </w:rPr>
        <w:t>14.1.1.6</w:t>
      </w:r>
      <w:r>
        <w:rPr>
          <w:sz w:val="22"/>
        </w:rPr>
        <w:t xml:space="preserve"> - Fornecer toda a mão de obra, ferramental, equipamentos e materiais necessários à execução dos serviços.</w:t>
      </w:r>
    </w:p>
    <w:p>
      <w:pPr>
        <w:jc w:val="both"/>
        <w:widowControl/>
        <w:ind w:left="1425" w:right="45" w:hanging="15"/>
        <w:spacing w:after="45"/>
      </w:pPr>
      <w:r>
        <w:rPr>
          <w:b/>
          <w:sz w:val="22"/>
        </w:rPr>
        <w:t>14.1.1.7</w:t>
      </w:r>
      <w:r>
        <w:rPr>
          <w:sz w:val="22"/>
        </w:rPr>
        <w:t xml:space="preserve"> - Realizar todos os serviços descritos neste documento, e, diligenciar os casos omissos a fiscalização.</w:t>
      </w:r>
    </w:p>
    <w:p>
      <w:pPr>
        <w:jc w:val="both"/>
        <w:widowControl/>
        <w:ind w:left="1425" w:right="45" w:hanging="15"/>
        <w:spacing w:after="45"/>
      </w:pPr>
      <w:r>
        <w:rPr>
          <w:b/>
          <w:sz w:val="22"/>
        </w:rPr>
        <w:t>14.1.1.8</w:t>
      </w:r>
      <w:r>
        <w:rPr>
          <w:sz w:val="22"/>
        </w:rPr>
        <w:t xml:space="preserve"> - Providenciar equipamentos de segurança individuais e coletivos necessários à segurança na execução dos trabalhos, observando as normas de Segurança e Medicina do Trabalho.</w:t>
      </w:r>
    </w:p>
    <w:p>
      <w:pPr>
        <w:jc w:val="both"/>
        <w:widowControl/>
        <w:ind w:left="1425" w:right="45" w:hanging="15"/>
        <w:spacing w:after="45"/>
      </w:pPr>
      <w:r>
        <w:rPr>
          <w:b/>
          <w:sz w:val="22"/>
        </w:rPr>
        <w:t>14.1.1.9</w:t>
      </w:r>
      <w:r>
        <w:rPr>
          <w:sz w:val="22"/>
        </w:rPr>
        <w:t xml:space="preserve"> - Sinalizar, com equipamento adequado, conforme as normas e de acordo com as exigências do Código Nacional de Trânsito, os locais onde estiverem sendo executados os serviços.</w:t>
      </w:r>
    </w:p>
    <w:p>
      <w:pPr>
        <w:jc w:val="both"/>
        <w:widowControl/>
        <w:ind w:left="1425" w:right="45" w:hanging="15"/>
        <w:spacing w:after="45"/>
      </w:pPr>
      <w:r>
        <w:rPr>
          <w:b/>
          <w:sz w:val="22"/>
        </w:rPr>
        <w:t>14.1.1.10</w:t>
      </w:r>
      <w:r>
        <w:rPr>
          <w:sz w:val="22"/>
        </w:rPr>
        <w:t xml:space="preserve"> – Utilizar somente pessoal comprovadamente habilitado para todos os serviços técnicos e administrativos.</w:t>
      </w:r>
    </w:p>
    <w:p>
      <w:pPr>
        <w:jc w:val="both"/>
        <w:widowControl/>
        <w:ind w:left="1425" w:right="45" w:hanging="15"/>
        <w:spacing w:after="45"/>
      </w:pPr>
      <w:r>
        <w:rPr>
          <w:b/>
          <w:sz w:val="22"/>
        </w:rPr>
        <w:t>14.1.1.11</w:t>
      </w:r>
      <w:r>
        <w:rPr>
          <w:sz w:val="22"/>
        </w:rPr>
        <w:t xml:space="preserve"> - Manter seus empregados identificados e uniformizados.</w:t>
      </w:r>
    </w:p>
    <w:p>
      <w:pPr>
        <w:jc w:val="both"/>
        <w:widowControl/>
        <w:ind w:left="1425" w:right="45" w:hanging="15"/>
        <w:spacing w:after="45"/>
      </w:pPr>
      <w:r>
        <w:rPr>
          <w:b/>
          <w:sz w:val="22"/>
        </w:rPr>
        <w:t>14.1.1.12</w:t>
      </w:r>
      <w:r>
        <w:rPr>
          <w:sz w:val="22"/>
        </w:rPr>
        <w:t xml:space="preserve"> - A CONTRATADA deverá registrar Anotação de Responsabilidade Técnica dos serviços junto ao CREA, devendo a ser encaminhada via juntada à primeira Nota Fiscal/Fatura de Serviço.</w:t>
      </w:r>
    </w:p>
    <w:p>
      <w:pPr>
        <w:jc w:val="both"/>
        <w:outlineLvl w:val="1"/>
        <w:keepLines/>
        <w:keepNext/>
        <w:widowControl/>
        <w:ind w:left="285" w:right="45" w:hanging="15"/>
        <w:spacing w:after="45"/>
      </w:pPr>
      <w:r>
        <w:rPr>
          <w:b/>
          <w:sz w:val="24"/>
        </w:rPr>
        <w:t xml:space="preserve">14.2 - Obrigações da </w:t>
      </w:r>
      <w:r>
        <w:rPr>
          <w:b/>
          <w:sz w:val="22"/>
        </w:rPr>
        <w:t>CONTRATANTE</w:t>
      </w:r>
    </w:p>
    <w:p>
      <w:pPr>
        <w:jc w:val="both"/>
        <w:widowControl/>
        <w:ind w:left="705" w:right="45" w:hanging="15"/>
        <w:spacing w:after="45"/>
      </w:pPr>
      <w:r>
        <w:rPr>
          <w:b/>
          <w:sz w:val="22"/>
        </w:rPr>
        <w:t>14.2.1</w:t>
      </w:r>
      <w:r>
        <w:rPr>
          <w:sz w:val="22"/>
        </w:rPr>
        <w:t xml:space="preserve"> - Receber o objeto no prazo e condições estabelecidas no Edital e seus anexos;</w:t>
      </w:r>
    </w:p>
    <w:p>
      <w:pPr>
        <w:jc w:val="both"/>
        <w:widowControl/>
        <w:ind w:left="705" w:right="45" w:hanging="15"/>
        <w:spacing w:after="45"/>
      </w:pPr>
      <w:r>
        <w:rPr>
          <w:b/>
          <w:sz w:val="22"/>
        </w:rPr>
        <w:t>14.2.2</w:t>
      </w:r>
      <w:r>
        <w:rPr>
          <w:sz w:val="22"/>
        </w:rPr>
        <w:t xml:space="preserve"> - Verificar minuciosamente, no prazo fixado, a conformidade dos bens recebidos provisoriamente com as especificações constantes no Edital e da proposta, para fins de aceitação e recebimento definitivo;</w:t>
      </w:r>
    </w:p>
    <w:p>
      <w:pPr>
        <w:jc w:val="both"/>
        <w:widowControl/>
        <w:ind w:left="705" w:right="45" w:hanging="15"/>
        <w:spacing w:after="45"/>
      </w:pPr>
      <w:r>
        <w:rPr>
          <w:b/>
          <w:sz w:val="22"/>
        </w:rPr>
        <w:t>14.2.3</w:t>
      </w:r>
      <w:r>
        <w:rPr>
          <w:sz w:val="22"/>
        </w:rPr>
        <w:t xml:space="preserve"> - Comunicar a Contratada, por escrito, sobre imperfeições, falhas ou irregularidades verificadas no objeto fornecido, para que seja substituído, reparado ou corrigido;</w:t>
      </w:r>
    </w:p>
    <w:p>
      <w:pPr>
        <w:jc w:val="both"/>
        <w:widowControl/>
        <w:ind w:left="705" w:right="45" w:hanging="15"/>
        <w:spacing w:after="45"/>
      </w:pPr>
      <w:r>
        <w:rPr>
          <w:b/>
          <w:sz w:val="22"/>
        </w:rPr>
        <w:t>14.2.4</w:t>
      </w:r>
      <w:r>
        <w:rPr>
          <w:sz w:val="22"/>
        </w:rPr>
        <w:t xml:space="preserve"> - Acompanhar e fiscalizar o cumprimento das obrigações da Contratada, através de comissão/servidor especialmente designado;</w:t>
      </w:r>
    </w:p>
    <w:p>
      <w:pPr>
        <w:jc w:val="both"/>
        <w:widowControl/>
        <w:ind w:left="705" w:right="45" w:hanging="15"/>
        <w:spacing w:after="45"/>
      </w:pPr>
      <w:r>
        <w:rPr>
          <w:b/>
          <w:sz w:val="22"/>
        </w:rPr>
        <w:t>14.2.5</w:t>
      </w:r>
      <w:r>
        <w:rPr>
          <w:sz w:val="22"/>
        </w:rPr>
        <w:t xml:space="preserve"> - Efetuar o pagamento à Contratada no valor correspondente ao fornecimento do objeto, no prazo e forma estabelecidos no Edital e seus anexos;</w:t>
      </w:r>
    </w:p>
    <w:p>
      <w:pPr>
        <w:jc w:val="both"/>
        <w:widowControl/>
        <w:ind w:left="705" w:right="45" w:hanging="15"/>
        <w:spacing w:after="45"/>
      </w:pPr>
      <w:r>
        <w:rPr>
          <w:b/>
          <w:sz w:val="22"/>
        </w:rPr>
        <w:t>14.2.6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15 - DO PAGAMENTO</w:t>
      </w:r>
    </w:p>
    <w:p>
      <w:pPr>
        <w:jc w:val="both"/>
        <w:widowControl/>
        <w:ind w:left="285" w:right="45" w:hanging="15"/>
        <w:spacing w:after="45"/>
      </w:pPr>
      <w:r>
        <w:rPr>
          <w:b/>
          <w:sz w:val="22"/>
        </w:rPr>
        <w:t>15.1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pPr>
        <w:jc w:val="both"/>
        <w:widowControl/>
        <w:ind w:left="285" w:right="45" w:hanging="15"/>
        <w:spacing w:after="45"/>
      </w:pPr>
      <w:r>
        <w:rPr>
          <w:b/>
          <w:sz w:val="22"/>
        </w:rPr>
        <w:t>15.1.1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285" w:right="45" w:hanging="15"/>
        <w:spacing w:after="45"/>
      </w:pPr>
      <w:r>
        <w:rPr>
          <w:b/>
          <w:sz w:val="22"/>
        </w:rPr>
        <w:t>15.2</w:t>
      </w:r>
      <w:r>
        <w:rPr>
          <w:sz w:val="22"/>
        </w:rPr>
        <w:t xml:space="preserve"> O faturamento de cada parcela mensal deverá ser apresentado, conforme segue, de modo a padronizar condições e forma de apresentação:</w:t>
      </w:r>
    </w:p>
    <w:p>
      <w:pPr>
        <w:jc w:val="both"/>
        <w:widowControl/>
        <w:ind w:right="45"/>
        <w:spacing w:after="45"/>
        <w:tabs>
          <w:tab w:val="left" w:pos="990"/>
        </w:tabs>
        <w:numPr>
          <w:ilvl w:val="0"/>
          <w:numId w:val="51"/>
        </w:numPr>
      </w:pPr>
      <w: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pPr>
        <w:jc w:val="both"/>
        <w:widowControl/>
        <w:ind w:right="45"/>
        <w:spacing w:after="45"/>
        <w:tabs>
          <w:tab w:val="left" w:pos="990"/>
        </w:tabs>
        <w:numPr>
          <w:ilvl w:val="0"/>
          <w:numId w:val="51"/>
        </w:numPr>
      </w:pPr>
      <w:r/>
      <w:r>
        <w:rPr>
          <w:sz w:val="22"/>
        </w:rPr>
        <w:t xml:space="preserve"> A liberação da parcela referente a primeira medição fica condicionada à apresentação:</w:t>
      </w:r>
    </w:p>
    <w:p>
      <w:pPr>
        <w:jc w:val="both"/>
        <w:widowControl/>
        <w:ind w:right="45"/>
        <w:spacing w:after="45"/>
        <w:numPr>
          <w:ilvl w:val="3"/>
          <w:numId w:val="51"/>
        </w:numPr>
      </w:pPr>
      <w:r/>
      <w:r>
        <w:rPr>
          <w:sz w:val="22"/>
        </w:rPr>
        <w:t>Cópia da ART de Execução.</w:t>
      </w:r>
    </w:p>
    <w:p>
      <w:pPr>
        <w:jc w:val="both"/>
        <w:widowControl/>
        <w:ind w:right="45"/>
        <w:spacing w:after="45"/>
        <w:numPr>
          <w:ilvl w:val="3"/>
          <w:numId w:val="51"/>
        </w:numPr>
      </w:pPr>
      <w:r/>
      <w:r>
        <w:rPr>
          <w:sz w:val="22"/>
        </w:rPr>
        <w:t>Da quitação junto ao INSS, através de matrícula e/ou CND.</w:t>
      </w:r>
    </w:p>
    <w:p>
      <w:pPr>
        <w:jc w:val="both"/>
        <w:widowControl/>
        <w:ind w:right="45"/>
        <w:spacing w:after="45"/>
        <w:tabs>
          <w:tab w:val="left" w:pos="1425"/>
        </w:tabs>
        <w:numPr>
          <w:ilvl w:val="3"/>
          <w:numId w:val="51"/>
        </w:numPr>
      </w:pPr>
      <w:r/>
      <w:r>
        <w:rPr>
          <w:sz w:val="22"/>
        </w:rPr>
        <w:t>Da quitação junto ao FGTS/CEF, através do CRF.</w:t>
      </w:r>
    </w:p>
    <w:p>
      <w:pPr>
        <w:jc w:val="both"/>
        <w:widowControl/>
        <w:ind w:left="705" w:right="45"/>
        <w:spacing w:after="45"/>
        <w:tabs>
          <w:tab w:val="left" w:pos="990"/>
        </w:tabs>
      </w:pPr>
      <w:r>
        <w:rPr>
          <w:sz w:val="22"/>
        </w:rPr>
        <w:t>e)</w:t>
      </w:r>
      <w:r>
        <w:rPr>
          <w:sz w:val="22"/>
        </w:rPr>
        <w:tab/>
      </w:r>
      <w:r>
        <w:rPr>
          <w:sz w:val="22"/>
        </w:rPr>
        <w:t>A liberação da última parcela fica condicionada à apresentação:</w:t>
      </w:r>
    </w:p>
    <w:p>
      <w:pPr>
        <w:jc w:val="both"/>
        <w:widowControl/>
        <w:ind w:right="45"/>
        <w:spacing w:after="45"/>
        <w:tabs>
          <w:tab w:val="left" w:pos="1275"/>
        </w:tabs>
        <w:numPr>
          <w:ilvl w:val="3"/>
          <w:numId w:val="56"/>
        </w:numPr>
      </w:pPr>
      <w:r/>
      <w:r>
        <w:rPr>
          <w:sz w:val="22"/>
        </w:rPr>
        <w:t xml:space="preserve"> Da certidão negativa de débitos, expedida pelo INSS, referente ao objeto contratado concluído.</w:t>
      </w:r>
    </w:p>
    <w:p>
      <w:pPr>
        <w:jc w:val="both"/>
        <w:widowControl/>
        <w:ind w:right="45"/>
        <w:spacing w:after="45"/>
        <w:tabs>
          <w:tab w:val="left" w:pos="1275"/>
        </w:tabs>
        <w:numPr>
          <w:ilvl w:val="3"/>
          <w:numId w:val="56"/>
        </w:numPr>
      </w:pPr>
      <w:r/>
      <w:r>
        <w:rPr>
          <w:sz w:val="22"/>
        </w:rPr>
        <w:t xml:space="preserve"> Do Termo de Recebimento Provisório.</w:t>
      </w:r>
    </w:p>
    <w:p>
      <w:pPr>
        <w:jc w:val="both"/>
        <w:widowControl/>
        <w:ind w:right="45"/>
        <w:spacing w:after="45"/>
        <w:tabs>
          <w:tab w:val="left" w:pos="1275"/>
        </w:tabs>
        <w:numPr>
          <w:ilvl w:val="3"/>
          <w:numId w:val="56"/>
        </w:numPr>
      </w:pPr>
      <w:r/>
      <w:r>
        <w:rPr>
          <w:sz w:val="22"/>
        </w:rPr>
        <w:t xml:space="preserve"> De comprovante, nos casos previstos, de ligações definitivas de água e energia elétrica. As despesas referentes ao consumo de água e energia, durante a execução da obra, são de inteira responsabilidade da contratada.</w:t>
      </w:r>
    </w:p>
    <w:p>
      <w:pPr>
        <w:jc w:val="both"/>
        <w:widowControl/>
        <w:ind w:left="285" w:right="45" w:hanging="15"/>
        <w:spacing w:after="45"/>
      </w:pPr>
      <w:r>
        <w:rPr>
          <w:b/>
          <w:sz w:val="22"/>
        </w:rPr>
        <w:t>15.3</w:t>
      </w:r>
      <w:r>
        <w:rPr>
          <w:sz w:val="22"/>
        </w:rPr>
        <w:t xml:space="preserve"> Os preços são fixos e irreajustáveis no prazo de 01 (um) ano, contado da data do orçamento estimado.</w:t>
      </w:r>
    </w:p>
    <w:p>
      <w:pPr>
        <w:jc w:val="both"/>
        <w:widowControl/>
        <w:ind w:left="705" w:right="45" w:hanging="15"/>
        <w:spacing w:after="45"/>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left="285" w:right="45" w:hanging="15"/>
        <w:spacing w:after="45"/>
      </w:pPr>
      <w:r>
        <w:rPr>
          <w:b/>
          <w:sz w:val="22"/>
        </w:rPr>
        <w:t>15.4</w:t>
      </w:r>
      <w:r>
        <w:rPr>
          <w:sz w:val="22"/>
        </w:rPr>
        <w:t>. Quando o Contratante atrasar o pagamento de contas decorrentes das contratações será aplicado o índice oficial INPC/IBGE para atualização monetária, nos termos do art. 37, inciso XXI, alínea “d”,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16 - DA CAUÇÃO CONTRATUAL</w:t>
      </w:r>
    </w:p>
    <w:p>
      <w:pPr>
        <w:jc w:val="both"/>
        <w:widowControl/>
        <w:ind w:left="285" w:right="45" w:hanging="15"/>
        <w:spacing w:after="45"/>
      </w:pPr>
      <w:r>
        <w:rPr>
          <w:b/>
          <w:sz w:val="22"/>
        </w:rPr>
        <w:t>16.1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780" w:right="45" w:hanging="15"/>
        <w:spacing w:after="45"/>
      </w:pPr>
      <w:r>
        <w:rPr>
          <w:b/>
          <w:sz w:val="22"/>
        </w:rPr>
        <w:t>16.1.1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pPr>
        <w:jc w:val="both"/>
        <w:widowControl/>
        <w:ind w:left="780" w:right="45" w:hanging="15"/>
        <w:spacing w:after="45"/>
      </w:pPr>
      <w:r>
        <w:rPr>
          <w:rFonts w:ascii="Calibri" w:hAnsi="Calibri" w:cs="Calibri" w:eastAsia="Calibri"/>
          <w:b/>
          <w:sz w:val="22"/>
        </w:rPr>
        <w:t/>
      </w:r>
    </w:p>
    <w:p>
      <w:pPr>
        <w:jc w:val="both"/>
        <w:widowControl/>
        <w:ind w:left="285" w:right="45" w:hanging="15"/>
        <w:spacing w:after="45"/>
      </w:pPr>
      <w:r>
        <w:rPr>
          <w:b/>
          <w:sz w:val="22"/>
        </w:rPr>
        <w:t>16.2</w:t>
      </w:r>
      <w:r>
        <w:rPr>
          <w:sz w:val="22"/>
        </w:rPr>
        <w:t xml:space="preserve"> - Caberá à licitante vencedora optar por uma das seguintes modalidades de garantia:</w:t>
      </w:r>
    </w:p>
    <w:p>
      <w:pPr>
        <w:jc w:val="both"/>
        <w:widowControl/>
        <w:ind w:right="45"/>
        <w:spacing w:after="45"/>
        <w:numPr>
          <w:ilvl w:val="0"/>
          <w:numId w:val="44"/>
        </w:numPr>
      </w:pPr>
      <w: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jc w:val="both"/>
        <w:widowControl/>
        <w:ind w:right="45"/>
        <w:spacing w:after="45"/>
        <w:numPr>
          <w:ilvl w:val="0"/>
          <w:numId w:val="44"/>
        </w:numPr>
      </w:pPr>
      <w: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pPr>
        <w:jc w:val="both"/>
        <w:widowControl/>
        <w:ind w:left="705" w:right="45" w:hanging="15"/>
        <w:spacing w:after="45"/>
        <w:tabs>
          <w:tab w:val="left" w:pos="990"/>
        </w:tabs>
      </w:pPr>
      <w:r>
        <w:rPr>
          <w:sz w:val="22"/>
        </w:rPr>
        <w:t>c)</w:t>
      </w:r>
      <w:r>
        <w:rPr>
          <w:sz w:val="22"/>
        </w:rPr>
        <w:tab/>
      </w:r>
      <w:r>
        <w:rPr>
          <w:sz w:val="22"/>
        </w:rPr>
        <w:t>Fiança bancária emitida por banco ou instituição financeira devidamente autorizada a operar no País pelo Banco Central do Brasil.</w:t>
      </w:r>
    </w:p>
    <w:p>
      <w:pPr>
        <w:jc w:val="both"/>
        <w:widowControl/>
        <w:ind w:left="285" w:right="45" w:hanging="15"/>
        <w:spacing w:after="45"/>
      </w:pPr>
      <w:r>
        <w:rPr>
          <w:b/>
          <w:sz w:val="22"/>
        </w:rPr>
        <w:t>16.3</w:t>
      </w:r>
      <w:r>
        <w:rPr>
          <w:sz w:val="22"/>
        </w:rPr>
        <w:tab/>
      </w:r>
      <w:r>
        <w:rPr>
          <w:sz w:val="22"/>
        </w:rPr>
        <w:t xml:space="preserve">–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w:t>
      </w:r>
    </w:p>
    <w:p>
      <w:pPr>
        <w:jc w:val="both"/>
        <w:widowControl/>
        <w:ind w:left="285" w:right="45" w:hanging="15"/>
        <w:spacing w:after="45"/>
      </w:pPr>
      <w:r>
        <w:rPr>
          <w:b/>
          <w:sz w:val="22"/>
        </w:rPr>
        <w:t>16.4</w:t>
      </w:r>
      <w:r>
        <w:rPr>
          <w:sz w:val="22"/>
        </w:rPr>
        <w:tab/>
      </w:r>
      <w:r>
        <w:rPr>
          <w:sz w:val="22"/>
        </w:rPr>
        <w:t>- A Prefeitura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285" w:right="45" w:hanging="15"/>
        <w:spacing w:after="45"/>
      </w:pPr>
      <w:r>
        <w:rPr>
          <w:b/>
          <w:sz w:val="22"/>
        </w:rPr>
        <w:t>16.5</w:t>
      </w:r>
      <w:r>
        <w:rPr>
          <w:sz w:val="22"/>
        </w:rPr>
        <w:tab/>
      </w:r>
      <w:r>
        <w:rPr>
          <w:sz w:val="22"/>
        </w:rPr>
        <w:t>- Em caso de rescisão do contrato ou de interrupção dos serviços, não será devolvida a garantia, a menos que a rescisão ou paralisação decorram de acordo com a Prefeitura, nos termos da legislação vigente.</w:t>
      </w:r>
    </w:p>
    <w:p>
      <w:pPr>
        <w:jc w:val="both"/>
        <w:widowControl/>
        <w:ind w:left="285" w:right="45" w:hanging="15"/>
        <w:spacing w:after="45"/>
      </w:pPr>
      <w:r>
        <w:rPr>
          <w:b/>
          <w:sz w:val="22"/>
        </w:rPr>
        <w:t>16.6</w:t>
      </w:r>
      <w:r>
        <w:rPr>
          <w:sz w:val="22"/>
        </w:rPr>
        <w:tab/>
      </w:r>
      <w:r>
        <w:rPr>
          <w:sz w:val="22"/>
        </w:rPr>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285" w:right="45" w:hanging="15"/>
        <w:spacing w:after="45"/>
      </w:pPr>
      <w:r>
        <w:rPr>
          <w:b/>
          <w:sz w:val="22"/>
        </w:rPr>
        <w:t>16.7</w:t>
      </w:r>
      <w:r>
        <w:rPr>
          <w:sz w:val="22"/>
        </w:rPr>
        <w:tab/>
      </w:r>
      <w:r>
        <w:rPr>
          <w:sz w:val="22"/>
        </w:rPr>
        <w:t>- Ocorrendo aumento no valor contratual decorrente de acréscimos de obras ou serviços, o Contratado, por ocasião da assinatura do Termo Aditivo, deverá proceder ao reforço da garantia inicial, no mesmo percentual previsto.</w:t>
      </w:r>
    </w:p>
    <w:p>
      <w:pPr>
        <w:jc w:val="both"/>
        <w:widowControl/>
        <w:ind w:left="285" w:right="45" w:hanging="15"/>
        <w:spacing w:after="45"/>
      </w:pPr>
      <w:r>
        <w:rPr>
          <w:b/>
          <w:sz w:val="22"/>
        </w:rPr>
        <w:t>16.8</w:t>
      </w:r>
      <w:r>
        <w:rPr>
          <w:sz w:val="22"/>
        </w:rPr>
        <w:tab/>
      </w:r>
      <w:r>
        <w:rPr>
          <w:sz w:val="22"/>
        </w:rPr>
        <w:t>–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17 - DO PRAZO DE VIGÊNCIA E DOS ACRÉSCIMOS E SUPRESSÕES</w:t>
      </w:r>
    </w:p>
    <w:p>
      <w:pPr>
        <w:jc w:val="both"/>
        <w:widowControl/>
        <w:ind w:left="285" w:right="45" w:hanging="15"/>
        <w:spacing w:after="45"/>
      </w:pPr>
      <w:r>
        <w:rPr>
          <w:b/>
          <w:sz w:val="22"/>
        </w:rPr>
        <w:t>17.1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12 (doze) meses</w:t>
      </w:r>
      <w:r>
        <w:rPr>
          <w:sz w:val="22"/>
        </w:rPr>
        <w:t>, nos termos do art. 105 da Lei nº 14.133/2021.</w:t>
      </w:r>
    </w:p>
    <w:p>
      <w:pPr>
        <w:jc w:val="both"/>
        <w:widowControl/>
        <w:ind w:left="585" w:right="45" w:hanging="15"/>
        <w:spacing w:after="45"/>
      </w:pPr>
      <w:r>
        <w:rPr>
          <w:b/>
          <w:sz w:val="22"/>
        </w:rPr>
        <w:t xml:space="preserve">17.1.1 </w:t>
      </w:r>
      <w:r>
        <w:rPr>
          <w:sz w:val="22"/>
        </w:rPr>
        <w:t xml:space="preserve">O prazo de execução da obra será de </w:t>
      </w:r>
      <w:r>
        <w:rPr>
          <w:b/>
          <w:sz w:val="22"/>
        </w:rPr>
        <w:t>04(quatro) meses</w:t>
      </w:r>
      <w:r>
        <w:rPr>
          <w:sz w:val="22"/>
        </w:rPr>
        <w:t xml:space="preserve"> corridos, contados da assinatura do respectivo contrato.</w:t>
      </w:r>
    </w:p>
    <w:p>
      <w:pPr>
        <w:jc w:val="both"/>
        <w:widowControl/>
        <w:ind w:left="285" w:right="45" w:hanging="15"/>
        <w:spacing w:after="45"/>
      </w:pPr>
      <w:r>
        <w:rPr>
          <w:b/>
          <w:sz w:val="22"/>
        </w:rPr>
        <w:t>17.2</w:t>
      </w:r>
      <w:r>
        <w:rPr>
          <w:sz w:val="22"/>
        </w:rPr>
        <w:t xml:space="preserve"> -</w:t>
      </w:r>
      <w:r>
        <w:rPr>
          <w:u w:val="single"/>
          <w:sz w:val="22"/>
        </w:rPr>
        <w:t xml:space="preserve"> O PRAZO PARA INÍCIO DA OBRA SERÁ A PARTIR DO 11º DIA DA  ASSINATURA DO TERMO DE               </w:t>
      </w:r>
      <w:r>
        <w:rPr>
          <w:sz w:val="22"/>
        </w:rPr>
        <w:t xml:space="preserve">          </w:t>
      </w:r>
      <w:r>
        <w:rPr>
          <w:u w:val="single"/>
          <w:sz w:val="22"/>
        </w:rPr>
        <w:t>CONTRATO.</w:t>
      </w:r>
    </w:p>
    <w:p>
      <w:pPr>
        <w:jc w:val="both"/>
        <w:widowControl/>
        <w:ind w:left="285" w:right="45" w:hanging="15"/>
        <w:spacing w:after="45"/>
      </w:pPr>
      <w:r>
        <w:rPr>
          <w:b/>
          <w:sz w:val="22"/>
        </w:rPr>
        <w:t>17.3</w:t>
      </w:r>
      <w:r>
        <w:rPr>
          <w:sz w:val="22"/>
        </w:rPr>
        <w:t xml:space="preserve"> - Na contagem do prazo de vigência estabelecido neste instrumento, excluir-se-á o dia da publicação e incluir-se-á o do vencimento, conforme disposto no Art. 183 da Lei nº. 14.133/2021.</w:t>
      </w:r>
    </w:p>
    <w:p>
      <w:pPr>
        <w:jc w:val="both"/>
        <w:widowControl/>
        <w:ind w:left="285" w:right="45" w:hanging="15"/>
        <w:spacing w:after="45"/>
      </w:pPr>
      <w:r>
        <w:rPr>
          <w:b/>
          <w:sz w:val="22"/>
        </w:rPr>
        <w:t>17.4</w:t>
      </w:r>
      <w:r>
        <w:rPr>
          <w:sz w:val="22"/>
        </w:rPr>
        <w:t xml:space="preserve"> - Só se iniciam e vencem os prazos previstos neste instrumento em dia de expediente na Prefeitura Municipal de Guairaçá-PR.</w:t>
      </w:r>
    </w:p>
    <w:p>
      <w:pPr>
        <w:jc w:val="both"/>
        <w:widowControl/>
        <w:ind w:left="285" w:right="45" w:hanging="15"/>
        <w:spacing w:after="45"/>
      </w:pPr>
      <w:r>
        <w:rPr>
          <w:b/>
          <w:sz w:val="22"/>
        </w:rPr>
        <w:t>17.5</w:t>
      </w:r>
      <w:r>
        <w:rPr>
          <w:sz w:val="22"/>
        </w:rPr>
        <w:t xml:space="preserve"> - A critério da Administração, o objeto da presente licitação poderá sofrer acréscimos ou supressões, de acordo com o art. 125 da Lei Federal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18 – DO EQUILÍBRIO ECONÔMICO-FINANCEIRO DO CONTRATO</w:t>
      </w:r>
    </w:p>
    <w:p>
      <w:pPr>
        <w:jc w:val="both"/>
        <w:widowControl/>
        <w:ind w:left="285" w:right="45" w:hanging="15"/>
        <w:spacing w:after="45"/>
      </w:pPr>
      <w:r>
        <w:rPr>
          <w:b/>
          <w:sz w:val="22"/>
        </w:rPr>
        <w:t>18.1</w:t>
      </w:r>
      <w:r>
        <w:rPr>
          <w:sz w:val="22"/>
        </w:rPr>
        <w:t xml:space="preserve"> - Os preços deverão ser fixos e irreajustáveis, pelo período mínimo de </w:t>
      </w:r>
      <w:r>
        <w:rPr>
          <w:b/>
          <w:sz w:val="22"/>
        </w:rPr>
        <w:t>01 ano</w:t>
      </w:r>
      <w:r>
        <w:rPr>
          <w:sz w:val="22"/>
        </w:rPr>
        <w:t xml:space="preserve"> a contar da data base da proposta;</w:t>
      </w:r>
    </w:p>
    <w:p>
      <w:pPr>
        <w:jc w:val="both"/>
        <w:widowControl/>
        <w:ind w:left="285" w:right="45" w:hanging="15"/>
        <w:spacing w:after="45"/>
      </w:pPr>
      <w:r>
        <w:rPr>
          <w:b/>
          <w:sz w:val="22"/>
        </w:rPr>
        <w:t>18.2</w:t>
      </w:r>
      <w:r>
        <w:rPr>
          <w:sz w:val="22"/>
        </w:rPr>
        <w:t xml:space="preserve"> - Os preços referentes a mão de obra deverão ser repactuados para manutenção do equilíbrio econômico-financeiro, mediante demonstração analítica da variação dos custos contratuais, com data vinculada:</w:t>
      </w:r>
    </w:p>
    <w:p>
      <w:pPr>
        <w:jc w:val="both"/>
        <w:widowControl/>
        <w:ind w:right="45"/>
        <w:spacing w:after="45"/>
        <w:numPr>
          <w:ilvl w:val="0"/>
          <w:numId w:val="48"/>
        </w:numPr>
      </w:pPr>
      <w:r/>
      <w:r>
        <w:rPr>
          <w:sz w:val="22"/>
        </w:rPr>
        <w:t xml:space="preserve"> à da apresentação da proposta, para custos decorrentes do mercado;</w:t>
      </w:r>
    </w:p>
    <w:p>
      <w:pPr>
        <w:jc w:val="both"/>
        <w:widowControl/>
        <w:ind w:right="45"/>
        <w:spacing w:after="45"/>
        <w:numPr>
          <w:ilvl w:val="0"/>
          <w:numId w:val="48"/>
        </w:numPr>
      </w:pPr>
      <w:r/>
      <w:r>
        <w:rPr>
          <w:sz w:val="22"/>
        </w:rPr>
        <w:t xml:space="preserve"> ao acordo, à convenção coletiva ou ao dissídio coletivo ao qual a proposta esteja vinculada, para os custos demão de obra.</w:t>
      </w:r>
    </w:p>
    <w:p>
      <w:pPr>
        <w:jc w:val="both"/>
        <w:widowControl/>
        <w:ind w:left="285" w:right="45" w:hanging="15"/>
        <w:spacing w:after="45"/>
      </w:pPr>
      <w:r>
        <w:rPr>
          <w:b/>
          <w:sz w:val="22"/>
        </w:rPr>
        <w:t>18.3</w:t>
      </w:r>
      <w:r>
        <w:rPr>
          <w:sz w:val="22"/>
        </w:rPr>
        <w:tab/>
      </w:r>
      <w:r>
        <w:rPr>
          <w:sz w:val="22"/>
        </w:rPr>
        <w:t>- Os preços referentes a materiais deverão ser reajustados conforme índice IPCA/IBGE ou outro índice previsto em contrato.</w:t>
      </w:r>
    </w:p>
    <w:p>
      <w:pPr>
        <w:jc w:val="both"/>
        <w:widowControl/>
        <w:ind w:left="285" w:right="45" w:hanging="15"/>
        <w:spacing w:after="45"/>
      </w:pPr>
      <w:r>
        <w:rPr>
          <w:b/>
          <w:sz w:val="22"/>
        </w:rPr>
        <w:t>18.4</w:t>
      </w:r>
      <w:r>
        <w:rPr>
          <w:sz w:val="22"/>
        </w:rPr>
        <w:tab/>
      </w:r>
      <w:r>
        <w:rPr>
          <w:sz w:val="22"/>
        </w:rPr>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jc w:val="both"/>
        <w:widowControl/>
        <w:ind w:left="285" w:right="45" w:hanging="15"/>
        <w:spacing w:after="45"/>
      </w:pPr>
      <w:r>
        <w:rPr>
          <w:b/>
          <w:sz w:val="22"/>
        </w:rPr>
        <w:t>18.5</w:t>
      </w:r>
      <w:r>
        <w:rPr>
          <w:sz w:val="22"/>
        </w:rPr>
        <w:tab/>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46"/>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46"/>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46"/>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46"/>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46"/>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46"/>
        </w:numPr>
      </w:pPr>
      <w:r/>
      <w:r>
        <w:rPr>
          <w:sz w:val="22"/>
        </w:rPr>
        <w:t xml:space="preserve"> O evento que houver dado causa ao desequilíbrio constituir álea ordinária imputável à CONTRATADA, quando o pleito houver sido apresentado por esta.</w:t>
      </w:r>
    </w:p>
    <w:p>
      <w:pPr>
        <w:jc w:val="both"/>
        <w:widowControl/>
        <w:ind w:left="285" w:right="45" w:hanging="15"/>
        <w:spacing w:after="45"/>
      </w:pPr>
      <w:r>
        <w:rPr>
          <w:b/>
          <w:sz w:val="22"/>
        </w:rPr>
        <w:t>18.6</w:t>
      </w:r>
      <w:r>
        <w:rPr>
          <w:sz w:val="22"/>
        </w:rPr>
        <w:t xml:space="preserve"> - O prazo para manifestação quanto aos pedidos de reajuste, reequilíbrio e repactuação será de 30 dias, a contar da data de protocolo do requerimento.</w:t>
      </w:r>
    </w:p>
    <w:p>
      <w:pPr>
        <w:jc w:val="both"/>
        <w:widowControl/>
        <w:ind w:left="705" w:right="45" w:hanging="15"/>
        <w:spacing w:after="45"/>
      </w:pPr>
      <w:r>
        <w:rPr>
          <w:b/>
          <w:sz w:val="22"/>
        </w:rPr>
        <w:t>18.6.1</w:t>
      </w:r>
      <w:r>
        <w:rPr>
          <w:sz w:val="22"/>
        </w:rPr>
        <w:t xml:space="preserve"> – Caso faltem informações e a administração solicite complementação do pedido, o prazo irá reiniciar, a contar da data do novo protocolo com os documentos faltantes.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19 - DAS INFRAÇÕES E SANÇÕES ADMINISTRATIVAS</w:t>
      </w:r>
    </w:p>
    <w:p>
      <w:pPr>
        <w:jc w:val="both"/>
        <w:widowControl/>
        <w:ind w:left="285" w:right="45" w:hanging="15"/>
        <w:spacing w:after="45"/>
      </w:pPr>
      <w:r>
        <w:rPr>
          <w:b/>
          <w:sz w:val="22"/>
        </w:rPr>
        <w:t>19.1</w:t>
      </w:r>
      <w:r>
        <w:rPr>
          <w:sz w:val="22"/>
        </w:rPr>
        <w:t xml:space="preserve"> - Comete infração administrativa, nos termos da Lei nº 14.133, de 2021, o Contratado que:</w:t>
      </w:r>
    </w:p>
    <w:p>
      <w:pPr>
        <w:jc w:val="both"/>
        <w:widowControl/>
        <w:ind w:right="45"/>
        <w:spacing w:after="45"/>
        <w:numPr>
          <w:ilvl w:val="0"/>
          <w:numId w:val="87"/>
        </w:numPr>
      </w:pPr>
      <w:r/>
      <w:r>
        <w:rPr>
          <w:sz w:val="22"/>
        </w:rPr>
        <w:t xml:space="preserve"> der causa à inexecução parcial do contrato;</w:t>
      </w:r>
    </w:p>
    <w:p>
      <w:pPr>
        <w:jc w:val="both"/>
        <w:widowControl/>
        <w:ind w:right="45"/>
        <w:spacing w:after="45"/>
        <w:numPr>
          <w:ilvl w:val="0"/>
          <w:numId w:val="87"/>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87"/>
        </w:numPr>
      </w:pPr>
      <w:r/>
      <w:r>
        <w:rPr>
          <w:sz w:val="22"/>
        </w:rPr>
        <w:t xml:space="preserve"> der causa à inexecução total do contrato;</w:t>
      </w:r>
    </w:p>
    <w:p>
      <w:pPr>
        <w:jc w:val="both"/>
        <w:widowControl/>
        <w:ind w:right="45"/>
        <w:spacing w:after="45"/>
        <w:numPr>
          <w:ilvl w:val="0"/>
          <w:numId w:val="87"/>
        </w:numPr>
      </w:pPr>
      <w:r/>
      <w:r>
        <w:rPr>
          <w:sz w:val="22"/>
        </w:rPr>
        <w:t xml:space="preserve"> deixar de entregar a documentação exigida para o certame;</w:t>
      </w:r>
    </w:p>
    <w:p>
      <w:pPr>
        <w:jc w:val="both"/>
        <w:widowControl/>
        <w:ind w:right="45"/>
        <w:spacing w:after="45"/>
        <w:numPr>
          <w:ilvl w:val="0"/>
          <w:numId w:val="87"/>
        </w:numPr>
      </w:pPr>
      <w:r/>
      <w:r>
        <w:rPr>
          <w:sz w:val="22"/>
        </w:rPr>
        <w:t xml:space="preserve"> não mantiver a proposta, salvo em decorrência de fato superveniente devidamente justificado;</w:t>
      </w:r>
    </w:p>
    <w:p>
      <w:pPr>
        <w:jc w:val="both"/>
        <w:widowControl/>
        <w:ind w:right="45"/>
        <w:spacing w:after="45"/>
        <w:numPr>
          <w:ilvl w:val="0"/>
          <w:numId w:val="87"/>
        </w:numPr>
      </w:pPr>
      <w:r/>
      <w:r>
        <w:rPr>
          <w:sz w:val="22"/>
        </w:rPr>
        <w:t xml:space="preserve"> não celebrar o contrato ou não entregar a documentação exigida para a contratação, quando convocado dentro do prazo de validade de sua proposta;</w:t>
      </w:r>
    </w:p>
    <w:p>
      <w:pPr>
        <w:jc w:val="both"/>
        <w:widowControl/>
        <w:ind w:right="45"/>
        <w:spacing w:after="45"/>
        <w:numPr>
          <w:ilvl w:val="0"/>
          <w:numId w:val="87"/>
        </w:numPr>
      </w:pPr>
      <w:r/>
      <w:r>
        <w:rPr>
          <w:sz w:val="22"/>
        </w:rPr>
        <w:t xml:space="preserve"> ensejar o retardamento da execução ou da entrega do objeto da contratação sem motivo justificado;</w:t>
      </w:r>
    </w:p>
    <w:p>
      <w:pPr>
        <w:jc w:val="both"/>
        <w:widowControl/>
        <w:ind w:right="45"/>
        <w:spacing w:after="45"/>
        <w:numPr>
          <w:ilvl w:val="0"/>
          <w:numId w:val="87"/>
        </w:numPr>
      </w:pPr>
      <w:r/>
      <w:r>
        <w:rPr>
          <w:sz w:val="22"/>
        </w:rPr>
        <w:t xml:space="preserve"> apresentar declaração ou documentação falsa exigida para o certame ou prestar declaração falsa durante a dispensa eletrônica ou execução do contrato;</w:t>
      </w:r>
    </w:p>
    <w:p>
      <w:pPr>
        <w:jc w:val="both"/>
        <w:widowControl/>
        <w:ind w:right="45"/>
        <w:spacing w:after="45"/>
        <w:numPr>
          <w:ilvl w:val="0"/>
          <w:numId w:val="87"/>
        </w:numPr>
      </w:pPr>
      <w:r/>
      <w:r>
        <w:rPr>
          <w:sz w:val="22"/>
        </w:rPr>
        <w:t xml:space="preserve"> fraudar a contratação ou praticar ato fraudulento na execução do contrato;</w:t>
      </w:r>
    </w:p>
    <w:p>
      <w:pPr>
        <w:jc w:val="both"/>
        <w:widowControl/>
        <w:ind w:right="45"/>
        <w:spacing w:after="45"/>
        <w:numPr>
          <w:ilvl w:val="0"/>
          <w:numId w:val="87"/>
        </w:numPr>
      </w:pPr>
      <w:r/>
      <w:r>
        <w:rPr>
          <w:sz w:val="22"/>
        </w:rPr>
        <w:t xml:space="preserve"> comportar-se de modo inidôneo ou cometer fraude de qualquer natureza;</w:t>
      </w:r>
    </w:p>
    <w:p>
      <w:pPr>
        <w:jc w:val="both"/>
        <w:widowControl/>
        <w:ind w:right="45"/>
        <w:spacing w:after="45"/>
        <w:numPr>
          <w:ilvl w:val="0"/>
          <w:numId w:val="87"/>
        </w:numPr>
      </w:pPr>
      <w:r/>
      <w:r>
        <w:rPr>
          <w:sz w:val="22"/>
        </w:rPr>
        <w:t xml:space="preserve"> praticar atos ilícitos com vistas a frustrar os objetivos do certame;</w:t>
      </w:r>
    </w:p>
    <w:p>
      <w:pPr>
        <w:jc w:val="both"/>
        <w:widowControl/>
        <w:ind w:right="45"/>
        <w:spacing w:after="45"/>
        <w:numPr>
          <w:ilvl w:val="0"/>
          <w:numId w:val="87"/>
        </w:numPr>
      </w:pPr>
      <w:r/>
      <w:r>
        <w:rPr>
          <w:sz w:val="22"/>
        </w:rPr>
        <w:t xml:space="preserve"> praticar ato lesivo previsto no art. 5º da Lei nº 12.846, de 1º de agosto de 2013.</w:t>
      </w:r>
    </w:p>
    <w:p>
      <w:pPr>
        <w:jc w:val="both"/>
        <w:widowControl/>
        <w:ind w:left="285" w:right="45" w:hanging="15"/>
        <w:spacing w:after="45"/>
      </w:pPr>
      <w:r>
        <w:rPr>
          <w:b/>
          <w:sz w:val="22"/>
        </w:rPr>
        <w:t xml:space="preserve">19.2 </w:t>
      </w:r>
      <w:r>
        <w:rPr>
          <w:sz w:val="22"/>
        </w:rPr>
        <w:t>- Serão aplicadas ao responsável pelas infrações administrativas acima descritas as seguintes sanções:</w:t>
      </w:r>
    </w:p>
    <w:p>
      <w:pPr>
        <w:jc w:val="both"/>
        <w:widowControl/>
        <w:ind w:left="705" w:right="45"/>
        <w:spacing w:after="45"/>
      </w:pPr>
      <w:r>
        <w:rPr>
          <w:b/>
          <w:sz w:val="22"/>
        </w:rPr>
        <w:t>19.2.1</w:t>
      </w:r>
      <w:r>
        <w:rPr>
          <w:sz w:val="22"/>
        </w:rPr>
        <w:t xml:space="preserve"> - Advertência, quando o Contratado der causa à inexecução parcial do contrato, sempre que não se justificar a imposição de penalidade mais grave (art. 156, §2º, da Lei);</w:t>
      </w:r>
    </w:p>
    <w:p>
      <w:pPr>
        <w:jc w:val="both"/>
        <w:widowControl/>
        <w:ind w:left="705" w:right="45"/>
        <w:spacing w:after="45"/>
      </w:pPr>
      <w:r>
        <w:rPr>
          <w:b/>
          <w:sz w:val="22"/>
        </w:rPr>
        <w:t>19.2.2</w:t>
      </w:r>
      <w:r>
        <w:rPr>
          <w:sz w:val="22"/>
        </w:rPr>
        <w:t xml:space="preserve"> - Impedimento de licitar e contratar, quando praticadas as condutas descritas nas alíneas b, c, d, e, f e g do subitem acima deste Contrato, sempre que não se justificar a imposição de penalidade mais grave (art. 156,</w:t>
      </w:r>
    </w:p>
    <w:p>
      <w:pPr>
        <w:jc w:val="both"/>
        <w:widowControl/>
        <w:ind w:left="705" w:right="45"/>
        <w:spacing w:after="45"/>
      </w:pPr>
      <w:r>
        <w:rPr>
          <w:sz w:val="22"/>
        </w:rPr>
        <w:t>§4º, da Lei);</w:t>
      </w:r>
    </w:p>
    <w:p>
      <w:pPr>
        <w:jc w:val="both"/>
        <w:widowControl/>
        <w:ind w:left="705" w:right="45"/>
        <w:spacing w:after="45"/>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pPr>
        <w:jc w:val="both"/>
        <w:widowControl/>
        <w:ind w:left="705" w:right="45"/>
        <w:spacing w:after="45"/>
      </w:pPr>
      <w:r>
        <w:rPr>
          <w:b/>
          <w:sz w:val="22"/>
        </w:rPr>
        <w:t>19.2.4</w:t>
      </w:r>
      <w:r>
        <w:rPr>
          <w:sz w:val="22"/>
        </w:rPr>
        <w:t xml:space="preserve"> - Multa:</w:t>
      </w:r>
    </w:p>
    <w:p>
      <w:pPr>
        <w:jc w:val="both"/>
        <w:widowControl/>
        <w:ind w:left="1425" w:right="45"/>
        <w:spacing w:after="45"/>
        <w:tabs>
          <w:tab w:val="left" w:pos="2265"/>
        </w:tabs>
      </w:pPr>
      <w:r>
        <w:rPr>
          <w:b/>
          <w:sz w:val="22"/>
        </w:rPr>
        <w:t>19.2.4.1</w:t>
      </w:r>
      <w:r>
        <w:rPr>
          <w:sz w:val="22"/>
        </w:rPr>
        <w:t xml:space="preserve"> - moratória de 0,5 % (cinco décimos por cento) por dia de atraso injustificado sobre o valor da parcela inadimplida, até o limite de 10 (dez) dias.</w:t>
      </w:r>
    </w:p>
    <w:p>
      <w:pPr>
        <w:jc w:val="both"/>
        <w:widowControl/>
        <w:ind w:left="1425" w:right="45"/>
        <w:spacing w:after="45"/>
        <w:tabs>
          <w:tab w:val="left" w:pos="2265"/>
        </w:tabs>
      </w:pPr>
      <w:r>
        <w:rPr>
          <w:b/>
          <w:sz w:val="22"/>
        </w:rPr>
        <w:t>19.2.4.2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pPr>
        <w:jc w:val="both"/>
        <w:widowControl/>
        <w:ind w:left="1425" w:right="45"/>
        <w:spacing w:after="45"/>
        <w:tabs>
          <w:tab w:val="left" w:pos="2265"/>
        </w:tabs>
      </w:pPr>
      <w:r>
        <w:rPr>
          <w:b/>
          <w:sz w:val="22"/>
        </w:rPr>
        <w:t>19.2.4.3</w:t>
      </w:r>
      <w:r>
        <w:rPr>
          <w:sz w:val="22"/>
        </w:rPr>
        <w:t xml:space="preserve"> - 10% (dez por cento) sobre o valor total do contrato, no caso da inexecução total do contrato.</w:t>
      </w:r>
    </w:p>
    <w:p>
      <w:pPr>
        <w:jc w:val="both"/>
        <w:widowControl/>
        <w:ind w:left="1425" w:right="45"/>
        <w:spacing w:after="45"/>
        <w:tabs>
          <w:tab w:val="left" w:pos="2265"/>
        </w:tabs>
      </w:pPr>
      <w:r>
        <w:rPr>
          <w:b/>
          <w:sz w:val="22"/>
        </w:rPr>
        <w:t>19.2.4.4</w:t>
      </w:r>
      <w:r>
        <w:rPr>
          <w:sz w:val="22"/>
        </w:rPr>
        <w:t xml:space="preserve"> - O atraso superior a 10 dias autoriza a Administração a promover a rescisão do contrato por descumprimento ou cumprimento irregular de suas cláusulas, conforme dispõe o inciso I do art. 137 da Lei n. 14.133, de 2021.</w:t>
      </w:r>
    </w:p>
    <w:p>
      <w:pPr>
        <w:jc w:val="both"/>
        <w:widowControl/>
        <w:ind w:left="285" w:right="45"/>
        <w:spacing w:after="45"/>
      </w:pPr>
      <w:r>
        <w:rPr>
          <w:b/>
          <w:sz w:val="22"/>
        </w:rPr>
        <w:t>19.3</w:t>
      </w:r>
      <w:r>
        <w:rPr>
          <w:sz w:val="22"/>
        </w:rPr>
        <w:tab/>
      </w:r>
      <w:r>
        <w:rPr>
          <w:sz w:val="22"/>
        </w:rPr>
        <w:t>- A aplicação das sanções previstas neste Contrato não exclui, em hipótese alguma, a obrigação de reparação integral do dano causado ao Contratante (art. 156, §9º)</w:t>
      </w:r>
    </w:p>
    <w:p>
      <w:pPr>
        <w:jc w:val="both"/>
        <w:widowControl/>
        <w:ind w:left="285" w:right="45"/>
        <w:spacing w:after="45"/>
      </w:pPr>
      <w:r>
        <w:rPr>
          <w:b/>
          <w:sz w:val="22"/>
        </w:rPr>
        <w:t>19.4</w:t>
      </w:r>
      <w:r>
        <w:rPr>
          <w:sz w:val="22"/>
        </w:rPr>
        <w:tab/>
      </w:r>
      <w:r>
        <w:rPr>
          <w:sz w:val="22"/>
        </w:rPr>
        <w:t>- Todas as sanções previstas neste Contrato poderão ser aplicadas cumulativamente com a multa (art. 156, §7º).</w:t>
      </w:r>
    </w:p>
    <w:p>
      <w:pPr>
        <w:jc w:val="both"/>
        <w:widowControl/>
        <w:ind w:left="285" w:right="45"/>
        <w:spacing w:after="45"/>
      </w:pPr>
      <w:r>
        <w:rPr>
          <w:b/>
          <w:sz w:val="22"/>
        </w:rPr>
        <w:t>19.5</w:t>
      </w:r>
      <w:r>
        <w:rPr>
          <w:sz w:val="22"/>
        </w:rPr>
        <w:tab/>
      </w:r>
      <w:r>
        <w:rPr>
          <w:sz w:val="22"/>
        </w:rPr>
        <w:t>- Antes da aplicação da multa será facultada a defesa do interessado no prazo de 15 (quinze) dias úteis, contado da data de sua intimação (art. 157).</w:t>
      </w:r>
    </w:p>
    <w:p>
      <w:pPr>
        <w:jc w:val="both"/>
        <w:widowControl/>
        <w:ind w:left="285" w:right="45"/>
        <w:spacing w:after="45"/>
      </w:pPr>
      <w:r>
        <w:rPr>
          <w:b/>
          <w:sz w:val="22"/>
        </w:rPr>
        <w:t>19.6</w:t>
      </w:r>
      <w:r>
        <w:rPr>
          <w:sz w:val="22"/>
        </w:rPr>
        <w:tab/>
      </w:r>
      <w:r>
        <w:rPr>
          <w:sz w:val="22"/>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widowControl/>
        <w:ind w:left="285" w:right="45"/>
        <w:spacing w:after="45"/>
      </w:pPr>
      <w:r>
        <w:rPr>
          <w:b/>
          <w:sz w:val="22"/>
        </w:rPr>
        <w:t>19.7</w:t>
      </w:r>
      <w:r>
        <w:rPr>
          <w:sz w:val="22"/>
        </w:rPr>
        <w:tab/>
      </w:r>
      <w:r>
        <w:rPr>
          <w:sz w:val="22"/>
        </w:rPr>
        <w:t>- Previamente ao encaminhamento à cobrança judicial, a multa poderá ser recolhida administrativamente no prazo máximo de 15 (quinze) dias, a contar da data do recebimento da comunicação enviada pela autoridade competente.</w:t>
      </w:r>
    </w:p>
    <w:p>
      <w:pPr>
        <w:jc w:val="both"/>
        <w:widowControl/>
        <w:ind w:left="285" w:right="45"/>
        <w:spacing w:after="45"/>
      </w:pPr>
      <w:r>
        <w:rPr>
          <w:b/>
          <w:sz w:val="22"/>
        </w:rPr>
        <w:t>19.8</w:t>
      </w:r>
      <w:r>
        <w:rPr>
          <w:sz w:val="22"/>
        </w:rPr>
        <w:tab/>
      </w:r>
      <w:r>
        <w:rPr>
          <w:sz w:val="22"/>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jc w:val="both"/>
        <w:widowControl/>
        <w:ind w:left="285" w:right="45"/>
        <w:spacing w:after="45"/>
      </w:pPr>
      <w:r>
        <w:rPr>
          <w:b/>
          <w:sz w:val="22"/>
        </w:rPr>
        <w:t>19.9</w:t>
      </w:r>
      <w:r>
        <w:rPr>
          <w:sz w:val="22"/>
        </w:rPr>
        <w:tab/>
      </w:r>
      <w:r>
        <w:rPr>
          <w:sz w:val="22"/>
        </w:rPr>
        <w:t>- Na aplicação das sanções serão considerados (art. 156, §1º):</w:t>
      </w:r>
    </w:p>
    <w:p>
      <w:pPr>
        <w:jc w:val="both"/>
        <w:widowControl/>
        <w:ind w:right="45"/>
        <w:spacing w:after="45"/>
        <w:numPr>
          <w:ilvl w:val="0"/>
          <w:numId w:val="45"/>
        </w:numPr>
      </w:pPr>
      <w:r/>
      <w:r>
        <w:rPr>
          <w:sz w:val="22"/>
        </w:rPr>
        <w:t xml:space="preserve"> a natureza e a gravidade da infração cometida;</w:t>
      </w:r>
    </w:p>
    <w:p>
      <w:pPr>
        <w:jc w:val="both"/>
        <w:widowControl/>
        <w:ind w:right="45"/>
        <w:spacing w:after="45"/>
        <w:numPr>
          <w:ilvl w:val="0"/>
          <w:numId w:val="45"/>
        </w:numPr>
      </w:pPr>
      <w:r/>
      <w:r>
        <w:rPr>
          <w:sz w:val="22"/>
        </w:rPr>
        <w:t xml:space="preserve"> as peculiaridades do caso concreto;</w:t>
      </w:r>
    </w:p>
    <w:p>
      <w:pPr>
        <w:jc w:val="both"/>
        <w:widowControl/>
        <w:ind w:right="45"/>
        <w:spacing w:after="45"/>
        <w:numPr>
          <w:ilvl w:val="0"/>
          <w:numId w:val="45"/>
        </w:numPr>
      </w:pPr>
      <w:r/>
      <w:r>
        <w:rPr>
          <w:sz w:val="22"/>
        </w:rPr>
        <w:t xml:space="preserve"> as circunstâncias agravantes ou atenuantes;</w:t>
      </w:r>
    </w:p>
    <w:p>
      <w:pPr>
        <w:jc w:val="both"/>
        <w:widowControl/>
        <w:ind w:right="45"/>
        <w:spacing w:after="45"/>
        <w:numPr>
          <w:ilvl w:val="0"/>
          <w:numId w:val="45"/>
        </w:numPr>
      </w:pPr>
      <w:r/>
      <w:r>
        <w:rPr>
          <w:sz w:val="22"/>
        </w:rPr>
        <w:t xml:space="preserve"> os danos que dela provierem para o Contratante;</w:t>
      </w:r>
    </w:p>
    <w:p>
      <w:pPr>
        <w:jc w:val="both"/>
        <w:widowControl/>
        <w:ind w:right="45"/>
        <w:spacing w:after="45"/>
        <w:numPr>
          <w:ilvl w:val="0"/>
          <w:numId w:val="45"/>
        </w:numPr>
      </w:pPr>
      <w:r/>
      <w:r>
        <w:rPr>
          <w:sz w:val="22"/>
        </w:rPr>
        <w:t xml:space="preserve"> a implantação ou o aperfeiçoamento de programa de integridade, conforme normas e orientações dos órgãos de controle.</w:t>
      </w:r>
    </w:p>
    <w:p>
      <w:pPr>
        <w:jc w:val="both"/>
        <w:widowControl/>
        <w:ind w:left="285" w:right="45"/>
        <w:spacing w:after="45"/>
        <w:tabs>
          <w:tab w:val="left" w:pos="855"/>
        </w:tabs>
      </w:pPr>
      <w:r>
        <w:rPr>
          <w:b/>
          <w:sz w:val="22"/>
        </w:rPr>
        <w:t>19.10</w:t>
      </w:r>
      <w:r>
        <w:rPr>
          <w:sz w:val="22"/>
        </w:rPr>
        <w:tab/>
      </w:r>
      <w:r>
        <w:rPr>
          <w:sz w:val="22"/>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285" w:right="45"/>
        <w:spacing w:after="45"/>
        <w:tabs>
          <w:tab w:val="left" w:pos="855"/>
        </w:tabs>
      </w:pPr>
      <w:r>
        <w:rPr>
          <w:b/>
          <w:sz w:val="22"/>
        </w:rPr>
        <w:t>19.11</w:t>
      </w:r>
      <w:r>
        <w:rPr>
          <w:sz w:val="22"/>
        </w:rPr>
        <w:tab/>
      </w:r>
      <w:r>
        <w:rPr>
          <w:sz w:val="22"/>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widowControl/>
        <w:ind w:left="285" w:right="45"/>
        <w:spacing w:after="45"/>
        <w:tabs>
          <w:tab w:val="left" w:pos="855"/>
        </w:tabs>
      </w:pPr>
      <w:r>
        <w:rPr>
          <w:b/>
          <w:sz w:val="22"/>
        </w:rPr>
        <w:t>19.12</w:t>
      </w:r>
      <w:r>
        <w:rPr>
          <w:sz w:val="22"/>
        </w:rPr>
        <w:tab/>
      </w:r>
      <w:r>
        <w:rPr>
          <w:sz w:val="22"/>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285" w:right="45"/>
        <w:spacing w:after="45"/>
        <w:tabs>
          <w:tab w:val="left" w:pos="855"/>
        </w:tabs>
      </w:pPr>
      <w:r>
        <w:rPr>
          <w:b/>
          <w:sz w:val="22"/>
        </w:rPr>
        <w:t>19.13</w:t>
      </w:r>
      <w:r>
        <w:rPr>
          <w:sz w:val="22"/>
        </w:rPr>
        <w:tab/>
      </w:r>
      <w:r>
        <w:rPr>
          <w:sz w:val="22"/>
        </w:rPr>
        <w:t>- As sanções de impedimento de licitar e contratar e declaração de inidoneidade para licitar ou contratar são passíveis de reabilitação na forma do art. 163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20 - DA DOTAÇÃO ORÇAMENTÁRIA</w:t>
      </w:r>
    </w:p>
    <w:p>
      <w:pPr>
        <w:jc w:val="both"/>
        <w:widowControl/>
        <w:ind w:left="285" w:right="45" w:hanging="15"/>
        <w:spacing w:after="45"/>
      </w:pPr>
      <w:r>
        <w:rPr>
          <w:b/>
          <w:sz w:val="22"/>
        </w:rPr>
        <w:t>20.1</w:t>
      </w:r>
      <w:r>
        <w:rPr>
          <w:sz w:val="22"/>
        </w:rPr>
        <w:t xml:space="preserve"> – A dotação orçamentária para suportar as despesas com a execução do contrato será a conta da dotação orçamentária prevista:</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90"/>
        <w:gridCol w:w="990"/>
        <w:gridCol w:w="3375"/>
        <w:gridCol w:w="990"/>
        <w:gridCol w:w="1800"/>
        <w:gridCol w:w="1785"/>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2026</w:t>
            </w:r>
          </w:p>
        </w:tc>
        <w:tc>
          <w:tcPr>
            <w:shd w:val="clear" w:color="auto" w:fill="FFFFFF"/>
          </w:tcPr>
          <w:p>
            <w:r>
              <w:t>7230</w:t>
            </w:r>
          </w:p>
        </w:tc>
        <w:tc>
          <w:tcPr>
            <w:shd w:val="clear" w:color="auto" w:fill="FFFFFF"/>
          </w:tcPr>
          <w:p>
            <w:r>
              <w:t>04.001.27.812.0006.2054</w:t>
            </w:r>
          </w:p>
        </w:tc>
        <w:tc>
          <w:tcPr>
            <w:shd w:val="clear" w:color="auto" w:fill="FFFFFF"/>
          </w:tcPr>
          <w:p>
            <w:r>
              <w:t>1793</w:t>
            </w:r>
          </w:p>
        </w:tc>
        <w:tc>
          <w:tcPr>
            <w:shd w:val="clear" w:color="auto" w:fill="FFFFFF"/>
          </w:tcPr>
          <w:p>
            <w:r>
              <w:t>4.4.90.51.00.00</w:t>
            </w:r>
          </w:p>
        </w:tc>
        <w:tc>
          <w:tcPr>
            <w:shd w:val="clear" w:color="auto" w:fill="FFFFFF"/>
          </w:tcPr>
          <w:p>
            <w:r>
              <w:t>Do Exercício</w:t>
            </w:r>
          </w:p>
        </w:tc>
      </w:tr>
    </w:tbl>
    <w:p>
      <w:pPr>
        <w:widowControl/>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21 - DISPOSIÇÕES GERAIS</w:t>
      </w:r>
    </w:p>
    <w:p>
      <w:pPr>
        <w:jc w:val="both"/>
        <w:widowControl/>
        <w:ind w:left="285" w:right="45" w:hanging="15"/>
        <w:spacing w:after="45"/>
      </w:pPr>
      <w:r>
        <w:rPr>
          <w:b/>
          <w:sz w:val="22"/>
        </w:rPr>
        <w:t>21.1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pPr>
        <w:jc w:val="both"/>
        <w:widowControl/>
        <w:ind w:left="285" w:right="45" w:hanging="15"/>
        <w:spacing w:after="45"/>
      </w:pPr>
      <w:r>
        <w:rPr>
          <w:b/>
          <w:sz w:val="22"/>
        </w:rPr>
        <w:t>21.2</w:t>
      </w:r>
      <w:r>
        <w:rPr>
          <w:sz w:val="22"/>
        </w:rPr>
        <w:t xml:space="preserve"> - A critério da Administração, os objetos da presente licitação poderão sofrer acréscimos ou supressões, de acordo com o artigo da Lei Federal nº 14.133/21.</w:t>
      </w:r>
    </w:p>
    <w:p>
      <w:pPr>
        <w:jc w:val="both"/>
        <w:widowControl/>
        <w:ind w:left="285" w:right="45" w:hanging="15"/>
        <w:spacing w:after="45"/>
      </w:pPr>
      <w:r>
        <w:rPr>
          <w:b/>
          <w:sz w:val="22"/>
        </w:rPr>
        <w:t>21.3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pPr>
        <w:jc w:val="both"/>
        <w:widowControl/>
        <w:ind w:left="285" w:right="45" w:hanging="15"/>
        <w:spacing w:after="45"/>
      </w:pPr>
      <w:r>
        <w:rPr>
          <w:b/>
          <w:sz w:val="22"/>
        </w:rPr>
        <w:t>21.4</w:t>
      </w:r>
      <w:r>
        <w:rPr>
          <w:sz w:val="22"/>
        </w:rPr>
        <w:t xml:space="preserve"> - As licitantes deverão observar atentamente as normas deste Edital;</w:t>
      </w:r>
    </w:p>
    <w:p>
      <w:pPr>
        <w:jc w:val="both"/>
        <w:widowControl/>
        <w:ind w:left="285" w:right="45" w:hanging="15"/>
        <w:spacing w:after="45"/>
      </w:pPr>
      <w:r>
        <w:rPr>
          <w:b/>
          <w:sz w:val="22"/>
        </w:rPr>
        <w:t>21.5</w:t>
      </w:r>
      <w:r>
        <w:rPr>
          <w:sz w:val="22"/>
        </w:rPr>
        <w:t xml:space="preserve"> - Fica assegurado à autoridade superior da Prefeitura, no interesse da Administração, o direito de adiar a data da abertura dos envelopes, divulgando a nova data marcada.</w:t>
      </w:r>
    </w:p>
    <w:p>
      <w:pPr>
        <w:jc w:val="both"/>
        <w:widowControl/>
        <w:ind w:left="285" w:right="45" w:hanging="15"/>
        <w:spacing w:after="45"/>
      </w:pPr>
      <w:r>
        <w:rPr>
          <w:b/>
          <w:sz w:val="22"/>
        </w:rPr>
        <w:t>21.6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pPr>
        <w:jc w:val="both"/>
        <w:widowControl/>
        <w:ind w:left="285" w:right="45" w:hanging="15"/>
        <w:spacing w:after="45"/>
      </w:pPr>
      <w:r>
        <w:rPr>
          <w:b/>
          <w:sz w:val="22"/>
        </w:rPr>
        <w:t>21.7</w:t>
      </w:r>
      <w:r>
        <w:rPr>
          <w:sz w:val="22"/>
        </w:rPr>
        <w:t xml:space="preserve"> - Os proponentes são responsáveis pela fidelidade e legitimidade das informações e dos documentos apresentados em qualquer fase da licitação.</w:t>
      </w:r>
    </w:p>
    <w:p>
      <w:pPr>
        <w:jc w:val="both"/>
        <w:widowControl/>
        <w:ind w:left="285" w:right="45" w:hanging="15"/>
        <w:spacing w:after="45"/>
      </w:pPr>
      <w:r>
        <w:rPr>
          <w:b/>
          <w:sz w:val="22"/>
        </w:rPr>
        <w:t>21.8</w:t>
      </w:r>
      <w:r>
        <w:rPr>
          <w:sz w:val="22"/>
        </w:rPr>
        <w:t xml:space="preserve"> - Após apresentação da proposta, não caberá desistência, salvo por motivo justo decorrente de fato superveniente e aceito pela Administração deste Município.</w:t>
      </w:r>
    </w:p>
    <w:p>
      <w:pPr>
        <w:jc w:val="both"/>
        <w:widowControl/>
        <w:ind w:left="285" w:right="45" w:hanging="15"/>
        <w:spacing w:after="45"/>
      </w:pPr>
      <w:r>
        <w:rPr>
          <w:b/>
          <w:sz w:val="22"/>
        </w:rPr>
        <w:t>21.9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pPr>
        <w:jc w:val="both"/>
        <w:widowControl/>
        <w:ind w:left="285" w:right="45" w:hanging="15"/>
        <w:spacing w:after="45"/>
      </w:pPr>
      <w:r>
        <w:rPr>
          <w:b/>
          <w:sz w:val="22"/>
        </w:rPr>
        <w:t xml:space="preserve">21.10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pPr>
        <w:jc w:val="both"/>
        <w:widowControl/>
        <w:ind w:left="285" w:right="45" w:hanging="15"/>
        <w:spacing w:after="45"/>
      </w:pPr>
      <w:r>
        <w:rPr>
          <w:b/>
          <w:sz w:val="22"/>
        </w:rPr>
        <w:t>21.11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pPr>
        <w:jc w:val="both"/>
        <w:widowControl/>
        <w:ind w:left="285" w:right="45" w:hanging="15"/>
        <w:spacing w:after="45"/>
      </w:pPr>
      <w:r>
        <w:rPr>
          <w:b/>
          <w:sz w:val="22"/>
        </w:rPr>
        <w:t>21.12</w:t>
      </w:r>
      <w:r>
        <w:rPr>
          <w:sz w:val="22"/>
        </w:rPr>
        <w:t xml:space="preserve"> - Em caso de desfazimento deste processo licitatório, o mesmo será devidamente motivado, sendo assegurado o contraditório e a ampla defesa.</w:t>
      </w:r>
    </w:p>
    <w:p>
      <w:pPr>
        <w:jc w:val="both"/>
        <w:widowControl/>
        <w:ind w:left="285" w:right="45" w:hanging="15"/>
        <w:spacing w:after="45"/>
      </w:pPr>
      <w:r>
        <w:rPr>
          <w:b/>
          <w:sz w:val="22"/>
        </w:rPr>
        <w:t>21.13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pPr>
        <w:jc w:val="both"/>
        <w:widowControl/>
        <w:ind w:left="285" w:right="45" w:hanging="15"/>
        <w:spacing w:after="45"/>
      </w:pPr>
      <w:r>
        <w:rPr>
          <w:b/>
          <w:sz w:val="22"/>
        </w:rPr>
        <w:t>21.14</w:t>
      </w:r>
      <w:r>
        <w:rPr>
          <w:sz w:val="22"/>
        </w:rPr>
        <w:t xml:space="preserve"> - A homologação do resultado desta licitação gera mera expectativa de direito à contratação.</w:t>
      </w:r>
    </w:p>
    <w:p>
      <w:pPr>
        <w:jc w:val="both"/>
        <w:widowControl/>
        <w:ind w:left="285" w:right="45" w:hanging="15"/>
        <w:spacing w:after="45"/>
      </w:pPr>
      <w:r>
        <w:rPr>
          <w:b/>
          <w:sz w:val="22"/>
        </w:rPr>
        <w:t>21.15</w:t>
      </w:r>
      <w:r>
        <w:rPr>
          <w:sz w:val="22"/>
        </w:rPr>
        <w:t xml:space="preserve"> - Aos casos omissos aplicar-se-ão as disposições constantes da legislação vigente que rege a matéria.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22 - DO FORO</w:t>
      </w:r>
    </w:p>
    <w:p>
      <w:pPr>
        <w:jc w:val="both"/>
        <w:widowControl/>
        <w:ind w:left="285" w:right="45" w:hanging="15"/>
        <w:spacing w:after="45"/>
      </w:pPr>
      <w:r>
        <w:rPr>
          <w:b/>
          <w:sz w:val="22"/>
        </w:rPr>
        <w:t>22.1</w:t>
      </w:r>
      <w:r>
        <w:rPr>
          <w:sz w:val="22"/>
        </w:rPr>
        <w:t xml:space="preserve"> - </w:t>
      </w:r>
      <w:r>
        <w:rPr>
          <w:b/>
          <w:sz w:val="22"/>
        </w:rPr>
        <w:t xml:space="preserve"> </w:t>
      </w:r>
      <w:r>
        <w:rPr>
          <w:rFonts w:ascii="Arial MT" w:hAnsi="Arial MT" w:cs="Arial MT" w:eastAsia="Arial MT"/>
          <w:sz w:val="22"/>
        </w:rPr>
        <w:t>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165" w:right="210"/>
        <w:spacing w:lineRule="auto" w:line="276"/>
      </w:pPr>
      <w:r>
        <w:rPr>
          <w:sz w:val="22"/>
        </w:rPr>
        <w:t/>
      </w:r>
    </w:p>
    <w:p>
      <w:pPr>
        <w:jc w:val="both"/>
        <w:widowControl/>
        <w:ind w:left="285" w:right="45" w:hanging="15"/>
        <w:spacing w:after="45"/>
      </w:pPr>
      <w:r>
        <w:rPr>
          <w:sz w:val="22"/>
        </w:rPr>
        <w:t/>
      </w:r>
    </w:p>
    <w:p>
      <w:pPr>
        <w:jc w:val="right"/>
        <w:widowControl/>
        <w:ind w:left="105"/>
      </w:pPr>
      <w:r>
        <w:rPr>
          <w:sz w:val="18"/>
        </w:rPr>
        <w:t>Guairaçá-Pr,</w:t>
      </w:r>
      <w:r>
        <w:rPr>
          <w:sz w:val="18"/>
          <w:color w:val="FF0000"/>
        </w:rPr>
        <w:t xml:space="preserve"> </w:t>
      </w:r>
      <w:r>
        <w:rPr>
          <w:sz w:val="18"/>
        </w:rPr>
        <w:t>26/06/2026</w:t>
      </w:r>
    </w:p>
    <w:p>
      <w:pPr>
        <w:jc w:val="right"/>
        <w:widowControl/>
        <w:ind w:left="15" w:right="60" w:hanging="15"/>
        <w:spacing w:after="45"/>
      </w:pPr>
      <w:r>
        <w:rPr>
          <w:rFonts w:ascii="Times New Roman" w:hAnsi="Times New Roman" w:cs="Times New Roman" w:eastAsia="Times New Roman"/>
          <w:sz w:val="22"/>
        </w:rPr>
        <w:t/>
      </w:r>
    </w:p>
    <w:p>
      <w:pPr>
        <w:jc w:val="center"/>
        <w:outlineLvl w:val="1"/>
        <w:widowControl/>
        <w:ind w:left="1350" w:right="1335"/>
        <w:spacing w:before="90"/>
      </w:pPr>
      <w:r>
        <w:rPr>
          <w:b/>
          <w:sz w:val="22"/>
        </w:rPr>
        <w:t>MARCELO ALVES DE OLIVEIRA</w:t>
      </w:r>
    </w:p>
    <w:p>
      <w:pPr>
        <w:jc w:val="center"/>
        <w:widowControl/>
        <w:ind w:left="15" w:hanging="15"/>
        <w:spacing w:after="45"/>
      </w:pPr>
      <w:r>
        <w:rPr>
          <w:b/>
          <w:sz w:val="22"/>
        </w:rPr>
        <w:t>Prefeito Municipal</w:t>
      </w:r>
    </w:p>
    <w:p>
      <w:pPr>
        <w:jc w:val="center"/>
        <w:widowControl/>
        <w:ind w:left="15" w:hanging="15"/>
        <w:spacing w:after="45"/>
      </w:pPr>
      <w:r>
        <w:rPr>
          <w:b/>
          <w:sz w:val="22"/>
        </w:rPr>
        <w:t/>
      </w:r>
    </w:p>
    <w:p>
      <w:r>
        <w:br w:type="page"/>
      </w:r>
    </w:p>
    <w:p>
      <w:pPr>
        <w:jc w:val="center"/>
        <w:widowControl/>
        <w:ind w:left="15" w:hanging="15"/>
        <w:spacing w:after="45"/>
      </w:pPr>
      <w:r>
        <w:rPr>
          <w:b/>
          <w:sz w:val="22"/>
        </w:rPr>
        <w:t/>
      </w:r>
    </w:p>
    <w:p>
      <w:pPr>
        <w:jc w:val="center"/>
        <w:widowControl/>
        <w:spacing w:after="45"/>
      </w:pPr>
      <w:r>
        <w:rPr>
          <w:sz w:val="22"/>
        </w:rPr>
        <w:t/>
      </w:r>
    </w:p>
    <w:tbl>
      <w:tblPr>
        <w:tblW w:w="11055" w:type="dxa"/>
        <w:jc w:val="center"/>
        <w:tblLayout w:type="fixed"/>
        <w:tblCellMar>
          <w:top w:w="0" w:type="dxa"/>
          <w:left w:w="0" w:type="dxa"/>
          <w:bottom w:w="0" w:type="dxa"/>
          <w:right w:w="0" w:type="dxa"/>
        </w:tblCellMar>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rFonts w:ascii="Times New Roman" w:hAnsi="Times New Roman" w:cs="Times New Roman" w:eastAsia="Times New Roman"/>
          <w:sz w:val="22"/>
        </w:rPr>
        <w:t/>
      </w:r>
    </w:p>
    <w:p>
      <w:pPr>
        <w:jc w:val="center"/>
      </w:pPr>
      <w:r>
        <w:rPr>
          <w:b/>
          <w:sz w:val="22"/>
        </w:rPr>
        <w:t>CONCORRÊNCIA ELETRÔNICA Nº 8/2026.</w:t>
      </w:r>
    </w:p>
    <w:p>
      <w:pPr>
        <w:jc w:val="center"/>
      </w:pPr>
      <w:r>
        <w:rPr>
          <w:b/>
          <w:sz w:val="22"/>
        </w:rPr>
        <w:t>PROCESSO ADMINISTRATIVO N.° 74/2026</w:t>
      </w:r>
    </w:p>
    <w:p>
      <w:pPr>
        <w:widowControl/>
      </w:pPr>
      <w:r>
        <w:drawing>
          <wp:inline distT="0" distB="0" distL="0" distR="0">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610350" cy="200025"/>
                    </a:xfrm>
                    <a:prstGeom prst="rect">
                      <a:avLst/>
                    </a:prstGeom>
                  </pic:spPr>
                </pic:pic>
              </a:graphicData>
            </a:graphic>
          </wp:inline>
        </w:drawing>
      </w:r>
    </w:p>
    <w:p>
      <w:pPr>
        <w:widowControl/>
      </w:pPr>
      <w:r>
        <w:rPr>
          <w:rFonts w:ascii="Times New Roman" w:hAnsi="Times New Roman" w:cs="Times New Roman" w:eastAsia="Times New Roman"/>
          <w:sz w:val="22"/>
        </w:rPr>
        <w:t/>
      </w:r>
    </w:p>
    <w:p>
      <w:pPr>
        <w:jc w:val="both"/>
        <w:widowControl/>
        <w:ind w:left="225" w:right="210"/>
        <w:spacing w:before="90" w:lineRule="auto" w:line="276"/>
      </w:pPr>
      <w:r>
        <w:rPr>
          <w:b/>
          <w:sz w:val="22"/>
        </w:rPr>
        <w:t xml:space="preserve">OBJETO: CONTRATAÇÃO DE EMPRESA ESPECIALIZADA EM SERVIÇOS DE ENGENHARIA PARA EXECUÇÃO DE OBRA DE CONSTRUÇÃO DE CAMPO DE GRAMA SINTÉTICA NO COMPLEXO ESPORTIVO ESTEFANO GREB NO MUNICIPIO DE GUAIRAÇÁ/PR., </w:t>
      </w:r>
      <w:r>
        <w:rPr>
          <w:sz w:val="22"/>
        </w:rPr>
        <w:t>conforme segue:</w:t>
      </w:r>
    </w:p>
    <w:p>
      <w:pPr>
        <w:jc w:val="both"/>
        <w:widowControl/>
        <w:ind w:left="225" w:right="210"/>
        <w:spacing w:before="90" w:lineRule="auto" w:line="276"/>
      </w:pPr>
      <w:r>
        <w:rPr>
          <w:rFonts w:ascii="Times New Roman" w:hAnsi="Times New Roman" w:cs="Times New Roman" w:eastAsia="Times New Roman"/>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40" w:type="dxa"/>
        <w:shd w:val="clear" w:color="auto" w:fill="FFFFFF"/>
      </w:tblPr>
      <w:tblGrid>
        <w:gridCol w:w="900"/>
        <w:gridCol w:w="1350"/>
        <w:gridCol w:w="2805"/>
        <w:gridCol w:w="900"/>
        <w:gridCol w:w="1125"/>
        <w:gridCol w:w="1140"/>
        <w:gridCol w:w="1695"/>
      </w:tblGrid>
      <w:tr>
        <w:tc>
          <w:tcPr>
            <w:gridSpan w:val="7"/>
            <w:shd w:val="clear" w:color="auto" w:fill="FFFFFF"/>
          </w:tcPr>
          <w:p>
            <w:r>
              <w:t>Lote: 1 - Lote 001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43112</w:t>
            </w:r>
          </w:p>
        </w:tc>
        <w:tc>
          <w:tcPr>
            <w:shd w:val="clear" w:color="auto" w:fill="FFFFFF"/>
          </w:tcPr>
          <w:p>
            <w:r>
              <w:t xml:space="preserve">Serviços implantação de Campo de Grama Sintética no Complexo Esportivo Conform memorial descrito em anexo.  </w:t>
            </w:r>
          </w:p>
        </w:tc>
        <w:tc>
          <w:tcPr>
            <w:shd w:val="clear" w:color="auto" w:fill="FFFFFF"/>
          </w:tcPr>
          <w:p>
            <w:r>
              <w:t>1,00</w:t>
            </w:r>
          </w:p>
        </w:tc>
        <w:tc>
          <w:tcPr>
            <w:shd w:val="clear" w:color="auto" w:fill="FFFFFF"/>
          </w:tcPr>
          <w:p>
            <w:r>
              <w:t>SERV</w:t>
            </w:r>
          </w:p>
        </w:tc>
        <w:tc>
          <w:tcPr>
            <w:shd w:val="clear" w:color="auto" w:fill="FFFFFF"/>
          </w:tcPr>
          <w:p>
            <w:r>
              <w:t>398.123,88</w:t>
            </w:r>
          </w:p>
        </w:tc>
        <w:tc>
          <w:tcPr>
            <w:shd w:val="clear" w:color="auto" w:fill="FFFFFF"/>
          </w:tcPr>
          <w:p>
            <w:r>
              <w:t>398.123,88</w:t>
            </w:r>
          </w:p>
        </w:tc>
      </w:tr>
      <w:tr>
        <w:tc>
          <w:tcPr>
            <w:gridSpan w:val="6"/>
            <w:shd w:val="clear" w:color="auto" w:fill="FFFFFF"/>
          </w:tcPr>
          <w:p>
            <w:r>
              <w:t/>
            </w:r>
          </w:p>
          <w:p>
            <w:r>
              <w:t>TOTAL</w:t>
            </w:r>
          </w:p>
        </w:tc>
        <w:tc>
          <w:tcPr>
            <w:shd w:val="clear" w:color="auto" w:fill="FFFFFF"/>
          </w:tcPr>
          <w:p>
            <w:r>
              <w:t/>
            </w:r>
          </w:p>
          <w:p>
            <w:r>
              <w:t>398.123,88</w:t>
            </w:r>
          </w:p>
        </w:tc>
      </w:tr>
    </w:tbl>
    <w:p>
      <w:pPr>
        <w:widowControl/>
        <w:spacing w:after="165" w:lineRule="auto" w:line="252"/>
      </w:pPr>
      <w:r>
        <w:rPr>
          <w:rFonts w:ascii="Calibri" w:hAnsi="Calibri" w:cs="Calibri" w:eastAsia="Calibri"/>
          <w:sz w:val="22"/>
        </w:rPr>
        <w:t/>
      </w:r>
    </w:p>
    <w:p>
      <w:pPr>
        <w:widowControl/>
        <w:ind w:left="225" w:right="210"/>
        <w:spacing w:before="30" w:lineRule="auto" w:line="276"/>
      </w:pPr>
      <w:r>
        <w:rPr>
          <w:sz w:val="22"/>
        </w:rPr>
        <w:t xml:space="preserve">O prazo de vigência da contratação será de </w:t>
      </w:r>
      <w:r>
        <w:rPr>
          <w:b/>
          <w:sz w:val="22"/>
        </w:rPr>
        <w:t>até 12 (doze) meses,</w:t>
      </w:r>
      <w:r>
        <w:rPr>
          <w:sz w:val="22"/>
        </w:rPr>
        <w:t xml:space="preserve"> contados da data indicada no instrumento contratual, na forma do artigo 105, da Lei n° 14.133/2021.</w:t>
      </w:r>
    </w:p>
    <w:p>
      <w:pPr>
        <w:widowControl/>
        <w:ind w:left="225" w:right="210"/>
        <w:spacing w:before="30" w:lineRule="auto" w:line="276"/>
      </w:pPr>
      <w:r>
        <w:rPr>
          <w:sz w:val="22"/>
        </w:rPr>
        <w:t/>
      </w:r>
    </w:p>
    <w:p>
      <w:pPr>
        <w:widowControl/>
        <w:ind w:left="225" w:right="210"/>
        <w:spacing w:before="30" w:lineRule="auto" w:line="276"/>
      </w:pPr>
      <w:r>
        <w:rPr>
          <w:sz w:val="22"/>
        </w:rPr>
        <w:t>O prazo de execução da obra será de</w:t>
      </w:r>
      <w:r>
        <w:rPr>
          <w:b/>
          <w:sz w:val="22"/>
        </w:rPr>
        <w:t xml:space="preserve"> 04 (quatro) meses</w:t>
      </w:r>
      <w:r>
        <w:rPr>
          <w:sz w:val="22"/>
        </w:rPr>
        <w:t xml:space="preserve"> corridos, contados da assinatura do respectivo contrato.</w:t>
      </w:r>
    </w:p>
    <w:p>
      <w:pPr>
        <w:widowControl/>
        <w:ind w:left="225" w:right="210"/>
        <w:spacing w:before="30" w:lineRule="auto" w:line="276"/>
      </w:pPr>
      <w:r>
        <w:rPr>
          <w:sz w:val="22"/>
        </w:rPr>
        <w:t/>
      </w:r>
    </w:p>
    <w:p>
      <w:pPr>
        <w:widowControl/>
        <w:ind w:left="240"/>
        <w:spacing w:after="165" w:lineRule="auto" w:line="252"/>
      </w:pPr>
      <w:r>
        <w:rPr>
          <w:sz w:val="22"/>
        </w:rPr>
        <w:t xml:space="preserve">O custo estimado total da contratação é de </w:t>
      </w:r>
      <w:r>
        <w:rPr>
          <w:b/>
          <w:sz w:val="22"/>
        </w:rPr>
        <w:t>R$ 398.123,88(Trezentos e Noventa e Oito Mil, Cento e Vinte e Três Reais e Oitenta e Oito Centavos)</w:t>
      </w:r>
      <w:r>
        <w:rPr>
          <w:sz w:val="22"/>
        </w:rPr>
        <w:t>, conforme custos unitários apostos na tabela acima.</w:t>
      </w:r>
    </w:p>
    <w:p>
      <w:pPr>
        <w:jc w:val="both"/>
        <w:ind w:left="135" w:right="285"/>
        <w:tabs>
          <w:tab w:val="left" w:pos="1470"/>
        </w:tabs>
      </w:pPr>
      <w:r>
        <w:rPr>
          <w:b/>
        </w:rPr>
        <w:t xml:space="preserve"> O INÍCIO DA OBRA SERÁ A PARTIR DO 11º DIA DA ASSINATURA DO TERMO DE CONTRATO.</w:t>
      </w:r>
    </w:p>
    <w:p>
      <w:pPr>
        <w:widowControl/>
        <w:spacing w:before="15"/>
      </w:pPr>
      <w:r>
        <w:rPr>
          <w:rFonts w:ascii="Times New Roman" w:hAnsi="Times New Roman" w:cs="Times New Roman" w:eastAsia="Times New Roman"/>
          <w:sz w:val="22"/>
        </w:rPr>
        <w:t/>
      </w:r>
    </w:p>
    <w:p>
      <w:pPr>
        <w:widowControl/>
        <w:ind w:left="225"/>
        <w:spacing w:before="90" w:lineRule="auto" w:line="264"/>
      </w:pPr>
      <w:r>
        <w:drawing>
          <wp:inline distT="0" distB="0" distL="0" distR="0">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610350" cy="342900"/>
                    </a:xfrm>
                    <a:prstGeom prst="rect">
                      <a:avLst/>
                    </a:prstGeom>
                  </pic:spPr>
                </pic:pic>
              </a:graphicData>
            </a:graphic>
          </wp:inline>
        </w:drawing>
      </w:r>
    </w:p>
    <w:p>
      <w:pPr>
        <w:widowControl/>
        <w:ind w:left="300"/>
        <w:spacing w:after="165" w:lineRule="auto" w:line="252"/>
      </w:pPr>
      <w:r>
        <w:rPr>
          <w:sz w:val="22"/>
        </w:rPr>
        <w:t/>
      </w:r>
    </w:p>
    <w:p>
      <w:pPr>
        <w:widowControl/>
        <w:ind w:left="300"/>
        <w:spacing w:after="165" w:lineRule="auto" w:line="252"/>
      </w:pPr>
      <w:r>
        <w:rPr>
          <w:sz w:val="22"/>
        </w:rPr>
        <w:t>A presente contratação tem como objetivo a implantação de um campo de grama sintética no Complexo Esportivo Estefano Greb, visando:</w:t>
      </w:r>
    </w:p>
    <w:p>
      <w:pPr>
        <w:widowControl/>
        <w:ind w:left="300"/>
        <w:spacing w:after="165" w:lineRule="auto" w:line="252"/>
      </w:pPr>
      <w:r>
        <w:rPr>
          <w:sz w:val="22"/>
        </w:rPr>
        <w:t>•</w:t>
      </w:r>
      <w:r>
        <w:rPr>
          <w:sz w:val="22"/>
        </w:rPr>
        <w:tab/>
      </w:r>
      <w:r>
        <w:rPr>
          <w:sz w:val="22"/>
        </w:rPr>
        <w:t>promover o incentivo ao esporte e lazer;</w:t>
      </w:r>
    </w:p>
    <w:p>
      <w:pPr>
        <w:widowControl/>
        <w:ind w:left="300"/>
        <w:spacing w:after="165" w:lineRule="auto" w:line="252"/>
      </w:pPr>
      <w:r>
        <w:rPr>
          <w:sz w:val="22"/>
        </w:rPr>
        <w:t>•</w:t>
      </w:r>
      <w:r>
        <w:rPr>
          <w:sz w:val="22"/>
        </w:rPr>
        <w:tab/>
      </w:r>
      <w:r>
        <w:rPr>
          <w:sz w:val="22"/>
        </w:rPr>
        <w:t>proporcionar espaço adequado para práticas esportivas;</w:t>
      </w:r>
    </w:p>
    <w:p>
      <w:pPr>
        <w:widowControl/>
        <w:ind w:left="300"/>
        <w:spacing w:after="165" w:lineRule="auto" w:line="252"/>
      </w:pPr>
      <w:r>
        <w:rPr>
          <w:sz w:val="22"/>
        </w:rPr>
        <w:t>•</w:t>
      </w:r>
      <w:r>
        <w:rPr>
          <w:sz w:val="22"/>
        </w:rPr>
        <w:tab/>
      </w:r>
      <w:r>
        <w:rPr>
          <w:sz w:val="22"/>
        </w:rPr>
        <w:t>fortalecer políticas públicas de esporte e saúde;</w:t>
      </w:r>
    </w:p>
    <w:p>
      <w:pPr>
        <w:widowControl/>
        <w:ind w:left="300"/>
        <w:spacing w:after="165" w:lineRule="auto" w:line="252"/>
      </w:pPr>
      <w:r>
        <w:rPr>
          <w:sz w:val="22"/>
        </w:rPr>
        <w:t>•</w:t>
      </w:r>
      <w:r>
        <w:rPr>
          <w:sz w:val="22"/>
        </w:rPr>
        <w:tab/>
      </w:r>
      <w:r>
        <w:rPr>
          <w:sz w:val="22"/>
        </w:rPr>
        <w:t>atender a população com infraestrutura esportiva de qualidade;</w:t>
      </w:r>
    </w:p>
    <w:p>
      <w:pPr>
        <w:widowControl/>
        <w:ind w:left="300"/>
        <w:spacing w:after="165" w:lineRule="auto" w:line="252"/>
      </w:pPr>
      <w:r>
        <w:rPr>
          <w:sz w:val="22"/>
        </w:rPr>
        <w:t>•</w:t>
      </w:r>
      <w:r>
        <w:rPr>
          <w:sz w:val="22"/>
        </w:rPr>
        <w:tab/>
      </w:r>
      <w:r>
        <w:rPr>
          <w:sz w:val="22"/>
        </w:rPr>
        <w:t>ampliar o acesso da comunidade às atividades esportivas.</w:t>
      </w:r>
    </w:p>
    <w:p>
      <w:pPr>
        <w:widowControl/>
        <w:ind w:left="300"/>
        <w:spacing w:after="165" w:lineRule="auto" w:line="252"/>
      </w:pPr>
      <w:r>
        <w:rPr>
          <w:sz w:val="22"/>
        </w:rPr>
        <w:t>O projeto conta com recursos da Secretaria de Estado das Cidades – SECID, com contrapartida do município, conforme plano de trabalho aprovado.</w:t>
      </w:r>
    </w:p>
    <w:p>
      <w:pPr>
        <w:widowControl/>
        <w:ind w:left="300"/>
        <w:spacing w:after="165" w:lineRule="auto" w:line="252"/>
      </w:pPr>
      <w:r>
        <w:rPr>
          <w:sz w:val="22"/>
        </w:rPr>
        <w:t>Construção de um Campo de Futebol Society, localizado no Complexo Esportivo Estefano Greb. O projeto tem como objetivo ampliar as opções de práticas esportivas e de lazer, proporcionando um espaço adequado para a realização de atividades físicas, campeonatos e eventos esportivos voltados à comunidade local.</w:t>
      </w:r>
    </w:p>
    <w:p>
      <w:pPr>
        <w:widowControl/>
        <w:ind w:left="300"/>
        <w:spacing w:after="165" w:lineRule="auto" w:line="252"/>
      </w:pPr>
      <w:r>
        <w:rPr>
          <w:sz w:val="22"/>
        </w:rPr>
        <w:t>O projeto tem como objetivo assegurar infraestrutura adequada para a prática esportiva, por meio da construção de um Campo de Futebol Society no Complexo Esportivo Estefano Greb. A iniciativa visa estimular a prática regular de ativida-des físicas, promover a integração social e incentivar hábitos saudáveis entre cri-anças, jovens, adultos e idosos.</w:t>
      </w:r>
    </w:p>
    <w:p>
      <w:pPr>
        <w:widowControl/>
        <w:ind w:left="300"/>
        <w:spacing w:after="165" w:lineRule="auto" w:line="252"/>
      </w:pPr>
      <w:r>
        <w:rPr>
          <w:sz w:val="22"/>
        </w:rPr>
        <w:t>Além disso, busca fortalecer o esporte como ferramenta de inclusão social, opor-tunizando a formação esportiva de alunos das escolas públicas municipais e pro-porcionando espaços de convivência e lazer à comunidade em geral. O projeto também contribuirá para a realização de eventos esportivos locais e regionais, con-solidando o legado esportivo e social no municipio.</w:t>
      </w:r>
    </w:p>
    <w:p>
      <w:pPr>
        <w:widowControl/>
        <w:spacing w:before="15"/>
      </w:pPr>
      <w:r>
        <w:drawing>
          <wp:inline distT="0" distB="0" distL="0" distR="0">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677025" cy="209550"/>
                    </a:xfrm>
                    <a:prstGeom prst="rect">
                      <a:avLst/>
                    </a:prstGeom>
                  </pic:spPr>
                </pic:pic>
              </a:graphicData>
            </a:graphic>
          </wp:inline>
        </w:drawing>
      </w:r>
    </w:p>
    <w:p>
      <w:pPr>
        <w:widowControl/>
        <w:spacing w:before="15"/>
      </w:pPr>
      <w:r>
        <w:rPr>
          <w:rFonts w:ascii="Times New Roman" w:hAnsi="Times New Roman" w:cs="Times New Roman" w:eastAsia="Times New Roman"/>
          <w:sz w:val="22"/>
        </w:rPr>
        <w:t/>
      </w:r>
    </w:p>
    <w:p>
      <w:pPr>
        <w:widowControl/>
        <w:ind w:left="1065"/>
        <w:spacing w:after="165" w:lineRule="auto" w:line="252"/>
      </w:pPr>
      <w:r>
        <w:rPr>
          <w:sz w:val="22"/>
        </w:rPr>
        <w:t>a) A contratação deverá observar os seguintes requisitos:</w:t>
      </w:r>
    </w:p>
    <w:p>
      <w:pPr>
        <w:widowControl/>
        <w:ind w:left="1065"/>
        <w:spacing w:after="165" w:lineRule="auto" w:line="252"/>
      </w:pPr>
      <w:r>
        <w:rPr>
          <w:sz w:val="22"/>
        </w:rPr>
        <w:t>b) O critério de julgamento a ser utilizado no presente certame será o menor preço Global</w:t>
      </w:r>
      <w:r>
        <w:rPr>
          <w:b/>
          <w:sz w:val="22"/>
        </w:rPr>
        <w:t>;</w:t>
      </w:r>
    </w:p>
    <w:p>
      <w:pPr>
        <w:widowControl/>
        <w:ind w:left="1065"/>
        <w:spacing w:after="165" w:lineRule="auto" w:line="252"/>
      </w:pPr>
      <w:r>
        <w:rPr>
          <w:sz w:val="22"/>
        </w:rPr>
        <w:t>c) Não serão aplicadas a indicação e/ou a vedação de marcas;</w:t>
      </w:r>
    </w:p>
    <w:p>
      <w:pPr>
        <w:widowControl/>
        <w:ind w:left="1065"/>
        <w:spacing w:after="165" w:lineRule="auto" w:line="252"/>
      </w:pPr>
      <w:r>
        <w:rPr>
          <w:sz w:val="22"/>
        </w:rPr>
        <w:t>d) Não será admitida a subcontratação do objeto contratual;</w:t>
      </w:r>
    </w:p>
    <w:p>
      <w:pPr>
        <w:widowControl/>
        <w:spacing w:after="165" w:lineRule="auto" w:line="252"/>
      </w:pPr>
      <w:r>
        <w:rPr>
          <w:rFonts w:ascii="Calibri" w:hAnsi="Calibri" w:cs="Calibri" w:eastAsia="Calibri"/>
          <w:sz w:val="22"/>
        </w:rPr>
        <w:t/>
      </w:r>
    </w:p>
    <w:p>
      <w:pPr>
        <w:jc w:val="both"/>
        <w:widowControl/>
        <w:ind w:left="105" w:firstLine="15"/>
        <w:spacing w:after="165"/>
      </w:pPr>
      <w:r>
        <w:rPr>
          <w:b/>
          <w:sz w:val="22"/>
          <w:color w:val="000000"/>
        </w:rPr>
        <w:t xml:space="preserve">3.1 Sustentabilidade em </w:t>
      </w:r>
      <w:r>
        <w:rPr>
          <w:b/>
          <w:sz w:val="22"/>
        </w:rPr>
        <w:t>o</w:t>
      </w:r>
      <w:r>
        <w:rPr>
          <w:b/>
          <w:sz w:val="22"/>
          <w:color w:val="000000"/>
        </w:rPr>
        <w:t xml:space="preserve">bras de </w:t>
      </w:r>
      <w:r>
        <w:rPr>
          <w:b/>
          <w:sz w:val="22"/>
        </w:rPr>
        <w:t>e</w:t>
      </w:r>
      <w:r>
        <w:rPr>
          <w:b/>
          <w:sz w:val="22"/>
          <w:color w:val="000000"/>
        </w:rPr>
        <w:t>ngenharia</w:t>
      </w:r>
    </w:p>
    <w:p>
      <w:pPr>
        <w:jc w:val="both"/>
        <w:widowControl/>
        <w:ind w:left="705"/>
        <w:spacing w:after="165"/>
      </w:pPr>
      <w:r>
        <w:rPr>
          <w:rFonts w:ascii="Calibri" w:hAnsi="Calibri" w:cs="Calibri" w:eastAsia="Calibri"/>
          <w:sz w:val="22"/>
          <w:color w:val="000000"/>
        </w:rPr>
        <w:t xml:space="preserve">3.1.1. Critérios </w:t>
      </w:r>
      <w:r>
        <w:rPr>
          <w:rFonts w:ascii="Calibri" w:hAnsi="Calibri" w:cs="Calibri" w:eastAsia="Calibri"/>
          <w:sz w:val="22"/>
        </w:rPr>
        <w:t>g</w:t>
      </w:r>
      <w:r>
        <w:rPr>
          <w:rFonts w:ascii="Calibri" w:hAnsi="Calibri" w:cs="Calibri" w:eastAsia="Calibri"/>
          <w:sz w:val="22"/>
          <w:color w:val="000000"/>
        </w:rPr>
        <w:t xml:space="preserve">erais de </w:t>
      </w:r>
      <w:r>
        <w:rPr>
          <w:rFonts w:ascii="Calibri" w:hAnsi="Calibri" w:cs="Calibri" w:eastAsia="Calibri"/>
          <w:sz w:val="22"/>
        </w:rPr>
        <w:t>s</w:t>
      </w:r>
      <w:r>
        <w:rPr>
          <w:rFonts w:ascii="Calibri" w:hAnsi="Calibri" w:cs="Calibri" w:eastAsia="Calibri"/>
          <w:sz w:val="22"/>
          <w:color w:val="000000"/>
        </w:rPr>
        <w:t>ustentabilidade</w:t>
      </w:r>
    </w:p>
    <w:p>
      <w:pPr>
        <w:jc w:val="both"/>
        <w:widowControl/>
        <w:ind w:left="705"/>
        <w:spacing w:after="165"/>
      </w:pPr>
      <w:r>
        <w:rPr>
          <w:rFonts w:ascii="Calibri" w:hAnsi="Calibri" w:cs="Calibri" w:eastAsia="Calibri"/>
          <w:sz w:val="22"/>
          <w:color w:val="000000"/>
        </w:rPr>
        <w:t>3.1.1.1. Adesão ao Guia Nacional de Contratações Sustentáveis;</w:t>
      </w:r>
    </w:p>
    <w:p>
      <w:pPr>
        <w:jc w:val="both"/>
        <w:widowControl/>
        <w:ind w:left="705"/>
        <w:spacing w:after="165"/>
      </w:pPr>
      <w:r>
        <w:rPr>
          <w:rFonts w:ascii="Calibri" w:hAnsi="Calibri" w:cs="Calibri" w:eastAsia="Calibri"/>
          <w:sz w:val="22"/>
          <w:color w:val="000000"/>
        </w:rPr>
        <w:t>3.1.1.2. Alinhamento com o Plano de Gestão e Logística Sustentável do órgão;</w:t>
      </w:r>
    </w:p>
    <w:p>
      <w:pPr>
        <w:jc w:val="both"/>
        <w:widowControl/>
        <w:ind w:left="705"/>
        <w:spacing w:after="165"/>
      </w:pPr>
      <w:r>
        <w:rPr>
          <w:rFonts w:ascii="Calibri" w:hAnsi="Calibri" w:cs="Calibri" w:eastAsia="Calibri"/>
          <w:sz w:val="22"/>
          <w:color w:val="000000"/>
        </w:rPr>
        <w:t>3.1.1.3. Incorporação das dimensões ambientais, sociais, econômicas e culturais.</w:t>
      </w:r>
    </w:p>
    <w:p>
      <w:pPr>
        <w:jc w:val="both"/>
        <w:widowControl/>
        <w:ind w:left="705"/>
        <w:spacing w:after="165"/>
      </w:pPr>
      <w:r>
        <w:rPr>
          <w:rFonts w:ascii="Calibri" w:hAnsi="Calibri" w:cs="Calibri" w:eastAsia="Calibri"/>
          <w:sz w:val="22"/>
          <w:color w:val="000000"/>
          <w:shd w:val="clear" w:color="auto" w:fill="FFFFFF"/>
        </w:rPr>
        <w:t>3.1.1.4.</w:t>
      </w:r>
      <w:r>
        <w:rPr>
          <w:rFonts w:ascii="Calibri" w:hAnsi="Calibri" w:cs="Calibri" w:eastAsia="Calibri"/>
          <w:sz w:val="22"/>
          <w:shd w:val="clear" w:color="auto" w:fill="FFFFFF"/>
        </w:rPr>
        <w:t xml:space="preserve"> Alinhamento com a </w:t>
      </w:r>
      <w:r>
        <w:rPr>
          <w:rFonts w:ascii="Calibri" w:hAnsi="Calibri" w:cs="Calibri" w:eastAsia="Calibri"/>
          <w:sz w:val="22"/>
          <w:color w:val="000000"/>
          <w:shd w:val="clear" w:color="auto" w:fill="FFFFFF"/>
        </w:rPr>
        <w:t>Política Nacional de Meio Ambiente (Lei nº 6.938/1981);</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5</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a Política Naciona</w:t>
      </w:r>
      <w:r>
        <w:rPr>
          <w:rFonts w:ascii="Calibri" w:hAnsi="Calibri" w:cs="Calibri" w:eastAsia="Calibri"/>
          <w:sz w:val="22"/>
          <w:color w:val="000000"/>
          <w:shd w:val="clear" w:color="auto" w:fill="FFFFFF"/>
        </w:rPr>
        <w:t>l sobre Mudança do Clima (Lei nº 12.187/2009);</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6</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Polític</w:t>
      </w:r>
      <w:r>
        <w:rPr>
          <w:rFonts w:ascii="Calibri" w:hAnsi="Calibri" w:cs="Calibri" w:eastAsia="Calibri"/>
          <w:sz w:val="22"/>
          <w:color w:val="000000"/>
          <w:shd w:val="clear" w:color="auto" w:fill="FFFFFF"/>
        </w:rPr>
        <w:t>a Nacional de Resíduos Sólidos (Lei nº 12.305/2010);</w:t>
      </w:r>
    </w:p>
    <w:p>
      <w:pPr>
        <w:jc w:val="both"/>
        <w:widowControl/>
        <w:ind w:left="705"/>
        <w:spacing w:after="165"/>
      </w:pPr>
      <w:r>
        <w:rPr>
          <w:rFonts w:ascii="Calibri" w:hAnsi="Calibri" w:cs="Calibri" w:eastAsia="Calibri"/>
          <w:sz w:val="22"/>
          <w:color w:val="000000"/>
        </w:rPr>
        <w:t>3.1.2.5. Gerenciamento de resíduos</w:t>
      </w:r>
    </w:p>
    <w:p>
      <w:pPr>
        <w:jc w:val="both"/>
        <w:widowControl/>
        <w:ind w:left="1425"/>
        <w:spacing w:after="165"/>
      </w:pPr>
      <w:r>
        <w:rPr>
          <w:rFonts w:ascii="Calibri" w:hAnsi="Calibri" w:cs="Calibri" w:eastAsia="Calibri"/>
          <w:sz w:val="22"/>
          <w:color w:val="000000"/>
        </w:rPr>
        <w:t>3.1.2.5.1. Planos para redução, reutilização e reciclagem de resíduos de construção</w:t>
      </w:r>
    </w:p>
    <w:p>
      <w:pPr>
        <w:jc w:val="both"/>
        <w:widowControl/>
        <w:ind w:left="1425"/>
        <w:spacing w:after="165"/>
      </w:pPr>
      <w:r>
        <w:rPr>
          <w:rFonts w:ascii="Calibri" w:hAnsi="Calibri" w:cs="Calibri" w:eastAsia="Calibri"/>
          <w:sz w:val="22"/>
          <w:color w:val="000000"/>
        </w:rPr>
        <w:t>3.1.2.6. Redução da poluição</w:t>
      </w:r>
    </w:p>
    <w:p>
      <w:pPr>
        <w:jc w:val="both"/>
        <w:widowControl/>
        <w:ind w:left="1425"/>
        <w:spacing w:after="165"/>
      </w:pPr>
      <w:r>
        <w:rPr>
          <w:rFonts w:ascii="Calibri" w:hAnsi="Calibri" w:cs="Calibri" w:eastAsia="Calibri"/>
          <w:sz w:val="22"/>
          <w:color w:val="000000"/>
        </w:rPr>
        <w:t>3.1.2.6.1. Práticas para minimizar a poluição durante construção e operação</w:t>
      </w:r>
    </w:p>
    <w:p>
      <w:pPr>
        <w:jc w:val="both"/>
        <w:widowControl/>
        <w:ind w:left="1425"/>
        <w:spacing w:after="165"/>
      </w:pPr>
      <w:r>
        <w:rPr>
          <w:rFonts w:ascii="Times New Roman" w:hAnsi="Times New Roman" w:cs="Times New Roman" w:eastAsia="Times New Roman"/>
          <w:sz w:val="22"/>
        </w:rPr>
        <w:t/>
      </w:r>
    </w:p>
    <w:p>
      <w:pPr>
        <w:jc w:val="both"/>
        <w:widowControl/>
        <w:ind w:left="705"/>
        <w:spacing w:after="165"/>
      </w:pPr>
      <w:r>
        <w:rPr>
          <w:rFonts w:ascii="Calibri" w:hAnsi="Calibri" w:cs="Calibri" w:eastAsia="Calibri"/>
          <w:b/>
          <w:sz w:val="22"/>
          <w:color w:val="000000"/>
        </w:rPr>
        <w:t xml:space="preserve">3.2 Indicação de marcas ou modelos (Inciso I do art. 41 da </w:t>
      </w:r>
      <w:r>
        <w:rPr>
          <w:rFonts w:ascii="Calibri" w:hAnsi="Calibri" w:cs="Calibri" w:eastAsia="Calibri"/>
          <w:b/>
          <w:sz w:val="22"/>
        </w:rPr>
        <w:t>L</w:t>
      </w:r>
      <w:r>
        <w:rPr>
          <w:rFonts w:ascii="Calibri" w:hAnsi="Calibri" w:cs="Calibri" w:eastAsia="Calibri"/>
          <w:b/>
          <w:sz w:val="22"/>
          <w:color w:val="000000"/>
        </w:rPr>
        <w:t xml:space="preserve">ei nº 14.133, de 2021) </w:t>
      </w:r>
    </w:p>
    <w:p>
      <w:pPr>
        <w:jc w:val="both"/>
        <w:widowControl/>
        <w:ind w:left="705"/>
        <w:spacing w:after="165"/>
      </w:pPr>
      <w:r>
        <w:rPr>
          <w:rFonts w:ascii="Calibri" w:hAnsi="Calibri" w:cs="Calibri" w:eastAsia="Calibri"/>
          <w:sz w:val="22"/>
          <w:color w:val="000000"/>
        </w:rPr>
        <w:t xml:space="preserve">3.2.1. </w:t>
      </w:r>
      <w:r>
        <w:rPr>
          <w:rFonts w:ascii="Calibri" w:hAnsi="Calibri" w:cs="Calibri" w:eastAsia="Calibri"/>
          <w:b/>
          <w:sz w:val="22"/>
          <w:color w:val="000000"/>
        </w:rPr>
        <w:t xml:space="preserve">Seleção </w:t>
      </w:r>
      <w:r>
        <w:rPr>
          <w:rFonts w:ascii="Calibri" w:hAnsi="Calibri" w:cs="Calibri" w:eastAsia="Calibri"/>
          <w:b/>
          <w:sz w:val="22"/>
        </w:rPr>
        <w:t>b</w:t>
      </w:r>
      <w:r>
        <w:rPr>
          <w:rFonts w:ascii="Calibri" w:hAnsi="Calibri" w:cs="Calibri" w:eastAsia="Calibri"/>
          <w:b/>
          <w:sz w:val="22"/>
          <w:color w:val="000000"/>
        </w:rPr>
        <w:t xml:space="preserve">aseada em </w:t>
      </w:r>
      <w:r>
        <w:rPr>
          <w:rFonts w:ascii="Calibri" w:hAnsi="Calibri" w:cs="Calibri" w:eastAsia="Calibri"/>
          <w:b/>
          <w:sz w:val="22"/>
        </w:rPr>
        <w:t>e</w:t>
      </w:r>
      <w:r>
        <w:rPr>
          <w:rFonts w:ascii="Calibri" w:hAnsi="Calibri" w:cs="Calibri" w:eastAsia="Calibri"/>
          <w:b/>
          <w:sz w:val="22"/>
          <w:color w:val="000000"/>
        </w:rPr>
        <w:t xml:space="preserve">studos </w:t>
      </w:r>
      <w:r>
        <w:rPr>
          <w:rFonts w:ascii="Calibri" w:hAnsi="Calibri" w:cs="Calibri" w:eastAsia="Calibri"/>
          <w:b/>
          <w:sz w:val="22"/>
        </w:rPr>
        <w:t>t</w:t>
      </w:r>
      <w:r>
        <w:rPr>
          <w:rFonts w:ascii="Calibri" w:hAnsi="Calibri" w:cs="Calibri" w:eastAsia="Calibri"/>
          <w:b/>
          <w:sz w:val="22"/>
          <w:color w:val="000000"/>
        </w:rPr>
        <w:t>écnicos</w:t>
      </w:r>
      <w:r>
        <w:rPr>
          <w:rFonts w:ascii="Calibri" w:hAnsi="Calibri" w:cs="Calibri" w:eastAsia="Calibri"/>
          <w:sz w:val="22"/>
          <w:color w:val="000000"/>
        </w:rPr>
        <w:t>: permit</w:t>
      </w:r>
      <w:r>
        <w:rPr>
          <w:rFonts w:ascii="Calibri" w:hAnsi="Calibri" w:cs="Calibri" w:eastAsia="Calibri"/>
          <w:sz w:val="22"/>
        </w:rPr>
        <w:t>e</w:t>
      </w:r>
      <w:r>
        <w:rPr>
          <w:rFonts w:ascii="Calibri" w:hAnsi="Calibri" w:cs="Calibri" w:eastAsia="Calibri"/>
          <w:sz w:val="22"/>
          <w:color w:val="000000"/>
        </w:rPr>
        <w:t xml:space="preserve"> a especificação de marcas ou modelos que atendam às exigências técnicas e de qualidade estipuladas nos Estudos Técnicos Preliminares, conforme inciso I do Art. 41 da Lei nº 14.133.</w:t>
      </w:r>
    </w:p>
    <w:p>
      <w:pPr>
        <w:jc w:val="both"/>
        <w:widowControl/>
        <w:ind w:left="705"/>
        <w:spacing w:after="165"/>
      </w:pPr>
      <w:r>
        <w:rPr>
          <w:rFonts w:ascii="Calibri" w:hAnsi="Calibri" w:cs="Calibri" w:eastAsia="Calibri"/>
          <w:b/>
          <w:sz w:val="22"/>
          <w:color w:val="000000"/>
        </w:rPr>
        <w:t xml:space="preserve">3.3 Da vedação de utilização de marca/produto na execução do serviço (Inciso III do art. 41 da </w:t>
      </w:r>
      <w:r>
        <w:rPr>
          <w:rFonts w:ascii="Calibri" w:hAnsi="Calibri" w:cs="Calibri" w:eastAsia="Calibri"/>
          <w:b/>
          <w:sz w:val="22"/>
        </w:rPr>
        <w:t>L</w:t>
      </w:r>
      <w:r>
        <w:rPr>
          <w:rFonts w:ascii="Calibri" w:hAnsi="Calibri" w:cs="Calibri" w:eastAsia="Calibri"/>
          <w:b/>
          <w:sz w:val="22"/>
          <w:color w:val="000000"/>
        </w:rPr>
        <w:t>ei nº 14.133, de 2021);</w:t>
      </w:r>
    </w:p>
    <w:p>
      <w:pPr>
        <w:jc w:val="both"/>
        <w:widowControl/>
        <w:ind w:left="705"/>
        <w:spacing w:after="165"/>
      </w:pPr>
      <w:r>
        <w:rPr>
          <w:rFonts w:ascii="Calibri" w:hAnsi="Calibri" w:cs="Calibri" w:eastAsia="Calibri"/>
          <w:b/>
          <w:sz w:val="22"/>
          <w:color w:val="000000"/>
        </w:rPr>
        <w:t>3.4 Subcontratação</w:t>
      </w:r>
    </w:p>
    <w:p>
      <w:pPr>
        <w:jc w:val="both"/>
        <w:widowControl/>
        <w:ind w:left="705"/>
        <w:spacing w:after="165"/>
      </w:pPr>
      <w:r>
        <w:rPr>
          <w:rFonts w:ascii="Calibri" w:hAnsi="Calibri" w:cs="Calibri" w:eastAsia="Calibri"/>
          <w:sz w:val="22"/>
          <w:color w:val="000000"/>
        </w:rPr>
        <w:t xml:space="preserve">3.4.1. </w:t>
      </w:r>
      <w:r>
        <w:rPr>
          <w:rFonts w:ascii="Calibri" w:hAnsi="Calibri" w:cs="Calibri" w:eastAsia="Calibri"/>
          <w:b/>
          <w:sz w:val="22"/>
          <w:color w:val="000000"/>
        </w:rPr>
        <w:t xml:space="preserve">Proibição e </w:t>
      </w:r>
      <w:r>
        <w:rPr>
          <w:rFonts w:ascii="Calibri" w:hAnsi="Calibri" w:cs="Calibri" w:eastAsia="Calibri"/>
          <w:b/>
          <w:sz w:val="22"/>
        </w:rPr>
        <w:t>p</w:t>
      </w:r>
      <w:r>
        <w:rPr>
          <w:rFonts w:ascii="Calibri" w:hAnsi="Calibri" w:cs="Calibri" w:eastAsia="Calibri"/>
          <w:b/>
          <w:sz w:val="22"/>
          <w:color w:val="000000"/>
        </w:rPr>
        <w:t>ermissões</w:t>
      </w:r>
      <w:r>
        <w:rPr>
          <w:rFonts w:ascii="Calibri" w:hAnsi="Calibri" w:cs="Calibri" w:eastAsia="Calibri"/>
          <w:sz w:val="22"/>
          <w:color w:val="000000"/>
        </w:rPr>
        <w:t>:</w:t>
      </w:r>
    </w:p>
    <w:p>
      <w:pPr>
        <w:jc w:val="both"/>
        <w:widowControl/>
        <w:spacing w:after="165"/>
        <w:numPr>
          <w:ilvl w:val="0"/>
          <w:numId w:val="197"/>
        </w:numPr>
      </w:pPr>
      <w:r/>
      <w:r>
        <w:rPr>
          <w:rFonts w:ascii="Calibri" w:hAnsi="Calibri" w:cs="Calibri" w:eastAsia="Calibri"/>
          <w:b/>
          <w:sz w:val="22"/>
          <w:color w:val="000000"/>
        </w:rPr>
        <w:t xml:space="preserve">Proibição </w:t>
      </w:r>
      <w:r>
        <w:rPr>
          <w:rFonts w:ascii="Calibri" w:hAnsi="Calibri" w:cs="Calibri" w:eastAsia="Calibri"/>
          <w:b/>
          <w:sz w:val="22"/>
        </w:rPr>
        <w:t>t</w:t>
      </w:r>
      <w:r>
        <w:rPr>
          <w:rFonts w:ascii="Calibri" w:hAnsi="Calibri" w:cs="Calibri" w:eastAsia="Calibri"/>
          <w:b/>
          <w:sz w:val="22"/>
          <w:color w:val="000000"/>
        </w:rPr>
        <w:t>otal</w:t>
      </w:r>
      <w:r>
        <w:rPr>
          <w:rFonts w:ascii="Calibri" w:hAnsi="Calibri" w:cs="Calibri" w:eastAsia="Calibri"/>
          <w:sz w:val="22"/>
          <w:color w:val="000000"/>
        </w:rPr>
        <w:t>: Não é admitida a subcontratação do objeto contratual.</w:t>
      </w:r>
    </w:p>
    <w:p>
      <w:pPr>
        <w:widowControl/>
      </w:pPr>
      <w:r>
        <w:rPr>
          <w:rFonts w:ascii="Times New Roman" w:hAnsi="Times New Roman" w:cs="Times New Roman" w:eastAsia="Times New Roman"/>
          <w:sz w:val="22"/>
        </w:rPr>
        <w:t/>
      </w:r>
    </w:p>
    <w:p>
      <w:pPr>
        <w:widowControl/>
        <w:spacing w:before="15"/>
      </w:pPr>
      <w:r>
        <w:drawing>
          <wp:inline distT="0" distB="0" distL="0" distR="0">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677025" cy="342900"/>
                    </a:xfrm>
                    <a:prstGeom prst="rect">
                      <a:avLst/>
                    </a:prstGeom>
                  </pic:spPr>
                </pic:pic>
              </a:graphicData>
            </a:graphic>
          </wp:inline>
        </w:drawing>
      </w:r>
    </w:p>
    <w:p>
      <w:pPr>
        <w:widowControl/>
        <w:spacing w:before="15"/>
      </w:pPr>
      <w:r>
        <w:rPr>
          <w:rFonts w:ascii="Calibri" w:hAnsi="Calibri" w:cs="Calibri" w:eastAsia="Calibri"/>
          <w:b/>
          <w:sz w:val="22"/>
          <w:color w:val="000000"/>
        </w:rPr>
        <w:t/>
      </w:r>
    </w:p>
    <w:p>
      <w:pPr>
        <w:jc w:val="both"/>
        <w:widowControl/>
        <w:ind w:left="705"/>
        <w:spacing w:after="165"/>
      </w:pPr>
      <w:r>
        <w:rPr>
          <w:sz w:val="22"/>
          <w:color w:val="000000"/>
        </w:rPr>
        <w:t xml:space="preserve">4.1 Será exigida a garantia da contratação de que tratam os arts. 96 e seguintes da Lei nº 14.133, de 2021, no percentual </w:t>
      </w:r>
      <w:r>
        <w:rPr>
          <w:b/>
          <w:sz w:val="22"/>
        </w:rPr>
        <w:t>05%</w:t>
      </w:r>
      <w:r>
        <w:rPr>
          <w:sz w:val="22"/>
          <w:color w:val="FF0000"/>
        </w:rPr>
        <w:t xml:space="preserve"> </w:t>
      </w:r>
      <w:r>
        <w:rPr>
          <w:sz w:val="22"/>
          <w:color w:val="000000"/>
        </w:rPr>
        <w:t>e condições descritas nas cláusulas do contrato.</w:t>
      </w:r>
    </w:p>
    <w:p>
      <w:pPr>
        <w:jc w:val="both"/>
        <w:widowControl/>
        <w:ind w:left="705"/>
        <w:spacing w:after="165"/>
      </w:pPr>
      <w:r>
        <w:rPr>
          <w:sz w:val="22"/>
          <w:color w:val="000000"/>
        </w:rPr>
        <w:t xml:space="preserve">4.1.1 Nas contratações de obras e serviços de engenharia, será exigida garantia adicional do licitante vencedor cuja proposta for inferior a </w:t>
      </w:r>
      <w:r>
        <w:rPr>
          <w:b/>
          <w:sz w:val="22"/>
          <w:color w:val="000000"/>
        </w:rPr>
        <w:t>85%</w:t>
      </w:r>
      <w:r>
        <w:rPr>
          <w:sz w:val="22"/>
          <w:color w:val="000000"/>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pPr>
        <w:jc w:val="both"/>
        <w:widowControl/>
        <w:ind w:left="705"/>
        <w:spacing w:after="165"/>
      </w:pPr>
      <w:r>
        <w:rPr>
          <w:sz w:val="22"/>
          <w:color w:val="000000"/>
        </w:rPr>
        <w:t>4.2 No caso de opção pelo seguro-garantia, a parte adjudicatária deverá apresentá-l</w:t>
      </w:r>
      <w:r>
        <w:rPr>
          <w:sz w:val="22"/>
        </w:rPr>
        <w:t>o</w:t>
      </w:r>
      <w:r>
        <w:rPr>
          <w:sz w:val="22"/>
          <w:color w:val="000000"/>
        </w:rPr>
        <w:t xml:space="preserve">, no máximo, até a data de assinatura do contrato.  </w:t>
      </w:r>
    </w:p>
    <w:p>
      <w:pPr>
        <w:jc w:val="both"/>
        <w:widowControl/>
        <w:ind w:left="705"/>
        <w:spacing w:after="165"/>
      </w:pPr>
      <w:r>
        <w:rPr>
          <w:sz w:val="22"/>
          <w:color w:val="000000"/>
        </w:rPr>
        <w:t>4.3 A garantia, nas modalidades caução e fiança bancária, deverá ser prestada em até 10 (de</w:t>
      </w:r>
      <w:r>
        <w:rPr>
          <w:sz w:val="22"/>
        </w:rPr>
        <w:t>z)</w:t>
      </w:r>
      <w:r>
        <w:rPr>
          <w:sz w:val="22"/>
          <w:color w:val="000000"/>
        </w:rPr>
        <w:t xml:space="preserve"> dias úteis após a assinatura do contrato.</w:t>
      </w:r>
    </w:p>
    <w:p>
      <w:pPr>
        <w:jc w:val="both"/>
        <w:widowControl/>
        <w:ind w:left="705"/>
        <w:spacing w:after="165"/>
      </w:pPr>
      <w:r>
        <w:rPr>
          <w:sz w:val="22"/>
          <w:color w:val="000000"/>
        </w:rPr>
        <w:t>4.4 O contrato oferece maior detalhamento das regras que serão aplicadas em relação à garantia da contratação.</w:t>
      </w:r>
    </w:p>
    <w:p>
      <w:pPr>
        <w:jc w:val="both"/>
        <w:widowControl/>
        <w:ind w:left="705"/>
        <w:spacing w:after="165"/>
      </w:pPr>
      <w:r>
        <w:rPr>
          <w:b/>
          <w:sz w:val="22"/>
          <w:color w:val="000000"/>
          <w:shd w:val="clear" w:color="auto" w:fill="FFFFFF"/>
        </w:rPr>
        <w:t>4.5 Vistoria do Local de Execução dos Serviços:</w:t>
      </w:r>
    </w:p>
    <w:p>
      <w:pPr>
        <w:jc w:val="both"/>
        <w:widowControl/>
        <w:ind w:left="705"/>
        <w:spacing w:after="165"/>
      </w:pPr>
      <w:r>
        <w:rPr>
          <w:rFonts w:ascii="Calibri" w:hAnsi="Calibri" w:cs="Calibri" w:eastAsia="Calibri"/>
          <w:sz w:val="22"/>
          <w:color w:val="000000"/>
        </w:rPr>
        <w:t xml:space="preserve">4.5.1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rFonts w:ascii="Calibri" w:hAnsi="Calibri" w:cs="Calibri" w:eastAsia="Calibri"/>
          <w:b/>
          <w:sz w:val="22"/>
        </w:rPr>
        <w:t>das 08:00 horas às 11:30 e das 13:30 ás 17:00horas de segunda a sexta feira, até o dia 22/07/2026.</w:t>
      </w:r>
    </w:p>
    <w:p>
      <w:pPr>
        <w:jc w:val="both"/>
        <w:widowControl/>
        <w:ind w:left="705"/>
        <w:spacing w:after="165"/>
      </w:pPr>
      <w:r>
        <w:rPr>
          <w:rFonts w:ascii="Calibri" w:hAnsi="Calibri" w:cs="Calibri" w:eastAsia="Calibri"/>
          <w:sz w:val="22"/>
          <w:color w:val="000000"/>
        </w:rPr>
        <w:t xml:space="preserve">4.5.2. Serão disponibilizados data e horário diferentes aos interessados em realizar a vistoria prévia, a qual poderá ser agendada através do e-mail </w:t>
      </w:r>
      <w:r>
        <w:rPr>
          <w:rFonts w:ascii="Calibri" w:hAnsi="Calibri" w:cs="Calibri" w:eastAsia="Calibri"/>
          <w:b/>
          <w:sz w:val="22"/>
        </w:rPr>
        <w:t>planejamento@guairaca.pr.gov.br</w:t>
      </w:r>
      <w:r>
        <w:rPr>
          <w:rFonts w:ascii="Times New Roman" w:hAnsi="Times New Roman" w:cs="Times New Roman" w:eastAsia="Times New Roman"/>
          <w:sz w:val="22"/>
          <w:color w:val="FF0000"/>
        </w:rPr>
        <w:t> </w:t>
      </w:r>
    </w:p>
    <w:p>
      <w:pPr>
        <w:jc w:val="both"/>
        <w:widowControl/>
        <w:ind w:left="705"/>
        <w:spacing w:after="165"/>
      </w:pPr>
      <w:r>
        <w:rPr>
          <w:rFonts w:ascii="Calibri" w:hAnsi="Calibri" w:cs="Calibri" w:eastAsia="Calibri"/>
          <w:sz w:val="22"/>
          <w:color w:val="000000"/>
        </w:rPr>
        <w:t xml:space="preserve">4.5.3. Para a vistoria, o representante legal da empresa ou responsável técnico deverá estar devidamente identificado, apresentando documento de identidade civil e documento expedido pela empresa, comprovando sua habilitação para a realização da vistoria. </w:t>
      </w:r>
    </w:p>
    <w:p>
      <w:pPr>
        <w:jc w:val="both"/>
        <w:widowControl/>
        <w:ind w:left="705"/>
        <w:spacing w:after="165"/>
      </w:pPr>
      <w:r>
        <w:rPr>
          <w:b/>
          <w:sz w:val="22"/>
          <w:color w:val="000000"/>
          <w:shd w:val="clear" w:color="auto" w:fill="C0C0C0"/>
        </w:rPr>
        <w:t xml:space="preserve">4.6 Padrões mínimos de </w:t>
      </w:r>
      <w:r>
        <w:rPr>
          <w:b/>
          <w:sz w:val="22"/>
          <w:shd w:val="clear" w:color="auto" w:fill="C0C0C0"/>
        </w:rPr>
        <w:t>q</w:t>
      </w:r>
      <w:r>
        <w:rPr>
          <w:b/>
          <w:sz w:val="22"/>
          <w:color w:val="000000"/>
          <w:shd w:val="clear" w:color="auto" w:fill="C0C0C0"/>
        </w:rPr>
        <w:t>ualidade</w:t>
      </w:r>
    </w:p>
    <w:p>
      <w:pPr>
        <w:jc w:val="both"/>
        <w:widowControl/>
        <w:ind w:left="705"/>
        <w:spacing w:after="165"/>
      </w:pPr>
      <w:r>
        <w:rPr>
          <w:rFonts w:ascii="Calibri" w:hAnsi="Calibri" w:cs="Calibri" w:eastAsia="Calibri"/>
          <w:sz w:val="22"/>
          <w:color w:val="000000"/>
        </w:rPr>
        <w:t xml:space="preserve">4.6.1. Os </w:t>
      </w:r>
      <w:r>
        <w:rPr>
          <w:rFonts w:ascii="Calibri" w:hAnsi="Calibri" w:cs="Calibri" w:eastAsia="Calibri"/>
          <w:sz w:val="22"/>
        </w:rPr>
        <w:t>m</w:t>
      </w:r>
      <w:r>
        <w:rPr>
          <w:rFonts w:ascii="Calibri" w:hAnsi="Calibri" w:cs="Calibri" w:eastAsia="Calibri"/>
          <w:sz w:val="22"/>
          <w:color w:val="000000"/>
        </w:rPr>
        <w:t xml:space="preserve">ateriais a serem aplicados devem estar de acordo com as determinações dos projetos, dos memoriais descritivos e das especificações técnicas contidas nos anexos, a serem atendidas pela </w:t>
      </w:r>
      <w:r>
        <w:rPr>
          <w:rFonts w:ascii="Calibri" w:hAnsi="Calibri" w:cs="Calibri" w:eastAsia="Calibri"/>
          <w:sz w:val="22"/>
        </w:rPr>
        <w:t>c</w:t>
      </w:r>
      <w:r>
        <w:rPr>
          <w:rFonts w:ascii="Calibri" w:hAnsi="Calibri" w:cs="Calibri" w:eastAsia="Calibri"/>
          <w:sz w:val="22"/>
          <w:color w:val="000000"/>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hAnsi="Calibri" w:cs="Calibri" w:eastAsia="Calibri"/>
          <w:sz w:val="22"/>
        </w:rPr>
        <w:t>a</w:t>
      </w:r>
      <w:r>
        <w:rPr>
          <w:rFonts w:ascii="Calibri" w:hAnsi="Calibri" w:cs="Calibri" w:eastAsia="Calibri"/>
          <w:sz w:val="22"/>
          <w:color w:val="000000"/>
        </w:rPr>
        <w:t>nexos, respondendo às exigências citadas nas normas sanitárias em relação às especificidades que dizem respeito à mitigação do risco sanitário e demais riscos pertinentes a um estabelecimento assistencial de saúde.</w:t>
      </w:r>
    </w:p>
    <w:p>
      <w:pPr>
        <w:jc w:val="both"/>
        <w:widowControl/>
        <w:ind w:left="705"/>
        <w:spacing w:after="165"/>
      </w:pPr>
      <w:r>
        <w:rPr>
          <w:rFonts w:ascii="Calibri" w:hAnsi="Calibri" w:cs="Calibri" w:eastAsia="Calibri"/>
          <w:sz w:val="22"/>
          <w:color w:val="000000"/>
        </w:rPr>
        <w:t>4.6.2. A substituição de materiais especificados por similares só poderá ser realizada mediante justificativa e autorização prévia expressa pelos responsáveis pelo gerenciamento e fiscalização da obra, que poder</w:t>
      </w:r>
      <w:r>
        <w:rPr>
          <w:rFonts w:ascii="Calibri" w:hAnsi="Calibri" w:cs="Calibri" w:eastAsia="Calibri"/>
          <w:sz w:val="22"/>
        </w:rPr>
        <w:t xml:space="preserve">ão </w:t>
      </w:r>
      <w:r>
        <w:rPr>
          <w:rFonts w:ascii="Calibri" w:hAnsi="Calibri" w:cs="Calibri" w:eastAsia="Calibri"/>
          <w:sz w:val="22"/>
          <w:color w:val="000000"/>
        </w:rPr>
        <w:t>exigir a troca, quando houver dúvidas quanto à qualidade ou similaridade.</w:t>
      </w:r>
    </w:p>
    <w:p>
      <w:pPr>
        <w:jc w:val="both"/>
        <w:widowControl/>
        <w:ind w:left="705"/>
        <w:spacing w:after="165" w:lineRule="auto" w:line="252"/>
      </w:pPr>
      <w:r>
        <w:rPr>
          <w:rFonts w:ascii="Calibri" w:hAnsi="Calibri" w:cs="Calibri" w:eastAsia="Calibri"/>
          <w:sz w:val="22"/>
        </w:rPr>
        <w:t>4.6.3. Os critérios, tipos de materiais e serviços a serem executados, bem como as normas para a execução, serão claramente especificados nos memoriais descritivos e nos projetos de engenharia, elaborados por profissional habilitado.</w:t>
      </w:r>
    </w:p>
    <w:p>
      <w:pPr>
        <w:jc w:val="both"/>
        <w:widowControl/>
        <w:ind w:left="705"/>
        <w:spacing w:after="165"/>
      </w:pPr>
      <w:bookmarkStart w:id="0" w:name="_gjdgxs"/>
      <w:bookmarkEnd w:id="0"/>
      <w:r>
        <w:rPr>
          <w:b/>
          <w:sz w:val="24"/>
          <w:shd w:val="clear" w:color="auto" w:fill="C0C0C0"/>
        </w:rPr>
        <w:t>4.8 Enquadramento do objeto como bem de luxo;</w:t>
      </w:r>
    </w:p>
    <w:p>
      <w:pPr>
        <w:jc w:val="both"/>
        <w:widowControl/>
        <w:ind w:left="705"/>
        <w:spacing w:before="285" w:after="285"/>
      </w:pPr>
      <w:r>
        <w:rPr>
          <w:rFonts w:ascii="Calibri" w:hAnsi="Calibri" w:cs="Calibri" w:eastAsia="Calibri"/>
          <w:sz w:val="22"/>
        </w:rPr>
        <w:t>4.8.1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pPr>
        <w:widowControl/>
      </w:pPr>
      <w:r>
        <w:drawing>
          <wp:inline distT="0" distB="0" distL="0" distR="0">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677025" cy="200025"/>
                    </a:xfrm>
                    <a:prstGeom prst="rect">
                      <a:avLst/>
                    </a:prstGeom>
                  </pic:spPr>
                </pic:pic>
              </a:graphicData>
            </a:graphic>
          </wp:inline>
        </w:drawing>
      </w:r>
    </w:p>
    <w:p>
      <w:pPr>
        <w:jc w:val="both"/>
        <w:widowControl/>
        <w:ind w:left="705"/>
        <w:spacing w:after="165"/>
      </w:pPr>
      <w:r>
        <w:rPr>
          <w:rFonts w:ascii="Calibri" w:hAnsi="Calibri" w:cs="Calibri" w:eastAsia="Calibri"/>
          <w:b/>
          <w:sz w:val="22"/>
          <w:color w:val="000000"/>
        </w:rPr>
        <w:t xml:space="preserve">5.1 Requisitos </w:t>
      </w:r>
      <w:r>
        <w:rPr>
          <w:rFonts w:ascii="Calibri" w:hAnsi="Calibri" w:cs="Calibri" w:eastAsia="Calibri"/>
          <w:b/>
          <w:sz w:val="22"/>
        </w:rPr>
        <w:t>g</w:t>
      </w:r>
      <w:r>
        <w:rPr>
          <w:rFonts w:ascii="Calibri" w:hAnsi="Calibri" w:cs="Calibri" w:eastAsia="Calibri"/>
          <w:b/>
          <w:sz w:val="22"/>
          <w:color w:val="000000"/>
        </w:rPr>
        <w:t>erais</w:t>
      </w:r>
    </w:p>
    <w:p>
      <w:pPr>
        <w:jc w:val="both"/>
        <w:widowControl/>
        <w:ind w:left="705"/>
        <w:spacing w:after="165"/>
      </w:pPr>
      <w:r>
        <w:rPr>
          <w:rFonts w:ascii="Calibri" w:hAnsi="Calibri" w:cs="Calibri" w:eastAsia="Calibri"/>
          <w:sz w:val="22"/>
          <w:color w:val="000000"/>
        </w:rPr>
        <w:t xml:space="preserve">5.1.1. A obra será executada conforme o estabelecido no </w:t>
      </w:r>
      <w:r>
        <w:rPr>
          <w:rFonts w:ascii="Calibri" w:hAnsi="Calibri" w:cs="Calibri" w:eastAsia="Calibri"/>
          <w:sz w:val="22"/>
        </w:rPr>
        <w:t>e</w:t>
      </w:r>
      <w:r>
        <w:rPr>
          <w:rFonts w:ascii="Calibri" w:hAnsi="Calibri" w:cs="Calibri" w:eastAsia="Calibri"/>
          <w:sz w:val="22"/>
          <w:color w:val="000000"/>
        </w:rPr>
        <w:t xml:space="preserve">dital e seus respectivos anexos, nas quantidades especificadas na </w:t>
      </w:r>
      <w:r>
        <w:rPr>
          <w:rFonts w:ascii="Calibri" w:hAnsi="Calibri" w:cs="Calibri" w:eastAsia="Calibri"/>
          <w:sz w:val="22"/>
        </w:rPr>
        <w:t>planilha (Pasta técnica), devidamente aprovados pela Prefeitura Municipal de GUAIRAÇÁ-PR.</w:t>
      </w:r>
    </w:p>
    <w:p>
      <w:pPr>
        <w:jc w:val="both"/>
        <w:widowControl/>
        <w:ind w:left="705"/>
        <w:spacing w:after="165"/>
      </w:pPr>
      <w:r>
        <w:rPr>
          <w:rFonts w:ascii="Calibri" w:hAnsi="Calibri" w:cs="Calibri" w:eastAsia="Calibri"/>
          <w:sz w:val="22"/>
          <w:color w:val="000000"/>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pPr>
        <w:jc w:val="both"/>
        <w:widowControl/>
        <w:ind w:left="705"/>
        <w:spacing w:after="165"/>
      </w:pPr>
      <w:r>
        <w:rPr>
          <w:rFonts w:ascii="Calibri" w:hAnsi="Calibri" w:cs="Calibri" w:eastAsia="Calibri"/>
          <w:sz w:val="22"/>
          <w:color w:val="000000"/>
        </w:rPr>
        <w:t xml:space="preserve">5.1.3 Todos os serviços deverão ser realizados em estrita conformidade com os princípios de boa prática técnica e atender, rigorosamente, às </w:t>
      </w:r>
      <w:r>
        <w:rPr>
          <w:rFonts w:ascii="Calibri" w:hAnsi="Calibri" w:cs="Calibri" w:eastAsia="Calibri"/>
          <w:sz w:val="22"/>
        </w:rPr>
        <w:t>n</w:t>
      </w:r>
      <w:r>
        <w:rPr>
          <w:rFonts w:ascii="Calibri" w:hAnsi="Calibri" w:cs="Calibri" w:eastAsia="Calibri"/>
          <w:sz w:val="22"/>
          <w:color w:val="000000"/>
        </w:rPr>
        <w:t xml:space="preserve">ormas </w:t>
      </w:r>
      <w:r>
        <w:rPr>
          <w:rFonts w:ascii="Calibri" w:hAnsi="Calibri" w:cs="Calibri" w:eastAsia="Calibri"/>
          <w:sz w:val="22"/>
        </w:rPr>
        <w:t>b</w:t>
      </w:r>
      <w:r>
        <w:rPr>
          <w:rFonts w:ascii="Calibri" w:hAnsi="Calibri" w:cs="Calibri" w:eastAsia="Calibri"/>
          <w:sz w:val="22"/>
          <w:color w:val="000000"/>
        </w:rPr>
        <w:t>rasileiras aplicáveis à construção civil. Em caso de divergências na interpretação dos documentos fornecidos, será adotada a seguinte ordem de prioridade:</w:t>
      </w:r>
    </w:p>
    <w:p>
      <w:pPr>
        <w:jc w:val="both"/>
        <w:widowControl/>
        <w:ind w:left="705"/>
        <w:spacing w:after="165"/>
      </w:pPr>
      <w:r>
        <w:rPr>
          <w:rFonts w:ascii="Calibri" w:hAnsi="Calibri" w:cs="Calibri" w:eastAsia="Calibri"/>
          <w:sz w:val="22"/>
          <w:color w:val="000000"/>
        </w:rPr>
        <w:t xml:space="preserve">5.1.3.1. Em caso de divergências entre a especificação da planilha </w:t>
      </w:r>
      <w:r>
        <w:rPr>
          <w:rFonts w:ascii="Calibri" w:hAnsi="Calibri" w:cs="Calibri" w:eastAsia="Calibri"/>
          <w:sz w:val="22"/>
        </w:rPr>
        <w:t>orçamentária e os desenhos/projetos fornecidos, a Prefeitura Municipal de GUAIRAÇÁ-PR deverá</w:t>
      </w:r>
      <w:r>
        <w:rPr>
          <w:rFonts w:ascii="Calibri" w:hAnsi="Calibri" w:cs="Calibri" w:eastAsia="Calibri"/>
          <w:sz w:val="22"/>
          <w:color w:val="000000"/>
        </w:rPr>
        <w:t xml:space="preserve"> ser consultada</w:t>
      </w:r>
      <w:r>
        <w:rPr>
          <w:rFonts w:ascii="Times New Roman" w:hAnsi="Times New Roman" w:cs="Times New Roman" w:eastAsia="Times New Roman"/>
          <w:sz w:val="22"/>
        </w:rPr>
        <w:t>.</w:t>
      </w:r>
    </w:p>
    <w:p>
      <w:pPr>
        <w:jc w:val="both"/>
        <w:widowControl/>
        <w:ind w:left="705"/>
        <w:spacing w:after="165"/>
      </w:pPr>
      <w:r>
        <w:rPr>
          <w:rFonts w:ascii="Calibri" w:hAnsi="Calibri" w:cs="Calibri" w:eastAsia="Calibri"/>
          <w:sz w:val="22"/>
          <w:color w:val="000000"/>
        </w:rPr>
        <w:t>5.1.3.</w:t>
      </w:r>
      <w:r>
        <w:rPr>
          <w:rFonts w:ascii="Calibri" w:hAnsi="Calibri" w:cs="Calibri" w:eastAsia="Calibri"/>
          <w:sz w:val="22"/>
        </w:rPr>
        <w:t>2. Em caso de divergência entre projetos com datas diferentes, prevalecerá o mais recente</w:t>
      </w:r>
      <w:r>
        <w:rPr>
          <w:rFonts w:ascii="Roboto" w:hAnsi="Roboto" w:cs="Roboto" w:eastAsia="Roboto"/>
          <w:sz w:val="22"/>
          <w:color w:val="444746"/>
        </w:rPr>
        <w:t xml:space="preserve">. </w:t>
      </w:r>
    </w:p>
    <w:p>
      <w:pPr>
        <w:jc w:val="both"/>
        <w:widowControl/>
        <w:ind w:left="705"/>
        <w:spacing w:after="165"/>
      </w:pPr>
      <w:r>
        <w:rPr>
          <w:rFonts w:ascii="Calibri" w:hAnsi="Calibri" w:cs="Calibri" w:eastAsia="Calibri"/>
          <w:sz w:val="22"/>
        </w:rPr>
        <w:t>5.1.3.3. Em caso de divergências no projeto, como entre as cotas dos desenhos e a representação gráfica em escala, a Prefeitura Municipal de GUAIRAÇÁ-PR deverá ser consultada.</w:t>
      </w:r>
    </w:p>
    <w:p>
      <w:pPr>
        <w:jc w:val="both"/>
        <w:widowControl/>
        <w:ind w:left="705"/>
        <w:spacing w:after="165"/>
      </w:pPr>
      <w:r>
        <w:rPr>
          <w:rFonts w:ascii="Calibri" w:hAnsi="Calibri" w:cs="Calibri" w:eastAsia="Calibri"/>
          <w:sz w:val="22"/>
        </w:rPr>
        <w:t>5.1.4. A contratante, Prefeitura de GUAIRAÇÁ-PR, designará</w:t>
      </w:r>
      <w:r>
        <w:rPr>
          <w:rFonts w:ascii="Calibri" w:hAnsi="Calibri" w:cs="Calibri" w:eastAsia="Calibri"/>
          <w:sz w:val="22"/>
          <w:color w:val="000000"/>
        </w:rPr>
        <w:t xml:space="preserve"> engenheiros, arquitetos e seus prepostos para acompanhar e fiscalizar as obras.</w:t>
      </w:r>
    </w:p>
    <w:p>
      <w:pPr>
        <w:jc w:val="both"/>
        <w:widowControl/>
        <w:ind w:left="705"/>
        <w:spacing w:before="285" w:after="285"/>
      </w:pPr>
      <w:r>
        <w:rPr>
          <w:rFonts w:ascii="Calibri" w:hAnsi="Calibri" w:cs="Calibri" w:eastAsia="Calibri"/>
          <w:sz w:val="22"/>
        </w:rPr>
        <w:t>5.1.5. Requi</w:t>
      </w:r>
      <w:r>
        <w:rPr>
          <w:rFonts w:ascii="Calibri" w:hAnsi="Calibri" w:cs="Calibri" w:eastAsia="Calibri"/>
          <w:sz w:val="22"/>
          <w:color w:val="000000"/>
        </w:rPr>
        <w:t>sitos legais e normativos que disciplinam a execução da obra</w:t>
      </w:r>
    </w:p>
    <w:p>
      <w:pPr>
        <w:jc w:val="both"/>
        <w:widowControl/>
        <w:ind w:left="705"/>
        <w:spacing w:before="285" w:after="285"/>
      </w:pPr>
      <w:r>
        <w:rPr>
          <w:rFonts w:ascii="Calibri" w:hAnsi="Calibri" w:cs="Calibri" w:eastAsia="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pPr>
        <w:jc w:val="both"/>
        <w:widowControl/>
        <w:ind w:left="705"/>
        <w:spacing w:before="285" w:after="285"/>
      </w:pPr>
      <w:r>
        <w:rPr>
          <w:rFonts w:ascii="Calibri" w:hAnsi="Calibri" w:cs="Calibri" w:eastAsia="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pPr>
        <w:widowControl/>
        <w:spacing w:before="15"/>
      </w:pPr>
      <w:r>
        <w:rPr>
          <w:rFonts w:ascii="Times New Roman" w:hAnsi="Times New Roman" w:cs="Times New Roman" w:eastAsia="Times New Roman"/>
          <w:sz w:val="22"/>
        </w:rPr>
        <w:t/>
      </w:r>
    </w:p>
    <w:p>
      <w:pPr>
        <w:widowControl/>
        <w:spacing w:before="15"/>
      </w:pPr>
      <w:r>
        <w:drawing>
          <wp:inline distT="0" distB="0" distL="0" distR="0">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52462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spacing w:before="120"/>
        <w:tabs>
          <w:tab w:val="left" w:pos="930"/>
        </w:tabs>
      </w:pPr>
      <w:r>
        <w:rPr>
          <w:sz w:val="22"/>
          <w:color w:val="000000"/>
        </w:rPr>
        <w:t>Quando do pagamento, será efetuada a retenção tributária prevista na legislação aplicável.</w:t>
      </w:r>
    </w:p>
    <w:p>
      <w:pPr>
        <w:jc w:val="both"/>
        <w:widowControl/>
        <w:ind w:left="165"/>
        <w:spacing w:before="120"/>
        <w:tabs>
          <w:tab w:val="left" w:pos="930"/>
        </w:tabs>
      </w:pPr>
      <w:r>
        <w:rPr>
          <w:sz w:val="22"/>
          <w:color w:val="000000"/>
        </w:rPr>
        <w:t>Independentemente do percentual de tributo inserido na planilha, quando houver, serão retidos na fonte, quando da realização do pagamento, os percentuais estabelecidos na legislação vigente.</w:t>
      </w:r>
    </w:p>
    <w:p>
      <w:pPr>
        <w:jc w:val="both"/>
        <w:widowControl/>
        <w:ind w:left="165"/>
        <w:spacing w:before="120"/>
        <w:tabs>
          <w:tab w:val="left" w:pos="930"/>
        </w:tabs>
      </w:pPr>
      <w:r>
        <w:rPr>
          <w:sz w:val="22"/>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right="210"/>
        <w:spacing w:before="150" w:lineRule="auto" w:line="276"/>
        <w:tabs>
          <w:tab w:val="left" w:pos="930"/>
        </w:tabs>
      </w:pPr>
      <w:r>
        <w:rPr>
          <w:sz w:val="22"/>
        </w:rPr>
        <w:t>Recebida a Nota Fiscal ou documento de cobrança equivalente, correrá no prazo de 15 (quinze) dias úteis para fins de liquidação, na forma desta seção, prorrogáveis por igual período.</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rFonts w:ascii="Times New Roman" w:hAnsi="Times New Roman" w:cs="Times New Roman" w:eastAsia="Times New Roman"/>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widowControl/>
        <w:spacing w:before="15"/>
      </w:pPr>
      <w:r>
        <w:rPr>
          <w:rFonts w:ascii="Times New Roman" w:hAnsi="Times New Roman" w:cs="Times New Roman" w:eastAsia="Times New Roman"/>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 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rFonts w:ascii="Times New Roman" w:hAnsi="Times New Roman" w:cs="Times New Roman" w:eastAsia="Times New Roman"/>
          <w:sz w:val="22"/>
        </w:rPr>
        <w:t/>
      </w:r>
    </w:p>
    <w:p>
      <w:pPr>
        <w:widowControl/>
        <w:spacing w:before="15"/>
      </w:pPr>
      <w:r>
        <w:drawing>
          <wp:inline distT="0" distB="0" distL="0" distR="0">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677025" cy="200025"/>
                    </a:xfrm>
                    <a:prstGeom prst="rect">
                      <a:avLst/>
                    </a:prstGeom>
                  </pic:spPr>
                </pic:pic>
              </a:graphicData>
            </a:graphic>
          </wp:inline>
        </w:drawing>
      </w:r>
    </w:p>
    <w:p>
      <w:pPr>
        <w:widowControl/>
        <w:ind w:left="480" w:hanging="315"/>
        <w:spacing w:before="90"/>
      </w:pPr>
      <w:r>
        <w:rPr>
          <w:sz w:val="22"/>
        </w:rPr>
        <w:t>As despesas decorrentes da presente contratação correrão à conta das seguintes Dotações Orçamentárias:</w:t>
      </w:r>
    </w:p>
    <w:p>
      <w:pPr>
        <w:widowControl/>
        <w:ind w:left="480"/>
        <w:spacing w:before="90"/>
      </w:pPr>
      <w:r>
        <w:rPr>
          <w:rFonts w:ascii="Times New Roman" w:hAnsi="Times New Roman" w:cs="Times New Roman" w:eastAsia="Times New Roman"/>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20" w:type="dxa"/>
        <w:shd w:val="clear" w:color="auto" w:fill="FFFFFF"/>
      </w:tblPr>
      <w:tblGrid>
        <w:gridCol w:w="1005"/>
        <w:gridCol w:w="1005"/>
        <w:gridCol w:w="3390"/>
        <w:gridCol w:w="1005"/>
        <w:gridCol w:w="1815"/>
        <w:gridCol w:w="1800"/>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2026</w:t>
            </w:r>
          </w:p>
        </w:tc>
        <w:tc>
          <w:tcPr>
            <w:shd w:val="clear" w:color="auto" w:fill="FFFFFF"/>
          </w:tcPr>
          <w:p>
            <w:r>
              <w:t>7230</w:t>
            </w:r>
          </w:p>
        </w:tc>
        <w:tc>
          <w:tcPr>
            <w:shd w:val="clear" w:color="auto" w:fill="FFFFFF"/>
          </w:tcPr>
          <w:p>
            <w:r>
              <w:t>04.001.27.812.0006.2054</w:t>
            </w:r>
          </w:p>
        </w:tc>
        <w:tc>
          <w:tcPr>
            <w:shd w:val="clear" w:color="auto" w:fill="FFFFFF"/>
          </w:tcPr>
          <w:p>
            <w:r>
              <w:t>1793</w:t>
            </w:r>
          </w:p>
        </w:tc>
        <w:tc>
          <w:tcPr>
            <w:shd w:val="clear" w:color="auto" w:fill="FFFFFF"/>
          </w:tcPr>
          <w:p>
            <w:r>
              <w:t>4.4.90.51.00.00</w:t>
            </w:r>
          </w:p>
        </w:tc>
        <w:tc>
          <w:tcPr>
            <w:shd w:val="clear" w:color="auto" w:fill="FFFFFF"/>
          </w:tcPr>
          <w:p>
            <w:r>
              <w:t>Do Exercício</w:t>
            </w:r>
          </w:p>
        </w:tc>
      </w:tr>
    </w:tbl>
    <w:p>
      <w:pPr>
        <w:widowControl/>
      </w:pPr>
      <w:r>
        <w:rPr>
          <w:rFonts w:ascii="Times New Roman" w:hAnsi="Times New Roman" w:cs="Times New Roman" w:eastAsia="Times New Roman"/>
          <w:sz w:val="22"/>
        </w:rPr>
        <w:t/>
      </w:r>
    </w:p>
    <w:p>
      <w:pPr>
        <w:jc w:val="both"/>
        <w:outlineLvl w:val="1"/>
        <w:widowControl/>
        <w:ind w:left="16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8 - DA HABILITAÇÃO JURÍDICA</w:t>
      </w:r>
    </w:p>
    <w:p>
      <w:pPr>
        <w:jc w:val="both"/>
        <w:widowControl/>
        <w:ind w:left="420" w:right="45" w:hanging="15"/>
        <w:spacing w:after="45"/>
      </w:pPr>
      <w:r>
        <w:rPr>
          <w:b/>
          <w:sz w:val="22"/>
        </w:rPr>
        <w:t>8.1</w:t>
      </w:r>
      <w:r>
        <w:rPr>
          <w:sz w:val="22"/>
        </w:rPr>
        <w:t xml:space="preserve"> - Registro comercial, no caso de empresa individual, ou;</w:t>
      </w:r>
    </w:p>
    <w:p>
      <w:pPr>
        <w:jc w:val="both"/>
        <w:widowControl/>
        <w:ind w:left="420" w:right="45" w:hanging="15"/>
        <w:spacing w:after="45"/>
      </w:pPr>
      <w:r>
        <w:rPr>
          <w:sz w:val="22"/>
        </w:rPr>
        <w:t/>
      </w:r>
    </w:p>
    <w:p>
      <w:pPr>
        <w:jc w:val="both"/>
        <w:widowControl/>
        <w:ind w:left="420" w:right="45" w:hanging="15"/>
        <w:spacing w:after="45"/>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pPr>
        <w:jc w:val="both"/>
        <w:widowControl/>
        <w:ind w:left="1080" w:right="45" w:hanging="30"/>
        <w:spacing w:after="45"/>
      </w:pPr>
      <w:r>
        <w:rPr>
          <w:b/>
          <w:sz w:val="22"/>
        </w:rPr>
        <w:t xml:space="preserve">8.2.1 </w:t>
      </w:r>
      <w:r>
        <w:rPr>
          <w:sz w:val="22"/>
        </w:rPr>
        <w:t>caso seja apresentado o Contrato Social, este deverá estar acompanhado de todas as alterações ou da respectiva consolidação;</w:t>
      </w:r>
    </w:p>
    <w:p>
      <w:pPr>
        <w:jc w:val="both"/>
        <w:widowControl/>
        <w:ind w:left="420" w:right="45" w:hanging="15"/>
        <w:spacing w:after="45"/>
      </w:pPr>
      <w:r>
        <w:rPr>
          <w:rFonts w:ascii="Times New Roman" w:hAnsi="Times New Roman" w:cs="Times New Roman" w:eastAsia="Times New Roman"/>
          <w:sz w:val="22"/>
        </w:rPr>
        <w:t/>
      </w:r>
    </w:p>
    <w:p>
      <w:pPr>
        <w:jc w:val="both"/>
        <w:widowControl/>
        <w:ind w:left="420" w:right="45" w:hanging="15"/>
        <w:spacing w:after="45"/>
      </w:pPr>
      <w:r>
        <w:rPr>
          <w:b/>
          <w:sz w:val="22"/>
        </w:rPr>
        <w:t>8.3</w:t>
      </w:r>
      <w:r>
        <w:rPr>
          <w:sz w:val="22"/>
        </w:rPr>
        <w:t xml:space="preserve"> - Inscrição do ato constitutivo, no caso de sociedades civis, acompanhada de prova de diretoria em exercício, ou;</w:t>
      </w:r>
    </w:p>
    <w:p>
      <w:pPr>
        <w:jc w:val="both"/>
        <w:widowControl/>
        <w:ind w:left="420" w:right="45" w:hanging="15"/>
        <w:spacing w:after="45"/>
      </w:pPr>
      <w:r>
        <w:rPr>
          <w:sz w:val="22"/>
        </w:rPr>
        <w:t/>
      </w:r>
    </w:p>
    <w:p>
      <w:pPr>
        <w:widowControl/>
        <w:ind w:left="420"/>
        <w:spacing w:after="45"/>
        <w:tabs>
          <w:tab w:val="right" w:pos="10320"/>
        </w:tabs>
      </w:pPr>
      <w:r>
        <w:rPr>
          <w:b/>
          <w:sz w:val="22"/>
        </w:rPr>
        <w:t>8.4</w:t>
      </w:r>
      <w:r>
        <w:rPr>
          <w:sz w:val="22"/>
        </w:rPr>
        <w:t xml:space="preserve"> - Decreto de autorização, em se tratando de empresa ou sociedade estrangeira em funcionamento no país.</w:t>
      </w:r>
    </w:p>
    <w:p>
      <w:pPr>
        <w:widowControl/>
        <w:ind w:left="420"/>
        <w:spacing w:after="45"/>
        <w:tabs>
          <w:tab w:val="right" w:pos="10320"/>
        </w:tabs>
      </w:pPr>
      <w:r>
        <w:rPr>
          <w:sz w:val="22"/>
        </w:rPr>
        <w:t/>
      </w:r>
    </w:p>
    <w:p>
      <w:pPr>
        <w:jc w:val="both"/>
        <w:outlineLvl w:val="0"/>
        <w:keepLines/>
        <w:keepNext/>
        <w:widowControl/>
        <w:ind w:left="60" w:right="45" w:hanging="15"/>
        <w:spacing w:after="45"/>
        <w:shd w:val="clear" w:color="auto" w:fill="0D0D0D"/>
      </w:pPr>
      <w:r>
        <w:rPr>
          <w:b/>
          <w:sz w:val="22"/>
          <w:color w:val="FFFFFF"/>
        </w:rPr>
        <w:t>9- DA CAPACIDADE TÉCNICA OPERACIONAL E QUALIFICAÇÃO TÉCNICA</w:t>
      </w:r>
    </w:p>
    <w:p>
      <w:pPr>
        <w:jc w:val="both"/>
        <w:widowControl/>
        <w:ind w:left="420" w:right="45" w:hanging="15"/>
        <w:spacing w:after="45"/>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w:t>
      </w:r>
      <w:r>
        <w:rPr>
          <w:b/>
          <w:sz w:val="22"/>
        </w:rPr>
        <w:t>da pessoa jurídica e da pessoa física</w:t>
      </w:r>
      <w:r>
        <w:rPr>
          <w:sz w:val="22"/>
        </w:rPr>
        <w:t>, através da Certidão de Registro de Pessoa Jurídica e Certidão de Registro de Pessoa Física, em plena validade.</w:t>
      </w:r>
    </w:p>
    <w:p>
      <w:pPr>
        <w:jc w:val="both"/>
        <w:widowControl/>
        <w:ind w:left="915" w:right="45" w:firstLine="15"/>
        <w:spacing w:after="45"/>
      </w:pPr>
      <w:r>
        <w:rPr>
          <w:b/>
          <w:sz w:val="22"/>
        </w:rPr>
        <w:t/>
      </w:r>
    </w:p>
    <w:p>
      <w:pPr>
        <w:ind w:left="885"/>
      </w:pPr>
      <w:r>
        <w:rPr>
          <w:b/>
          <w:sz w:val="23"/>
        </w:rPr>
        <w:t>9.1.1</w:t>
      </w:r>
      <w:r>
        <w:rPr>
          <w:sz w:val="23"/>
        </w:rPr>
        <w:t xml:space="preserve"> Em se tratando de empresa de engenharia não registrada no CREA do Estado do Paraná deverá apresentar o registro do CREA do Estado de origem, ficando a licitante vencedora obrigada a apresentar o visto do CREA do Paraná, antes da assinatura do contrato</w:t>
      </w:r>
      <w:r>
        <w:rPr>
          <w:rFonts w:ascii="Times New Roman" w:hAnsi="Times New Roman" w:cs="Times New Roman" w:eastAsia="Times New Roman"/>
          <w:sz w:val="23"/>
        </w:rPr>
        <w:t xml:space="preserve">. </w:t>
      </w:r>
    </w:p>
    <w:p>
      <w:pPr>
        <w:jc w:val="both"/>
        <w:widowControl/>
        <w:ind w:left="420" w:right="45" w:hanging="15"/>
        <w:spacing w:after="45"/>
      </w:pPr>
      <w:r>
        <w:rPr>
          <w:sz w:val="22"/>
        </w:rPr>
        <w:t/>
      </w:r>
    </w:p>
    <w:p>
      <w:pPr>
        <w:jc w:val="both"/>
        <w:widowControl/>
        <w:ind w:left="420" w:right="45" w:hanging="15"/>
        <w:spacing w:after="45"/>
      </w:pPr>
      <w:r>
        <w:rPr>
          <w:b/>
          <w:sz w:val="22"/>
        </w:rPr>
        <w:t>9.2</w:t>
      </w:r>
      <w:r>
        <w:rPr>
          <w:sz w:val="22"/>
        </w:rPr>
        <w:t xml:space="preserve">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pPr>
        <w:jc w:val="both"/>
        <w:widowControl/>
        <w:ind w:left="420" w:right="45" w:hanging="15"/>
        <w:spacing w:after="45"/>
      </w:pPr>
      <w:r>
        <w:rPr>
          <w:sz w:val="22"/>
        </w:rPr>
        <w:t/>
      </w:r>
    </w:p>
    <w:p>
      <w:pPr>
        <w:jc w:val="both"/>
        <w:widowControl/>
        <w:ind w:left="420" w:right="45" w:hanging="15"/>
        <w:spacing w:after="45"/>
      </w:pPr>
      <w:r>
        <w:rPr>
          <w:b/>
          <w:sz w:val="22"/>
        </w:rPr>
        <w:t>9.3</w:t>
      </w:r>
      <w:r>
        <w:rPr>
          <w:sz w:val="22"/>
        </w:rPr>
        <w:t xml:space="preserve"> O atestado de visita deverá ser agendado e realizado até o dia</w:t>
      </w:r>
      <w:r>
        <w:rPr>
          <w:b/>
          <w:sz w:val="22"/>
        </w:rPr>
        <w:t xml:space="preserve"> 22/07/2026, </w:t>
      </w:r>
      <w:r>
        <w:rPr>
          <w:sz w:val="22"/>
        </w:rPr>
        <w:t>no horário de expediente da Prefeitura Municipal, na Secretaria de Obras, Planejamento Urbano e Projetos Técnicos.</w:t>
      </w:r>
    </w:p>
    <w:p>
      <w:pPr>
        <w:jc w:val="both"/>
        <w:widowControl/>
        <w:ind w:left="420" w:right="45" w:hanging="15"/>
        <w:spacing w:after="45"/>
      </w:pPr>
      <w:r>
        <w:rPr>
          <w:sz w:val="22"/>
        </w:rPr>
        <w:t/>
      </w:r>
    </w:p>
    <w:p>
      <w:pPr>
        <w:jc w:val="both"/>
        <w:widowControl/>
        <w:ind w:left="420" w:right="45" w:hanging="15"/>
        <w:spacing w:after="45"/>
      </w:pPr>
      <w:r>
        <w:rPr>
          <w:b/>
          <w:sz w:val="22"/>
        </w:rPr>
        <w:t>9.4</w:t>
      </w:r>
      <w:r>
        <w:rPr>
          <w:sz w:val="22"/>
        </w:rPr>
        <w:t xml:space="preserve"> O atestado de visita a que se refere o item 9.2 e 9.3, poderá ser substituído por declaração(anexo </w:t>
      </w:r>
      <w:r>
        <w:t>VII</w:t>
      </w:r>
      <w:r>
        <w:rPr>
          <w:sz w:val="22"/>
        </w:rPr>
        <w:t>) firmada pelo responsável da empresa, de que conhece o local e as condições da obra, responsabilizando-se pela mesma, independentemente de sua condição.</w:t>
      </w:r>
    </w:p>
    <w:p>
      <w:pPr>
        <w:jc w:val="both"/>
        <w:widowControl/>
        <w:ind w:left="420" w:right="45" w:hanging="15"/>
        <w:spacing w:after="45"/>
      </w:pPr>
      <w:r>
        <w:rPr>
          <w:sz w:val="22"/>
        </w:rPr>
        <w:t/>
      </w:r>
    </w:p>
    <w:p>
      <w:pPr>
        <w:jc w:val="both"/>
        <w:widowControl/>
        <w:ind w:left="420" w:right="45" w:hanging="15"/>
        <w:spacing w:after="45"/>
      </w:pPr>
      <w:r>
        <w:rPr>
          <w:b/>
          <w:sz w:val="22"/>
        </w:rPr>
        <w:t>9.5</w:t>
      </w:r>
      <w:r>
        <w:rPr>
          <w:sz w:val="22"/>
        </w:rPr>
        <w:t xml:space="preserve"> Atestado(s) ou declaração(ões), emitido(s) por Empresa Pública ou Privada, onde conste a menção à execução de obra com semelhante complexidade tecnológica e operacional, segundo atividades e quantidades mínimas estabelecidas neste edital, sendo permitida a soma das quantidades de um mesmo serviço em mais de um atestado ou declaração, acompanhado(s) da respectiva “Certidão de Acervo Técnico Profissional – CAT” do(s) responsável(is) técnico(s) indicado(s), emitida pelo Conselho Regional de Engenharia e Agronomia – CREA e/ou Conselho de Arquitetura e Urbanismo – CAU.</w:t>
      </w:r>
    </w:p>
    <w:p>
      <w:pPr>
        <w:jc w:val="both"/>
        <w:widowControl/>
        <w:ind w:left="420" w:right="45" w:hanging="15"/>
        <w:spacing w:after="45"/>
      </w:pPr>
      <w:r>
        <w:rPr>
          <w:sz w:val="22"/>
        </w:rPr>
        <w:t/>
      </w:r>
    </w:p>
    <w:p>
      <w:pPr>
        <w:jc w:val="both"/>
        <w:widowControl/>
        <w:ind w:left="1020" w:right="45"/>
      </w:pPr>
      <w:r>
        <w:rPr>
          <w:b/>
        </w:rPr>
        <w:t>9.5.1</w:t>
      </w:r>
      <w:r>
        <w:t xml:space="preserve"> O(s) profissional(is) deverá(ão) comprovar experiência, mediante apresentação de</w:t>
      </w:r>
    </w:p>
    <w:p>
      <w:pPr>
        <w:jc w:val="both"/>
        <w:widowControl/>
        <w:ind w:left="435" w:right="45"/>
      </w:pPr>
      <w:r>
        <w:t xml:space="preserve">          atestados de capacidade técnica, emitidos por pessoas jurídicas de direito público ou privado, devidamente</w:t>
      </w:r>
    </w:p>
    <w:p>
      <w:pPr>
        <w:jc w:val="both"/>
        <w:widowControl/>
        <w:ind w:left="435" w:right="45"/>
      </w:pPr>
      <w:r>
        <w:t xml:space="preserve">          registrados no CREA, mediante apresentação de Certidão de Acervo Técnico – CAT, referente aos                                       seguintes itens,</w:t>
      </w:r>
    </w:p>
    <w:p>
      <w:pPr>
        <w:jc w:val="both"/>
        <w:widowControl/>
        <w:ind w:left="435" w:right="45"/>
      </w:pPr>
      <w:r>
        <w:t/>
      </w:r>
    </w:p>
    <w:p>
      <w:pPr>
        <w:jc w:val="both"/>
        <w:widowControl/>
        <w:ind w:left="825" w:right="45"/>
        <w:spacing w:after="45"/>
      </w:pPr>
      <w:r>
        <w:rPr>
          <w:b/>
          <w:sz w:val="22"/>
        </w:rPr>
        <w:t xml:space="preserve">  </w:t>
      </w:r>
      <w:r>
        <w:rPr>
          <w:b/>
        </w:rPr>
        <w:t xml:space="preserve"> 9.5.2 </w:t>
      </w:r>
      <w:r>
        <w:t xml:space="preserve">Entende-se por obra semelhante, para fins de comprovação da qualificação técnico profissional, a que                   apresenta complexidade tecnológica e operacional equivalente ou superior a: </w:t>
      </w:r>
    </w:p>
    <w:p>
      <w:pPr>
        <w:jc w:val="both"/>
        <w:widowControl/>
        <w:ind w:left="585" w:right="45" w:firstLine="30"/>
        <w:spacing w:after="45"/>
      </w:pPr>
      <w:r>
        <w:rPr>
          <w:b/>
          <w:sz w:val="22"/>
        </w:rPr>
        <w:t/>
      </w:r>
    </w:p>
    <w:tbl>
      <w:tblPr>
        <w:tblW w:w="8505" w:type="dxa"/>
        <w:tblLayout w:type="fixed"/>
        <w:tblCellMar>
          <w:top w:w="0" w:type="dxa"/>
          <w:left w:w="105" w:type="dxa"/>
          <w:bottom w:w="0" w:type="dxa"/>
          <w:right w:w="105" w:type="dxa"/>
        </w:tblCellMar>
        <w:tblInd w:w="1350" w:type="dxa"/>
      </w:tblPr>
      <w:tblGrid>
        <w:gridCol w:w="4245"/>
        <w:gridCol w:w="4245"/>
      </w:tblGrid>
      <w:tr>
        <w:tc>
          <w:tcPr>
            <w:tcW w:w="4245" w:type="dxa"/>
            <w:tcBorders>
              <w:left w:val="single" w:sz="6" w:color="000000"/>
              <w:top w:val="single" w:sz="6" w:color="000000"/>
              <w:right w:val="single" w:sz="6" w:color="000000"/>
              <w:bottom w:val="single" w:sz="6" w:color="000000"/>
            </w:tcBorders>
          </w:tcPr>
          <w:p>
            <w:pPr>
              <w:widowControl/>
              <w:ind w:left="90"/>
              <w:spacing w:after="165" w:lineRule="auto" w:line="252"/>
            </w:pPr>
            <w:r>
              <w:rPr>
                <w:b/>
                <w:shd w:val="clear" w:color="auto" w:fill="FFFF00"/>
              </w:rPr>
              <w:t xml:space="preserve">           DESCRIÇÃO DO OBJETO</w:t>
            </w:r>
          </w:p>
        </w:tc>
        <w:tc>
          <w:tcPr>
            <w:tcW w:w="4245" w:type="dxa"/>
            <w:tcBorders>
              <w:left w:val="single" w:sz="6" w:color="000000"/>
              <w:top w:val="single" w:sz="6" w:color="000000"/>
              <w:right w:val="single" w:sz="6" w:color="000000"/>
              <w:bottom w:val="single" w:sz="6" w:color="000000"/>
            </w:tcBorders>
          </w:tcPr>
          <w:p>
            <w:pPr>
              <w:widowControl/>
              <w:ind w:left="645"/>
              <w:spacing w:after="165" w:lineRule="auto" w:line="252"/>
            </w:pPr>
            <w:r>
              <w:rPr>
                <w:b/>
                <w:shd w:val="clear" w:color="auto" w:fill="FFFF00"/>
              </w:rPr>
              <w:t xml:space="preserve">   QUANTIDADE MÍNIMA</w:t>
            </w:r>
          </w:p>
        </w:tc>
      </w:tr>
      <w:tr>
        <w:trPr>
          <w:trHeight w:val="540" w:hRule="atLeast"/>
        </w:trPr>
        <w:tc>
          <w:tcPr>
            <w:tcW w:w="4245" w:type="dxa"/>
            <w:tcBorders>
              <w:left w:val="single" w:sz="6" w:color="000000"/>
              <w:top w:val="single" w:sz="6" w:color="000000"/>
              <w:right w:val="single" w:sz="6" w:color="000000"/>
              <w:bottom w:val="single" w:sz="6" w:color="000000"/>
            </w:tcBorders>
          </w:tcPr>
          <w:p>
            <w:pPr>
              <w:jc w:val="center"/>
            </w:pPr>
            <w:r>
              <w:rPr>
                <w:rFonts w:ascii="Calibri" w:hAnsi="Calibri" w:cs="Calibri" w:eastAsia="Calibri"/>
                <w:b/>
                <w:sz w:val="22"/>
                <w:shd w:val="clear" w:color="auto" w:fill="FFFF00"/>
              </w:rPr>
              <w:t>CONSTRUÇÃO DE CAMPO DE GRAMA SINTÉTICA</w:t>
            </w:r>
          </w:p>
        </w:tc>
        <w:tc>
          <w:tcPr>
            <w:tcW w:w="4245" w:type="dxa"/>
            <w:tcBorders>
              <w:left w:val="single" w:sz="6" w:color="000000"/>
              <w:top w:val="single" w:sz="6" w:color="000000"/>
              <w:right w:val="single" w:sz="6" w:color="000000"/>
              <w:bottom w:val="single" w:sz="6" w:color="000000"/>
            </w:tcBorders>
          </w:tcPr>
          <w:p>
            <w:pPr>
              <w:jc w:val="center"/>
              <w:widowControl/>
              <w:spacing w:after="165" w:lineRule="auto" w:line="252"/>
              <w:tabs>
                <w:tab w:val="left" w:pos="1200"/>
              </w:tabs>
            </w:pPr>
            <w:r>
              <w:rPr>
                <w:sz w:val="22"/>
                <w:shd w:val="clear" w:color="auto" w:fill="FFFF00"/>
              </w:rPr>
              <w:t>770 M²</w:t>
            </w:r>
          </w:p>
        </w:tc>
      </w:tr>
    </w:tbl>
    <w:p>
      <w:pPr>
        <w:widowControl/>
        <w:spacing w:after="165" w:lineRule="auto" w:line="252"/>
      </w:pPr>
      <w:r>
        <w:rPr>
          <w:rFonts w:ascii="Calibri" w:hAnsi="Calibri" w:cs="Calibri" w:eastAsia="Calibri"/>
          <w:sz w:val="22"/>
        </w:rPr>
        <w:t/>
      </w:r>
    </w:p>
    <w:p>
      <w:pPr>
        <w:jc w:val="both"/>
        <w:widowControl/>
        <w:ind w:left="420" w:right="45"/>
        <w:spacing w:after="45"/>
      </w:pPr>
      <w:r>
        <w:rPr>
          <w:b/>
          <w:sz w:val="22"/>
        </w:rPr>
        <w:t>9.6</w:t>
      </w:r>
      <w:r>
        <w:rPr>
          <w:sz w:val="22"/>
        </w:rPr>
        <w:t xml:space="preserve"> Declaração de responsabilidade técnica indicando o responsável técnico pela execução da(s) obra(s) (anexo II) até o seu recebimento definitivo pelo Contratante. O mesmo não poderá ser substituído sem expressa autorização do Contratante.</w:t>
      </w:r>
    </w:p>
    <w:p>
      <w:pPr>
        <w:jc w:val="both"/>
        <w:widowControl/>
        <w:ind w:left="420" w:right="45"/>
        <w:spacing w:after="45"/>
      </w:pPr>
      <w:r>
        <w:rPr>
          <w:sz w:val="22"/>
        </w:rPr>
        <w:t/>
      </w:r>
    </w:p>
    <w:p>
      <w:pPr>
        <w:jc w:val="both"/>
        <w:widowControl/>
        <w:ind w:left="420" w:right="45" w:hanging="15"/>
        <w:spacing w:after="45"/>
      </w:pPr>
      <w:r>
        <w:rPr>
          <w:b/>
          <w:sz w:val="22"/>
        </w:rPr>
        <w:t>9.7</w:t>
      </w:r>
      <w:r>
        <w:rPr>
          <w:sz w:val="22"/>
        </w:rPr>
        <w:t xml:space="preserve"> </w:t>
      </w:r>
      <w:r>
        <w:rPr>
          <w:sz w:val="24"/>
        </w:rPr>
        <w:t>Comprovação de vínculo empregatício entre o responsável técnico, elencado no subitem 9.6 e a proponente deverá ser feita mediante uma das seguintes formas:</w:t>
      </w:r>
    </w:p>
    <w:p>
      <w:pPr>
        <w:jc w:val="both"/>
        <w:widowControl/>
        <w:ind w:left="1590"/>
        <w:spacing w:after="45"/>
      </w:pPr>
      <w:r>
        <w:rPr>
          <w:sz w:val="24"/>
        </w:rPr>
        <w:t xml:space="preserve">        • Carteira de Trabalho; </w:t>
      </w:r>
    </w:p>
    <w:p>
      <w:pPr>
        <w:widowControl/>
        <w:ind w:left="1590"/>
        <w:spacing w:after="165" w:lineRule="auto" w:line="252"/>
      </w:pPr>
      <w:r>
        <w:rPr>
          <w:sz w:val="24"/>
        </w:rPr>
        <w:t xml:space="preserve">        • Certidão do CREA; </w:t>
      </w:r>
    </w:p>
    <w:p>
      <w:pPr>
        <w:widowControl/>
        <w:ind w:left="1590"/>
        <w:spacing w:after="165" w:lineRule="auto" w:line="252"/>
      </w:pPr>
      <w:r>
        <w:rPr>
          <w:sz w:val="24"/>
        </w:rPr>
        <w:t xml:space="preserve">        • Certidão do CAU; </w:t>
      </w:r>
    </w:p>
    <w:p>
      <w:pPr>
        <w:widowControl/>
        <w:ind w:left="1590"/>
        <w:spacing w:after="165" w:lineRule="auto" w:line="252"/>
      </w:pPr>
      <w:r>
        <w:rPr>
          <w:sz w:val="24"/>
        </w:rPr>
        <w:t xml:space="preserve">        • Contrato Social ou ata da assembleia, para dirigente ou sócio da empresa;</w:t>
      </w:r>
    </w:p>
    <w:p>
      <w:pPr>
        <w:widowControl/>
        <w:ind w:left="1590"/>
        <w:spacing w:after="165" w:lineRule="auto" w:line="252"/>
      </w:pPr>
      <w:r>
        <w:rPr>
          <w:sz w:val="24"/>
        </w:rPr>
        <w:t xml:space="preserve">        • Contrato de prestação de serviços entre o profissional e a proponente;</w:t>
      </w:r>
    </w:p>
    <w:p>
      <w:pPr>
        <w:widowControl/>
        <w:ind w:left="870"/>
        <w:spacing w:after="165" w:lineRule="auto" w:line="252"/>
      </w:pPr>
      <w:r>
        <w:rPr>
          <w:sz w:val="24"/>
        </w:rPr>
        <w:t/>
      </w:r>
    </w:p>
    <w:p>
      <w:pPr>
        <w:jc w:val="both"/>
        <w:widowControl/>
        <w:ind w:left="390"/>
        <w:spacing w:after="165" w:lineRule="auto" w:line="252"/>
      </w:pPr>
      <w:r>
        <w:rPr>
          <w:b/>
          <w:sz w:val="24"/>
        </w:rPr>
        <w:t>9.8</w:t>
      </w:r>
      <w:r>
        <w:rPr>
          <w:sz w:val="24"/>
        </w:rPr>
        <w:t xml:space="preserve">  Atestado de Capacidade Técnico-Operacional representado por Certidão de Acervo Operacional- CAO, emitida pelo conselho competente (CREA/CAU), na qual conste que a empresa forneceu / executou os serviços objeto semelhante a esta licitação. Para fins da comprovação do acervo técnico-operacional, a CAO deverá conter informação de obra executada com objeto semelhante ao da presente licitação, ou seja, </w:t>
      </w:r>
      <w:r>
        <w:rPr>
          <w:rFonts w:ascii="Calibri" w:hAnsi="Calibri" w:cs="Calibri" w:eastAsia="Calibri"/>
          <w:b/>
          <w:sz w:val="22"/>
          <w:shd w:val="clear" w:color="auto" w:fill="FFFF00"/>
        </w:rPr>
        <w:t>CONSTRUÇÃO DE CAMPO DE GRAMA SINTÉTICA</w:t>
      </w:r>
      <w:r>
        <w:rPr>
          <w:sz w:val="24"/>
        </w:rPr>
        <w:t xml:space="preserve">, sem a necessidade de comprovação de quantidade mínima. </w:t>
      </w:r>
    </w:p>
    <w:p>
      <w:pPr>
        <w:widowControl/>
        <w:ind w:left="40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10 - DA QUALIFICAÇÃO ECONÔMICO-FINANCEIRA</w:t>
      </w:r>
    </w:p>
    <w:p>
      <w:pPr>
        <w:jc w:val="both"/>
        <w:ind w:left="1125"/>
      </w:pPr>
      <w:r>
        <w:rPr>
          <w:rFonts w:ascii="Times New Roman" w:hAnsi="Times New Roman" w:cs="Times New Roman" w:eastAsia="Times New Roman"/>
          <w:sz w:val="22"/>
        </w:rPr>
        <w:t/>
      </w:r>
    </w:p>
    <w:p>
      <w:pPr>
        <w:jc w:val="both"/>
        <w:ind w:left="360"/>
      </w:pPr>
      <w:r>
        <w:rPr>
          <w:b/>
          <w:sz w:val="22"/>
        </w:rPr>
        <w:t>10.1 Balanço patrimonial e demonstrações contábeis, inclusive notas explicativas</w:t>
      </w:r>
      <w:r>
        <w:rPr>
          <w:sz w:val="22"/>
        </w:rPr>
        <w:t>, do resultado do exercício, referentes aos 2 (dois) últimos exercícios sociais, já exigíveis e apresentados na forma da lei, que comprovem a boa situação financeira do licitante, vedada a sua substituição por balancetes ou balanços provisórios.</w:t>
      </w:r>
    </w:p>
    <w:p>
      <w:pPr>
        <w:widowControl/>
        <w:ind w:left="915"/>
        <w:spacing w:after="165" w:lineRule="auto" w:line="252"/>
      </w:pPr>
      <w:r>
        <w:rPr>
          <w:rFonts w:ascii="Calibri" w:hAnsi="Calibri" w:cs="Calibri" w:eastAsia="Calibri"/>
          <w:sz w:val="22"/>
        </w:rPr>
        <w:t/>
      </w:r>
    </w:p>
    <w:p>
      <w:pPr>
        <w:widowControl/>
        <w:ind w:left="915"/>
        <w:spacing w:after="165" w:lineRule="auto" w:line="252"/>
      </w:pPr>
      <w:r>
        <w:rPr>
          <w:b/>
          <w:sz w:val="22"/>
        </w:rPr>
        <w:t>10.1.1</w:t>
      </w:r>
      <w:r>
        <w:rPr>
          <w:sz w:val="22"/>
        </w:rPr>
        <w:t xml:space="preserve"> Quando a data da abertura do certame for superior ao dia 30 de abril do presente ano, somente serão aceitos os balanços dos dois anos imediatamente anteriores.</w:t>
      </w:r>
    </w:p>
    <w:p>
      <w:pPr>
        <w:widowControl/>
        <w:ind w:left="915"/>
        <w:spacing w:after="165" w:lineRule="auto" w:line="252"/>
      </w:pPr>
      <w:r>
        <w:rPr>
          <w:b/>
          <w:sz w:val="22"/>
        </w:rPr>
        <w:t xml:space="preserve">10.1.2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pPr>
        <w:jc w:val="both"/>
        <w:widowControl/>
        <w:ind w:left="420" w:right="45" w:hanging="15"/>
        <w:spacing w:after="45"/>
        <w:tabs>
          <w:tab w:val="left" w:pos="990"/>
        </w:tabs>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11 - DA REGULARIDADE FISCAL E TRABALHISTA</w:t>
      </w:r>
    </w:p>
    <w:p>
      <w:pPr>
        <w:jc w:val="both"/>
        <w:widowControl/>
        <w:ind w:left="600" w:right="45"/>
        <w:spacing w:after="45"/>
      </w:pPr>
      <w:r>
        <w:rPr>
          <w:b/>
          <w:sz w:val="22"/>
        </w:rPr>
        <w:t>11.1</w:t>
      </w:r>
      <w:r>
        <w:rPr>
          <w:sz w:val="22"/>
        </w:rPr>
        <w:t xml:space="preserve"> Prova de inscrição no Cadastro Nacional de Pessoa Jurídica </w:t>
      </w:r>
      <w:r>
        <w:rPr>
          <w:b/>
          <w:sz w:val="22"/>
        </w:rPr>
        <w:t>(C.N.P.J.);</w:t>
      </w:r>
    </w:p>
    <w:p>
      <w:pPr>
        <w:jc w:val="both"/>
        <w:widowControl/>
        <w:ind w:left="855" w:right="45"/>
        <w:spacing w:after="45"/>
      </w:pPr>
      <w:r>
        <w:rPr>
          <w:rFonts w:ascii="Times New Roman" w:hAnsi="Times New Roman" w:cs="Times New Roman" w:eastAsia="Times New Roman"/>
          <w:sz w:val="22"/>
        </w:rPr>
        <w:t/>
      </w:r>
    </w:p>
    <w:p>
      <w:pPr>
        <w:jc w:val="both"/>
        <w:widowControl/>
        <w:ind w:left="600" w:right="45"/>
        <w:spacing w:after="45"/>
        <w:tabs>
          <w:tab w:val="left" w:pos="855"/>
        </w:tabs>
      </w:pPr>
      <w:r>
        <w:rPr>
          <w:b/>
          <w:sz w:val="22"/>
        </w:rPr>
        <w:t>11.2</w:t>
      </w:r>
      <w:r>
        <w:rPr>
          <w:sz w:val="22"/>
        </w:rPr>
        <w:t xml:space="preserve"> Certidão Conjunta Negativa, ou Certidão Conjunta Positiva com efeito de Negativa, de Tributos e Contribuições Federais e Dívida Ativa da União, emitida pela Secretaria da Receita Federal do Ministério da Economia,</w:t>
      </w:r>
      <w:r>
        <w:rPr>
          <w:b/>
          <w:sz w:val="22"/>
        </w:rPr>
        <w:t>CERTIDÃO CONJUNTA DE REGULARIDADE DE DÉBITOS RELATIVOS AOS TRIBUTOS FEDERAIS;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b/>
          <w:sz w:val="22"/>
        </w:rPr>
        <w:t>11.3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pPr>
        <w:jc w:val="both"/>
        <w:widowControl/>
        <w:ind w:left="600" w:right="45"/>
        <w:spacing w:after="45"/>
        <w:tabs>
          <w:tab w:val="left" w:pos="855"/>
        </w:tabs>
      </w:pPr>
      <w:r>
        <w:rPr>
          <w:sz w:val="22"/>
        </w:rPr>
        <w:t/>
      </w:r>
    </w:p>
    <w:p>
      <w:pPr>
        <w:jc w:val="both"/>
        <w:widowControl/>
        <w:ind w:left="600" w:right="45"/>
        <w:spacing w:after="45"/>
        <w:tabs>
          <w:tab w:val="left" w:pos="855"/>
        </w:tabs>
      </w:pPr>
      <w:r>
        <w:rPr>
          <w:b/>
          <w:sz w:val="22"/>
        </w:rPr>
        <w:t>11.4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rFonts w:ascii="Times New Roman" w:hAnsi="Times New Roman" w:cs="Times New Roman" w:eastAsia="Times New Roman"/>
          <w:sz w:val="22"/>
        </w:rPr>
        <w:t/>
      </w:r>
    </w:p>
    <w:p>
      <w:pPr>
        <w:jc w:val="both"/>
        <w:widowControl/>
        <w:ind w:left="600" w:right="45"/>
        <w:spacing w:after="45"/>
        <w:tabs>
          <w:tab w:val="left" w:pos="855"/>
        </w:tabs>
      </w:pPr>
      <w:r>
        <w:rPr>
          <w:b/>
          <w:sz w:val="22"/>
        </w:rPr>
        <w:t>11.5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b/>
          <w:sz w:val="22"/>
        </w:rPr>
        <w:t>11.6</w:t>
      </w:r>
      <w:r>
        <w:rPr>
          <w:sz w:val="22"/>
        </w:rPr>
        <w:t xml:space="preserve"> Prova de inexistência de débitos inadimplidos perante a Justiça do Trabalho, mediante a apresentação de certidão negativa (CNDT), </w:t>
      </w:r>
      <w:r>
        <w:rPr>
          <w:b/>
          <w:sz w:val="22"/>
        </w:rPr>
        <w:t>CERTIDÃO DE REGULARIDADE DE DÉBITOS TRABALHISTAS;</w:t>
      </w:r>
    </w:p>
    <w:p>
      <w:pPr>
        <w:jc w:val="both"/>
        <w:widowControl/>
        <w:ind w:left="600" w:right="45"/>
        <w:spacing w:after="45"/>
        <w:tabs>
          <w:tab w:val="left" w:pos="855"/>
        </w:tabs>
      </w:pPr>
      <w:r>
        <w:rPr>
          <w:b/>
          <w:sz w:val="22"/>
        </w:rPr>
        <w:t/>
      </w:r>
    </w:p>
    <w:p>
      <w:pPr>
        <w:jc w:val="both"/>
        <w:widowControl/>
        <w:ind w:left="600" w:right="45"/>
        <w:spacing w:after="45"/>
        <w:tabs>
          <w:tab w:val="left" w:pos="855"/>
        </w:tabs>
      </w:pPr>
      <w:r>
        <w:rPr>
          <w:b/>
          <w:sz w:val="22"/>
        </w:rPr>
        <w:t xml:space="preserve">11.7 </w:t>
      </w:r>
      <w:r>
        <w:rPr>
          <w:sz w:val="22"/>
        </w:rPr>
        <w:t xml:space="preserve"> </w:t>
      </w:r>
      <w:r>
        <w:rPr>
          <w:b/>
          <w:sz w:val="22"/>
        </w:rPr>
        <w:t>Certidão Negativa de Falência</w:t>
      </w:r>
      <w:r>
        <w:rPr>
          <w:sz w:val="22"/>
        </w:rPr>
        <w:t xml:space="preserve">, expedida pelo órgão competente, com seu prazo de validade, com data não superior a </w:t>
      </w:r>
      <w:r>
        <w:rPr>
          <w:b/>
          <w:sz w:val="22"/>
        </w:rPr>
        <w:t>90 (noventa)</w:t>
      </w:r>
      <w:r>
        <w:rPr>
          <w:sz w:val="22"/>
        </w:rPr>
        <w:t xml:space="preserve"> </w:t>
      </w:r>
      <w:r>
        <w:rPr>
          <w:b/>
          <w:sz w:val="22"/>
        </w:rPr>
        <w:t>dias</w:t>
      </w:r>
      <w:r>
        <w:rPr>
          <w:sz w:val="22"/>
        </w:rPr>
        <w:t xml:space="preserve"> da apresentação da mesma a Comissão, caso não haja menção quanto ao prazo de validade. </w:t>
      </w:r>
    </w:p>
    <w:p>
      <w:pPr>
        <w:jc w:val="both"/>
        <w:widowControl/>
        <w:ind w:left="570" w:right="45" w:hanging="15"/>
        <w:spacing w:after="4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12 – PASTA TÉCNICA (PROJETOS):</w:t>
      </w:r>
    </w:p>
    <w:p>
      <w:pPr>
        <w:jc w:val="both"/>
        <w:widowControl/>
        <w:ind w:left="570" w:right="45" w:hanging="15"/>
        <w:spacing w:after="45"/>
      </w:pPr>
      <w:r>
        <w:rPr>
          <w:b/>
          <w:sz w:val="22"/>
        </w:rPr>
        <w:t>12.1</w:t>
      </w:r>
      <w:r>
        <w:rPr>
          <w:sz w:val="22"/>
        </w:rPr>
        <w:t xml:space="preserve">- </w:t>
      </w:r>
      <w:r>
        <w:rPr>
          <w:b/>
          <w:sz w:val="22"/>
        </w:rPr>
        <w:t>Memorial descritivo, Projetos, Planilhas e Cronograma estão em anexo na pasta técnica.</w:t>
      </w:r>
    </w:p>
    <w:p>
      <w:pPr>
        <w:jc w:val="both"/>
        <w:widowControl/>
        <w:ind w:left="1065" w:right="45" w:hanging="15"/>
        <w:spacing w:after="45"/>
      </w:pPr>
      <w:r>
        <w:rPr>
          <w:b/>
          <w:sz w:val="22"/>
        </w:rPr>
        <w:t>12.1.1 A Pasta Técnica está disponível nos links:</w:t>
      </w:r>
    </w:p>
    <w:p>
      <w:pPr>
        <w:jc w:val="both"/>
        <w:widowControl/>
        <w:ind w:left="1740" w:right="45" w:hanging="15"/>
        <w:spacing w:after="45"/>
      </w:pPr>
      <w:r>
        <w:rPr>
          <w:b/>
          <w:sz w:val="22"/>
        </w:rPr>
        <w:t xml:space="preserve"> https://comprasbr.com.br/</w:t>
      </w:r>
    </w:p>
    <w:p>
      <w:pPr>
        <w:jc w:val="both"/>
        <w:widowControl/>
        <w:ind w:left="1770" w:right="45" w:hanging="15"/>
        <w:spacing w:after="45"/>
      </w:pPr>
      <w:r>
        <w:rPr>
          <w:b/>
          <w:sz w:val="22"/>
        </w:rPr>
        <w:t>http://www.guairaca.pr.gov.br/</w:t>
      </w:r>
    </w:p>
    <w:p>
      <w:pPr>
        <w:jc w:val="both"/>
        <w:widowControl/>
        <w:ind w:left="1095" w:right="45" w:hanging="15"/>
        <w:spacing w:after="45"/>
      </w:pPr>
      <w:r>
        <w:rPr>
          <w:sz w:val="22"/>
        </w:rPr>
        <w:t/>
      </w:r>
    </w:p>
    <w:p>
      <w:pPr>
        <w:jc w:val="both"/>
        <w:widowControl/>
        <w:ind w:left="1095" w:right="45" w:hanging="15"/>
        <w:spacing w:after="45"/>
      </w:pPr>
      <w:r>
        <w:rPr>
          <w:sz w:val="22"/>
        </w:rPr>
        <w:t/>
      </w:r>
    </w:p>
    <w:p>
      <w:pPr>
        <w:jc w:val="center"/>
      </w:pPr>
      <w:r>
        <w:rPr>
          <w:b/>
          <w:u w:val="single"/>
          <w:sz w:val="22"/>
        </w:rPr>
        <w:t/>
      </w:r>
    </w:p>
    <w:p>
      <w:pPr>
        <w:jc w:val="both"/>
        <w:outlineLvl w:val="1"/>
        <w:widowControl/>
        <w:ind w:left="165"/>
      </w:pPr>
      <w:r>
        <w:rPr>
          <w:rFonts w:ascii="Times New Roman" w:hAnsi="Times New Roman" w:cs="Times New Roman" w:eastAsia="Times New Roman"/>
          <w:sz w:val="22"/>
        </w:rPr>
        <w:t/>
      </w:r>
    </w:p>
    <w:p>
      <w:pPr>
        <w:jc w:val="right"/>
        <w:widowControl/>
        <w:spacing w:after="165" w:lineRule="auto" w:line="252"/>
      </w:pPr>
      <w:r>
        <w:rPr>
          <w:rFonts w:ascii="Calibri" w:hAnsi="Calibri" w:cs="Calibri" w:eastAsia="Calibri"/>
          <w:sz w:val="22"/>
        </w:rPr>
        <w:t>Guairaçá-Pr, 26/06/2026</w:t>
      </w:r>
    </w:p>
    <w:p>
      <w:pPr>
        <w:widowControl/>
        <w:spacing w:after="165" w:lineRule="auto" w:line="252"/>
      </w:pPr>
      <w:r>
        <w:rPr>
          <w:rFonts w:ascii="Calibri" w:hAnsi="Calibri" w:cs="Calibri" w:eastAsia="Calibri"/>
          <w:sz w:val="22"/>
        </w:rPr>
        <w:t/>
      </w:r>
    </w:p>
    <w:p>
      <w:pPr>
        <w:jc w:val="right"/>
        <w:widowControl/>
        <w:ind w:left="105"/>
      </w:pPr>
      <w:r>
        <w:rPr>
          <w:rFonts w:ascii="Times New Roman" w:hAnsi="Times New Roman" w:cs="Times New Roman" w:eastAsia="Times New Roman"/>
          <w:sz w:val="22"/>
        </w:rPr>
        <w:t/>
      </w:r>
    </w:p>
    <w:p>
      <w:pPr>
        <w:jc w:val="center"/>
        <w:widowControl/>
        <w:ind w:left="105"/>
      </w:pPr>
      <w:r>
        <w:rPr>
          <w:b/>
          <w:sz w:val="22"/>
          <w:color w:val="000000"/>
        </w:rPr>
        <w:t>______________________________</w:t>
      </w:r>
    </w:p>
    <w:p>
      <w:pPr>
        <w:jc w:val="center"/>
        <w:widowControl/>
        <w:spacing w:after="165" w:lineRule="auto" w:line="252"/>
      </w:pPr>
      <w:r>
        <w:rPr>
          <w:b/>
          <w:sz w:val="22"/>
        </w:rPr>
        <w:t>ANTONIO CARLOS DE OLIVEIRA</w:t>
      </w:r>
    </w:p>
    <w:p>
      <w:pPr>
        <w:jc w:val="center"/>
        <w:widowControl/>
        <w:spacing w:after="165" w:lineRule="auto" w:line="252"/>
      </w:pPr>
      <w:r>
        <w:rPr>
          <w:b/>
          <w:sz w:val="22"/>
        </w:rPr>
        <w:t>SECRETÁRIA DE ESPORTE</w:t>
      </w:r>
    </w:p>
    <w:p>
      <w:r>
        <w:br w:type="page"/>
      </w:r>
    </w:p>
    <w:p>
      <w:pPr>
        <w:jc w:val="center"/>
        <w:widowControl/>
        <w:ind w:left="15" w:right="15" w:hanging="15"/>
        <w:spacing w:after="45"/>
      </w:pPr>
      <w:r>
        <w:rPr>
          <w:b/>
          <w:sz w:val="22"/>
        </w:rPr>
        <w:t>ANEXO II</w:t>
      </w:r>
    </w:p>
    <w:p>
      <w:pPr>
        <w:jc w:val="center"/>
        <w:widowControl/>
        <w:ind w:left="15" w:right="15" w:hanging="15"/>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DE RESPONSABILIDADE TECNICA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45" w:hanging="15"/>
        <w:spacing w:after="45"/>
      </w:pPr>
      <w:r>
        <w:rPr>
          <w:sz w:val="22"/>
        </w:rPr>
        <w:t xml:space="preserve">Ref.: </w:t>
      </w:r>
      <w:r>
        <w:rPr>
          <w:b/>
          <w:sz w:val="22"/>
        </w:rPr>
        <w:t xml:space="preserve">CONCORRÊNCIA ELETRÔNICA Nº </w:t>
      </w:r>
      <w:r>
        <w:rPr>
          <w:rFonts w:ascii="Calibri" w:hAnsi="Calibri" w:cs="Calibri" w:eastAsia="Calibri"/>
          <w:b/>
          <w:sz w:val="24"/>
        </w:rPr>
        <w:t>8/2026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pPr>
        <w:jc w:val="both"/>
        <w:widowControl/>
        <w:ind w:left="60" w:right="45" w:hanging="15"/>
        <w:spacing w:after="45"/>
      </w:pPr>
      <w:r>
        <w:rPr>
          <w:sz w:val="22"/>
        </w:rPr>
        <w:t/>
      </w:r>
    </w:p>
    <w:tbl>
      <w:tblPr>
        <w:tblW w:w="5000" w:type="pct"/>
        <w:tblLayout w:type="fixed"/>
        <w:tblCellMar>
          <w:top w:w="0" w:type="dxa"/>
          <w:left w:w="90" w:type="dxa"/>
          <w:bottom w:w="0" w:type="dxa"/>
          <w:right w:w="90" w:type="dxa"/>
        </w:tblCellMar>
        <w:tblInd w:w="-60" w:type="dxa"/>
      </w:tblPr>
      <w:tblGrid>
        <w:gridCol w:w="690"/>
        <w:gridCol w:w="2670"/>
        <w:gridCol w:w="2655"/>
        <w:gridCol w:w="1845"/>
        <w:gridCol w:w="1845"/>
        <w:gridCol w:w="1620"/>
      </w:tblGrid>
      <w:tr>
        <w:trPr>
          <w:trHeight w:val="705"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Lote</w:t>
            </w:r>
          </w:p>
        </w:tc>
        <w:tc>
          <w:tcPr>
            <w:tcW w:w="115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Nome</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Especialidade</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CREA/CAU</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DATA</w:t>
            </w:r>
          </w:p>
          <w:p>
            <w:pPr>
              <w:jc w:val="center"/>
              <w:widowControl/>
              <w:spacing w:after="45"/>
            </w:pPr>
            <w:r>
              <w:rPr>
                <w:sz w:val="22"/>
              </w:rPr>
              <w:t>REGISTRO</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ASSINATURA</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bl>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Declaramos, outrossim, que o(s) profissional(is) acima relacionado(s) pertence(m) ao nosso quadro técnico de profissionais permanentes, com relacionamento junto à empresa, dentro das leis trabalhistas vigentes.</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both"/>
        <w:widowControl/>
        <w:ind w:left="60" w:right="45" w:hanging="15"/>
        <w:spacing w:after="45"/>
      </w:pPr>
      <w:r>
        <w:rPr>
          <w:sz w:val="22"/>
        </w:rPr>
        <w:t/>
      </w:r>
    </w:p>
    <w:p>
      <w:pPr>
        <w:jc w:val="center"/>
        <w:widowControl/>
        <w:ind w:left="510" w:right="150" w:hanging="15"/>
        <w:spacing w:after="45"/>
      </w:pPr>
      <w:r>
        <w:rPr>
          <w:sz w:val="22"/>
        </w:rPr>
        <w:t>____________________________________________</w:t>
      </w:r>
    </w:p>
    <w:p>
      <w:pPr>
        <w:jc w:val="center"/>
        <w:widowControl/>
        <w:ind w:left="510" w:right="135" w:hanging="15"/>
        <w:spacing w:after="45"/>
      </w:pPr>
      <w:r>
        <w:rPr>
          <w:sz w:val="22"/>
        </w:rPr>
        <w:t>( nome, CPF e assinatura do responsável legal)</w:t>
      </w:r>
    </w:p>
    <w:p>
      <w:pPr>
        <w:jc w:val="center"/>
        <w:widowControl/>
        <w:ind w:left="510" w:right="135" w:hanging="15"/>
        <w:spacing w:after="45"/>
      </w:pPr>
      <w:r>
        <w:rPr>
          <w:sz w:val="22"/>
        </w:rPr>
        <w:t/>
      </w:r>
    </w:p>
    <w:p>
      <w:r>
        <w:br w:type="page"/>
      </w:r>
    </w:p>
    <w:p>
      <w:pPr>
        <w:jc w:val="center"/>
        <w:widowControl/>
        <w:spacing w:after="45"/>
      </w:pPr>
      <w:r>
        <w:rPr>
          <w:b/>
          <w:sz w:val="22"/>
        </w:rPr>
        <w:t>ANEXO III</w:t>
      </w:r>
    </w:p>
    <w:p>
      <w:pPr>
        <w:jc w:val="center"/>
        <w:widowControl/>
        <w:spacing w:after="45"/>
      </w:pPr>
      <w:r>
        <w:rPr>
          <w:rFonts w:ascii="Times New Roman" w:hAnsi="Times New Roman" w:cs="Times New Roman" w:eastAsia="Times New Roman"/>
          <w:sz w:val="22"/>
        </w:rPr>
        <w:t/>
      </w:r>
    </w:p>
    <w:p>
      <w:pPr>
        <w:jc w:val="center"/>
        <w:widowControl/>
        <w:ind w:left="15" w:right="15"/>
        <w:spacing w:before="0" w:after="15"/>
        <w:pBdr>
          <w:top w:val="single" w:color="000000"/>
          <w:left w:val="single" w:color="000000"/>
          <w:bottom w:val="single" w:color="000000"/>
          <w:right w:val="single" w:color="000000"/>
        </w:pBdr>
      </w:pPr>
      <w:r>
        <w:rPr>
          <w:b/>
          <w:sz w:val="22"/>
        </w:rPr>
        <w:t>MODELO DE DECLARAÇÃO TRATAMENTO DIFERENCIADO LEI 123/2006.</w:t>
      </w:r>
    </w:p>
    <w:p>
      <w:pPr>
        <w:jc w:val="both"/>
        <w:outlineLvl w:val="0"/>
        <w:keepLines/>
        <w:keepNext/>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pPr>
      <w:r>
        <w:rPr>
          <w:b/>
          <w:sz w:val="22"/>
        </w:rPr>
        <w:t>CONCORRÊNCIA ELETRÔNICA Nº 8/2026 – PMG</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pPr>
        <w:widowControl/>
        <w:spacing w:after="45"/>
        <w:tabs>
          <w:tab w:val="center" w:pos="4800"/>
        </w:tabs>
      </w:pPr>
      <w:r>
        <w:rPr>
          <w:sz w:val="22"/>
        </w:rPr>
        <w:t>(   ) MICROEMPRESA, conforme inciso I do art. 3.º da Lei Complementar nº 123, de 14/12/2006.</w:t>
      </w:r>
    </w:p>
    <w:p>
      <w:pPr>
        <w:jc w:val="both"/>
        <w:widowControl/>
        <w:ind w:left="60" w:right="45" w:hanging="15"/>
        <w:spacing w:after="45"/>
      </w:pPr>
      <w:r>
        <w:rPr>
          <w:sz w:val="22"/>
        </w:rPr>
        <w:t>( ) EMPRESA DE PEQUENO PORTE, conforme inciso II do art. 3.º da Lei Complementar nº. 123, de 14/12/2006.</w:t>
      </w:r>
    </w:p>
    <w:p>
      <w:pPr>
        <w:widowControl/>
        <w:spacing w:after="45"/>
        <w:tabs>
          <w:tab w:val="center" w:pos="4080"/>
        </w:tabs>
      </w:pPr>
      <w:r>
        <w:rPr>
          <w:sz w:val="22"/>
        </w:rPr>
        <w:t>(</w:t>
      </w:r>
      <w:r>
        <w:rPr>
          <w:sz w:val="22"/>
        </w:rPr>
        <w:tab/>
      </w:r>
      <w:r>
        <w:rPr>
          <w:sz w:val="22"/>
        </w:rPr>
        <w:t>) MICROEMPREENDEDOR INDIVIDUAL, conforme art. 1º do Decreto nº 8.538/2015.</w:t>
      </w:r>
    </w:p>
    <w:p>
      <w:pPr>
        <w:jc w:val="both"/>
        <w:widowControl/>
        <w:ind w:left="60" w:right="45" w:hanging="15"/>
        <w:spacing w:after="45"/>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pPr>
        <w:jc w:val="both"/>
        <w:widowControl/>
        <w:ind w:left="60" w:right="45" w:hanging="15"/>
        <w:spacing w:after="45"/>
      </w:pPr>
      <w:r>
        <w:rPr>
          <w:sz w:val="22"/>
        </w:rPr>
        <w:t>Que do capital da Empresa não participa pessoa física que seja inscrita como empresário ou seja sócia de outra empresa que receba tratamento jurídico diferenciado nos termos desta Lei Complementar;</w:t>
      </w:r>
    </w:p>
    <w:p>
      <w:pPr>
        <w:jc w:val="both"/>
        <w:widowControl/>
        <w:ind w:left="60" w:right="45" w:hanging="15"/>
        <w:spacing w:after="45"/>
      </w:pPr>
      <w:r>
        <w:rPr>
          <w:sz w:val="22"/>
        </w:rPr>
        <w:t>Que o titular ou sócio da Empresa não participa com mais de 10% (dez por cento) do capital de outra empresa não beneficiada por esta Lei Complementar.</w:t>
      </w:r>
    </w:p>
    <w:p>
      <w:pPr>
        <w:jc w:val="both"/>
        <w:widowControl/>
        <w:ind w:left="60" w:right="45" w:hanging="15"/>
        <w:spacing w:after="45"/>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pPr>
        <w:jc w:val="both"/>
        <w:widowControl/>
        <w:ind w:left="60" w:right="45" w:hanging="15"/>
        <w:spacing w:after="45"/>
      </w:pPr>
      <w:r>
        <w:rPr>
          <w:sz w:val="22"/>
        </w:rPr>
        <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center"/>
        <w:widowControl/>
        <w:ind w:left="510" w:right="495" w:hanging="15"/>
        <w:spacing w:after="45"/>
      </w:pPr>
      <w:r>
        <w:rPr>
          <w:sz w:val="22"/>
        </w:rPr>
        <w:t/>
      </w:r>
    </w:p>
    <w:p>
      <w:pPr>
        <w:jc w:val="center"/>
        <w:widowControl/>
        <w:ind w:left="510" w:right="495" w:hanging="15"/>
        <w:spacing w:after="45"/>
      </w:pPr>
      <w:r>
        <w:rPr>
          <w:sz w:val="22"/>
        </w:rPr>
        <w:t/>
      </w:r>
    </w:p>
    <w:p>
      <w:pPr>
        <w:jc w:val="center"/>
        <w:widowControl/>
        <w:ind w:left="510" w:right="510" w:hanging="15"/>
        <w:spacing w:after="45"/>
      </w:pPr>
      <w:r>
        <w:rPr>
          <w:rFonts w:ascii="Times New Roman" w:hAnsi="Times New Roman" w:cs="Times New Roman" w:eastAsia="Times New Roman"/>
          <w:sz w:val="22"/>
        </w:rPr>
        <w:t>...........................................................................................................</w:t>
      </w:r>
    </w:p>
    <w:p>
      <w:pPr>
        <w:jc w:val="center"/>
        <w:widowControl/>
        <w:ind w:left="15" w:right="15" w:hanging="15"/>
        <w:spacing w:after="45"/>
      </w:pPr>
      <w:r>
        <w:rPr>
          <w:sz w:val="22"/>
        </w:rPr>
        <w:t>Assinatura do Responsável pela Empresa</w:t>
      </w:r>
    </w:p>
    <w:p>
      <w:pPr>
        <w:jc w:val="center"/>
        <w:widowControl/>
        <w:ind w:left="15" w:right="15" w:hanging="15"/>
        <w:spacing w:after="45"/>
      </w:pPr>
      <w:r>
        <w:rPr>
          <w:sz w:val="22"/>
        </w:rPr>
        <w:t>(Nome Legível/Cargo/CPF)</w:t>
      </w:r>
    </w:p>
    <w:p>
      <w:pPr>
        <w:jc w:val="center"/>
        <w:widowControl/>
        <w:ind w:left="15" w:right="15" w:hanging="15"/>
        <w:spacing w:after="45"/>
      </w:pPr>
      <w:r>
        <w:rPr>
          <w:sz w:val="22"/>
        </w:rPr>
        <w:t/>
      </w:r>
    </w:p>
    <w:p>
      <w:r>
        <w:br w:type="page"/>
      </w:r>
    </w:p>
    <w:p>
      <w:pPr>
        <w:jc w:val="center"/>
        <w:widowControl/>
        <w:spacing w:after="45"/>
      </w:pPr>
      <w:r>
        <w:rPr>
          <w:b/>
          <w:sz w:val="22"/>
        </w:rPr>
        <w:t>ANEXO IV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ATESTADO DE VISITA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Ref: </w:t>
      </w:r>
      <w:r>
        <w:rPr>
          <w:b/>
          <w:sz w:val="22"/>
        </w:rPr>
        <w:t>CONCORRÊNCIA ELETRÔNICA Nº 8/2026 – PMG</w:t>
      </w:r>
    </w:p>
    <w:p>
      <w:pPr>
        <w:jc w:val="both"/>
        <w:widowControl/>
        <w:ind w:left="60" w:right="45" w:hanging="15"/>
        <w:spacing w:after="45"/>
      </w:pPr>
      <w:r>
        <w:rPr>
          <w:sz w:val="22"/>
        </w:rPr>
        <w:t>Objeto: (inserir o nome da obra, local, rua, números, cidade e outros)</w:t>
      </w:r>
    </w:p>
    <w:p>
      <w:pPr>
        <w:jc w:val="both"/>
        <w:widowControl/>
        <w:ind w:left="60" w:right="45" w:hanging="15"/>
        <w:spacing w:after="45"/>
      </w:pPr>
      <w:r>
        <w:rPr>
          <w:sz w:val="22"/>
        </w:rPr>
        <w:t/>
      </w:r>
    </w:p>
    <w:p>
      <w:pPr>
        <w:jc w:val="right"/>
        <w:widowControl/>
        <w:ind w:left="15" w:right="45" w:hanging="15"/>
        <w:spacing w:after="45"/>
      </w:pPr>
      <w:r>
        <w:rPr>
          <w:sz w:val="22"/>
        </w:rPr>
        <w:t>Declaramos que o Engenheiro (inserir nome completo), CREA n° (inserir número) da proponente</w:t>
      </w:r>
    </w:p>
    <w:p>
      <w:pPr>
        <w:jc w:val="both"/>
        <w:widowControl/>
        <w:ind w:left="60" w:right="45" w:hanging="15"/>
        <w:spacing w:after="45"/>
      </w:pPr>
      <w:r>
        <w:rPr>
          <w:sz w:val="22"/>
        </w:rPr>
        <w:t>(inserir o nome da proponente), devidamente credenciado, visitou o local da execução da(s) obra(s) do lote n° (inserir número do lote), objeto da Tomada de Preços em epígrafe.</w:t>
      </w:r>
    </w:p>
    <w:p>
      <w:pPr>
        <w:jc w:val="both"/>
        <w:widowControl/>
        <w:ind w:left="60" w:right="45" w:hanging="15"/>
        <w:spacing w:after="45"/>
      </w:pPr>
      <w:r>
        <w:rPr>
          <w:sz w:val="22"/>
        </w:rPr>
        <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center"/>
        <w:widowControl/>
        <w:ind w:left="510" w:hanging="15"/>
        <w:spacing w:after="45"/>
      </w:pPr>
      <w:r>
        <w:rPr>
          <w:sz w:val="22"/>
        </w:rPr>
        <w:t/>
      </w:r>
    </w:p>
    <w:p>
      <w:pPr>
        <w:jc w:val="center"/>
        <w:widowControl/>
        <w:ind w:left="2895" w:right="45" w:hanging="15"/>
        <w:spacing w:after="45"/>
      </w:pPr>
      <w:r>
        <w:rPr>
          <w:sz w:val="22"/>
        </w:rPr>
        <w:t>)</w:t>
      </w:r>
    </w:p>
    <w:p>
      <w:pPr>
        <w:jc w:val="center"/>
        <w:widowControl/>
        <w:ind w:left="2895" w:right="45" w:hanging="15"/>
        <w:spacing w:after="45"/>
      </w:pPr>
      <w:r>
        <w:rPr>
          <w:sz w:val="22"/>
        </w:rPr>
        <w:t/>
      </w:r>
    </w:p>
    <w:p>
      <w:pPr>
        <w:jc w:val="center"/>
        <w:widowControl/>
        <w:ind w:left="2895" w:right="45" w:hanging="15"/>
        <w:spacing w:after="45"/>
      </w:pPr>
      <w:r>
        <w:rPr>
          <w:sz w:val="22"/>
        </w:rPr>
        <w:t/>
      </w:r>
    </w:p>
    <w:p>
      <w:pPr>
        <w:jc w:val="center"/>
        <w:widowControl/>
        <w:ind w:left="510" w:right="45" w:hanging="15"/>
        <w:spacing w:after="45"/>
      </w:pPr>
      <w:r>
        <w:rPr>
          <w:sz w:val="22"/>
        </w:rPr>
        <w:t>(Nome, CREA e assinatura do responsável pelo departamento de engenharia do município)</w:t>
      </w:r>
    </w:p>
    <w:p>
      <w:pPr>
        <w:jc w:val="center"/>
        <w:widowControl/>
        <w:ind w:left="510" w:right="45" w:hanging="15"/>
        <w:spacing w:after="45"/>
      </w:pPr>
      <w:r>
        <w:t/>
      </w:r>
    </w:p>
    <w:p>
      <w:pPr>
        <w:jc w:val="center"/>
        <w:widowControl/>
        <w:ind w:left="510" w:right="495" w:hanging="15"/>
        <w:spacing w:after="45"/>
      </w:pPr>
      <w:r>
        <w:rPr>
          <w:sz w:val="22"/>
        </w:rPr>
        <w:t/>
      </w:r>
    </w:p>
    <w:p>
      <w:r>
        <w:br w:type="page"/>
      </w:r>
    </w:p>
    <w:p>
      <w:pPr>
        <w:jc w:val="center"/>
        <w:widowControl/>
        <w:spacing w:after="45"/>
      </w:pPr>
      <w:r>
        <w:rPr>
          <w:b/>
          <w:sz w:val="22"/>
        </w:rPr>
        <w:t>ANEXO 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UNIFICADA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30" w:hanging="15"/>
        <w:spacing w:after="45"/>
      </w:pPr>
      <w:r>
        <w:rPr>
          <w:sz w:val="22"/>
        </w:rPr>
        <w:t/>
      </w:r>
    </w:p>
    <w:p>
      <w:pPr>
        <w:jc w:val="both"/>
        <w:outlineLvl w:val="0"/>
        <w:keepLines/>
        <w:keepNext/>
        <w:widowControl/>
        <w:ind w:left="60" w:right="45" w:hanging="15"/>
        <w:spacing w:after="45"/>
      </w:pPr>
      <w:r>
        <w:rPr>
          <w:b/>
          <w:sz w:val="22"/>
        </w:rPr>
        <w:t>CONCORRÊNCIA ELETRÔNICA Nº</w:t>
      </w:r>
      <w:r>
        <w:rPr>
          <w:b/>
          <w:sz w:val="24"/>
        </w:rPr>
        <w:t xml:space="preserve"> </w:t>
      </w:r>
      <w:r>
        <w:rPr>
          <w:b/>
          <w:sz w:val="22"/>
        </w:rPr>
        <w:t>8/2026</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Pelo presente instrumento, a empresa ........................., CNPJ nº ......................, com sede na ............................................, através de seu representante legal infra-assinado, que:</w:t>
      </w:r>
    </w:p>
    <w:p>
      <w:pPr>
        <w:jc w:val="both"/>
        <w:widowControl/>
        <w:ind w:left="60" w:right="45" w:hanging="15"/>
        <w:spacing w:after="45"/>
      </w:pPr>
      <w:r>
        <w:rPr>
          <w:sz w:val="22"/>
        </w:rPr>
        <w:t/>
      </w:r>
    </w:p>
    <w:p>
      <w:pPr>
        <w:jc w:val="both"/>
        <w:widowControl/>
        <w:ind w:right="45"/>
        <w:spacing w:after="45"/>
        <w:numPr>
          <w:ilvl w:val="0"/>
          <w:numId w:val="91"/>
        </w:numPr>
      </w:pPr>
      <w: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pPr>
        <w:jc w:val="both"/>
        <w:widowControl/>
        <w:ind w:right="45"/>
        <w:spacing w:after="45"/>
        <w:numPr>
          <w:ilvl w:val="0"/>
          <w:numId w:val="91"/>
        </w:numPr>
      </w:pPr>
      <w: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ind w:right="45"/>
        <w:spacing w:after="45"/>
        <w:numPr>
          <w:ilvl w:val="0"/>
          <w:numId w:val="91"/>
        </w:numPr>
      </w:pPr>
      <w: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ind w:right="45"/>
        <w:spacing w:after="45"/>
        <w:numPr>
          <w:ilvl w:val="0"/>
          <w:numId w:val="91"/>
        </w:numPr>
      </w:pPr>
      <w: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pPr>
        <w:jc w:val="both"/>
        <w:widowControl/>
        <w:ind w:left="285" w:right="45" w:hanging="240"/>
        <w:spacing w:after="45"/>
      </w:pPr>
      <w:r>
        <w:rPr>
          <w:sz w:val="22"/>
        </w:rPr>
        <w:t>5)</w:t>
      </w:r>
      <w:r>
        <w:rPr>
          <w:sz w:val="22"/>
        </w:rPr>
        <w:tab/>
      </w:r>
      <w:r>
        <w:rPr>
          <w:sz w:val="22"/>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pPr>
        <w:jc w:val="both"/>
        <w:widowControl/>
        <w:ind w:left="285" w:right="45" w:hanging="240"/>
        <w:spacing w:after="45"/>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pPr>
        <w:jc w:val="both"/>
        <w:widowControl/>
        <w:ind w:right="45"/>
        <w:spacing w:after="45"/>
        <w:numPr>
          <w:ilvl w:val="0"/>
          <w:numId w:val="60"/>
        </w:numPr>
      </w:pPr>
      <w: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ind w:right="45"/>
        <w:spacing w:after="45"/>
        <w:numPr>
          <w:ilvl w:val="0"/>
          <w:numId w:val="60"/>
        </w:numPr>
      </w:pPr>
      <w: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pPr>
        <w:jc w:val="both"/>
        <w:widowControl/>
        <w:ind w:right="45"/>
        <w:spacing w:after="45"/>
        <w:numPr>
          <w:ilvl w:val="0"/>
          <w:numId w:val="60"/>
        </w:numPr>
      </w:pPr>
      <w:r/>
      <w:r>
        <w:rPr>
          <w:sz w:val="22"/>
        </w:rPr>
        <w:t xml:space="preserve">Declaramos que não possui, em nossa cadeia produtiva, empregados executando trabalho degradante ou forçado, observado o disposto nos incisos III e IV do art. 1° e no inciso III, do art. 5° da Constituição Federal. </w:t>
      </w:r>
    </w:p>
    <w:p>
      <w:pPr>
        <w:jc w:val="both"/>
        <w:widowControl/>
        <w:ind w:right="45"/>
        <w:spacing w:after="45"/>
        <w:numPr>
          <w:ilvl w:val="0"/>
          <w:numId w:val="60"/>
        </w:numPr>
      </w:pPr>
      <w:r/>
      <w:r>
        <w:rPr>
          <w:sz w:val="22"/>
        </w:rPr>
        <w:t xml:space="preserve"> Declaramos que a proposta apresentada para esta licitação foi elaborada de maneira independente.</w:t>
      </w:r>
    </w:p>
    <w:p>
      <w:pPr>
        <w:jc w:val="both"/>
        <w:widowControl/>
        <w:ind w:left="285" w:right="45"/>
        <w:spacing w:after="45"/>
      </w:pPr>
      <w:r>
        <w:rPr>
          <w:sz w:val="22"/>
        </w:rPr>
        <w:t>E-mail: .......................................................................</w:t>
      </w:r>
    </w:p>
    <w:p>
      <w:pPr>
        <w:jc w:val="both"/>
        <w:widowControl/>
        <w:ind w:left="285" w:right="45"/>
        <w:spacing w:after="45"/>
      </w:pPr>
      <w:r>
        <w:rPr>
          <w:sz w:val="22"/>
        </w:rPr>
        <w:t>Telefone: (.....) ..............................</w:t>
      </w:r>
    </w:p>
    <w:p>
      <w:pPr>
        <w:jc w:val="both"/>
        <w:widowControl/>
        <w:ind w:left="285" w:right="45" w:hanging="240"/>
        <w:spacing w:after="45"/>
      </w:pPr>
      <w:r>
        <w:rPr>
          <w:sz w:val="22"/>
        </w:rPr>
        <w:t xml:space="preserve">11) Caso altere o citado e-mail ou telefone comprometo-me em protocolizar pedido de alteração junto ao Sistema de Protocolo deste Município, sob pena de ser considerado como intimado nos dados anteriormente fornecidos. </w:t>
      </w:r>
    </w:p>
    <w:p>
      <w:pPr>
        <w:jc w:val="both"/>
        <w:widowControl/>
        <w:ind w:left="285" w:right="45" w:hanging="240"/>
        <w:spacing w:after="45"/>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pPr>
        <w:jc w:val="both"/>
        <w:widowControl/>
        <w:ind w:left="285" w:right="45" w:hanging="240"/>
        <w:spacing w:after="45"/>
      </w:pPr>
      <w:r>
        <w:rPr>
          <w:sz w:val="22"/>
        </w:rPr>
        <w:t>13) Declaramos de que cumprimos as exigências de reserva de cargos para pessoa com deficiência e para reabilitado da Previdência Social, previstas em lei e em outras normas específicas.</w:t>
      </w:r>
    </w:p>
    <w:p>
      <w:pPr>
        <w:jc w:val="both"/>
        <w:widowControl/>
        <w:ind w:left="285" w:right="45" w:hanging="240"/>
        <w:spacing w:after="45"/>
      </w:pPr>
      <w:r>
        <w:rPr>
          <w:sz w:val="22"/>
        </w:rPr>
        <w:t/>
      </w:r>
    </w:p>
    <w:p>
      <w:pPr>
        <w:jc w:val="both"/>
        <w:widowControl/>
        <w:ind w:right="45"/>
        <w:spacing w:after="45"/>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pPr>
        <w:jc w:val="both"/>
        <w:widowControl/>
        <w:ind w:right="45"/>
        <w:spacing w:after="45"/>
      </w:pPr>
      <w:r>
        <w:rPr>
          <w:sz w:val="22"/>
        </w:rPr>
        <w:t/>
      </w:r>
    </w:p>
    <w:p>
      <w:pPr>
        <w:jc w:val="right"/>
        <w:widowControl/>
        <w:ind w:right="60"/>
        <w:spacing w:after="45"/>
      </w:pPr>
      <w:r>
        <w:rPr>
          <w:sz w:val="22"/>
        </w:rPr>
        <w:t>Local e data.</w:t>
      </w:r>
    </w:p>
    <w:p>
      <w:pPr>
        <w:jc w:val="right"/>
        <w:widowControl/>
        <w:ind w:right="60"/>
        <w:spacing w:after="45"/>
      </w:pPr>
      <w: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sz w:val="22"/>
        </w:rPr>
        <w:t>Assinatura do Responsável pela Empresa</w:t>
      </w:r>
    </w:p>
    <w:p>
      <w:pPr>
        <w:jc w:val="center"/>
        <w:widowControl/>
        <w:ind w:left="510" w:right="495" w:hanging="15"/>
        <w:spacing w:after="45"/>
      </w:pPr>
      <w:r>
        <w:rPr>
          <w:sz w:val="22"/>
        </w:rPr>
        <w:t>(Nome Legível/Cargo)</w:t>
      </w:r>
    </w:p>
    <w:p>
      <w:pPr>
        <w:widowControl/>
        <w:ind w:left="345" w:right="315" w:hanging="15"/>
        <w:spacing w:after="45"/>
      </w:pPr>
      <w:r>
        <w:rPr>
          <w:sz w:val="22"/>
        </w:rPr>
        <w:t/>
      </w:r>
    </w:p>
    <w:p>
      <w:r>
        <w:br w:type="page"/>
      </w:r>
    </w:p>
    <w:p>
      <w:pPr>
        <w:jc w:val="center"/>
        <w:widowControl/>
        <w:spacing w:after="45"/>
      </w:pPr>
      <w:r>
        <w:rPr>
          <w:b/>
          <w:sz w:val="22"/>
        </w:rPr>
        <w:t>ANEXO VI</w:t>
      </w:r>
    </w:p>
    <w:p>
      <w:pPr>
        <w:jc w:val="center"/>
        <w:widowControl/>
        <w:spacing w:after="45"/>
      </w:pPr>
      <w:r>
        <w:rPr>
          <w:rFonts w:ascii="Times New Roman" w:hAnsi="Times New Roman" w:cs="Times New Roman" w:eastAsia="Times New Roman"/>
          <w:sz w:val="22"/>
        </w:rPr>
        <w:t/>
      </w:r>
    </w:p>
    <w:p>
      <w:pPr>
        <w:jc w:val="center"/>
        <w:widowControl/>
        <w:spacing w:after="45"/>
      </w:pPr>
      <w:r>
        <w:rPr>
          <w:b/>
          <w:sz w:val="22"/>
        </w:rPr>
        <w:t>(razão social, endereço, telefone, e-mail, CNPJ)</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PROPOSTA DE PREÇOS</w:t>
      </w:r>
    </w:p>
    <w:p>
      <w:pPr>
        <w:jc w:val="center"/>
        <w:widowControl/>
        <w:ind w:left="15" w:right="1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right"/>
        <w:widowControl/>
        <w:ind w:right="60"/>
        <w:spacing w:after="45"/>
      </w:pPr>
      <w:r>
        <w:rPr>
          <w:sz w:val="22"/>
        </w:rPr>
        <w:t/>
      </w:r>
    </w:p>
    <w:p>
      <w:pPr>
        <w:jc w:val="both"/>
        <w:widowControl/>
        <w:ind w:left="60" w:right="45" w:hanging="15"/>
        <w:spacing w:after="45"/>
      </w:pPr>
      <w:r>
        <w:rPr>
          <w:sz w:val="22"/>
        </w:rPr>
        <w:t>À Equipe de Apoio</w:t>
      </w:r>
    </w:p>
    <w:p>
      <w:pPr>
        <w:jc w:val="both"/>
        <w:widowControl/>
        <w:ind w:left="60" w:right="45" w:hanging="15"/>
        <w:spacing w:after="45"/>
      </w:pPr>
      <w:r>
        <w:rPr>
          <w:sz w:val="22"/>
        </w:rPr>
        <w:t xml:space="preserve">Ref. </w:t>
      </w:r>
      <w:r>
        <w:rPr>
          <w:b/>
          <w:sz w:val="22"/>
        </w:rPr>
        <w:t>CONCORRÊNCIA ELETRÔNICA Nº 8/2026 – PMG</w:t>
      </w:r>
    </w:p>
    <w:p>
      <w:pPr>
        <w:jc w:val="both"/>
        <w:widowControl/>
        <w:ind w:left="60" w:right="45" w:hanging="15"/>
        <w:spacing w:after="45"/>
      </w:pPr>
      <w:r>
        <w:rPr>
          <w:rFonts w:ascii="Times New Roman" w:hAnsi="Times New Roman" w:cs="Times New Roman" w:eastAsia="Times New Roman"/>
          <w:sz w:val="22"/>
        </w:rPr>
        <w:t/>
      </w:r>
    </w:p>
    <w:p>
      <w:pPr>
        <w:jc w:val="both"/>
        <w:widowControl/>
        <w:ind w:left="45" w:right="45" w:firstLine="1695"/>
        <w:spacing w:after="45"/>
      </w:pPr>
      <w:r>
        <w:rPr>
          <w:sz w:val="22"/>
        </w:rPr>
        <w:t>Prezados Senhores</w:t>
      </w:r>
    </w:p>
    <w:p>
      <w:pPr>
        <w:jc w:val="both"/>
        <w:widowControl/>
        <w:ind w:left="45" w:right="45" w:firstLine="1695"/>
        <w:spacing w:after="45"/>
      </w:pPr>
      <w:r>
        <w:rPr>
          <w:sz w:val="22"/>
        </w:rPr>
        <w:t/>
      </w:r>
    </w:p>
    <w:p>
      <w:pPr>
        <w:jc w:val="both"/>
        <w:widowControl/>
        <w:ind w:left="45" w:right="45" w:firstLine="1695"/>
        <w:spacing w:after="45"/>
      </w:pPr>
      <w:r>
        <w:rPr>
          <w:sz w:val="22"/>
        </w:rPr>
        <w:t>Apresentamos e submetemos à apreciação de V. S</w:t>
      </w:r>
      <w:r>
        <w:rPr>
          <w:vertAlign w:val="superscript"/>
          <w:sz w:val="22"/>
        </w:rPr>
        <w:t>as</w:t>
      </w:r>
      <w:r>
        <w:rPr>
          <w:sz w:val="22"/>
        </w:rPr>
        <w:t>. nossa proposta de preços relativa à                                        execução da obra objeto da licitação em epígrafe.</w:t>
      </w:r>
    </w:p>
    <w:p>
      <w:pPr>
        <w:jc w:val="both"/>
        <w:widowControl/>
        <w:ind w:left="45" w:right="45" w:firstLine="1695"/>
        <w:spacing w:after="45"/>
      </w:pPr>
      <w:r>
        <w:rPr>
          <w:sz w:val="22"/>
        </w:rPr>
        <w:t/>
      </w:r>
    </w:p>
    <w:p>
      <w:pPr>
        <w:jc w:val="both"/>
        <w:widowControl/>
        <w:ind w:left="45" w:right="45" w:firstLine="1695"/>
        <w:spacing w:after="45"/>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pPr>
        <w:jc w:val="both"/>
        <w:widowControl/>
        <w:ind w:left="45" w:right="45" w:firstLine="1695"/>
        <w:spacing w:after="45"/>
      </w:pPr>
      <w:r>
        <w:rPr>
          <w:sz w:val="22"/>
        </w:rPr>
        <w:t/>
      </w:r>
    </w:p>
    <w:p>
      <w:pPr>
        <w:jc w:val="both"/>
        <w:widowControl/>
        <w:ind w:left="45" w:right="45" w:firstLine="1695"/>
        <w:spacing w:after="45"/>
      </w:pPr>
      <w:r>
        <w:rPr>
          <w:sz w:val="22"/>
        </w:rPr>
        <w:t>O prazo de execução dos serviços é de _______ (________) dias a contar</w:t>
      </w:r>
      <w:r>
        <w:rPr>
          <w:b/>
          <w:sz w:val="22"/>
        </w:rPr>
        <w:t xml:space="preserve"> </w:t>
      </w:r>
      <w:r>
        <w:rPr>
          <w:sz w:val="22"/>
        </w:rPr>
        <w:t>do 11º dia da                                             assinatura do termo de contrato.</w:t>
      </w:r>
    </w:p>
    <w:p>
      <w:pPr>
        <w:jc w:val="both"/>
        <w:widowControl/>
        <w:ind w:left="45" w:right="45" w:firstLine="1695"/>
        <w:spacing w:after="45"/>
      </w:pPr>
      <w:r>
        <w:rPr>
          <w:sz w:val="22"/>
        </w:rPr>
        <w:t/>
      </w:r>
    </w:p>
    <w:p>
      <w:pPr>
        <w:jc w:val="both"/>
        <w:widowControl/>
        <w:ind w:left="45" w:right="45" w:firstLine="1695"/>
        <w:spacing w:after="45"/>
      </w:pPr>
      <w:r>
        <w:rPr>
          <w:sz w:val="22"/>
        </w:rPr>
        <w:t>O prazo de validade da proposta de preços é de _______ (______) dias a partir da data do                                         recebimento das propostas pela Equipe de Apoio.</w:t>
      </w:r>
    </w:p>
    <w:p>
      <w:pPr>
        <w:jc w:val="both"/>
        <w:widowControl/>
        <w:ind w:left="45" w:right="45" w:firstLine="1695"/>
        <w:spacing w:after="45"/>
      </w:pPr>
      <w:r>
        <w:rPr>
          <w:sz w:val="22"/>
        </w:rPr>
        <w:t/>
      </w:r>
    </w:p>
    <w:p>
      <w:pPr>
        <w:jc w:val="both"/>
        <w:widowControl/>
        <w:ind w:left="45" w:right="45" w:firstLine="1695"/>
        <w:spacing w:after="45"/>
      </w:pPr>
      <w:r>
        <w:rPr>
          <w:sz w:val="22"/>
        </w:rPr>
        <w:t>Atenciosamente,</w:t>
      </w:r>
    </w:p>
    <w:p>
      <w:pPr>
        <w:jc w:val="both"/>
        <w:widowControl/>
        <w:ind w:left="2895" w:right="4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both"/>
        <w:widowControl/>
        <w:ind w:left="2895" w:right="45" w:hanging="15"/>
        <w:spacing w:after="45"/>
      </w:pPr>
      <w:r>
        <w:rPr>
          <w:rFonts w:ascii="Times New Roman" w:hAnsi="Times New Roman" w:cs="Times New Roman" w:eastAsia="Times New Roman"/>
          <w:sz w:val="22"/>
        </w:rPr>
        <w:t/>
      </w:r>
    </w:p>
    <w:p>
      <w:pPr>
        <w:jc w:val="both"/>
        <w:widowControl/>
        <w:ind w:left="2895" w:right="45" w:hanging="15"/>
        <w:spacing w:after="45"/>
      </w:pPr>
      <w:r>
        <w:rPr>
          <w:rFonts w:ascii="Times New Roman" w:hAnsi="Times New Roman" w:cs="Times New Roman" w:eastAsia="Times New Roman"/>
          <w:sz w:val="22"/>
        </w:rPr>
        <w:t/>
      </w:r>
    </w:p>
    <w:p>
      <w:pPr>
        <w:jc w:val="center"/>
        <w:widowControl/>
        <w:ind w:left="510" w:right="150" w:hanging="15"/>
        <w:spacing w:after="45"/>
      </w:pPr>
      <w:r>
        <w:rPr>
          <w:sz w:val="22"/>
        </w:rPr>
        <w:t>____________________________________________</w:t>
      </w:r>
    </w:p>
    <w:p>
      <w:pPr>
        <w:jc w:val="center"/>
        <w:widowControl/>
        <w:ind w:left="360"/>
        <w:spacing w:after="45"/>
      </w:pPr>
      <w:r>
        <w:rPr>
          <w:sz w:val="22"/>
        </w:rPr>
        <w:t>(Nome, CPF e assinatura do responsável legal)</w:t>
      </w:r>
    </w:p>
    <w:p>
      <w:pPr>
        <w:jc w:val="center"/>
        <w:widowControl/>
        <w:ind w:left="360"/>
        <w:spacing w:after="45"/>
      </w:pPr>
      <w:r>
        <w:rPr>
          <w:sz w:val="22"/>
        </w:rPr>
        <w:t/>
      </w:r>
    </w:p>
    <w:p>
      <w:pPr>
        <w:jc w:val="both"/>
        <w:ind w:left="225" w:right="90" w:firstLine="15"/>
        <w:spacing w:before="240" w:lineRule="auto" w:line="216"/>
      </w:pPr>
      <w:r>
        <w:rPr>
          <w:sz w:val="22"/>
          <w:shd w:val="clear" w:color="auto" w:fill="FFFF00"/>
        </w:rPr>
        <w:t>OBSERVAÇÃO: A proposta de preços ajustada ao último lance ofertado deverá ser encaminhada, acompanhada das planilhas contendo os quantitativos e respectivos custos unitários, do Cronograma Físico-Financeiro e dos Critérios de Pagamento, bem como do detalhamento das Bonificações e Despesas Indiretas (BDI) e dos Encargos Sociais (ES), no que couber.</w:t>
      </w:r>
    </w:p>
    <w:p>
      <w:pPr>
        <w:jc w:val="both"/>
        <w:ind w:left="225" w:right="90" w:firstLine="15"/>
        <w:spacing w:before="240" w:lineRule="auto" w:line="216"/>
      </w:pPr>
      <w:r>
        <w:rPr>
          <w:sz w:val="22"/>
          <w:shd w:val="clear" w:color="auto" w:fill="FFFF00"/>
        </w:rPr>
        <w:t>A documentação deverá ser enviada para o e-mail: licitacao@guairaca.pr.gov.br no prazo máximo de 24 (vinte e quatro) horas, contadas do encerramento do processo licitatório na plataforma COMPRAS-BR.</w:t>
      </w:r>
    </w:p>
    <w:p>
      <w:pPr>
        <w:jc w:val="center"/>
        <w:widowControl/>
        <w:ind w:left="360"/>
        <w:spacing w:after="45"/>
      </w:pPr>
      <w:r>
        <w:rPr>
          <w:b/>
        </w:rPr>
        <w:t>Deverá ser encaminhado pelo licitante vencedor após o encerramento do processo licitatório.</w:t>
      </w:r>
    </w:p>
    <w:p>
      <w:r>
        <w:br w:type="page"/>
      </w:r>
    </w:p>
    <w:p>
      <w:pPr>
        <w:jc w:val="center"/>
        <w:widowControl/>
        <w:ind w:left="360"/>
        <w:spacing w:after="45"/>
      </w:pPr>
      <w:r>
        <w:rPr>
          <w:b/>
        </w:rPr>
        <w:t/>
      </w:r>
    </w:p>
    <w:p>
      <w:pPr>
        <w:jc w:val="center"/>
        <w:ind w:left="405" w:right="405"/>
      </w:pPr>
      <w:r>
        <w:rPr>
          <w:b/>
          <w:sz w:val="22"/>
        </w:rPr>
        <w:t>ANEXO</w:t>
      </w:r>
      <w:r>
        <w:rPr>
          <w:b/>
          <w:sz w:val="22"/>
          <w:spacing w:val="-1"/>
        </w:rPr>
        <w:t xml:space="preserve"> </w:t>
      </w:r>
      <w:r>
        <w:rPr>
          <w:b/>
          <w:sz w:val="22"/>
        </w:rPr>
        <w:t>VII</w:t>
      </w:r>
    </w:p>
    <w:p>
      <w:pPr>
        <w:spacing w:before="15"/>
      </w:pPr>
      <w:r>
        <w:rPr>
          <w:b/>
          <w:sz w:val="22"/>
        </w:rPr>
        <w:t/>
      </w:r>
    </w:p>
    <w:p>
      <w:pPr>
        <w:jc w:val="center"/>
        <w:ind w:left="405" w:right="405"/>
        <w:spacing w:lineRule="auto" w:line="456"/>
      </w:pPr>
      <w:r>
        <w:rPr>
          <w:b/>
          <w:sz w:val="22"/>
        </w:rPr>
        <w:t>MODELO</w:t>
      </w:r>
      <w:r>
        <w:rPr>
          <w:b/>
          <w:sz w:val="22"/>
          <w:spacing w:val="-1"/>
        </w:rPr>
        <w:t xml:space="preserve"> </w:t>
      </w:r>
      <w:r>
        <w:rPr>
          <w:b/>
          <w:sz w:val="22"/>
        </w:rPr>
        <w:t>DE</w:t>
      </w:r>
      <w:r>
        <w:rPr>
          <w:b/>
          <w:sz w:val="22"/>
          <w:spacing w:val="-1"/>
        </w:rPr>
        <w:t xml:space="preserve"> </w:t>
      </w:r>
      <w:r>
        <w:rPr>
          <w:b/>
          <w:sz w:val="22"/>
        </w:rPr>
        <w:t>DECLARAÇÃO</w:t>
      </w:r>
      <w:r>
        <w:rPr>
          <w:b/>
          <w:sz w:val="22"/>
          <w:spacing w:val="-1"/>
        </w:rPr>
        <w:t xml:space="preserve"> </w:t>
      </w:r>
      <w:r>
        <w:rPr>
          <w:b/>
          <w:sz w:val="22"/>
        </w:rPr>
        <w:t>DE</w:t>
      </w:r>
      <w:r>
        <w:rPr>
          <w:b/>
          <w:sz w:val="22"/>
          <w:spacing w:val="-1"/>
        </w:rPr>
        <w:t xml:space="preserve"> </w:t>
      </w:r>
      <w:r>
        <w:rPr>
          <w:b/>
          <w:sz w:val="22"/>
        </w:rPr>
        <w:t>PLENO</w:t>
      </w:r>
      <w:r>
        <w:rPr>
          <w:b/>
          <w:sz w:val="22"/>
          <w:spacing w:val="-1"/>
        </w:rPr>
        <w:t xml:space="preserve"> </w:t>
      </w:r>
      <w:r>
        <w:rPr>
          <w:b/>
          <w:sz w:val="22"/>
        </w:rPr>
        <w:t>CONHECIMENTO</w:t>
      </w:r>
      <w:r>
        <w:rPr>
          <w:b/>
          <w:sz w:val="22"/>
          <w:spacing w:val="-1"/>
        </w:rPr>
        <w:t xml:space="preserve"> </w:t>
      </w:r>
      <w:r>
        <w:rPr>
          <w:b/>
          <w:sz w:val="22"/>
        </w:rPr>
        <w:t>(NÃO</w:t>
      </w:r>
      <w:r>
        <w:rPr>
          <w:b/>
          <w:sz w:val="22"/>
          <w:spacing w:val="-1"/>
        </w:rPr>
        <w:t xml:space="preserve"> </w:t>
      </w:r>
      <w:r>
        <w:rPr>
          <w:b/>
          <w:sz w:val="22"/>
        </w:rPr>
        <w:t xml:space="preserve">VISTORIA) </w:t>
      </w:r>
    </w:p>
    <w:p>
      <w:pPr>
        <w:jc w:val="both"/>
        <w:ind w:left="405" w:right="405"/>
        <w:spacing w:lineRule="auto" w:line="456"/>
      </w:pPr>
      <w:r>
        <w:rPr>
          <w:b/>
        </w:rPr>
        <w:t xml:space="preserve">                  CONCORRÊNCIA ELETRÔNICA Nº 8/2026 - PMG</w:t>
      </w:r>
    </w:p>
    <w:p>
      <w:pPr>
        <w:jc w:val="both"/>
        <w:ind w:left="405" w:right="405"/>
        <w:spacing w:lineRule="auto" w:line="456"/>
      </w:pPr>
      <w:r>
        <w:rPr>
          <w:b/>
        </w:rPr>
        <w:t/>
      </w:r>
    </w:p>
    <w:p>
      <w:pPr>
        <w:jc w:val="both"/>
        <w:ind w:left="255"/>
        <w:spacing w:before="255"/>
        <w:tabs>
          <w:tab w:val="left" w:pos="5745"/>
        </w:tabs>
      </w:pPr>
      <w:r>
        <w:t>A</w:t>
      </w:r>
      <w:r>
        <w:rPr>
          <w:spacing w:val="3"/>
        </w:rPr>
        <w:t xml:space="preserve"> </w:t>
      </w:r>
      <w:r>
        <w:t>empresa</w:t>
      </w:r>
      <w:r>
        <w:rPr>
          <w:u w:val="single"/>
        </w:rPr>
        <w:tab/>
      </w:r>
      <w:r>
        <w:t xml:space="preserve"> (razão</w:t>
      </w:r>
      <w:r>
        <w:rPr>
          <w:spacing w:val="3"/>
        </w:rPr>
        <w:t xml:space="preserve"> </w:t>
      </w:r>
      <w:r>
        <w:t>social),</w:t>
      </w:r>
      <w:r>
        <w:rPr>
          <w:spacing w:val="3"/>
        </w:rPr>
        <w:t xml:space="preserve"> </w:t>
      </w:r>
      <w:r>
        <w:t>inscrita</w:t>
      </w:r>
      <w:r>
        <w:rPr>
          <w:spacing w:val="3"/>
        </w:rPr>
        <w:t xml:space="preserve"> </w:t>
      </w:r>
      <w:r>
        <w:t>no</w:t>
      </w:r>
      <w:r>
        <w:rPr>
          <w:spacing w:val="3"/>
        </w:rPr>
        <w:t xml:space="preserve"> </w:t>
      </w:r>
      <w:r>
        <w:t>CNPJ</w:t>
      </w:r>
      <w:r>
        <w:rPr>
          <w:spacing w:val="3"/>
        </w:rPr>
        <w:t xml:space="preserve"> </w:t>
      </w:r>
      <w:r>
        <w:t>nº</w:t>
      </w:r>
    </w:p>
    <w:p>
      <w:pPr>
        <w:jc w:val="both"/>
        <w:ind w:left="255" w:right="210"/>
        <w:tabs>
          <w:tab w:val="left" w:pos="1455"/>
          <w:tab w:val="left" w:pos="7935"/>
          <w:tab w:val="left" w:pos="9150"/>
        </w:tabs>
      </w:pPr>
      <w:r>
        <w:rPr>
          <w:u w:val="single"/>
        </w:rPr>
        <w:tab/>
      </w:r>
      <w:r>
        <w:t xml:space="preserve">, por intermédio de seu representante legal, o Sr. </w:t>
      </w:r>
      <w:r>
        <w:rPr>
          <w:u w:val="single"/>
        </w:rPr>
        <w:tab/>
      </w:r>
      <w:r>
        <w:rPr>
          <w:u w:val="single"/>
        </w:rPr>
        <w:tab/>
      </w:r>
      <w:r>
        <w:t xml:space="preserve"> (nome do representante), portador da Cédula de Identidade RG nº </w:t>
      </w:r>
      <w:r>
        <w:rPr>
          <w:u w:val="single"/>
        </w:rPr>
        <w:tab/>
      </w:r>
      <w:r>
        <w:rPr>
          <w:spacing w:val="-2"/>
        </w:rPr>
        <w:t xml:space="preserve"> </w:t>
      </w:r>
      <w:r>
        <w:t>e do CPF nº</w:t>
      </w:r>
    </w:p>
    <w:p>
      <w:pPr>
        <w:jc w:val="both"/>
        <w:ind w:left="255" w:right="255"/>
        <w:spacing w:before="15"/>
        <w:tabs>
          <w:tab w:val="left" w:pos="2310"/>
        </w:tabs>
      </w:pPr>
      <w:r>
        <w:rPr>
          <w:u w:val="single"/>
        </w:rPr>
        <w:tab/>
      </w:r>
      <w:r>
        <w:t xml:space="preserve">, para fins do disposto no </w:t>
      </w:r>
      <w:r>
        <w:rPr>
          <w:b/>
        </w:rPr>
        <w:t xml:space="preserve">item 9.4 </w:t>
      </w:r>
      <w:r>
        <w:t>do Termo de Referência da Concorrência Eletrônica</w:t>
      </w:r>
      <w:r>
        <w:rPr>
          <w:spacing w:val="-1"/>
        </w:rPr>
        <w:t xml:space="preserve"> nº </w:t>
      </w:r>
      <w:r>
        <w:t>8/2026</w:t>
      </w:r>
      <w:r>
        <w:rPr>
          <w:spacing w:val="-1"/>
        </w:rPr>
        <w:t xml:space="preserve"> </w:t>
      </w:r>
      <w:r>
        <w:t>e</w:t>
      </w:r>
      <w:r>
        <w:rPr>
          <w:spacing w:val="-1"/>
        </w:rPr>
        <w:t xml:space="preserve"> </w:t>
      </w:r>
      <w:r>
        <w:t>em</w:t>
      </w:r>
      <w:r>
        <w:rPr>
          <w:spacing w:val="-1"/>
        </w:rPr>
        <w:t xml:space="preserve"> </w:t>
      </w:r>
      <w:r>
        <w:t>substituição</w:t>
      </w:r>
      <w:r>
        <w:rPr>
          <w:spacing w:val="-1"/>
        </w:rPr>
        <w:t xml:space="preserve"> </w:t>
      </w:r>
      <w:r>
        <w:t>ao</w:t>
      </w:r>
      <w:r>
        <w:rPr>
          <w:spacing w:val="-1"/>
        </w:rPr>
        <w:t xml:space="preserve"> </w:t>
      </w:r>
      <w:r>
        <w:t>Atestado</w:t>
      </w:r>
      <w:r>
        <w:rPr>
          <w:spacing w:val="-1"/>
        </w:rPr>
        <w:t xml:space="preserve"> </w:t>
      </w:r>
      <w:r>
        <w:t>de</w:t>
      </w:r>
      <w:r>
        <w:rPr>
          <w:spacing w:val="-1"/>
        </w:rPr>
        <w:t xml:space="preserve"> </w:t>
      </w:r>
      <w:r>
        <w:t>Vistoria,</w:t>
      </w:r>
      <w:r>
        <w:rPr>
          <w:spacing w:val="-1"/>
        </w:rPr>
        <w:t xml:space="preserve"> </w:t>
      </w:r>
      <w:r>
        <w:rPr>
          <w:b/>
        </w:rPr>
        <w:t>DECLARA</w:t>
      </w:r>
      <w:r>
        <w:t>,</w:t>
      </w:r>
      <w:r>
        <w:rPr>
          <w:spacing w:val="-1"/>
        </w:rPr>
        <w:t xml:space="preserve"> </w:t>
      </w:r>
      <w:r>
        <w:t>que</w:t>
      </w:r>
      <w:r>
        <w:rPr>
          <w:spacing w:val="-1"/>
        </w:rPr>
        <w:t xml:space="preserve"> </w:t>
      </w:r>
      <w:r>
        <w:t>conhece</w:t>
      </w:r>
      <w:r>
        <w:rPr>
          <w:spacing w:val="-1"/>
        </w:rPr>
        <w:t xml:space="preserve"> </w:t>
      </w:r>
      <w:r>
        <w:t>as</w:t>
      </w:r>
      <w:r>
        <w:rPr>
          <w:spacing w:val="-1"/>
        </w:rPr>
        <w:t xml:space="preserve"> </w:t>
      </w:r>
      <w:r>
        <w:t>condições locais</w:t>
      </w:r>
      <w:r>
        <w:rPr>
          <w:spacing w:val="-1"/>
        </w:rPr>
        <w:t xml:space="preserve"> </w:t>
      </w:r>
      <w:r>
        <w:t>para</w:t>
      </w:r>
      <w:r>
        <w:rPr>
          <w:spacing w:val="-1"/>
        </w:rPr>
        <w:t xml:space="preserve"> </w:t>
      </w:r>
      <w:r>
        <w:t>execução</w:t>
      </w:r>
      <w:r>
        <w:rPr>
          <w:spacing w:val="-1"/>
        </w:rPr>
        <w:t xml:space="preserve"> </w:t>
      </w:r>
      <w:r>
        <w:t>do</w:t>
      </w:r>
      <w:r>
        <w:rPr>
          <w:spacing w:val="-1"/>
        </w:rPr>
        <w:t xml:space="preserve"> </w:t>
      </w:r>
      <w:r>
        <w:t>objeto</w:t>
      </w:r>
      <w:r>
        <w:rPr>
          <w:spacing w:val="-1"/>
        </w:rPr>
        <w:t xml:space="preserve"> </w:t>
      </w:r>
      <w:r>
        <w:t>OU</w:t>
      </w:r>
      <w:r>
        <w:rPr>
          <w:spacing w:val="-1"/>
        </w:rPr>
        <w:t xml:space="preserve"> </w:t>
      </w:r>
      <w:r>
        <w:t>tem</w:t>
      </w:r>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 à</w:t>
      </w:r>
      <w:r>
        <w:rPr>
          <w:spacing w:val="-1"/>
        </w:rPr>
        <w:t xml:space="preserve"> </w:t>
      </w:r>
      <w:r>
        <w:t>natureza</w:t>
      </w:r>
      <w:r>
        <w:rPr>
          <w:spacing w:val="-1"/>
        </w:rPr>
        <w:t xml:space="preserve"> </w:t>
      </w:r>
      <w:r>
        <w:t>do</w:t>
      </w:r>
      <w:r>
        <w:rPr>
          <w:spacing w:val="-1"/>
        </w:rPr>
        <w:t xml:space="preserve"> </w:t>
      </w:r>
      <w:r>
        <w:t>trabalho,</w:t>
      </w:r>
      <w:r>
        <w:rPr>
          <w:spacing w:val="-1"/>
        </w:rPr>
        <w:t xml:space="preserve"> </w:t>
      </w:r>
      <w:r>
        <w:t>assumindo</w:t>
      </w:r>
      <w:r>
        <w:rPr>
          <w:spacing w:val="-1"/>
        </w:rPr>
        <w:t xml:space="preserve"> </w:t>
      </w:r>
      <w:r>
        <w:t>total</w:t>
      </w:r>
      <w:r>
        <w:rPr>
          <w:spacing w:val="-1"/>
        </w:rPr>
        <w:t xml:space="preserve"> </w:t>
      </w:r>
      <w:r>
        <w:t>responsabilidade</w:t>
      </w:r>
      <w:r>
        <w:rPr>
          <w:spacing w:val="-1"/>
        </w:rPr>
        <w:t xml:space="preserve"> </w:t>
      </w:r>
      <w:r>
        <w:t>por</w:t>
      </w:r>
      <w:r>
        <w:rPr>
          <w:spacing w:val="-1"/>
        </w:rPr>
        <w:t xml:space="preserve"> </w:t>
      </w:r>
      <w:r>
        <w:t>este</w:t>
      </w:r>
      <w:r>
        <w:rPr>
          <w:spacing w:val="-1"/>
        </w:rPr>
        <w:t xml:space="preserve"> </w:t>
      </w:r>
      <w:r>
        <w:t>fato</w:t>
      </w:r>
      <w:r>
        <w:rPr>
          <w:spacing w:val="-1"/>
        </w:rPr>
        <w:t xml:space="preserve"> </w:t>
      </w:r>
      <w:r>
        <w:t>e que</w:t>
      </w:r>
      <w:r>
        <w:rPr>
          <w:spacing w:val="-1"/>
        </w:rPr>
        <w:t xml:space="preserve"> </w:t>
      </w:r>
      <w:r>
        <w:t>não</w:t>
      </w:r>
      <w:r>
        <w:rPr>
          <w:spacing w:val="-1"/>
        </w:rPr>
        <w:t xml:space="preserve"> </w:t>
      </w:r>
      <w:r>
        <w:t>utilizará</w:t>
      </w:r>
      <w:r>
        <w:rPr>
          <w:spacing w:val="-1"/>
        </w:rPr>
        <w:t xml:space="preserve"> </w:t>
      </w:r>
      <w:r>
        <w:t>deste</w:t>
      </w:r>
      <w:r>
        <w:rPr>
          <w:spacing w:val="-1"/>
        </w:rPr>
        <w:t xml:space="preserve"> </w:t>
      </w:r>
      <w:r>
        <w:t>para quaisquer</w:t>
      </w:r>
      <w:r>
        <w:rPr>
          <w:spacing w:val="-1"/>
        </w:rPr>
        <w:t xml:space="preserve"> </w:t>
      </w:r>
      <w:r>
        <w:t>questionamentos</w:t>
      </w:r>
      <w:r>
        <w:rPr>
          <w:spacing w:val="-1"/>
        </w:rPr>
        <w:t xml:space="preserve"> </w:t>
      </w:r>
      <w:r>
        <w:t>futuros</w:t>
      </w:r>
      <w:r>
        <w:rPr>
          <w:spacing w:val="-1"/>
        </w:rPr>
        <w:t xml:space="preserve"> </w:t>
      </w:r>
      <w:r>
        <w:t>que</w:t>
      </w:r>
      <w:r>
        <w:rPr>
          <w:spacing w:val="-1"/>
        </w:rPr>
        <w:t xml:space="preserve"> </w:t>
      </w:r>
      <w:r>
        <w:t>ensejem</w:t>
      </w:r>
      <w:r>
        <w:rPr>
          <w:spacing w:val="-1"/>
        </w:rPr>
        <w:t xml:space="preserve"> </w:t>
      </w:r>
      <w:r>
        <w:t>desavenças</w:t>
      </w:r>
      <w:r>
        <w:rPr>
          <w:spacing w:val="-1"/>
        </w:rPr>
        <w:t xml:space="preserve"> </w:t>
      </w:r>
      <w:r>
        <w:t>técnicas</w:t>
      </w:r>
      <w:r>
        <w:rPr>
          <w:spacing w:val="-1"/>
        </w:rPr>
        <w:t xml:space="preserve"> </w:t>
      </w:r>
      <w:r>
        <w:t>ou</w:t>
      </w:r>
      <w:r>
        <w:rPr>
          <w:spacing w:val="-1"/>
        </w:rPr>
        <w:t xml:space="preserve"> </w:t>
      </w:r>
      <w:r>
        <w:t>financeiras</w:t>
      </w:r>
      <w:r>
        <w:rPr>
          <w:spacing w:val="-1"/>
        </w:rPr>
        <w:t xml:space="preserve"> </w:t>
      </w:r>
      <w:r>
        <w:t>com</w:t>
      </w:r>
      <w:r>
        <w:rPr>
          <w:spacing w:val="-1"/>
        </w:rPr>
        <w:t xml:space="preserve"> </w:t>
      </w:r>
      <w:r>
        <w:t>a</w:t>
      </w:r>
      <w:r>
        <w:rPr>
          <w:spacing w:val="-1"/>
        </w:rPr>
        <w:t xml:space="preserve"> </w:t>
      </w:r>
      <w:r>
        <w:t>contratante.</w:t>
      </w:r>
    </w:p>
    <w:p>
      <w:r>
        <w:t/>
      </w:r>
    </w:p>
    <w:p>
      <w:pPr>
        <w:jc w:val="right"/>
        <w:widowControl/>
        <w:ind w:right="60"/>
        <w:spacing w:after="45"/>
      </w:pPr>
      <w:r>
        <w:rPr>
          <w:sz w:val="22"/>
        </w:rPr>
        <w:t>Local e data.</w:t>
      </w:r>
    </w:p>
    <w:p>
      <w:r>
        <w:t/>
      </w:r>
    </w:p>
    <w:p>
      <w:r>
        <w:t/>
      </w:r>
    </w:p>
    <w:p>
      <w:pPr>
        <w:jc w:val="center"/>
        <w:spacing w:before="90"/>
      </w:pPr>
      <w:r>
        <w:t>__________________________________________</w:t>
      </w:r>
    </w:p>
    <w:p>
      <w:pPr>
        <w:jc w:val="center"/>
        <w:ind w:left="405" w:right="405"/>
        <w:spacing w:before="15"/>
      </w:pPr>
      <w:r>
        <w:rPr>
          <w:sz w:val="22"/>
        </w:rPr>
        <w:t>(Nome e assinatura do responsável legal)</w:t>
      </w:r>
    </w:p>
    <w:p>
      <w:pPr>
        <w:jc w:val="center"/>
        <w:widowControl/>
        <w:ind w:left="360"/>
        <w:spacing w:after="45"/>
      </w:pPr>
      <w:r>
        <w:rPr>
          <w:sz w:val="22"/>
        </w:rPr>
        <w:t/>
      </w:r>
    </w:p>
    <w:p>
      <w:pPr>
        <w:jc w:val="center"/>
        <w:widowControl/>
        <w:ind w:left="360"/>
        <w:spacing w:after="45"/>
      </w:pPr>
      <w:r>
        <w:rPr>
          <w:sz w:val="22"/>
        </w:rPr>
        <w:t/>
      </w:r>
    </w:p>
    <w:p>
      <w:r>
        <w:br w:type="page"/>
      </w:r>
    </w:p>
    <w:p>
      <w:pPr>
        <w:jc w:val="center"/>
        <w:widowControl/>
        <w:spacing w:after="45"/>
      </w:pPr>
      <w:r>
        <w:rPr>
          <w:b/>
          <w:sz w:val="22"/>
        </w:rPr>
        <w:t>ANEXO VIII</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MINUTA DE CONTRATO DE EMPREITADA GLOBAL Nº ________/___________</w:t>
      </w:r>
    </w:p>
    <w:p>
      <w:pPr>
        <w:jc w:val="center"/>
        <w:widowControl/>
        <w:ind w:left="15" w:right="15" w:hanging="15"/>
        <w:spacing w:after="45"/>
      </w:pPr>
      <w:r>
        <w:rPr>
          <w:rFonts w:ascii="Times New Roman" w:hAnsi="Times New Roman" w:cs="Times New Roman" w:eastAsia="Times New Roman"/>
          <w:sz w:val="22"/>
        </w:rPr>
        <w:t/>
      </w:r>
    </w:p>
    <w:p>
      <w:pPr>
        <w:jc w:val="both"/>
        <w:widowControl/>
        <w:ind w:left="45" w:right="45" w:firstLine="705"/>
        <w:spacing w:after="45"/>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pPr>
        <w:jc w:val="both"/>
        <w:widowControl/>
        <w:ind w:left="45" w:right="45" w:firstLine="705"/>
        <w:spacing w:after="45"/>
      </w:pPr>
      <w:r>
        <w:rPr>
          <w:sz w:val="22"/>
        </w:rPr>
        <w:t/>
      </w:r>
    </w:p>
    <w:p>
      <w:pPr>
        <w:jc w:val="both"/>
        <w:widowControl/>
        <w:ind w:left="60" w:right="45" w:hanging="15"/>
        <w:spacing w:after="45"/>
        <w:shd w:val="clear" w:color="auto" w:fill="0D0D0D"/>
      </w:pPr>
      <w:r>
        <w:rPr>
          <w:b/>
          <w:sz w:val="22"/>
          <w:color w:val="FFFFFF"/>
        </w:rPr>
        <w:t>CLÁUSULA PRIMEIRA – FUNDAMENTAÇÃO:</w:t>
      </w:r>
      <w:r>
        <w:rPr>
          <w:sz w:val="22"/>
          <w:color w:val="FFFFFF"/>
        </w:rPr>
        <w:t xml:space="preserve"> </w:t>
      </w:r>
    </w:p>
    <w:p>
      <w:pPr>
        <w:jc w:val="both"/>
        <w:widowControl/>
        <w:ind w:left="60" w:right="45" w:hanging="15"/>
        <w:spacing w:after="45"/>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u w:val="single" w:color="000000"/>
          <w:sz w:val="22"/>
        </w:rPr>
        <w:t xml:space="preserve">Lei Federal nº 14.133, de 1º de abril de 2021, em especial </w:t>
      </w:r>
      <w:r>
        <w:rPr>
          <w:sz w:val="22"/>
        </w:rPr>
        <w:t>no art. 28, inciso II, da Instrução Normativa SEGES/ME nº 67/2021, das Leis Complementares nº 123/06, 147/2014 e 155/2016, e demais legislações aplicáveis.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SEGUNDA – DO OBJETO:</w:t>
      </w:r>
      <w:r>
        <w:rPr>
          <w:sz w:val="22"/>
          <w:color w:val="FFFFFF"/>
        </w:rPr>
        <w:t xml:space="preserve"> </w:t>
      </w:r>
    </w:p>
    <w:p>
      <w:pPr>
        <w:jc w:val="both"/>
        <w:widowControl/>
        <w:ind w:left="60" w:right="45" w:hanging="15"/>
        <w:spacing w:after="45"/>
      </w:pPr>
      <w:r>
        <w:rPr>
          <w:b/>
          <w:sz w:val="22"/>
        </w:rPr>
        <w:t xml:space="preserve">I - </w:t>
      </w:r>
      <w:r>
        <w:rPr>
          <w:rFonts w:ascii="Calibri" w:hAnsi="Calibri" w:cs="Calibri" w:eastAsia="Calibri"/>
          <w:b/>
          <w:sz w:val="22"/>
        </w:rPr>
        <w:t>DO OBJETO</w:t>
      </w:r>
      <w:r>
        <w:rPr>
          <w:rFonts w:ascii="Arial MT" w:hAnsi="Arial MT" w:cs="Arial MT" w:eastAsia="Arial MT"/>
          <w:sz w:val="22"/>
        </w:rPr>
        <w:t xml:space="preserve">: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p>
    <w:p>
      <w:pPr>
        <w:jc w:val="both"/>
        <w:widowControl/>
        <w:ind w:left="60" w:right="45" w:hanging="15"/>
        <w:spacing w:after="45"/>
      </w:pPr>
      <w:r>
        <w:rPr>
          <w:b/>
          <w:sz w:val="22"/>
        </w:rPr>
        <w:t>Parágrafo Primeiro:</w:t>
      </w:r>
      <w:r>
        <w:rPr>
          <w:sz w:val="22"/>
        </w:rPr>
        <w:t xml:space="preserve"> Vinculam esta contratação, independente de transcrição:</w:t>
      </w:r>
    </w:p>
    <w:p>
      <w:pPr>
        <w:jc w:val="both"/>
        <w:widowControl/>
        <w:ind w:right="45"/>
        <w:spacing w:after="45"/>
        <w:numPr>
          <w:ilvl w:val="0"/>
          <w:numId w:val="80"/>
        </w:numPr>
      </w:pPr>
      <w:r/>
      <w:r>
        <w:rPr>
          <w:b/>
          <w:sz w:val="22"/>
        </w:rPr>
        <w:t xml:space="preserve">– </w:t>
      </w:r>
      <w:r>
        <w:rPr>
          <w:sz w:val="22"/>
        </w:rPr>
        <w:t>O Termo de Referência;</w:t>
      </w:r>
    </w:p>
    <w:p>
      <w:pPr>
        <w:jc w:val="both"/>
        <w:widowControl/>
        <w:ind w:right="45"/>
        <w:spacing w:after="45"/>
        <w:numPr>
          <w:ilvl w:val="0"/>
          <w:numId w:val="80"/>
        </w:numPr>
      </w:pPr>
      <w:r/>
      <w:r>
        <w:rPr>
          <w:b/>
          <w:sz w:val="22"/>
        </w:rPr>
        <w:t xml:space="preserve">– </w:t>
      </w:r>
      <w:r>
        <w:rPr>
          <w:sz w:val="22"/>
        </w:rPr>
        <w:t>O Edital de Licitação;</w:t>
      </w:r>
    </w:p>
    <w:p>
      <w:pPr>
        <w:jc w:val="both"/>
        <w:widowControl/>
        <w:ind w:right="45"/>
        <w:spacing w:after="45"/>
        <w:numPr>
          <w:ilvl w:val="0"/>
          <w:numId w:val="80"/>
        </w:numPr>
      </w:pPr>
      <w:r/>
      <w:r>
        <w:rPr>
          <w:b/>
          <w:sz w:val="22"/>
        </w:rPr>
        <w:t xml:space="preserve">– </w:t>
      </w:r>
      <w:r>
        <w:rPr>
          <w:sz w:val="22"/>
        </w:rPr>
        <w:t>A Proposta da Contratada;</w:t>
      </w:r>
    </w:p>
    <w:p>
      <w:pPr>
        <w:jc w:val="both"/>
        <w:widowControl/>
        <w:ind w:right="45"/>
        <w:spacing w:after="45"/>
        <w:numPr>
          <w:ilvl w:val="0"/>
          <w:numId w:val="80"/>
        </w:numPr>
      </w:pPr>
      <w:r/>
      <w:r>
        <w:rPr>
          <w:sz w:val="22"/>
        </w:rPr>
        <w:t>– Eventuais anexos e documentos presentes no Processo de Concorrência nº X/202X – PMG.</w:t>
      </w:r>
    </w:p>
    <w:p>
      <w:pPr>
        <w:jc w:val="both"/>
        <w:widowControl/>
        <w:ind w:left="45" w:right="45" w:firstLine="30"/>
        <w:spacing w:after="45"/>
      </w:pPr>
      <w:r>
        <w:rPr>
          <w:b/>
          <w:sz w:val="22"/>
        </w:rPr>
        <w:t>Parágrafo Segundo:</w:t>
      </w:r>
      <w:r>
        <w:rPr>
          <w:sz w:val="22"/>
        </w:rPr>
        <w:t xml:space="preserve"> A CONTRATADA deverá emitir ART dos serviços executados.</w:t>
      </w:r>
    </w:p>
    <w:p>
      <w:pPr>
        <w:jc w:val="both"/>
        <w:widowControl/>
        <w:ind w:left="45" w:right="45"/>
        <w:spacing w:after="45"/>
      </w:pPr>
      <w:r>
        <w:rPr>
          <w:rFonts w:ascii="Times New Roman" w:hAnsi="Times New Roman" w:cs="Times New Roman" w:eastAsia="Times New Roman"/>
          <w:sz w:val="22"/>
          <w:color w:val="FFFFFF"/>
        </w:rPr>
        <w:t/>
      </w:r>
    </w:p>
    <w:p>
      <w:pPr>
        <w:jc w:val="both"/>
        <w:widowControl/>
        <w:ind w:left="60" w:right="45" w:hanging="15"/>
        <w:spacing w:after="45"/>
        <w:shd w:val="clear" w:color="auto" w:fill="0D0D0D"/>
      </w:pPr>
      <w:r>
        <w:rPr>
          <w:b/>
          <w:sz w:val="22"/>
          <w:color w:val="FFFFFF"/>
        </w:rPr>
        <w:t>CLÁUSULA TERCEIRA – DA INDICAÇÃO DE GESTOR (ES)</w:t>
      </w:r>
    </w:p>
    <w:p>
      <w:pPr>
        <w:jc w:val="both"/>
        <w:widowControl/>
        <w:ind w:left="60" w:right="45" w:hanging="15"/>
        <w:spacing w:after="45"/>
      </w:pPr>
      <w:r>
        <w:rPr>
          <w:b/>
          <w:sz w:val="22"/>
        </w:rPr>
        <w:t>I –</w:t>
      </w:r>
      <w:r>
        <w:rPr>
          <w:sz w:val="22"/>
        </w:rPr>
        <w:t xml:space="preserve">Indica-se como GESTOR (A) DE CONTRATO: o (a) Sr (a). XXXXXXXXXXXXXXXXXX; e como </w:t>
      </w:r>
      <w:r>
        <w:rPr>
          <w:b/>
          <w:sz w:val="22"/>
        </w:rPr>
        <w:t xml:space="preserve">FISCAL DE CONTRATO: o(a) Sr(a). </w:t>
      </w:r>
      <w:r>
        <w:rPr>
          <w:sz w:val="22"/>
        </w:rPr>
        <w:t>XXXXXXXXXXXXXXXXXX</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QUARTA – DA DOCUMENTAÇÃO CONTRATUAL</w:t>
      </w:r>
    </w:p>
    <w:p>
      <w:pPr>
        <w:jc w:val="both"/>
        <w:widowControl/>
        <w:ind w:left="60" w:right="45" w:hanging="15"/>
        <w:spacing w:after="45"/>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QUINTA – DO VALOR</w:t>
      </w:r>
    </w:p>
    <w:p>
      <w:pPr>
        <w:jc w:val="both"/>
        <w:widowControl/>
        <w:ind w:right="45"/>
        <w:spacing w:after="45"/>
        <w:numPr>
          <w:ilvl w:val="0"/>
          <w:numId w:val="40"/>
        </w:numPr>
      </w:pPr>
      <w:r/>
      <w:r>
        <w:rPr>
          <w:sz w:val="22"/>
        </w:rPr>
        <w:t>–</w:t>
      </w:r>
      <w:r>
        <w:rPr>
          <w:b/>
          <w:sz w:val="22"/>
        </w:rPr>
        <w:t xml:space="preserve"> </w:t>
      </w:r>
      <w:r>
        <w:rPr>
          <w:sz w:val="22"/>
        </w:rPr>
        <w:t>O preço global para a execução do objeto deste contrato é de R$ ___________________ (valor por escrito), daqui por diante denominado “VALOR CONTRATUAL”;</w:t>
      </w:r>
    </w:p>
    <w:p>
      <w:pPr>
        <w:jc w:val="both"/>
        <w:widowControl/>
        <w:ind w:right="45"/>
        <w:spacing w:after="45"/>
        <w:numPr>
          <w:ilvl w:val="0"/>
          <w:numId w:val="40"/>
        </w:numPr>
      </w:pPr>
      <w: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pPr>
        <w:jc w:val="both"/>
        <w:widowControl/>
        <w:ind w:left="60" w:right="45"/>
        <w:spacing w:after="45"/>
      </w:pPr>
      <w:r>
        <w:rPr>
          <w:rFonts w:ascii="Times New Roman" w:hAnsi="Times New Roman" w:cs="Times New Roman" w:eastAsia="Times New Roman"/>
          <w:sz w:val="22"/>
          <w:color w:val="FFFFFF"/>
        </w:rPr>
        <w:t/>
      </w:r>
    </w:p>
    <w:p>
      <w:pPr>
        <w:jc w:val="both"/>
        <w:widowControl/>
        <w:spacing w:after="45"/>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pPr>
      <w:r>
        <w:rPr>
          <w:b/>
          <w:sz w:val="22"/>
          <w:color w:val="FFFFFF"/>
        </w:rPr>
        <w:t>CLÁUSULA SEXTA – DO PRAZO DE EXECUÇÃO DOS SERVIÇOS E DA RESPONSABILIDADE DA FISCALIZAÇÃO</w:t>
      </w:r>
    </w:p>
    <w:p>
      <w:pPr>
        <w:jc w:val="both"/>
        <w:widowControl/>
        <w:ind w:left="60" w:right="45" w:hanging="15"/>
        <w:spacing w:after="45"/>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assinatura do contrato, observado o disposto na cláusula décima sétima, parágrafo terceiro do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SÉTIMA – DA VIGÊNCIA E DA PRORROGAÇÃO</w:t>
      </w:r>
    </w:p>
    <w:p>
      <w:pPr>
        <w:jc w:val="both"/>
        <w:widowControl/>
        <w:ind w:left="60" w:right="45" w:hanging="15"/>
        <w:spacing w:after="45"/>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pPr>
        <w:jc w:val="both"/>
        <w:widowControl/>
        <w:ind w:left="60" w:right="45" w:hanging="15"/>
        <w:spacing w:after="45"/>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pPr>
        <w:jc w:val="both"/>
        <w:widowControl/>
        <w:ind w:right="45"/>
        <w:spacing w:after="45"/>
        <w:numPr>
          <w:ilvl w:val="0"/>
          <w:numId w:val="75"/>
        </w:numPr>
      </w:pPr>
      <w:r/>
      <w:r>
        <w:rPr>
          <w:sz w:val="22"/>
        </w:rPr>
        <w:t xml:space="preserve"> Em caso de prorrogação, deverá ser analisado se a Contratada mantém todas as condições de habilitação e qualificação exigidas na contratação, de acordo com o Artigo 92, inciso XVI, da Lei Federal nº 14.133/2021.</w:t>
      </w:r>
    </w:p>
    <w:p>
      <w:pPr>
        <w:jc w:val="both"/>
        <w:widowControl/>
        <w:ind w:right="45"/>
        <w:spacing w:after="45"/>
        <w:numPr>
          <w:ilvl w:val="0"/>
          <w:numId w:val="75"/>
        </w:numPr>
      </w:pPr>
      <w:r/>
      <w:r>
        <w:rPr>
          <w:sz w:val="22"/>
        </w:rPr>
        <w:t xml:space="preserve"> Deverá ser juntado relatório por parte do Contratante que discorra sobre a execução do contrato, com informações deque os serviços tenham sido prestados regularmente.</w:t>
      </w:r>
    </w:p>
    <w:p>
      <w:pPr>
        <w:jc w:val="both"/>
        <w:widowControl/>
        <w:ind w:right="45"/>
        <w:spacing w:after="45"/>
        <w:numPr>
          <w:ilvl w:val="0"/>
          <w:numId w:val="75"/>
        </w:numPr>
      </w:pPr>
      <w:r/>
      <w:r>
        <w:rPr>
          <w:sz w:val="22"/>
        </w:rPr>
        <w:t xml:space="preserve"> A Administração também juntará justificativa e motivo por escrito, de que a mesma mantém interesse na realização do serviço.</w:t>
      </w:r>
    </w:p>
    <w:p>
      <w:pPr>
        <w:jc w:val="both"/>
        <w:widowControl/>
        <w:ind w:right="45"/>
        <w:spacing w:after="45"/>
        <w:numPr>
          <w:ilvl w:val="0"/>
          <w:numId w:val="75"/>
        </w:numPr>
      </w:pPr>
      <w:r/>
      <w:r>
        <w:rPr>
          <w:sz w:val="22"/>
        </w:rPr>
        <w:t xml:space="preserve"> Deverá haver manifestação expressa da Contratada informando o interesse na prorrogação.</w:t>
      </w:r>
    </w:p>
    <w:p>
      <w:pPr>
        <w:jc w:val="both"/>
        <w:widowControl/>
        <w:ind w:right="45"/>
        <w:spacing w:after="45"/>
        <w:numPr>
          <w:ilvl w:val="0"/>
          <w:numId w:val="75"/>
        </w:numPr>
      </w:pPr>
      <w:r/>
      <w:r>
        <w:rPr>
          <w:sz w:val="22"/>
        </w:rPr>
        <w:t xml:space="preserve"> A Contratada não tem direito subjetivo à prorrogação contratual.</w:t>
      </w:r>
    </w:p>
    <w:p>
      <w:pPr>
        <w:jc w:val="both"/>
        <w:widowControl/>
        <w:ind w:right="45"/>
        <w:spacing w:after="45"/>
        <w:numPr>
          <w:ilvl w:val="0"/>
          <w:numId w:val="75"/>
        </w:numPr>
      </w:pPr>
      <w:r/>
      <w:r>
        <w:rPr>
          <w:sz w:val="22"/>
        </w:rPr>
        <w:t xml:space="preserve"> A prorrogação do presente contrato deverá ser promovida mediante celebração de termo aditivo.</w:t>
      </w:r>
    </w:p>
    <w:p>
      <w:pPr>
        <w:jc w:val="both"/>
        <w:widowControl/>
        <w:ind w:right="45"/>
        <w:spacing w:after="45"/>
        <w:numPr>
          <w:ilvl w:val="0"/>
          <w:numId w:val="75"/>
        </w:numPr>
      </w:pPr>
      <w:r/>
      <w:r>
        <w:rPr>
          <w:sz w:val="22"/>
        </w:rPr>
        <w:t xml:space="preserve"> Nas prorrogações contratuais, os custos não renováveis já pagos ou amortizados ao longo do primeiro período de vigência da contratação deverão ser reduzidos ou eliminados como condição para a renovação.</w:t>
      </w:r>
    </w:p>
    <w:p>
      <w:pPr>
        <w:jc w:val="both"/>
        <w:widowControl/>
        <w:ind w:right="45"/>
        <w:spacing w:after="45"/>
        <w:numPr>
          <w:ilvl w:val="0"/>
          <w:numId w:val="75"/>
        </w:numPr>
      </w:pPr>
      <w: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pPr>
        <w:jc w:val="both"/>
        <w:widowControl/>
        <w:ind w:left="60" w:right="45" w:hanging="15"/>
        <w:spacing w:after="45"/>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pPr>
        <w:jc w:val="both"/>
        <w:widowControl/>
        <w:ind w:left="60" w:right="45" w:hanging="15"/>
        <w:spacing w:after="45"/>
      </w:pPr>
      <w:r>
        <w:rPr>
          <w:b/>
          <w:sz w:val="22"/>
        </w:rPr>
        <w:t>Parágrafo Terceiro:</w:t>
      </w:r>
      <w:r>
        <w:rPr>
          <w:sz w:val="22"/>
        </w:rPr>
        <w:t xml:space="preserve"> A critério da Administração, o objeto da presente licitação poderá sofrer acréscimos ou supressões, de acordo com o art. 125 da Lei Federal nº 14.133/21.</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OITAVA – DO INÍCIO DOS SERVIÇOS</w:t>
      </w:r>
    </w:p>
    <w:p>
      <w:pPr>
        <w:jc w:val="both"/>
        <w:widowControl/>
        <w:ind w:left="60" w:right="45" w:hanging="15"/>
        <w:spacing w:after="45"/>
      </w:pPr>
      <w:r>
        <w:rPr>
          <w:b/>
          <w:sz w:val="22"/>
        </w:rPr>
        <w:t/>
      </w:r>
    </w:p>
    <w:p>
      <w:pPr>
        <w:jc w:val="both"/>
        <w:widowControl/>
        <w:ind w:left="60" w:right="45" w:hanging="15"/>
        <w:spacing w:after="45"/>
      </w:pPr>
      <w:r>
        <w:rPr>
          <w:b/>
          <w:sz w:val="22"/>
        </w:rPr>
        <w:t>I –</w:t>
      </w:r>
      <w:r>
        <w:rPr>
          <w:sz w:val="22"/>
        </w:rPr>
        <w:t xml:space="preserve"> </w:t>
      </w:r>
      <w:r>
        <w:rPr>
          <w:b/>
        </w:rPr>
        <w:t>O PRAZO PARA INÍCIO DA OBRA SERÁ A PARTIR DO 11º DIA DA ASSINATURA DO TERMO DE CONTRATO.</w:t>
      </w:r>
    </w:p>
    <w:p>
      <w:pPr>
        <w:jc w:val="both"/>
        <w:widowControl/>
        <w:ind w:left="60" w:right="45" w:hanging="15"/>
        <w:spacing w:after="45"/>
      </w:pPr>
      <w:r>
        <w:rPr>
          <w:b/>
        </w:rPr>
        <w:t/>
      </w:r>
    </w:p>
    <w:p>
      <w:pPr>
        <w:jc w:val="both"/>
        <w:widowControl/>
        <w:ind w:left="60" w:right="45" w:hanging="15"/>
        <w:spacing w:after="45"/>
        <w:shd w:val="clear" w:color="auto" w:fill="0D0D0D"/>
      </w:pPr>
      <w:r>
        <w:rPr>
          <w:b/>
          <w:sz w:val="22"/>
          <w:color w:val="FFFFFF"/>
        </w:rPr>
        <w:t>CLÁUSULA NONA – DAS OBRAS PROVISÓRIAS</w:t>
      </w:r>
    </w:p>
    <w:p>
      <w:pPr>
        <w:jc w:val="both"/>
        <w:widowControl/>
        <w:ind w:left="60" w:right="45" w:hanging="15"/>
        <w:spacing w:after="45"/>
      </w:pPr>
      <w:r>
        <w:rPr>
          <w:b/>
          <w:sz w:val="22"/>
        </w:rPr>
        <w:t>I –</w:t>
      </w:r>
      <w:r>
        <w:rPr>
          <w:sz w:val="22"/>
        </w:rPr>
        <w:t xml:space="preserve"> A CONTRATADA deve submeter à fiscalização, os desenhos, especificações técnicas e memoriais propostos para as obras provisórias, que deverá aprová-los caso estejam adequados ao objeto deste contrato.</w:t>
      </w:r>
    </w:p>
    <w:p>
      <w:pPr>
        <w:jc w:val="both"/>
        <w:widowControl/>
        <w:ind w:left="60" w:right="45" w:hanging="15"/>
        <w:spacing w:after="45"/>
      </w:pPr>
      <w:r>
        <w:rPr>
          <w:b/>
          <w:sz w:val="22"/>
        </w:rPr>
        <w:t>Parágrafo Primeiro:</w:t>
      </w:r>
      <w:r>
        <w:rPr>
          <w:sz w:val="22"/>
        </w:rPr>
        <w:t xml:space="preserve"> A CONTRATADA é responsável pelo projeto das obras provisórias.</w:t>
      </w:r>
    </w:p>
    <w:p>
      <w:pPr>
        <w:jc w:val="both"/>
        <w:widowControl/>
        <w:ind w:left="60" w:right="45" w:hanging="15"/>
        <w:spacing w:after="45"/>
      </w:pPr>
      <w:r>
        <w:rPr>
          <w:b/>
          <w:sz w:val="22"/>
        </w:rPr>
        <w:t>Parágrafo Segundo:</w:t>
      </w:r>
      <w:r>
        <w:rPr>
          <w:sz w:val="22"/>
        </w:rPr>
        <w:t xml:space="preserve"> A aprovação pela fiscalização não altera as responsabilidades da CONTRATADA pelo projeto de obras provisórias.</w:t>
      </w:r>
    </w:p>
    <w:p>
      <w:pPr>
        <w:jc w:val="both"/>
        <w:widowControl/>
        <w:ind w:left="60" w:right="45" w:hanging="15"/>
        <w:spacing w:after="45"/>
      </w:pPr>
      <w:r>
        <w:rPr>
          <w:b/>
          <w:sz w:val="22"/>
        </w:rPr>
        <w:t>Parágrafo Terceiro:</w:t>
      </w:r>
      <w:r>
        <w:rPr>
          <w:sz w:val="22"/>
        </w:rPr>
        <w:t xml:space="preserve"> A CONTRATADA deve obter a aprovação de terceiros para o seu projeto de obras provisórias, onde requeridas.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 DA PRORROGAÇÃO DE PRAZO</w:t>
      </w:r>
    </w:p>
    <w:p>
      <w:pPr>
        <w:jc w:val="both"/>
        <w:widowControl/>
        <w:ind w:left="60" w:right="45" w:hanging="15"/>
        <w:spacing w:after="45"/>
      </w:pPr>
      <w:r>
        <w:rPr>
          <w:b/>
          <w:sz w:val="22"/>
        </w:rPr>
        <w:t>I –</w:t>
      </w:r>
      <w:r>
        <w:rPr>
          <w:sz w:val="22"/>
        </w:rPr>
        <w:t xml:space="preserve"> Somente será admitida alteração do prazo com anuência expressa do CONTRATANTE, quando:</w:t>
      </w:r>
    </w:p>
    <w:p>
      <w:pPr>
        <w:jc w:val="both"/>
        <w:widowControl/>
        <w:ind w:left="285" w:right="45" w:hanging="15"/>
        <w:spacing w:after="45"/>
      </w:pPr>
      <w:r>
        <w:rPr>
          <w:b/>
          <w:sz w:val="22"/>
        </w:rPr>
        <w:t>(a)</w:t>
      </w:r>
      <w:r>
        <w:rPr>
          <w:sz w:val="22"/>
        </w:rPr>
        <w:t xml:space="preserve"> ocorrer alteração do projeto e/ou especificações pelo CONTRATANTE; </w:t>
      </w:r>
    </w:p>
    <w:p>
      <w:pPr>
        <w:jc w:val="both"/>
        <w:widowControl/>
        <w:ind w:left="285" w:right="45" w:hanging="15"/>
        <w:spacing w:after="45"/>
      </w:pPr>
      <w:r>
        <w:rPr>
          <w:b/>
          <w:sz w:val="22"/>
        </w:rPr>
        <w:t>(b)</w:t>
      </w:r>
      <w:r>
        <w:rPr>
          <w:sz w:val="22"/>
        </w:rPr>
        <w:t xml:space="preserve"> houver serviços extraordinários que alterem as quantidades; </w:t>
      </w:r>
    </w:p>
    <w:p>
      <w:pPr>
        <w:jc w:val="both"/>
        <w:widowControl/>
        <w:ind w:left="285" w:right="45" w:hanging="15"/>
        <w:spacing w:after="45"/>
      </w:pPr>
      <w:r>
        <w:rPr>
          <w:b/>
          <w:sz w:val="22"/>
        </w:rPr>
        <w:t>(c)</w:t>
      </w:r>
      <w:r>
        <w:rPr>
          <w:sz w:val="22"/>
        </w:rPr>
        <w:t xml:space="preserve"> houver serviços complementares, obedecidos os dispositivos regulamentares; </w:t>
      </w:r>
    </w:p>
    <w:p>
      <w:pPr>
        <w:jc w:val="both"/>
        <w:widowControl/>
        <w:ind w:left="285" w:right="45" w:hanging="15"/>
        <w:spacing w:after="45"/>
      </w:pPr>
      <w:r>
        <w:rPr>
          <w:b/>
          <w:sz w:val="22"/>
        </w:rPr>
        <w:t>(d)</w:t>
      </w:r>
      <w:r>
        <w:rPr>
          <w:sz w:val="22"/>
        </w:rPr>
        <w:t xml:space="preserve"> ocorrer atraso no fornecimento de dados informativos, materiais e qualquer subsídio à obra do lote, que estejam sob responsabilidade expressa do CONTRATANTE; </w:t>
      </w:r>
    </w:p>
    <w:p>
      <w:pPr>
        <w:jc w:val="both"/>
        <w:widowControl/>
        <w:ind w:left="285" w:right="45" w:hanging="15"/>
        <w:spacing w:after="45"/>
      </w:pPr>
      <w:r>
        <w:rPr>
          <w:b/>
          <w:sz w:val="22"/>
        </w:rPr>
        <w:t>(e)</w:t>
      </w:r>
      <w:r>
        <w:rPr>
          <w:sz w:val="22"/>
        </w:rPr>
        <w:t xml:space="preserve"> ocorrer ato ou atos do CONTRATANTE; </w:t>
      </w:r>
    </w:p>
    <w:p>
      <w:pPr>
        <w:jc w:val="both"/>
        <w:widowControl/>
        <w:ind w:left="285" w:right="45" w:hanging="15"/>
        <w:spacing w:after="45"/>
      </w:pPr>
      <w:r>
        <w:rPr>
          <w:b/>
          <w:sz w:val="22"/>
        </w:rPr>
        <w:t>(f)</w:t>
      </w:r>
      <w:r>
        <w:rPr>
          <w:sz w:val="22"/>
        </w:rPr>
        <w:t xml:space="preserve"> ocorrer ato ou atos de terceiros que interfiram no prazo de execução ou outras devidamente justificados e aceitos pelo CONTRATANTE; </w:t>
      </w:r>
    </w:p>
    <w:p>
      <w:pPr>
        <w:jc w:val="both"/>
        <w:widowControl/>
        <w:ind w:left="285" w:right="45" w:hanging="15"/>
        <w:spacing w:after="45"/>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pPr>
        <w:jc w:val="both"/>
        <w:widowControl/>
        <w:ind w:left="60" w:right="45" w:hanging="15"/>
        <w:spacing w:after="45"/>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pPr>
        <w:jc w:val="both"/>
        <w:widowControl/>
        <w:ind w:left="60" w:right="45" w:hanging="15"/>
        <w:spacing w:after="45"/>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pPr>
        <w:jc w:val="both"/>
        <w:widowControl/>
        <w:ind w:left="60" w:right="45" w:hanging="15"/>
        <w:spacing w:after="45"/>
      </w:pPr>
      <w:r>
        <w:rPr>
          <w:b/>
          <w:sz w:val="22"/>
        </w:rPr>
        <w:t>Parágrafo Terceiro:</w:t>
      </w:r>
      <w:r>
        <w:rPr>
          <w:sz w:val="22"/>
        </w:rPr>
        <w:t xml:space="preserve"> Os motivos invocados pela CONTRATADA serão julgados pelo CONTRATANTE após a constatação da veracidade da sua ocorrência.</w:t>
      </w:r>
    </w:p>
    <w:p>
      <w:pPr>
        <w:jc w:val="both"/>
        <w:widowControl/>
        <w:ind w:left="60" w:right="45" w:hanging="15"/>
        <w:spacing w:after="45"/>
      </w:pPr>
      <w:r>
        <w:rPr>
          <w:b/>
          <w:sz w:val="22"/>
        </w:rPr>
        <w:t>Parágrafo Quarto:</w:t>
      </w:r>
      <w:r>
        <w:rPr>
          <w:sz w:val="22"/>
        </w:rPr>
        <w:t xml:space="preserve"> Após a aceitação dos motivos invocados pela CONTRATADA poderá haver acordo entre as partes para uma eventual prorrogação do prazo.</w:t>
      </w:r>
    </w:p>
    <w:p>
      <w:pPr>
        <w:jc w:val="both"/>
        <w:widowControl/>
        <w:ind w:left="60" w:right="45" w:hanging="15"/>
        <w:spacing w:after="45"/>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PRIMEIRA – DA EMISSÃO DE NOTA FISCAL/FATURA/RECIBO</w:t>
      </w:r>
    </w:p>
    <w:p>
      <w:pPr>
        <w:jc w:val="both"/>
        <w:widowControl/>
        <w:ind w:left="60" w:right="45" w:hanging="15"/>
        <w:spacing w:after="45"/>
      </w:pPr>
      <w:r>
        <w:rPr>
          <w:b/>
          <w:sz w:val="22"/>
        </w:rPr>
        <w:t>I –</w:t>
      </w:r>
      <w:r>
        <w:rPr>
          <w:sz w:val="22"/>
        </w:rPr>
        <w:t xml:space="preserve"> A CONTRATADA, quando da emissão de notas fiscais/faturas/recibo, deverá fazer constar o Processo de Concorrência nº X/202X e o Contrato nº _______/202X – PMG.</w:t>
      </w:r>
    </w:p>
    <w:p>
      <w:pPr>
        <w:jc w:val="both"/>
        <w:widowControl/>
        <w:ind w:left="60" w:right="45" w:hanging="15"/>
        <w:spacing w:after="45"/>
      </w:pPr>
      <w:r>
        <w:rPr>
          <w:b/>
          <w:sz w:val="22"/>
        </w:rPr>
        <w:t>Parágrafo Único:</w:t>
      </w:r>
      <w:r>
        <w:rPr>
          <w:sz w:val="22"/>
        </w:rPr>
        <w:t xml:space="preserve"> As notas fiscais/faturas ou os recibos deverão ser emitidos em nome do MUNICÍPIO DE GUAIRAÇÁ-PR, inscrito no CNPJ nº 76.238.443/0001-87, com as informações contidas na Nota de Empenho.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SEGUNDA – DA FORMA DE PAGAMENTO</w:t>
      </w:r>
    </w:p>
    <w:p>
      <w:pPr>
        <w:jc w:val="both"/>
        <w:widowControl/>
        <w:ind w:left="60" w:right="45" w:hanging="15"/>
        <w:spacing w:after="45"/>
      </w:pPr>
      <w:r>
        <w:rPr>
          <w:b/>
          <w:sz w:val="22"/>
        </w:rPr>
        <w:t>I –</w:t>
      </w:r>
      <w:r>
        <w:rPr>
          <w:sz w:val="22"/>
        </w:rPr>
        <w:t xml:space="preserve"> O pagamento será realizado por meio de ordem bancária para crédito em banco, agência e contracorrente, a serem indicados pela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DÉCIMA TERCEIRA – DO PRAZO E DAS CONDIÇÕES DE PAGAMENTO</w:t>
      </w:r>
    </w:p>
    <w:p>
      <w:pPr>
        <w:jc w:val="both"/>
        <w:widowControl/>
        <w:ind w:right="45"/>
        <w:spacing w:after="45"/>
        <w:numPr>
          <w:ilvl w:val="0"/>
          <w:numId w:val="55"/>
        </w:numPr>
      </w:pPr>
      <w: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com o recebimento da nota fiscal/fatura na Prefeitura Municipal;</w:t>
      </w:r>
    </w:p>
    <w:p>
      <w:pPr>
        <w:jc w:val="both"/>
        <w:widowControl/>
        <w:ind w:right="45"/>
        <w:spacing w:after="45"/>
        <w:numPr>
          <w:ilvl w:val="0"/>
          <w:numId w:val="55"/>
        </w:numPr>
      </w:pPr>
      <w:r/>
      <w:r>
        <w:rPr>
          <w:b/>
          <w:sz w:val="22"/>
        </w:rPr>
        <w:t xml:space="preserve">– </w:t>
      </w:r>
      <w:r>
        <w:rPr>
          <w:sz w:val="22"/>
        </w:rPr>
        <w:t>Na emissão das notas fiscais para fins de pagamento a Contratada deverá observar:</w:t>
      </w:r>
    </w:p>
    <w:p>
      <w:pPr>
        <w:jc w:val="both"/>
        <w:widowControl/>
        <w:ind w:left="285" w:right="45" w:hanging="15"/>
        <w:spacing w:after="45"/>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pPr>
        <w:jc w:val="both"/>
        <w:widowControl/>
        <w:ind w:right="45"/>
        <w:spacing w:after="45"/>
        <w:numPr>
          <w:ilvl w:val="0"/>
          <w:numId w:val="41"/>
        </w:numPr>
      </w:pPr>
      <w:r/>
      <w:r>
        <w:rPr>
          <w:b/>
          <w:sz w:val="22"/>
        </w:rPr>
        <w:t xml:space="preserve">– </w:t>
      </w:r>
      <w:r>
        <w:rPr>
          <w:sz w:val="22"/>
        </w:rPr>
        <w:t xml:space="preserve">Considera-se ocorrido o recebimento da nota fiscal/fatura, quando o órgão contratante atestar a execução do objeto do contrato, por meio de </w:t>
      </w:r>
      <w:r>
        <w:rPr>
          <w:u w:val="single" w:color="000000"/>
          <w:sz w:val="22"/>
        </w:rPr>
        <w:t>Termo de Recebimento ou Recibo</w:t>
      </w:r>
      <w:r>
        <w:rPr>
          <w:sz w:val="22"/>
        </w:rPr>
        <w:t>;</w:t>
      </w:r>
    </w:p>
    <w:p>
      <w:pPr>
        <w:jc w:val="both"/>
        <w:widowControl/>
        <w:ind w:right="45"/>
        <w:spacing w:after="45"/>
        <w:numPr>
          <w:ilvl w:val="0"/>
          <w:numId w:val="41"/>
        </w:numPr>
      </w:pPr>
      <w: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widowControl/>
        <w:ind w:right="45"/>
        <w:spacing w:after="45"/>
        <w:numPr>
          <w:ilvl w:val="0"/>
          <w:numId w:val="41"/>
        </w:numPr>
      </w:pPr>
      <w: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widowControl/>
        <w:ind w:left="60" w:right="45" w:hanging="15"/>
        <w:spacing w:after="45"/>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60" w:right="45" w:hanging="15"/>
        <w:spacing w:after="45"/>
      </w:pPr>
      <w:r>
        <w:rPr>
          <w:b/>
          <w:sz w:val="22"/>
        </w:rPr>
        <w:t>Parágrafo Segundo:</w:t>
      </w:r>
      <w:r>
        <w:rPr>
          <w:sz w:val="22"/>
        </w:rPr>
        <w:t xml:space="preserve"> O faturamento de cada parcela mensal deverá ser apresentado, conforme segue, de modo a padronizar condições e forma de apresentação.</w:t>
      </w:r>
    </w:p>
    <w:p>
      <w:pPr>
        <w:jc w:val="both"/>
        <w:widowControl/>
        <w:ind w:left="60" w:right="45" w:hanging="15"/>
        <w:spacing w:after="45"/>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pPr>
        <w:jc w:val="both"/>
        <w:widowControl/>
        <w:ind w:left="60" w:right="45" w:hanging="15"/>
        <w:spacing w:after="45"/>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pPr>
        <w:jc w:val="both"/>
        <w:widowControl/>
        <w:ind w:left="60" w:right="45" w:hanging="15"/>
        <w:spacing w:after="45"/>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pPr>
        <w:jc w:val="both"/>
        <w:widowControl/>
        <w:ind w:right="45"/>
        <w:spacing w:after="45"/>
        <w:numPr>
          <w:ilvl w:val="0"/>
          <w:numId w:val="84"/>
        </w:numPr>
      </w:pPr>
      <w:r/>
      <w:r>
        <w:rPr>
          <w:b/>
          <w:sz w:val="22"/>
        </w:rPr>
        <w:t xml:space="preserve"> </w:t>
      </w:r>
      <w:r>
        <w:rPr>
          <w:sz w:val="22"/>
        </w:rPr>
        <w:t>Da cópia da ART de execução.</w:t>
      </w:r>
    </w:p>
    <w:p>
      <w:pPr>
        <w:jc w:val="both"/>
        <w:widowControl/>
        <w:ind w:right="45"/>
        <w:spacing w:after="45"/>
        <w:numPr>
          <w:ilvl w:val="0"/>
          <w:numId w:val="84"/>
        </w:numPr>
      </w:pPr>
      <w:r/>
      <w:r>
        <w:rPr>
          <w:b/>
          <w:sz w:val="22"/>
        </w:rPr>
        <w:t xml:space="preserve"> </w:t>
      </w:r>
      <w:r>
        <w:rPr>
          <w:sz w:val="22"/>
        </w:rPr>
        <w:t>Da quitação junto ao INSS, através de matrícula e/ou CND (caso o objeto deste contrato se enquadre).</w:t>
      </w:r>
    </w:p>
    <w:p>
      <w:pPr>
        <w:jc w:val="both"/>
        <w:widowControl/>
        <w:ind w:right="45"/>
        <w:spacing w:after="45"/>
        <w:numPr>
          <w:ilvl w:val="0"/>
          <w:numId w:val="84"/>
        </w:numPr>
      </w:pPr>
      <w:r/>
      <w:r>
        <w:rPr>
          <w:b/>
          <w:sz w:val="22"/>
        </w:rPr>
        <w:t xml:space="preserve"> </w:t>
      </w:r>
      <w:r>
        <w:rPr>
          <w:sz w:val="22"/>
        </w:rPr>
        <w:t>Da quitação junto ao FGTS/CEF, através do CRF.</w:t>
      </w:r>
    </w:p>
    <w:p>
      <w:pPr>
        <w:jc w:val="both"/>
        <w:widowControl/>
        <w:ind w:left="60" w:right="45" w:hanging="15"/>
        <w:spacing w:after="45"/>
      </w:pPr>
      <w:r>
        <w:rPr>
          <w:b/>
          <w:u w:val="single"/>
          <w:sz w:val="22"/>
        </w:rPr>
        <w:t>- A liberação da última parcela fica condicionada à apresentação:</w:t>
      </w:r>
    </w:p>
    <w:p>
      <w:pPr>
        <w:jc w:val="both"/>
        <w:widowControl/>
        <w:ind w:right="45"/>
        <w:spacing w:after="45"/>
        <w:numPr>
          <w:ilvl w:val="0"/>
          <w:numId w:val="86"/>
        </w:numPr>
      </w:pPr>
      <w:r/>
      <w:r>
        <w:rPr>
          <w:sz w:val="22"/>
        </w:rPr>
        <w:t>Da certidão negativa de débitos, expedida pelo INSS, referente ao objeto contratado concluído (caso o objeto deste contrato se enquadre).</w:t>
      </w:r>
    </w:p>
    <w:p>
      <w:pPr>
        <w:jc w:val="both"/>
        <w:widowControl/>
        <w:ind w:right="45"/>
        <w:spacing w:after="45"/>
        <w:numPr>
          <w:ilvl w:val="0"/>
          <w:numId w:val="86"/>
        </w:numPr>
      </w:pPr>
      <w:r/>
      <w:r>
        <w:rPr>
          <w:sz w:val="22"/>
        </w:rPr>
        <w:t>Do Termo de Recebimento Provisório.</w:t>
      </w:r>
    </w:p>
    <w:p>
      <w:pPr>
        <w:jc w:val="both"/>
        <w:widowControl/>
        <w:ind w:right="45"/>
        <w:spacing w:after="45"/>
        <w:numPr>
          <w:ilvl w:val="0"/>
          <w:numId w:val="86"/>
        </w:numPr>
      </w:pPr>
      <w:r/>
      <w:r>
        <w:rPr>
          <w:sz w:val="22"/>
        </w:rPr>
        <w:t>De comprovante, nos casos previstos, de ligações definitivas de água e energia elétrica. As despesas referentes ao consumo de água e energia, durante a execução da obra, são de inteira responsabilidade da contratada.</w:t>
      </w:r>
    </w:p>
    <w:p>
      <w:pPr>
        <w:jc w:val="both"/>
        <w:widowControl/>
        <w:ind w:left="60" w:right="45" w:hanging="15"/>
        <w:spacing w:after="45"/>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pPr>
        <w:jc w:val="both"/>
        <w:widowControl/>
        <w:ind w:left="60" w:right="45" w:hanging="15"/>
        <w:spacing w:after="45"/>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pPr>
        <w:jc w:val="both"/>
        <w:widowControl/>
        <w:ind w:left="60" w:right="45" w:hanging="15"/>
        <w:spacing w:after="45"/>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widowControl/>
        <w:ind w:left="60" w:right="45" w:hanging="15"/>
        <w:spacing w:after="45"/>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pPr>
        <w:jc w:val="both"/>
        <w:widowControl/>
        <w:ind w:left="60" w:right="45" w:hanging="15"/>
        <w:spacing w:after="45"/>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pPr>
        <w:jc w:val="both"/>
        <w:widowControl/>
        <w:ind w:left="60" w:right="45" w:hanging="15"/>
        <w:spacing w:after="45"/>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widowControl/>
        <w:ind w:left="60" w:right="45" w:hanging="15"/>
        <w:spacing w:after="45"/>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pPr>
        <w:jc w:val="both"/>
        <w:widowControl/>
        <w:ind w:left="60" w:right="45" w:hanging="15"/>
        <w:spacing w:after="45"/>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pPr>
        <w:jc w:val="both"/>
        <w:widowControl/>
        <w:ind w:left="60" w:right="45" w:hanging="15"/>
        <w:spacing w:after="45"/>
      </w:pPr>
      <w:r>
        <w:rPr>
          <w:b/>
          <w:sz w:val="22"/>
        </w:rPr>
        <w:t>Parágrafo Décimo Quarto:</w:t>
      </w:r>
      <w:r>
        <w:rPr>
          <w:sz w:val="22"/>
        </w:rPr>
        <w:t xml:space="preserve"> As notas fiscais deverão ser encaminhadas à Secretaria Municipal de Finanças do município de GUAIRAÇÁ-PR, conforme solicitado.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QUARTA – DO REAJUSTE E DO EQUILÍBRIO ECONÔMICO-FINANCEIRO DO CONTRATO</w:t>
      </w:r>
    </w:p>
    <w:p>
      <w:pPr>
        <w:jc w:val="both"/>
        <w:widowControl/>
        <w:ind w:right="45"/>
        <w:spacing w:after="45"/>
        <w:numPr>
          <w:ilvl w:val="0"/>
          <w:numId w:val="43"/>
        </w:numPr>
      </w:pPr>
      <w:r/>
      <w:r>
        <w:rPr>
          <w:sz w:val="22"/>
        </w:rPr>
        <w:t>– Os preços deverão ser fixos e irreajustáveis, pelo período mínimo de 01 ano a contar da data base da proposta;</w:t>
      </w:r>
    </w:p>
    <w:p>
      <w:pPr>
        <w:jc w:val="both"/>
        <w:widowControl/>
        <w:ind w:right="45"/>
        <w:spacing w:after="45"/>
        <w:numPr>
          <w:ilvl w:val="0"/>
          <w:numId w:val="43"/>
        </w:numPr>
      </w:pPr>
      <w: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right="45"/>
        <w:spacing w:after="45"/>
        <w:numPr>
          <w:ilvl w:val="0"/>
          <w:numId w:val="43"/>
        </w:numPr>
      </w:pPr>
      <w:r/>
      <w:r>
        <w:rPr>
          <w:sz w:val="22"/>
        </w:rPr>
        <w:t xml:space="preserve">– Os preços referentes a mão de obra deverão ser repactuados para manutenção do equilíbrio econômico-financeiro, mediante demonstração analítica da variação dos custos contratuais, com data vinculada: </w:t>
      </w:r>
    </w:p>
    <w:p>
      <w:pPr>
        <w:jc w:val="both"/>
        <w:widowControl/>
        <w:ind w:left="285" w:right="45"/>
        <w:spacing w:after="45"/>
      </w:pPr>
      <w:r>
        <w:rPr>
          <w:b/>
          <w:sz w:val="22"/>
        </w:rPr>
        <w:t>a)</w:t>
      </w:r>
      <w:r>
        <w:rPr>
          <w:sz w:val="22"/>
        </w:rPr>
        <w:t xml:space="preserve"> à da apresentação da proposta, para custos decorrentes do mercado;</w:t>
      </w:r>
    </w:p>
    <w:p>
      <w:pPr>
        <w:jc w:val="both"/>
        <w:widowControl/>
        <w:ind w:left="285" w:right="45" w:hanging="15"/>
        <w:spacing w:after="45"/>
      </w:pPr>
      <w:r>
        <w:rPr>
          <w:b/>
          <w:sz w:val="22"/>
        </w:rPr>
        <w:t>b)</w:t>
      </w:r>
      <w:r>
        <w:rPr>
          <w:sz w:val="22"/>
        </w:rPr>
        <w:t xml:space="preserve"> ao acordo, à convenção coletiva ou ao dissídio coletivo ao qual a proposta esteja vinculada, para os custos de mão de obra.</w:t>
      </w:r>
    </w:p>
    <w:p>
      <w:pPr>
        <w:jc w:val="both"/>
        <w:widowControl/>
        <w:ind w:right="45"/>
        <w:spacing w:after="45"/>
        <w:numPr>
          <w:ilvl w:val="0"/>
          <w:numId w:val="89"/>
        </w:numPr>
      </w:pPr>
      <w:r/>
      <w:r>
        <w:rPr>
          <w:sz w:val="22"/>
        </w:rPr>
        <w:t>– Os preços referentes a materiais deverão ser reajustados conforme índice previsto em contrato.</w:t>
      </w:r>
    </w:p>
    <w:p>
      <w:pPr>
        <w:jc w:val="both"/>
        <w:widowControl/>
        <w:ind w:right="45"/>
        <w:spacing w:after="45"/>
        <w:numPr>
          <w:ilvl w:val="0"/>
          <w:numId w:val="89"/>
        </w:numPr>
      </w:pPr>
      <w:r/>
      <w:r>
        <w:rPr>
          <w:sz w:val="22"/>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pPr>
        <w:jc w:val="both"/>
        <w:widowControl/>
        <w:ind w:right="45"/>
        <w:spacing w:after="45"/>
        <w:numPr>
          <w:ilvl w:val="0"/>
          <w:numId w:val="89"/>
        </w:numPr>
      </w:pPr>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78"/>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78"/>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78"/>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78"/>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78"/>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78"/>
        </w:numPr>
      </w:pPr>
      <w:r/>
      <w:r>
        <w:rPr>
          <w:sz w:val="22"/>
        </w:rPr>
        <w:t xml:space="preserve"> O evento que houver dado causa ao desequilíbrio constituir álea ordinária imputável à CONTRATADA, quando o pleito houver sido apresentado por esta.</w:t>
      </w:r>
    </w:p>
    <w:p>
      <w:pPr>
        <w:jc w:val="both"/>
        <w:widowControl/>
        <w:ind w:right="45"/>
        <w:spacing w:after="45"/>
        <w:numPr>
          <w:ilvl w:val="0"/>
          <w:numId w:val="57"/>
        </w:numPr>
      </w:pPr>
      <w:r/>
      <w:r>
        <w:rPr>
          <w:sz w:val="22"/>
        </w:rPr>
        <w:t>– O prazo para manifestação quanto aos pedidos de reajuste, reequilíbrio e repactuação será de até 60 (sessenta) dias, a contar da data de protocolo do requerimento.</w:t>
      </w:r>
    </w:p>
    <w:p>
      <w:pPr>
        <w:jc w:val="both"/>
        <w:widowControl/>
        <w:ind w:right="45"/>
        <w:spacing w:after="45"/>
        <w:numPr>
          <w:ilvl w:val="0"/>
          <w:numId w:val="57"/>
        </w:numPr>
      </w:pPr>
      <w:r/>
      <w:r>
        <w:rPr>
          <w:sz w:val="22"/>
        </w:rPr>
        <w:t>– Caso faltem informações para os pedidos previstos no item anterior e a administração solicite complementação do pedido, o prazo irá reiniciar, a contar da data do novo protocolo com os documentos faltantes.</w:t>
      </w:r>
    </w:p>
    <w:p>
      <w:pPr>
        <w:jc w:val="both"/>
        <w:widowControl/>
        <w:ind w:left="60" w:right="45" w:hanging="15"/>
        <w:spacing w:after="45"/>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pPr>
        <w:jc w:val="both"/>
        <w:widowControl/>
        <w:ind w:left="60" w:right="45" w:hanging="15"/>
        <w:spacing w:after="45"/>
      </w:pPr>
      <w:r>
        <w:rPr>
          <w:sz w:val="22"/>
        </w:rPr>
        <w:t>SR = S (112 / 10)</w:t>
      </w:r>
    </w:p>
    <w:p>
      <w:pPr>
        <w:jc w:val="both"/>
        <w:widowControl/>
        <w:ind w:left="60" w:right="45" w:hanging="15"/>
        <w:spacing w:after="45"/>
      </w:pPr>
      <w:r>
        <w:rPr>
          <w:sz w:val="22"/>
        </w:rPr>
        <w:t>R = SR – S</w:t>
      </w:r>
    </w:p>
    <w:p>
      <w:pPr>
        <w:jc w:val="both"/>
        <w:widowControl/>
        <w:ind w:left="60" w:right="45" w:hanging="15"/>
        <w:spacing w:after="45"/>
      </w:pPr>
      <w:r>
        <w:rPr>
          <w:sz w:val="22"/>
        </w:rPr>
        <w:t>112 = ÍNDICE-DI/FGV do 12º mês após a proposta</w:t>
      </w:r>
    </w:p>
    <w:p>
      <w:pPr>
        <w:jc w:val="both"/>
        <w:widowControl/>
        <w:ind w:left="60" w:right="45" w:hanging="15"/>
        <w:spacing w:after="45"/>
      </w:pPr>
      <w:r>
        <w:rPr>
          <w:sz w:val="22"/>
        </w:rPr>
        <w:t>10 = ÍNDICE INCC-DI/FGV do mês da proposta</w:t>
      </w:r>
    </w:p>
    <w:p>
      <w:pPr>
        <w:jc w:val="both"/>
        <w:widowControl/>
        <w:ind w:left="60" w:right="45" w:hanging="15"/>
        <w:spacing w:after="45"/>
      </w:pPr>
      <w:r>
        <w:rPr>
          <w:sz w:val="22"/>
        </w:rPr>
        <w:t>S = Sado do contrato após a medição referente ao 12º mês da proposta</w:t>
      </w:r>
    </w:p>
    <w:p>
      <w:pPr>
        <w:jc w:val="both"/>
        <w:widowControl/>
        <w:ind w:left="60" w:right="45" w:hanging="15"/>
        <w:spacing w:after="45"/>
      </w:pPr>
      <w:r>
        <w:rPr>
          <w:sz w:val="22"/>
        </w:rPr>
        <w:t>SR = Saldo reajusto</w:t>
      </w:r>
    </w:p>
    <w:p>
      <w:pPr>
        <w:jc w:val="both"/>
        <w:widowControl/>
        <w:ind w:left="60" w:right="45" w:hanging="15"/>
        <w:spacing w:after="45"/>
      </w:pPr>
      <w:r>
        <w:rPr>
          <w:sz w:val="22"/>
        </w:rPr>
        <w:t>R = Valor do reajuste</w:t>
      </w:r>
    </w:p>
    <w:p>
      <w:pPr>
        <w:jc w:val="both"/>
        <w:widowControl/>
        <w:ind w:left="60" w:right="45" w:hanging="15"/>
        <w:spacing w:after="45"/>
      </w:pPr>
      <w:r>
        <w:rPr>
          <w:b/>
          <w:sz w:val="22"/>
        </w:rPr>
        <w:t>Parágrafo Segundo:</w:t>
      </w:r>
      <w:r>
        <w:rPr>
          <w:sz w:val="22"/>
        </w:rPr>
        <w:t xml:space="preserve"> Nos reajustes subsequentes ao primeiro, o interregno mínimo de 01 (um) ano será contado a partir dos efeitos financeiros do último reajuste;</w:t>
      </w:r>
    </w:p>
    <w:p>
      <w:pPr>
        <w:jc w:val="both"/>
        <w:widowControl/>
        <w:ind w:left="60" w:right="45" w:hanging="15"/>
        <w:spacing w:after="45"/>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pPr>
        <w:jc w:val="both"/>
        <w:widowControl/>
        <w:ind w:left="60" w:right="45" w:hanging="15"/>
        <w:spacing w:after="45"/>
      </w:pPr>
      <w:r>
        <w:rPr>
          <w:b/>
          <w:sz w:val="22"/>
        </w:rPr>
        <w:t>Parágrafo Quarto:</w:t>
      </w:r>
      <w:r>
        <w:rPr>
          <w:sz w:val="22"/>
        </w:rPr>
        <w:t xml:space="preserve"> Nas aferições finais, o índice utilizado para reajuste será, obrigatoriamente, o definitivo;</w:t>
      </w:r>
    </w:p>
    <w:p>
      <w:pPr>
        <w:jc w:val="both"/>
        <w:widowControl/>
        <w:ind w:left="60" w:right="45" w:hanging="15"/>
        <w:spacing w:after="45"/>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widowControl/>
        <w:ind w:left="60" w:right="45" w:hanging="15"/>
        <w:spacing w:after="45"/>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pPr>
        <w:jc w:val="both"/>
        <w:widowControl/>
        <w:ind w:left="60" w:right="45" w:hanging="15"/>
        <w:spacing w:after="45"/>
      </w:pPr>
      <w:r>
        <w:rPr>
          <w:b/>
          <w:sz w:val="22"/>
        </w:rPr>
        <w:t>Parágrafo Sétimo:</w:t>
      </w:r>
      <w:r>
        <w:rPr>
          <w:sz w:val="22"/>
        </w:rPr>
        <w:t xml:space="preserve"> Tanto o reajuste, quanto o reequilíbrio financeiro do contrato, será realizado por meio de termo aditivo.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DÉCIMA QUINTA – DO REGIME DE EXECUÇÃO</w:t>
      </w:r>
    </w:p>
    <w:p>
      <w:pPr>
        <w:jc w:val="both"/>
        <w:widowControl/>
        <w:ind w:left="60" w:right="45" w:hanging="15"/>
        <w:spacing w:after="45"/>
      </w:pPr>
      <w:r>
        <w:rPr>
          <w:b/>
          <w:sz w:val="22"/>
        </w:rPr>
        <w:t>I –</w:t>
      </w:r>
      <w:r>
        <w:rPr>
          <w:sz w:val="22"/>
        </w:rPr>
        <w:t xml:space="preserve"> O objeto deste contrato será executado em regime de Empreitada Global.</w:t>
      </w:r>
    </w:p>
    <w:p>
      <w:pPr>
        <w:jc w:val="both"/>
        <w:widowControl/>
        <w:ind w:left="60" w:right="45" w:hanging="15"/>
        <w:spacing w:after="45"/>
      </w:pPr>
      <w:r>
        <w:rPr>
          <w:b/>
          <w:sz w:val="22"/>
        </w:rPr>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SEXTA – DA SUBCONTRATAÇÃO</w:t>
      </w:r>
    </w:p>
    <w:p>
      <w:pPr>
        <w:jc w:val="both"/>
        <w:widowControl/>
        <w:ind w:left="60" w:right="45" w:hanging="15"/>
        <w:spacing w:after="45"/>
      </w:pPr>
      <w:r>
        <w:rPr>
          <w:b/>
          <w:sz w:val="22"/>
        </w:rPr>
        <w:t>I –</w:t>
      </w:r>
      <w:r>
        <w:rPr>
          <w:sz w:val="22"/>
        </w:rPr>
        <w:t xml:space="preserve"> Não será admitida a subcontratação do objeto contratual, salvo autorização expressa emitida pela CONTRATANTE, nas formas legalmente previstas.</w:t>
      </w:r>
    </w:p>
    <w:p>
      <w:pPr>
        <w:jc w:val="both"/>
        <w:widowControl/>
        <w:ind w:left="60" w:right="45" w:hanging="15"/>
        <w:spacing w:after="45"/>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pPr>
        <w:jc w:val="both"/>
        <w:widowControl/>
        <w:ind w:left="60" w:right="45" w:hanging="15"/>
        <w:spacing w:after="45"/>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pPr>
        <w:jc w:val="both"/>
        <w:widowControl/>
        <w:ind w:left="60" w:right="45" w:hanging="15"/>
        <w:spacing w:after="45"/>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pPr>
        <w:jc w:val="both"/>
        <w:widowControl/>
        <w:ind w:left="60" w:right="45" w:hanging="15"/>
        <w:spacing w:after="45"/>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SÉTIMA – DA GARANTIA DE EXECUÇÃO</w:t>
      </w:r>
    </w:p>
    <w:p>
      <w:pPr>
        <w:widowControl/>
        <w:ind w:left="60" w:right="45" w:hanging="15"/>
        <w:spacing w:after="4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60" w:right="45" w:hanging="15"/>
        <w:spacing w:after="45"/>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jc w:val="both"/>
        <w:widowControl/>
        <w:ind w:left="60" w:right="45" w:hanging="15"/>
        <w:spacing w:after="45"/>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pPr>
        <w:jc w:val="both"/>
        <w:widowControl/>
        <w:ind w:left="60" w:right="45" w:hanging="15"/>
        <w:spacing w:after="45"/>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w:t>
      </w:r>
    </w:p>
    <w:p>
      <w:pPr>
        <w:jc w:val="both"/>
        <w:widowControl/>
        <w:ind w:left="60" w:right="45" w:hanging="15"/>
        <w:spacing w:after="45"/>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pPr>
        <w:jc w:val="both"/>
        <w:widowControl/>
        <w:ind w:left="60" w:right="45" w:hanging="15"/>
        <w:spacing w:after="45"/>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60" w:right="45" w:hanging="15"/>
        <w:spacing w:after="45"/>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pPr>
        <w:jc w:val="both"/>
        <w:widowControl/>
        <w:ind w:left="60" w:right="45" w:hanging="15"/>
        <w:spacing w:after="45"/>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60" w:right="45" w:hanging="15"/>
        <w:spacing w:after="45"/>
      </w:pPr>
      <w:r>
        <w:rPr>
          <w:b/>
          <w:sz w:val="22"/>
        </w:rPr>
        <w:t>Parágrafo Oitavo:</w:t>
      </w:r>
      <w:r>
        <w:rPr>
          <w:sz w:val="22"/>
        </w:rPr>
        <w:t xml:space="preserve"> A contratada perderá a garantia de execução, quando:</w:t>
      </w:r>
    </w:p>
    <w:p>
      <w:pPr>
        <w:jc w:val="both"/>
        <w:widowControl/>
        <w:ind w:right="45"/>
        <w:spacing w:after="45"/>
        <w:numPr>
          <w:ilvl w:val="0"/>
          <w:numId w:val="37"/>
        </w:numPr>
      </w:pPr>
      <w:r/>
      <w:r>
        <w:rPr>
          <w:sz w:val="22"/>
        </w:rPr>
        <w:t>Da inadimplência das obrigações e/ou rescisão do termo de contrato de empreitada;</w:t>
      </w:r>
    </w:p>
    <w:p>
      <w:pPr>
        <w:jc w:val="both"/>
        <w:widowControl/>
        <w:ind w:right="45"/>
        <w:spacing w:after="45"/>
        <w:numPr>
          <w:ilvl w:val="0"/>
          <w:numId w:val="37"/>
        </w:numPr>
      </w:pPr>
      <w:r/>
      <w:r>
        <w:rPr>
          <w:sz w:val="22"/>
        </w:rPr>
        <w:t>Quando do não recebimento provisório e definitivo e/ou não aceitação pelo CONTRATANTE da obra.</w:t>
      </w:r>
    </w:p>
    <w:p>
      <w:pPr>
        <w:jc w:val="both"/>
        <w:widowControl/>
        <w:ind w:right="45"/>
        <w:spacing w:after="45"/>
      </w:pPr>
      <w:r>
        <w:rPr>
          <w:b/>
          <w:sz w:val="22"/>
        </w:rPr>
        <w:t xml:space="preserve"> Parágrafo Nono:</w:t>
      </w:r>
      <w:r>
        <w:rPr>
          <w:sz w:val="22"/>
        </w:rPr>
        <w:t xml:space="preserve"> A devolução da garantia de execução, ou o valor que dela restar, dar-se-á mediante a apresentação de:</w:t>
      </w:r>
    </w:p>
    <w:p>
      <w:pPr>
        <w:jc w:val="both"/>
        <w:widowControl/>
        <w:ind w:right="45"/>
        <w:spacing w:after="45"/>
        <w:numPr>
          <w:ilvl w:val="0"/>
          <w:numId w:val="37"/>
        </w:numPr>
      </w:pPr>
      <w:r/>
      <w:r>
        <w:rPr>
          <w:sz w:val="22"/>
        </w:rPr>
        <w:t>aceitação pelo CONTRATANTE do objeto contratual e o termo de recebimento definitivo;</w:t>
      </w:r>
    </w:p>
    <w:p>
      <w:pPr>
        <w:jc w:val="both"/>
        <w:widowControl/>
        <w:ind w:right="45"/>
        <w:spacing w:after="45"/>
        <w:numPr>
          <w:ilvl w:val="0"/>
          <w:numId w:val="37"/>
        </w:numPr>
      </w:pPr>
      <w:r/>
      <w:r>
        <w:rPr>
          <w:sz w:val="22"/>
        </w:rPr>
        <w:t>certidão negativa de débitos, expedida pelo INSS, referente ao objeto contratado concluído (caso o objeto deste contrato se enquadre);</w:t>
      </w:r>
    </w:p>
    <w:p>
      <w:pPr>
        <w:jc w:val="both"/>
        <w:widowControl/>
        <w:ind w:right="45"/>
        <w:spacing w:after="45"/>
        <w:numPr>
          <w:ilvl w:val="0"/>
          <w:numId w:val="37"/>
        </w:numPr>
      </w:pPr>
      <w: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pPr>
        <w:jc w:val="both"/>
        <w:widowControl/>
        <w:ind w:left="60" w:right="45" w:hanging="15"/>
        <w:spacing w:after="45"/>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pPr>
        <w:jc w:val="both"/>
        <w:widowControl/>
        <w:ind w:left="60" w:right="45" w:hanging="15"/>
        <w:spacing w:after="45"/>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b/>
          <w:sz w:val="22"/>
        </w:rPr>
        <w:t>Parágrafo Décimo Segundo:</w:t>
      </w:r>
      <w:r>
        <w:rPr>
          <w:sz w:val="22"/>
        </w:rPr>
        <w:t xml:space="preserve"> Fica incumbido ao gestor (es) e ao fiscal (is) do contrato, a obrigação de exigência e conferência da garantia de execução junto 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CLAUSULA DÉCIMA OITAVA – DO CONTROLE E DA FISCALIZAÇÃO</w:t>
      </w:r>
    </w:p>
    <w:p>
      <w:pPr>
        <w:jc w:val="both"/>
        <w:widowControl/>
        <w:ind w:right="45"/>
        <w:spacing w:after="45"/>
        <w:numPr>
          <w:ilvl w:val="0"/>
          <w:numId w:val="63"/>
        </w:numPr>
      </w:pPr>
      <w:r/>
      <w:r>
        <w:rPr>
          <w:sz w:val="22"/>
        </w:rPr>
        <w:t>– A fiscalização da execução dos serviços, objeto deste Contrato, será feita pelo CONTRATANTE através do profissional qualificado e devidamente credenciado.</w:t>
      </w:r>
    </w:p>
    <w:p>
      <w:pPr>
        <w:jc w:val="both"/>
        <w:widowControl/>
        <w:ind w:right="45"/>
        <w:spacing w:after="45"/>
        <w:numPr>
          <w:ilvl w:val="0"/>
          <w:numId w:val="63"/>
        </w:numPr>
      </w:pPr>
      <w: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pPr>
        <w:jc w:val="both"/>
        <w:widowControl/>
        <w:ind w:right="45"/>
        <w:spacing w:after="45"/>
        <w:numPr>
          <w:ilvl w:val="0"/>
          <w:numId w:val="63"/>
        </w:numPr>
      </w:pPr>
      <w:r/>
      <w:r>
        <w:rPr>
          <w:sz w:val="22"/>
        </w:rPr>
        <w:t>– A verificação da adequação do fornecimento/do serviço deverá ser realizada com base nos critérios previstos no Termo de Referência;</w:t>
      </w:r>
    </w:p>
    <w:p>
      <w:pPr>
        <w:jc w:val="both"/>
        <w:widowControl/>
        <w:ind w:right="45"/>
        <w:spacing w:after="45"/>
        <w:numPr>
          <w:ilvl w:val="0"/>
          <w:numId w:val="63"/>
        </w:numPr>
      </w:pPr>
      <w: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widowControl/>
        <w:ind w:left="60" w:right="45" w:hanging="15"/>
        <w:spacing w:after="45"/>
        <w:tabs>
          <w:tab w:val="left" w:pos="285"/>
        </w:tabs>
      </w:pPr>
      <w:r>
        <w:rPr>
          <w:b/>
          <w:sz w:val="22"/>
        </w:rPr>
        <w:t>V</w:t>
      </w:r>
      <w:r>
        <w:rPr>
          <w:b/>
          <w:sz w:val="22"/>
        </w:rPr>
        <w:tab/>
      </w:r>
      <w:r>
        <w:rPr>
          <w:b/>
          <w:sz w:val="22"/>
        </w:rPr>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pPr>
        <w:jc w:val="both"/>
        <w:widowControl/>
        <w:ind w:left="60" w:right="45" w:hanging="15"/>
        <w:spacing w:after="45"/>
        <w:tabs>
          <w:tab w:val="left" w:pos="285"/>
        </w:tabs>
      </w:pPr>
      <w:r>
        <w:rPr>
          <w:b/>
          <w:sz w:val="22"/>
        </w:rPr>
        <w:t>VI</w:t>
      </w:r>
      <w:r>
        <w:rPr>
          <w:b/>
          <w:sz w:val="22"/>
        </w:rPr>
        <w:tab/>
      </w:r>
      <w:r>
        <w:rPr>
          <w:b/>
          <w:sz w:val="22"/>
        </w:rPr>
        <w:t>–</w:t>
      </w:r>
      <w:r>
        <w:rPr>
          <w:sz w:val="22"/>
        </w:rPr>
        <w:t xml:space="preserve"> A Contratada deverá manter preposto, aceito pelo Contratante, com poderes para solucionar demandas oriundas da execução do contrato, nos termos do art. 118, da Lei Federal nº 14.133/2021;</w:t>
      </w:r>
    </w:p>
    <w:p>
      <w:pPr>
        <w:jc w:val="both"/>
        <w:widowControl/>
        <w:ind w:left="60" w:right="45" w:hanging="15"/>
        <w:spacing w:after="45"/>
        <w:tabs>
          <w:tab w:val="left" w:pos="420"/>
        </w:tabs>
      </w:pPr>
      <w:r>
        <w:rPr>
          <w:b/>
          <w:sz w:val="22"/>
        </w:rPr>
        <w:t>VII</w:t>
      </w:r>
      <w:r>
        <w:rPr>
          <w:b/>
          <w:sz w:val="22"/>
        </w:rPr>
        <w:tab/>
      </w:r>
      <w:r>
        <w:rPr>
          <w:b/>
          <w:sz w:val="22"/>
        </w:rPr>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widowControl/>
        <w:ind w:left="60" w:right="45" w:hanging="15"/>
        <w:spacing w:after="45"/>
        <w:tabs>
          <w:tab w:val="left" w:pos="420"/>
        </w:tabs>
      </w:pPr>
      <w:r>
        <w:rPr>
          <w:b/>
          <w:sz w:val="22"/>
        </w:rPr>
        <w:t>VIII</w:t>
      </w:r>
      <w:r>
        <w:rPr>
          <w:b/>
          <w:sz w:val="22"/>
        </w:rPr>
        <w:tab/>
      </w:r>
      <w:r>
        <w:rPr>
          <w:b/>
          <w:sz w:val="22"/>
        </w:rPr>
        <w:t xml:space="preserve">– </w:t>
      </w:r>
      <w:r>
        <w:rPr>
          <w:sz w:val="22"/>
        </w:rPr>
        <w:t>Ficam designados para as funções de gestor, fiscal e fiscal substituto (quando houver), nos termos dos artigos 7º e 117, Lei Federal nº 14.133/2021, os servidores indicados na cláusula terceira do presente contrato;</w:t>
      </w:r>
    </w:p>
    <w:p>
      <w:pPr>
        <w:jc w:val="both"/>
        <w:widowControl/>
        <w:ind w:left="60" w:right="45"/>
        <w:spacing w:after="45"/>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widowControl/>
        <w:ind w:left="60" w:right="45" w:hanging="15"/>
        <w:spacing w:after="45"/>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pPr>
        <w:jc w:val="both"/>
        <w:widowControl/>
        <w:ind w:left="60" w:right="45" w:hanging="15"/>
        <w:spacing w:after="45"/>
      </w:pPr>
      <w:r>
        <w:rPr>
          <w:b/>
          <w:sz w:val="22"/>
        </w:rPr>
        <w:t>Parágrafo Segundo:</w:t>
      </w:r>
      <w:r>
        <w:rPr>
          <w:sz w:val="22"/>
        </w:rPr>
        <w:t xml:space="preserve"> No desempenho destas tarefas, deverão os técnicos do CONTRATANTE, contar com a total colaboração da CONTRATADA.</w:t>
      </w:r>
    </w:p>
    <w:p>
      <w:pPr>
        <w:jc w:val="both"/>
        <w:widowControl/>
        <w:ind w:left="60" w:right="45" w:hanging="15"/>
        <w:spacing w:after="45"/>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pPr>
        <w:jc w:val="both"/>
        <w:widowControl/>
        <w:ind w:left="60" w:right="45" w:hanging="15"/>
        <w:spacing w:after="45"/>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pPr>
        <w:jc w:val="both"/>
        <w:widowControl/>
        <w:ind w:left="60" w:right="45" w:hanging="15"/>
        <w:spacing w:after="45"/>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jc w:val="both"/>
        <w:widowControl/>
        <w:ind w:left="60" w:right="45" w:hanging="15"/>
        <w:spacing w:after="45"/>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pPr>
        <w:jc w:val="both"/>
        <w:widowControl/>
        <w:ind w:left="60" w:right="45" w:hanging="15"/>
        <w:spacing w:after="45"/>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NONA – DAS RESPONSABILIDADES E OBRIGAÇÕES DAS PARTES</w:t>
      </w:r>
    </w:p>
    <w:p>
      <w:pPr>
        <w:jc w:val="both"/>
        <w:widowControl/>
        <w:ind w:left="60" w:right="45" w:hanging="15"/>
        <w:spacing w:after="45"/>
      </w:pPr>
      <w:r>
        <w:rPr>
          <w:sz w:val="22"/>
        </w:rPr>
        <w:t>As partes deverão observar as seguintes responsabilidades e obrigações:</w:t>
      </w:r>
    </w:p>
    <w:p>
      <w:pPr>
        <w:jc w:val="both"/>
        <w:widowControl/>
        <w:ind w:left="195" w:right="45" w:hanging="150"/>
        <w:spacing w:after="45"/>
        <w:shd w:val="clear" w:color="auto" w:fill="0D0D0D"/>
      </w:pPr>
      <w:r>
        <w:rPr>
          <w:b/>
          <w:sz w:val="22"/>
          <w:color w:val="FFFFFF"/>
        </w:rPr>
        <w:t>1</w:t>
      </w:r>
      <w:r>
        <w:rPr>
          <w:b/>
          <w:sz w:val="22"/>
          <w:color w:val="FFFFFF"/>
        </w:rPr>
        <w:tab/>
      </w:r>
      <w:r>
        <w:rPr>
          <w:b/>
          <w:sz w:val="22"/>
          <w:color w:val="FFFFFF"/>
        </w:rPr>
        <w:t>– Obrigações da CONTRATADA:</w:t>
      </w:r>
    </w:p>
    <w:p>
      <w:pPr>
        <w:jc w:val="both"/>
        <w:widowControl/>
        <w:ind w:left="285" w:right="45" w:hanging="15"/>
        <w:spacing w:after="45"/>
      </w:pPr>
      <w:r>
        <w:rPr>
          <w:b/>
          <w:sz w:val="22"/>
        </w:rPr>
        <w:t>1.1</w:t>
      </w:r>
      <w:r>
        <w:rPr>
          <w:b/>
          <w:sz w:val="22"/>
        </w:rPr>
        <w:tab/>
      </w:r>
      <w:r>
        <w:rPr>
          <w:b/>
          <w:sz w:val="22"/>
        </w:rPr>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pPr>
        <w:jc w:val="both"/>
        <w:widowControl/>
        <w:ind w:left="705" w:right="45" w:hanging="15"/>
        <w:spacing w:after="45"/>
        <w:tabs>
          <w:tab w:val="left" w:pos="1275"/>
        </w:tabs>
      </w:pPr>
      <w:r>
        <w:rPr>
          <w:b/>
          <w:sz w:val="22"/>
        </w:rPr>
        <w:t>1.1.1</w:t>
      </w:r>
      <w:r>
        <w:rPr>
          <w:b/>
          <w:sz w:val="22"/>
        </w:rPr>
        <w:tab/>
      </w:r>
      <w:r>
        <w:rPr>
          <w:b/>
          <w:sz w:val="22"/>
        </w:rPr>
        <w:t>–</w:t>
      </w:r>
      <w:r>
        <w:rPr>
          <w:sz w:val="22"/>
        </w:rPr>
        <w:t xml:space="preserve"> Efetuar a entrega do objeto/execução do objeto em perfeitas condições, conforme especificações, prazo e local constantes no Termo de Referência, no presente contrato e demais documentos anexos;</w:t>
      </w:r>
    </w:p>
    <w:p>
      <w:pPr>
        <w:jc w:val="both"/>
        <w:widowControl/>
        <w:ind w:left="705" w:right="45" w:hanging="15"/>
        <w:spacing w:after="45"/>
        <w:tabs>
          <w:tab w:val="left" w:pos="1275"/>
        </w:tabs>
      </w:pPr>
      <w:r>
        <w:rPr>
          <w:b/>
          <w:sz w:val="22"/>
        </w:rPr>
        <w:t>1.1.2</w:t>
      </w:r>
      <w:r>
        <w:rPr>
          <w:b/>
          <w:sz w:val="22"/>
        </w:rPr>
        <w:tab/>
      </w:r>
      <w:r>
        <w:rPr>
          <w:b/>
          <w:sz w:val="22"/>
        </w:rPr>
        <w:t>–</w:t>
      </w:r>
      <w:r>
        <w:rPr>
          <w:sz w:val="22"/>
        </w:rPr>
        <w:t xml:space="preserve"> Responsabilizar-se pelos vícios e danos decorrentes do objeto, de acordo com os artigos 12, 13 e 17 a 27 do Código de Defesa do Consumidor (Lei nº 8.078/1990);</w:t>
      </w:r>
    </w:p>
    <w:p>
      <w:pPr>
        <w:jc w:val="both"/>
        <w:widowControl/>
        <w:ind w:left="705" w:right="45" w:hanging="15"/>
        <w:spacing w:after="45"/>
        <w:tabs>
          <w:tab w:val="left" w:pos="1275"/>
        </w:tabs>
      </w:pPr>
      <w:r>
        <w:rPr>
          <w:b/>
          <w:sz w:val="22"/>
        </w:rPr>
        <w:t>1.1.3</w:t>
      </w:r>
      <w:r>
        <w:rPr>
          <w:b/>
          <w:sz w:val="22"/>
        </w:rPr>
        <w:tab/>
      </w:r>
      <w:r>
        <w:rPr>
          <w:b/>
          <w:sz w:val="22"/>
        </w:rPr>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pPr>
        <w:jc w:val="both"/>
        <w:widowControl/>
        <w:ind w:left="705" w:right="45" w:hanging="15"/>
        <w:spacing w:after="45"/>
        <w:tabs>
          <w:tab w:val="left" w:pos="1275"/>
        </w:tabs>
      </w:pPr>
      <w:r>
        <w:rPr>
          <w:b/>
          <w:sz w:val="22"/>
        </w:rPr>
        <w:t>1.1.4</w:t>
      </w:r>
      <w:r>
        <w:rPr>
          <w:b/>
          <w:sz w:val="22"/>
        </w:rPr>
        <w:tab/>
      </w:r>
      <w:r>
        <w:rPr>
          <w:b/>
          <w:sz w:val="22"/>
        </w:rPr>
        <w:t>–</w:t>
      </w:r>
      <w:r>
        <w:rPr>
          <w:sz w:val="22"/>
        </w:rPr>
        <w:t xml:space="preserve"> A Contratada deverá comunicar à Contratante, no prazo máximo de 24 (vinte e quatro) horas que antecede a data da execução, os motivos que impossibilitem o cumprimento do prazo previsto, com a devida comprovação;</w:t>
      </w:r>
    </w:p>
    <w:p>
      <w:pPr>
        <w:jc w:val="both"/>
        <w:widowControl/>
        <w:ind w:left="705" w:right="45" w:hanging="15"/>
        <w:spacing w:after="45"/>
        <w:tabs>
          <w:tab w:val="left" w:pos="1275"/>
        </w:tabs>
      </w:pPr>
      <w:r>
        <w:rPr>
          <w:b/>
          <w:sz w:val="22"/>
        </w:rPr>
        <w:t>1.1.5</w:t>
      </w:r>
      <w:r>
        <w:rPr>
          <w:b/>
          <w:sz w:val="22"/>
        </w:rPr>
        <w:tab/>
      </w:r>
      <w:r>
        <w:rPr>
          <w:b/>
          <w:sz w:val="22"/>
        </w:rPr>
        <w:t>–</w:t>
      </w:r>
      <w:r>
        <w:rPr>
          <w:sz w:val="22"/>
        </w:rPr>
        <w:t xml:space="preserve"> A Contratada deverá manter, durante toda a execução do contrato, em compatibilidade com as obrigações assumidas, todas as condições de habilitação e qualificação exigidas na licitação;</w:t>
      </w:r>
    </w:p>
    <w:p>
      <w:pPr>
        <w:jc w:val="both"/>
        <w:widowControl/>
        <w:ind w:left="705" w:right="45" w:hanging="15"/>
        <w:spacing w:after="45"/>
        <w:tabs>
          <w:tab w:val="left" w:pos="1275"/>
        </w:tabs>
      </w:pPr>
      <w:r>
        <w:rPr>
          <w:b/>
          <w:sz w:val="22"/>
        </w:rPr>
        <w:t>1.1.6</w:t>
      </w:r>
      <w:r>
        <w:rPr>
          <w:b/>
          <w:sz w:val="22"/>
        </w:rPr>
        <w:tab/>
      </w:r>
      <w:r>
        <w:rPr>
          <w:b/>
          <w:sz w:val="22"/>
        </w:rPr>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pPr>
        <w:jc w:val="both"/>
        <w:widowControl/>
        <w:ind w:left="705" w:right="45" w:hanging="15"/>
        <w:spacing w:after="45"/>
        <w:tabs>
          <w:tab w:val="left" w:pos="1275"/>
        </w:tabs>
      </w:pPr>
      <w:r>
        <w:rPr>
          <w:b/>
          <w:sz w:val="22"/>
        </w:rPr>
        <w:t>1.1.7</w:t>
      </w:r>
      <w:r>
        <w:rPr>
          <w:b/>
          <w:sz w:val="22"/>
        </w:rPr>
        <w:tab/>
      </w:r>
      <w:r>
        <w:rPr>
          <w:b/>
          <w:sz w:val="22"/>
        </w:rPr>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widowControl/>
        <w:ind w:left="705" w:right="45" w:hanging="15"/>
        <w:spacing w:after="45"/>
        <w:tabs>
          <w:tab w:val="left" w:pos="1275"/>
        </w:tabs>
      </w:pPr>
      <w:r>
        <w:rPr>
          <w:b/>
          <w:sz w:val="22"/>
        </w:rPr>
        <w:t>1.1.8</w:t>
      </w:r>
      <w:r>
        <w:rPr>
          <w:b/>
          <w:sz w:val="22"/>
        </w:rPr>
        <w:tab/>
      </w:r>
      <w:r>
        <w:rPr>
          <w:b/>
          <w:sz w:val="22"/>
        </w:rPr>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widowControl/>
        <w:ind w:left="705" w:right="45" w:hanging="15"/>
        <w:spacing w:after="45"/>
        <w:tabs>
          <w:tab w:val="left" w:pos="1275"/>
        </w:tabs>
      </w:pPr>
      <w:r>
        <w:rPr>
          <w:b/>
          <w:sz w:val="22"/>
        </w:rPr>
        <w:t>1.1.9</w:t>
      </w:r>
      <w:r>
        <w:rPr>
          <w:b/>
          <w:sz w:val="22"/>
        </w:rPr>
        <w:tab/>
      </w:r>
      <w:r>
        <w:rPr>
          <w:b/>
          <w:sz w:val="22"/>
        </w:rPr>
        <w:t>–</w:t>
      </w:r>
      <w:r>
        <w:rPr>
          <w:sz w:val="22"/>
        </w:rPr>
        <w:t xml:space="preserve"> Entregar ao setor responsável pela fiscalização do contrato, junto à Nota Fiscal para fins de pagamento, os seguintes documentos:</w:t>
      </w:r>
    </w:p>
    <w:p>
      <w:pPr>
        <w:jc w:val="both"/>
        <w:widowControl/>
        <w:ind w:right="45"/>
        <w:spacing w:after="45"/>
        <w:tabs>
          <w:tab w:val="left" w:pos="1275"/>
        </w:tabs>
        <w:numPr>
          <w:ilvl w:val="0"/>
          <w:numId w:val="73"/>
        </w:numPr>
      </w:pPr>
      <w:r/>
      <w:r>
        <w:rPr>
          <w:sz w:val="22"/>
        </w:rPr>
        <w:t xml:space="preserve"> Prova de regularidade relativa à Seguridade Social;</w:t>
      </w:r>
    </w:p>
    <w:p>
      <w:pPr>
        <w:jc w:val="both"/>
        <w:widowControl/>
        <w:ind w:right="45"/>
        <w:spacing w:after="45"/>
        <w:tabs>
          <w:tab w:val="left" w:pos="1275"/>
        </w:tabs>
        <w:numPr>
          <w:ilvl w:val="0"/>
          <w:numId w:val="73"/>
        </w:numPr>
      </w:pPr>
      <w:r/>
      <w:r>
        <w:rPr>
          <w:sz w:val="22"/>
        </w:rPr>
        <w:t xml:space="preserve"> Certidão Conjunta Relativa aos Tributos Federais e à Dívida Ativa da União;</w:t>
      </w:r>
    </w:p>
    <w:p>
      <w:pPr>
        <w:jc w:val="both"/>
        <w:widowControl/>
        <w:ind w:right="45"/>
        <w:spacing w:after="45"/>
        <w:tabs>
          <w:tab w:val="left" w:pos="1275"/>
        </w:tabs>
        <w:numPr>
          <w:ilvl w:val="0"/>
          <w:numId w:val="73"/>
        </w:numPr>
      </w:pPr>
      <w:r/>
      <w:r>
        <w:rPr>
          <w:sz w:val="22"/>
        </w:rPr>
        <w:t xml:space="preserve"> Certidões que comprovem a regularidade perante a Fazenda Estadual ou Distrital do domicílio ou sede da Contratada;</w:t>
      </w:r>
    </w:p>
    <w:p>
      <w:pPr>
        <w:jc w:val="both"/>
        <w:widowControl/>
        <w:ind w:right="45"/>
        <w:spacing w:after="45"/>
        <w:tabs>
          <w:tab w:val="left" w:pos="1275"/>
        </w:tabs>
        <w:numPr>
          <w:ilvl w:val="0"/>
          <w:numId w:val="73"/>
        </w:numPr>
      </w:pPr>
      <w:r/>
      <w:r>
        <w:rPr>
          <w:sz w:val="22"/>
        </w:rPr>
        <w:t xml:space="preserve"> Certidão de Regularidade do FGTS – CRF; e</w:t>
      </w:r>
    </w:p>
    <w:p>
      <w:pPr>
        <w:jc w:val="both"/>
        <w:widowControl/>
        <w:ind w:left="1140" w:right="45"/>
        <w:spacing w:after="45"/>
        <w:tabs>
          <w:tab w:val="left" w:pos="1275"/>
        </w:tabs>
      </w:pPr>
      <w:r>
        <w:rPr>
          <w:b/>
          <w:sz w:val="22"/>
        </w:rPr>
        <w:t>e)</w:t>
      </w:r>
      <w:r>
        <w:rPr>
          <w:sz w:val="22"/>
        </w:rPr>
        <w:t xml:space="preserve"> Certidão Negativa de Débitos Trabalhistas – CNDT;</w:t>
      </w:r>
    </w:p>
    <w:p>
      <w:pPr>
        <w:jc w:val="both"/>
        <w:widowControl/>
        <w:ind w:left="705" w:right="45" w:hanging="15"/>
        <w:spacing w:after="45"/>
        <w:tabs>
          <w:tab w:val="left" w:pos="1275"/>
        </w:tabs>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widowControl/>
        <w:ind w:left="705" w:right="45" w:hanging="15"/>
        <w:spacing w:after="45"/>
        <w:tabs>
          <w:tab w:val="left" w:pos="1275"/>
        </w:tabs>
      </w:pPr>
      <w:r>
        <w:rPr>
          <w:b/>
          <w:sz w:val="22"/>
        </w:rPr>
        <w:t>1.1.11 –</w:t>
      </w:r>
      <w:r>
        <w:rPr>
          <w:sz w:val="22"/>
        </w:rPr>
        <w:t xml:space="preserve"> Comunicar aos fiscais do contrato, no prazo de até 24 (vinte e quatro) horas, qualquer ocorrência anormal ou incidente que obste à execução do objeto contratual;</w:t>
      </w:r>
    </w:p>
    <w:p>
      <w:pPr>
        <w:jc w:val="both"/>
        <w:widowControl/>
        <w:ind w:left="705" w:right="45" w:hanging="15"/>
        <w:spacing w:after="45"/>
        <w:tabs>
          <w:tab w:val="left" w:pos="1275"/>
        </w:tabs>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pPr>
        <w:jc w:val="both"/>
        <w:widowControl/>
        <w:ind w:left="705" w:right="45" w:hanging="15"/>
        <w:spacing w:after="45"/>
        <w:tabs>
          <w:tab w:val="left" w:pos="1275"/>
        </w:tabs>
      </w:pPr>
      <w:r>
        <w:rPr>
          <w:b/>
          <w:sz w:val="22"/>
        </w:rPr>
        <w:t>1.1.13 –</w:t>
      </w:r>
      <w:r>
        <w:rPr>
          <w:sz w:val="22"/>
        </w:rPr>
        <w:t xml:space="preserve"> Promover a guarda, manutenção e vigilância de materiais, ferramentas e tudo o que for necessário à execução do objeto, durante a vigência do contrato;</w:t>
      </w:r>
    </w:p>
    <w:p>
      <w:pPr>
        <w:jc w:val="both"/>
        <w:widowControl/>
        <w:ind w:left="705" w:right="45" w:hanging="15"/>
        <w:spacing w:after="45"/>
        <w:tabs>
          <w:tab w:val="left" w:pos="1275"/>
        </w:tabs>
      </w:pPr>
      <w:r>
        <w:rPr>
          <w:b/>
          <w:sz w:val="22"/>
        </w:rPr>
        <w:t>1.1.14 –</w:t>
      </w:r>
      <w:r>
        <w:rPr>
          <w:sz w:val="22"/>
        </w:rPr>
        <w:t xml:space="preserve"> Manter os empregados nos horários predeterminados pelo Contratante;</w:t>
      </w:r>
    </w:p>
    <w:p>
      <w:pPr>
        <w:jc w:val="both"/>
        <w:widowControl/>
        <w:ind w:left="705" w:right="45" w:hanging="15"/>
        <w:spacing w:after="45"/>
        <w:tabs>
          <w:tab w:val="left" w:pos="1275"/>
        </w:tabs>
      </w:pPr>
      <w:r>
        <w:rPr>
          <w:b/>
          <w:sz w:val="22"/>
        </w:rPr>
        <w:t>1.1.15 –</w:t>
      </w:r>
      <w:r>
        <w:rPr>
          <w:sz w:val="22"/>
        </w:rPr>
        <w:t xml:space="preserve"> Apresentar os empregados devidamente identificados, com uso de uniformes ou por meio de crachás;</w:t>
      </w:r>
    </w:p>
    <w:p>
      <w:pPr>
        <w:jc w:val="both"/>
        <w:widowControl/>
        <w:ind w:left="705" w:right="45" w:hanging="15"/>
        <w:spacing w:after="45"/>
        <w:tabs>
          <w:tab w:val="left" w:pos="1275"/>
        </w:tabs>
      </w:pPr>
      <w:r>
        <w:rPr>
          <w:b/>
          <w:sz w:val="22"/>
        </w:rPr>
        <w:t>1.1.16 –</w:t>
      </w:r>
      <w:r>
        <w:rPr>
          <w:sz w:val="22"/>
        </w:rPr>
        <w:t xml:space="preserve"> Apresentar ao Contratante, quando for o caso, a relação nominal dos empregados que adentrarão nas dependências da Administração para execução do serviço;</w:t>
      </w:r>
    </w:p>
    <w:p>
      <w:pPr>
        <w:jc w:val="both"/>
        <w:widowControl/>
        <w:ind w:left="705" w:right="45" w:hanging="15"/>
        <w:spacing w:after="45"/>
        <w:tabs>
          <w:tab w:val="left" w:pos="1275"/>
        </w:tabs>
      </w:pPr>
      <w:r>
        <w:rPr>
          <w:b/>
          <w:sz w:val="22"/>
        </w:rPr>
        <w:t>1.1.17 –</w:t>
      </w:r>
      <w:r>
        <w:rPr>
          <w:sz w:val="22"/>
        </w:rPr>
        <w:t xml:space="preserve"> Observar os preceitos da legislação sobre a jornada de trabalho, conforme a categoria profissional;</w:t>
      </w:r>
    </w:p>
    <w:p>
      <w:pPr>
        <w:jc w:val="both"/>
        <w:widowControl/>
        <w:ind w:left="705" w:right="45" w:hanging="15"/>
        <w:spacing w:after="45"/>
        <w:tabs>
          <w:tab w:val="left" w:pos="1275"/>
        </w:tabs>
      </w:pPr>
      <w:r>
        <w:rPr>
          <w:b/>
          <w:sz w:val="22"/>
        </w:rPr>
        <w:t>1.1.18 –</w:t>
      </w:r>
      <w:r>
        <w:rPr>
          <w:sz w:val="22"/>
        </w:rPr>
        <w:t xml:space="preserve"> Instruir seus empregados quanto à necessidade de acatar as normas internas da Contratante;</w:t>
      </w:r>
    </w:p>
    <w:p>
      <w:pPr>
        <w:jc w:val="both"/>
        <w:widowControl/>
        <w:ind w:left="705" w:right="45" w:hanging="15"/>
        <w:spacing w:after="45"/>
        <w:tabs>
          <w:tab w:val="left" w:pos="1275"/>
        </w:tabs>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pPr>
        <w:jc w:val="both"/>
        <w:widowControl/>
        <w:ind w:left="705" w:right="45" w:hanging="15"/>
        <w:spacing w:after="45"/>
        <w:tabs>
          <w:tab w:val="left" w:pos="1275"/>
        </w:tabs>
      </w:pPr>
      <w:r>
        <w:rPr>
          <w:b/>
          <w:sz w:val="22"/>
        </w:rPr>
        <w:t>1.1.20 –</w:t>
      </w:r>
      <w:r>
        <w:rPr>
          <w:sz w:val="22"/>
        </w:rPr>
        <w:t xml:space="preserve"> Estar registrada ou inscrita no Conselho Profissional competente, conforme as áreas de atuação previstas no Termo de Referência, em plena validade;</w:t>
      </w:r>
    </w:p>
    <w:p>
      <w:pPr>
        <w:jc w:val="both"/>
        <w:widowControl/>
        <w:ind w:left="705" w:right="45" w:hanging="15"/>
        <w:spacing w:after="45"/>
        <w:tabs>
          <w:tab w:val="left" w:pos="1275"/>
        </w:tabs>
      </w:pPr>
      <w:r>
        <w:rPr>
          <w:b/>
          <w:sz w:val="22"/>
        </w:rPr>
        <w:t>1.1.21 –</w:t>
      </w:r>
      <w:r>
        <w:rPr>
          <w:sz w:val="22"/>
        </w:rPr>
        <w:t xml:space="preserve"> Obter junto aos órgãos competentes, conforme o caso, as licenças necessárias e demais documentos e autorizações exigíveis, na forma da legislação aplicável;</w:t>
      </w:r>
    </w:p>
    <w:p>
      <w:pPr>
        <w:jc w:val="both"/>
        <w:widowControl/>
        <w:ind w:left="705" w:right="45" w:hanging="15"/>
        <w:spacing w:after="45"/>
        <w:tabs>
          <w:tab w:val="left" w:pos="1275"/>
        </w:tabs>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widowControl/>
        <w:ind w:left="705" w:right="45" w:hanging="15"/>
        <w:spacing w:after="45"/>
        <w:tabs>
          <w:tab w:val="left" w:pos="1275"/>
        </w:tabs>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pPr>
        <w:jc w:val="both"/>
        <w:widowControl/>
        <w:ind w:left="705" w:right="45" w:hanging="15"/>
        <w:spacing w:after="45"/>
        <w:tabs>
          <w:tab w:val="left" w:pos="1275"/>
        </w:tabs>
      </w:pPr>
      <w:r>
        <w:rPr>
          <w:b/>
          <w:sz w:val="22"/>
        </w:rPr>
        <w:t xml:space="preserve">1.1.24 – </w:t>
      </w:r>
      <w:r>
        <w:rPr>
          <w:sz w:val="22"/>
        </w:rPr>
        <w:t>Guardar sigilo sobre todas as informações obtidas em decorrência do cumprimento do contrato;</w:t>
      </w:r>
    </w:p>
    <w:p>
      <w:pPr>
        <w:jc w:val="both"/>
        <w:widowControl/>
        <w:ind w:left="705" w:right="45" w:hanging="15"/>
        <w:spacing w:after="45"/>
        <w:tabs>
          <w:tab w:val="left" w:pos="1275"/>
        </w:tabs>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widowControl/>
        <w:ind w:right="45"/>
        <w:spacing w:after="45"/>
        <w:numPr>
          <w:ilvl w:val="0"/>
          <w:numId w:val="31"/>
        </w:numPr>
      </w:pPr>
      <w: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pPr>
        <w:widowControl/>
        <w:ind w:right="45"/>
        <w:spacing w:after="45"/>
        <w:numPr>
          <w:ilvl w:val="0"/>
          <w:numId w:val="31"/>
        </w:numPr>
      </w:pPr>
      <w:r/>
      <w:r>
        <w:rPr>
          <w:sz w:val="22"/>
        </w:rPr>
        <w:t xml:space="preserve"> O pedido a que se refere a alínea “a” deste inciso, deverá ser formulado durante a vigência do contrato e antes de eventual prorrogação;</w:t>
      </w:r>
    </w:p>
    <w:p>
      <w:pPr>
        <w:jc w:val="both"/>
        <w:widowControl/>
        <w:ind w:left="705" w:right="45" w:hanging="15"/>
        <w:spacing w:after="45"/>
        <w:tabs>
          <w:tab w:val="left" w:pos="1275"/>
        </w:tabs>
      </w:pPr>
      <w:r>
        <w:rPr>
          <w:b/>
          <w:sz w:val="22"/>
        </w:rPr>
        <w:t>1.1.26 –</w:t>
      </w:r>
      <w:r>
        <w:rPr>
          <w:sz w:val="22"/>
        </w:rPr>
        <w:t xml:space="preserve"> Cumprir, além dos postulados legais vigentes de âmbito federal, estadual ou municipal, as normas de segurança do Contratante;</w:t>
      </w:r>
    </w:p>
    <w:p>
      <w:pPr>
        <w:jc w:val="both"/>
        <w:widowControl/>
        <w:ind w:left="705" w:right="45" w:hanging="15"/>
        <w:spacing w:after="45"/>
        <w:tabs>
          <w:tab w:val="left" w:pos="1275"/>
        </w:tabs>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pPr>
        <w:jc w:val="both"/>
        <w:widowControl/>
        <w:ind w:left="705" w:right="45" w:hanging="15"/>
        <w:spacing w:after="45"/>
        <w:tabs>
          <w:tab w:val="left" w:pos="1275"/>
        </w:tabs>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pPr>
        <w:jc w:val="both"/>
        <w:widowControl/>
        <w:ind w:left="705" w:right="45" w:hanging="15"/>
        <w:spacing w:after="45"/>
        <w:tabs>
          <w:tab w:val="left" w:pos="1275"/>
        </w:tabs>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pPr>
        <w:jc w:val="both"/>
        <w:widowControl/>
        <w:ind w:left="705" w:right="45" w:hanging="15"/>
        <w:spacing w:after="45"/>
        <w:tabs>
          <w:tab w:val="left" w:pos="1275"/>
        </w:tabs>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pPr>
        <w:jc w:val="both"/>
        <w:widowControl/>
        <w:ind w:left="705" w:right="45" w:hanging="15"/>
        <w:spacing w:after="45"/>
        <w:tabs>
          <w:tab w:val="left" w:pos="1275"/>
        </w:tabs>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705" w:right="45" w:hanging="15"/>
        <w:spacing w:after="45"/>
        <w:tabs>
          <w:tab w:val="left" w:pos="1275"/>
        </w:tabs>
      </w:pPr>
      <w:r>
        <w:rPr>
          <w:b/>
          <w:sz w:val="22"/>
        </w:rPr>
        <w:t>1.1.32 –</w:t>
      </w:r>
      <w:r>
        <w:rPr>
          <w:sz w:val="22"/>
        </w:rPr>
        <w:t xml:space="preserve"> Indicar preposto para representá-lo durante toda a execução do contrato;</w:t>
      </w:r>
    </w:p>
    <w:p>
      <w:pPr>
        <w:jc w:val="both"/>
        <w:widowControl/>
        <w:ind w:left="705" w:right="45" w:hanging="15"/>
        <w:spacing w:after="45"/>
        <w:tabs>
          <w:tab w:val="left" w:pos="1275"/>
        </w:tabs>
      </w:pPr>
      <w:r>
        <w:rPr>
          <w:b/>
          <w:sz w:val="22"/>
        </w:rPr>
        <w:t>1.1.33 -</w:t>
      </w:r>
      <w:r>
        <w:rPr>
          <w:sz w:val="22"/>
        </w:rPr>
        <w:t xml:space="preserve"> Manter instalações adequadas à execução do contrato;</w:t>
      </w:r>
    </w:p>
    <w:p>
      <w:pPr>
        <w:jc w:val="both"/>
        <w:widowControl/>
        <w:ind w:left="705" w:right="45" w:hanging="15"/>
        <w:spacing w:after="45"/>
        <w:tabs>
          <w:tab w:val="left" w:pos="1275"/>
        </w:tabs>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705" w:right="45" w:hanging="15"/>
        <w:spacing w:after="45"/>
        <w:tabs>
          <w:tab w:val="left" w:pos="1275"/>
        </w:tabs>
      </w:pPr>
      <w:r>
        <w:rPr>
          <w:b/>
          <w:sz w:val="22"/>
        </w:rPr>
        <w:t xml:space="preserve">1.1.35 - </w:t>
      </w:r>
      <w:r>
        <w:rPr>
          <w:sz w:val="22"/>
        </w:rPr>
        <w:t>Fornecer toda a mão de obra, ferramental, equipamentos e materiais necessários à execução dos serviços.</w:t>
      </w:r>
    </w:p>
    <w:p>
      <w:pPr>
        <w:jc w:val="both"/>
        <w:widowControl/>
        <w:ind w:left="705" w:right="45" w:hanging="15"/>
        <w:spacing w:after="45"/>
        <w:tabs>
          <w:tab w:val="left" w:pos="1275"/>
        </w:tabs>
      </w:pPr>
      <w:r>
        <w:rPr>
          <w:b/>
          <w:sz w:val="22"/>
        </w:rPr>
        <w:t>1.1.36 -</w:t>
      </w:r>
      <w:r>
        <w:rPr>
          <w:sz w:val="22"/>
        </w:rPr>
        <w:t xml:space="preserve"> Realizar todos os serviços descritos neste documento, e, diligenciar os casos omissos a fiscalização.</w:t>
      </w:r>
    </w:p>
    <w:p>
      <w:pPr>
        <w:jc w:val="both"/>
        <w:widowControl/>
        <w:ind w:left="705" w:right="45" w:hanging="15"/>
        <w:spacing w:after="45"/>
        <w:tabs>
          <w:tab w:val="left" w:pos="1275"/>
        </w:tabs>
      </w:pPr>
      <w:r>
        <w:rPr>
          <w:b/>
          <w:sz w:val="22"/>
        </w:rPr>
        <w:t>1.1.37 -</w:t>
      </w:r>
      <w:r>
        <w:rPr>
          <w:sz w:val="22"/>
        </w:rPr>
        <w:t xml:space="preserve"> Providenciar equipamentos de segurança individuais e coletivos necessários à segurança na execução dos trabalhos, observando as normas de Segurança e Medicina do Trabalho.</w:t>
      </w:r>
    </w:p>
    <w:p>
      <w:pPr>
        <w:jc w:val="both"/>
        <w:widowControl/>
        <w:ind w:left="705" w:right="45" w:hanging="15"/>
        <w:spacing w:after="45"/>
        <w:tabs>
          <w:tab w:val="left" w:pos="1275"/>
        </w:tabs>
      </w:pPr>
      <w:r>
        <w:rPr>
          <w:b/>
          <w:sz w:val="22"/>
        </w:rPr>
        <w:t>1.1.38 -</w:t>
      </w:r>
      <w:r>
        <w:rPr>
          <w:sz w:val="22"/>
        </w:rPr>
        <w:t xml:space="preserve"> Sinalizar, com equipamento adequado, conforme as normas e de acordo com as exigências do Código Nacional de Trânsito, os locais onde estiverem sendo executados os serviços.</w:t>
      </w:r>
    </w:p>
    <w:p>
      <w:pPr>
        <w:jc w:val="both"/>
        <w:widowControl/>
        <w:ind w:left="705" w:right="45" w:hanging="15"/>
        <w:spacing w:after="45"/>
        <w:tabs>
          <w:tab w:val="left" w:pos="1275"/>
        </w:tabs>
      </w:pPr>
      <w:r>
        <w:rPr>
          <w:b/>
          <w:sz w:val="22"/>
        </w:rPr>
        <w:t>1.1.39 -</w:t>
      </w:r>
      <w:r>
        <w:rPr>
          <w:sz w:val="22"/>
        </w:rPr>
        <w:t xml:space="preserve"> Utilizar somente pessoal comprovadamente habilitado para todos os serviços técnicos e administrativos.</w:t>
      </w:r>
    </w:p>
    <w:p>
      <w:pPr>
        <w:jc w:val="both"/>
        <w:widowControl/>
        <w:ind w:left="705" w:right="45" w:hanging="15"/>
        <w:spacing w:after="45"/>
        <w:tabs>
          <w:tab w:val="left" w:pos="1275"/>
        </w:tabs>
      </w:pPr>
      <w:r>
        <w:rPr>
          <w:b/>
          <w:sz w:val="22"/>
        </w:rPr>
        <w:t>1.1.40 -</w:t>
      </w:r>
      <w:r>
        <w:rPr>
          <w:sz w:val="22"/>
        </w:rPr>
        <w:t xml:space="preserve"> Manter seus empregados identificados e uniformizados.</w:t>
      </w:r>
    </w:p>
    <w:p>
      <w:pPr>
        <w:jc w:val="both"/>
        <w:widowControl/>
        <w:ind w:left="705" w:right="45" w:hanging="15"/>
        <w:spacing w:after="45"/>
        <w:tabs>
          <w:tab w:val="left" w:pos="1275"/>
        </w:tabs>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pPr>
        <w:jc w:val="both"/>
        <w:widowControl/>
        <w:ind w:left="705" w:right="45" w:hanging="15"/>
        <w:spacing w:after="45"/>
        <w:tabs>
          <w:tab w:val="left" w:pos="1275"/>
        </w:tabs>
      </w:pPr>
      <w:r>
        <w:rPr>
          <w:b/>
          <w:sz w:val="22"/>
        </w:rPr>
        <w:t>1.1.42 –</w:t>
      </w:r>
      <w:r>
        <w:rPr>
          <w:sz w:val="22"/>
        </w:rPr>
        <w:t xml:space="preserve"> Emitir nota fiscal/documento fiscal, de acordo com a cláusula décima primeira do presente contrato.</w:t>
      </w:r>
    </w:p>
    <w:p>
      <w:pPr>
        <w:jc w:val="both"/>
        <w:widowControl/>
        <w:ind w:left="705" w:right="45" w:hanging="15"/>
        <w:spacing w:after="45"/>
        <w:tabs>
          <w:tab w:val="left" w:pos="1275"/>
        </w:tabs>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pPr>
        <w:jc w:val="both"/>
        <w:widowControl/>
        <w:ind w:right="45"/>
        <w:spacing w:after="45"/>
        <w:shd w:val="clear" w:color="auto" w:fill="0D0D0D"/>
        <w:tabs>
          <w:tab w:val="left" w:pos="285"/>
        </w:tabs>
        <w:numPr>
          <w:ilvl w:val="0"/>
          <w:numId w:val="36"/>
        </w:numPr>
      </w:pPr>
      <w:r/>
      <w:r>
        <w:rPr>
          <w:b/>
          <w:sz w:val="22"/>
          <w:color w:val="FFFFFF"/>
        </w:rPr>
        <w:t>– Obrigações da CONTRATANTE:</w:t>
      </w:r>
    </w:p>
    <w:p>
      <w:pPr>
        <w:jc w:val="both"/>
        <w:widowControl/>
        <w:ind w:right="45"/>
        <w:spacing w:after="45"/>
        <w:numPr>
          <w:ilvl w:val="1"/>
          <w:numId w:val="67"/>
        </w:numPr>
      </w:pPr>
      <w:r/>
      <w:r>
        <w:rPr>
          <w:sz w:val="22"/>
        </w:rPr>
        <w:t>- Receber o objeto no prazo e condições estabelecidas no Edital e seus anexos, no Termo de Referência e no presente contrato;.</w:t>
      </w:r>
    </w:p>
    <w:p>
      <w:pPr>
        <w:jc w:val="both"/>
        <w:widowControl/>
        <w:ind w:right="45"/>
        <w:spacing w:after="45"/>
        <w:numPr>
          <w:ilvl w:val="1"/>
          <w:numId w:val="67"/>
        </w:numPr>
      </w:pPr>
      <w:r/>
      <w:r>
        <w:rPr>
          <w:sz w:val="22"/>
        </w:rPr>
        <w:t>– Exigir o cumprimento de todas as obrigações assumidas pela Contratada, de acordo com o contrato e demais documentos anexos;</w:t>
      </w:r>
    </w:p>
    <w:p>
      <w:pPr>
        <w:jc w:val="both"/>
        <w:widowControl/>
        <w:ind w:right="45"/>
        <w:spacing w:after="45"/>
        <w:numPr>
          <w:ilvl w:val="1"/>
          <w:numId w:val="67"/>
        </w:numPr>
      </w:pPr>
      <w: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widowControl/>
        <w:ind w:right="45"/>
        <w:spacing w:after="45"/>
        <w:numPr>
          <w:ilvl w:val="1"/>
          <w:numId w:val="67"/>
        </w:numPr>
      </w:pPr>
      <w:r/>
      <w:r>
        <w:rPr>
          <w:sz w:val="22"/>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widowControl/>
        <w:ind w:right="45"/>
        <w:spacing w:after="45"/>
        <w:numPr>
          <w:ilvl w:val="1"/>
          <w:numId w:val="67"/>
        </w:numPr>
      </w:pPr>
      <w:r/>
      <w:r>
        <w:rPr>
          <w:sz w:val="22"/>
        </w:rPr>
        <w:t>– Acompanhar e fiscalizar a execução do contrato e o cumprimento das obrigações pela Contratada, por meio de servidor especialmente designado;</w:t>
      </w:r>
    </w:p>
    <w:p>
      <w:pPr>
        <w:jc w:val="both"/>
        <w:widowControl/>
        <w:ind w:right="45"/>
        <w:spacing w:after="45"/>
        <w:numPr>
          <w:ilvl w:val="1"/>
          <w:numId w:val="67"/>
        </w:numPr>
      </w:pPr>
      <w: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widowControl/>
        <w:ind w:right="45"/>
        <w:spacing w:after="45"/>
        <w:numPr>
          <w:ilvl w:val="1"/>
          <w:numId w:val="67"/>
        </w:numPr>
      </w:pPr>
      <w:r/>
      <w:r>
        <w:rPr>
          <w:sz w:val="22"/>
        </w:rPr>
        <w:t>– Efetuar o pagamento a Contratada do valor correspondente ao fornecimento/execução do objeto, no prazo, forma e condições estabelecidas no presente contrato;</w:t>
      </w:r>
    </w:p>
    <w:p>
      <w:pPr>
        <w:jc w:val="both"/>
        <w:widowControl/>
        <w:ind w:right="45"/>
        <w:spacing w:after="45"/>
        <w:numPr>
          <w:ilvl w:val="1"/>
          <w:numId w:val="67"/>
        </w:numPr>
      </w:pPr>
      <w:r/>
      <w:r>
        <w:rPr>
          <w:sz w:val="22"/>
        </w:rPr>
        <w:t>– Aplicar a Contratada as sanções previstas em Lei e no presente contrato;</w:t>
      </w:r>
    </w:p>
    <w:p>
      <w:pPr>
        <w:jc w:val="both"/>
        <w:widowControl/>
        <w:ind w:right="45"/>
        <w:spacing w:after="45"/>
        <w:numPr>
          <w:ilvl w:val="1"/>
          <w:numId w:val="67"/>
        </w:numPr>
      </w:pPr>
      <w: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ind w:right="45"/>
        <w:spacing w:after="45"/>
        <w:tabs>
          <w:tab w:val="left" w:pos="855"/>
        </w:tabs>
        <w:numPr>
          <w:ilvl w:val="1"/>
          <w:numId w:val="67"/>
        </w:numPr>
      </w:pPr>
      <w: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pPr>
        <w:jc w:val="both"/>
        <w:widowControl/>
        <w:ind w:left="855" w:right="45" w:hanging="15"/>
        <w:spacing w:after="45"/>
      </w:pPr>
      <w:r>
        <w:rPr>
          <w:sz w:val="22"/>
        </w:rPr>
        <w:t>a) O prazo estipulado no presente inciso poderá ser prorrogado por igual período, desde que devidamente motivado pela autoridade competente.</w:t>
      </w:r>
    </w:p>
    <w:p>
      <w:pPr>
        <w:jc w:val="both"/>
        <w:widowControl/>
        <w:ind w:left="420" w:right="45" w:hanging="15"/>
        <w:spacing w:after="45"/>
      </w:pPr>
      <w:r>
        <w:rPr>
          <w:b/>
          <w:sz w:val="22"/>
        </w:rPr>
        <w:t>2.12 –</w:t>
      </w:r>
      <w:r>
        <w:rPr>
          <w:sz w:val="22"/>
        </w:rPr>
        <w:t xml:space="preserve"> Notificar os emitentes da (s) garantia (s) no contrato, quanto ao início de processo administrativo para apuração de descumprimento de cláusulas contratuais.</w:t>
      </w:r>
    </w:p>
    <w:p>
      <w:pPr>
        <w:jc w:val="both"/>
        <w:widowControl/>
        <w:ind w:left="420" w:right="45" w:hanging="15"/>
        <w:spacing w:after="45"/>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pPr>
        <w:jc w:val="both"/>
        <w:widowControl/>
        <w:ind w:left="60" w:right="45" w:hanging="15"/>
        <w:spacing w:after="45"/>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 DOS MATERIAIS, VEÍCULOS, MÁQUINAS E EQUIPAMENTOS</w:t>
      </w:r>
    </w:p>
    <w:p>
      <w:pPr>
        <w:jc w:val="both"/>
        <w:widowControl/>
        <w:ind w:left="60" w:right="45" w:hanging="15"/>
        <w:spacing w:after="45"/>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pPr>
        <w:jc w:val="both"/>
        <w:widowControl/>
        <w:ind w:left="60" w:right="45" w:hanging="15"/>
        <w:spacing w:after="45"/>
      </w:pPr>
      <w:r>
        <w:rPr>
          <w:b/>
          <w:sz w:val="22"/>
        </w:rPr>
        <w:t>Parágrafo Primeiro:</w:t>
      </w:r>
      <w:r>
        <w:rPr>
          <w:sz w:val="22"/>
        </w:rPr>
        <w:t xml:space="preserve"> A responsabilidade pelo fornecimento em tempo hábil dos materiais, veículos, máquinas e equipamentos será, exclusivamente, da CONTRATADA.</w:t>
      </w:r>
    </w:p>
    <w:p>
      <w:pPr>
        <w:jc w:val="both"/>
        <w:widowControl/>
        <w:ind w:left="60" w:right="45" w:hanging="15"/>
        <w:spacing w:after="45"/>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PRIMEIRA - DA SEGURANÇA DA OBRA</w:t>
      </w:r>
    </w:p>
    <w:p>
      <w:pPr>
        <w:jc w:val="both"/>
        <w:widowControl/>
        <w:ind w:left="60" w:right="45" w:hanging="15"/>
        <w:spacing w:after="45"/>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SEGUNDA – DA RESPONSABILIDADE CIVIL DA CONTRATADA</w:t>
      </w:r>
    </w:p>
    <w:p>
      <w:pPr>
        <w:jc w:val="both"/>
        <w:widowControl/>
        <w:ind w:left="60" w:right="45" w:hanging="15"/>
        <w:spacing w:after="45"/>
      </w:pPr>
      <w:r>
        <w:rPr>
          <w:b/>
          <w:sz w:val="22"/>
        </w:rPr>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TERCEIRA – PRAZO E CONDIÇÕES PARA ASSINATURA DO CONTRATO</w:t>
      </w:r>
    </w:p>
    <w:p>
      <w:pPr>
        <w:jc w:val="both"/>
        <w:widowControl/>
        <w:ind w:left="60" w:right="45" w:hanging="15"/>
        <w:spacing w:after="45"/>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pPr>
        <w:jc w:val="both"/>
        <w:widowControl/>
        <w:ind w:left="60" w:right="45" w:hanging="15"/>
        <w:spacing w:after="45"/>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QUARTA – DA ALTERAÇÃO DO CONTRATO – AUMENTO E SUPRESSÃO</w:t>
      </w:r>
    </w:p>
    <w:p>
      <w:pPr>
        <w:jc w:val="both"/>
        <w:widowControl/>
        <w:ind w:right="45"/>
        <w:spacing w:after="45"/>
        <w:numPr>
          <w:ilvl w:val="0"/>
          <w:numId w:val="77"/>
        </w:numPr>
      </w:pPr>
      <w:r/>
      <w:r>
        <w:rPr>
          <w:sz w:val="22"/>
        </w:rPr>
        <w:t>– A critério da Administração, o objeto da presente licitação poderá sofrer acréscimos ou supressões, de acordo com oart. 125 da Lei Federal nº 14.133/21.</w:t>
      </w:r>
    </w:p>
    <w:p>
      <w:pPr>
        <w:jc w:val="both"/>
        <w:widowControl/>
        <w:ind w:right="45"/>
        <w:spacing w:after="45"/>
        <w:numPr>
          <w:ilvl w:val="0"/>
          <w:numId w:val="77"/>
        </w:numPr>
      </w:pPr>
      <w: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pPr>
        <w:jc w:val="both"/>
        <w:widowControl/>
        <w:ind w:right="45"/>
        <w:spacing w:after="45"/>
        <w:numPr>
          <w:ilvl w:val="0"/>
          <w:numId w:val="77"/>
        </w:numPr>
      </w:pPr>
      <w:r/>
      <w:r>
        <w:rPr>
          <w:sz w:val="22"/>
        </w:rPr>
        <w:t>– Nenhum acréscimo ou supressão poderá exceder o limite estabelecido neste item, exceto as supressões resultantes de acordo entre as partes.</w:t>
      </w:r>
    </w:p>
    <w:p>
      <w:pPr>
        <w:jc w:val="both"/>
        <w:widowControl/>
        <w:ind w:right="45"/>
        <w:spacing w:after="45"/>
        <w:numPr>
          <w:ilvl w:val="0"/>
          <w:numId w:val="77"/>
        </w:numPr>
      </w:pPr>
      <w:r/>
      <w:r>
        <w:rPr>
          <w:sz w:val="22"/>
        </w:rPr>
        <w:t>– Se no contrato não houver sido contemplados preços unitários para a obra, esses serão fixados mediante acordo entre as partes, respeitando os limites estabelecidos no caput desta cláusula.</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QUINTA – DO RECEBIMENTO DOS SERVIÇOS, DA ACEITAÇÃO E DA POSSE</w:t>
      </w:r>
    </w:p>
    <w:p>
      <w:pPr>
        <w:jc w:val="both"/>
        <w:widowControl/>
        <w:ind w:left="60" w:right="45" w:hanging="15"/>
        <w:spacing w:after="45"/>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pPr>
        <w:jc w:val="both"/>
        <w:widowControl/>
        <w:ind w:left="60" w:right="45" w:hanging="15"/>
        <w:spacing w:after="45"/>
      </w:pPr>
      <w:r>
        <w:rPr>
          <w:b/>
          <w:sz w:val="22"/>
        </w:rPr>
        <w:t>Parágrafo Primeiro:</w:t>
      </w:r>
      <w:r>
        <w:rPr>
          <w:sz w:val="22"/>
        </w:rPr>
        <w:t xml:space="preserve"> O recebimento provisório ou definitivo não exclui a responsabilidade civil pela qualidade da obra, nem a ético-profissional, pela perfeita execução do contrato.</w:t>
      </w:r>
    </w:p>
    <w:p>
      <w:pPr>
        <w:jc w:val="both"/>
        <w:widowControl/>
        <w:ind w:left="60" w:right="45" w:hanging="15"/>
        <w:spacing w:after="45"/>
      </w:pPr>
      <w:r>
        <w:rPr>
          <w:b/>
          <w:sz w:val="22"/>
        </w:rPr>
        <w:t>Parágrafo Segundo:</w:t>
      </w:r>
      <w:r>
        <w:rPr>
          <w:sz w:val="22"/>
        </w:rPr>
        <w:t xml:space="preserve"> O CONTRATANTE toma posse do Canteiro de Obras e do objeto do contrato dentro de 03 (três) dias da data da formalização do Termo de Recebimento Definitivo.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SEXTA – DA DOTAÇÃO ORÇAMENTÁRIA</w:t>
      </w:r>
    </w:p>
    <w:p>
      <w:pPr>
        <w:jc w:val="both"/>
        <w:widowControl/>
        <w:ind w:left="60" w:right="45" w:hanging="15"/>
        <w:spacing w:after="45"/>
      </w:pPr>
      <w:r>
        <w:rPr>
          <w:b/>
          <w:sz w:val="22"/>
        </w:rPr>
        <w:t>I –</w:t>
      </w:r>
      <w:r>
        <w:rPr>
          <w:sz w:val="22"/>
        </w:rPr>
        <w:t xml:space="preserve"> As despesas com o presente contrato correrão por conta da seguinte dotação orçamentária:</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90"/>
        <w:gridCol w:w="990"/>
        <w:gridCol w:w="3405"/>
        <w:gridCol w:w="990"/>
        <w:gridCol w:w="1800"/>
        <w:gridCol w:w="1800"/>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2026</w:t>
            </w:r>
          </w:p>
        </w:tc>
        <w:tc>
          <w:tcPr>
            <w:shd w:val="clear" w:color="auto" w:fill="FFFFFF"/>
          </w:tcPr>
          <w:p>
            <w:r>
              <w:t>7230</w:t>
            </w:r>
          </w:p>
        </w:tc>
        <w:tc>
          <w:tcPr>
            <w:shd w:val="clear" w:color="auto" w:fill="FFFFFF"/>
          </w:tcPr>
          <w:p>
            <w:r>
              <w:t>04.001.27.812.0006.2054</w:t>
            </w:r>
          </w:p>
        </w:tc>
        <w:tc>
          <w:tcPr>
            <w:shd w:val="clear" w:color="auto" w:fill="FFFFFF"/>
          </w:tcPr>
          <w:p>
            <w:r>
              <w:t>1793</w:t>
            </w:r>
          </w:p>
        </w:tc>
        <w:tc>
          <w:tcPr>
            <w:shd w:val="clear" w:color="auto" w:fill="FFFFFF"/>
          </w:tcPr>
          <w:p>
            <w:r>
              <w:t>4.4.90.51.00.00</w:t>
            </w:r>
          </w:p>
        </w:tc>
        <w:tc>
          <w:tcPr>
            <w:shd w:val="clear" w:color="auto" w:fill="FFFFFF"/>
          </w:tcPr>
          <w:p>
            <w:r>
              <w:t>Do Exercício</w:t>
            </w:r>
          </w:p>
        </w:tc>
      </w:tr>
    </w:tbl>
    <w:p>
      <w:pPr>
        <w:jc w:val="center"/>
        <w:outlineLvl w:val="1"/>
        <w:widowControl/>
        <w:ind w:left="165"/>
        <w:spacing w:before="15"/>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CLAUSULA VIGÉSIMA SÉTIMA – DA RESCISÃO CONTRATUAL</w:t>
      </w:r>
    </w:p>
    <w:p>
      <w:pPr>
        <w:jc w:val="both"/>
        <w:widowControl/>
        <w:ind w:right="45"/>
        <w:spacing w:after="45"/>
        <w:numPr>
          <w:ilvl w:val="0"/>
          <w:numId w:val="90"/>
        </w:numPr>
      </w:pPr>
      <w:r/>
      <w:r>
        <w:rPr>
          <w:sz w:val="22"/>
        </w:rPr>
        <w:t>– A rescisão do presente contrato poderá ocorrer nas hipóteses e condições previstas nos artigos 137, 138 e 139 da Lei nº 14.133/2021, sem prejuízo da aplicação das sanções previstas no presente contrato.</w:t>
      </w:r>
    </w:p>
    <w:p>
      <w:pPr>
        <w:jc w:val="both"/>
        <w:widowControl/>
        <w:ind w:right="45"/>
        <w:spacing w:after="45"/>
        <w:numPr>
          <w:ilvl w:val="0"/>
          <w:numId w:val="90"/>
        </w:numPr>
      </w:pPr>
      <w:r/>
      <w:r>
        <w:rPr>
          <w:sz w:val="22"/>
        </w:rPr>
        <w:t>– Os casos de rescisão contratual serão formalmente motivados, assegurando-se à CONTRATADA o direito à prévia e ampla defesa.</w:t>
      </w:r>
    </w:p>
    <w:p>
      <w:pPr>
        <w:jc w:val="both"/>
        <w:widowControl/>
        <w:ind w:right="45"/>
        <w:spacing w:after="45"/>
        <w:numPr>
          <w:ilvl w:val="0"/>
          <w:numId w:val="90"/>
        </w:numPr>
      </w:pPr>
      <w:r/>
      <w:r>
        <w:rPr>
          <w:sz w:val="22"/>
        </w:rPr>
        <w:t>– O termo de rescisão será lavrado sob orientação da Controladoria do Município, no que couber.</w:t>
      </w:r>
    </w:p>
    <w:p>
      <w:pPr>
        <w:jc w:val="both"/>
        <w:widowControl/>
        <w:ind w:left="285" w:right="45" w:hanging="15"/>
        <w:spacing w:after="45"/>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pPr>
        <w:jc w:val="both"/>
        <w:widowControl/>
        <w:ind w:left="60" w:right="45" w:hanging="15"/>
        <w:spacing w:after="45"/>
      </w:pPr>
      <w:r>
        <w:rPr>
          <w:b/>
          <w:sz w:val="22"/>
        </w:rPr>
        <w:t>IV –</w:t>
      </w:r>
      <w:r>
        <w:rPr>
          <w:sz w:val="22"/>
        </w:rPr>
        <w:t xml:space="preserve"> O termo de rescisão, sempre que possível, deverá indicar:</w:t>
      </w:r>
    </w:p>
    <w:p>
      <w:pPr>
        <w:jc w:val="both"/>
        <w:widowControl/>
        <w:ind w:right="45"/>
        <w:spacing w:after="45"/>
        <w:numPr>
          <w:ilvl w:val="0"/>
          <w:numId w:val="82"/>
        </w:numPr>
      </w:pPr>
      <w:r/>
      <w:r>
        <w:rPr>
          <w:sz w:val="22"/>
        </w:rPr>
        <w:t xml:space="preserve"> Balanço dos eventos contratuais já cumpridos ou parcialmente cumpridos em relação ao cronograma físico-financeiro atualizado;</w:t>
      </w:r>
    </w:p>
    <w:p>
      <w:pPr>
        <w:jc w:val="both"/>
        <w:widowControl/>
        <w:ind w:right="45"/>
        <w:spacing w:after="45"/>
        <w:numPr>
          <w:ilvl w:val="0"/>
          <w:numId w:val="82"/>
        </w:numPr>
      </w:pPr>
      <w:r/>
      <w:r>
        <w:rPr>
          <w:sz w:val="22"/>
        </w:rPr>
        <w:t xml:space="preserve"> Relação dos pagamentos já efetuados e os ainda devidos;</w:t>
      </w:r>
    </w:p>
    <w:p>
      <w:pPr>
        <w:jc w:val="both"/>
        <w:widowControl/>
        <w:ind w:right="45"/>
        <w:spacing w:after="45"/>
        <w:numPr>
          <w:ilvl w:val="0"/>
          <w:numId w:val="82"/>
        </w:numPr>
      </w:pPr>
      <w:r/>
      <w:r>
        <w:rPr>
          <w:sz w:val="22"/>
        </w:rPr>
        <w:t xml:space="preserve"> Multas e eventuais indenizações.</w:t>
      </w:r>
    </w:p>
    <w:p>
      <w:pPr>
        <w:jc w:val="both"/>
        <w:widowControl/>
        <w:ind w:right="45"/>
        <w:spacing w:after="45"/>
        <w:numPr>
          <w:ilvl w:val="0"/>
          <w:numId w:val="42"/>
        </w:numPr>
      </w:pPr>
      <w:r/>
      <w:r>
        <w:rPr>
          <w:b/>
          <w:sz w:val="22"/>
        </w:rPr>
        <w:t xml:space="preserve">– </w:t>
      </w:r>
      <w:r>
        <w:rPr>
          <w:sz w:val="22"/>
        </w:rPr>
        <w:t>Rescindido o contrato, o CONTRATANTE assinalará prazo para que a CONTRATADA desmobilize o canteiro, deixando o bem imóvel inteiramente livre e desimpedido.</w:t>
      </w:r>
    </w:p>
    <w:p>
      <w:pPr>
        <w:jc w:val="both"/>
        <w:widowControl/>
        <w:ind w:right="45"/>
        <w:spacing w:after="45"/>
        <w:numPr>
          <w:ilvl w:val="0"/>
          <w:numId w:val="42"/>
        </w:numPr>
      </w:pPr>
      <w: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OITAVA – DA ANTICORRUPÇÃO</w:t>
      </w:r>
    </w:p>
    <w:p>
      <w:pPr>
        <w:jc w:val="both"/>
        <w:widowControl/>
        <w:ind w:left="60" w:right="45" w:hanging="15"/>
        <w:spacing w:after="45"/>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NONA – DAS INFRAÇÕES E SANÇÕES ADMINISTRATIVAS</w:t>
      </w:r>
    </w:p>
    <w:p>
      <w:pPr>
        <w:jc w:val="both"/>
        <w:widowControl/>
        <w:ind w:left="60" w:right="1560" w:hanging="15"/>
        <w:spacing w:after="45"/>
      </w:pPr>
      <w:r>
        <w:rPr>
          <w:b/>
          <w:sz w:val="22"/>
        </w:rPr>
        <w:t>I –</w:t>
      </w:r>
      <w:r>
        <w:rPr>
          <w:sz w:val="22"/>
        </w:rPr>
        <w:t xml:space="preserve"> Comete infração administrativa, nos termos da Lei Federal nº 14.133/2021, a CONTRATADA que: </w:t>
      </w:r>
    </w:p>
    <w:p>
      <w:pPr>
        <w:jc w:val="both"/>
        <w:widowControl/>
        <w:ind w:left="135" w:right="1560" w:hanging="15"/>
        <w:spacing w:after="45"/>
      </w:pPr>
      <w:r>
        <w:rPr>
          <w:b/>
          <w:sz w:val="22"/>
        </w:rPr>
        <w:t>a)</w:t>
      </w:r>
      <w:r>
        <w:rPr>
          <w:sz w:val="22"/>
        </w:rPr>
        <w:t xml:space="preserve"> der causa à inexecução parcial do contrato;</w:t>
      </w:r>
    </w:p>
    <w:p>
      <w:pPr>
        <w:jc w:val="both"/>
        <w:widowControl/>
        <w:ind w:right="45"/>
        <w:spacing w:after="45"/>
        <w:numPr>
          <w:ilvl w:val="0"/>
          <w:numId w:val="71"/>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71"/>
        </w:numPr>
      </w:pPr>
      <w:r/>
      <w:r>
        <w:rPr>
          <w:sz w:val="22"/>
        </w:rPr>
        <w:t xml:space="preserve"> der causa à inexecução total do contrato;</w:t>
      </w:r>
    </w:p>
    <w:p>
      <w:pPr>
        <w:jc w:val="both"/>
        <w:widowControl/>
        <w:ind w:right="45"/>
        <w:spacing w:after="45"/>
        <w:numPr>
          <w:ilvl w:val="0"/>
          <w:numId w:val="71"/>
        </w:numPr>
      </w:pPr>
      <w:r/>
      <w:r>
        <w:rPr>
          <w:sz w:val="22"/>
        </w:rPr>
        <w:t xml:space="preserve"> deixar de entregar a documentação exigida para o certame/execução do contrato;</w:t>
      </w:r>
    </w:p>
    <w:p>
      <w:pPr>
        <w:jc w:val="both"/>
        <w:widowControl/>
        <w:ind w:right="45"/>
        <w:spacing w:after="45"/>
        <w:numPr>
          <w:ilvl w:val="0"/>
          <w:numId w:val="71"/>
        </w:numPr>
      </w:pPr>
      <w:r/>
      <w:r>
        <w:rPr>
          <w:sz w:val="22"/>
        </w:rPr>
        <w:t xml:space="preserve"> não manter a proposta, salvo em decorrência de fato superveniente, devidamente justificado;</w:t>
      </w:r>
    </w:p>
    <w:p>
      <w:pPr>
        <w:jc w:val="both"/>
        <w:widowControl/>
        <w:ind w:right="45"/>
        <w:spacing w:after="45"/>
        <w:numPr>
          <w:ilvl w:val="0"/>
          <w:numId w:val="71"/>
        </w:numPr>
      </w:pPr>
      <w:r/>
      <w:r>
        <w:rPr>
          <w:sz w:val="22"/>
        </w:rPr>
        <w:t xml:space="preserve"> não celebrar o contrato ou não entregar a documentação exigida para a contratação, quando convocado dentro do prazo de validade de sua proposta e/ou prazo previsto no presente contrato;</w:t>
      </w:r>
    </w:p>
    <w:p>
      <w:pPr>
        <w:jc w:val="both"/>
        <w:widowControl/>
        <w:ind w:right="45"/>
        <w:spacing w:after="45"/>
        <w:numPr>
          <w:ilvl w:val="0"/>
          <w:numId w:val="71"/>
        </w:numPr>
      </w:pPr>
      <w:r/>
      <w:r>
        <w:rPr>
          <w:sz w:val="22"/>
        </w:rPr>
        <w:t xml:space="preserve"> ensejar o retardamento da execução ou da entrega do objeto da contratação sem motivo justificado;</w:t>
      </w:r>
    </w:p>
    <w:p>
      <w:pPr>
        <w:jc w:val="both"/>
        <w:widowControl/>
        <w:ind w:right="45"/>
        <w:spacing w:after="45"/>
        <w:numPr>
          <w:ilvl w:val="0"/>
          <w:numId w:val="71"/>
        </w:numPr>
      </w:pPr>
      <w:r/>
      <w:r>
        <w:rPr>
          <w:sz w:val="22"/>
        </w:rPr>
        <w:t xml:space="preserve"> apresentar declaração ou documentação falsa exigida para o certame e/ou contato, ou prestar declaração falsa durante o processo licitatório ou execução do contrato;</w:t>
      </w:r>
    </w:p>
    <w:p>
      <w:pPr>
        <w:jc w:val="both"/>
        <w:widowControl/>
        <w:ind w:right="45"/>
        <w:spacing w:after="45"/>
        <w:numPr>
          <w:ilvl w:val="0"/>
          <w:numId w:val="71"/>
        </w:numPr>
      </w:pPr>
      <w:r/>
      <w:r>
        <w:rPr>
          <w:sz w:val="22"/>
        </w:rPr>
        <w:t xml:space="preserve"> fraudar a contratação ou praticar ato fraudulento na execução do contrato;</w:t>
      </w:r>
    </w:p>
    <w:p>
      <w:pPr>
        <w:jc w:val="both"/>
        <w:widowControl/>
        <w:ind w:right="45"/>
        <w:spacing w:after="45"/>
        <w:numPr>
          <w:ilvl w:val="0"/>
          <w:numId w:val="71"/>
        </w:numPr>
      </w:pPr>
      <w:r/>
      <w:r>
        <w:rPr>
          <w:sz w:val="22"/>
        </w:rPr>
        <w:t xml:space="preserve"> comportar-se de modo inidôneo ou cometer fraude de qualquer natureza;</w:t>
      </w:r>
    </w:p>
    <w:p>
      <w:pPr>
        <w:jc w:val="both"/>
        <w:widowControl/>
        <w:ind w:right="45"/>
        <w:spacing w:after="45"/>
        <w:numPr>
          <w:ilvl w:val="0"/>
          <w:numId w:val="71"/>
        </w:numPr>
      </w:pPr>
      <w:r/>
      <w:r>
        <w:rPr>
          <w:sz w:val="22"/>
        </w:rPr>
        <w:t xml:space="preserve"> praticar atos ilícitos com vistas a frustrar os objetivos da contratação;</w:t>
      </w:r>
    </w:p>
    <w:p>
      <w:pPr>
        <w:jc w:val="both"/>
        <w:widowControl/>
        <w:ind w:right="45"/>
        <w:spacing w:after="45"/>
        <w:numPr>
          <w:ilvl w:val="0"/>
          <w:numId w:val="71"/>
        </w:numPr>
      </w:pPr>
      <w:r/>
      <w:r>
        <w:rPr>
          <w:sz w:val="22"/>
        </w:rPr>
        <w:t xml:space="preserve"> praticar ato lesivo, previsto no artigo 5º, da Lei nº 12.846 de 1º de agosto de 2013;</w:t>
      </w:r>
    </w:p>
    <w:p>
      <w:pPr>
        <w:jc w:val="both"/>
        <w:widowControl/>
        <w:ind w:left="60" w:right="45" w:hanging="15"/>
        <w:spacing w:after="45"/>
      </w:pPr>
      <w:r>
        <w:rPr>
          <w:b/>
          <w:sz w:val="22"/>
        </w:rPr>
        <w:t>II –</w:t>
      </w:r>
      <w:r>
        <w:rPr>
          <w:sz w:val="22"/>
        </w:rPr>
        <w:t xml:space="preserve"> Serão aplicadas ao responsável pelas infrações administrativas acima descritas, as seguintes sanções:</w:t>
      </w:r>
    </w:p>
    <w:p>
      <w:pPr>
        <w:jc w:val="both"/>
        <w:widowControl/>
        <w:ind w:right="45"/>
        <w:spacing w:after="45"/>
        <w:numPr>
          <w:ilvl w:val="0"/>
          <w:numId w:val="79"/>
        </w:numPr>
      </w:pPr>
      <w:r/>
      <w:r>
        <w:rPr>
          <w:sz w:val="22"/>
        </w:rPr>
        <w:t xml:space="preserve"> Advertência, quando a Contratada der causa à inexecução parcial do contrato, sempre que não se justificar a imposição de penalidade mais grave (artigo 156, §2º da Lei Federal nº 14.133/2021);</w:t>
      </w:r>
    </w:p>
    <w:p>
      <w:pPr>
        <w:jc w:val="both"/>
        <w:widowControl/>
        <w:ind w:right="45"/>
        <w:spacing w:after="45"/>
        <w:numPr>
          <w:ilvl w:val="0"/>
          <w:numId w:val="79"/>
        </w:numPr>
      </w:pPr>
      <w: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pPr>
        <w:jc w:val="both"/>
        <w:widowControl/>
        <w:ind w:right="45"/>
        <w:spacing w:after="45"/>
        <w:numPr>
          <w:ilvl w:val="0"/>
          <w:numId w:val="79"/>
        </w:numPr>
      </w:pPr>
      <w: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pPr>
        <w:jc w:val="both"/>
        <w:widowControl/>
        <w:ind w:right="45"/>
        <w:spacing w:after="45"/>
        <w:numPr>
          <w:ilvl w:val="0"/>
          <w:numId w:val="79"/>
        </w:numPr>
      </w:pPr>
      <w:r/>
      <w:r>
        <w:rPr>
          <w:sz w:val="22"/>
        </w:rPr>
        <w:t xml:space="preserve"> Multa:</w:t>
      </w:r>
    </w:p>
    <w:p>
      <w:pPr>
        <w:jc w:val="both"/>
        <w:widowControl/>
        <w:ind w:right="45"/>
        <w:spacing w:after="45"/>
        <w:numPr>
          <w:ilvl w:val="0"/>
          <w:numId w:val="65"/>
        </w:numPr>
      </w:pPr>
      <w:r/>
      <w:r>
        <w:rPr>
          <w:sz w:val="22"/>
        </w:rPr>
        <w:t xml:space="preserve"> Moratória de 1% (um por cento) por dia de atraso injustificado sobre o valor da parcela inadimplida, até o limite de 30 (trinta) dias;</w:t>
      </w:r>
    </w:p>
    <w:p>
      <w:pPr>
        <w:jc w:val="both"/>
        <w:widowControl/>
        <w:ind w:left="570" w:right="45" w:firstLine="15"/>
        <w:spacing w:after="45"/>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pPr>
        <w:jc w:val="both"/>
        <w:widowControl/>
        <w:ind w:left="270" w:right="45" w:firstLine="15"/>
        <w:spacing w:after="45"/>
        <w:tabs>
          <w:tab w:val="left" w:pos="570"/>
        </w:tabs>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pPr>
        <w:widowControl/>
        <w:ind w:left="60" w:right="45" w:hanging="15"/>
        <w:spacing w:after="4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pPr>
        <w:jc w:val="both"/>
        <w:widowControl/>
        <w:ind w:right="45"/>
        <w:spacing w:after="45"/>
        <w:numPr>
          <w:ilvl w:val="0"/>
          <w:numId w:val="64"/>
        </w:numPr>
      </w:pPr>
      <w:r/>
      <w:r>
        <w:rPr>
          <w:b/>
          <w:sz w:val="22"/>
        </w:rPr>
        <w:t xml:space="preserve">– </w:t>
      </w:r>
      <w:r>
        <w:rPr>
          <w:sz w:val="22"/>
        </w:rPr>
        <w:t>Antes da aplicação de multa será facultada a defesa do interessado, no prazo de 15 (quinze) dias úteis, contados da data de sua intimação (artigo 157, da Lei Federal nº 14.133/2021);</w:t>
      </w:r>
    </w:p>
    <w:p>
      <w:pPr>
        <w:jc w:val="both"/>
        <w:widowControl/>
        <w:ind w:right="45"/>
        <w:spacing w:after="45"/>
        <w:numPr>
          <w:ilvl w:val="0"/>
          <w:numId w:val="64"/>
        </w:numPr>
      </w:pPr>
      <w: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pPr>
        <w:jc w:val="both"/>
        <w:widowControl/>
        <w:ind w:right="45"/>
        <w:spacing w:after="45"/>
        <w:numPr>
          <w:ilvl w:val="0"/>
          <w:numId w:val="64"/>
        </w:numPr>
      </w:pPr>
      <w: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pPr>
        <w:jc w:val="both"/>
        <w:widowControl/>
        <w:ind w:right="45"/>
        <w:spacing w:after="45"/>
        <w:numPr>
          <w:ilvl w:val="0"/>
          <w:numId w:val="64"/>
        </w:numPr>
      </w:pPr>
      <w: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pPr>
        <w:jc w:val="both"/>
        <w:widowControl/>
        <w:ind w:right="45"/>
        <w:spacing w:after="45"/>
        <w:numPr>
          <w:ilvl w:val="0"/>
          <w:numId w:val="64"/>
        </w:numPr>
      </w:pPr>
      <w:r/>
      <w:r>
        <w:rPr>
          <w:sz w:val="22"/>
        </w:rPr>
        <w:t xml:space="preserve"> – Na aplicação das sanções serão considerados (art. 156, §1º):</w:t>
      </w:r>
    </w:p>
    <w:p>
      <w:pPr>
        <w:jc w:val="both"/>
        <w:widowControl/>
        <w:ind w:right="45"/>
        <w:spacing w:after="45"/>
        <w:numPr>
          <w:ilvl w:val="0"/>
          <w:numId w:val="94"/>
        </w:numPr>
      </w:pPr>
      <w:r/>
      <w:r>
        <w:rPr>
          <w:sz w:val="22"/>
        </w:rPr>
        <w:t xml:space="preserve"> A natureza e a gravidade da infração cometida;</w:t>
      </w:r>
    </w:p>
    <w:p>
      <w:pPr>
        <w:jc w:val="both"/>
        <w:widowControl/>
        <w:ind w:right="45"/>
        <w:spacing w:after="45"/>
        <w:numPr>
          <w:ilvl w:val="0"/>
          <w:numId w:val="94"/>
        </w:numPr>
      </w:pPr>
      <w:r/>
      <w:r>
        <w:rPr>
          <w:sz w:val="22"/>
        </w:rPr>
        <w:t xml:space="preserve"> As peculiaridades do caso concreto;</w:t>
      </w:r>
    </w:p>
    <w:p>
      <w:pPr>
        <w:jc w:val="both"/>
        <w:widowControl/>
        <w:ind w:right="45"/>
        <w:spacing w:after="45"/>
        <w:numPr>
          <w:ilvl w:val="0"/>
          <w:numId w:val="94"/>
        </w:numPr>
      </w:pPr>
      <w:r/>
      <w:r>
        <w:rPr>
          <w:sz w:val="22"/>
        </w:rPr>
        <w:t xml:space="preserve"> As circunstâncias agravantes ou atenuantes;</w:t>
      </w:r>
    </w:p>
    <w:p>
      <w:pPr>
        <w:jc w:val="both"/>
        <w:widowControl/>
        <w:ind w:right="45"/>
        <w:spacing w:after="45"/>
        <w:numPr>
          <w:ilvl w:val="0"/>
          <w:numId w:val="94"/>
        </w:numPr>
      </w:pPr>
      <w:r/>
      <w:r>
        <w:rPr>
          <w:sz w:val="22"/>
        </w:rPr>
        <w:t xml:space="preserve"> Os danos que dela provierem para ao Contratante;</w:t>
      </w:r>
    </w:p>
    <w:p>
      <w:pPr>
        <w:jc w:val="both"/>
        <w:widowControl/>
        <w:ind w:right="45"/>
        <w:spacing w:after="45"/>
        <w:numPr>
          <w:ilvl w:val="0"/>
          <w:numId w:val="94"/>
        </w:numPr>
      </w:pPr>
      <w:r/>
      <w:r>
        <w:rPr>
          <w:sz w:val="22"/>
        </w:rPr>
        <w:t xml:space="preserve"> A implantação ou o aperfeiçoamento de programa de integridade, conforme normas e orientações dos órgãos de controle.</w:t>
      </w:r>
    </w:p>
    <w:p>
      <w:pPr>
        <w:jc w:val="both"/>
        <w:widowControl/>
        <w:ind w:left="60" w:right="45" w:hanging="15"/>
        <w:spacing w:after="45"/>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pPr>
        <w:jc w:val="both"/>
        <w:widowControl/>
        <w:ind w:left="60" w:right="45" w:hanging="15"/>
        <w:spacing w:after="45"/>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60" w:right="45" w:hanging="15"/>
        <w:spacing w:after="45"/>
      </w:pPr>
      <w:r>
        <w:rPr>
          <w:b/>
          <w:sz w:val="22"/>
        </w:rPr>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widowControl/>
        <w:ind w:left="60" w:right="45" w:hanging="15"/>
        <w:spacing w:after="45"/>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60" w:right="45" w:hanging="15"/>
        <w:spacing w:after="45"/>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 DA EXTINÇÃO DO CONTRATO</w:t>
      </w:r>
    </w:p>
    <w:p>
      <w:pPr>
        <w:jc w:val="both"/>
        <w:widowControl/>
        <w:ind w:right="45"/>
        <w:spacing w:after="45"/>
        <w:numPr>
          <w:ilvl w:val="0"/>
          <w:numId w:val="88"/>
        </w:numPr>
      </w:pPr>
      <w:r/>
      <w:r>
        <w:rPr>
          <w:sz w:val="22"/>
        </w:rPr>
        <w:t>– O contrato se extingue quando vencido o prazo nele estipulado, independentemente de terem sido cumpridas ou não as obrigações de ambas as partes contraentes;</w:t>
      </w:r>
    </w:p>
    <w:p>
      <w:pPr>
        <w:jc w:val="both"/>
        <w:widowControl/>
        <w:ind w:right="45"/>
        <w:spacing w:after="45"/>
        <w:numPr>
          <w:ilvl w:val="0"/>
          <w:numId w:val="88"/>
        </w:numPr>
      </w:pPr>
      <w: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pPr>
        <w:jc w:val="both"/>
        <w:widowControl/>
        <w:ind w:right="45"/>
        <w:spacing w:after="45"/>
        <w:numPr>
          <w:ilvl w:val="0"/>
          <w:numId w:val="88"/>
        </w:numPr>
      </w:pPr>
      <w:r/>
      <w:r>
        <w:rPr>
          <w:sz w:val="22"/>
        </w:rPr>
        <w:t xml:space="preserve"> – Quando a não conclusão do contrato referida no item anterior decorrer de culpa da Contratada: </w:t>
      </w:r>
    </w:p>
    <w:p>
      <w:pPr>
        <w:jc w:val="both"/>
        <w:widowControl/>
        <w:ind w:left="285" w:right="45"/>
        <w:spacing w:after="45"/>
      </w:pPr>
      <w:r>
        <w:rPr>
          <w:b/>
          <w:sz w:val="22"/>
        </w:rPr>
        <w:t>a)</w:t>
      </w:r>
      <w:r>
        <w:rPr>
          <w:sz w:val="22"/>
        </w:rPr>
        <w:t xml:space="preserve"> Ficará ele constituído em mora, sendo-lhe aplicáveis as respectivas sanções administrativas; e</w:t>
      </w:r>
    </w:p>
    <w:p>
      <w:pPr>
        <w:jc w:val="both"/>
        <w:widowControl/>
        <w:ind w:left="285" w:right="45" w:hanging="15"/>
        <w:spacing w:after="45"/>
      </w:pPr>
      <w:r>
        <w:rPr>
          <w:b/>
          <w:sz w:val="22"/>
        </w:rPr>
        <w:t>b)</w:t>
      </w:r>
      <w:r>
        <w:rPr>
          <w:sz w:val="22"/>
        </w:rPr>
        <w:t xml:space="preserve"> Poderá a Administração optar pela extinção do contrato e, nesse caso, adotará as medidas admitidas em lei para a continuidade da execução contratual.</w:t>
      </w:r>
    </w:p>
    <w:p>
      <w:pPr>
        <w:jc w:val="both"/>
        <w:widowControl/>
        <w:ind w:left="60" w:right="45" w:hanging="15"/>
        <w:spacing w:after="45"/>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pPr>
        <w:jc w:val="both"/>
        <w:widowControl/>
        <w:ind w:right="45"/>
        <w:spacing w:after="45"/>
        <w:numPr>
          <w:ilvl w:val="0"/>
          <w:numId w:val="76"/>
        </w:numPr>
      </w:pPr>
      <w:r/>
      <w:r>
        <w:rPr>
          <w:sz w:val="22"/>
        </w:rPr>
        <w:t xml:space="preserve"> Nesta hipótese, aplicam-se também os artigos 138 e 139 da mesma Lei;</w:t>
      </w:r>
    </w:p>
    <w:p>
      <w:pPr>
        <w:jc w:val="both"/>
        <w:widowControl/>
        <w:ind w:right="45"/>
        <w:spacing w:after="45"/>
        <w:numPr>
          <w:ilvl w:val="0"/>
          <w:numId w:val="76"/>
        </w:numPr>
      </w:pPr>
      <w:r/>
      <w:r>
        <w:rPr>
          <w:sz w:val="22"/>
        </w:rPr>
        <w:t xml:space="preserve"> A alteração social ou a modificação da finalidade ou da estrutura da empresa não ensejará a rescisão se não restringir sua capacidade de concluir o contrato;</w:t>
      </w:r>
    </w:p>
    <w:p>
      <w:pPr>
        <w:jc w:val="both"/>
        <w:widowControl/>
        <w:ind w:right="45"/>
        <w:spacing w:after="45"/>
        <w:numPr>
          <w:ilvl w:val="0"/>
          <w:numId w:val="76"/>
        </w:numPr>
      </w:pPr>
      <w:r/>
      <w:r>
        <w:rPr>
          <w:sz w:val="22"/>
        </w:rPr>
        <w:t xml:space="preserve"> Se a operação implicar mudança da pessoa jurídica contratada, deverá ser formalizado termo aditivo para alteração subjetiva;</w:t>
      </w:r>
    </w:p>
    <w:p>
      <w:pPr>
        <w:jc w:val="both"/>
        <w:widowControl/>
        <w:ind w:left="60" w:right="45" w:hanging="15"/>
        <w:spacing w:after="45"/>
      </w:pPr>
      <w:r>
        <w:rPr>
          <w:b/>
          <w:sz w:val="22"/>
        </w:rPr>
        <w:t>V –</w:t>
      </w:r>
      <w:r>
        <w:rPr>
          <w:sz w:val="22"/>
        </w:rPr>
        <w:t xml:space="preserve"> A extinção do presente termo de contrato poderá ocorrer:</w:t>
      </w:r>
    </w:p>
    <w:p>
      <w:pPr>
        <w:jc w:val="both"/>
        <w:widowControl/>
        <w:ind w:right="45"/>
        <w:spacing w:after="45"/>
        <w:numPr>
          <w:ilvl w:val="0"/>
          <w:numId w:val="95"/>
        </w:numPr>
      </w:pPr>
      <w:r/>
      <w:r>
        <w:rPr>
          <w:sz w:val="22"/>
        </w:rPr>
        <w:t xml:space="preserve"> Por ato unilateral e escrito da Administração, exceto no caso de descumprimento decorrente de sua própria conduta;</w:t>
      </w:r>
    </w:p>
    <w:p>
      <w:pPr>
        <w:jc w:val="both"/>
        <w:widowControl/>
        <w:ind w:right="45"/>
        <w:spacing w:after="45"/>
        <w:numPr>
          <w:ilvl w:val="0"/>
          <w:numId w:val="95"/>
        </w:numPr>
      </w:pPr>
      <w:r/>
      <w:r>
        <w:rPr>
          <w:sz w:val="22"/>
        </w:rPr>
        <w:t xml:space="preserve"> De forma consensual, por acordo entre as partes, conciliação, mediação ou comitê de resolução de disputas, desde que haja interesse da Administração;</w:t>
      </w:r>
    </w:p>
    <w:p>
      <w:pPr>
        <w:jc w:val="both"/>
        <w:widowControl/>
        <w:ind w:right="45"/>
        <w:spacing w:after="45"/>
        <w:numPr>
          <w:ilvl w:val="0"/>
          <w:numId w:val="95"/>
        </w:numPr>
      </w:pPr>
      <w:r/>
      <w:r>
        <w:rPr>
          <w:sz w:val="22"/>
        </w:rPr>
        <w:t xml:space="preserve"> Por decisão arbitral, em decorrência de cláusula compromissória ou compromisso arbitral, ou por decisão judicial;</w:t>
      </w:r>
    </w:p>
    <w:p>
      <w:pPr>
        <w:jc w:val="both"/>
        <w:widowControl/>
        <w:ind w:left="45" w:right="45"/>
        <w:spacing w:after="45"/>
      </w:pPr>
      <w:r>
        <w:rPr>
          <w:b/>
          <w:sz w:val="22"/>
        </w:rPr>
        <w:t>VI –</w:t>
      </w:r>
      <w:r>
        <w:rPr>
          <w:sz w:val="22"/>
        </w:rPr>
        <w:t xml:space="preserve"> O termo de rescisão, sempre que possível, será precedido de:</w:t>
      </w:r>
    </w:p>
    <w:p>
      <w:pPr>
        <w:jc w:val="both"/>
        <w:widowControl/>
        <w:ind w:right="45"/>
        <w:spacing w:after="45"/>
        <w:numPr>
          <w:ilvl w:val="0"/>
          <w:numId w:val="72"/>
        </w:numPr>
      </w:pPr>
      <w:r/>
      <w:r>
        <w:rPr>
          <w:sz w:val="22"/>
        </w:rPr>
        <w:t xml:space="preserve"> Balanço dos eventos contratuais já cumpridos ou parcialmente cumpridos;</w:t>
      </w:r>
    </w:p>
    <w:p>
      <w:pPr>
        <w:jc w:val="both"/>
        <w:widowControl/>
        <w:ind w:right="45"/>
        <w:spacing w:after="45"/>
        <w:numPr>
          <w:ilvl w:val="0"/>
          <w:numId w:val="72"/>
        </w:numPr>
      </w:pPr>
      <w:r/>
      <w:r>
        <w:rPr>
          <w:sz w:val="22"/>
        </w:rPr>
        <w:t xml:space="preserve"> Relação dos pagamentos já efetuados e ainda devidos;</w:t>
      </w:r>
    </w:p>
    <w:p>
      <w:pPr>
        <w:jc w:val="both"/>
        <w:widowControl/>
        <w:ind w:right="45"/>
        <w:spacing w:after="45"/>
        <w:numPr>
          <w:ilvl w:val="0"/>
          <w:numId w:val="72"/>
        </w:numPr>
      </w:pPr>
      <w:r/>
      <w:r>
        <w:rPr>
          <w:sz w:val="22"/>
        </w:rPr>
        <w:t xml:space="preserve"> Indenizações e multas.</w:t>
      </w:r>
    </w:p>
    <w:p>
      <w:pPr>
        <w:jc w:val="both"/>
        <w:widowControl/>
        <w:ind w:left="60" w:right="45" w:hanging="15"/>
        <w:spacing w:after="45"/>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pPr>
        <w:jc w:val="both"/>
        <w:widowControl/>
        <w:ind w:left="60" w:right="45" w:hanging="15"/>
        <w:spacing w:after="45"/>
      </w:pPr>
      <w:r>
        <w:rPr>
          <w:b/>
          <w:sz w:val="22"/>
        </w:rPr>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widowControl/>
        <w:ind w:left="60" w:right="45" w:hanging="15"/>
        <w:spacing w:after="45"/>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pPr>
        <w:jc w:val="both"/>
        <w:widowControl/>
        <w:ind w:left="60" w:right="45" w:hanging="15"/>
        <w:spacing w:after="45"/>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PRIMEIRA – DAS PRERROGATIVAS DA ADMINISTRAÇÃO</w:t>
      </w:r>
    </w:p>
    <w:p>
      <w:pPr>
        <w:jc w:val="both"/>
        <w:widowControl/>
        <w:ind w:left="60" w:right="45" w:hanging="15"/>
        <w:spacing w:after="45"/>
      </w:pPr>
      <w:r>
        <w:rPr>
          <w:b/>
          <w:sz w:val="22"/>
        </w:rPr>
        <w:t>I –</w:t>
      </w:r>
      <w:r>
        <w:rPr>
          <w:sz w:val="22"/>
        </w:rPr>
        <w:t xml:space="preserve"> O CONTRATANTE poderá fazer uso das prerrogativas previstas no art. 104,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SEGUNDA – DA VINCULAÇÃO AO PROCESSO LICITATÓRIO/PROPOSTA</w:t>
      </w:r>
    </w:p>
    <w:p>
      <w:pPr>
        <w:jc w:val="both"/>
        <w:widowControl/>
        <w:ind w:left="60" w:right="45" w:hanging="15"/>
        <w:spacing w:after="45"/>
      </w:pPr>
      <w:r>
        <w:rPr>
          <w:b/>
          <w:sz w:val="22"/>
        </w:rPr>
        <w:t>I –</w:t>
      </w:r>
      <w:r>
        <w:rPr>
          <w:sz w:val="22"/>
        </w:rPr>
        <w:t xml:space="preserve"> O presente contrato é oriundo do Processo Administrativo nº X/202X; Processo de Concorrência nº X/202X – PMG, bem como vincula-se à proposta da empresa vencedora, ora CONTRATADA.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TERCEIRA – DA CESSÃO/TRANSFERÊNCIA DO CONTRATO</w:t>
      </w:r>
    </w:p>
    <w:p>
      <w:pPr>
        <w:jc w:val="both"/>
        <w:widowControl/>
        <w:ind w:left="60" w:right="45" w:hanging="15"/>
        <w:spacing w:after="45"/>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QUARTA – DESPESAS E ENCARGOS SOCIAIS</w:t>
      </w:r>
    </w:p>
    <w:p>
      <w:pPr>
        <w:jc w:val="both"/>
        <w:widowControl/>
        <w:ind w:left="60" w:right="45" w:hanging="15"/>
        <w:spacing w:after="45"/>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QUINTA</w:t>
      </w:r>
    </w:p>
    <w:p>
      <w:pPr>
        <w:jc w:val="both"/>
        <w:widowControl/>
        <w:ind w:left="60" w:right="45" w:hanging="15"/>
        <w:spacing w:after="45"/>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TRIGÉSIMA SEXTA – DA ANALISE</w:t>
      </w:r>
    </w:p>
    <w:p>
      <w:pPr>
        <w:jc w:val="both"/>
        <w:widowControl/>
        <w:ind w:left="60" w:right="45" w:hanging="15"/>
        <w:spacing w:after="45"/>
      </w:pPr>
      <w:r>
        <w:rPr>
          <w:b/>
          <w:sz w:val="22"/>
        </w:rPr>
        <w:t>I –</w:t>
      </w:r>
      <w:r>
        <w:rPr>
          <w:sz w:val="22"/>
        </w:rPr>
        <w:t xml:space="preserve"> A minuta do presente instrumento de CONTRATO será devidamente examinada e aprovada pela Assessoria Jurídica desta Prefeitura, conforme determina a legislação em vigor.</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SÉTIMA – DAS ALTERAÇÕES</w:t>
      </w:r>
    </w:p>
    <w:p>
      <w:pPr>
        <w:jc w:val="both"/>
        <w:widowControl/>
        <w:ind w:right="45"/>
        <w:spacing w:after="45"/>
        <w:numPr>
          <w:ilvl w:val="0"/>
          <w:numId w:val="62"/>
        </w:numPr>
      </w:pPr>
      <w:r/>
      <w:r>
        <w:rPr>
          <w:sz w:val="22"/>
        </w:rPr>
        <w:t>– O presente instrumento de CONTRATO poderá ser alterado, com as devidas justificativas, de acordo com os casos previstos no Título III, Capítulo V II, DA ALTERAÇÃO DOS CONTRATOS E DOS PREÇOS, da Lei nº 14.133/21.</w:t>
      </w:r>
    </w:p>
    <w:p>
      <w:pPr>
        <w:jc w:val="both"/>
        <w:widowControl/>
        <w:ind w:right="45"/>
        <w:spacing w:after="45"/>
        <w:tabs>
          <w:tab w:val="left" w:pos="135"/>
        </w:tabs>
        <w:numPr>
          <w:ilvl w:val="0"/>
          <w:numId w:val="38"/>
        </w:numPr>
      </w:pPr>
      <w:r/>
      <w:r>
        <w:rPr>
          <w:sz w:val="22"/>
        </w:rPr>
        <w:t>– Eventuais alterações contratuais reger-se-ão pela disciplina do art. 124 e seguintes, da Lei nº 14.133/2021 e serão analisadas por meio de processo administrativo próprio;</w:t>
      </w:r>
    </w:p>
    <w:p>
      <w:pPr>
        <w:jc w:val="both"/>
        <w:widowControl/>
        <w:ind w:left="285" w:right="45" w:hanging="15"/>
        <w:spacing w:after="45"/>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widowControl/>
        <w:ind w:left="60" w:right="45" w:hanging="15"/>
        <w:spacing w:after="45"/>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pPr>
        <w:jc w:val="both"/>
        <w:widowControl/>
        <w:ind w:right="45"/>
        <w:spacing w:after="45"/>
        <w:numPr>
          <w:ilvl w:val="0"/>
          <w:numId w:val="52"/>
        </w:numPr>
      </w:pPr>
      <w:r/>
      <w:r>
        <w:rPr>
          <w:sz w:val="22"/>
        </w:rPr>
        <w:t xml:space="preserve"> A CONTRATADA é obrigada a aceitar, nas mesmas condições contratuais, os acréscimos ou supressões que se fizerem necessários, até o limite de 25% (vinte e cinco por cento) do valor inicial atualizado do contrato;</w:t>
      </w:r>
    </w:p>
    <w:p>
      <w:pPr>
        <w:jc w:val="both"/>
        <w:widowControl/>
        <w:ind w:right="45"/>
        <w:spacing w:after="45"/>
        <w:numPr>
          <w:ilvl w:val="0"/>
          <w:numId w:val="52"/>
        </w:numPr>
      </w:pPr>
      <w:r/>
      <w:r>
        <w:rPr>
          <w:sz w:val="22"/>
        </w:rPr>
        <w:t xml:space="preserve"> As supressões resultantes de acordo celebrado entre as partes contratantes, poderão exceder o limite de 25% (vinte e cinco por cento) do valor inicial atualizado do termo de contrato.</w:t>
      </w:r>
    </w:p>
    <w:p>
      <w:pPr>
        <w:jc w:val="both"/>
        <w:widowControl/>
        <w:ind w:left="60" w:right="45" w:hanging="15"/>
        <w:spacing w:after="45"/>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pPr>
        <w:jc w:val="both"/>
        <w:widowControl/>
        <w:ind w:left="60" w:right="45" w:hanging="15"/>
        <w:spacing w:after="45"/>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OITAVA – DA LEGISLAÇÃO APLICÁVEL E DOS CASOS OMISSOS</w:t>
      </w:r>
    </w:p>
    <w:p>
      <w:pPr>
        <w:jc w:val="both"/>
        <w:widowControl/>
        <w:ind w:right="45"/>
        <w:spacing w:after="45"/>
        <w:numPr>
          <w:ilvl w:val="0"/>
          <w:numId w:val="70"/>
        </w:numPr>
      </w:pPr>
      <w: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pPr>
        <w:jc w:val="both"/>
        <w:widowControl/>
        <w:ind w:right="45"/>
        <w:spacing w:after="45"/>
        <w:numPr>
          <w:ilvl w:val="0"/>
          <w:numId w:val="70"/>
        </w:numPr>
      </w:pPr>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widowControl/>
        <w:ind w:left="60" w:right="45" w:hanging="15"/>
        <w:spacing w:after="45"/>
      </w:pPr>
      <w:r>
        <w:rPr>
          <w:b/>
          <w:sz w:val="22"/>
        </w:rPr>
        <w:t>Parágrafo Único:</w:t>
      </w:r>
      <w:r>
        <w:rPr>
          <w:sz w:val="22"/>
        </w:rPr>
        <w:t xml:space="preserve"> Os casos omissos serão resolvidos à luz da referida lei, recorrendo-se à analogia, aos costumes e aos princípios gerais do direito.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NONA – DA OBRIGATORIEDADE DAS COTAS DE APRENDIZES:</w:t>
      </w:r>
    </w:p>
    <w:p>
      <w:pPr>
        <w:jc w:val="both"/>
        <w:widowControl/>
        <w:ind w:left="60" w:right="45" w:hanging="15"/>
        <w:spacing w:after="45"/>
      </w:pPr>
      <w:r>
        <w:rPr>
          <w:b/>
          <w:sz w:val="22"/>
        </w:rPr>
        <w:t>I –</w:t>
      </w:r>
      <w:r>
        <w:rPr>
          <w:sz w:val="22"/>
        </w:rPr>
        <w:t xml:space="preserve"> Nos casos de contratação e/ou prestação de serviços terceirizados que envolvam mão de obra cujas atividades demandem formação profissional competirá às partes contratuais:</w:t>
      </w:r>
    </w:p>
    <w:p>
      <w:pPr>
        <w:jc w:val="both"/>
        <w:widowControl/>
        <w:ind w:right="45"/>
        <w:spacing w:after="45"/>
        <w:numPr>
          <w:ilvl w:val="0"/>
          <w:numId w:val="61"/>
        </w:numPr>
      </w:pPr>
      <w: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pPr>
        <w:jc w:val="both"/>
        <w:widowControl/>
        <w:ind w:right="45"/>
        <w:spacing w:after="45"/>
        <w:numPr>
          <w:ilvl w:val="0"/>
          <w:numId w:val="61"/>
        </w:numPr>
      </w:pPr>
      <w: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pPr>
        <w:jc w:val="both"/>
        <w:widowControl/>
        <w:ind w:right="45"/>
        <w:spacing w:after="45"/>
        <w:numPr>
          <w:ilvl w:val="0"/>
          <w:numId w:val="61"/>
        </w:numPr>
      </w:pPr>
      <w: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pPr>
        <w:jc w:val="both"/>
        <w:widowControl/>
        <w:ind w:right="45"/>
        <w:spacing w:after="45"/>
        <w:numPr>
          <w:ilvl w:val="0"/>
          <w:numId w:val="61"/>
        </w:numPr>
      </w:pPr>
      <w: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widowControl/>
        <w:ind w:right="45"/>
        <w:spacing w:after="45"/>
        <w:numPr>
          <w:ilvl w:val="0"/>
          <w:numId w:val="61"/>
        </w:numPr>
      </w:pPr>
      <w:r/>
      <w:r>
        <w:rPr>
          <w:sz w:val="22"/>
        </w:rPr>
        <w:t xml:space="preserve"> Caberá à Contratada a averiguação do cumprimento ou não da cota de aprendizes por intermédio do link disponibilizado pelo Ministério do Trabalho e Emprego: </w:t>
      </w:r>
      <w:hyperlink r:id="hrId5">
        <w:r>
          <w:rPr>
            <w:u w:val="single" w:color="0000FF"/>
            <w:sz w:val="22"/>
          </w:rPr>
          <w:t>https://certidoes.sit.trabalho.gov.br/aprendiz</w:t>
        </w:r>
      </w:hyperlink>
      <w:r>
        <w:rPr>
          <w:u w:val="single" w:color="0000FF"/>
          <w:sz w:val="22"/>
        </w:rPr>
        <w:t xml:space="preserve"> </w:t>
      </w:r>
      <w:r>
        <w:rPr>
          <w:sz w:val="22"/>
        </w:rPr>
        <w:t>(e em sua falta outro método fixado pelo Governo Federal para consulta) emitindo a respectiva certidão de regularidade.</w:t>
      </w:r>
    </w:p>
    <w:p>
      <w:pPr>
        <w:jc w:val="both"/>
        <w:widowControl/>
        <w:ind w:left="570" w:right="45" w:hanging="15"/>
        <w:spacing w:after="45"/>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widowControl/>
        <w:ind w:left="285" w:right="45" w:hanging="15"/>
        <w:spacing w:after="45"/>
        <w:tabs>
          <w:tab w:val="left" w:pos="570"/>
        </w:tabs>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 DAS DISPOSIÇÕES GERAIS</w:t>
      </w:r>
    </w:p>
    <w:p>
      <w:pPr>
        <w:jc w:val="both"/>
        <w:widowControl/>
        <w:ind w:left="60" w:right="45" w:hanging="15"/>
        <w:spacing w:after="45"/>
      </w:pPr>
      <w:r>
        <w:rPr>
          <w:b/>
          <w:sz w:val="22"/>
        </w:rPr>
        <w:t>I –</w:t>
      </w:r>
      <w:r>
        <w:rPr>
          <w:sz w:val="22"/>
        </w:rPr>
        <w:t xml:space="preserve"> Ficam cientes as partes contratuais:</w:t>
      </w:r>
    </w:p>
    <w:p>
      <w:pPr>
        <w:jc w:val="both"/>
        <w:widowControl/>
        <w:ind w:right="45"/>
        <w:spacing w:after="45"/>
        <w:numPr>
          <w:ilvl w:val="0"/>
          <w:numId w:val="47"/>
        </w:numPr>
      </w:pPr>
      <w:r/>
      <w:r>
        <w:rPr>
          <w:sz w:val="22"/>
        </w:rPr>
        <w:t xml:space="preserve"> Havendo discrepância entre os valores indicados numericamente e por extenso, fica desde já acordado entre as partes contratantes que, sempre prevalecerão aqueles mencionados por extenso.</w:t>
      </w:r>
    </w:p>
    <w:p>
      <w:pPr>
        <w:jc w:val="both"/>
        <w:widowControl/>
        <w:ind w:right="45"/>
        <w:spacing w:after="45"/>
        <w:numPr>
          <w:ilvl w:val="0"/>
          <w:numId w:val="47"/>
        </w:numPr>
      </w:pPr>
      <w: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PRIMEIRA– DA PUBLICAÇÃO</w:t>
      </w:r>
    </w:p>
    <w:p>
      <w:pPr>
        <w:jc w:val="both"/>
        <w:widowControl/>
        <w:ind w:left="60" w:right="45" w:hanging="15"/>
        <w:spacing w:after="45"/>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hAnsi="Times New Roman" w:cs="Times New Roman" w:eastAsia="Times New Roman"/>
          <w:b/>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SEGUNDA – DO FORO:</w:t>
      </w:r>
    </w:p>
    <w:p>
      <w:pPr>
        <w:jc w:val="both"/>
        <w:widowControl/>
        <w:ind w:left="60" w:right="45" w:hanging="15"/>
        <w:spacing w:after="45"/>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60" w:right="45" w:hanging="15"/>
        <w:spacing w:after="45"/>
      </w:pPr>
      <w:r>
        <w:rPr>
          <w:sz w:val="22"/>
        </w:rPr>
        <w:t/>
      </w:r>
    </w:p>
    <w:p>
      <w:pPr>
        <w:jc w:val="both"/>
        <w:widowControl/>
        <w:ind w:left="60" w:right="45" w:hanging="15"/>
        <w:spacing w:after="45"/>
      </w:pPr>
      <w:r>
        <w:rPr>
          <w:sz w:val="22"/>
        </w:rPr>
        <w:t>Justas e contratadas, firmam as partes este instrumento com as testemunhas presentes ao ato, a fim de que produza seus efeitos legais.</w:t>
      </w:r>
    </w:p>
    <w:p>
      <w:pPr>
        <w:jc w:val="both"/>
        <w:widowControl/>
        <w:ind w:left="60" w:right="45" w:hanging="15"/>
        <w:spacing w:after="45"/>
      </w:pPr>
      <w:r>
        <w:rPr>
          <w:sz w:val="22"/>
        </w:rPr>
        <w:t/>
      </w:r>
    </w:p>
    <w:p>
      <w:pPr>
        <w:jc w:val="right"/>
        <w:widowControl/>
        <w:ind w:right="45"/>
        <w:spacing w:after="45"/>
      </w:pPr>
      <w:r>
        <w:rPr>
          <w:sz w:val="22"/>
        </w:rPr>
        <w:t>GUAIRAÇÁ, _____ de ______ de 20___.</w:t>
      </w:r>
    </w:p>
    <w:p>
      <w:pPr>
        <w:jc w:val="right"/>
        <w:widowControl/>
        <w:ind w:right="45"/>
        <w:spacing w:after="45"/>
      </w:pPr>
      <w:r>
        <w:rPr>
          <w:sz w:val="22"/>
        </w:rPr>
        <w:t/>
      </w:r>
    </w:p>
    <w:p>
      <w:pPr>
        <w:jc w:val="right"/>
        <w:widowControl/>
        <w:ind w:right="45"/>
        <w:spacing w:after="45"/>
      </w:pPr>
      <w:r>
        <w:rPr>
          <w:sz w:val="22"/>
        </w:rPr>
        <w:t/>
      </w:r>
    </w:p>
    <w:p>
      <w:pPr>
        <w:jc w:val="center"/>
        <w:widowControl/>
        <w:ind w:left="15" w:right="15" w:hanging="15"/>
        <w:spacing w:after="45"/>
      </w:pPr>
      <w:r>
        <w:rPr>
          <w:sz w:val="22"/>
        </w:rPr>
        <w:t>MARCELO ALVES DE OLIVEIRA</w:t>
      </w:r>
    </w:p>
    <w:p>
      <w:pPr>
        <w:jc w:val="center"/>
        <w:widowControl/>
        <w:ind w:left="15" w:hanging="15"/>
        <w:spacing w:after="45"/>
      </w:pPr>
      <w:r>
        <w:rPr>
          <w:sz w:val="22"/>
        </w:rPr>
        <w:t>Prefeito Municipal</w:t>
      </w:r>
    </w:p>
    <w:p>
      <w:pPr>
        <w:jc w:val="center"/>
        <w:widowControl/>
        <w:ind w:left="3645" w:right="3630" w:hanging="15"/>
        <w:spacing w:after="45"/>
      </w:pPr>
      <w:r>
        <w:rPr>
          <w:sz w:val="22"/>
        </w:rPr>
        <w:t>Município de Guairaçá</w:t>
      </w:r>
    </w:p>
    <w:p>
      <w:pPr>
        <w:jc w:val="center"/>
        <w:widowControl/>
        <w:ind w:left="3645" w:right="3630" w:hanging="15"/>
        <w:spacing w:after="45"/>
      </w:pPr>
      <w:r>
        <w:rPr>
          <w:sz w:val="22"/>
        </w:rPr>
        <w:t/>
      </w:r>
    </w:p>
    <w:p>
      <w:pPr>
        <w:jc w:val="center"/>
        <w:widowControl/>
        <w:ind w:left="3645" w:right="3630" w:hanging="15"/>
        <w:spacing w:after="45"/>
      </w:pPr>
      <w:r>
        <w:rPr>
          <w:sz w:val="22"/>
        </w:rPr>
        <w:t/>
      </w:r>
    </w:p>
    <w:p>
      <w:pPr>
        <w:jc w:val="center"/>
        <w:widowControl/>
        <w:ind w:left="15" w:right="15" w:hanging="15"/>
        <w:spacing w:after="45"/>
      </w:pPr>
      <w:r>
        <w:rPr>
          <w:sz w:val="22"/>
        </w:rPr>
        <w:t>XXXXXXXXXXXXX</w:t>
      </w:r>
    </w:p>
    <w:p>
      <w:pPr>
        <w:jc w:val="center"/>
        <w:widowControl/>
        <w:ind w:left="15" w:right="15" w:hanging="15"/>
        <w:spacing w:after="45"/>
      </w:pPr>
      <w:r>
        <w:rPr>
          <w:sz w:val="22"/>
        </w:rPr>
        <w:t>(Nome da Empresa)</w:t>
      </w:r>
    </w:p>
    <w:p>
      <w:pPr>
        <w:jc w:val="center"/>
        <w:widowControl/>
        <w:ind w:left="15" w:hanging="15"/>
        <w:spacing w:after="45"/>
      </w:pPr>
      <w:r>
        <w:rPr>
          <w:sz w:val="22"/>
        </w:rPr>
        <w:t>Contratada</w:t>
      </w:r>
    </w:p>
    <w:p>
      <w:pPr>
        <w:jc w:val="center"/>
        <w:widowControl/>
        <w:ind w:left="15" w:hanging="15"/>
        <w:spacing w:after="45"/>
      </w:pPr>
      <w:r>
        <w:rPr>
          <w:sz w:val="22"/>
        </w:rPr>
        <w:t/>
      </w:r>
    </w:p>
    <w:p>
      <w:pPr>
        <w:jc w:val="center"/>
        <w:widowControl/>
        <w:ind w:left="15" w:hanging="15"/>
        <w:spacing w:after="45"/>
      </w:pPr>
      <w:r>
        <w:rPr>
          <w:sz w:val="22"/>
        </w:rPr>
        <w:t/>
      </w:r>
    </w:p>
    <w:p>
      <w:pPr>
        <w:jc w:val="both"/>
        <w:widowControl/>
        <w:ind w:left="345" w:right="45" w:hanging="15"/>
        <w:spacing w:after="45"/>
      </w:pPr>
      <w:r>
        <w:rPr>
          <w:b/>
          <w:sz w:val="22"/>
        </w:rPr>
        <w:t>GESTOR (A):</w:t>
      </w:r>
    </w:p>
    <w:p>
      <w:pPr>
        <w:jc w:val="both"/>
        <w:widowControl/>
        <w:ind w:left="345" w:right="45" w:hanging="15"/>
        <w:spacing w:after="45"/>
      </w:pPr>
      <w:r>
        <w:rPr>
          <w:sz w:val="22"/>
        </w:rPr>
        <w:t>_________________________________________. 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FISCAL:</w:t>
      </w:r>
    </w:p>
    <w:p>
      <w:pPr>
        <w:jc w:val="both"/>
        <w:widowControl/>
        <w:ind w:left="345" w:right="45" w:hanging="15"/>
        <w:spacing w:after="45"/>
      </w:pPr>
      <w:r>
        <w:rPr>
          <w:sz w:val="22"/>
        </w:rPr>
        <w:t>____________________________________.</w:t>
      </w:r>
    </w:p>
    <w:p>
      <w:pPr>
        <w:jc w:val="both"/>
        <w:widowControl/>
        <w:ind w:left="345" w:right="45" w:hanging="15"/>
        <w:spacing w:after="45"/>
      </w:pPr>
      <w:r>
        <w:rPr>
          <w:sz w:val="22"/>
        </w:rPr>
        <w:t>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TESTEMUNHAS:</w:t>
      </w:r>
    </w:p>
    <w:p>
      <w:pPr>
        <w:jc w:val="both"/>
        <w:widowControl/>
        <w:ind w:left="345" w:right="45" w:hanging="15"/>
        <w:spacing w:after="45"/>
      </w:pPr>
      <w:r>
        <w:rPr>
          <w:sz w:val="22"/>
        </w:rPr>
        <w:t>_________________________________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
      </w:r>
    </w:p>
    <w:p>
      <w:pPr>
        <w:ind w:left="225"/>
        <w:spacing w:before="90"/>
      </w:pPr>
      <w:r>
        <w:rPr>
          <w:b/>
          <w:sz w:val="19"/>
        </w:rPr>
        <w:t>* Se necessário a presente minuta será alterada para eventual adequação a legislação vigente.</w:t>
      </w:r>
    </w:p>
    <w:p>
      <w:pPr>
        <w:widowControl/>
        <w:ind w:left="345" w:right="315" w:hanging="15"/>
        <w:spacing w:after="45"/>
      </w:pPr>
      <w:r>
        <w:rPr>
          <w:sz w:val="22"/>
        </w:rPr>
        <w:t/>
      </w:r>
    </w:p>
    <w:p>
      <w:pPr>
        <w:jc w:val="center"/>
        <w:widowControl/>
        <w:ind w:left="360"/>
        <w:spacing w:after="45"/>
      </w:pPr>
      <w:r>
        <w:rPr>
          <w:rFonts w:ascii="Times New Roman" w:hAnsi="Times New Roman" w:cs="Times New Roman" w:eastAsia="Times New Roman"/>
          <w:sz w:val="22"/>
        </w:rPr>
        <w:t/>
      </w:r>
    </w:p>
    <w:p>
      <w:pPr>
        <w:jc w:val="center"/>
        <w:ind w:left="2685" w:right="2775"/>
      </w:pPr>
      <w:r>
        <w:rPr>
          <w:rFonts w:ascii="Times New Roman" w:hAnsi="Times New Roman" w:cs="Times New Roman" w:eastAsia="Times New Roman"/>
        </w:rPr>
        <w:t/>
      </w:r>
    </w:p>
    <w:sectPr>
      <w:headerReference w:type="default" r:id="rIdHF0"/>
      <w:footerReference w:type="default" r:id="rIdHF1"/>
      <w:pgSz w:w="11899" w:h="16841"/>
      <w:pgMar w:top="283" w:right="283" w:bottom="283" w:left="283"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Times New Roman">
    <w:charset w:val="00"/>
  </w:font>
  <w:font w:name="Calibri">
    <w:charset w:val="00"/>
  </w:font>
  <w:font w:name="Arial MT">
    <w:charset w:val="01"/>
  </w:font>
  <w:font w:name="Arial MT">
    <w:charset w:val="00"/>
  </w:font>
  <w:font w:name="Roboto">
    <w:charset w:val="00"/>
  </w:font>
  <w:font w:name="Symbol">
    <w:charset w:val="02"/>
  </w:font>
  <w:font w:name="Wingdings">
    <w:charset w:val="02"/>
  </w:font>
  <w:font w:name="Noto Sans Symbols">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2">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3">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5">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7">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3">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4">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5">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6">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8">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20">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2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7">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28">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30">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31">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32">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3">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34">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35">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6">
    <w:multiLevelType w:val="singleLevel"/>
    <w:lvl w:ilvl="0">
      <w:numFmt w:val="bullet"/>
      <w:lvlText w:val=""/>
      <w:lvlJc w:val="left"/>
      <w:pPr>
        <w:ind w:left="570" w:hanging="150"/>
        <w:tab w:val="num" w:pos="570"/>
      </w:pPr>
      <w:rPr>
        <w:rFonts w:ascii="Symbol" w:hAnsi="Symbol" w:cs="Symbol" w:eastAsia="Symbol"/>
      </w:rPr>
    </w:lvl>
  </w:abstractNum>
  <w:abstractNum w:abstractNumId="37">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8">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39">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40">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41">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42">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4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6">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48">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49">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0">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1">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52">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53">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54">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55">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6">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57">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8">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9">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60">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61">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2">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3">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64">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65">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66">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6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68">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6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0">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7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2">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73">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74">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75">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78">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79">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80">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81">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82">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8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84">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85">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86">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87">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88">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89">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90">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91">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92">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4">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96">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97">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98">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0">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02">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0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9">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10">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11">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13">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5">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17">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9">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4">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25">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127">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128">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129">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0">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131">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132">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33">
    <w:multiLevelType w:val="singleLevel"/>
    <w:lvl w:ilvl="0">
      <w:numFmt w:val="bullet"/>
      <w:lvlText w:val=""/>
      <w:lvlJc w:val="left"/>
      <w:pPr>
        <w:ind w:left="570" w:hanging="150"/>
        <w:tab w:val="num" w:pos="570"/>
      </w:pPr>
      <w:rPr>
        <w:rFonts w:ascii="Symbol" w:hAnsi="Symbol" w:cs="Symbol" w:eastAsia="Symbol"/>
      </w:rPr>
    </w:lvl>
  </w:abstractNum>
  <w:abstractNum w:abstractNumId="134">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5">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6">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137">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138">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139">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140">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1">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2">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3">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45">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6">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47">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8">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9">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150">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151">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152">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53">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154">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5">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6">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15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58">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5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0">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161">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162">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63">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16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6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6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7">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168">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69">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170">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71">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172">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73">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74">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75">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176">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17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78">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179">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18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81">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82">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18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84">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85">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186">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187">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188">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189">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9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193">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194">
    <w:multiLevelType w:val="multilevel"/>
    <w:lvl w:ilvl="0">
      <w:numFmt w:val="decimal"/>
      <w:lvlText w:val="%1."/>
      <w:lvlJc w:val="left"/>
      <w:start w:val="1"/>
      <w:pPr>
        <w:ind w:left="360" w:hanging="360"/>
        <w:tab w:val="num" w:pos="360"/>
      </w:pPr>
      <w:rPr>
        <w:rFonts w:ascii="Times New Roman" w:hAnsi="Times New Roman" w:cs="Times New Roman" w:eastAsia="Times New Roman"/>
        <w:b/>
        <w:sz w:val="24"/>
      </w:rPr>
    </w:lvl>
    <w:lvl w:ilvl="1">
      <w:numFmt w:val="decimal"/>
      <w:lvlText w:val="%1.%2."/>
      <w:lvlJc w:val="left"/>
      <w:start w:val="1"/>
      <w:pPr>
        <w:ind w:left="2565" w:hanging="435"/>
        <w:tab w:val="num" w:pos="2565"/>
      </w:pPr>
      <w:rPr>
        <w:rFonts w:ascii="Times New Roman" w:hAnsi="Times New Roman" w:cs="Times New Roman" w:eastAsia="Times New Roman"/>
      </w:rPr>
    </w:lvl>
    <w:lvl w:ilvl="2">
      <w:numFmt w:val="decimal"/>
      <w:lvlText w:val="%1.%2.%3."/>
      <w:lvlJc w:val="left"/>
      <w:start w:val="1"/>
      <w:pPr>
        <w:ind w:left="8025" w:hanging="510"/>
        <w:tab w:val="num" w:pos="8025"/>
      </w:pPr>
    </w:lvl>
    <w:lvl w:ilvl="3">
      <w:numFmt w:val="decimal"/>
      <w:lvlText w:val="%1.%2.%3.%4."/>
      <w:lvlJc w:val="left"/>
      <w:start w:val="1"/>
      <w:pPr>
        <w:ind w:left="2490" w:hanging="645"/>
        <w:tab w:val="num" w:pos="2490"/>
      </w:pPr>
      <w:rPr>
        <w:rFonts w:ascii="Times New Roman" w:hAnsi="Times New Roman" w:cs="Times New Roman" w:eastAsia="Times New Roman"/>
        <w:sz w:val="24"/>
      </w:rPr>
    </w:lvl>
    <w:lvl w:ilvl="4">
      <w:numFmt w:val="decimal"/>
      <w:lvlText w:val="%1.%2.%3.%4.%5."/>
      <w:lvlJc w:val="left"/>
      <w:start w:val="1"/>
      <w:pPr>
        <w:ind w:left="2235" w:hanging="795"/>
        <w:tab w:val="num" w:pos="2235"/>
      </w:pPr>
      <w:rPr>
        <w:rFonts w:ascii="Times New Roman" w:hAnsi="Times New Roman" w:cs="Times New Roman" w:eastAsia="Times New Roman"/>
        <w:sz w:val="24"/>
      </w:rPr>
    </w:lvl>
    <w:lvl w:ilvl="5">
      <w:numFmt w:val="decimal"/>
      <w:lvlText w:val="%1.%2.%3.%4.%5.%6."/>
      <w:lvlJc w:val="left"/>
      <w:start w:val="1"/>
      <w:pPr>
        <w:ind w:left="2730" w:hanging="930"/>
        <w:tab w:val="num" w:pos="2730"/>
      </w:pPr>
      <w:rPr>
        <w:rFonts w:ascii="Times New Roman" w:hAnsi="Times New Roman" w:cs="Times New Roman" w:eastAsia="Times New Roman"/>
        <w:sz w:val="24"/>
      </w:rPr>
    </w:lvl>
    <w:lvl w:ilvl="6">
      <w:numFmt w:val="decimal"/>
      <w:lvlText w:val="%1.%2.%3.%4.%5.%6.%7."/>
      <w:lvlJc w:val="left"/>
      <w:start w:val="1"/>
      <w:pPr>
        <w:ind w:left="3240" w:hanging="1080"/>
        <w:tab w:val="num" w:pos="3240"/>
      </w:pPr>
      <w:rPr>
        <w:rFonts w:ascii="Times New Roman" w:hAnsi="Times New Roman" w:cs="Times New Roman" w:eastAsia="Times New Roman"/>
        <w:sz w:val="24"/>
      </w:rPr>
    </w:lvl>
    <w:lvl w:ilvl="7">
      <w:numFmt w:val="decimal"/>
      <w:lvlText w:val="%1.%2.%3.%4.%5.%6.%7.%8."/>
      <w:lvlJc w:val="left"/>
      <w:start w:val="1"/>
      <w:pPr>
        <w:ind w:left="3750" w:hanging="1230"/>
        <w:tab w:val="num" w:pos="3750"/>
      </w:pPr>
      <w:rPr>
        <w:rFonts w:ascii="Times New Roman" w:hAnsi="Times New Roman" w:cs="Times New Roman" w:eastAsia="Times New Roman"/>
        <w:sz w:val="24"/>
      </w:rPr>
    </w:lvl>
    <w:lvl w:ilvl="8">
      <w:numFmt w:val="decimal"/>
      <w:lvlText w:val="%1.%2.%3.%4.%5.%6.%7.%8.%9."/>
      <w:lvlJc w:val="left"/>
      <w:start w:val="1"/>
      <w:pPr>
        <w:ind w:left="4320" w:hanging="1440"/>
        <w:tab w:val="num" w:pos="4320"/>
      </w:pPr>
      <w:rPr>
        <w:rFonts w:ascii="Times New Roman" w:hAnsi="Times New Roman" w:cs="Times New Roman" w:eastAsia="Times New Roman"/>
        <w:sz w:val="24"/>
      </w:rPr>
    </w:lvl>
  </w:abstractNum>
  <w:abstractNum w:abstractNumId="195">
    <w:multiLevelType w:val="multilevel"/>
    <w:lvl w:ilvl="0">
      <w:numFmt w:val="bullet"/>
      <w:lvlText w:val="●"/>
      <w:lvlJc w:val="left"/>
      <w:pPr>
        <w:ind w:left="1065" w:hanging="360"/>
        <w:tab w:val="num" w:pos="1065"/>
      </w:pPr>
      <w:rPr>
        <w:rFonts w:ascii="Noto Sans Symbols" w:hAnsi="Noto Sans Symbols" w:cs="Noto Sans Symbols" w:eastAsia="Noto Sans Symbols"/>
        <w:sz w:val="24"/>
      </w:rPr>
    </w:lvl>
    <w:lvl w:ilvl="1">
      <w:numFmt w:val="bullet"/>
      <w:lvlText w:val="o"/>
      <w:lvlJc w:val="left"/>
      <w:pPr>
        <w:ind w:left="1785" w:hanging="360"/>
        <w:tab w:val="num" w:pos="1785"/>
      </w:pPr>
      <w:rPr>
        <w:rFonts w:ascii="Courier New" w:hAnsi="Courier New" w:cs="Courier New" w:eastAsia="Courier New"/>
        <w:sz w:val="24"/>
      </w:rPr>
    </w:lvl>
    <w:lvl w:ilvl="2">
      <w:numFmt w:val="bullet"/>
      <w:lvlText w:val="▪"/>
      <w:lvlJc w:val="left"/>
      <w:pPr>
        <w:ind w:left="2505" w:hanging="360"/>
        <w:tab w:val="num" w:pos="2505"/>
      </w:pPr>
      <w:rPr>
        <w:rFonts w:ascii="Noto Sans Symbols" w:hAnsi="Noto Sans Symbols" w:cs="Noto Sans Symbols" w:eastAsia="Noto Sans Symbols"/>
        <w:sz w:val="24"/>
      </w:rPr>
    </w:lvl>
    <w:lvl w:ilvl="3">
      <w:numFmt w:val="bullet"/>
      <w:lvlText w:val="●"/>
      <w:lvlJc w:val="left"/>
      <w:pPr>
        <w:ind w:left="3225" w:hanging="360"/>
        <w:tab w:val="num" w:pos="3225"/>
      </w:pPr>
      <w:rPr>
        <w:rFonts w:ascii="Noto Sans Symbols" w:hAnsi="Noto Sans Symbols" w:cs="Noto Sans Symbols" w:eastAsia="Noto Sans Symbols"/>
        <w:sz w:val="24"/>
      </w:rPr>
    </w:lvl>
    <w:lvl w:ilvl="4">
      <w:numFmt w:val="bullet"/>
      <w:lvlText w:val="o"/>
      <w:lvlJc w:val="left"/>
      <w:pPr>
        <w:ind w:left="3945" w:hanging="360"/>
        <w:tab w:val="num" w:pos="3945"/>
      </w:pPr>
      <w:rPr>
        <w:rFonts w:ascii="Courier New" w:hAnsi="Courier New" w:cs="Courier New" w:eastAsia="Courier New"/>
        <w:sz w:val="24"/>
      </w:rPr>
    </w:lvl>
    <w:lvl w:ilvl="5">
      <w:numFmt w:val="bullet"/>
      <w:lvlText w:val="▪"/>
      <w:lvlJc w:val="left"/>
      <w:pPr>
        <w:ind w:left="4665" w:hanging="360"/>
        <w:tab w:val="num" w:pos="4665"/>
      </w:pPr>
      <w:rPr>
        <w:rFonts w:ascii="Noto Sans Symbols" w:hAnsi="Noto Sans Symbols" w:cs="Noto Sans Symbols" w:eastAsia="Noto Sans Symbols"/>
        <w:sz w:val="24"/>
      </w:rPr>
    </w:lvl>
    <w:lvl w:ilvl="6">
      <w:numFmt w:val="bullet"/>
      <w:lvlText w:val="●"/>
      <w:lvlJc w:val="left"/>
      <w:pPr>
        <w:ind w:left="5385" w:hanging="360"/>
        <w:tab w:val="num" w:pos="5385"/>
      </w:pPr>
      <w:rPr>
        <w:rFonts w:ascii="Noto Sans Symbols" w:hAnsi="Noto Sans Symbols" w:cs="Noto Sans Symbols" w:eastAsia="Noto Sans Symbols"/>
        <w:sz w:val="24"/>
      </w:rPr>
    </w:lvl>
    <w:lvl w:ilvl="7">
      <w:numFmt w:val="bullet"/>
      <w:lvlText w:val="o"/>
      <w:lvlJc w:val="left"/>
      <w:pPr>
        <w:ind w:left="6105" w:hanging="360"/>
        <w:tab w:val="num" w:pos="6105"/>
      </w:pPr>
      <w:rPr>
        <w:rFonts w:ascii="Courier New" w:hAnsi="Courier New" w:cs="Courier New" w:eastAsia="Courier New"/>
        <w:sz w:val="24"/>
      </w:rPr>
    </w:lvl>
    <w:lvl w:ilvl="8">
      <w:numFmt w:val="bullet"/>
      <w:lvlText w:val="▪"/>
      <w:lvlJc w:val="left"/>
      <w:pPr>
        <w:ind w:left="6825" w:hanging="360"/>
        <w:tab w:val="num" w:pos="6825"/>
      </w:pPr>
      <w:rPr>
        <w:rFonts w:ascii="Noto Sans Symbols" w:hAnsi="Noto Sans Symbols" w:cs="Noto Sans Symbols" w:eastAsia="Noto Sans Symbols"/>
        <w:sz w:val="24"/>
      </w:rPr>
    </w:lvl>
  </w:abstractNum>
  <w:abstractNum w:abstractNumId="196">
    <w:multiLevelType w:val="multilevel"/>
    <w:lvl w:ilvl="0">
      <w:numFmt w:val="bullet"/>
      <w:lvlText w:val="●"/>
      <w:lvlJc w:val="left"/>
      <w:pPr>
        <w:ind w:left="720" w:hanging="360"/>
        <w:tab w:val="num" w:pos="720"/>
      </w:pPr>
      <w:rPr>
        <w:rFonts w:ascii="Noto Sans Symbols" w:hAnsi="Noto Sans Symbols" w:cs="Noto Sans Symbols" w:eastAsia="Noto Sans Symbols"/>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Noto Sans Symbols" w:hAnsi="Noto Sans Symbols" w:cs="Noto Sans Symbols" w:eastAsia="Noto Sans Symbols"/>
        <w:sz w:val="24"/>
      </w:rPr>
    </w:lvl>
    <w:lvl w:ilvl="3">
      <w:numFmt w:val="bullet"/>
      <w:lvlText w:val="▪"/>
      <w:lvlJc w:val="left"/>
      <w:pPr>
        <w:ind w:left="2880" w:hanging="360"/>
        <w:tab w:val="num" w:pos="2880"/>
      </w:pPr>
      <w:rPr>
        <w:rFonts w:ascii="Noto Sans Symbols" w:hAnsi="Noto Sans Symbols" w:cs="Noto Sans Symbols" w:eastAsia="Noto Sans Symbols"/>
        <w:sz w:val="24"/>
      </w:rPr>
    </w:lvl>
    <w:lvl w:ilvl="4">
      <w:numFmt w:val="bullet"/>
      <w:lvlText w:val="▪"/>
      <w:lvlJc w:val="left"/>
      <w:pPr>
        <w:ind w:left="3600" w:hanging="360"/>
        <w:tab w:val="num" w:pos="3600"/>
      </w:pPr>
      <w:rPr>
        <w:rFonts w:ascii="Noto Sans Symbols" w:hAnsi="Noto Sans Symbols" w:cs="Noto Sans Symbols" w:eastAsia="Noto Sans Symbols"/>
        <w:sz w:val="24"/>
      </w:rPr>
    </w:lvl>
    <w:lvl w:ilvl="5">
      <w:numFmt w:val="bullet"/>
      <w:lvlText w:val="▪"/>
      <w:lvlJc w:val="left"/>
      <w:pPr>
        <w:ind w:left="4320" w:hanging="360"/>
        <w:tab w:val="num" w:pos="4320"/>
      </w:pPr>
      <w:rPr>
        <w:rFonts w:ascii="Noto Sans Symbols" w:hAnsi="Noto Sans Symbols" w:cs="Noto Sans Symbols" w:eastAsia="Noto Sans Symbols"/>
        <w:sz w:val="24"/>
      </w:rPr>
    </w:lvl>
    <w:lvl w:ilvl="6">
      <w:numFmt w:val="bullet"/>
      <w:lvlText w:val="▪"/>
      <w:lvlJc w:val="left"/>
      <w:pPr>
        <w:ind w:left="5040" w:hanging="360"/>
        <w:tab w:val="num" w:pos="5040"/>
      </w:pPr>
      <w:rPr>
        <w:rFonts w:ascii="Noto Sans Symbols" w:hAnsi="Noto Sans Symbols" w:cs="Noto Sans Symbols" w:eastAsia="Noto Sans Symbols"/>
        <w:sz w:val="24"/>
      </w:rPr>
    </w:lvl>
    <w:lvl w:ilvl="7">
      <w:numFmt w:val="bullet"/>
      <w:lvlText w:val="▪"/>
      <w:lvlJc w:val="left"/>
      <w:pPr>
        <w:ind w:left="5760" w:hanging="360"/>
        <w:tab w:val="num" w:pos="5760"/>
      </w:pPr>
      <w:rPr>
        <w:rFonts w:ascii="Noto Sans Symbols" w:hAnsi="Noto Sans Symbols" w:cs="Noto Sans Symbols" w:eastAsia="Noto Sans Symbols"/>
        <w:sz w:val="24"/>
      </w:rPr>
    </w:lvl>
    <w:lvl w:ilvl="8">
      <w:numFmt w:val="bullet"/>
      <w:lvlText w:val="▪"/>
      <w:lvlJc w:val="left"/>
      <w:pPr>
        <w:ind w:left="6480" w:hanging="360"/>
        <w:tab w:val="num" w:pos="6480"/>
      </w:pPr>
      <w:rPr>
        <w:rFonts w:ascii="Noto Sans Symbols" w:hAnsi="Noto Sans Symbols" w:cs="Noto Sans Symbols" w:eastAsia="Noto Sans Symbols"/>
        <w:sz w:val="24"/>
      </w:rPr>
    </w:lvl>
  </w:abstractNum>
  <w:abstractNum w:abstractNumId="197">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98">
    <w:multiLevelType w:val="singleLevel"/>
    <w:lvl w:ilvl="0">
      <w:numFmt w:val="lowerLetter"/>
      <w:lvlText w:val="%1)"/>
      <w:lvlJc w:val="left"/>
      <w:start w:val="1"/>
      <w:pPr>
        <w:ind w:left="855" w:firstLine="0"/>
        <w:tab w:val="num" w:pos="855"/>
      </w:pPr>
      <w:rPr>
        <w:rFonts w:ascii="Calibri" w:hAnsi="Calibri" w:cs="Calibri" w:eastAsia="Calibri"/>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file:///C:\Users\josej\Downloads\www.japura.pr.gov.br" TargetMode="External"/><Relationship Id="hrId2" Type="http://schemas.openxmlformats.org/officeDocument/2006/relationships/hyperlink" Target="file:///C:\Users\josej\Downloads\www.japura.pr.gov.br" TargetMode="External"/><Relationship Id="hrId3" Type="http://schemas.openxmlformats.org/officeDocument/2006/relationships/hyperlink" Target="https://bllcompras.com/" TargetMode="External"/><Relationship Id="hrId4" Type="http://schemas.openxmlformats.org/officeDocument/2006/relationships/hyperlink" Target="https://portaldatransparencia.gov.br/sancoes/consulta?cadastro=1&amp;ordenarPor=nomeSancionado&amp;direcao=asc" TargetMode="External"/><Relationship Id="hrId5" Type="http://schemas.openxmlformats.org/officeDocument/2006/relationships/hyperlink" Target="https://certidoes.sit.trabalho.gov.br/aprendiz"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