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Types>
</file>

<file path=_rels/.rels>&#65279;<?xml version="1.0" encoding="utf-8"?><Relationships xmlns="http://schemas.openxmlformats.org/package/2006/relationships"><Relationship Id="R38A46119" Type="http://schemas.openxmlformats.org/officeDocument/2006/relationships/officeDocument" Target="/word/document.xml" /><Relationship Id="coreR38A46119" Type="http://schemas.openxmlformats.org/package/2006/relationships/metadata/core-properties" Target="/docProps/core.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body>
    <w:p>
      <w:pPr>
        <w:jc w:val="center"/>
        <w:rPr>
          <w:rFonts w:ascii="Arial" w:hAnsi="Arial"/>
          <w:b w:val="1"/>
          <w:caps w:val="1"/>
          <w:color w:val="000000"/>
          <w:u w:val="single"/>
        </w:rPr>
      </w:pPr>
      <w:r>
        <w:rPr>
          <w:rFonts w:ascii="Arial" w:hAnsi="Arial"/>
          <w:b w:val="1"/>
          <w:caps w:val="1"/>
          <w:color w:val="000000"/>
          <w:u w:val="single"/>
        </w:rPr>
        <w:t>EDITAL</w:t>
      </w:r>
    </w:p>
    <w:p>
      <w:pPr>
        <w:jc w:val="center"/>
        <w:rPr>
          <w:rFonts w:ascii="Arial" w:hAnsi="Arial"/>
          <w:b w:val="1"/>
          <w:caps w:val="1"/>
          <w:color w:val="000000"/>
        </w:rPr>
      </w:pPr>
    </w:p>
    <w:p>
      <w:pPr>
        <w:jc w:val="center"/>
        <w:rPr>
          <w:rFonts w:ascii="Arial" w:hAnsi="Arial"/>
          <w:b w:val="1"/>
          <w:caps w:val="1"/>
          <w:color w:val="000000"/>
        </w:rPr>
      </w:pPr>
      <w:r>
        <w:rPr>
          <w:rFonts w:ascii="Arial" w:hAnsi="Arial"/>
          <w:b w:val="1"/>
          <w:caps w:val="1"/>
          <w:color w:val="000000"/>
        </w:rPr>
        <w:t xml:space="preserve">PREGÃO ELETRÔNICO </w:t>
        <w:tab/>
        <w:t>Nº 038/2026</w:t>
      </w:r>
    </w:p>
    <w:p>
      <w:pPr>
        <w:jc w:val="center"/>
        <w:rPr>
          <w:rFonts w:ascii="Arial" w:hAnsi="Arial"/>
          <w:b w:val="1"/>
          <w:caps w:val="1"/>
          <w:color w:val="000000"/>
        </w:rPr>
      </w:pPr>
      <w:r>
        <w:rPr>
          <w:rFonts w:ascii="Arial" w:hAnsi="Arial"/>
          <w:b w:val="1"/>
          <w:caps w:val="1"/>
          <w:color w:val="000000"/>
        </w:rPr>
        <w:t>Proc. Administrativo</w:t>
        <w:tab/>
        <w:t>n° 067/2026</w:t>
      </w:r>
    </w:p>
    <w:p>
      <w:pPr>
        <w:jc w:val="center"/>
        <w:rPr>
          <w:rFonts w:ascii="Arial" w:hAnsi="Arial"/>
          <w:b w:val="1"/>
          <w:color w:val="000000"/>
        </w:rPr>
      </w:pPr>
    </w:p>
    <w:p>
      <w:pPr>
        <w:rPr>
          <w:rFonts w:ascii="Arial" w:hAnsi="Arial"/>
          <w:color w:val="000000"/>
        </w:rPr>
      </w:pPr>
      <w:r>
        <w:rPr>
          <w:rFonts w:ascii="Arial" w:hAnsi="Arial"/>
          <w:color w:val="000000"/>
        </w:rPr>
        <w:t xml:space="preserve">Torna-se público que o </w:t>
      </w:r>
      <w:r>
        <w:rPr>
          <w:rFonts w:ascii="Arial" w:hAnsi="Arial"/>
          <w:b w:val="1"/>
        </w:rPr>
        <w:t>MUNICÍPIO DE TUNEIRAS DO OESTE</w:t>
      </w:r>
      <w:r>
        <w:rPr>
          <w:rFonts w:ascii="Arial" w:hAnsi="Arial"/>
        </w:rPr>
        <w:t>, pessoa jurídica de direito público interno, inscrito no CNPJ nº 76.247.329/0001-13, com sede na Rua Santa Catarina, 409 – Centro, nesta cidade de Tuneiras do Oeste, Estado do Paraná, com autorização do Prefeito Municipal, Guerino Mendonça dos Santos</w:t>
      </w:r>
      <w:r>
        <w:rPr>
          <w:rFonts w:ascii="Arial" w:hAnsi="Arial"/>
          <w:color w:val="000000"/>
        </w:rPr>
        <w:t xml:space="preserve">, por meio do Departamento de Licitação, Convênios e Contratos, sediado no Paço Municipal no endereço supra, realizará licitação, na modalidade </w:t>
      </w:r>
      <w:r>
        <w:rPr>
          <w:rFonts w:ascii="Arial" w:hAnsi="Arial"/>
          <w:b w:val="1"/>
          <w:color w:val="000000"/>
        </w:rPr>
        <w:t>PREGÃO</w:t>
      </w:r>
      <w:r>
        <w:rPr>
          <w:rFonts w:ascii="Arial" w:hAnsi="Arial"/>
          <w:color w:val="000000"/>
        </w:rPr>
        <w:t xml:space="preserve">, na forma </w:t>
      </w:r>
      <w:r>
        <w:rPr>
          <w:rFonts w:ascii="Arial" w:hAnsi="Arial"/>
          <w:b w:val="1"/>
          <w:color w:val="000000"/>
        </w:rPr>
        <w:t>ELETRÔNICA</w:t>
      </w:r>
      <w:r>
        <w:rPr>
          <w:rFonts w:ascii="Arial" w:hAnsi="Arial"/>
          <w:color w:val="000000"/>
        </w:rPr>
        <w:t xml:space="preserve">, nos termos da Lei nº 14.133/2021, da Lei Complementar n° 123/2006, do </w:t>
      </w:r>
      <w:r>
        <w:rPr>
          <w:rFonts w:ascii="Arial" w:hAnsi="Arial"/>
        </w:rPr>
        <w:t>Decreto Municipal nº 439/2023, da Lei Complementar Municipal nº 001/2009, além das demais normas aplicáveis ao caso, conforme datas, horários e critérios abaixo estabelecidos</w:t>
      </w:r>
      <w:r>
        <w:rPr>
          <w:rFonts w:ascii="Arial" w:hAnsi="Arial"/>
          <w:color w:val="000000"/>
        </w:rPr>
        <w:t>:</w:t>
      </w:r>
    </w:p>
    <w:p>
      <w:pPr>
        <w:rPr>
          <w:rFonts w:ascii="Arial" w:hAnsi="Arial"/>
        </w:rPr>
      </w:pPr>
    </w:p>
    <w:tbl>
      <w:tblPr>
        <w:tblW w:w="9011" w:type="dxa"/>
        <w:jc w:val="center"/>
        <w:tblCellMar>
          <w:left w:w="70" w:type="dxa"/>
          <w:right w:w="70" w:type="dxa"/>
        </w:tblCellMar>
        <w:tblLook w:val="04A0"/>
      </w:tblPr>
      <w:tblGrid/>
      <w:tr>
        <w:trPr>
          <w:trHeight w:hRule="atLeast" w:val="300"/>
          <w:jc w:val="center"/>
        </w:trPr>
        <w:tc>
          <w:tcPr>
            <w:tcW w:w="3190" w:type="dxa"/>
            <w:tcBorders>
              <w:top w:val="single" w:sz="4" w:space="0" w:shadow="0" w:frame="0"/>
              <w:left w:val="single" w:sz="4" w:space="0" w:shadow="0" w:frame="0"/>
              <w:bottom w:val="single" w:sz="4" w:space="0" w:shadow="0" w:frame="0"/>
              <w:right w:val="single" w:sz="4" w:space="0" w:shadow="0" w:frame="0"/>
            </w:tcBorders>
            <w:noWrap/>
            <w:vAlign w:val="center"/>
            <w:hideMark/>
          </w:tcPr>
          <w:p>
            <w:pPr>
              <w:rPr>
                <w:rFonts w:ascii="Calibri" w:hAnsi="Calibri"/>
                <w:color w:val="000000"/>
                <w:sz w:val="22"/>
              </w:rPr>
            </w:pPr>
            <w:r>
              <w:rPr>
                <w:rFonts w:ascii="Arial" w:hAnsi="Arial"/>
                <w:b w:val="1"/>
                <w:color w:val="000000"/>
              </w:rPr>
              <w:t>Data da sessão:</w:t>
            </w:r>
          </w:p>
        </w:tc>
        <w:tc>
          <w:tcPr>
            <w:tcW w:w="5821" w:type="dxa"/>
            <w:tcBorders>
              <w:top w:val="single" w:sz="4" w:space="0" w:shadow="0" w:frame="0"/>
              <w:left w:val="nil"/>
              <w:bottom w:val="single" w:sz="4" w:space="0" w:shadow="0" w:frame="0"/>
              <w:right w:val="single" w:sz="4" w:space="0" w:shadow="0" w:frame="0"/>
            </w:tcBorders>
            <w:noWrap/>
            <w:vAlign w:val="center"/>
            <w:hideMark/>
          </w:tcPr>
          <w:p>
            <w:pPr>
              <w:jc w:val="left"/>
              <w:rPr>
                <w:rFonts w:ascii="Calibri" w:hAnsi="Calibri"/>
                <w:color w:val="000000"/>
                <w:sz w:val="22"/>
              </w:rPr>
            </w:pPr>
            <w:r>
              <w:rPr>
                <w:rFonts w:ascii="Calibri" w:hAnsi="Calibri"/>
                <w:color w:val="000000"/>
                <w:sz w:val="22"/>
              </w:rPr>
              <w:t>09/10/2026</w:t>
            </w:r>
          </w:p>
        </w:tc>
      </w:tr>
      <w:tr>
        <w:trPr>
          <w:trHeight w:hRule="atLeast" w:val="300"/>
          <w:jc w:val="center"/>
        </w:trPr>
        <w:tc>
          <w:tcPr>
            <w:tcW w:w="3190" w:type="dxa"/>
            <w:tcBorders>
              <w:top w:val="nil"/>
              <w:left w:val="single" w:sz="4" w:space="0" w:shadow="0" w:frame="0"/>
              <w:bottom w:val="single" w:sz="4" w:space="0" w:shadow="0" w:frame="0"/>
              <w:right w:val="single" w:sz="4" w:space="0" w:shadow="0" w:frame="0"/>
            </w:tcBorders>
            <w:noWrap/>
            <w:vAlign w:val="center"/>
            <w:hideMark/>
          </w:tcPr>
          <w:p>
            <w:pPr>
              <w:rPr>
                <w:rFonts w:ascii="Calibri" w:hAnsi="Calibri"/>
                <w:color w:val="000000"/>
                <w:sz w:val="22"/>
              </w:rPr>
            </w:pPr>
            <w:r>
              <w:rPr>
                <w:rFonts w:ascii="Arial" w:hAnsi="Arial"/>
                <w:b w:val="1"/>
                <w:color w:val="000000"/>
              </w:rPr>
              <w:t>Horário:</w:t>
            </w:r>
          </w:p>
        </w:tc>
        <w:tc>
          <w:tcPr>
            <w:tcW w:w="5821" w:type="dxa"/>
            <w:tcBorders>
              <w:top w:val="nil"/>
              <w:left w:val="nil"/>
              <w:bottom w:val="single" w:sz="4" w:space="0" w:shadow="0" w:frame="0"/>
              <w:right w:val="single" w:sz="4" w:space="0" w:shadow="0" w:frame="0"/>
            </w:tcBorders>
            <w:noWrap/>
            <w:vAlign w:val="center"/>
            <w:hideMark/>
          </w:tcPr>
          <w:p>
            <w:pPr>
              <w:jc w:val="left"/>
              <w:rPr>
                <w:rFonts w:ascii="Calibri" w:hAnsi="Calibri"/>
                <w:color w:val="000000"/>
                <w:sz w:val="22"/>
              </w:rPr>
            </w:pPr>
            <w:r>
              <w:rPr>
                <w:rFonts w:ascii="Arial" w:hAnsi="Arial"/>
                <w:color w:val="000000"/>
              </w:rPr>
              <w:t>08:30 horas (Horário de Brasília)</w:t>
            </w:r>
          </w:p>
        </w:tc>
      </w:tr>
      <w:tr>
        <w:trPr>
          <w:trHeight w:hRule="atLeast" w:val="300"/>
          <w:jc w:val="center"/>
        </w:trPr>
        <w:tc>
          <w:tcPr>
            <w:tcW w:w="3190" w:type="dxa"/>
            <w:tcBorders>
              <w:top w:val="nil"/>
              <w:left w:val="single" w:sz="4" w:space="0" w:shadow="0" w:frame="0"/>
              <w:bottom w:val="single" w:sz="4" w:space="0" w:shadow="0" w:frame="0"/>
              <w:right w:val="single" w:sz="4" w:space="0" w:shadow="0" w:frame="0"/>
            </w:tcBorders>
            <w:noWrap/>
            <w:vAlign w:val="center"/>
            <w:hideMark/>
          </w:tcPr>
          <w:p>
            <w:pPr>
              <w:rPr>
                <w:rFonts w:ascii="Calibri" w:hAnsi="Calibri"/>
                <w:color w:val="000000"/>
                <w:sz w:val="22"/>
              </w:rPr>
            </w:pPr>
            <w:r>
              <w:rPr>
                <w:rFonts w:ascii="Arial" w:hAnsi="Arial"/>
                <w:b w:val="1"/>
                <w:color w:val="000000"/>
              </w:rPr>
              <w:t>Horário limite para recebimento de propostas:</w:t>
            </w:r>
          </w:p>
        </w:tc>
        <w:tc>
          <w:tcPr>
            <w:tcW w:w="5821" w:type="dxa"/>
            <w:tcBorders>
              <w:top w:val="nil"/>
              <w:left w:val="nil"/>
              <w:bottom w:val="single" w:sz="4" w:space="0" w:shadow="0" w:frame="0"/>
              <w:right w:val="single" w:sz="4" w:space="0" w:shadow="0" w:frame="0"/>
            </w:tcBorders>
            <w:noWrap/>
            <w:vAlign w:val="center"/>
            <w:hideMark/>
          </w:tcPr>
          <w:p>
            <w:pPr>
              <w:jc w:val="left"/>
              <w:rPr>
                <w:rFonts w:ascii="Calibri" w:hAnsi="Calibri"/>
                <w:color w:val="000000"/>
                <w:sz w:val="22"/>
              </w:rPr>
            </w:pPr>
            <w:r>
              <w:rPr>
                <w:rFonts w:ascii="Arial" w:hAnsi="Arial"/>
                <w:color w:val="000000"/>
              </w:rPr>
              <w:t>08:00 horas (Horário de Brasília)</w:t>
            </w:r>
          </w:p>
        </w:tc>
      </w:tr>
      <w:tr>
        <w:trPr>
          <w:trHeight w:hRule="atLeast" w:val="300"/>
          <w:jc w:val="center"/>
        </w:trPr>
        <w:tc>
          <w:tcPr>
            <w:tcW w:w="3190" w:type="dxa"/>
            <w:tcBorders>
              <w:top w:val="nil"/>
              <w:left w:val="single" w:sz="4" w:space="0" w:shadow="0" w:frame="0"/>
              <w:bottom w:val="single" w:sz="4" w:space="0" w:shadow="0" w:frame="0"/>
              <w:right w:val="single" w:sz="4" w:space="0" w:shadow="0" w:frame="0"/>
            </w:tcBorders>
            <w:noWrap/>
            <w:vAlign w:val="center"/>
            <w:hideMark/>
          </w:tcPr>
          <w:p>
            <w:pPr>
              <w:rPr>
                <w:rFonts w:ascii="Calibri" w:hAnsi="Calibri"/>
                <w:color w:val="000000"/>
                <w:sz w:val="22"/>
              </w:rPr>
            </w:pPr>
            <w:r>
              <w:rPr>
                <w:rFonts w:ascii="Arial" w:hAnsi="Arial"/>
                <w:b w:val="1"/>
                <w:color w:val="000000"/>
              </w:rPr>
              <w:t>Local:</w:t>
            </w:r>
          </w:p>
        </w:tc>
        <w:tc>
          <w:tcPr>
            <w:tcW w:w="5821" w:type="dxa"/>
            <w:tcBorders>
              <w:top w:val="nil"/>
              <w:left w:val="nil"/>
              <w:bottom w:val="single" w:sz="4" w:space="0" w:shadow="0" w:frame="0"/>
              <w:right w:val="single" w:sz="4" w:space="0" w:shadow="0" w:frame="0"/>
            </w:tcBorders>
            <w:noWrap/>
            <w:vAlign w:val="center"/>
            <w:hideMark/>
          </w:tcPr>
          <w:p>
            <w:pPr>
              <w:rPr>
                <w:rFonts w:ascii="Calibri" w:hAnsi="Calibri"/>
                <w:color w:val="000000"/>
                <w:sz w:val="22"/>
              </w:rPr>
            </w:pPr>
            <w:r>
              <w:rPr>
                <w:rFonts w:ascii="Arial" w:hAnsi="Arial"/>
                <w:color w:val="000000"/>
              </w:rPr>
              <w:t xml:space="preserve">Bolsa de Licitações e Leilões do Brasil (BLL) - </w:t>
            </w:r>
            <w:r>
              <w:rPr>
                <w:rFonts w:ascii="Arial" w:hAnsi="Arial"/>
                <w:color w:val="000000"/>
              </w:rPr>
              <w:fldChar w:fldCharType="begin"/>
            </w:r>
            <w:r>
              <w:rPr>
                <w:rFonts w:ascii="Arial" w:hAnsi="Arial"/>
                <w:color w:val="000000"/>
              </w:rPr>
              <w:instrText>HYPERLINK "https://bll.org.br"</w:instrText>
            </w:r>
            <w:r>
              <w:rPr>
                <w:rFonts w:ascii="Arial" w:hAnsi="Arial"/>
                <w:color w:val="000000"/>
              </w:rPr>
              <w:fldChar w:fldCharType="separate"/>
            </w:r>
            <w:r>
              <w:rPr>
                <w:rStyle w:val="C2"/>
                <w:rFonts w:ascii="Arial" w:hAnsi="Arial"/>
              </w:rPr>
              <w:t>https://bll.org.br</w:t>
            </w:r>
            <w:r>
              <w:rPr>
                <w:rStyle w:val="C2"/>
                <w:rFonts w:ascii="Arial" w:hAnsi="Arial"/>
              </w:rPr>
              <w:fldChar w:fldCharType="end"/>
            </w:r>
          </w:p>
        </w:tc>
      </w:tr>
      <w:tr>
        <w:trPr>
          <w:trHeight w:hRule="atLeast" w:val="300"/>
          <w:jc w:val="center"/>
        </w:trPr>
        <w:tc>
          <w:tcPr>
            <w:tcW w:w="3190" w:type="dxa"/>
            <w:tcBorders>
              <w:top w:val="nil"/>
              <w:left w:val="single" w:sz="4" w:space="0" w:shadow="0" w:frame="0"/>
              <w:bottom w:val="single" w:sz="4" w:space="0" w:shadow="0" w:frame="0"/>
              <w:right w:val="single" w:sz="4" w:space="0" w:shadow="0" w:frame="0"/>
            </w:tcBorders>
            <w:noWrap/>
            <w:vAlign w:val="center"/>
          </w:tcPr>
          <w:p>
            <w:pPr>
              <w:rPr>
                <w:rFonts w:ascii="Calibri" w:hAnsi="Calibri"/>
                <w:color w:val="000000"/>
                <w:sz w:val="22"/>
              </w:rPr>
            </w:pPr>
            <w:r>
              <w:rPr>
                <w:rFonts w:ascii="Arial" w:hAnsi="Arial"/>
                <w:b w:val="1"/>
              </w:rPr>
              <w:t>Critério de Julgamento:</w:t>
            </w:r>
          </w:p>
        </w:tc>
        <w:tc>
          <w:tcPr>
            <w:tcW w:w="5821" w:type="dxa"/>
            <w:tcBorders>
              <w:top w:val="nil"/>
              <w:left w:val="nil"/>
              <w:bottom w:val="single" w:sz="4" w:space="0" w:shadow="0" w:frame="0"/>
              <w:right w:val="single" w:sz="4" w:space="0" w:shadow="0" w:frame="0"/>
            </w:tcBorders>
            <w:noWrap/>
            <w:vAlign w:val="center"/>
          </w:tcPr>
          <w:p>
            <w:pPr>
              <w:jc w:val="left"/>
              <w:rPr>
                <w:rFonts w:ascii="Calibri" w:hAnsi="Calibri"/>
                <w:sz w:val="22"/>
              </w:rPr>
            </w:pPr>
            <w:r>
              <w:rPr>
                <w:rFonts w:ascii="Arial" w:hAnsi="Arial"/>
              </w:rPr>
              <w:t xml:space="preserve">MENOR PREÇO GLOBAL </w:t>
            </w:r>
          </w:p>
        </w:tc>
      </w:tr>
      <w:tr>
        <w:trPr>
          <w:trHeight w:hRule="atLeast" w:val="300"/>
          <w:jc w:val="center"/>
        </w:trPr>
        <w:tc>
          <w:tcPr>
            <w:tcW w:w="3190" w:type="dxa"/>
            <w:tcBorders>
              <w:top w:val="nil"/>
              <w:left w:val="single" w:sz="4" w:space="0" w:shadow="0" w:frame="0"/>
              <w:bottom w:val="single" w:sz="4" w:space="0" w:shadow="0" w:frame="0"/>
              <w:right w:val="single" w:sz="4" w:space="0" w:shadow="0" w:frame="0"/>
            </w:tcBorders>
            <w:noWrap/>
            <w:vAlign w:val="center"/>
          </w:tcPr>
          <w:p>
            <w:pPr>
              <w:rPr>
                <w:rFonts w:ascii="Calibri" w:hAnsi="Calibri"/>
                <w:color w:val="000000"/>
                <w:sz w:val="22"/>
              </w:rPr>
            </w:pPr>
            <w:r>
              <w:rPr>
                <w:rFonts w:ascii="Arial" w:hAnsi="Arial"/>
                <w:b w:val="1"/>
              </w:rPr>
              <w:t>Forma de adjudicação:</w:t>
            </w:r>
          </w:p>
        </w:tc>
        <w:tc>
          <w:tcPr>
            <w:tcW w:w="5821" w:type="dxa"/>
            <w:tcBorders>
              <w:top w:val="nil"/>
              <w:left w:val="nil"/>
              <w:bottom w:val="single" w:sz="4" w:space="0" w:shadow="0" w:frame="0"/>
              <w:right w:val="single" w:sz="4" w:space="0" w:shadow="0" w:frame="0"/>
            </w:tcBorders>
            <w:noWrap/>
            <w:vAlign w:val="center"/>
          </w:tcPr>
          <w:p>
            <w:pPr>
              <w:jc w:val="left"/>
              <w:rPr>
                <w:rFonts w:ascii="Calibri" w:hAnsi="Calibri"/>
                <w:sz w:val="22"/>
              </w:rPr>
            </w:pPr>
            <w:r>
              <w:rPr>
                <w:rFonts w:ascii="Calibri" w:hAnsi="Calibri"/>
                <w:sz w:val="22"/>
              </w:rPr>
              <w:t xml:space="preserve">LOTE ÚNICO </w:t>
            </w:r>
          </w:p>
        </w:tc>
      </w:tr>
      <w:tr>
        <w:trPr>
          <w:trHeight w:hRule="atLeast" w:val="300"/>
          <w:jc w:val="center"/>
        </w:trPr>
        <w:tc>
          <w:tcPr>
            <w:tcW w:w="3190" w:type="dxa"/>
            <w:tcBorders>
              <w:top w:val="nil"/>
              <w:left w:val="single" w:sz="4" w:space="0" w:shadow="0" w:frame="0"/>
              <w:bottom w:val="single" w:sz="4" w:space="0" w:shadow="0" w:frame="0"/>
              <w:right w:val="single" w:sz="4" w:space="0" w:shadow="0" w:frame="0"/>
            </w:tcBorders>
            <w:noWrap/>
            <w:vAlign w:val="center"/>
          </w:tcPr>
          <w:p>
            <w:pPr>
              <w:rPr>
                <w:rFonts w:ascii="Arial" w:hAnsi="Arial"/>
                <w:b w:val="1"/>
              </w:rPr>
            </w:pPr>
            <w:r>
              <w:rPr>
                <w:rFonts w:ascii="Arial" w:hAnsi="Arial"/>
                <w:b w:val="1"/>
              </w:rPr>
              <w:t>Modo de Disputa:</w:t>
            </w:r>
          </w:p>
        </w:tc>
        <w:tc>
          <w:tcPr>
            <w:tcW w:w="5821" w:type="dxa"/>
            <w:tcBorders>
              <w:top w:val="nil"/>
              <w:left w:val="nil"/>
              <w:bottom w:val="single" w:sz="4" w:space="0" w:shadow="0" w:frame="0"/>
              <w:right w:val="single" w:sz="4" w:space="0" w:shadow="0" w:frame="0"/>
            </w:tcBorders>
            <w:noWrap/>
            <w:vAlign w:val="center"/>
          </w:tcPr>
          <w:p>
            <w:pPr>
              <w:jc w:val="left"/>
              <w:rPr>
                <w:rFonts w:ascii="Calibri" w:hAnsi="Calibri"/>
                <w:color w:val="000000"/>
                <w:sz w:val="22"/>
              </w:rPr>
            </w:pPr>
            <w:r>
              <w:rPr>
                <w:rFonts w:ascii="Calibri" w:hAnsi="Calibri"/>
                <w:color w:val="000000"/>
                <w:sz w:val="22"/>
              </w:rPr>
              <w:t>Aberto</w:t>
            </w:r>
          </w:p>
        </w:tc>
      </w:tr>
      <w:tr>
        <w:trPr>
          <w:trHeight w:hRule="atLeast" w:val="300"/>
          <w:jc w:val="center"/>
        </w:trPr>
        <w:tc>
          <w:tcPr>
            <w:tcW w:w="3190" w:type="dxa"/>
            <w:tcBorders>
              <w:top w:val="nil"/>
              <w:left w:val="single" w:sz="4" w:space="0" w:shadow="0" w:frame="0"/>
              <w:bottom w:val="single" w:sz="4" w:space="0" w:shadow="0" w:frame="0"/>
              <w:right w:val="single" w:sz="4" w:space="0" w:shadow="0" w:frame="0"/>
            </w:tcBorders>
            <w:noWrap/>
            <w:vAlign w:val="center"/>
          </w:tcPr>
          <w:p>
            <w:pPr>
              <w:rPr>
                <w:rFonts w:ascii="Calibri" w:hAnsi="Calibri"/>
                <w:color w:val="000000"/>
                <w:sz w:val="22"/>
              </w:rPr>
            </w:pPr>
            <w:r>
              <w:rPr>
                <w:rFonts w:ascii="Arial" w:hAnsi="Arial"/>
                <w:b w:val="1"/>
              </w:rPr>
              <w:t>Especificidade:</w:t>
            </w:r>
          </w:p>
        </w:tc>
        <w:tc>
          <w:tcPr>
            <w:tcW w:w="5821" w:type="dxa"/>
            <w:tcBorders>
              <w:top w:val="nil"/>
              <w:left w:val="nil"/>
              <w:bottom w:val="single" w:sz="4" w:space="0" w:shadow="0" w:frame="0"/>
              <w:right w:val="single" w:sz="4" w:space="0" w:shadow="0" w:frame="0"/>
            </w:tcBorders>
            <w:noWrap/>
            <w:vAlign w:val="center"/>
          </w:tcPr>
          <w:p>
            <w:pPr>
              <w:jc w:val="left"/>
              <w:rPr>
                <w:rFonts w:ascii="Calibri" w:hAnsi="Calibri"/>
                <w:sz w:val="22"/>
              </w:rPr>
            </w:pPr>
            <w:r>
              <w:rPr>
                <w:rFonts w:ascii="Arial" w:hAnsi="Arial"/>
              </w:rPr>
              <w:t>Destinado à Ampla Concorrência</w:t>
            </w:r>
          </w:p>
        </w:tc>
      </w:tr>
    </w:tbl>
    <w:p>
      <w:pPr>
        <w:rPr>
          <w:rFonts w:ascii="Arial" w:hAnsi="Arial"/>
        </w:rPr>
      </w:pPr>
    </w:p>
    <w:p>
      <w:pPr>
        <w:pStyle w:val="P43"/>
        <w:tabs>
          <w:tab w:val="left" w:pos="284" w:leader="none"/>
          <w:tab w:val="clear" w:pos="567" w:leader="none"/>
        </w:tabs>
        <w:spacing w:before="0" w:beforeAutospacing="0" w:afterAutospacing="0"/>
        <w:rPr>
          <w:rFonts w:ascii="Arial" w:hAnsi="Arial"/>
          <w:sz w:val="20"/>
        </w:rPr>
      </w:pPr>
      <w:bookmarkStart w:id="0" w:name="_Ref92815058"/>
      <w:r>
        <w:rPr>
          <w:rFonts w:ascii="Arial" w:hAnsi="Arial"/>
          <w:sz w:val="20"/>
        </w:rPr>
        <w:t>DO OBJETO</w:t>
      </w:r>
      <w:bookmarkEnd w:id="0"/>
      <w:r>
        <w:rPr>
          <w:rFonts w:ascii="Arial" w:hAnsi="Arial"/>
          <w:sz w:val="20"/>
        </w:rPr>
        <w:t xml:space="preserve"> E CONDIÇÕES ESPECÍFICAS</w:t>
      </w:r>
    </w:p>
    <w:p>
      <w:pPr>
        <w:numPr>
          <w:ilvl w:val="1"/>
          <w:numId w:val="2"/>
        </w:numPr>
        <w:tabs>
          <w:tab w:val="left" w:pos="851" w:leader="none"/>
        </w:tabs>
        <w:ind w:firstLine="0" w:left="425"/>
        <w:rPr>
          <w:rFonts w:ascii="Arial" w:hAnsi="Arial"/>
          <w:b w:val="1"/>
          <w:color w:val="000000"/>
        </w:rPr>
      </w:pPr>
      <w:r>
        <w:rPr>
          <w:rFonts w:ascii="Arial" w:hAnsi="Arial"/>
          <w:color w:val="000000"/>
        </w:rPr>
        <w:t xml:space="preserve">O objeto da presente licitação é a escolha da proposta mais vantajosa para </w:t>
      </w:r>
      <w:r>
        <w:rPr>
          <w:rFonts w:ascii="Arial" w:hAnsi="Arial"/>
          <w:b w:val="1"/>
        </w:rPr>
        <w:t>CONTRATAÇÃO DE EMPRESA ESPECIALIZADA NA ORGANIZAÇÃO E EXECUÇÃO DE VIAGEM TURÍSTICA, NO ÂMBITO DO PROGRAMA PARANÁ MAIS VIAGEM, CONFORME TERMO DE CONVÊNIO Nº 033/2026, CELEBRADO COM A SECRETARIA DE ESTADO DO TURISMO – SETU/PR, PARA ATENDIMENTO AOS ALUNOS DO ENSINO MÉDIO DO MUNICÍPIO DE TUNEIRAS DO OESTE–PR,</w:t>
      </w:r>
      <w:r>
        <w:rPr>
          <w:rFonts w:ascii="Arial" w:hAnsi="Arial"/>
          <w:color w:val="000000"/>
        </w:rPr>
        <w:t xml:space="preserve"> conforme memorial descritivo constante no anexo do referido Edital. </w:t>
      </w:r>
    </w:p>
    <w:p>
      <w:pPr>
        <w:numPr>
          <w:ilvl w:val="1"/>
          <w:numId w:val="2"/>
        </w:numPr>
        <w:tabs>
          <w:tab w:val="left" w:pos="426" w:leader="none"/>
        </w:tabs>
        <w:ind w:left="851"/>
        <w:rPr>
          <w:rFonts w:ascii="Arial" w:hAnsi="Arial"/>
        </w:rPr>
      </w:pPr>
      <w:r>
        <w:rPr>
          <w:rFonts w:ascii="Arial" w:hAnsi="Arial"/>
        </w:rPr>
        <w:t xml:space="preserve">A licitação será realizada em </w:t>
      </w:r>
      <w:r>
        <w:rPr>
          <w:rFonts w:ascii="Arial" w:hAnsi="Arial"/>
          <w:b w:val="1"/>
        </w:rPr>
        <w:t>LOTE ÚNICO</w:t>
      </w:r>
      <w:r>
        <w:rPr>
          <w:rFonts w:ascii="Arial" w:hAnsi="Arial"/>
        </w:rPr>
        <w:t>, conforme tabela constante do Termo de Referência (Anexo I).</w:t>
      </w:r>
    </w:p>
    <w:p>
      <w:pPr>
        <w:numPr>
          <w:ilvl w:val="1"/>
          <w:numId w:val="2"/>
        </w:numPr>
        <w:tabs>
          <w:tab w:val="left" w:pos="851" w:leader="none"/>
        </w:tabs>
        <w:ind w:firstLine="0" w:left="426"/>
        <w:rPr>
          <w:rFonts w:ascii="Arial" w:hAnsi="Arial"/>
        </w:rPr>
      </w:pPr>
      <w:r>
        <w:rPr>
          <w:rFonts w:ascii="Arial" w:hAnsi="Arial"/>
        </w:rPr>
        <w:t xml:space="preserve">O critério de julgamento adotado será o </w:t>
      </w:r>
      <w:r>
        <w:rPr>
          <w:rFonts w:ascii="Arial" w:hAnsi="Arial"/>
          <w:b w:val="1"/>
        </w:rPr>
        <w:t>MENOR PREÇO GLOBAL</w:t>
      </w:r>
      <w:r>
        <w:rPr>
          <w:rFonts w:ascii="Arial" w:hAnsi="Arial"/>
        </w:rPr>
        <w:t>, observadas as exigências contidas neste Edital e seus anexos quanto às especificações do objeto.</w:t>
      </w:r>
    </w:p>
    <w:p>
      <w:pPr>
        <w:pStyle w:val="P13"/>
        <w:numPr>
          <w:ilvl w:val="1"/>
          <w:numId w:val="2"/>
        </w:numPr>
        <w:tabs>
          <w:tab w:val="left" w:pos="851" w:leader="none"/>
        </w:tabs>
        <w:ind w:left="851"/>
        <w:rPr>
          <w:rFonts w:ascii="Arial" w:hAnsi="Arial"/>
          <w:b w:val="1"/>
        </w:rPr>
      </w:pPr>
      <w:r>
        <w:rPr>
          <w:rFonts w:ascii="Arial" w:hAnsi="Arial"/>
        </w:rPr>
        <w:t xml:space="preserve">O presente edital </w:t>
      </w:r>
      <w:r>
        <w:rPr>
          <w:rFonts w:ascii="Arial" w:hAnsi="Arial"/>
          <w:u w:val="single"/>
        </w:rPr>
        <w:t>NÃO</w:t>
      </w:r>
      <w:r>
        <w:rPr>
          <w:rFonts w:ascii="Arial" w:hAnsi="Arial"/>
        </w:rPr>
        <w:t xml:space="preserve"> faz reserva de cota exclusiva para licitantes que se enquadrem como Microempresa - ME, Empresa de Pequeno Porte - EPP ou Microempreendedor Individual - MEI, pelo fato de o objeto poder ser fornecido em preços e condições mais vantajosas para esta Administração Pública por licitantes não contemplados nestes enquadramentos tributários/fiscais, bem como pela necessidade de padronização da aquisição, nos termos do art. 49, II da Lei Complementar nº 123/06, art. 35, §2º da Lei Complementar Municipal nº 001/09, e do art. 15, §2º do Decreto Municipal nº 071/17. Justificativa pormenorizada encontra-se junto ao Termo de Referência (Anexo I). </w:t>
      </w:r>
    </w:p>
    <w:p>
      <w:pPr>
        <w:pStyle w:val="P13"/>
        <w:numPr>
          <w:ilvl w:val="1"/>
          <w:numId w:val="2"/>
        </w:numPr>
        <w:tabs>
          <w:tab w:val="left" w:pos="1620" w:leader="none"/>
          <w:tab w:val="left" w:pos="2160" w:leader="none"/>
        </w:tabs>
        <w:ind w:left="709"/>
        <w:rPr>
          <w:rFonts w:ascii="Arial" w:hAnsi="Arial"/>
          <w:highlight w:val="yellow"/>
          <w:lang w:eastAsia="en-US"/>
        </w:rPr>
      </w:pPr>
      <w:r>
        <w:rPr>
          <w:rFonts w:ascii="Arial" w:hAnsi="Arial"/>
        </w:rPr>
        <w:t xml:space="preserve">O valor máximo que o </w:t>
      </w:r>
      <w:r>
        <w:rPr>
          <w:rFonts w:ascii="Arial" w:hAnsi="Arial"/>
          <w:b w:val="1"/>
        </w:rPr>
        <w:t>MUNICÍPIO DE TUNEIRAS DO OESTE</w:t>
      </w:r>
      <w:r>
        <w:rPr>
          <w:rFonts w:ascii="Arial" w:hAnsi="Arial"/>
        </w:rPr>
        <w:t xml:space="preserve"> se propõe a pagar pela execução da totalidade do objeto deste edital, perfaz o montante de </w:t>
      </w:r>
      <w:r>
        <w:rPr>
          <w:rFonts w:ascii="Arial" w:hAnsi="Arial"/>
          <w:b w:val="1"/>
          <w:highlight w:val="yellow"/>
          <w:lang w:eastAsia="en-US"/>
        </w:rPr>
        <w:t>R$</w:t>
      </w:r>
      <w:r>
        <w:rPr>
          <w:rFonts w:ascii="Arial" w:hAnsi="Arial"/>
          <w:b w:val="1"/>
          <w:highlight w:val="yellow"/>
        </w:rPr>
        <w:t>100.336,80 (cem mil, trezentos e trinta e seis reais e oitenta centavos)</w:t>
      </w:r>
      <w:r>
        <w:rPr>
          <w:rFonts w:ascii="Arial" w:hAnsi="Arial"/>
          <w:highlight w:val="yellow"/>
          <w:lang w:eastAsia="en-US"/>
        </w:rPr>
        <w:t>,</w:t>
      </w:r>
      <w:r>
        <w:rPr>
          <w:rFonts w:ascii="ArialMT" w:hAnsi="ArialMT"/>
          <w:sz w:val="22"/>
          <w:highlight w:val="yellow"/>
        </w:rPr>
        <w:t xml:space="preserve"> </w:t>
      </w:r>
      <w:r>
        <w:rPr>
          <w:rFonts w:ascii="Arial" w:hAnsi="Arial"/>
          <w:highlight w:val="yellow"/>
          <w:lang w:eastAsia="en-US"/>
        </w:rPr>
        <w:t>resultando no valor total de R$ 92.800,00, por parte da SETU e R$ 7.536,80 por parte do Município.</w:t>
      </w:r>
    </w:p>
    <w:p>
      <w:pPr>
        <w:tabs>
          <w:tab w:val="left" w:pos="851" w:leader="none"/>
        </w:tabs>
        <w:ind w:left="426"/>
        <w:rPr>
          <w:rFonts w:ascii="Arial" w:hAnsi="Arial"/>
        </w:rPr>
      </w:pPr>
    </w:p>
    <w:p>
      <w:pPr>
        <w:pStyle w:val="P43"/>
        <w:tabs>
          <w:tab w:val="left" w:pos="284" w:leader="none"/>
          <w:tab w:val="clear" w:pos="567" w:leader="none"/>
          <w:tab w:val="left" w:pos="851" w:leader="none"/>
        </w:tabs>
        <w:spacing w:before="0" w:beforeAutospacing="0" w:afterAutospacing="0"/>
        <w:ind w:hanging="284" w:left="284"/>
        <w:rPr>
          <w:rFonts w:ascii="Arial" w:hAnsi="Arial"/>
          <w:sz w:val="20"/>
        </w:rPr>
      </w:pPr>
      <w:r>
        <w:rPr>
          <w:rFonts w:ascii="Arial" w:hAnsi="Arial"/>
          <w:sz w:val="20"/>
        </w:rPr>
        <w:t>DAS DISPOSIÇÕES PRELIMINARES</w:t>
      </w:r>
    </w:p>
    <w:p>
      <w:pPr>
        <w:numPr>
          <w:ilvl w:val="1"/>
          <w:numId w:val="2"/>
        </w:numPr>
        <w:tabs>
          <w:tab w:val="left" w:pos="851" w:leader="none"/>
        </w:tabs>
        <w:ind w:firstLine="0" w:left="426"/>
        <w:rPr>
          <w:rFonts w:ascii="Arial" w:hAnsi="Arial"/>
          <w:color w:val="000000"/>
        </w:rPr>
      </w:pPr>
      <w:r>
        <w:rPr>
          <w:rFonts w:ascii="Arial" w:hAnsi="Arial"/>
          <w:color w:val="000000"/>
        </w:rPr>
        <w:t xml:space="preserve">O Edital encontra-se disponibilizado no endereço eletrônico </w:t>
      </w:r>
      <w:r>
        <w:rPr>
          <w:rFonts w:ascii="Arial" w:hAnsi="Arial"/>
          <w:color w:val="000000"/>
        </w:rPr>
        <w:fldChar w:fldCharType="begin"/>
      </w:r>
      <w:r>
        <w:rPr>
          <w:rFonts w:ascii="Arial" w:hAnsi="Arial"/>
          <w:color w:val="000000"/>
        </w:rPr>
        <w:instrText>HYPERLINK "http://www.tuneirasdooeste.pr.gov.br"</w:instrText>
      </w:r>
      <w:r>
        <w:rPr>
          <w:rFonts w:ascii="Arial" w:hAnsi="Arial"/>
          <w:color w:val="000000"/>
        </w:rPr>
        <w:fldChar w:fldCharType="separate"/>
      </w:r>
      <w:r>
        <w:rPr>
          <w:rStyle w:val="C2"/>
          <w:rFonts w:ascii="Arial" w:hAnsi="Arial"/>
        </w:rPr>
        <w:t>www.tuneirasdooeste.pr.gov.br</w:t>
      </w:r>
      <w:r>
        <w:rPr>
          <w:rStyle w:val="C2"/>
          <w:rFonts w:ascii="Arial" w:hAnsi="Arial"/>
        </w:rPr>
        <w:fldChar w:fldCharType="end"/>
      </w:r>
      <w:r>
        <w:rPr>
          <w:rFonts w:ascii="Arial" w:hAnsi="Arial"/>
          <w:color w:val="000000"/>
        </w:rPr>
        <w:t xml:space="preserve">, na Aba “Processos de Licitação” ou no </w:t>
      </w:r>
      <w:r>
        <w:rPr>
          <w:rFonts w:ascii="Arial" w:hAnsi="Arial"/>
          <w:i w:val="1"/>
          <w:color w:val="000000"/>
        </w:rPr>
        <w:t>site</w:t>
      </w:r>
      <w:r>
        <w:rPr>
          <w:rFonts w:ascii="Arial" w:hAnsi="Arial"/>
          <w:color w:val="000000"/>
        </w:rPr>
        <w:t xml:space="preserve"> da Bolsa de Licitações e Leilões do Brasil (BLL – </w:t>
      </w:r>
      <w:r>
        <w:rPr>
          <w:rFonts w:ascii="Arial" w:hAnsi="Arial"/>
          <w:color w:val="000000"/>
        </w:rPr>
        <w:fldChar w:fldCharType="begin"/>
      </w:r>
      <w:r>
        <w:rPr>
          <w:rFonts w:ascii="Arial" w:hAnsi="Arial"/>
          <w:color w:val="000000"/>
        </w:rPr>
        <w:instrText>HYPERLINK "https://bll.org.br"</w:instrText>
      </w:r>
      <w:r>
        <w:rPr>
          <w:rFonts w:ascii="Arial" w:hAnsi="Arial"/>
          <w:color w:val="000000"/>
        </w:rPr>
        <w:fldChar w:fldCharType="separate"/>
      </w:r>
      <w:r>
        <w:rPr>
          <w:rStyle w:val="C2"/>
          <w:rFonts w:ascii="Arial" w:hAnsi="Arial"/>
        </w:rPr>
        <w:t>https://bll.org.br</w:t>
      </w:r>
      <w:r>
        <w:rPr>
          <w:rStyle w:val="C2"/>
          <w:rFonts w:ascii="Arial" w:hAnsi="Arial"/>
        </w:rPr>
        <w:fldChar w:fldCharType="end"/>
      </w:r>
      <w:r>
        <w:rPr>
          <w:rFonts w:ascii="Arial" w:hAnsi="Arial"/>
          <w:color w:val="000000"/>
        </w:rPr>
        <w:t>), e também poderá ser lido e/ou obtido no endereço Rua Santa Catarina, 409 - Centro, CEP 87.450-000, nesta cidade, nos dias úteis, das 07:30 às 12:00 horas e das 13:30 às 17:00 horas, mesmo endereço e período no qual os autos do processo administrativo permanecerão com vista franqueada aos interessados</w:t>
      </w:r>
      <w:r>
        <w:rPr>
          <w:rFonts w:ascii="Arial" w:hAnsi="Arial"/>
        </w:rPr>
        <w:t>.</w:t>
      </w:r>
    </w:p>
    <w:p>
      <w:pPr>
        <w:numPr>
          <w:ilvl w:val="1"/>
          <w:numId w:val="2"/>
        </w:numPr>
        <w:tabs>
          <w:tab w:val="left" w:pos="851" w:leader="none"/>
        </w:tabs>
        <w:ind w:firstLine="0" w:left="426"/>
        <w:rPr>
          <w:rFonts w:ascii="Arial" w:hAnsi="Arial"/>
        </w:rPr>
      </w:pPr>
      <w:r>
        <w:rPr>
          <w:rFonts w:ascii="Arial" w:hAnsi="Arial"/>
        </w:rPr>
        <w:t xml:space="preserve">O presente certame será realizado em sessão pública, por meio da </w:t>
      </w:r>
      <w:r>
        <w:rPr>
          <w:rFonts w:ascii="Arial" w:hAnsi="Arial"/>
          <w:i w:val="1"/>
        </w:rPr>
        <w:t>internet</w:t>
      </w:r>
      <w:r>
        <w:rPr>
          <w:rFonts w:ascii="Arial" w:hAnsi="Arial"/>
        </w:rPr>
        <w:t>, mediante condições de segurança – criptografia e autenticação – em todas as suas fases, por meio do Sistema de Pregão, na forma eletrônica da BLL.</w:t>
      </w:r>
    </w:p>
    <w:p>
      <w:pPr>
        <w:numPr>
          <w:ilvl w:val="1"/>
          <w:numId w:val="2"/>
        </w:numPr>
        <w:tabs>
          <w:tab w:val="left" w:pos="851" w:leader="none"/>
        </w:tabs>
        <w:ind w:firstLine="0" w:left="426"/>
        <w:rPr>
          <w:rFonts w:ascii="Arial" w:hAnsi="Arial"/>
        </w:rPr>
      </w:pPr>
      <w:r>
        <w:rPr>
          <w:rFonts w:ascii="Arial" w:hAnsi="Arial"/>
        </w:rPr>
        <w:t>Os trabalhos serão conduzidos por Pregoeiro(a) deste município, designado pela autoridade competente, mediante a inserção e monitoramento de dados gerados ou transferidos para o aplicativo constante da página eletrônica da BLL.</w:t>
      </w:r>
    </w:p>
    <w:p>
      <w:pPr>
        <w:numPr>
          <w:ilvl w:val="1"/>
          <w:numId w:val="2"/>
        </w:numPr>
        <w:tabs>
          <w:tab w:val="left" w:pos="851" w:leader="none"/>
        </w:tabs>
        <w:ind w:firstLine="0" w:left="426"/>
        <w:rPr>
          <w:rFonts w:ascii="Arial" w:hAnsi="Arial"/>
        </w:rPr>
      </w:pPr>
      <w:r>
        <w:rPr>
          <w:rFonts w:ascii="Arial" w:hAnsi="Arial"/>
        </w:rPr>
        <w:t xml:space="preserve">Qualquer dúvida em relação ao acesso no sistema operacional, poderá ser esclarecida pela BLL, através do telefone (41) 3097-4600 ou </w:t>
      </w:r>
      <w:r>
        <w:rPr>
          <w:rFonts w:ascii="Arial" w:hAnsi="Arial"/>
          <w:i w:val="1"/>
        </w:rPr>
        <w:t>e-mail</w:t>
      </w:r>
      <w:r>
        <w:rPr>
          <w:rFonts w:ascii="Arial" w:hAnsi="Arial"/>
        </w:rPr>
        <w:t xml:space="preserve"> </w:t>
      </w:r>
      <w:r>
        <w:rPr>
          <w:rFonts w:ascii="Arial" w:hAnsi="Arial"/>
        </w:rPr>
        <w:fldChar w:fldCharType="begin"/>
      </w:r>
      <w:r>
        <w:rPr>
          <w:rFonts w:ascii="Arial" w:hAnsi="Arial"/>
        </w:rPr>
        <w:instrText>HYPERLINK "mailto:contato@bll.org.br"</w:instrText>
      </w:r>
      <w:r>
        <w:rPr>
          <w:rFonts w:ascii="Arial" w:hAnsi="Arial"/>
        </w:rPr>
        <w:fldChar w:fldCharType="separate"/>
      </w:r>
      <w:r>
        <w:rPr>
          <w:rStyle w:val="C2"/>
          <w:rFonts w:ascii="Arial" w:hAnsi="Arial"/>
        </w:rPr>
        <w:t>contato@bll.org.br</w:t>
      </w:r>
      <w:r>
        <w:rPr>
          <w:rStyle w:val="C2"/>
          <w:rFonts w:ascii="Arial" w:hAnsi="Arial"/>
        </w:rPr>
        <w:fldChar w:fldCharType="end"/>
      </w:r>
      <w:r>
        <w:rPr>
          <w:rFonts w:ascii="Arial" w:hAnsi="Arial"/>
        </w:rPr>
        <w:t>.</w:t>
      </w:r>
    </w:p>
    <w:p/>
    <w:p>
      <w:pPr>
        <w:pStyle w:val="P43"/>
        <w:tabs>
          <w:tab w:val="left" w:pos="284" w:leader="none"/>
          <w:tab w:val="left" w:pos="426" w:leader="none"/>
          <w:tab w:val="clear" w:pos="567" w:leader="none"/>
        </w:tabs>
        <w:spacing w:before="0" w:beforeAutospacing="0" w:afterAutospacing="0"/>
        <w:rPr>
          <w:rFonts w:ascii="Arial" w:hAnsi="Arial"/>
          <w:sz w:val="20"/>
        </w:rPr>
      </w:pPr>
      <w:r>
        <w:rPr>
          <w:rFonts w:ascii="Arial" w:hAnsi="Arial"/>
          <w:sz w:val="20"/>
        </w:rPr>
        <w:t>DA IMPUGNAÇÃO AO EDITAL E DO PEDIDO DE ESCLARECIMENTO</w:t>
      </w:r>
    </w:p>
    <w:p>
      <w:pPr>
        <w:pStyle w:val="P13"/>
        <w:numPr>
          <w:ilvl w:val="1"/>
          <w:numId w:val="10"/>
        </w:numPr>
        <w:tabs>
          <w:tab w:val="left" w:pos="851" w:leader="none"/>
        </w:tabs>
        <w:ind w:firstLine="0" w:left="425"/>
        <w:contextualSpacing w:val="0"/>
        <w:rPr>
          <w:rFonts w:ascii="Arial" w:hAnsi="Arial"/>
          <w:color w:val="000000"/>
        </w:rPr>
      </w:pPr>
      <w:r>
        <w:rPr>
          <w:rFonts w:ascii="Arial" w:hAnsi="Arial"/>
        </w:rPr>
        <w:t xml:space="preserve">Até </w:t>
      </w:r>
      <w:r>
        <w:rPr>
          <w:rFonts w:ascii="Arial" w:hAnsi="Arial"/>
          <w:color w:val="000000"/>
        </w:rPr>
        <w:t>03 (três) dias úteis antes da data designada para a abertura da sessão pública, qualquer pessoa poderá impugnar este Edital.</w:t>
      </w:r>
    </w:p>
    <w:p>
      <w:pPr>
        <w:pStyle w:val="P13"/>
        <w:numPr>
          <w:ilvl w:val="1"/>
          <w:numId w:val="10"/>
        </w:numPr>
        <w:tabs>
          <w:tab w:val="left" w:pos="851" w:leader="none"/>
        </w:tabs>
        <w:ind w:firstLine="0" w:left="425"/>
        <w:contextualSpacing w:val="0"/>
        <w:rPr>
          <w:rFonts w:ascii="Arial" w:hAnsi="Arial"/>
          <w:color w:val="000000"/>
        </w:rPr>
      </w:pPr>
      <w:r>
        <w:rPr>
          <w:rFonts w:ascii="Arial" w:hAnsi="Arial"/>
          <w:color w:val="000000"/>
        </w:rPr>
        <w:t>A impugnação poderá ser realizada por forma eletrônica, diretamente na plataforma da BLL(</w:t>
      </w:r>
      <w:r>
        <w:rPr>
          <w:rFonts w:ascii="Arial" w:hAnsi="Arial"/>
          <w:color w:val="000000"/>
        </w:rPr>
        <w:fldChar w:fldCharType="begin"/>
      </w:r>
      <w:r>
        <w:rPr>
          <w:rFonts w:ascii="Arial" w:hAnsi="Arial"/>
          <w:color w:val="000000"/>
        </w:rPr>
        <w:instrText>HYPERLINK "https://bll.org.br/"</w:instrText>
      </w:r>
      <w:r>
        <w:rPr>
          <w:rFonts w:ascii="Arial" w:hAnsi="Arial"/>
          <w:color w:val="000000"/>
        </w:rPr>
        <w:fldChar w:fldCharType="separate"/>
      </w:r>
      <w:r>
        <w:rPr>
          <w:rStyle w:val="C2"/>
          <w:rFonts w:ascii="Arial" w:hAnsi="Arial"/>
        </w:rPr>
        <w:t>https://bll.org.br/</w:t>
      </w:r>
      <w:r>
        <w:rPr>
          <w:rStyle w:val="C2"/>
          <w:rFonts w:ascii="Arial" w:hAnsi="Arial"/>
        </w:rPr>
        <w:fldChar w:fldCharType="end"/>
      </w:r>
      <w:r>
        <w:rPr>
          <w:rFonts w:ascii="Arial" w:hAnsi="Arial"/>
          <w:color w:val="000000"/>
        </w:rPr>
        <w:t>) ou por petição dirigida ou protocolada no Departamento de Licitação, no endereço da Prefeitura Municipal de Tuneiras do Oeste, sito à Rua Santa Catarina, 409 - Centro, CEP 87450-000, das 07:30 às 12:00 horas e das 13:30 às 17:00 horas, em dias úteis.</w:t>
      </w:r>
    </w:p>
    <w:p>
      <w:pPr>
        <w:pStyle w:val="P13"/>
        <w:numPr>
          <w:ilvl w:val="1"/>
          <w:numId w:val="10"/>
        </w:numPr>
        <w:tabs>
          <w:tab w:val="left" w:pos="851" w:leader="none"/>
        </w:tabs>
        <w:ind w:firstLine="0" w:left="425"/>
        <w:contextualSpacing w:val="0"/>
        <w:rPr>
          <w:rFonts w:ascii="Arial" w:hAnsi="Arial"/>
          <w:color w:val="000000"/>
        </w:rPr>
      </w:pPr>
      <w:r>
        <w:rPr>
          <w:rFonts w:ascii="Arial" w:hAnsi="Arial"/>
          <w:color w:val="000000"/>
        </w:rPr>
        <w:t xml:space="preserve">Caberá ao(à) Pregoeiro(a), auxiliado(a) pelos responsáveis pela elaboração deste Edital e seus anexos, decidir sobre a impugnação no prazo de até </w:t>
      </w:r>
      <w:r>
        <w:rPr>
          <w:rFonts w:ascii="Arial" w:hAnsi="Arial"/>
          <w:b w:val="1"/>
          <w:color w:val="000000"/>
        </w:rPr>
        <w:t>03 (três) dias úteis</w:t>
      </w:r>
      <w:r>
        <w:rPr>
          <w:rFonts w:ascii="Arial" w:hAnsi="Arial"/>
          <w:color w:val="000000"/>
        </w:rPr>
        <w:t xml:space="preserve"> contados da data de recebimento da impugnação.</w:t>
      </w:r>
    </w:p>
    <w:p>
      <w:pPr>
        <w:pStyle w:val="P13"/>
        <w:numPr>
          <w:ilvl w:val="1"/>
          <w:numId w:val="10"/>
        </w:numPr>
        <w:tabs>
          <w:tab w:val="left" w:pos="851" w:leader="none"/>
        </w:tabs>
        <w:ind w:firstLine="0" w:left="425"/>
        <w:contextualSpacing w:val="0"/>
        <w:rPr>
          <w:rFonts w:ascii="Arial" w:hAnsi="Arial"/>
          <w:color w:val="000000"/>
        </w:rPr>
      </w:pPr>
      <w:r>
        <w:rPr>
          <w:rFonts w:ascii="Arial" w:hAnsi="Arial"/>
          <w:color w:val="000000"/>
        </w:rPr>
        <w:t>Acolhida a impugnação, será definida e publicada nova data para a realização do certame.</w:t>
      </w:r>
    </w:p>
    <w:p>
      <w:pPr>
        <w:pStyle w:val="P13"/>
        <w:numPr>
          <w:ilvl w:val="1"/>
          <w:numId w:val="10"/>
        </w:numPr>
        <w:tabs>
          <w:tab w:val="left" w:pos="851" w:leader="none"/>
        </w:tabs>
        <w:ind w:firstLine="0" w:left="425"/>
        <w:contextualSpacing w:val="0"/>
        <w:rPr>
          <w:rFonts w:ascii="Arial" w:hAnsi="Arial"/>
          <w:color w:val="000000"/>
        </w:rPr>
      </w:pPr>
      <w:r>
        <w:rPr>
          <w:rFonts w:ascii="Arial" w:hAnsi="Arial"/>
          <w:color w:val="000000"/>
        </w:rPr>
        <w:t xml:space="preserve">Os pedidos de esclarecimentos referentes a este processo licitatório deverão ser enviados ao(à) Pregoeiro(a), até </w:t>
      </w:r>
      <w:r>
        <w:rPr>
          <w:rFonts w:ascii="Arial" w:hAnsi="Arial"/>
          <w:b w:val="1"/>
          <w:color w:val="000000"/>
        </w:rPr>
        <w:t>03 (três) dias úteis</w:t>
      </w:r>
      <w:r>
        <w:rPr>
          <w:rFonts w:ascii="Arial" w:hAnsi="Arial"/>
          <w:color w:val="000000"/>
        </w:rPr>
        <w:t xml:space="preserve"> anteriores à data designada para abertura da sessão pública, </w:t>
      </w:r>
      <w:r>
        <w:rPr>
          <w:rFonts w:ascii="Arial" w:hAnsi="Arial"/>
        </w:rPr>
        <w:t>exclusivamente por meio eletrônico via internet, no endereço indicado no Edital (Item 20.2).</w:t>
      </w:r>
    </w:p>
    <w:p>
      <w:pPr>
        <w:pStyle w:val="P13"/>
        <w:numPr>
          <w:ilvl w:val="1"/>
          <w:numId w:val="10"/>
        </w:numPr>
        <w:tabs>
          <w:tab w:val="left" w:pos="851" w:leader="none"/>
        </w:tabs>
        <w:ind w:firstLine="0" w:left="425"/>
        <w:contextualSpacing w:val="0"/>
        <w:rPr>
          <w:rFonts w:ascii="Arial" w:hAnsi="Arial"/>
          <w:color w:val="000000"/>
        </w:rPr>
      </w:pPr>
      <w:r>
        <w:rPr>
          <w:rFonts w:ascii="Arial" w:hAnsi="Arial"/>
          <w:color w:val="000000"/>
        </w:rPr>
        <w:t xml:space="preserve">O(A) Pregoeiro(a) responderá aos pedidos de esclarecimentos no prazo de </w:t>
      </w:r>
      <w:r>
        <w:rPr>
          <w:rFonts w:ascii="Arial" w:hAnsi="Arial"/>
          <w:b w:val="1"/>
          <w:color w:val="000000"/>
        </w:rPr>
        <w:t>03 (três) dias úteis</w:t>
      </w:r>
      <w:r>
        <w:rPr>
          <w:rFonts w:ascii="Arial" w:hAnsi="Arial"/>
          <w:color w:val="000000"/>
        </w:rPr>
        <w:t>, contados da data de recebimento do pedido, e poderá requisitar subsídios formais aos responsáveis pela elaboração do Edital e dos anexos.</w:t>
      </w:r>
    </w:p>
    <w:p>
      <w:pPr>
        <w:pStyle w:val="P13"/>
        <w:numPr>
          <w:ilvl w:val="1"/>
          <w:numId w:val="10"/>
        </w:numPr>
        <w:tabs>
          <w:tab w:val="left" w:pos="851" w:leader="none"/>
        </w:tabs>
        <w:ind w:firstLine="0" w:left="425"/>
        <w:contextualSpacing w:val="0"/>
        <w:rPr>
          <w:rFonts w:ascii="Arial" w:hAnsi="Arial"/>
          <w:color w:val="000000"/>
        </w:rPr>
      </w:pPr>
      <w:r>
        <w:rPr>
          <w:rFonts w:ascii="Arial" w:hAnsi="Arial"/>
          <w:color w:val="000000"/>
        </w:rPr>
        <w:t>As impugnações e pedidos de esclarecimentos não suspendem os prazos previstos no certame.</w:t>
      </w:r>
    </w:p>
    <w:p>
      <w:pPr>
        <w:numPr>
          <w:ilvl w:val="2"/>
          <w:numId w:val="10"/>
        </w:numPr>
        <w:tabs>
          <w:tab w:val="left" w:pos="1560" w:leader="none"/>
          <w:tab w:val="left" w:pos="1985" w:leader="none"/>
        </w:tabs>
        <w:ind w:firstLine="0" w:left="993"/>
        <w:rPr>
          <w:rFonts w:ascii="Arial" w:hAnsi="Arial"/>
          <w:color w:val="000000"/>
        </w:rPr>
      </w:pPr>
      <w:r>
        <w:rPr>
          <w:rFonts w:ascii="Arial" w:hAnsi="Arial"/>
          <w:color w:val="000000"/>
        </w:rPr>
        <w:t>A concessão de efeito suspensivo à impugnação é medida excepcional e deverá ser motivada pelo(a) Pregoeiro(a), nos autos do processo de licitação.</w:t>
      </w:r>
    </w:p>
    <w:p>
      <w:pPr>
        <w:numPr>
          <w:ilvl w:val="1"/>
          <w:numId w:val="10"/>
        </w:numPr>
        <w:tabs>
          <w:tab w:val="left" w:pos="851" w:leader="none"/>
        </w:tabs>
        <w:ind w:firstLine="0" w:left="425"/>
        <w:rPr>
          <w:rFonts w:ascii="Arial" w:hAnsi="Arial"/>
          <w:color w:val="000000"/>
        </w:rPr>
      </w:pPr>
      <w:r>
        <w:rPr>
          <w:rFonts w:ascii="Arial" w:hAnsi="Arial"/>
          <w:color w:val="000000"/>
        </w:rPr>
        <w:t>As respostas aos pedidos de esclarecimentos serão divulgadas pelo sistema e vincularão os participantes e a Administração.</w:t>
      </w:r>
    </w:p>
    <w:p>
      <w:pPr>
        <w:tabs>
          <w:tab w:val="left" w:pos="851" w:leader="none"/>
        </w:tabs>
        <w:rPr>
          <w:rFonts w:ascii="Arial" w:hAnsi="Arial"/>
        </w:rPr>
      </w:pPr>
    </w:p>
    <w:p>
      <w:pPr>
        <w:pStyle w:val="P43"/>
        <w:tabs>
          <w:tab w:val="left" w:pos="284" w:leader="none"/>
          <w:tab w:val="clear" w:pos="567" w:leader="none"/>
        </w:tabs>
        <w:spacing w:before="0" w:beforeAutospacing="0" w:afterAutospacing="0"/>
        <w:rPr>
          <w:rFonts w:ascii="Arial" w:hAnsi="Arial"/>
          <w:color w:val="auto"/>
          <w:sz w:val="20"/>
        </w:rPr>
      </w:pPr>
      <w:r>
        <w:rPr>
          <w:rFonts w:ascii="Arial" w:hAnsi="Arial"/>
          <w:color w:val="auto"/>
          <w:sz w:val="20"/>
        </w:rPr>
        <w:t>DOS RECURSOS ORÇAMENTÁRIOS</w:t>
      </w:r>
    </w:p>
    <w:p>
      <w:pPr>
        <w:numPr>
          <w:ilvl w:val="1"/>
          <w:numId w:val="2"/>
        </w:numPr>
        <w:tabs>
          <w:tab w:val="left" w:pos="851" w:leader="none"/>
        </w:tabs>
        <w:ind w:firstLine="0" w:left="425"/>
        <w:rPr>
          <w:rFonts w:ascii="Arial" w:hAnsi="Arial"/>
        </w:rPr>
      </w:pPr>
      <w:r>
        <w:rPr>
          <w:rFonts w:ascii="Arial" w:hAnsi="Arial"/>
        </w:rPr>
        <w:t xml:space="preserve">As despesas para atender a esta licitação estão programadas em dotação orçamentária própria, prevista no orçamento do Município para o exercício de </w:t>
      </w:r>
      <w:r>
        <w:rPr>
          <w:rFonts w:ascii="Arial" w:hAnsi="Arial"/>
          <w:b w:val="1"/>
        </w:rPr>
        <w:t>2026</w:t>
      </w:r>
      <w:r>
        <w:rPr>
          <w:rFonts w:ascii="Arial" w:hAnsi="Arial"/>
        </w:rPr>
        <w:t>, na classificação abaixo:</w:t>
      </w:r>
    </w:p>
    <w:p>
      <w:pPr>
        <w:tabs>
          <w:tab w:val="left" w:pos="851" w:leader="none"/>
        </w:tabs>
        <w:ind w:left="425"/>
        <w:rPr>
          <w:rFonts w:ascii="Arial" w:hAnsi="Arial"/>
        </w:rPr>
      </w:pPr>
    </w:p>
    <w:tbl>
      <w:tblPr>
        <w:tblW w:w="8514" w:type="dxa"/>
        <w:jc w:val="cente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ook w:val="04A0"/>
      </w:tblPr>
      <w:tblGrid/>
      <w:tr>
        <w:trPr>
          <w:jc w:val="center"/>
        </w:trPr>
        <w:tc>
          <w:tcPr>
            <w:tcW w:w="2075"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Órgão/Unidade</w:t>
            </w:r>
          </w:p>
        </w:tc>
        <w:tc>
          <w:tcPr>
            <w:tcW w:w="2254"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Funcional Programática</w:t>
            </w:r>
          </w:p>
        </w:tc>
        <w:tc>
          <w:tcPr>
            <w:tcW w:w="2032"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Elemento de Despesa</w:t>
            </w:r>
          </w:p>
        </w:tc>
        <w:tc>
          <w:tcPr>
            <w:tcW w:w="1186"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Fonte</w:t>
            </w:r>
          </w:p>
        </w:tc>
        <w:tc>
          <w:tcPr>
            <w:tcW w:w="967"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Ficha</w:t>
            </w:r>
          </w:p>
        </w:tc>
      </w:tr>
      <w:tr>
        <w:trPr>
          <w:jc w:val="center"/>
        </w:trPr>
        <w:tc>
          <w:tcPr>
            <w:tcW w:w="2075"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ind w:left="425"/>
              <w:rPr>
                <w:rFonts w:ascii="Arial" w:hAnsi="Arial"/>
                <w:color w:val="000000" w:themeColor="text1"/>
                <w:sz w:val="22"/>
              </w:rPr>
            </w:pPr>
            <w:r>
              <w:rPr>
                <w:rFonts w:ascii="Arial" w:hAnsi="Arial"/>
                <w:color w:val="000000" w:themeColor="text1"/>
                <w:sz w:val="22"/>
              </w:rPr>
              <w:t>12.003</w:t>
            </w:r>
          </w:p>
        </w:tc>
        <w:tc>
          <w:tcPr>
            <w:tcW w:w="2254"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themeColor="text1"/>
                <w:sz w:val="22"/>
              </w:rPr>
            </w:pPr>
            <w:r>
              <w:rPr>
                <w:rFonts w:ascii="Arial" w:hAnsi="Arial"/>
                <w:color w:val="000000" w:themeColor="text1"/>
                <w:sz w:val="22"/>
              </w:rPr>
              <w:t>23.695.0363.2073</w:t>
            </w:r>
          </w:p>
        </w:tc>
        <w:tc>
          <w:tcPr>
            <w:tcW w:w="2032"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themeColor="text1"/>
                <w:sz w:val="22"/>
              </w:rPr>
            </w:pPr>
            <w:r>
              <w:rPr>
                <w:rFonts w:ascii="Arial" w:hAnsi="Arial"/>
                <w:color w:val="000000" w:themeColor="text1"/>
                <w:sz w:val="22"/>
              </w:rPr>
              <w:t>3.3.90.39.00.00</w:t>
            </w:r>
          </w:p>
        </w:tc>
        <w:tc>
          <w:tcPr>
            <w:tcW w:w="1186"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themeColor="text1"/>
                <w:sz w:val="22"/>
              </w:rPr>
            </w:pPr>
            <w:r>
              <w:rPr>
                <w:rFonts w:ascii="Arial" w:hAnsi="Arial"/>
                <w:color w:val="000000" w:themeColor="text1"/>
                <w:sz w:val="22"/>
              </w:rPr>
              <w:t xml:space="preserve">  1001</w:t>
            </w:r>
          </w:p>
        </w:tc>
        <w:tc>
          <w:tcPr>
            <w:tcW w:w="967"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themeColor="text1"/>
                <w:sz w:val="22"/>
              </w:rPr>
            </w:pPr>
            <w:r>
              <w:rPr>
                <w:rFonts w:ascii="Arial" w:hAnsi="Arial"/>
                <w:color w:val="000000" w:themeColor="text1"/>
                <w:sz w:val="22"/>
              </w:rPr>
              <w:t xml:space="preserve">  633</w:t>
            </w:r>
          </w:p>
        </w:tc>
      </w:tr>
    </w:tbl>
    <w:p>
      <w:pPr>
        <w:tabs>
          <w:tab w:val="left" w:pos="851" w:leader="none"/>
        </w:tabs>
        <w:ind w:left="425"/>
        <w:rPr>
          <w:rFonts w:ascii="Arial" w:hAnsi="Arial"/>
        </w:rPr>
      </w:pPr>
    </w:p>
    <w:p>
      <w:pPr>
        <w:pStyle w:val="P43"/>
        <w:numPr>
          <w:ilvl w:val="0"/>
          <w:numId w:val="0"/>
        </w:numPr>
        <w:tabs>
          <w:tab w:val="left" w:pos="284" w:leader="none"/>
          <w:tab w:val="clear" w:pos="567" w:leader="none"/>
        </w:tabs>
        <w:spacing w:before="0" w:beforeAutospacing="0" w:afterAutospacing="0"/>
        <w:ind w:firstLine="0" w:left="360"/>
        <w:rPr>
          <w:rFonts w:ascii="Arial" w:hAnsi="Arial"/>
          <w:sz w:val="20"/>
        </w:rPr>
      </w:pPr>
    </w:p>
    <w:p>
      <w:pPr>
        <w:pStyle w:val="P43"/>
        <w:tabs>
          <w:tab w:val="left" w:pos="284" w:leader="none"/>
          <w:tab w:val="clear" w:pos="567" w:leader="none"/>
        </w:tabs>
        <w:spacing w:before="0" w:beforeAutospacing="0" w:afterAutospacing="0"/>
        <w:rPr>
          <w:rFonts w:ascii="Arial" w:hAnsi="Arial"/>
          <w:sz w:val="20"/>
        </w:rPr>
      </w:pPr>
      <w:r>
        <w:rPr>
          <w:rFonts w:ascii="Arial" w:hAnsi="Arial"/>
          <w:sz w:val="20"/>
        </w:rPr>
        <w:t>DO CREDENCIAMENTO</w:t>
      </w:r>
    </w:p>
    <w:p>
      <w:pPr>
        <w:numPr>
          <w:ilvl w:val="1"/>
          <w:numId w:val="2"/>
        </w:numPr>
        <w:tabs>
          <w:tab w:val="left" w:pos="851" w:leader="none"/>
        </w:tabs>
        <w:ind w:firstLine="0" w:left="425"/>
        <w:rPr>
          <w:rFonts w:ascii="Arial" w:hAnsi="Arial"/>
          <w:color w:val="000000"/>
        </w:rPr>
      </w:pPr>
      <w:r>
        <w:rPr>
          <w:rFonts w:ascii="Arial" w:hAnsi="Arial"/>
          <w:color w:val="000000"/>
        </w:rPr>
        <w:t>Os licitantes que desejarem participar do Pregão deverão ser previamente credenciados perante o provedor do sistema eletrônico (BLL).</w:t>
      </w:r>
    </w:p>
    <w:p>
      <w:pPr>
        <w:numPr>
          <w:ilvl w:val="1"/>
          <w:numId w:val="2"/>
        </w:numPr>
        <w:tabs>
          <w:tab w:val="left" w:pos="851" w:leader="none"/>
        </w:tabs>
        <w:ind w:firstLine="0" w:left="425"/>
        <w:rPr>
          <w:rFonts w:ascii="Arial" w:hAnsi="Arial"/>
          <w:color w:val="000000"/>
        </w:rPr>
      </w:pPr>
      <w:r>
        <w:rPr>
          <w:rFonts w:ascii="Arial" w:hAnsi="Arial"/>
          <w:color w:val="000000"/>
        </w:rPr>
        <w:t>O credenciamento para acesso ao sistema ocorrerá pela atribuição de chave de identificação e de senha pessoal e intransferível.</w:t>
      </w:r>
    </w:p>
    <w:p>
      <w:pPr>
        <w:numPr>
          <w:ilvl w:val="1"/>
          <w:numId w:val="2"/>
        </w:numPr>
        <w:tabs>
          <w:tab w:val="left" w:pos="851" w:leader="none"/>
        </w:tabs>
        <w:ind w:firstLine="0" w:left="425"/>
        <w:rPr>
          <w:rFonts w:ascii="Arial" w:hAnsi="Arial"/>
          <w:color w:val="000000"/>
        </w:rPr>
      </w:pPr>
      <w:r>
        <w:rPr>
          <w:rFonts w:ascii="Arial" w:hAnsi="Arial"/>
          <w:color w:val="000000"/>
        </w:rPr>
        <w:t>O credenciamento junto ao provedor do sistema implica a responsabilidade do licitante ou de seu representante legal e a presunção de sua capacidade técnica para realização das transações inerentes a este Pregão.</w:t>
      </w:r>
    </w:p>
    <w:p>
      <w:pPr>
        <w:numPr>
          <w:ilvl w:val="1"/>
          <w:numId w:val="2"/>
        </w:numPr>
        <w:tabs>
          <w:tab w:val="left" w:pos="851" w:leader="none"/>
        </w:tabs>
        <w:ind w:firstLine="0" w:left="425"/>
        <w:rPr>
          <w:rFonts w:ascii="Arial" w:hAnsi="Arial"/>
          <w:color w:val="000000"/>
        </w:rPr>
      </w:pPr>
      <w:r>
        <w:rPr>
          <w:rFonts w:ascii="Arial" w:hAnsi="Arial"/>
          <w:color w:val="000000"/>
        </w:rPr>
        <w:t xml:space="preserve">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do </w:t>
      </w:r>
      <w:r>
        <w:rPr>
          <w:rFonts w:ascii="Arial" w:hAnsi="Arial"/>
          <w:b w:val="1"/>
        </w:rPr>
        <w:t>MUNICÍPIO DE TUNEIRAS DO OESTE</w:t>
      </w:r>
      <w:r>
        <w:rPr>
          <w:rFonts w:ascii="Arial" w:hAnsi="Arial"/>
          <w:color w:val="000000"/>
        </w:rPr>
        <w:t xml:space="preserve"> por eventuais danos decorrentes de uso indevido das credenciais de acesso, ainda que por terceiros.</w:t>
      </w:r>
    </w:p>
    <w:p>
      <w:pPr>
        <w:numPr>
          <w:ilvl w:val="1"/>
          <w:numId w:val="2"/>
        </w:numPr>
        <w:tabs>
          <w:tab w:val="left" w:pos="851" w:leader="none"/>
        </w:tabs>
        <w:ind w:firstLine="0" w:left="425"/>
        <w:rPr>
          <w:rFonts w:ascii="Arial" w:hAnsi="Arial"/>
        </w:rPr>
      </w:pPr>
      <w:r>
        <w:rPr>
          <w:rFonts w:ascii="Arial" w:hAnsi="Arial"/>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pPr>
        <w:numPr>
          <w:ilvl w:val="2"/>
          <w:numId w:val="2"/>
        </w:numPr>
        <w:tabs>
          <w:tab w:val="left" w:pos="1560" w:leader="none"/>
        </w:tabs>
        <w:ind w:firstLine="0" w:left="993"/>
        <w:rPr>
          <w:rFonts w:ascii="Arial" w:hAnsi="Arial"/>
          <w:color w:val="000000"/>
        </w:rPr>
      </w:pPr>
      <w:r>
        <w:rPr>
          <w:rFonts w:ascii="Arial" w:hAnsi="Arial"/>
          <w:color w:val="000000"/>
        </w:rPr>
        <w:t>A não observância do disposto no subitem anterior poderá ensejar desclassificação no momento da habilitação.</w:t>
      </w:r>
    </w:p>
    <w:p>
      <w:pPr>
        <w:tabs>
          <w:tab w:val="left" w:pos="1701" w:leader="none"/>
        </w:tabs>
        <w:ind w:left="1134"/>
        <w:rPr>
          <w:rFonts w:ascii="Arial" w:hAnsi="Arial"/>
          <w:color w:val="000000"/>
        </w:rPr>
      </w:pPr>
    </w:p>
    <w:p>
      <w:pPr>
        <w:pStyle w:val="P43"/>
        <w:tabs>
          <w:tab w:val="left" w:pos="284" w:leader="none"/>
          <w:tab w:val="clear" w:pos="567" w:leader="none"/>
        </w:tabs>
        <w:spacing w:before="0" w:beforeAutospacing="0" w:afterAutospacing="0"/>
        <w:rPr>
          <w:rFonts w:ascii="Arial" w:hAnsi="Arial"/>
          <w:sz w:val="20"/>
        </w:rPr>
      </w:pPr>
      <w:r>
        <w:rPr>
          <w:rFonts w:ascii="Arial" w:hAnsi="Arial"/>
          <w:sz w:val="20"/>
        </w:rPr>
        <w:t>DA PARTICIPAÇÃO NO PREGÃO</w:t>
      </w:r>
    </w:p>
    <w:p>
      <w:pPr>
        <w:numPr>
          <w:ilvl w:val="1"/>
          <w:numId w:val="2"/>
        </w:numPr>
        <w:tabs>
          <w:tab w:val="left" w:pos="851" w:leader="none"/>
        </w:tabs>
        <w:ind w:firstLine="0" w:left="425"/>
        <w:rPr>
          <w:rFonts w:ascii="Arial" w:hAnsi="Arial"/>
        </w:rPr>
      </w:pPr>
      <w:r>
        <w:rPr>
          <w:rFonts w:ascii="Arial" w:hAnsi="Arial"/>
          <w:color w:val="000000"/>
        </w:rPr>
        <w:t>Poderão participar deste Pregão interessados cujo ramo de atividade seja compatível com o objeto desta licitação e que estejam com Credenciamento regular junto a BLL.</w:t>
      </w:r>
    </w:p>
    <w:p>
      <w:pPr>
        <w:numPr>
          <w:ilvl w:val="1"/>
          <w:numId w:val="2"/>
        </w:numPr>
        <w:tabs>
          <w:tab w:val="left" w:pos="851" w:leader="none"/>
        </w:tabs>
        <w:ind w:firstLine="0" w:left="425"/>
        <w:rPr>
          <w:rFonts w:ascii="Arial" w:hAnsi="Arial"/>
          <w:color w:val="000000"/>
        </w:rPr>
      </w:pPr>
      <w:r>
        <w:rPr>
          <w:rFonts w:ascii="Arial" w:hAnsi="Arial"/>
          <w:color w:val="000000"/>
        </w:rPr>
        <w:t>Não poderão participar desta licitação:</w:t>
      </w:r>
    </w:p>
    <w:p>
      <w:pPr>
        <w:pStyle w:val="P52"/>
        <w:numPr>
          <w:ilvl w:val="2"/>
          <w:numId w:val="2"/>
        </w:numPr>
        <w:tabs>
          <w:tab w:val="left" w:pos="1560" w:leader="none"/>
        </w:tabs>
        <w:spacing w:lineRule="auto" w:line="240" w:before="0" w:after="0" w:beforeAutospacing="0" w:afterAutospacing="0"/>
        <w:ind w:firstLine="0" w:left="993"/>
        <w:rPr>
          <w:rFonts w:ascii="Arial" w:hAnsi="Arial"/>
        </w:rPr>
      </w:pPr>
      <w:bookmarkStart w:id="1" w:name="_Ref113883338"/>
      <w:r>
        <w:rPr>
          <w:rFonts w:ascii="Arial" w:hAnsi="Arial"/>
        </w:rPr>
        <w:t>aquele que não atenda às condições deste Edital e seu(s) anexo(s);</w:t>
      </w:r>
    </w:p>
    <w:p>
      <w:pPr>
        <w:pStyle w:val="P52"/>
        <w:numPr>
          <w:ilvl w:val="2"/>
          <w:numId w:val="2"/>
        </w:numPr>
        <w:tabs>
          <w:tab w:val="left" w:pos="1560" w:leader="none"/>
        </w:tabs>
        <w:spacing w:lineRule="auto" w:line="240" w:before="0" w:after="0" w:beforeAutospacing="0" w:afterAutospacing="0"/>
        <w:ind w:firstLine="0" w:left="993"/>
        <w:rPr>
          <w:rFonts w:ascii="Arial" w:hAnsi="Arial"/>
        </w:rPr>
      </w:pPr>
      <w:bookmarkStart w:id="2" w:name="_Ref114659912"/>
      <w:r>
        <w:rPr>
          <w:rFonts w:ascii="Arial" w:hAnsi="Arial"/>
        </w:rPr>
        <w:t>autor do anteprojeto, do projeto básico ou do projeto executivo, pessoa física ou jurídica, quando a licitação versar sobre serviços ou fornecimento de bens a ele relacionados;</w:t>
      </w:r>
      <w:bookmarkEnd w:id="1"/>
      <w:bookmarkEnd w:id="2"/>
    </w:p>
    <w:p>
      <w:pPr>
        <w:pStyle w:val="P52"/>
        <w:numPr>
          <w:ilvl w:val="2"/>
          <w:numId w:val="2"/>
        </w:numPr>
        <w:tabs>
          <w:tab w:val="left" w:pos="1560" w:leader="none"/>
        </w:tabs>
        <w:spacing w:lineRule="auto" w:line="240" w:before="0" w:after="0" w:beforeAutospacing="0" w:afterAutospacing="0"/>
        <w:ind w:firstLine="0" w:left="993"/>
        <w:rPr>
          <w:rFonts w:ascii="Arial" w:hAnsi="Arial"/>
        </w:rPr>
      </w:pPr>
      <w:bookmarkStart w:id="3" w:name="_Ref114659913"/>
      <w:bookmarkStart w:id="4" w:name="_Ref113883339"/>
      <w:r>
        <w:rPr>
          <w:rFonts w:ascii="Arial" w:hAnsi="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Pr>
          <w:rFonts w:ascii="Arial" w:hAnsi="Arial"/>
        </w:rPr>
        <w:t xml:space="preserve"> </w:t>
      </w:r>
      <w:bookmarkEnd w:id="4"/>
    </w:p>
    <w:p>
      <w:pPr>
        <w:pStyle w:val="P52"/>
        <w:numPr>
          <w:ilvl w:val="2"/>
          <w:numId w:val="2"/>
        </w:numPr>
        <w:tabs>
          <w:tab w:val="left" w:pos="1560" w:leader="none"/>
        </w:tabs>
        <w:spacing w:lineRule="auto" w:line="240" w:before="0" w:after="0" w:beforeAutospacing="0" w:afterAutospacing="0"/>
        <w:ind w:firstLine="0" w:left="993"/>
        <w:rPr>
          <w:rFonts w:ascii="Arial" w:hAnsi="Arial"/>
        </w:rPr>
      </w:pPr>
      <w:bookmarkStart w:id="5" w:name="_Ref113883003"/>
      <w:r>
        <w:rPr>
          <w:rFonts w:ascii="Arial" w:hAnsi="Arial"/>
        </w:rPr>
        <w:t>pessoa física ou jurídica que se encontre, ao tempo da licitação, impossibilitada de participar da licitação em decorrência de sanção que lhe foi imposta;</w:t>
      </w:r>
      <w:bookmarkEnd w:id="5"/>
    </w:p>
    <w:p>
      <w:pPr>
        <w:pStyle w:val="P52"/>
        <w:numPr>
          <w:ilvl w:val="2"/>
          <w:numId w:val="2"/>
        </w:numPr>
        <w:tabs>
          <w:tab w:val="left" w:pos="1560" w:leader="none"/>
        </w:tabs>
        <w:spacing w:lineRule="auto" w:line="240" w:before="0" w:after="0" w:beforeAutospacing="0" w:afterAutospacing="0"/>
        <w:ind w:firstLine="0" w:left="993"/>
        <w:rPr>
          <w:rFonts w:ascii="Arial" w:hAnsi="Arial"/>
        </w:rPr>
      </w:pPr>
      <w:r>
        <w:rPr>
          <w:rFonts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P52"/>
        <w:numPr>
          <w:ilvl w:val="2"/>
          <w:numId w:val="2"/>
        </w:numPr>
        <w:tabs>
          <w:tab w:val="left" w:pos="1560" w:leader="none"/>
        </w:tabs>
        <w:spacing w:lineRule="auto" w:line="240" w:before="0" w:after="0" w:beforeAutospacing="0" w:afterAutospacing="0"/>
        <w:ind w:firstLine="0" w:left="993"/>
        <w:rPr>
          <w:rFonts w:ascii="Arial" w:hAnsi="Arial"/>
        </w:rPr>
      </w:pPr>
      <w:bookmarkStart w:id="6" w:name="_Ref113883579"/>
      <w:r>
        <w:rPr>
          <w:rFonts w:ascii="Arial" w:hAnsi="Arial"/>
        </w:rPr>
        <w:t>empresas controladoras, controladas ou coligadas, nos termos da Lei nº 6.404, de 15 de dezembro de 1976, concorrendo entre si;</w:t>
      </w:r>
      <w:bookmarkEnd w:id="6"/>
    </w:p>
    <w:p>
      <w:pPr>
        <w:pStyle w:val="P52"/>
        <w:numPr>
          <w:ilvl w:val="2"/>
          <w:numId w:val="2"/>
        </w:numPr>
        <w:tabs>
          <w:tab w:val="left" w:pos="1560" w:leader="none"/>
        </w:tabs>
        <w:spacing w:lineRule="auto" w:line="240" w:before="0" w:after="0" w:beforeAutospacing="0" w:afterAutospacing="0"/>
        <w:ind w:firstLine="0" w:left="993"/>
        <w:rPr>
          <w:rFonts w:ascii="Arial" w:hAnsi="Arial"/>
        </w:rPr>
      </w:pPr>
      <w:r>
        <w:rPr>
          <w:rFonts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P52"/>
        <w:numPr>
          <w:ilvl w:val="2"/>
          <w:numId w:val="2"/>
        </w:numPr>
        <w:tabs>
          <w:tab w:val="left" w:pos="1560" w:leader="none"/>
        </w:tabs>
        <w:spacing w:lineRule="auto" w:line="240" w:before="0" w:after="0" w:beforeAutospacing="0" w:afterAutospacing="0"/>
        <w:ind w:firstLine="0" w:left="993"/>
        <w:rPr>
          <w:rFonts w:ascii="Arial" w:hAnsi="Arial"/>
        </w:rPr>
      </w:pPr>
      <w:bookmarkStart w:id="7" w:name="_Ref113962336"/>
      <w:r>
        <w:rPr>
          <w:rFonts w:ascii="Arial" w:hAnsi="Arial"/>
        </w:rPr>
        <w:t>agente público do órgão ou entidade licitante;</w:t>
      </w:r>
      <w:bookmarkEnd w:id="7"/>
    </w:p>
    <w:p>
      <w:pPr>
        <w:pStyle w:val="P52"/>
        <w:numPr>
          <w:ilvl w:val="2"/>
          <w:numId w:val="2"/>
        </w:numPr>
        <w:tabs>
          <w:tab w:val="left" w:pos="1560" w:leader="none"/>
        </w:tabs>
        <w:spacing w:lineRule="auto" w:line="240" w:before="0" w:after="0" w:beforeAutospacing="0" w:afterAutospacing="0"/>
        <w:ind w:firstLine="0" w:left="993"/>
        <w:rPr>
          <w:rFonts w:ascii="Arial" w:hAnsi="Arial"/>
        </w:rPr>
      </w:pPr>
      <w:r>
        <w:rPr>
          <w:rFonts w:ascii="Arial" w:hAnsi="Arial"/>
        </w:rPr>
        <w:t>Organizações da Sociedade Civil de Interesse Público - OSCIP, atuando nessa condição;</w:t>
      </w:r>
    </w:p>
    <w:p>
      <w:pPr>
        <w:pStyle w:val="P52"/>
        <w:numPr>
          <w:ilvl w:val="2"/>
          <w:numId w:val="2"/>
        </w:numPr>
        <w:tabs>
          <w:tab w:val="left" w:pos="1560" w:leader="none"/>
          <w:tab w:val="left" w:pos="1701" w:leader="none"/>
        </w:tabs>
        <w:spacing w:lineRule="auto" w:line="240" w:before="0" w:after="0" w:beforeAutospacing="0" w:afterAutospacing="0"/>
        <w:ind w:firstLine="0" w:left="993"/>
        <w:rPr>
          <w:rFonts w:ascii="Arial" w:hAnsi="Arial"/>
        </w:rPr>
      </w:pPr>
      <w:r>
        <w:rPr>
          <w:rFonts w:ascii="Arial" w:hAnsi="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 do art. 9°, da Lei n° 14.133/2021.</w:t>
      </w:r>
    </w:p>
    <w:p>
      <w:pPr>
        <w:pStyle w:val="P50"/>
        <w:numPr>
          <w:ilvl w:val="1"/>
          <w:numId w:val="2"/>
        </w:numPr>
        <w:tabs>
          <w:tab w:val="left" w:pos="851" w:leader="none"/>
        </w:tabs>
        <w:spacing w:lineRule="auto" w:line="240" w:before="0" w:after="0" w:beforeAutospacing="0" w:afterAutospacing="0"/>
        <w:ind w:firstLine="0" w:left="426"/>
        <w:rPr>
          <w:rFonts w:ascii="Arial" w:hAnsi="Arial"/>
        </w:rPr>
      </w:pPr>
      <w:r>
        <w:rPr>
          <w:rFonts w:ascii="Arial" w:hAnsi="Arial"/>
        </w:rPr>
        <w:t>O impedimento de que trata o item 6.2.4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P50"/>
        <w:numPr>
          <w:ilvl w:val="1"/>
          <w:numId w:val="2"/>
        </w:numPr>
        <w:tabs>
          <w:tab w:val="left" w:pos="851" w:leader="none"/>
        </w:tabs>
        <w:spacing w:lineRule="auto" w:line="240" w:before="0" w:after="0" w:beforeAutospacing="0" w:afterAutospacing="0"/>
        <w:ind w:firstLine="0" w:left="426"/>
        <w:rPr>
          <w:rFonts w:ascii="Arial" w:hAnsi="Arial"/>
        </w:rPr>
      </w:pPr>
      <w:bookmarkStart w:id="8" w:name="art14§2"/>
      <w:bookmarkEnd w:id="8"/>
      <w:r>
        <w:rPr>
          <w:rFonts w:ascii="Arial" w:hAnsi="Arial"/>
        </w:rPr>
        <w:t>A critério da Administração e exclusivamente a seu serviço, o autor dos projetos e a empresa a que se referem os itens 6.2.2 e 6.2.3 poderão participar no apoio das atividades de planejamento da contratação, de execução da licitação ou de gestão do contrato, desde que sob supervisão exclusiva de agentes públicos do órgão ou entidade.</w:t>
      </w:r>
    </w:p>
    <w:p>
      <w:pPr>
        <w:pStyle w:val="P50"/>
        <w:numPr>
          <w:ilvl w:val="1"/>
          <w:numId w:val="2"/>
        </w:numPr>
        <w:tabs>
          <w:tab w:val="left" w:pos="851" w:leader="none"/>
        </w:tabs>
        <w:spacing w:lineRule="auto" w:line="240" w:before="0" w:after="0" w:beforeAutospacing="0" w:afterAutospacing="0"/>
        <w:ind w:firstLine="0" w:left="426"/>
        <w:rPr>
          <w:rFonts w:ascii="Arial" w:hAnsi="Arial"/>
        </w:rPr>
      </w:pPr>
      <w:bookmarkStart w:id="9" w:name="art14§3"/>
      <w:bookmarkEnd w:id="9"/>
      <w:r>
        <w:rPr>
          <w:rFonts w:ascii="Arial" w:hAnsi="Arial"/>
        </w:rPr>
        <w:t>Equiparam-se aos autores do projeto as empresas integrantes do mesmo grupo econômico.</w:t>
      </w:r>
    </w:p>
    <w:p>
      <w:pPr>
        <w:pStyle w:val="P50"/>
        <w:numPr>
          <w:ilvl w:val="1"/>
          <w:numId w:val="2"/>
        </w:numPr>
        <w:tabs>
          <w:tab w:val="left" w:pos="851" w:leader="none"/>
        </w:tabs>
        <w:spacing w:lineRule="auto" w:line="240" w:before="0" w:after="0" w:beforeAutospacing="0" w:afterAutospacing="0"/>
        <w:ind w:firstLine="0" w:left="426"/>
        <w:rPr>
          <w:rFonts w:ascii="Arial" w:hAnsi="Arial"/>
        </w:rPr>
      </w:pPr>
      <w:bookmarkStart w:id="10" w:name="art14§4"/>
      <w:bookmarkEnd w:id="10"/>
      <w:r>
        <w:rPr>
          <w:rFonts w:ascii="Arial" w:hAnsi="Arial"/>
        </w:rPr>
        <w:t>O disposto nos itens 6.2.2 e 6.2.3 não impede a licitação ou a contratação de serviço que inclua como encargo do contratado a elaboração do projeto básico e do projeto executivo, nas contratações integradas, e do projeto executivo, nos demais regimes de execução.</w:t>
      </w:r>
    </w:p>
    <w:p>
      <w:pPr>
        <w:pStyle w:val="P50"/>
        <w:numPr>
          <w:ilvl w:val="1"/>
          <w:numId w:val="2"/>
        </w:numPr>
        <w:tabs>
          <w:tab w:val="left" w:pos="851" w:leader="none"/>
        </w:tabs>
        <w:spacing w:lineRule="auto" w:line="240" w:before="0" w:after="0" w:beforeAutospacing="0" w:afterAutospacing="0"/>
        <w:ind w:firstLine="0" w:left="426"/>
        <w:rPr>
          <w:rFonts w:ascii="Arial" w:hAnsi="Arial"/>
        </w:rPr>
      </w:pPr>
      <w:bookmarkStart w:id="11" w:name="art14§5"/>
      <w:bookmarkEnd w:id="11"/>
      <w:r>
        <w:rPr>
          <w:rFonts w:ascii="Arial" w:hAnsi="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 14.133/2021.</w:t>
      </w:r>
    </w:p>
    <w:p>
      <w:pPr>
        <w:pStyle w:val="P50"/>
        <w:numPr>
          <w:ilvl w:val="1"/>
          <w:numId w:val="2"/>
        </w:numPr>
        <w:tabs>
          <w:tab w:val="left" w:pos="851" w:leader="none"/>
        </w:tabs>
        <w:spacing w:lineRule="auto" w:line="240" w:before="0" w:after="0" w:beforeAutospacing="0" w:afterAutospacing="0"/>
        <w:ind w:firstLine="0" w:left="426"/>
        <w:rPr>
          <w:rFonts w:ascii="Arial" w:hAnsi="Arial"/>
        </w:rPr>
      </w:pPr>
      <w:r>
        <w:rPr>
          <w:rFonts w:ascii="Arial" w:hAnsi="Arial"/>
        </w:rPr>
        <w:t>A vedação de que trata o item 6.2.8 estende-se a terceiro que auxilie a condução da contratação na qualidade de integrante de equipe de apoio, profissional especializado ou funcionário ou representante de empresa que preste assessoria técnica.</w:t>
      </w:r>
    </w:p>
    <w:p>
      <w:pPr>
        <w:numPr>
          <w:ilvl w:val="1"/>
          <w:numId w:val="2"/>
        </w:numPr>
        <w:tabs>
          <w:tab w:val="left" w:pos="851" w:leader="none"/>
        </w:tabs>
        <w:ind w:firstLine="0" w:left="425"/>
        <w:rPr>
          <w:rFonts w:ascii="Arial" w:hAnsi="Arial"/>
          <w:color w:val="000000"/>
        </w:rPr>
      </w:pPr>
      <w:r>
        <w:rPr>
          <w:rFonts w:ascii="Arial" w:hAnsi="Arial"/>
          <w:color w:val="000000"/>
        </w:rPr>
        <w:t>O licitante, caso seja ME/EPP/MEI, assinalará em campo próprio do sistema eletrônico, relativo à declaração de que cumpre os requisitos estabelecidos no art. 3° da Lei Complementar nº 123/2006, estando apto a usufruir do tratamento favorecido estabelecido em seus arts. 42 a 49.</w:t>
      </w:r>
    </w:p>
    <w:p>
      <w:pPr>
        <w:tabs>
          <w:tab w:val="left" w:pos="851" w:leader="none"/>
        </w:tabs>
        <w:ind w:left="425"/>
        <w:rPr>
          <w:rFonts w:ascii="Arial" w:hAnsi="Arial"/>
          <w:color w:val="000000"/>
        </w:rPr>
      </w:pPr>
    </w:p>
    <w:p>
      <w:pPr>
        <w:pStyle w:val="P43"/>
        <w:tabs>
          <w:tab w:val="left" w:pos="284" w:leader="none"/>
        </w:tabs>
        <w:spacing w:before="0" w:beforeAutospacing="0" w:afterAutospacing="0"/>
        <w:rPr>
          <w:rFonts w:ascii="Arial" w:hAnsi="Arial"/>
          <w:sz w:val="20"/>
        </w:rPr>
      </w:pPr>
      <w:r>
        <w:rPr>
          <w:rFonts w:ascii="Arial" w:hAnsi="Arial"/>
          <w:sz w:val="20"/>
        </w:rPr>
        <w:t>DA APRESENTAÇÃO DA PROPOSTA E DOS DOCUMENTOS DE HABILITAÇÃO</w:t>
      </w:r>
    </w:p>
    <w:p>
      <w:pPr>
        <w:numPr>
          <w:ilvl w:val="1"/>
          <w:numId w:val="2"/>
        </w:numPr>
        <w:tabs>
          <w:tab w:val="left" w:pos="851" w:leader="none"/>
        </w:tabs>
        <w:ind w:firstLine="0" w:left="425"/>
        <w:rPr>
          <w:rFonts w:ascii="Arial" w:hAnsi="Arial"/>
          <w:color w:val="000000"/>
        </w:rPr>
      </w:pPr>
      <w:r>
        <w:rPr>
          <w:rFonts w:ascii="Arial" w:hAnsi="Arial"/>
          <w:color w:val="000000"/>
        </w:rPr>
        <w:t xml:space="preserve">Os licitantes encaminharão, exclusivamente por meio do sistema, concomitantemente com os documentos de habilitação exigidos no Edital, Proposta de Preços com a descrição do(s) objeto(s) ofertado(s) e o(s) preço(s), até a data e o horário estabelecidos para abertura da sessão pública, quando, então, encerrar-se-á automaticamente a etapa de envio dessa documentação. </w:t>
      </w:r>
    </w:p>
    <w:p>
      <w:pPr>
        <w:numPr>
          <w:ilvl w:val="1"/>
          <w:numId w:val="2"/>
        </w:numPr>
        <w:tabs>
          <w:tab w:val="left" w:pos="851" w:leader="none"/>
        </w:tabs>
        <w:ind w:firstLine="0" w:left="425"/>
        <w:rPr>
          <w:rFonts w:ascii="Arial" w:hAnsi="Arial"/>
          <w:color w:val="000000"/>
        </w:rPr>
      </w:pPr>
      <w:r>
        <w:rPr>
          <w:rFonts w:ascii="Arial" w:hAnsi="Arial"/>
          <w:color w:val="000000"/>
        </w:rPr>
        <w:t>O envio da proposta, acompanhada dos documentos de habilitação exigidos neste Edital, ocorrerá por meio de chave de acesso e senha.</w:t>
      </w:r>
    </w:p>
    <w:p>
      <w:pPr>
        <w:numPr>
          <w:ilvl w:val="1"/>
          <w:numId w:val="2"/>
        </w:numPr>
        <w:tabs>
          <w:tab w:val="left" w:pos="851" w:leader="none"/>
        </w:tabs>
        <w:ind w:firstLine="0" w:left="425"/>
        <w:rPr>
          <w:rFonts w:ascii="Arial" w:hAnsi="Arial"/>
          <w:color w:val="000000"/>
        </w:rPr>
      </w:pPr>
      <w:r>
        <w:rPr>
          <w:rFonts w:ascii="Arial" w:hAnsi="Arial"/>
        </w:rPr>
        <w:t xml:space="preserve">As </w:t>
      </w:r>
      <w:r>
        <w:rPr>
          <w:rFonts w:ascii="Arial" w:hAnsi="Arial"/>
          <w:color w:val="000000"/>
        </w:rPr>
        <w:t>MPE/MEI</w:t>
      </w:r>
      <w:r>
        <w:rPr>
          <w:rFonts w:ascii="Arial" w:hAnsi="Arial"/>
        </w:rPr>
        <w:t xml:space="preserve"> deverão encaminhar a documentação de habilitação, ainda que haja alguma restrição de regularidade fiscal e trabalhista, nos termos do art. 43, § 1º da Lei Complementar nº 123/2006.</w:t>
      </w:r>
    </w:p>
    <w:p>
      <w:pPr>
        <w:numPr>
          <w:ilvl w:val="1"/>
          <w:numId w:val="2"/>
        </w:numPr>
        <w:tabs>
          <w:tab w:val="left" w:pos="851" w:leader="none"/>
        </w:tabs>
        <w:ind w:firstLine="0" w:left="425"/>
        <w:rPr>
          <w:rFonts w:ascii="Arial" w:hAnsi="Arial"/>
          <w:color w:val="000000"/>
        </w:rPr>
      </w:pPr>
      <w:r>
        <w:rPr>
          <w:rFonts w:ascii="Arial" w:hAnsi="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pPr>
        <w:numPr>
          <w:ilvl w:val="1"/>
          <w:numId w:val="2"/>
        </w:numPr>
        <w:tabs>
          <w:tab w:val="left" w:pos="851" w:leader="none"/>
        </w:tabs>
        <w:ind w:firstLine="0" w:left="425"/>
        <w:rPr>
          <w:rFonts w:ascii="Arial" w:hAnsi="Arial"/>
          <w:color w:val="000000"/>
        </w:rPr>
      </w:pPr>
      <w:r>
        <w:rPr>
          <w:rFonts w:ascii="Arial" w:hAnsi="Arial"/>
          <w:color w:val="000000"/>
        </w:rPr>
        <w:t>Até a abertura da sessão pública, os licitantes poderão retirar ou substituir a proposta e os documentos de habilitação anteriormente inseridos no sistema.</w:t>
      </w:r>
    </w:p>
    <w:p>
      <w:pPr>
        <w:numPr>
          <w:ilvl w:val="1"/>
          <w:numId w:val="2"/>
        </w:numPr>
        <w:tabs>
          <w:tab w:val="left" w:pos="851" w:leader="none"/>
        </w:tabs>
        <w:ind w:firstLine="0" w:left="425"/>
        <w:rPr>
          <w:rFonts w:ascii="Arial" w:hAnsi="Arial"/>
          <w:color w:val="000000"/>
        </w:rPr>
      </w:pPr>
      <w:r>
        <w:rPr>
          <w:rFonts w:ascii="Arial" w:hAnsi="Arial"/>
          <w:color w:val="000000"/>
        </w:rPr>
        <w:t>Não será estabelecida, nessa etapa do certame, ordem de classificação entre as propostas apresentadas, o que somente ocorrerá após a realização dos procedimentos de negociação e julgamento da proposta.</w:t>
      </w:r>
    </w:p>
    <w:p>
      <w:pPr>
        <w:numPr>
          <w:ilvl w:val="1"/>
          <w:numId w:val="2"/>
        </w:numPr>
        <w:tabs>
          <w:tab w:val="left" w:pos="851" w:leader="none"/>
        </w:tabs>
        <w:ind w:firstLine="0" w:left="425"/>
        <w:rPr>
          <w:rFonts w:ascii="Arial" w:hAnsi="Arial"/>
        </w:rPr>
      </w:pPr>
      <w:r>
        <w:rPr>
          <w:rFonts w:ascii="Arial" w:hAnsi="Arial"/>
          <w:color w:val="000000"/>
        </w:rPr>
        <w:t>Os documentos que compõem a proposta e a habilitação do licitante melhor classificado somente serão disponibilizados para avaliação do(a) Pregoeiro(a) e para acesso público após o encerramento do envio de lances.</w:t>
      </w:r>
    </w:p>
    <w:p>
      <w:pPr>
        <w:tabs>
          <w:tab w:val="left" w:pos="851" w:leader="none"/>
        </w:tabs>
        <w:ind w:left="425"/>
        <w:rPr>
          <w:rFonts w:ascii="Arial" w:hAnsi="Arial"/>
        </w:rPr>
      </w:pPr>
    </w:p>
    <w:p>
      <w:pPr>
        <w:pStyle w:val="P43"/>
        <w:tabs>
          <w:tab w:val="left" w:pos="284" w:leader="none"/>
        </w:tabs>
        <w:spacing w:before="0" w:beforeAutospacing="0" w:afterAutospacing="0"/>
        <w:rPr>
          <w:rFonts w:ascii="Arial" w:hAnsi="Arial"/>
          <w:sz w:val="20"/>
        </w:rPr>
      </w:pPr>
      <w:r>
        <w:rPr>
          <w:rFonts w:ascii="Arial" w:hAnsi="Arial"/>
          <w:sz w:val="20"/>
        </w:rPr>
        <w:t>DO PREENCHIMENTO DA PROPOSTA</w:t>
      </w:r>
    </w:p>
    <w:p>
      <w:pPr>
        <w:numPr>
          <w:ilvl w:val="1"/>
          <w:numId w:val="2"/>
        </w:numPr>
        <w:tabs>
          <w:tab w:val="left" w:pos="851" w:leader="none"/>
        </w:tabs>
        <w:ind w:firstLine="0" w:left="425"/>
        <w:rPr>
          <w:rFonts w:ascii="Arial" w:hAnsi="Arial"/>
          <w:color w:val="000000"/>
        </w:rPr>
      </w:pPr>
      <w:r>
        <w:rPr>
          <w:rFonts w:ascii="Arial" w:hAnsi="Arial"/>
        </w:rPr>
        <w:t xml:space="preserve">O licitante deverá enviar sua proposta mediante o preenchimento, no sistema eletrônico, dos campos disponíveis </w:t>
      </w:r>
      <w:r>
        <w:rPr>
          <w:rFonts w:ascii="Arial" w:hAnsi="Arial"/>
          <w:b w:val="1"/>
          <w:highlight w:val="yellow"/>
        </w:rPr>
        <w:t>e, também, deverá anexar o documento/arquivo da proposta em campo próprio</w:t>
      </w:r>
      <w:r>
        <w:rPr>
          <w:rFonts w:ascii="Arial" w:hAnsi="Arial"/>
        </w:rPr>
        <w:t xml:space="preserve">, podendo utilizar-se do modelo constante no </w:t>
      </w:r>
      <w:r>
        <w:rPr>
          <w:rFonts w:ascii="Arial" w:hAnsi="Arial"/>
          <w:b w:val="1"/>
        </w:rPr>
        <w:t>Anexo IV</w:t>
      </w:r>
      <w:r>
        <w:rPr>
          <w:rFonts w:ascii="Arial" w:hAnsi="Arial"/>
        </w:rPr>
        <w:t xml:space="preserve"> deste Edital, datada e assinada pelo seu representante, com timbre da licitante, sem emendas, entrelinhas ou borrões que possam prejudicar a sua inteligência e autenticidade, na qual deverá conter, obrigatoriamente, </w:t>
      </w:r>
      <w:r>
        <w:rPr>
          <w:rFonts w:ascii="Arial" w:hAnsi="Arial"/>
          <w:b w:val="1"/>
        </w:rPr>
        <w:t>especificação completa dos serviços ofertados, conforme as condições e especificações constantes do Termo de Referência (Anexo I)</w:t>
      </w:r>
      <w:r>
        <w:rPr>
          <w:rFonts w:ascii="Arial" w:hAnsi="Arial"/>
        </w:rPr>
        <w:t xml:space="preserve">, bem como o preço global proposto para a execução integral do objeto, conforme especificações do </w:t>
      </w:r>
      <w:r>
        <w:rPr>
          <w:rFonts w:ascii="Arial" w:hAnsi="Arial"/>
          <w:b w:val="1"/>
        </w:rPr>
        <w:t>Termo de Referência (Anexo I)</w:t>
      </w:r>
      <w:r>
        <w:rPr>
          <w:rFonts w:ascii="Arial" w:hAnsi="Arial"/>
        </w:rPr>
        <w:t>.</w:t>
      </w:r>
    </w:p>
    <w:p>
      <w:pPr>
        <w:pStyle w:val="P13"/>
        <w:numPr>
          <w:ilvl w:val="1"/>
          <w:numId w:val="2"/>
        </w:numPr>
        <w:tabs>
          <w:tab w:val="left" w:pos="851" w:leader="none"/>
        </w:tabs>
        <w:ind w:firstLine="0" w:left="425"/>
        <w:contextualSpacing w:val="0"/>
        <w:rPr>
          <w:rFonts w:ascii="Arial" w:hAnsi="Arial"/>
          <w:color w:val="000000"/>
        </w:rPr>
      </w:pPr>
      <w:r>
        <w:rPr>
          <w:rFonts w:ascii="Arial" w:hAnsi="Arial"/>
        </w:rPr>
        <w:t xml:space="preserve">Todas as especificações do objeto contidas na proposta vinculam a Contratada, sendo vedado ofertar proposta em quantitativo inferior ao constante no </w:t>
      </w:r>
      <w:r>
        <w:rPr>
          <w:rFonts w:ascii="Arial" w:hAnsi="Arial"/>
          <w:b w:val="1"/>
        </w:rPr>
        <w:t>Termo de Referência (Anexo I)</w:t>
      </w:r>
      <w:r>
        <w:rPr>
          <w:rFonts w:ascii="Arial" w:hAnsi="Arial"/>
        </w:rPr>
        <w:t xml:space="preserve">, e em valor superior ao valor máximo previsto para o </w:t>
      </w:r>
      <w:r>
        <w:rPr>
          <w:rFonts w:ascii="Arial" w:hAnsi="Arial"/>
          <w:b w:val="1"/>
        </w:rPr>
        <w:t>LOTE</w:t>
      </w:r>
      <w:r>
        <w:rPr>
          <w:rFonts w:ascii="Arial" w:hAnsi="Arial"/>
        </w:rPr>
        <w:t>.</w:t>
      </w:r>
    </w:p>
    <w:p>
      <w:pPr>
        <w:pStyle w:val="P13"/>
        <w:numPr>
          <w:ilvl w:val="1"/>
          <w:numId w:val="2"/>
        </w:numPr>
        <w:tabs>
          <w:tab w:val="left" w:pos="851" w:leader="none"/>
        </w:tabs>
        <w:ind w:firstLine="0" w:left="425"/>
        <w:contextualSpacing w:val="0"/>
        <w:rPr>
          <w:rFonts w:ascii="Arial" w:hAnsi="Arial"/>
          <w:color w:val="000000"/>
        </w:rPr>
      </w:pPr>
      <w:r>
        <w:rPr>
          <w:rFonts w:ascii="Arial" w:hAnsi="Arial"/>
          <w:color w:val="000000"/>
        </w:rPr>
        <w:t>Nos valores propostos estarão inclusos todos os custos operacionais, encargos previdenciários, trabalhistas, tributários, comerciais e quaisquer outros que incidam direta ou indiretamente na execução dos serviços.</w:t>
      </w:r>
    </w:p>
    <w:p>
      <w:pPr>
        <w:pStyle w:val="P13"/>
        <w:numPr>
          <w:ilvl w:val="1"/>
          <w:numId w:val="2"/>
        </w:numPr>
        <w:tabs>
          <w:tab w:val="left" w:pos="851" w:leader="none"/>
        </w:tabs>
        <w:ind w:firstLine="0" w:left="425"/>
        <w:contextualSpacing w:val="0"/>
        <w:rPr>
          <w:rFonts w:ascii="Arial" w:hAnsi="Arial"/>
          <w:color w:val="000000"/>
        </w:rPr>
      </w:pPr>
      <w:r>
        <w:rPr>
          <w:rFonts w:ascii="Arial" w:hAnsi="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P13"/>
        <w:numPr>
          <w:ilvl w:val="1"/>
          <w:numId w:val="2"/>
        </w:numPr>
        <w:tabs>
          <w:tab w:val="left" w:pos="851" w:leader="none"/>
        </w:tabs>
        <w:ind w:firstLine="0" w:left="425"/>
        <w:contextualSpacing w:val="0"/>
        <w:rPr>
          <w:rFonts w:ascii="Arial" w:hAnsi="Arial"/>
          <w:color w:val="000000"/>
        </w:rPr>
      </w:pPr>
      <w:r>
        <w:rPr>
          <w:rFonts w:ascii="Arial" w:hAnsi="Arial"/>
        </w:rPr>
        <w:t>Na formação e apresentação dos preços, os proponentes deverão utilizar-se de apenas duas casas decimais após a vírgula.</w:t>
      </w:r>
    </w:p>
    <w:p>
      <w:pPr>
        <w:pStyle w:val="P13"/>
        <w:numPr>
          <w:ilvl w:val="1"/>
          <w:numId w:val="2"/>
        </w:numPr>
        <w:tabs>
          <w:tab w:val="left" w:pos="851" w:leader="none"/>
        </w:tabs>
        <w:ind w:firstLine="0" w:left="425"/>
        <w:contextualSpacing w:val="0"/>
        <w:rPr>
          <w:rFonts w:ascii="Arial" w:hAnsi="Arial"/>
          <w:color w:val="000000"/>
        </w:rPr>
      </w:pPr>
      <w:r>
        <w:rPr>
          <w:rFonts w:ascii="Arial" w:hAnsi="Arial"/>
          <w:b w:val="1"/>
          <w:color w:val="000000"/>
        </w:rPr>
        <w:t>O prazo de validade da proposta não poderá ser inferior a 60 (sessenta) dias, a contar da data de sua apresentação</w:t>
      </w:r>
      <w:r>
        <w:rPr>
          <w:rFonts w:ascii="Arial" w:hAnsi="Arial"/>
          <w:color w:val="000000"/>
        </w:rPr>
        <w:t>.</w:t>
      </w:r>
    </w:p>
    <w:p>
      <w:pPr>
        <w:pStyle w:val="P13"/>
        <w:numPr>
          <w:ilvl w:val="1"/>
          <w:numId w:val="2"/>
        </w:numPr>
        <w:tabs>
          <w:tab w:val="left" w:pos="851" w:leader="none"/>
        </w:tabs>
        <w:ind w:firstLine="0" w:left="425"/>
        <w:contextualSpacing w:val="0"/>
        <w:rPr>
          <w:rFonts w:ascii="Arial" w:hAnsi="Arial"/>
          <w:color w:val="000000"/>
        </w:rPr>
      </w:pPr>
      <w:r>
        <w:rPr>
          <w:rFonts w:ascii="Arial" w:hAnsi="Arial"/>
        </w:rPr>
        <w:t xml:space="preserve">Para efeito de pagamentos das faturas da eventual licitante vencedora, a proponente poderá indicar o número da conta corrente e da agência bancária onde deseja que sejam efetuados os créditos correspondentes, além de informações de </w:t>
      </w:r>
      <w:r>
        <w:rPr>
          <w:rFonts w:ascii="Arial" w:hAnsi="Arial"/>
          <w:i w:val="1"/>
        </w:rPr>
        <w:t>e-mail</w:t>
      </w:r>
      <w:r>
        <w:rPr>
          <w:rFonts w:ascii="Arial" w:hAnsi="Arial"/>
        </w:rPr>
        <w:t xml:space="preserve"> e telefone para contato, para eventualidade do disposto no item 12.2 deste Edital.</w:t>
      </w:r>
    </w:p>
    <w:p>
      <w:pPr>
        <w:pStyle w:val="P13"/>
        <w:numPr>
          <w:ilvl w:val="1"/>
          <w:numId w:val="2"/>
        </w:numPr>
        <w:tabs>
          <w:tab w:val="left" w:pos="851" w:leader="none"/>
        </w:tabs>
        <w:ind w:firstLine="0" w:left="426"/>
        <w:contextualSpacing w:val="0"/>
        <w:rPr>
          <w:rFonts w:ascii="Arial" w:hAnsi="Arial"/>
          <w:color w:val="000000"/>
        </w:rPr>
      </w:pPr>
      <w:r>
        <w:rPr>
          <w:rFonts w:ascii="Arial" w:hAnsi="Arial"/>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w:t>
      </w:r>
      <w:r>
        <w:rPr>
          <w:rFonts w:ascii="Arial" w:hAnsi="Arial"/>
          <w:b w:val="1"/>
          <w:color w:val="000000"/>
        </w:rPr>
        <w:t>prestação de serviços/execução da viagem</w:t>
      </w:r>
      <w:r>
        <w:rPr>
          <w:rFonts w:ascii="Arial" w:hAnsi="Arial"/>
          <w:color w:val="000000"/>
        </w:rPr>
        <w:t>, em quantidades e qualidades adequadas à perfeita execução contratual.</w:t>
      </w:r>
    </w:p>
    <w:p>
      <w:pPr>
        <w:pStyle w:val="P13"/>
        <w:tabs>
          <w:tab w:val="left" w:pos="851" w:leader="none"/>
        </w:tabs>
        <w:ind w:left="426"/>
        <w:contextualSpacing w:val="0"/>
        <w:rPr>
          <w:rFonts w:ascii="Arial" w:hAnsi="Arial"/>
          <w:color w:val="000000"/>
        </w:rPr>
      </w:pPr>
    </w:p>
    <w:p>
      <w:pPr>
        <w:pStyle w:val="P43"/>
        <w:tabs>
          <w:tab w:val="left" w:pos="284" w:leader="none"/>
          <w:tab w:val="clear" w:pos="567" w:leader="none"/>
        </w:tabs>
        <w:spacing w:before="0" w:beforeAutospacing="0" w:afterAutospacing="0"/>
        <w:rPr>
          <w:rFonts w:ascii="Arial" w:hAnsi="Arial"/>
          <w:sz w:val="20"/>
        </w:rPr>
      </w:pPr>
      <w:r>
        <w:rPr>
          <w:rFonts w:ascii="Arial" w:hAnsi="Arial"/>
          <w:color w:val="auto"/>
          <w:sz w:val="20"/>
        </w:rPr>
        <w:t xml:space="preserve">DA ABERTURA DA SESSÃO, CLASSIFICAÇÃO DAS PROPOSTAS E FORMULAÇÃO DE LANCES </w:t>
      </w:r>
    </w:p>
    <w:p>
      <w:pPr>
        <w:pStyle w:val="P13"/>
        <w:numPr>
          <w:ilvl w:val="1"/>
          <w:numId w:val="2"/>
        </w:numPr>
        <w:tabs>
          <w:tab w:val="left" w:pos="851" w:leader="none"/>
        </w:tabs>
        <w:ind w:firstLine="0" w:left="425"/>
        <w:contextualSpacing w:val="0"/>
        <w:rPr>
          <w:rFonts w:ascii="Arial" w:hAnsi="Arial"/>
          <w:color w:val="000000"/>
        </w:rPr>
      </w:pPr>
      <w:r>
        <w:rPr>
          <w:rFonts w:ascii="Arial" w:hAnsi="Arial"/>
          <w:color w:val="000000"/>
        </w:rPr>
        <w:t>A abertura da presente licitação dar-se-á em sessão pública, por meio de sistema eletrônico, na data, horário e local indicados neste Edital.</w:t>
      </w:r>
    </w:p>
    <w:p>
      <w:pPr>
        <w:pStyle w:val="P13"/>
        <w:numPr>
          <w:ilvl w:val="1"/>
          <w:numId w:val="2"/>
        </w:numPr>
        <w:tabs>
          <w:tab w:val="left" w:pos="851" w:leader="none"/>
        </w:tabs>
        <w:ind w:firstLine="0" w:left="425"/>
        <w:contextualSpacing w:val="0"/>
        <w:rPr>
          <w:rFonts w:ascii="Arial" w:hAnsi="Arial"/>
          <w:color w:val="000000"/>
        </w:rPr>
      </w:pPr>
      <w:r>
        <w:rPr>
          <w:rFonts w:ascii="Arial" w:hAnsi="Arial"/>
          <w:color w:val="000000"/>
        </w:rPr>
        <w:t xml:space="preserve">O(A) Pregoeiro(a) verificará as propostas apresentadas, desclassificando desde logo aquelas que não estejam em conformidade com os requisitos estabelecidos neste Edital, contenham vícios insanáveis, ilegalidades ou não apresentem as especificações exigidas no </w:t>
      </w:r>
      <w:r>
        <w:rPr>
          <w:rFonts w:ascii="Arial" w:hAnsi="Arial"/>
          <w:b w:val="1"/>
        </w:rPr>
        <w:t>Termo de Referência (Anexo I)</w:t>
      </w:r>
      <w:r>
        <w:rPr>
          <w:rFonts w:ascii="Arial" w:hAnsi="Arial"/>
          <w:color w:val="000000"/>
        </w:rPr>
        <w:t xml:space="preserve">. </w:t>
      </w:r>
    </w:p>
    <w:p>
      <w:pPr>
        <w:numPr>
          <w:ilvl w:val="2"/>
          <w:numId w:val="2"/>
        </w:numPr>
        <w:tabs>
          <w:tab w:val="left" w:pos="1560" w:leader="none"/>
          <w:tab w:val="left" w:pos="1701" w:leader="none"/>
        </w:tabs>
        <w:ind w:firstLine="0" w:left="993"/>
        <w:rPr>
          <w:rFonts w:ascii="Arial" w:hAnsi="Arial"/>
          <w:color w:val="000000"/>
        </w:rPr>
      </w:pPr>
      <w:r>
        <w:rPr>
          <w:rFonts w:ascii="Arial" w:hAnsi="Arial"/>
          <w:color w:val="000000"/>
        </w:rPr>
        <w:t>Também será desclassificada a proposta que identifique o licitante.</w:t>
      </w:r>
    </w:p>
    <w:p>
      <w:pPr>
        <w:numPr>
          <w:ilvl w:val="2"/>
          <w:numId w:val="2"/>
        </w:numPr>
        <w:tabs>
          <w:tab w:val="left" w:pos="1560" w:leader="none"/>
          <w:tab w:val="left" w:pos="1701" w:leader="none"/>
        </w:tabs>
        <w:ind w:firstLine="0" w:left="993"/>
        <w:rPr>
          <w:rFonts w:ascii="Arial" w:hAnsi="Arial"/>
          <w:color w:val="000000"/>
        </w:rPr>
      </w:pPr>
      <w:r>
        <w:rPr>
          <w:rFonts w:ascii="Arial" w:hAnsi="Arial"/>
          <w:color w:val="000000"/>
        </w:rPr>
        <w:t>A desclassificação será sempre fundamentada e registrada no sistema, com acompanhamento em tempo real por todos os participantes.</w:t>
      </w:r>
    </w:p>
    <w:p>
      <w:pPr>
        <w:numPr>
          <w:ilvl w:val="2"/>
          <w:numId w:val="2"/>
        </w:numPr>
        <w:tabs>
          <w:tab w:val="left" w:pos="1560" w:leader="none"/>
          <w:tab w:val="left" w:pos="1701" w:leader="none"/>
        </w:tabs>
        <w:ind w:firstLine="0" w:left="993"/>
        <w:rPr>
          <w:rFonts w:ascii="Arial" w:hAnsi="Arial"/>
          <w:color w:val="000000"/>
        </w:rPr>
      </w:pPr>
      <w:r>
        <w:rPr>
          <w:rFonts w:ascii="Arial" w:hAnsi="Arial"/>
          <w:color w:val="000000"/>
        </w:rPr>
        <w:t>A não desclassificação da proposta não impede o seu julgamento definitivo em sentido contrário, levado a efeito na fase de aceitação.</w:t>
      </w:r>
    </w:p>
    <w:p>
      <w:pPr>
        <w:numPr>
          <w:ilvl w:val="1"/>
          <w:numId w:val="2"/>
        </w:numPr>
        <w:tabs>
          <w:tab w:val="left" w:pos="851" w:leader="none"/>
        </w:tabs>
        <w:ind w:firstLine="1" w:left="425"/>
        <w:rPr>
          <w:rFonts w:ascii="Arial" w:hAnsi="Arial"/>
          <w:color w:val="000000"/>
        </w:rPr>
      </w:pPr>
      <w:r>
        <w:rPr>
          <w:rFonts w:ascii="Arial" w:hAnsi="Arial"/>
          <w:color w:val="000000"/>
        </w:rPr>
        <w:t>O sistema ordenará automaticamente as propostas classificadas, sendo que somente estas participarão da fase de lances.</w:t>
      </w:r>
    </w:p>
    <w:p>
      <w:pPr>
        <w:numPr>
          <w:ilvl w:val="1"/>
          <w:numId w:val="2"/>
        </w:numPr>
        <w:tabs>
          <w:tab w:val="left" w:pos="851" w:leader="none"/>
        </w:tabs>
        <w:ind w:firstLine="1" w:left="425"/>
        <w:rPr>
          <w:rFonts w:ascii="Arial" w:hAnsi="Arial"/>
          <w:color w:val="000000"/>
        </w:rPr>
      </w:pPr>
      <w:r>
        <w:rPr>
          <w:rFonts w:ascii="Arial" w:hAnsi="Arial"/>
          <w:color w:val="000000"/>
        </w:rPr>
        <w:t>O sistema disponibilizará campo próprio para troca de mensagens entre o(a) Pregoeiro(a) e os licitantes.</w:t>
      </w:r>
    </w:p>
    <w:p>
      <w:pPr>
        <w:numPr>
          <w:ilvl w:val="1"/>
          <w:numId w:val="2"/>
        </w:numPr>
        <w:tabs>
          <w:tab w:val="left" w:pos="851" w:leader="none"/>
        </w:tabs>
        <w:ind w:firstLine="1" w:left="425"/>
        <w:rPr>
          <w:rFonts w:ascii="Arial" w:hAnsi="Arial"/>
          <w:color w:val="000000"/>
        </w:rPr>
      </w:pPr>
      <w:r>
        <w:rPr>
          <w:rFonts w:ascii="Arial" w:hAnsi="Arial"/>
          <w:color w:val="000000"/>
        </w:rPr>
        <w:t>Iniciada a etapa competitiva, os licitantes deverão encaminhar lances exclusivamente por meio de sistema eletrônico, sendo imediatamente informados do seu recebimento e do valor consignado no registro.</w:t>
      </w:r>
    </w:p>
    <w:p>
      <w:pPr>
        <w:numPr>
          <w:ilvl w:val="2"/>
          <w:numId w:val="2"/>
        </w:numPr>
        <w:tabs>
          <w:tab w:val="left" w:pos="1560" w:leader="none"/>
        </w:tabs>
        <w:ind w:firstLine="0" w:left="993"/>
        <w:rPr>
          <w:rFonts w:ascii="Arial" w:hAnsi="Arial"/>
          <w:color w:val="000000"/>
        </w:rPr>
      </w:pPr>
      <w:r>
        <w:rPr>
          <w:rFonts w:ascii="Arial" w:hAnsi="Arial"/>
          <w:color w:val="000000"/>
        </w:rPr>
        <w:t xml:space="preserve">O lance deverá ser ofertado pelo valor </w:t>
      </w:r>
      <w:r>
        <w:rPr>
          <w:rFonts w:ascii="Arial" w:hAnsi="Arial"/>
          <w:b w:val="1"/>
          <w:color w:val="000000"/>
          <w:highlight w:val="yellow"/>
        </w:rPr>
        <w:t>global do lote</w:t>
      </w:r>
      <w:r>
        <w:rPr>
          <w:rFonts w:ascii="Arial" w:hAnsi="Arial"/>
          <w:color w:val="000000"/>
          <w:highlight w:val="yellow"/>
        </w:rPr>
        <w:t>.</w:t>
      </w:r>
    </w:p>
    <w:p>
      <w:pPr>
        <w:numPr>
          <w:ilvl w:val="1"/>
          <w:numId w:val="2"/>
        </w:numPr>
        <w:tabs>
          <w:tab w:val="left" w:pos="426" w:leader="none"/>
          <w:tab w:val="left" w:pos="851" w:leader="none"/>
        </w:tabs>
        <w:ind w:firstLine="0" w:left="426"/>
        <w:rPr>
          <w:rFonts w:ascii="Arial" w:hAnsi="Arial"/>
          <w:color w:val="000000"/>
        </w:rPr>
      </w:pPr>
      <w:r>
        <w:rPr>
          <w:rFonts w:ascii="Arial" w:hAnsi="Arial"/>
          <w:color w:val="000000"/>
        </w:rPr>
        <w:t>Os licitantes poderão oferecer lances sucessivos, observando o horário fixado para abertura da sessão e as regras estabelecidas no Edital.</w:t>
      </w:r>
    </w:p>
    <w:p>
      <w:pPr>
        <w:numPr>
          <w:ilvl w:val="1"/>
          <w:numId w:val="2"/>
        </w:numPr>
        <w:tabs>
          <w:tab w:val="left" w:pos="426" w:leader="none"/>
          <w:tab w:val="left" w:pos="851" w:leader="none"/>
        </w:tabs>
        <w:ind w:firstLine="0" w:left="426"/>
        <w:rPr>
          <w:rFonts w:ascii="Arial" w:hAnsi="Arial"/>
          <w:color w:val="000000"/>
        </w:rPr>
      </w:pPr>
      <w:r>
        <w:rPr>
          <w:rFonts w:ascii="Arial" w:hAnsi="Arial"/>
        </w:rPr>
        <w:t xml:space="preserve">O licitante somente poderá oferecer lance pelo </w:t>
      </w:r>
      <w:r>
        <w:rPr>
          <w:rFonts w:ascii="Arial" w:hAnsi="Arial"/>
          <w:b w:val="1"/>
          <w:highlight w:val="yellow"/>
        </w:rPr>
        <w:t>valor global do lote</w:t>
      </w:r>
      <w:r>
        <w:rPr>
          <w:rFonts w:ascii="Arial" w:hAnsi="Arial"/>
        </w:rPr>
        <w:t>, de valor inferior ao último lance por ele ofertado e registrado pelo sistema.</w:t>
      </w:r>
    </w:p>
    <w:p>
      <w:pPr>
        <w:numPr>
          <w:ilvl w:val="1"/>
          <w:numId w:val="2"/>
        </w:numPr>
        <w:tabs>
          <w:tab w:val="left" w:pos="426" w:leader="none"/>
          <w:tab w:val="left" w:pos="851" w:leader="none"/>
        </w:tabs>
        <w:ind w:firstLine="0" w:left="426"/>
        <w:rPr>
          <w:rFonts w:ascii="Arial" w:hAnsi="Arial"/>
          <w:color w:val="000000"/>
        </w:rPr>
      </w:pPr>
      <w:r>
        <w:rPr>
          <w:rFonts w:ascii="Arial" w:hAnsi="Arial"/>
          <w:color w:val="000000"/>
        </w:rPr>
        <w:t>O intervalo mínimo de diferença de valores ou percentuais entre os lances, que incidirá tanto em relação aos lances intermediários quanto em relação à proposta que cobrir a melhor oferta deverá ser no valor estabelecido previamente pelo(a) Pregoeiro(a).</w:t>
      </w:r>
    </w:p>
    <w:p>
      <w:pPr>
        <w:pStyle w:val="P13"/>
        <w:numPr>
          <w:ilvl w:val="0"/>
          <w:numId w:val="4"/>
        </w:numPr>
        <w:contextualSpacing w:val="0"/>
        <w:rPr>
          <w:rFonts w:ascii="Arial" w:hAnsi="Arial"/>
          <w:vanish w:val="1"/>
          <w:color w:val="000000"/>
        </w:rPr>
      </w:pPr>
    </w:p>
    <w:p>
      <w:pPr>
        <w:pStyle w:val="P13"/>
        <w:numPr>
          <w:ilvl w:val="0"/>
          <w:numId w:val="4"/>
        </w:numPr>
        <w:contextualSpacing w:val="0"/>
        <w:rPr>
          <w:rFonts w:ascii="Arial" w:hAnsi="Arial"/>
          <w:vanish w:val="1"/>
          <w:color w:val="000000"/>
        </w:rPr>
      </w:pPr>
    </w:p>
    <w:p>
      <w:pPr>
        <w:pStyle w:val="P13"/>
        <w:ind w:left="0"/>
        <w:rPr>
          <w:rFonts w:ascii="Arial" w:hAnsi="Arial"/>
          <w:vanish w:val="1"/>
          <w:color w:val="000000"/>
        </w:rPr>
      </w:pPr>
    </w:p>
    <w:p>
      <w:pPr>
        <w:numPr>
          <w:ilvl w:val="1"/>
          <w:numId w:val="2"/>
        </w:numPr>
        <w:tabs>
          <w:tab w:val="left" w:pos="851" w:leader="none"/>
        </w:tabs>
        <w:ind w:firstLine="0" w:left="426"/>
        <w:rPr>
          <w:rFonts w:ascii="Arial" w:hAnsi="Arial"/>
          <w:color w:val="000000"/>
        </w:rPr>
      </w:pPr>
      <w:r>
        <w:rPr>
          <w:rFonts w:ascii="Arial" w:hAnsi="Arial"/>
          <w:color w:val="000000"/>
        </w:rPr>
        <w:t xml:space="preserve">Será adotado para o envio de lances no pregão eletrônico o modo de disputa </w:t>
      </w:r>
      <w:r>
        <w:rPr>
          <w:rFonts w:ascii="Arial" w:hAnsi="Arial"/>
          <w:b w:val="1"/>
          <w:color w:val="000000"/>
          <w:highlight w:val="yellow"/>
        </w:rPr>
        <w:t>aberto</w:t>
      </w:r>
      <w:r>
        <w:rPr>
          <w:rFonts w:ascii="Arial" w:hAnsi="Arial"/>
          <w:color w:val="000000"/>
        </w:rPr>
        <w:t>, em que os licitantes apresentarão lances públicos e sucessivos, com prorrogações.</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 xml:space="preserve">A etapa de lances da sessão pública terá duração de </w:t>
      </w:r>
      <w:r>
        <w:rPr>
          <w:rFonts w:ascii="Arial" w:hAnsi="Arial"/>
          <w:b w:val="1"/>
          <w:color w:val="000000"/>
        </w:rPr>
        <w:t>10 (dez) minutos</w:t>
      </w:r>
      <w:r>
        <w:rPr>
          <w:rFonts w:ascii="Arial" w:hAnsi="Arial"/>
          <w:color w:val="000000"/>
        </w:rPr>
        <w:t xml:space="preserve"> e, após isso, será prorrogada automaticamente pelo sistema quando houver lance ofertado nos últimos </w:t>
      </w:r>
      <w:r>
        <w:rPr>
          <w:rFonts w:ascii="Arial" w:hAnsi="Arial"/>
          <w:b w:val="1"/>
          <w:color w:val="000000"/>
        </w:rPr>
        <w:t>02 (dois) minutos</w:t>
      </w:r>
      <w:r>
        <w:rPr>
          <w:rFonts w:ascii="Arial" w:hAnsi="Arial"/>
          <w:color w:val="000000"/>
        </w:rPr>
        <w:t xml:space="preserve"> do período de duração da sessão pública.</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 xml:space="preserve">A prorrogação automática da etapa de lances, de que trata o item anterior, será de </w:t>
      </w:r>
      <w:r>
        <w:rPr>
          <w:rFonts w:ascii="Arial" w:hAnsi="Arial"/>
          <w:b w:val="1"/>
          <w:color w:val="000000"/>
        </w:rPr>
        <w:t>02 (dois) minutos</w:t>
      </w:r>
      <w:r>
        <w:rPr>
          <w:rFonts w:ascii="Arial" w:hAnsi="Arial"/>
          <w:color w:val="000000"/>
        </w:rPr>
        <w:t xml:space="preserve"> e ocorrerá sucessivamente sempre que houver lances enviados nesse período de prorrogação, inclusive no caso de lances intermediários.</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Não havendo novos lances na forma estabelecida nos itens anteriores, a sessão pública encerrar-se-á automaticamente.</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Encerrada a fase competitiva sem que haja a prorrogação automática pelo sistema, poderá o(a) Pregoeiro(a), assessorado pela equipe de apoio, justificadamente, admitir o reinício da sessão pública de lances, em prol da consecução do melhor preço.</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 xml:space="preserve">Não serão aceitos dois ou mais lances de mesmo valor, prevalecendo aquele que for recebido e registrado em primeiro lugar. </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 xml:space="preserve">Durante o transcurso da sessão pública, os licitantes serão informados, em tempo real, do valor do menor lance registrado, vedada a identificação do licitante. </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No caso de desconexão com o(a) Pregoeiro(a), no decorrer da etapa competitiva do Pregão, o sistema eletrônico poderá permanecer acessível aos licitantes para a recepção dos lances.</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 xml:space="preserve">Quando a desconexão do sistema eletrônico para o(a) Pregoeiro(a) persistir por tempo superior a </w:t>
      </w:r>
      <w:r>
        <w:rPr>
          <w:rFonts w:ascii="Arial" w:hAnsi="Arial"/>
          <w:b w:val="1"/>
          <w:color w:val="000000"/>
        </w:rPr>
        <w:t>10 (dez) minutos</w:t>
      </w:r>
      <w:r>
        <w:rPr>
          <w:rFonts w:ascii="Arial" w:hAnsi="Arial"/>
          <w:color w:val="000000"/>
        </w:rPr>
        <w:t xml:space="preserve">, a sessão pública será suspensa e reiniciada somente após decorridas </w:t>
      </w:r>
      <w:r>
        <w:rPr>
          <w:rFonts w:ascii="Arial" w:hAnsi="Arial"/>
          <w:b w:val="1"/>
          <w:color w:val="000000"/>
        </w:rPr>
        <w:t>24 (vinte e quatro) horas</w:t>
      </w:r>
      <w:r>
        <w:rPr>
          <w:rFonts w:ascii="Arial" w:hAnsi="Arial"/>
          <w:color w:val="000000"/>
        </w:rPr>
        <w:t xml:space="preserve"> da comunicação do fato pelo(a) Pregoeiro(a) aos participantes, no sítio eletrônico utilizado para divulgação.</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Caso o licitante não apresente lances, concorrerá com o valor de sua proposta.</w:t>
      </w:r>
    </w:p>
    <w:p>
      <w:pPr>
        <w:numPr>
          <w:ilvl w:val="1"/>
          <w:numId w:val="2"/>
        </w:numPr>
        <w:tabs>
          <w:tab w:val="left" w:pos="851" w:leader="none"/>
          <w:tab w:val="left" w:pos="993" w:leader="none"/>
        </w:tabs>
        <w:ind w:firstLine="0" w:left="426"/>
        <w:rPr>
          <w:rFonts w:ascii="Arial" w:hAnsi="Arial"/>
          <w:color w:val="000000"/>
        </w:rPr>
      </w:pPr>
      <w:r>
        <w:rPr>
          <w:rFonts w:ascii="Arial" w:hAnsi="Arial"/>
          <w:color w:val="000000"/>
        </w:rPr>
        <w:t>Havendo eventual empate entre propostas ou lances, o critério de desempate será aquele previsto no art. 60 da Lei nº 14.133/ 2021, nesta ordem:</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disputa final, hipótese em que os licitantes empatados poderão apresentar nova proposta em ato contínuo à classificação;</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avaliação do desempenho contratual prévio dos licitantes, para a qual deverão preferencialmente ser utilizados registros cadastrais para efeito de atesto de cumprimento de obrigações previstos na Lei n° 14.133/2021;</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desenvolvimento pelo licitante de ações de equidade entre homens e mulheres no ambiente de trabalho, conforme regulamento;</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desenvolvimento pelo licitante de programa de integridade, conforme orientações dos órgãos de controle.</w:t>
      </w:r>
    </w:p>
    <w:p>
      <w:pPr>
        <w:pStyle w:val="P13"/>
        <w:numPr>
          <w:ilvl w:val="1"/>
          <w:numId w:val="2"/>
        </w:numPr>
        <w:tabs>
          <w:tab w:val="left" w:pos="993" w:leader="none"/>
          <w:tab w:val="left" w:pos="1701" w:leader="none"/>
        </w:tabs>
        <w:ind w:firstLine="0" w:left="426"/>
        <w:contextualSpacing w:val="0"/>
        <w:rPr>
          <w:rFonts w:ascii="Arial" w:hAnsi="Arial"/>
          <w:color w:val="000000"/>
        </w:rPr>
      </w:pPr>
      <w:r>
        <w:rPr>
          <w:rFonts w:ascii="Arial" w:hAnsi="Arial"/>
          <w:color w:val="000000"/>
        </w:rPr>
        <w:t>Persistindo o empate, será assegurada preferência, sucessivamente, aos bens e serviços produzidos ou prestados por:</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empresas estabelecidas no território do Estado do Paraná;</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empresas brasileiras;</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empresas que invistam em pesquisa e no desenvolvimento de tecnologia no País;</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empresas que comprovem a prática de mitigação, nos termos da Lei nº 12.187, de 29 de dezembro de 2009.</w:t>
      </w:r>
    </w:p>
    <w:p>
      <w:pPr>
        <w:pStyle w:val="P13"/>
        <w:numPr>
          <w:ilvl w:val="1"/>
          <w:numId w:val="21"/>
        </w:numPr>
        <w:tabs>
          <w:tab w:val="left" w:pos="993" w:leader="none"/>
          <w:tab w:val="left" w:pos="2127" w:leader="none"/>
        </w:tabs>
        <w:ind w:hanging="6" w:left="426"/>
        <w:contextualSpacing w:val="0"/>
        <w:rPr>
          <w:rFonts w:ascii="Arial" w:hAnsi="Arial"/>
          <w:color w:val="000000"/>
        </w:rPr>
      </w:pPr>
      <w:r>
        <w:rPr>
          <w:rFonts w:ascii="Arial" w:hAnsi="Arial"/>
        </w:rPr>
        <w:t>Como critério de desempate entre as propostas apresentadas, e preferência de contratação, entende-se por empate ficto aquelas situações em que as propostas apresentadas pelas MPE/MEI sejam de até 5% (cinco por cento) superiores à proposta mais bem classificada.</w:t>
      </w:r>
    </w:p>
    <w:p>
      <w:pPr>
        <w:pStyle w:val="P13"/>
        <w:tabs>
          <w:tab w:val="left" w:pos="567" w:leader="none"/>
          <w:tab w:val="left" w:pos="993" w:leader="none"/>
          <w:tab w:val="left" w:pos="1276" w:leader="none"/>
          <w:tab w:val="left" w:pos="1843" w:leader="none"/>
        </w:tabs>
        <w:ind w:left="993"/>
        <w:rPr>
          <w:rFonts w:ascii="Arial" w:hAnsi="Arial"/>
        </w:rPr>
      </w:pPr>
      <w:r>
        <w:rPr>
          <w:rFonts w:ascii="Arial" w:hAnsi="Arial"/>
          <w:b w:val="1"/>
        </w:rPr>
        <w:t>9.22</w:t>
      </w:r>
      <w:r>
        <w:rPr>
          <w:rFonts w:ascii="Arial" w:hAnsi="Arial"/>
        </w:rPr>
        <w:t>. Para efeito do disposto no item 9.21, ocorrendo o empate ficto, proceder-se-á da seguinte forma:</w:t>
      </w:r>
    </w:p>
    <w:p>
      <w:pPr>
        <w:pStyle w:val="P13"/>
        <w:tabs>
          <w:tab w:val="left" w:pos="567" w:leader="none"/>
          <w:tab w:val="left" w:pos="993" w:leader="none"/>
          <w:tab w:val="left" w:pos="1276" w:leader="none"/>
          <w:tab w:val="left" w:pos="1843" w:leader="none"/>
        </w:tabs>
        <w:ind w:left="993"/>
        <w:rPr>
          <w:rFonts w:ascii="Arial" w:hAnsi="Arial"/>
          <w:color w:val="000000"/>
        </w:rPr>
      </w:pPr>
      <w:r>
        <w:rPr>
          <w:rFonts w:ascii="Arial" w:hAnsi="Arial"/>
          <w:b w:val="1"/>
        </w:rPr>
        <w:t>9.22.1.</w:t>
      </w:r>
      <w:r>
        <w:rPr>
          <w:rFonts w:ascii="Arial" w:hAnsi="Arial"/>
        </w:rPr>
        <w:t xml:space="preserve"> A MPE/MEI mais bem classificada poderá apresentar proposta de preço inferior àquela considerada vencedora do certame, situação em que será adjudicado em seu favor o objeto licitado.</w:t>
      </w:r>
    </w:p>
    <w:p>
      <w:pPr>
        <w:pStyle w:val="P13"/>
        <w:tabs>
          <w:tab w:val="left" w:pos="567" w:leader="none"/>
          <w:tab w:val="left" w:pos="993" w:leader="none"/>
          <w:tab w:val="left" w:pos="1276" w:leader="none"/>
          <w:tab w:val="left" w:pos="1843" w:leader="none"/>
        </w:tabs>
        <w:ind w:left="993"/>
        <w:rPr>
          <w:rFonts w:ascii="Arial" w:hAnsi="Arial"/>
          <w:color w:val="000000"/>
        </w:rPr>
      </w:pPr>
      <w:r>
        <w:rPr>
          <w:rFonts w:ascii="Arial" w:hAnsi="Arial"/>
          <w:b w:val="1"/>
        </w:rPr>
        <w:t>9.22.2.</w:t>
      </w:r>
      <w:r>
        <w:t xml:space="preserve"> </w:t>
      </w:r>
      <w:r>
        <w:rPr>
          <w:rFonts w:ascii="Arial" w:hAnsi="Arial"/>
        </w:rPr>
        <w:t>Não ocorrendo a contratação da MPE/MEI, na forma do subitem anterior, serão convocadas as remanescentes que porventura se enquadrem na hipótese do item 9.21, na ordem classificatória, para o exercício do mesmo direito.</w:t>
      </w:r>
    </w:p>
    <w:p>
      <w:pPr>
        <w:pStyle w:val="P13"/>
        <w:tabs>
          <w:tab w:val="left" w:pos="567" w:leader="none"/>
          <w:tab w:val="left" w:pos="993" w:leader="none"/>
          <w:tab w:val="left" w:pos="1276" w:leader="none"/>
          <w:tab w:val="left" w:pos="1843" w:leader="none"/>
        </w:tabs>
        <w:ind w:left="993"/>
        <w:rPr>
          <w:rFonts w:ascii="Arial" w:hAnsi="Arial"/>
          <w:color w:val="000000"/>
        </w:rPr>
      </w:pPr>
      <w:r>
        <w:rPr>
          <w:rFonts w:ascii="Arial" w:hAnsi="Arial"/>
          <w:b w:val="1"/>
        </w:rPr>
        <w:t xml:space="preserve">9.22.3. </w:t>
      </w:r>
      <w:r>
        <w:rPr>
          <w:rFonts w:ascii="Arial" w:hAnsi="Arial"/>
        </w:rPr>
        <w:t>No caso de equivalência dos valores apresentados pelas MPE/MEI que se encontrem nos intervalos estabelecidos no item 9.21, será realizado sorteio entre elas para que se identifique aquela que primeiro poderá apresentar melhor oferta.</w:t>
      </w:r>
    </w:p>
    <w:p>
      <w:pPr>
        <w:pStyle w:val="P13"/>
        <w:numPr>
          <w:ilvl w:val="1"/>
          <w:numId w:val="21"/>
        </w:numPr>
        <w:tabs>
          <w:tab w:val="left" w:pos="567" w:leader="none"/>
          <w:tab w:val="left" w:pos="993" w:leader="none"/>
          <w:tab w:val="left" w:pos="1276" w:leader="none"/>
          <w:tab w:val="left" w:pos="1843" w:leader="none"/>
        </w:tabs>
        <w:ind w:firstLine="0" w:left="426"/>
        <w:contextualSpacing w:val="0"/>
        <w:rPr>
          <w:rFonts w:ascii="Arial" w:hAnsi="Arial"/>
          <w:color w:val="000000"/>
        </w:rPr>
      </w:pPr>
      <w:r>
        <w:rPr>
          <w:rFonts w:ascii="Arial" w:hAnsi="Arial"/>
        </w:rPr>
        <w:t xml:space="preserve">Persistindo o </w:t>
      </w:r>
      <w:r>
        <w:rPr>
          <w:rFonts w:ascii="Arial" w:hAnsi="Arial"/>
          <w:color w:val="000000"/>
        </w:rPr>
        <w:t>empate</w:t>
      </w:r>
      <w:r>
        <w:rPr>
          <w:rFonts w:ascii="Arial" w:hAnsi="Arial"/>
        </w:rPr>
        <w:t xml:space="preserve">, </w:t>
      </w:r>
      <w:r>
        <w:rPr>
          <w:rFonts w:ascii="Arial" w:hAnsi="Arial"/>
          <w:color w:val="000000"/>
        </w:rPr>
        <w:t>a proposta vencedora será sorteada pelo sistema eletrônico dentre as propostas ou os lances empatados</w:t>
      </w:r>
      <w:r>
        <w:rPr>
          <w:rFonts w:ascii="Arial" w:hAnsi="Arial"/>
        </w:rPr>
        <w:t>.</w:t>
      </w:r>
    </w:p>
    <w:p>
      <w:pPr>
        <w:pStyle w:val="P13"/>
        <w:numPr>
          <w:ilvl w:val="1"/>
          <w:numId w:val="21"/>
        </w:numPr>
        <w:tabs>
          <w:tab w:val="left" w:pos="567" w:leader="none"/>
          <w:tab w:val="left" w:pos="993" w:leader="none"/>
          <w:tab w:val="left" w:pos="1276" w:leader="none"/>
          <w:tab w:val="left" w:pos="1843" w:leader="none"/>
        </w:tabs>
        <w:ind w:firstLine="0" w:left="426"/>
        <w:contextualSpacing w:val="0"/>
        <w:rPr>
          <w:rFonts w:ascii="Arial" w:hAnsi="Arial"/>
          <w:color w:val="000000"/>
        </w:rPr>
      </w:pPr>
      <w:r>
        <w:rPr>
          <w:rFonts w:ascii="Arial" w:hAnsi="Arial"/>
          <w:color w:val="000000"/>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pPr>
        <w:pStyle w:val="P13"/>
        <w:numPr>
          <w:ilvl w:val="2"/>
          <w:numId w:val="5"/>
        </w:numPr>
        <w:tabs>
          <w:tab w:val="left" w:pos="1701" w:leader="none"/>
        </w:tabs>
        <w:ind w:firstLine="0" w:left="993"/>
        <w:contextualSpacing w:val="0"/>
        <w:rPr>
          <w:rFonts w:ascii="Arial" w:hAnsi="Arial"/>
          <w:color w:val="000000"/>
        </w:rPr>
      </w:pPr>
      <w:r>
        <w:rPr>
          <w:rFonts w:ascii="Arial" w:hAnsi="Arial"/>
          <w:color w:val="000000"/>
        </w:rPr>
        <w:t>A negociação será realizada por meio do sistema, podendo ser acompanhada pelos demais licitantes.</w:t>
      </w:r>
    </w:p>
    <w:p>
      <w:pPr>
        <w:pStyle w:val="P13"/>
        <w:numPr>
          <w:ilvl w:val="2"/>
          <w:numId w:val="5"/>
        </w:numPr>
        <w:tabs>
          <w:tab w:val="left" w:pos="1701" w:leader="none"/>
        </w:tabs>
        <w:ind w:firstLine="0" w:left="993"/>
        <w:contextualSpacing w:val="0"/>
        <w:rPr>
          <w:rFonts w:ascii="Arial" w:hAnsi="Arial"/>
          <w:color w:val="000000"/>
        </w:rPr>
      </w:pPr>
      <w:r>
        <w:rPr>
          <w:rFonts w:ascii="Arial" w:hAnsi="Arial"/>
        </w:rPr>
        <w:t xml:space="preserve">O(A) Pregoeiro(a) solicitará ao licitante melhor classificado que, no prazo máximo de </w:t>
      </w:r>
      <w:r>
        <w:rPr>
          <w:rFonts w:ascii="Arial" w:hAnsi="Arial"/>
          <w:b w:val="1"/>
        </w:rPr>
        <w:t>02 (duas)</w:t>
      </w:r>
      <w:r>
        <w:rPr>
          <w:rFonts w:ascii="Arial" w:hAnsi="Arial"/>
          <w:b w:val="1"/>
          <w:color w:val="FF0000"/>
        </w:rPr>
        <w:t xml:space="preserve"> </w:t>
      </w:r>
      <w:r>
        <w:rPr>
          <w:rFonts w:ascii="Arial" w:hAnsi="Arial"/>
          <w:b w:val="1"/>
        </w:rPr>
        <w:t>horas</w:t>
      </w:r>
      <w:r>
        <w:rPr>
          <w:rFonts w:ascii="Arial" w:hAnsi="Arial"/>
        </w:rPr>
        <w:t>, envie a proposta ajustada ao último lance ofertado após a negociação realizada, acompanhada, se for o caso, dos documentos complementares, quando necessários à confirmação daqueles exigidos neste Edital e já apresentados.</w:t>
      </w:r>
    </w:p>
    <w:p>
      <w:pPr>
        <w:pStyle w:val="P13"/>
        <w:numPr>
          <w:ilvl w:val="2"/>
          <w:numId w:val="5"/>
        </w:numPr>
        <w:tabs>
          <w:tab w:val="left" w:pos="1701" w:leader="none"/>
        </w:tabs>
        <w:ind w:firstLine="0" w:left="993"/>
        <w:contextualSpacing w:val="0"/>
        <w:rPr>
          <w:rFonts w:ascii="Arial" w:hAnsi="Arial"/>
          <w:color w:val="000000"/>
        </w:rPr>
      </w:pPr>
      <w:r>
        <w:rPr>
          <w:rFonts w:ascii="Arial" w:hAnsi="Arial"/>
          <w:color w:val="000000"/>
        </w:rPr>
        <w:t xml:space="preserve">É </w:t>
      </w:r>
      <w:r>
        <w:rPr>
          <w:rFonts w:ascii="Arial" w:hAnsi="Arial"/>
          <w:color w:val="000000"/>
          <w:lang w:eastAsia="en-US"/>
        </w:rPr>
        <w:t>facultado</w:t>
      </w:r>
      <w:r>
        <w:rPr>
          <w:rFonts w:ascii="Arial" w:hAnsi="Arial"/>
          <w:color w:val="000000"/>
        </w:rPr>
        <w:t xml:space="preserve"> ao(a) Pregoeiro(a) prorrogar o prazo estabelecido, a partir de solicitação fundamentada feita no </w:t>
      </w:r>
      <w:r>
        <w:rPr>
          <w:rFonts w:ascii="Arial" w:hAnsi="Arial"/>
          <w:i w:val="1"/>
          <w:color w:val="000000"/>
        </w:rPr>
        <w:t>chat</w:t>
      </w:r>
      <w:r>
        <w:rPr>
          <w:rFonts w:ascii="Arial" w:hAnsi="Arial"/>
          <w:color w:val="000000"/>
        </w:rPr>
        <w:t xml:space="preserve"> pelo licitante, antes de findo o prazo.</w:t>
      </w:r>
    </w:p>
    <w:p>
      <w:pPr>
        <w:pStyle w:val="P13"/>
        <w:numPr>
          <w:ilvl w:val="1"/>
          <w:numId w:val="5"/>
        </w:numPr>
        <w:tabs>
          <w:tab w:val="left" w:pos="567" w:leader="none"/>
          <w:tab w:val="left" w:pos="993" w:leader="none"/>
        </w:tabs>
        <w:ind w:firstLine="0" w:left="426"/>
        <w:contextualSpacing w:val="0"/>
        <w:rPr>
          <w:rFonts w:ascii="Arial" w:hAnsi="Arial"/>
          <w:color w:val="000000"/>
        </w:rPr>
      </w:pPr>
      <w:r>
        <w:rPr>
          <w:rFonts w:ascii="Arial" w:hAnsi="Arial"/>
          <w:color w:val="000000"/>
        </w:rPr>
        <w:t>Após a negociação do preço, o(a) Pregoeiro(a) iniciará a fase de aceitação e julgamento da proposta.</w:t>
      </w:r>
    </w:p>
    <w:p>
      <w:pPr>
        <w:pStyle w:val="P13"/>
        <w:tabs>
          <w:tab w:val="left" w:pos="567" w:leader="none"/>
          <w:tab w:val="left" w:pos="993" w:leader="none"/>
        </w:tabs>
        <w:ind w:left="426"/>
        <w:rPr>
          <w:rFonts w:ascii="Arial" w:hAnsi="Arial"/>
          <w:color w:val="000000"/>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 xml:space="preserve">DO </w:t>
      </w:r>
      <w:bookmarkStart w:id="12" w:name="OLE_LINK1"/>
      <w:r>
        <w:rPr>
          <w:rFonts w:ascii="Arial" w:hAnsi="Arial"/>
          <w:color w:val="auto"/>
          <w:sz w:val="20"/>
        </w:rPr>
        <w:t>JULGAMENTO</w:t>
      </w:r>
      <w:r>
        <w:rPr>
          <w:rFonts w:ascii="Arial" w:hAnsi="Arial"/>
          <w:sz w:val="20"/>
        </w:rPr>
        <w:t xml:space="preserve"> DA PROPOSTA VENCEDORA</w:t>
      </w:r>
    </w:p>
    <w:p>
      <w:pPr>
        <w:pStyle w:val="P13"/>
        <w:numPr>
          <w:ilvl w:val="1"/>
          <w:numId w:val="5"/>
        </w:numPr>
        <w:tabs>
          <w:tab w:val="left" w:pos="426" w:leader="none"/>
          <w:tab w:val="left" w:pos="993" w:leader="none"/>
        </w:tabs>
        <w:ind w:firstLine="0" w:left="426"/>
        <w:contextualSpacing w:val="0"/>
        <w:rPr>
          <w:rFonts w:ascii="Arial" w:hAnsi="Arial"/>
          <w:i w:val="1"/>
          <w:color w:val="000000"/>
        </w:rPr>
      </w:pPr>
      <w:r>
        <w:rPr>
          <w:rFonts w:ascii="Arial" w:hAnsi="Arial"/>
        </w:rPr>
        <w:t xml:space="preserve">Encerrada </w:t>
      </w:r>
      <w:r>
        <w:rPr>
          <w:rFonts w:ascii="Arial" w:hAnsi="Arial"/>
          <w:color w:val="000000"/>
        </w:rPr>
        <w:t>a etapa de negociação, o(a) Pregoeiro(a) examinará a proposta classificada em primeiro lugar quanto à adequação ao objeto e à compatibilidade do preço em relação ao máximo estipulado para contratação neste Edital e em seus anexos.</w:t>
      </w:r>
    </w:p>
    <w:p>
      <w:pPr>
        <w:pStyle w:val="P13"/>
        <w:numPr>
          <w:ilvl w:val="1"/>
          <w:numId w:val="5"/>
        </w:numPr>
        <w:tabs>
          <w:tab w:val="left" w:pos="426" w:leader="none"/>
          <w:tab w:val="left" w:pos="993" w:leader="none"/>
        </w:tabs>
        <w:ind w:firstLine="0" w:left="426"/>
        <w:contextualSpacing w:val="0"/>
        <w:rPr>
          <w:rFonts w:ascii="Arial" w:hAnsi="Arial"/>
          <w:i w:val="1"/>
          <w:color w:val="000000"/>
        </w:rPr>
      </w:pPr>
      <w:r>
        <w:rPr>
          <w:rFonts w:ascii="Arial" w:hAnsi="Arial"/>
          <w:color w:val="000000"/>
        </w:rPr>
        <w:t>O licitante qualificado como produtor rural pessoa física deverá incluir, na sua proposta, os percentuais das contribuições previstas no art. 176 da Instrução Normativa RFB 971/2009, em razão do disposto no art. 184, inciso V, sob pena de desclassificação.</w:t>
      </w:r>
    </w:p>
    <w:p>
      <w:pPr>
        <w:pStyle w:val="P13"/>
        <w:numPr>
          <w:ilvl w:val="1"/>
          <w:numId w:val="5"/>
        </w:numPr>
        <w:tabs>
          <w:tab w:val="left" w:pos="993" w:leader="none"/>
        </w:tabs>
        <w:ind w:firstLine="0" w:left="426"/>
        <w:contextualSpacing w:val="0"/>
        <w:rPr>
          <w:rFonts w:ascii="Arial" w:hAnsi="Arial"/>
          <w:i w:val="1"/>
          <w:color w:val="000000"/>
        </w:rPr>
      </w:pPr>
      <w:r>
        <w:rPr>
          <w:rFonts w:ascii="Arial" w:hAnsi="Arial"/>
          <w:color w:val="000000"/>
        </w:rPr>
        <w:t>Será desclassificada a proposta ou o lance vencedor que:</w:t>
      </w:r>
    </w:p>
    <w:p>
      <w:pPr>
        <w:pStyle w:val="P13"/>
        <w:numPr>
          <w:ilvl w:val="2"/>
          <w:numId w:val="5"/>
        </w:numPr>
        <w:tabs>
          <w:tab w:val="left" w:pos="426" w:leader="none"/>
          <w:tab w:val="left" w:pos="1701" w:leader="none"/>
        </w:tabs>
        <w:ind w:firstLine="0" w:left="993"/>
        <w:contextualSpacing w:val="0"/>
        <w:rPr>
          <w:rFonts w:ascii="Arial" w:hAnsi="Arial"/>
          <w:i w:val="1"/>
          <w:color w:val="000000"/>
        </w:rPr>
      </w:pPr>
      <w:r>
        <w:rPr>
          <w:rFonts w:ascii="Arial" w:hAnsi="Arial"/>
          <w:color w:val="000000"/>
        </w:rPr>
        <w:t>Apresentar preço final superior ao preço máximo fixado (Acórdão nº 1455/2018 -TCU - Plenário);</w:t>
      </w:r>
    </w:p>
    <w:p>
      <w:pPr>
        <w:pStyle w:val="P13"/>
        <w:numPr>
          <w:ilvl w:val="2"/>
          <w:numId w:val="5"/>
        </w:numPr>
        <w:tabs>
          <w:tab w:val="left" w:pos="426" w:leader="none"/>
          <w:tab w:val="left" w:pos="1701" w:leader="none"/>
        </w:tabs>
        <w:ind w:firstLine="0" w:left="993"/>
        <w:contextualSpacing w:val="0"/>
        <w:rPr>
          <w:rFonts w:ascii="Arial" w:hAnsi="Arial"/>
          <w:i w:val="1"/>
          <w:color w:val="000000"/>
        </w:rPr>
      </w:pPr>
      <w:r>
        <w:rPr>
          <w:rFonts w:ascii="Arial" w:hAnsi="Arial"/>
          <w:color w:val="000000"/>
        </w:rPr>
        <w:t>Conceder desconto menor do que o mínimo exigido;</w:t>
      </w:r>
    </w:p>
    <w:p>
      <w:pPr>
        <w:pStyle w:val="P13"/>
        <w:numPr>
          <w:ilvl w:val="2"/>
          <w:numId w:val="5"/>
        </w:numPr>
        <w:tabs>
          <w:tab w:val="left" w:pos="426" w:leader="none"/>
          <w:tab w:val="left" w:pos="1701" w:leader="none"/>
        </w:tabs>
        <w:ind w:firstLine="0" w:left="993"/>
        <w:contextualSpacing w:val="0"/>
        <w:rPr>
          <w:rFonts w:ascii="Arial" w:hAnsi="Arial"/>
          <w:i w:val="1"/>
          <w:color w:val="000000"/>
        </w:rPr>
      </w:pPr>
      <w:r>
        <w:rPr>
          <w:rFonts w:ascii="Arial" w:hAnsi="Arial"/>
          <w:color w:val="000000"/>
        </w:rPr>
        <w:t>Contiver vícios insanáveis;</w:t>
      </w:r>
    </w:p>
    <w:p>
      <w:pPr>
        <w:pStyle w:val="P13"/>
        <w:numPr>
          <w:ilvl w:val="2"/>
          <w:numId w:val="5"/>
        </w:numPr>
        <w:tabs>
          <w:tab w:val="left" w:pos="426" w:leader="none"/>
          <w:tab w:val="left" w:pos="1701" w:leader="none"/>
        </w:tabs>
        <w:ind w:firstLine="0" w:left="993"/>
        <w:contextualSpacing w:val="0"/>
        <w:rPr>
          <w:rFonts w:ascii="Arial" w:hAnsi="Arial"/>
          <w:i w:val="1"/>
          <w:color w:val="000000"/>
        </w:rPr>
      </w:pPr>
      <w:r>
        <w:rPr>
          <w:rFonts w:ascii="Arial" w:hAnsi="Arial"/>
          <w:color w:val="000000"/>
        </w:rPr>
        <w:t>Não obedecer às especificações técnicas pormenorizadas no Edital de licitação ou em seus anexos;</w:t>
      </w:r>
    </w:p>
    <w:p>
      <w:pPr>
        <w:pStyle w:val="P13"/>
        <w:numPr>
          <w:ilvl w:val="2"/>
          <w:numId w:val="5"/>
        </w:numPr>
        <w:tabs>
          <w:tab w:val="left" w:pos="426" w:leader="none"/>
          <w:tab w:val="left" w:pos="1701" w:leader="none"/>
        </w:tabs>
        <w:ind w:firstLine="0" w:left="993"/>
        <w:contextualSpacing w:val="0"/>
        <w:rPr>
          <w:rFonts w:ascii="Arial" w:hAnsi="Arial"/>
          <w:i w:val="1"/>
          <w:color w:val="000000"/>
        </w:rPr>
      </w:pPr>
      <w:r>
        <w:rPr>
          <w:rFonts w:ascii="Arial" w:hAnsi="Arial"/>
          <w:color w:val="000000"/>
        </w:rPr>
        <w:t>Propor preço manifestamente inexequível;</w:t>
      </w:r>
    </w:p>
    <w:p>
      <w:pPr>
        <w:pStyle w:val="P13"/>
        <w:numPr>
          <w:ilvl w:val="3"/>
          <w:numId w:val="5"/>
        </w:numPr>
        <w:tabs>
          <w:tab w:val="left" w:pos="426" w:leader="none"/>
          <w:tab w:val="left" w:pos="2127" w:leader="none"/>
          <w:tab w:val="left" w:pos="2552" w:leader="none"/>
        </w:tabs>
        <w:ind w:firstLine="0" w:left="1701"/>
        <w:contextualSpacing w:val="0"/>
        <w:rPr>
          <w:rFonts w:ascii="Arial" w:hAnsi="Arial"/>
          <w:i w:val="1"/>
          <w:color w:val="000000"/>
        </w:rPr>
      </w:pPr>
      <w:r>
        <w:rPr>
          <w:rFonts w:ascii="Arial" w:hAnsi="Arial"/>
        </w:rPr>
        <w:t>Considera-se inexequível a proposta que apresente preço global incompatível com os custos necessários à adequada execução dos serviços contratados, considerados os encargos, despesas operacionais e demais custos envolvidos na prestação do objeto, sem prejuízo da realização de diligências para comprovação da exequibilidade, quando cabível.</w:t>
      </w:r>
      <w:r>
        <w:rPr>
          <w:rFonts w:ascii="Arial" w:hAnsi="Arial"/>
          <w:i w:val="1"/>
          <w:color w:val="FF0000"/>
        </w:rPr>
        <w:t> </w:t>
      </w:r>
    </w:p>
    <w:p>
      <w:pPr>
        <w:pStyle w:val="P13"/>
        <w:numPr>
          <w:ilvl w:val="1"/>
          <w:numId w:val="5"/>
        </w:numPr>
        <w:tabs>
          <w:tab w:val="left" w:pos="426" w:leader="none"/>
          <w:tab w:val="left" w:pos="993" w:leader="none"/>
        </w:tabs>
        <w:ind w:firstLine="0" w:left="426"/>
        <w:contextualSpacing w:val="0"/>
        <w:rPr>
          <w:rFonts w:ascii="Arial" w:hAnsi="Arial"/>
          <w:color w:val="000000"/>
        </w:rPr>
      </w:pPr>
      <w:bookmarkEnd w:id="12"/>
      <w:r>
        <w:rPr>
          <w:rFonts w:ascii="Arial" w:hAnsi="Arial"/>
          <w:color w:val="000000"/>
        </w:rPr>
        <w:t>Qualquer interessado, inclusive a Administração Pública, poderá requerer que se realizem diligências para aferir a exequibilidade e a legalidade das propostas, devendo apresentar as provas ou os indícios que fundamentam a suspeita</w:t>
      </w:r>
      <w:r>
        <w:rPr>
          <w:rFonts w:ascii="Arial" w:hAnsi="Arial"/>
          <w:color w:val="000000"/>
          <w:lang w:eastAsia="en-US"/>
        </w:rPr>
        <w:t>.</w:t>
      </w:r>
    </w:p>
    <w:p>
      <w:pPr>
        <w:pStyle w:val="P13"/>
        <w:numPr>
          <w:ilvl w:val="1"/>
          <w:numId w:val="5"/>
        </w:numPr>
        <w:tabs>
          <w:tab w:val="left" w:pos="426" w:leader="none"/>
          <w:tab w:val="left" w:pos="993" w:leader="none"/>
        </w:tabs>
        <w:ind w:firstLine="0" w:left="426"/>
        <w:contextualSpacing w:val="0"/>
        <w:rPr>
          <w:rFonts w:ascii="Arial" w:hAnsi="Arial"/>
          <w:color w:val="000000"/>
        </w:rPr>
      </w:pPr>
      <w:r>
        <w:rPr>
          <w:rFonts w:ascii="Arial" w:hAnsi="Arial"/>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Pr>
          <w:rFonts w:ascii="Arial" w:hAnsi="Arial"/>
          <w:color w:val="000000"/>
          <w:lang w:eastAsia="en-US"/>
        </w:rPr>
        <w:t>.</w:t>
      </w:r>
    </w:p>
    <w:p>
      <w:pPr>
        <w:pStyle w:val="P13"/>
        <w:numPr>
          <w:ilvl w:val="1"/>
          <w:numId w:val="5"/>
        </w:numPr>
        <w:tabs>
          <w:tab w:val="left" w:pos="426" w:leader="none"/>
          <w:tab w:val="left" w:pos="993" w:leader="none"/>
        </w:tabs>
        <w:ind w:firstLine="0" w:left="426"/>
        <w:contextualSpacing w:val="0"/>
        <w:rPr>
          <w:rFonts w:ascii="Arial" w:hAnsi="Arial"/>
          <w:color w:val="000000"/>
        </w:rPr>
      </w:pPr>
      <w:r>
        <w:rPr>
          <w:rFonts w:ascii="Arial" w:hAnsi="Arial"/>
          <w:color w:val="000000"/>
        </w:rPr>
        <w:t xml:space="preserve">O(A) Pregoeiro(a) poderá convocar o licitante para enviar documento digital complementar, por meio de funcionalidade disponível no sistema, no prazo de </w:t>
      </w:r>
      <w:r>
        <w:rPr>
          <w:rFonts w:ascii="Arial" w:hAnsi="Arial"/>
          <w:b w:val="1"/>
          <w:color w:val="000000"/>
        </w:rPr>
        <w:t>02 (duas) horas</w:t>
      </w:r>
      <w:r>
        <w:rPr>
          <w:rFonts w:ascii="Arial" w:hAnsi="Arial"/>
          <w:color w:val="000000"/>
        </w:rPr>
        <w:t>, sob pena de não aceitação da proposta.</w:t>
      </w:r>
    </w:p>
    <w:p>
      <w:pPr>
        <w:pStyle w:val="P13"/>
        <w:numPr>
          <w:ilvl w:val="2"/>
          <w:numId w:val="5"/>
        </w:numPr>
        <w:tabs>
          <w:tab w:val="left" w:pos="1701" w:leader="none"/>
        </w:tabs>
        <w:ind w:firstLine="0" w:left="993"/>
        <w:contextualSpacing w:val="0"/>
        <w:rPr>
          <w:rFonts w:ascii="Arial" w:hAnsi="Arial"/>
          <w:color w:val="000000"/>
          <w:lang w:eastAsia="en-US"/>
        </w:rPr>
      </w:pPr>
      <w:r>
        <w:rPr>
          <w:rFonts w:ascii="Arial" w:hAnsi="Arial"/>
          <w:color w:val="000000"/>
          <w:lang w:eastAsia="en-US"/>
        </w:rPr>
        <w:t xml:space="preserve">É facultado ao(a) Pregoeiro(a) prorrogar o prazo estabelecido, a partir de solicitação fundamentada feita no </w:t>
      </w:r>
      <w:r>
        <w:rPr>
          <w:rFonts w:ascii="Arial" w:hAnsi="Arial"/>
          <w:i w:val="1"/>
          <w:color w:val="000000"/>
          <w:lang w:eastAsia="en-US"/>
        </w:rPr>
        <w:t>chat</w:t>
      </w:r>
      <w:r>
        <w:rPr>
          <w:rFonts w:ascii="Arial" w:hAnsi="Arial"/>
          <w:color w:val="000000"/>
          <w:lang w:eastAsia="en-US"/>
        </w:rPr>
        <w:t xml:space="preserve"> pelo licitante, antes de findo o prazo;</w:t>
      </w:r>
    </w:p>
    <w:p>
      <w:pPr>
        <w:pStyle w:val="P13"/>
        <w:numPr>
          <w:ilvl w:val="1"/>
          <w:numId w:val="5"/>
        </w:numPr>
        <w:tabs>
          <w:tab w:val="left" w:pos="426" w:leader="none"/>
          <w:tab w:val="left" w:pos="993" w:leader="none"/>
        </w:tabs>
        <w:ind w:hanging="6" w:left="426"/>
        <w:contextualSpacing w:val="0"/>
        <w:rPr>
          <w:rFonts w:ascii="Arial" w:hAnsi="Arial"/>
          <w:color w:val="000000"/>
        </w:rPr>
      </w:pPr>
      <w:r>
        <w:rPr>
          <w:rFonts w:ascii="Arial" w:hAnsi="Arial"/>
          <w:lang w:eastAsia="en-US"/>
        </w:rPr>
        <w:t>Dentre os documentos passíveis de solicitação pelo(a) Pregoeiro(a), destacam-se aqueles necessários à comprovação das características e condições dos serviços ofertados, bem como documentos complementares necessários à confirmação das informações apresentadas na proposta, quando cabíveis.</w:t>
      </w:r>
    </w:p>
    <w:p>
      <w:pPr>
        <w:pStyle w:val="P13"/>
        <w:numPr>
          <w:ilvl w:val="1"/>
          <w:numId w:val="5"/>
        </w:numPr>
        <w:tabs>
          <w:tab w:val="left" w:pos="993" w:leader="none"/>
        </w:tabs>
        <w:ind w:firstLine="0" w:left="426"/>
        <w:contextualSpacing w:val="0"/>
        <w:rPr>
          <w:rFonts w:ascii="Arial" w:hAnsi="Arial"/>
          <w:color w:val="000000"/>
        </w:rPr>
      </w:pPr>
      <w:r>
        <w:rPr>
          <w:rFonts w:ascii="Arial" w:hAnsi="Arial"/>
          <w:color w:val="000000"/>
        </w:rPr>
        <w:t>Se a proposta ou lance vencedor for desclassificado, o(a) Pregoeiro(a) examinará a proposta ou lance subsequente, e, assim sucessivamente, na ordem de classificação.</w:t>
      </w:r>
    </w:p>
    <w:p>
      <w:pPr>
        <w:pStyle w:val="P13"/>
        <w:numPr>
          <w:ilvl w:val="1"/>
          <w:numId w:val="5"/>
        </w:numPr>
        <w:tabs>
          <w:tab w:val="left" w:pos="993" w:leader="none"/>
        </w:tabs>
        <w:ind w:firstLine="0" w:left="426"/>
        <w:contextualSpacing w:val="0"/>
        <w:rPr>
          <w:rFonts w:ascii="Arial" w:hAnsi="Arial"/>
          <w:color w:val="000000"/>
        </w:rPr>
      </w:pPr>
      <w:r>
        <w:rPr>
          <w:rFonts w:ascii="Arial" w:hAnsi="Arial"/>
          <w:color w:val="000000"/>
        </w:rPr>
        <w:t xml:space="preserve">Havendo necessidade, o(a) Pregoeiro(a) suspenderá a sessão, informando no </w:t>
      </w:r>
      <w:r>
        <w:rPr>
          <w:rFonts w:ascii="Arial" w:hAnsi="Arial"/>
          <w:i w:val="1"/>
          <w:color w:val="000000"/>
        </w:rPr>
        <w:t>chat</w:t>
      </w:r>
      <w:r>
        <w:rPr>
          <w:rFonts w:ascii="Arial" w:hAnsi="Arial"/>
          <w:color w:val="000000"/>
        </w:rPr>
        <w:t xml:space="preserve"> a </w:t>
      </w:r>
      <w:r>
        <w:rPr>
          <w:rFonts w:ascii="Arial" w:hAnsi="Arial"/>
        </w:rPr>
        <w:t xml:space="preserve">nova data e horário para </w:t>
      </w:r>
      <w:r>
        <w:rPr>
          <w:rFonts w:ascii="Arial" w:hAnsi="Arial"/>
          <w:lang w:eastAsia="en-US"/>
        </w:rPr>
        <w:t xml:space="preserve">a </w:t>
      </w:r>
      <w:r>
        <w:rPr>
          <w:rFonts w:ascii="Arial" w:hAnsi="Arial"/>
        </w:rPr>
        <w:t>sua continuidade.</w:t>
      </w:r>
    </w:p>
    <w:p>
      <w:pPr>
        <w:pStyle w:val="P13"/>
        <w:numPr>
          <w:ilvl w:val="1"/>
          <w:numId w:val="5"/>
        </w:numPr>
        <w:tabs>
          <w:tab w:val="left" w:pos="851" w:leader="none"/>
          <w:tab w:val="left" w:pos="993" w:leader="none"/>
        </w:tabs>
        <w:ind w:firstLine="0" w:left="426"/>
        <w:contextualSpacing w:val="0"/>
        <w:rPr>
          <w:rFonts w:ascii="Arial" w:hAnsi="Arial"/>
          <w:color w:val="000000"/>
        </w:rPr>
      </w:pPr>
      <w:r>
        <w:rPr>
          <w:rFonts w:ascii="Arial" w:hAnsi="Arial"/>
        </w:rPr>
        <w:t>Nos itens não exclusivos para a participação de microempresas e empresas de pequeno porte, sempre que a proposta não for aceita, e antes de o(a) Pregoeiro(a) passar à subsequente, haverá nova verificação, pelo sistema, da eventual ocorrência do empate ficto, previsto nos artigos 44 e 45 da Lei Complementar nº 123/2006, seguindo-se a disciplina antes estabelecida, se for o caso.</w:t>
      </w:r>
    </w:p>
    <w:p>
      <w:pPr>
        <w:pStyle w:val="P13"/>
        <w:numPr>
          <w:ilvl w:val="1"/>
          <w:numId w:val="5"/>
        </w:numPr>
        <w:tabs>
          <w:tab w:val="left" w:pos="851" w:leader="none"/>
          <w:tab w:val="left" w:pos="993" w:leader="none"/>
        </w:tabs>
        <w:ind w:firstLine="0" w:left="426"/>
        <w:contextualSpacing w:val="0"/>
        <w:rPr>
          <w:rFonts w:ascii="Arial" w:hAnsi="Arial"/>
          <w:color w:val="000000"/>
        </w:rPr>
      </w:pPr>
      <w:r>
        <w:rPr>
          <w:rFonts w:ascii="Arial" w:hAnsi="Arial"/>
          <w:color w:val="000000"/>
        </w:rPr>
        <w:t>Encerrada a análise quanto à aceitação da proposta, o(a) Pregoeiro(a) verificará a habilitação do licitante, observado o disposto neste Edital.</w:t>
      </w:r>
    </w:p>
    <w:p>
      <w:pPr>
        <w:pStyle w:val="P13"/>
        <w:tabs>
          <w:tab w:val="left" w:pos="851" w:leader="none"/>
          <w:tab w:val="left" w:pos="993" w:leader="none"/>
        </w:tabs>
        <w:ind w:left="426"/>
        <w:rPr>
          <w:rFonts w:ascii="Arial" w:hAnsi="Arial"/>
          <w:color w:val="000000"/>
        </w:rPr>
      </w:pPr>
      <w:r>
        <w:rPr>
          <w:rFonts w:ascii="Arial" w:hAnsi="Arial"/>
          <w:color w:val="000000"/>
        </w:rPr>
        <w:t> </w:t>
      </w: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DA HABILITAÇÃO</w:t>
      </w:r>
    </w:p>
    <w:p>
      <w:pPr>
        <w:pStyle w:val="P13"/>
        <w:numPr>
          <w:ilvl w:val="1"/>
          <w:numId w:val="5"/>
        </w:numPr>
        <w:tabs>
          <w:tab w:val="left" w:pos="993" w:leader="none"/>
        </w:tabs>
        <w:ind w:firstLine="0" w:left="426"/>
        <w:contextualSpacing w:val="0"/>
        <w:rPr>
          <w:rFonts w:ascii="Arial" w:hAnsi="Arial"/>
        </w:rPr>
      </w:pPr>
      <w:r>
        <w:rPr>
          <w:rFonts w:ascii="Arial" w:hAnsi="Arial"/>
        </w:rPr>
        <w:t>Como condição prévia ao exame da documentação de habilitação do licitante detentor da proposta classificada em primeiro lugar, o(a) Pregoeiro(a) verificará o eventual descumprimento das condições de participação, especialmente quanto à existência de sanção que impeça a participação no certame ou a futura contratação, mediante a consulta aos seguintes cadastros:</w:t>
      </w:r>
    </w:p>
    <w:p>
      <w:pPr>
        <w:pStyle w:val="P13"/>
        <w:numPr>
          <w:ilvl w:val="2"/>
          <w:numId w:val="5"/>
        </w:numPr>
        <w:tabs>
          <w:tab w:val="left" w:pos="1701" w:leader="none"/>
        </w:tabs>
        <w:ind w:firstLine="0" w:left="992"/>
        <w:contextualSpacing w:val="0"/>
        <w:rPr>
          <w:rFonts w:ascii="Arial" w:hAnsi="Arial"/>
        </w:rPr>
      </w:pPr>
      <w:r>
        <w:rPr>
          <w:rFonts w:ascii="Arial" w:hAnsi="Arial"/>
        </w:rPr>
        <w:t>Cadastro Nacional de Empresas Inidôneas e Suspensas - CEIS, mantido pela Controladoria-Geral da União (</w:t>
      </w:r>
      <w:r>
        <w:rPr>
          <w:rFonts w:ascii="Arial" w:hAnsi="Arial"/>
        </w:rPr>
        <w:fldChar w:fldCharType="begin"/>
      </w:r>
      <w:r>
        <w:rPr>
          <w:rFonts w:ascii="Arial" w:hAnsi="Arial"/>
        </w:rPr>
        <w:instrText>HYPERLINK "https://portaldatransparencia.gov.br/sancoes/consulta?cadastro=1"</w:instrText>
      </w:r>
      <w:r>
        <w:rPr>
          <w:rFonts w:ascii="Arial" w:hAnsi="Arial"/>
        </w:rPr>
        <w:fldChar w:fldCharType="separate"/>
      </w:r>
      <w:r>
        <w:rPr>
          <w:rStyle w:val="C2"/>
          <w:rFonts w:ascii="Arial" w:hAnsi="Arial"/>
        </w:rPr>
        <w:t>https://portaldatransparencia.gov.br/sancoes/consulta?cadastro=1</w:t>
      </w:r>
      <w:r>
        <w:rPr>
          <w:rStyle w:val="C2"/>
          <w:rFonts w:ascii="Arial" w:hAnsi="Arial"/>
        </w:rPr>
        <w:fldChar w:fldCharType="end"/>
      </w:r>
      <w:r>
        <w:rPr>
          <w:rFonts w:ascii="Arial" w:hAnsi="Arial"/>
        </w:rPr>
        <w:t xml:space="preserve">);  </w:t>
      </w:r>
    </w:p>
    <w:p>
      <w:pPr>
        <w:pStyle w:val="P13"/>
        <w:numPr>
          <w:ilvl w:val="2"/>
          <w:numId w:val="5"/>
        </w:numPr>
        <w:tabs>
          <w:tab w:val="left" w:pos="1701" w:leader="none"/>
        </w:tabs>
        <w:ind w:firstLine="0" w:left="992"/>
        <w:contextualSpacing w:val="0"/>
        <w:rPr>
          <w:rFonts w:ascii="Arial" w:hAnsi="Arial"/>
        </w:rPr>
      </w:pPr>
      <w:r>
        <w:rPr>
          <w:rFonts w:ascii="Arial" w:hAnsi="Arial"/>
        </w:rPr>
        <w:t>Cadastro Nacional de Condenações Cíveis por Atos de Improbidade Administrativa, mantido pelo Conselho Nacional de Justiça (</w:t>
      </w:r>
      <w:r>
        <w:rPr>
          <w:rFonts w:ascii="Arial" w:hAnsi="Arial"/>
        </w:rPr>
        <w:fldChar w:fldCharType="begin"/>
      </w:r>
      <w:r>
        <w:rPr>
          <w:rFonts w:ascii="Arial" w:hAnsi="Arial"/>
        </w:rPr>
        <w:instrText>HYPERLINK "http://www.cnj.jus.br/improbidade_adm/consultar_requerido.php"</w:instrText>
      </w:r>
      <w:r>
        <w:rPr>
          <w:rFonts w:ascii="Arial" w:hAnsi="Arial"/>
        </w:rPr>
        <w:fldChar w:fldCharType="separate"/>
      </w:r>
      <w:r>
        <w:rPr>
          <w:rStyle w:val="C2"/>
          <w:rFonts w:ascii="Arial" w:hAnsi="Arial"/>
        </w:rPr>
        <w:t>www.cnj.jus.br/improbidade_adm/consultar_requerido.php</w:t>
      </w:r>
      <w:r>
        <w:rPr>
          <w:rStyle w:val="C2"/>
          <w:rFonts w:ascii="Arial" w:hAnsi="Arial"/>
        </w:rPr>
        <w:fldChar w:fldCharType="end"/>
      </w:r>
      <w:r>
        <w:rPr>
          <w:rFonts w:ascii="Arial" w:hAnsi="Arial"/>
        </w:rPr>
        <w:t>);</w:t>
      </w:r>
    </w:p>
    <w:p>
      <w:pPr>
        <w:pStyle w:val="P13"/>
        <w:numPr>
          <w:ilvl w:val="2"/>
          <w:numId w:val="5"/>
        </w:numPr>
        <w:tabs>
          <w:tab w:val="left" w:pos="1701" w:leader="none"/>
        </w:tabs>
        <w:ind w:firstLine="0" w:left="992"/>
        <w:contextualSpacing w:val="0"/>
        <w:rPr>
          <w:rFonts w:ascii="Arial" w:hAnsi="Arial"/>
        </w:rPr>
      </w:pPr>
      <w:r>
        <w:rPr>
          <w:rFonts w:ascii="Arial" w:hAnsi="Arial"/>
        </w:rPr>
        <w:t xml:space="preserve">Lista de Inidôneos, mantida pelo Tribunal de Contas da União </w:t>
      </w:r>
      <w:r>
        <w:rPr>
          <w:rFonts w:ascii="Arial" w:hAnsi="Arial"/>
          <w:lang w:eastAsia="ar-SA"/>
        </w:rPr>
        <w:t>–</w:t>
      </w:r>
      <w:r>
        <w:rPr>
          <w:rFonts w:ascii="Arial" w:hAnsi="Arial"/>
        </w:rPr>
        <w:t xml:space="preserve"> TCU (</w:t>
      </w:r>
      <w:r>
        <w:rPr>
          <w:rFonts w:ascii="Arial" w:hAnsi="Arial"/>
        </w:rPr>
        <w:fldChar w:fldCharType="begin"/>
      </w:r>
      <w:r>
        <w:rPr>
          <w:rFonts w:ascii="Arial" w:hAnsi="Arial"/>
        </w:rPr>
        <w:instrText>HYPERLINK "https://certidoes.apps.tcu.gov.br/emitir-certidao-inidoneos"</w:instrText>
      </w:r>
      <w:r>
        <w:rPr>
          <w:rFonts w:ascii="Arial" w:hAnsi="Arial"/>
        </w:rPr>
        <w:fldChar w:fldCharType="separate"/>
      </w:r>
      <w:r>
        <w:rPr>
          <w:rStyle w:val="C2"/>
          <w:rFonts w:ascii="Arial" w:hAnsi="Arial"/>
        </w:rPr>
        <w:t>https://certidoes.apps.tcu.gov.br/emitir-certidao-inidoneos</w:t>
      </w:r>
      <w:r>
        <w:rPr>
          <w:rStyle w:val="C2"/>
          <w:rFonts w:ascii="Arial" w:hAnsi="Arial"/>
        </w:rPr>
        <w:fldChar w:fldCharType="end"/>
      </w:r>
      <w:r>
        <w:rPr>
          <w:rFonts w:ascii="Arial" w:hAnsi="Arial"/>
        </w:rPr>
        <w:t>);</w:t>
      </w:r>
    </w:p>
    <w:p>
      <w:pPr>
        <w:pStyle w:val="P13"/>
        <w:numPr>
          <w:ilvl w:val="2"/>
          <w:numId w:val="5"/>
        </w:numPr>
        <w:tabs>
          <w:tab w:val="left" w:pos="1701" w:leader="none"/>
        </w:tabs>
        <w:ind w:firstLine="0" w:left="992"/>
        <w:contextualSpacing w:val="0"/>
        <w:rPr>
          <w:rFonts w:ascii="Arial" w:hAnsi="Arial"/>
        </w:rPr>
      </w:pPr>
      <w:r>
        <w:rPr>
          <w:rFonts w:ascii="Arial" w:hAnsi="Arial"/>
        </w:rPr>
        <w:t>Para a consulta de licitantes pessoa jurídica poderá haver a substituição das consultas acima pela Consulta Consolidada de Pessoa Jurídica do TCU (</w:t>
      </w:r>
      <w:r>
        <w:rPr>
          <w:rFonts w:ascii="Arial" w:hAnsi="Arial"/>
        </w:rPr>
        <w:fldChar w:fldCharType="begin"/>
      </w:r>
      <w:r>
        <w:rPr>
          <w:rFonts w:ascii="Arial" w:hAnsi="Arial"/>
        </w:rPr>
        <w:instrText>HYPERLINK "https://certidoes-apf.apps.tcu.gov.br/"</w:instrText>
      </w:r>
      <w:r>
        <w:rPr>
          <w:rFonts w:ascii="Arial" w:hAnsi="Arial"/>
        </w:rPr>
        <w:fldChar w:fldCharType="separate"/>
      </w:r>
      <w:r>
        <w:rPr>
          <w:rStyle w:val="C2"/>
          <w:rFonts w:ascii="Arial" w:hAnsi="Arial"/>
        </w:rPr>
        <w:t>https://certidoes-apf.apps.tcu.gov.br/</w:t>
      </w:r>
      <w:r>
        <w:rPr>
          <w:rStyle w:val="C2"/>
          <w:rFonts w:ascii="Arial" w:hAnsi="Arial"/>
        </w:rPr>
        <w:fldChar w:fldCharType="end"/>
      </w:r>
      <w:r>
        <w:rPr>
          <w:rFonts w:ascii="Arial" w:hAnsi="Arial"/>
        </w:rPr>
        <w:t>).</w:t>
      </w:r>
    </w:p>
    <w:p>
      <w:pPr>
        <w:pStyle w:val="P13"/>
        <w:numPr>
          <w:ilvl w:val="1"/>
          <w:numId w:val="5"/>
        </w:numPr>
        <w:tabs>
          <w:tab w:val="left" w:pos="851" w:leader="none"/>
          <w:tab w:val="left" w:pos="993" w:leader="none"/>
        </w:tabs>
        <w:ind w:firstLine="0" w:left="426"/>
        <w:contextualSpacing w:val="0"/>
        <w:rPr>
          <w:rFonts w:ascii="Arial" w:hAnsi="Arial"/>
          <w:color w:val="000000"/>
        </w:rPr>
      </w:pPr>
      <w:r>
        <w:rPr>
          <w:rFonts w:ascii="Arial" w:hAnsi="Arial"/>
          <w:color w:val="000000"/>
        </w:rPr>
        <w:t>A consulta aos cadastros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w:t>
      </w:r>
    </w:p>
    <w:p>
      <w:pPr>
        <w:pStyle w:val="P13"/>
        <w:numPr>
          <w:ilvl w:val="2"/>
          <w:numId w:val="5"/>
        </w:numPr>
        <w:tabs>
          <w:tab w:val="left" w:pos="1701" w:leader="none"/>
        </w:tabs>
        <w:ind w:firstLine="0" w:left="993"/>
        <w:contextualSpacing w:val="0"/>
        <w:rPr>
          <w:rFonts w:ascii="Arial" w:hAnsi="Arial"/>
          <w:color w:val="000000"/>
        </w:rPr>
      </w:pPr>
      <w:r>
        <w:rPr>
          <w:rFonts w:ascii="Arial" w:hAnsi="Arial"/>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P13"/>
        <w:numPr>
          <w:ilvl w:val="2"/>
          <w:numId w:val="5"/>
        </w:numPr>
        <w:tabs>
          <w:tab w:val="left" w:pos="1701" w:leader="none"/>
        </w:tabs>
        <w:ind w:firstLine="0" w:left="993"/>
        <w:contextualSpacing w:val="0"/>
        <w:rPr>
          <w:rFonts w:ascii="Arial" w:hAnsi="Arial"/>
          <w:color w:val="000000"/>
        </w:rPr>
      </w:pPr>
      <w:r>
        <w:rPr>
          <w:rFonts w:ascii="Arial" w:hAnsi="Arial"/>
          <w:color w:val="000000"/>
        </w:rPr>
        <w:t>A tentativa de burla será verificada por meio dos vínculos societários, linhas de fornecimento similares, dentre outros;</w:t>
      </w:r>
    </w:p>
    <w:p>
      <w:pPr>
        <w:pStyle w:val="P13"/>
        <w:numPr>
          <w:ilvl w:val="2"/>
          <w:numId w:val="5"/>
        </w:numPr>
        <w:tabs>
          <w:tab w:val="left" w:pos="1701" w:leader="none"/>
        </w:tabs>
        <w:ind w:firstLine="0" w:left="993"/>
        <w:contextualSpacing w:val="0"/>
        <w:rPr>
          <w:rFonts w:ascii="Arial" w:hAnsi="Arial"/>
          <w:color w:val="000000"/>
        </w:rPr>
      </w:pPr>
      <w:r>
        <w:rPr>
          <w:rFonts w:ascii="Arial" w:hAnsi="Arial"/>
          <w:color w:val="000000"/>
        </w:rPr>
        <w:t>O licitante será convocado para manifestação previamente à sua desclassificação.</w:t>
      </w:r>
    </w:p>
    <w:p>
      <w:pPr>
        <w:pStyle w:val="P13"/>
        <w:numPr>
          <w:ilvl w:val="1"/>
          <w:numId w:val="5"/>
        </w:numPr>
        <w:tabs>
          <w:tab w:val="left" w:pos="851" w:leader="none"/>
          <w:tab w:val="left" w:pos="993" w:leader="none"/>
        </w:tabs>
        <w:ind w:firstLine="0" w:left="426"/>
        <w:contextualSpacing w:val="0"/>
        <w:rPr>
          <w:rFonts w:ascii="Arial" w:hAnsi="Arial"/>
          <w:color w:val="000000"/>
        </w:rPr>
      </w:pPr>
      <w:r>
        <w:rPr>
          <w:rFonts w:ascii="Arial" w:hAnsi="Arial"/>
          <w:color w:val="000000"/>
        </w:rPr>
        <w:t>Constatada a existência de sanção, o(a) Pregoeiro(a) reputará o licitante inabilitado, por falta de condição de participação.</w:t>
      </w:r>
    </w:p>
    <w:p>
      <w:pPr>
        <w:pStyle w:val="P13"/>
        <w:numPr>
          <w:ilvl w:val="1"/>
          <w:numId w:val="5"/>
        </w:numPr>
        <w:tabs>
          <w:tab w:val="left" w:pos="851" w:leader="none"/>
          <w:tab w:val="left" w:pos="993" w:leader="none"/>
        </w:tabs>
        <w:ind w:firstLine="0" w:left="426"/>
        <w:contextualSpacing w:val="0"/>
        <w:rPr>
          <w:rFonts w:ascii="Arial" w:hAnsi="Arial"/>
          <w:color w:val="000000"/>
        </w:rPr>
      </w:pPr>
      <w:r>
        <w:rPr>
          <w:rFonts w:ascii="Arial" w:hAnsi="Arial"/>
          <w:color w:val="000000"/>
        </w:rPr>
        <w:t>No caso de inabilitação, haverá nova verificação, pelo sistema, da eventual ocorrência do empate ficto, previsto nos arts. 44 e 45 da Lei Complementar nº 123/2006, seguindo-se a disciplina antes estabelecida para aceitação da proposta subsequente.</w:t>
      </w:r>
    </w:p>
    <w:p>
      <w:pPr>
        <w:pStyle w:val="P13"/>
        <w:numPr>
          <w:ilvl w:val="1"/>
          <w:numId w:val="5"/>
        </w:numPr>
        <w:tabs>
          <w:tab w:val="left" w:pos="851" w:leader="none"/>
          <w:tab w:val="left" w:pos="993" w:leader="none"/>
        </w:tabs>
        <w:ind w:firstLine="0" w:left="426"/>
        <w:contextualSpacing w:val="0"/>
        <w:rPr>
          <w:rFonts w:ascii="Arial" w:hAnsi="Arial"/>
        </w:rPr>
      </w:pPr>
      <w:r>
        <w:rPr>
          <w:rFonts w:ascii="Arial" w:hAnsi="Arial"/>
        </w:rPr>
        <w:t>Havendo</w:t>
      </w:r>
      <w:r>
        <w:rPr>
          <w:rFonts w:ascii="Arial" w:hAnsi="Arial"/>
          <w:color w:val="000000"/>
        </w:rPr>
        <w:t xml:space="preserve"> a necessidade de envio de documentos de habilitação complementares, necessários à confirmação daqueles exigidos neste Edital e já apresentados, o licitante será convocado a encaminhá-los, em formato digital, via sistema, no prazo de </w:t>
      </w:r>
      <w:r>
        <w:rPr>
          <w:rFonts w:ascii="Arial" w:hAnsi="Arial"/>
          <w:b w:val="1"/>
          <w:color w:val="000000"/>
        </w:rPr>
        <w:t>02 (duas) horas</w:t>
      </w:r>
      <w:r>
        <w:rPr>
          <w:rFonts w:ascii="Arial" w:hAnsi="Arial"/>
          <w:color w:val="000000"/>
        </w:rPr>
        <w:t>, sob pena de inabilitação.</w:t>
      </w:r>
    </w:p>
    <w:p>
      <w:pPr>
        <w:pStyle w:val="P13"/>
        <w:numPr>
          <w:ilvl w:val="1"/>
          <w:numId w:val="5"/>
        </w:numPr>
        <w:tabs>
          <w:tab w:val="left" w:pos="851" w:leader="none"/>
          <w:tab w:val="left" w:pos="993" w:leader="none"/>
        </w:tabs>
        <w:ind w:firstLine="0" w:left="426"/>
        <w:contextualSpacing w:val="0"/>
        <w:rPr>
          <w:rFonts w:ascii="Arial" w:hAnsi="Arial"/>
          <w:lang w:eastAsia="ar-SA"/>
        </w:rPr>
      </w:pPr>
      <w:r>
        <w:rPr>
          <w:rFonts w:ascii="Arial" w:hAnsi="Arial"/>
        </w:rPr>
        <w:t xml:space="preserve">Somente haverá a necessidade de comprovação do preenchimento de requisitos mediante apresentação dos documentos originais não-digitais quando houver dúvida em relação à integridade do documento </w:t>
      </w:r>
      <w:r>
        <w:rPr>
          <w:rFonts w:ascii="Arial" w:hAnsi="Arial"/>
          <w:color w:val="000000"/>
        </w:rPr>
        <w:t>digital</w:t>
      </w:r>
      <w:r>
        <w:rPr>
          <w:rFonts w:ascii="Arial" w:hAnsi="Arial"/>
        </w:rPr>
        <w:t>.</w:t>
      </w:r>
    </w:p>
    <w:p>
      <w:pPr>
        <w:pStyle w:val="P13"/>
        <w:numPr>
          <w:ilvl w:val="1"/>
          <w:numId w:val="5"/>
        </w:numPr>
        <w:tabs>
          <w:tab w:val="left" w:pos="851" w:leader="none"/>
          <w:tab w:val="left" w:pos="993" w:leader="none"/>
        </w:tabs>
        <w:ind w:firstLine="0" w:left="426"/>
        <w:contextualSpacing w:val="0"/>
        <w:rPr>
          <w:rFonts w:ascii="Arial" w:hAnsi="Arial"/>
        </w:rPr>
      </w:pPr>
      <w:r>
        <w:rPr>
          <w:rFonts w:ascii="Arial" w:hAnsi="Arial"/>
        </w:rPr>
        <w:t>Não serão aceitos documentos de habilitação com indicação de CNPJ/CPF diferentes, salvo aqueles legalmente permitidos.</w:t>
      </w:r>
    </w:p>
    <w:p>
      <w:pPr>
        <w:pStyle w:val="P13"/>
        <w:numPr>
          <w:ilvl w:val="1"/>
          <w:numId w:val="5"/>
        </w:numPr>
        <w:tabs>
          <w:tab w:val="left" w:pos="851" w:leader="none"/>
          <w:tab w:val="left" w:pos="993" w:leader="none"/>
        </w:tabs>
        <w:ind w:firstLine="0" w:left="426"/>
        <w:contextualSpacing w:val="0"/>
        <w:rPr>
          <w:rFonts w:ascii="Arial" w:hAnsi="Arial"/>
        </w:rPr>
      </w:pPr>
      <w:r>
        <w:rPr>
          <w:rFonts w:ascii="Arial" w:hAnsi="Arial"/>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P13"/>
        <w:numPr>
          <w:ilvl w:val="2"/>
          <w:numId w:val="6"/>
        </w:numPr>
        <w:tabs>
          <w:tab w:val="left" w:pos="1701" w:leader="none"/>
          <w:tab w:val="left" w:pos="1843" w:leader="none"/>
        </w:tabs>
        <w:ind w:firstLine="0" w:left="993"/>
        <w:contextualSpacing w:val="0"/>
        <w:rPr>
          <w:rFonts w:ascii="Arial" w:hAnsi="Arial"/>
        </w:rPr>
      </w:pPr>
      <w:r>
        <w:rPr>
          <w:rFonts w:ascii="Arial" w:hAnsi="Arial"/>
        </w:rPr>
        <w:t>Serão aceitos registros de CNPJ de licitante matriz e filial com diferenças de números de documentos pertinentes ao CND e ao CRF/FGTS, quando for comprovada a centralização do recolhimento dessas contribuições.</w:t>
      </w:r>
    </w:p>
    <w:p>
      <w:pPr>
        <w:pStyle w:val="P13"/>
        <w:numPr>
          <w:ilvl w:val="1"/>
          <w:numId w:val="5"/>
        </w:numPr>
        <w:tabs>
          <w:tab w:val="left" w:pos="426" w:leader="none"/>
          <w:tab w:val="left" w:pos="993" w:leader="none"/>
        </w:tabs>
        <w:ind w:firstLine="0" w:left="426"/>
        <w:contextualSpacing w:val="0"/>
        <w:rPr>
          <w:rFonts w:ascii="Arial" w:hAnsi="Arial"/>
        </w:rPr>
      </w:pPr>
      <w:r>
        <w:rPr>
          <w:rFonts w:ascii="Arial" w:hAnsi="Arial"/>
        </w:rPr>
        <w:t>Ressalvado o disposto no item 5.3, os licitantes deverão encaminhar, nos termos deste Edital, a documentação relacionada nos itens a seguir, para fins de habilitação:</w:t>
      </w:r>
    </w:p>
    <w:p>
      <w:pPr>
        <w:pStyle w:val="P13"/>
        <w:tabs>
          <w:tab w:val="left" w:pos="426" w:leader="none"/>
          <w:tab w:val="left" w:pos="993" w:leader="none"/>
        </w:tabs>
        <w:ind w:left="426"/>
        <w:rPr>
          <w:rFonts w:ascii="Arial" w:hAnsi="Arial"/>
        </w:rPr>
      </w:pPr>
    </w:p>
    <w:p>
      <w:pPr>
        <w:pStyle w:val="P13"/>
        <w:numPr>
          <w:ilvl w:val="1"/>
          <w:numId w:val="5"/>
        </w:numPr>
        <w:tabs>
          <w:tab w:val="left" w:pos="426" w:leader="none"/>
          <w:tab w:val="left" w:pos="567" w:leader="none"/>
          <w:tab w:val="left" w:pos="851" w:leader="none"/>
          <w:tab w:val="left" w:pos="993" w:leader="none"/>
        </w:tabs>
        <w:ind w:firstLine="0" w:left="426"/>
        <w:contextualSpacing w:val="0"/>
        <w:rPr>
          <w:rFonts w:ascii="Arial" w:hAnsi="Arial"/>
          <w:b w:val="1"/>
          <w:color w:val="000000"/>
        </w:rPr>
      </w:pPr>
      <w:r>
        <w:rPr>
          <w:rFonts w:ascii="Arial" w:hAnsi="Arial"/>
          <w:b w:val="1"/>
          <w:color w:val="000000"/>
        </w:rPr>
        <w:t xml:space="preserve">Habilitação jurídica: </w:t>
      </w:r>
    </w:p>
    <w:p>
      <w:pPr>
        <w:pStyle w:val="P13"/>
        <w:numPr>
          <w:ilvl w:val="2"/>
          <w:numId w:val="6"/>
        </w:numPr>
        <w:tabs>
          <w:tab w:val="left" w:pos="1843" w:leader="none"/>
        </w:tabs>
        <w:ind w:firstLine="0" w:left="993"/>
        <w:contextualSpacing w:val="0"/>
        <w:rPr>
          <w:rFonts w:ascii="Arial" w:hAnsi="Arial"/>
          <w:color w:val="000000"/>
        </w:rPr>
      </w:pPr>
      <w:r>
        <w:rPr>
          <w:rFonts w:ascii="Arial" w:hAnsi="Arial"/>
          <w:color w:val="000000"/>
        </w:rPr>
        <w:t xml:space="preserve">Para </w:t>
      </w:r>
      <w:r>
        <w:rPr>
          <w:rFonts w:ascii="Arial" w:hAnsi="Arial"/>
          <w:b w:val="1"/>
          <w:color w:val="000000"/>
        </w:rPr>
        <w:t>Empresário Individual</w:t>
      </w:r>
      <w:r>
        <w:rPr>
          <w:rFonts w:ascii="Arial" w:hAnsi="Arial"/>
          <w:color w:val="000000"/>
        </w:rPr>
        <w:t>: inscrição no Registro Público de Empresas Mercantis, a cargo da Junta Comercial da respectiva sede; ou</w:t>
      </w:r>
    </w:p>
    <w:p>
      <w:pPr>
        <w:pStyle w:val="P13"/>
        <w:numPr>
          <w:ilvl w:val="2"/>
          <w:numId w:val="6"/>
        </w:numPr>
        <w:tabs>
          <w:tab w:val="left" w:pos="1843" w:leader="none"/>
        </w:tabs>
        <w:ind w:firstLine="0" w:left="993"/>
        <w:contextualSpacing w:val="0"/>
        <w:rPr>
          <w:rFonts w:ascii="Arial" w:hAnsi="Arial"/>
          <w:color w:val="000000"/>
        </w:rPr>
      </w:pPr>
      <w:r>
        <w:rPr>
          <w:rFonts w:ascii="Arial" w:hAnsi="Arial"/>
          <w:color w:val="000000"/>
        </w:rPr>
        <w:t xml:space="preserve">Para </w:t>
      </w:r>
      <w:r>
        <w:rPr>
          <w:rFonts w:ascii="Arial" w:hAnsi="Arial"/>
          <w:b w:val="1"/>
          <w:color w:val="000000"/>
        </w:rPr>
        <w:t>Microempreendedor Individual – MEI</w:t>
      </w:r>
      <w:r>
        <w:rPr>
          <w:rFonts w:ascii="Arial" w:hAnsi="Arial"/>
          <w:color w:val="000000"/>
        </w:rPr>
        <w:t xml:space="preserve">: Certificado da Condição de Microempreendedor Individual - CCMEI, cuja aceitação ficará condicionada à verificação da autenticidade no sítio </w:t>
      </w:r>
      <w:r>
        <w:rPr>
          <w:rFonts w:ascii="Arial" w:hAnsi="Arial"/>
          <w:color w:val="000000"/>
        </w:rPr>
        <w:fldChar w:fldCharType="begin"/>
      </w:r>
      <w:r>
        <w:rPr>
          <w:rFonts w:ascii="Arial" w:hAnsi="Arial"/>
          <w:color w:val="000000"/>
        </w:rPr>
        <w:instrText>HYPERLINK "http://www.portaldoempreendedor.gov.br"</w:instrText>
      </w:r>
      <w:r>
        <w:rPr>
          <w:rFonts w:ascii="Arial" w:hAnsi="Arial"/>
          <w:color w:val="000000"/>
        </w:rPr>
        <w:fldChar w:fldCharType="separate"/>
      </w:r>
      <w:r>
        <w:rPr>
          <w:rStyle w:val="C2"/>
          <w:rFonts w:ascii="Arial" w:hAnsi="Arial"/>
        </w:rPr>
        <w:t>www.portaldoempreendedor.gov.br</w:t>
      </w:r>
      <w:r>
        <w:rPr>
          <w:rStyle w:val="C2"/>
          <w:rFonts w:ascii="Arial" w:hAnsi="Arial"/>
        </w:rPr>
        <w:fldChar w:fldCharType="end"/>
      </w:r>
      <w:r>
        <w:rPr>
          <w:rFonts w:ascii="Arial" w:hAnsi="Arial"/>
          <w:color w:val="000000"/>
        </w:rPr>
        <w:t>; ou</w:t>
      </w:r>
    </w:p>
    <w:p>
      <w:pPr>
        <w:pStyle w:val="P13"/>
        <w:numPr>
          <w:ilvl w:val="2"/>
          <w:numId w:val="6"/>
        </w:numPr>
        <w:tabs>
          <w:tab w:val="left" w:pos="1843" w:leader="none"/>
        </w:tabs>
        <w:ind w:firstLine="0" w:left="993"/>
        <w:contextualSpacing w:val="0"/>
        <w:rPr>
          <w:rFonts w:ascii="Arial" w:hAnsi="Arial"/>
          <w:color w:val="000000"/>
        </w:rPr>
      </w:pPr>
      <w:r>
        <w:rPr>
          <w:rFonts w:ascii="Arial" w:hAnsi="Arial"/>
          <w:color w:val="000000"/>
        </w:rPr>
        <w:t xml:space="preserve">Para </w:t>
      </w:r>
      <w:r>
        <w:rPr>
          <w:rFonts w:ascii="Arial" w:hAnsi="Arial"/>
          <w:b w:val="1"/>
          <w:color w:val="000000"/>
        </w:rPr>
        <w:t>Sociedade Comercial</w:t>
      </w:r>
      <w:r>
        <w:rPr>
          <w:rFonts w:ascii="Arial" w:hAnsi="Arial"/>
          <w:color w:val="000000"/>
        </w:rPr>
        <w:t>: ato constitutivo, estatuto ou contrato social em vigor, devidamente registrado na Junta Comercial da respectiva sede, acompanhado de documento comprobatório de seus administradores; ou</w:t>
      </w:r>
    </w:p>
    <w:p>
      <w:pPr>
        <w:pStyle w:val="P13"/>
        <w:numPr>
          <w:ilvl w:val="2"/>
          <w:numId w:val="6"/>
        </w:numPr>
        <w:tabs>
          <w:tab w:val="left" w:pos="1843" w:leader="none"/>
        </w:tabs>
        <w:ind w:firstLine="0" w:left="993"/>
        <w:contextualSpacing w:val="0"/>
        <w:rPr>
          <w:rFonts w:ascii="Arial" w:hAnsi="Arial"/>
          <w:color w:val="000000"/>
        </w:rPr>
      </w:pPr>
      <w:r>
        <w:rPr>
          <w:rFonts w:ascii="Arial" w:hAnsi="Arial"/>
          <w:color w:val="000000"/>
        </w:rPr>
        <w:t xml:space="preserve">Para </w:t>
      </w:r>
      <w:r>
        <w:rPr>
          <w:rFonts w:ascii="Arial" w:hAnsi="Arial"/>
          <w:b w:val="1"/>
          <w:color w:val="000000"/>
        </w:rPr>
        <w:t>Sociedade Civil</w:t>
      </w:r>
      <w:r>
        <w:rPr>
          <w:rFonts w:ascii="Arial" w:hAnsi="Arial"/>
          <w:color w:val="000000"/>
        </w:rPr>
        <w:t>: inscrição do ato constitutivo no Registro Civil das Pessoas Jurídicas do local de sua sede, acompanhada de prova da indicação dos seus administradores; ou</w:t>
      </w:r>
    </w:p>
    <w:p>
      <w:pPr>
        <w:pStyle w:val="P13"/>
        <w:numPr>
          <w:ilvl w:val="2"/>
          <w:numId w:val="6"/>
        </w:numPr>
        <w:tabs>
          <w:tab w:val="left" w:pos="1843" w:leader="none"/>
        </w:tabs>
        <w:ind w:firstLine="0" w:left="993"/>
        <w:contextualSpacing w:val="0"/>
        <w:rPr>
          <w:rFonts w:ascii="Arial" w:hAnsi="Arial"/>
          <w:color w:val="000000"/>
        </w:rPr>
      </w:pPr>
      <w:r>
        <w:rPr>
          <w:rFonts w:ascii="Arial" w:hAnsi="Arial"/>
        </w:rPr>
        <w:t xml:space="preserve">Para </w:t>
      </w:r>
      <w:r>
        <w:rPr>
          <w:rFonts w:ascii="Arial" w:hAnsi="Arial"/>
          <w:b w:val="1"/>
        </w:rPr>
        <w:t>Produtor Rural</w:t>
      </w:r>
      <w:r>
        <w:rPr>
          <w:rFonts w:ascii="Arial" w:hAnsi="Arial"/>
        </w:rPr>
        <w:t>: matrícula no Cadastro Específico do INSS – CEI, que comprove a qualificação como produtor rural pessoa física, nos termos da Instrução Normativa RFB 971/2009 (arts. 17 a 19, e 165).</w:t>
      </w:r>
    </w:p>
    <w:p>
      <w:pPr>
        <w:pStyle w:val="P13"/>
        <w:numPr>
          <w:ilvl w:val="2"/>
          <w:numId w:val="6"/>
        </w:numPr>
        <w:tabs>
          <w:tab w:val="left" w:pos="1843" w:leader="none"/>
        </w:tabs>
        <w:ind w:firstLine="0" w:left="993"/>
        <w:contextualSpacing w:val="0"/>
        <w:rPr>
          <w:rFonts w:ascii="Arial" w:hAnsi="Arial"/>
          <w:color w:val="000000"/>
        </w:rPr>
      </w:pPr>
      <w:r>
        <w:rPr>
          <w:rFonts w:ascii="Arial" w:hAnsi="Arial"/>
          <w:color w:val="000000"/>
        </w:rPr>
        <w:t>Os documentos acima deverão estar acompanhados de todas as alterações ou da consolidação respectiva.</w:t>
      </w:r>
    </w:p>
    <w:p>
      <w:pPr>
        <w:pStyle w:val="P13"/>
        <w:tabs>
          <w:tab w:val="left" w:pos="851" w:leader="none"/>
          <w:tab w:val="left" w:pos="1843" w:leader="none"/>
          <w:tab w:val="left" w:pos="1985" w:leader="none"/>
        </w:tabs>
        <w:ind w:left="1134"/>
        <w:rPr>
          <w:rFonts w:ascii="Arial" w:hAnsi="Arial"/>
          <w:color w:val="000000"/>
        </w:rPr>
      </w:pPr>
    </w:p>
    <w:p>
      <w:pPr>
        <w:pStyle w:val="P13"/>
        <w:numPr>
          <w:ilvl w:val="1"/>
          <w:numId w:val="5"/>
        </w:numPr>
        <w:tabs>
          <w:tab w:val="left" w:pos="993" w:leader="none"/>
        </w:tabs>
        <w:ind w:firstLine="0" w:left="426"/>
        <w:contextualSpacing w:val="0"/>
        <w:rPr>
          <w:rFonts w:ascii="Arial" w:hAnsi="Arial"/>
          <w:b w:val="1"/>
          <w:color w:val="000000"/>
        </w:rPr>
      </w:pPr>
      <w:r>
        <w:rPr>
          <w:rFonts w:ascii="Arial" w:hAnsi="Arial"/>
          <w:b w:val="1"/>
          <w:color w:val="000000"/>
        </w:rPr>
        <w:t xml:space="preserve">Regularidade fiscal </w:t>
      </w:r>
      <w:r>
        <w:rPr>
          <w:rFonts w:ascii="Arial" w:hAnsi="Arial"/>
          <w:b w:val="1"/>
        </w:rPr>
        <w:t>e trabalhista:</w:t>
      </w:r>
    </w:p>
    <w:p>
      <w:pPr>
        <w:pStyle w:val="P13"/>
        <w:numPr>
          <w:ilvl w:val="2"/>
          <w:numId w:val="5"/>
        </w:numPr>
        <w:tabs>
          <w:tab w:val="left" w:pos="993" w:leader="none"/>
          <w:tab w:val="left" w:pos="1843" w:leader="none"/>
        </w:tabs>
        <w:ind w:firstLine="0" w:left="993"/>
        <w:contextualSpacing w:val="0"/>
        <w:rPr>
          <w:rFonts w:ascii="Arial" w:hAnsi="Arial"/>
        </w:rPr>
      </w:pPr>
      <w:r>
        <w:rPr>
          <w:rFonts w:ascii="Arial" w:hAnsi="Arial"/>
          <w:b w:val="1"/>
        </w:rPr>
        <w:t>Comprovante de Inscrição no Cadastro Nacional da Pessoa Jurídica</w:t>
      </w:r>
      <w:r>
        <w:rPr>
          <w:rFonts w:ascii="Arial" w:hAnsi="Arial"/>
        </w:rPr>
        <w:t xml:space="preserve"> do Ministério da Fazenda (CNPJ/MF);</w:t>
      </w:r>
    </w:p>
    <w:p>
      <w:pPr>
        <w:pStyle w:val="P13"/>
        <w:numPr>
          <w:ilvl w:val="2"/>
          <w:numId w:val="5"/>
        </w:numPr>
        <w:tabs>
          <w:tab w:val="left" w:pos="993" w:leader="none"/>
          <w:tab w:val="left" w:pos="1843" w:leader="none"/>
        </w:tabs>
        <w:ind w:firstLine="0" w:left="993"/>
        <w:contextualSpacing w:val="0"/>
        <w:rPr>
          <w:rFonts w:ascii="Arial" w:hAnsi="Arial"/>
        </w:rPr>
      </w:pPr>
      <w:r>
        <w:rPr>
          <w:rFonts w:ascii="Arial" w:hAnsi="Arial"/>
          <w:b w:val="1"/>
        </w:rPr>
        <w:t>Certificado de Regularidade do FGTS - CRF</w:t>
      </w:r>
      <w:r>
        <w:rPr>
          <w:rFonts w:ascii="Arial" w:hAnsi="Arial"/>
        </w:rPr>
        <w:t>, comprovando sua regularidade com a Caixa Econômica Federal - CEF, dentro do prazo de validade expresso na própria certidão;</w:t>
      </w:r>
    </w:p>
    <w:p>
      <w:pPr>
        <w:pStyle w:val="P13"/>
        <w:numPr>
          <w:ilvl w:val="2"/>
          <w:numId w:val="5"/>
        </w:numPr>
        <w:tabs>
          <w:tab w:val="left" w:pos="993" w:leader="none"/>
          <w:tab w:val="left" w:pos="1843" w:leader="none"/>
        </w:tabs>
        <w:ind w:firstLine="0" w:left="993"/>
        <w:contextualSpacing w:val="0"/>
        <w:rPr>
          <w:rFonts w:ascii="Arial" w:hAnsi="Arial"/>
        </w:rPr>
      </w:pPr>
      <w:r>
        <w:rPr>
          <w:rFonts w:ascii="Arial" w:hAnsi="Arial"/>
          <w:b w:val="1"/>
        </w:rPr>
        <w:t>Certidão Conjunta Negativa de Débitos relativos a Tributos Federais e à Dívida Ativa da União</w:t>
      </w:r>
      <w:r>
        <w:rPr>
          <w:rFonts w:ascii="Arial" w:hAnsi="Arial"/>
        </w:rPr>
        <w:t>, ou Certidão Conjunta Positiva com Efeito Negativo de Débitos relativos a Tributos Federais e à Dívida Ativa da União, expedida pela Receita Federal do Brasil e Procuradoria-Geral da Fazenda Nacional, abrangendo inclusive as contribuições sociais, dentro do prazo de validade expresso na própria certidão;</w:t>
      </w:r>
    </w:p>
    <w:p>
      <w:pPr>
        <w:pStyle w:val="P13"/>
        <w:numPr>
          <w:ilvl w:val="2"/>
          <w:numId w:val="5"/>
        </w:numPr>
        <w:tabs>
          <w:tab w:val="left" w:pos="993" w:leader="none"/>
          <w:tab w:val="left" w:pos="1843" w:leader="none"/>
        </w:tabs>
        <w:ind w:firstLine="0" w:left="993"/>
        <w:contextualSpacing w:val="0"/>
        <w:rPr>
          <w:rFonts w:ascii="Arial" w:hAnsi="Arial"/>
        </w:rPr>
      </w:pPr>
      <w:r>
        <w:rPr>
          <w:rFonts w:ascii="Arial" w:hAnsi="Arial"/>
          <w:b w:val="1"/>
        </w:rPr>
        <w:t>Certidão Negativa de Débitos Trabalhistas - CNDT</w:t>
      </w:r>
      <w:r>
        <w:rPr>
          <w:rFonts w:ascii="Arial" w:hAnsi="Arial"/>
        </w:rPr>
        <w:t>, comprovando sua regularidade com a Justiça do Trabalho, nos termos da Lei nº 12.440/11, dentro do prazo de validade expresso na própria certidão;</w:t>
      </w:r>
    </w:p>
    <w:p>
      <w:pPr>
        <w:pStyle w:val="P13"/>
        <w:numPr>
          <w:ilvl w:val="2"/>
          <w:numId w:val="5"/>
        </w:numPr>
        <w:tabs>
          <w:tab w:val="left" w:pos="993" w:leader="none"/>
          <w:tab w:val="left" w:pos="1843" w:leader="none"/>
        </w:tabs>
        <w:ind w:firstLine="0" w:left="993"/>
        <w:contextualSpacing w:val="0"/>
        <w:rPr>
          <w:rFonts w:ascii="Arial" w:hAnsi="Arial"/>
        </w:rPr>
      </w:pPr>
      <w:r>
        <w:rPr>
          <w:rFonts w:ascii="Arial" w:hAnsi="Arial"/>
          <w:b w:val="1"/>
        </w:rPr>
        <w:t>Certidão Negativa ou Certidão Positiva com Efeitos de Negativa de Débitos Tributários e de Dívida Ativa Estadual</w:t>
      </w:r>
      <w:r>
        <w:rPr>
          <w:rFonts w:ascii="Arial" w:hAnsi="Arial"/>
        </w:rPr>
        <w:t>, comprovando sua regularidade com a Fazenda Estadual do domicílio da licitante, dentro do prazo de validade expresso na própria certidão;</w:t>
      </w:r>
    </w:p>
    <w:p>
      <w:pPr>
        <w:pStyle w:val="P13"/>
        <w:numPr>
          <w:ilvl w:val="2"/>
          <w:numId w:val="5"/>
        </w:numPr>
        <w:tabs>
          <w:tab w:val="left" w:pos="993" w:leader="none"/>
          <w:tab w:val="left" w:pos="1843" w:leader="none"/>
        </w:tabs>
        <w:ind w:firstLine="0" w:left="993"/>
        <w:contextualSpacing w:val="0"/>
        <w:rPr>
          <w:rFonts w:ascii="Arial" w:hAnsi="Arial"/>
        </w:rPr>
      </w:pPr>
      <w:r>
        <w:rPr>
          <w:rFonts w:ascii="Arial" w:hAnsi="Arial"/>
          <w:b w:val="1"/>
        </w:rPr>
        <w:t>Certidão Negativa ou Certidão Positiva com Efeitos de Negativa de Débitos Municipais</w:t>
      </w:r>
      <w:r>
        <w:rPr>
          <w:rFonts w:ascii="Arial" w:hAnsi="Arial"/>
        </w:rPr>
        <w:t xml:space="preserve"> do domicílio ou sede da licitante, dentro do prazo de validade expresso na própria certidão;</w:t>
      </w:r>
    </w:p>
    <w:p>
      <w:pPr>
        <w:pStyle w:val="P13"/>
        <w:tabs>
          <w:tab w:val="left" w:pos="993" w:leader="none"/>
          <w:tab w:val="left" w:pos="1843" w:leader="none"/>
        </w:tabs>
        <w:ind w:left="993"/>
        <w:rPr>
          <w:rFonts w:ascii="Arial" w:hAnsi="Arial"/>
        </w:rPr>
      </w:pPr>
    </w:p>
    <w:p>
      <w:pPr>
        <w:pStyle w:val="P13"/>
        <w:numPr>
          <w:ilvl w:val="1"/>
          <w:numId w:val="5"/>
        </w:numPr>
        <w:tabs>
          <w:tab w:val="left" w:pos="1134" w:leader="none"/>
          <w:tab w:val="left" w:pos="1843" w:leader="none"/>
        </w:tabs>
        <w:ind w:hanging="573" w:left="993"/>
        <w:contextualSpacing w:val="0"/>
        <w:rPr>
          <w:rFonts w:ascii="Arial" w:hAnsi="Arial"/>
        </w:rPr>
      </w:pPr>
      <w:bookmarkStart w:id="13" w:name="_Hlk232757675"/>
      <w:r>
        <w:rPr>
          <w:rFonts w:ascii="Arial" w:hAnsi="Arial"/>
          <w:b w:val="1"/>
          <w:color w:val="000000"/>
        </w:rPr>
        <w:t>Qualificação Econômico-Financeira</w:t>
      </w:r>
      <w:bookmarkEnd w:id="13"/>
      <w:r>
        <w:rPr>
          <w:rFonts w:ascii="Arial" w:hAnsi="Arial"/>
          <w:color w:val="000000"/>
        </w:rPr>
        <w:t>.</w:t>
      </w:r>
    </w:p>
    <w:p>
      <w:pPr>
        <w:pStyle w:val="P13"/>
        <w:numPr>
          <w:ilvl w:val="2"/>
          <w:numId w:val="5"/>
        </w:numPr>
        <w:tabs>
          <w:tab w:val="left" w:pos="1843" w:leader="none"/>
        </w:tabs>
        <w:ind w:firstLine="0" w:left="993"/>
        <w:contextualSpacing w:val="0"/>
        <w:rPr>
          <w:rFonts w:ascii="Arial" w:hAnsi="Arial"/>
          <w:color w:val="000000"/>
        </w:rPr>
      </w:pPr>
      <w:bookmarkStart w:id="14" w:name="_Hlk519668602"/>
      <w:r>
        <w:rPr>
          <w:rFonts w:ascii="Arial" w:hAnsi="Arial"/>
          <w:b w:val="1"/>
          <w:color w:val="000000"/>
        </w:rPr>
        <w:t>Certidão Negativa de Pedido de Falência ou Concordata</w:t>
      </w:r>
      <w:r>
        <w:rPr>
          <w:rFonts w:ascii="Arial" w:hAnsi="Arial"/>
          <w:color w:val="000000"/>
        </w:rPr>
        <w:t xml:space="preserve">, em nome da empresa participante, expedida pelo Cartório Distribuidor da unidade judiciária com competência para emissão do referido documento na circunscrição judiciária da localidade da empresa, </w:t>
      </w:r>
      <w:r>
        <w:rPr>
          <w:rFonts w:ascii="Arial" w:hAnsi="Arial"/>
          <w:b w:val="1"/>
          <w:color w:val="000000"/>
        </w:rPr>
        <w:t>a menos de 90 (noventa) dias</w:t>
      </w:r>
      <w:r>
        <w:rPr>
          <w:rFonts w:ascii="Arial" w:hAnsi="Arial"/>
          <w:color w:val="000000"/>
        </w:rPr>
        <w:t>;</w:t>
      </w:r>
    </w:p>
    <w:p>
      <w:pPr>
        <w:pStyle w:val="P13"/>
        <w:tabs>
          <w:tab w:val="left" w:pos="1843" w:leader="none"/>
        </w:tabs>
        <w:ind w:left="993"/>
        <w:rPr>
          <w:rFonts w:ascii="Arial" w:hAnsi="Arial"/>
          <w:color w:val="000000"/>
        </w:rPr>
      </w:pPr>
    </w:p>
    <w:p>
      <w:pPr>
        <w:pStyle w:val="P13"/>
        <w:numPr>
          <w:ilvl w:val="1"/>
          <w:numId w:val="5"/>
        </w:numPr>
        <w:tabs>
          <w:tab w:val="left" w:pos="426" w:leader="none"/>
          <w:tab w:val="left" w:pos="993" w:leader="none"/>
        </w:tabs>
        <w:ind w:firstLine="0" w:left="426"/>
        <w:contextualSpacing w:val="0"/>
        <w:rPr>
          <w:rFonts w:ascii="Arial" w:hAnsi="Arial"/>
          <w:b w:val="1"/>
          <w:color w:val="000000"/>
        </w:rPr>
      </w:pPr>
      <w:bookmarkEnd w:id="14"/>
      <w:r>
        <w:rPr>
          <w:rFonts w:ascii="Arial" w:hAnsi="Arial"/>
          <w:b w:val="1"/>
          <w:color w:val="000000"/>
        </w:rPr>
        <w:t>Qualificação Técnica:</w:t>
      </w:r>
    </w:p>
    <w:p>
      <w:pPr>
        <w:pStyle w:val="P13"/>
        <w:numPr>
          <w:ilvl w:val="2"/>
          <w:numId w:val="5"/>
        </w:numPr>
        <w:tabs>
          <w:tab w:val="left" w:pos="1560" w:leader="none"/>
          <w:tab w:val="left" w:pos="1843" w:leader="none"/>
        </w:tabs>
        <w:ind w:firstLine="0" w:left="993"/>
        <w:contextualSpacing w:val="0"/>
        <w:rPr>
          <w:rFonts w:ascii="Arial" w:hAnsi="Arial"/>
          <w:b w:val="1"/>
        </w:rPr>
      </w:pPr>
      <w:r>
        <w:rPr>
          <w:rFonts w:ascii="Arial" w:hAnsi="Arial"/>
        </w:rPr>
        <w:t>Apresentação de, no mínimo,</w:t>
      </w:r>
      <w:r>
        <w:rPr>
          <w:rFonts w:ascii="Arial" w:hAnsi="Arial"/>
          <w:b w:val="1"/>
        </w:rPr>
        <w:t xml:space="preserve"> 01 (um) Atestado de Capacidade Técnica</w:t>
      </w:r>
      <w:r>
        <w:rPr>
          <w:rFonts w:ascii="Arial" w:hAnsi="Arial"/>
        </w:rPr>
        <w:t>, sendo aceito documento análogo, expedido por entidades da Administração Pública ou do setor privado, demonstrando que a licitante possui aptidão para a execução de serviços compatíveis com o objeto licitado, em características e quantidades similares</w:t>
      </w:r>
      <w:r>
        <w:rPr>
          <w:rFonts w:ascii="Arial" w:hAnsi="Arial"/>
          <w:b w:val="1"/>
        </w:rPr>
        <w:t>.</w:t>
      </w:r>
    </w:p>
    <w:p>
      <w:pPr>
        <w:pStyle w:val="P13"/>
        <w:numPr>
          <w:ilvl w:val="2"/>
          <w:numId w:val="5"/>
        </w:numPr>
        <w:tabs>
          <w:tab w:val="left" w:pos="1560" w:leader="none"/>
          <w:tab w:val="left" w:pos="1843" w:leader="none"/>
        </w:tabs>
        <w:ind w:firstLine="0" w:left="993"/>
        <w:contextualSpacing w:val="0"/>
        <w:rPr>
          <w:rFonts w:ascii="Arial" w:hAnsi="Arial"/>
          <w:b w:val="1"/>
        </w:rPr>
      </w:pPr>
      <w:r>
        <w:rPr>
          <w:rFonts w:ascii="Arial" w:hAnsi="Arial"/>
          <w:b w:val="1"/>
        </w:rPr>
        <w:t>Registro vigente junto a ANTT (Agência Nacional de Transporte Terrestre);</w:t>
      </w:r>
    </w:p>
    <w:p>
      <w:pPr>
        <w:pStyle w:val="P13"/>
        <w:numPr>
          <w:ilvl w:val="2"/>
          <w:numId w:val="5"/>
        </w:numPr>
        <w:tabs>
          <w:tab w:val="left" w:pos="1560" w:leader="none"/>
          <w:tab w:val="left" w:pos="1843" w:leader="none"/>
        </w:tabs>
        <w:ind w:firstLine="0" w:left="993"/>
        <w:contextualSpacing w:val="0"/>
        <w:rPr>
          <w:rFonts w:ascii="Arial" w:hAnsi="Arial"/>
          <w:b w:val="1"/>
        </w:rPr>
      </w:pPr>
      <w:r>
        <w:rPr>
          <w:rFonts w:ascii="Arial" w:hAnsi="Arial"/>
          <w:b w:val="1"/>
        </w:rPr>
        <w:t>Registro na DER (Departamento de Estradas e Rodagens);</w:t>
      </w:r>
    </w:p>
    <w:p>
      <w:pPr>
        <w:pStyle w:val="P13"/>
        <w:numPr>
          <w:ilvl w:val="2"/>
          <w:numId w:val="5"/>
        </w:numPr>
        <w:tabs>
          <w:tab w:val="left" w:pos="1560" w:leader="none"/>
          <w:tab w:val="left" w:pos="1843" w:leader="none"/>
        </w:tabs>
        <w:ind w:firstLine="0" w:left="993"/>
        <w:contextualSpacing w:val="0"/>
        <w:rPr>
          <w:rFonts w:ascii="Arial" w:hAnsi="Arial"/>
          <w:b w:val="1"/>
        </w:rPr>
      </w:pPr>
      <w:r>
        <w:rPr>
          <w:rFonts w:ascii="Arial" w:hAnsi="Arial"/>
          <w:b w:val="1"/>
        </w:rPr>
        <w:t xml:space="preserve">Registro na CADASTRUR (www.cadastrur.turismo.gov.br) e </w:t>
      </w:r>
    </w:p>
    <w:p>
      <w:pPr>
        <w:pStyle w:val="P13"/>
        <w:numPr>
          <w:ilvl w:val="2"/>
          <w:numId w:val="5"/>
        </w:numPr>
        <w:tabs>
          <w:tab w:val="left" w:pos="1560" w:leader="none"/>
          <w:tab w:val="left" w:pos="1843" w:leader="none"/>
        </w:tabs>
        <w:ind w:firstLine="0" w:left="993"/>
        <w:contextualSpacing w:val="0"/>
        <w:rPr>
          <w:rFonts w:ascii="Arial" w:hAnsi="Arial"/>
          <w:b w:val="1"/>
        </w:rPr>
      </w:pPr>
      <w:r>
        <w:rPr>
          <w:rFonts w:ascii="Arial" w:hAnsi="Arial"/>
          <w:b w:val="1"/>
        </w:rPr>
        <w:t>Apólice de seguro dos passageiros que serão transportados;</w:t>
      </w:r>
    </w:p>
    <w:p>
      <w:pPr>
        <w:pStyle w:val="P13"/>
        <w:tabs>
          <w:tab w:val="left" w:pos="993" w:leader="none"/>
          <w:tab w:val="left" w:pos="1843" w:leader="none"/>
        </w:tabs>
        <w:ind w:left="993"/>
        <w:rPr>
          <w:rFonts w:ascii="Arial" w:hAnsi="Arial"/>
        </w:rPr>
      </w:pPr>
    </w:p>
    <w:p>
      <w:pPr>
        <w:pStyle w:val="P13"/>
        <w:numPr>
          <w:ilvl w:val="1"/>
          <w:numId w:val="5"/>
        </w:numPr>
        <w:tabs>
          <w:tab w:val="left" w:pos="567" w:leader="none"/>
          <w:tab w:val="left" w:pos="993" w:leader="none"/>
        </w:tabs>
        <w:ind w:firstLine="0" w:left="426"/>
        <w:contextualSpacing w:val="0"/>
        <w:rPr>
          <w:rFonts w:ascii="Arial" w:hAnsi="Arial"/>
          <w:b w:val="1"/>
        </w:rPr>
      </w:pPr>
      <w:r>
        <w:rPr>
          <w:rFonts w:ascii="Arial" w:hAnsi="Arial"/>
          <w:b w:val="1"/>
        </w:rPr>
        <w:t>Outras comprovações:</w:t>
      </w:r>
    </w:p>
    <w:p>
      <w:pPr>
        <w:pStyle w:val="P13"/>
        <w:numPr>
          <w:ilvl w:val="2"/>
          <w:numId w:val="5"/>
        </w:numPr>
        <w:tabs>
          <w:tab w:val="left" w:pos="1843" w:leader="none"/>
        </w:tabs>
        <w:ind w:firstLine="0" w:left="993"/>
        <w:contextualSpacing w:val="0"/>
        <w:rPr>
          <w:rFonts w:ascii="Arial" w:hAnsi="Arial"/>
        </w:rPr>
      </w:pPr>
      <w:r>
        <w:rPr>
          <w:rFonts w:ascii="Arial" w:hAnsi="Arial"/>
        </w:rPr>
        <w:t xml:space="preserve">Para </w:t>
      </w:r>
      <w:r>
        <w:rPr>
          <w:rFonts w:ascii="Arial" w:hAnsi="Arial"/>
          <w:b w:val="1"/>
        </w:rPr>
        <w:t>comprovação de enquadramento de empresa ME ou EPP</w:t>
      </w:r>
      <w:r>
        <w:rPr>
          <w:rFonts w:ascii="Arial" w:hAnsi="Arial"/>
        </w:rPr>
        <w:t xml:space="preserve">, beneficiárias da Lei Complementar nº 123/2006, a empresa deverá apresentar </w:t>
      </w:r>
      <w:r>
        <w:rPr>
          <w:rFonts w:ascii="Arial" w:hAnsi="Arial"/>
          <w:b w:val="1"/>
        </w:rPr>
        <w:t>Certidão Simplificada expedida pela Junta Comercial</w:t>
      </w:r>
      <w:r>
        <w:rPr>
          <w:rFonts w:ascii="Arial" w:hAnsi="Arial"/>
        </w:rPr>
        <w:t xml:space="preserve">, com prazo de validade de até </w:t>
      </w:r>
      <w:r>
        <w:rPr>
          <w:rFonts w:ascii="Arial" w:hAnsi="Arial"/>
          <w:b w:val="1"/>
        </w:rPr>
        <w:t>90 (noventa) dias</w:t>
      </w:r>
      <w:r>
        <w:rPr>
          <w:rFonts w:ascii="Arial" w:hAnsi="Arial"/>
        </w:rPr>
        <w:t xml:space="preserve"> a contar da data de emissão.</w:t>
      </w:r>
    </w:p>
    <w:p>
      <w:pPr>
        <w:pStyle w:val="P13"/>
        <w:numPr>
          <w:ilvl w:val="2"/>
          <w:numId w:val="5"/>
        </w:numPr>
        <w:tabs>
          <w:tab w:val="left" w:pos="851" w:leader="none"/>
          <w:tab w:val="left" w:pos="1843" w:leader="none"/>
        </w:tabs>
        <w:ind w:firstLine="0" w:left="993"/>
        <w:contextualSpacing w:val="0"/>
        <w:rPr>
          <w:rFonts w:ascii="Arial" w:hAnsi="Arial"/>
          <w:color w:val="000000"/>
        </w:rPr>
      </w:pPr>
      <w:r>
        <w:rPr>
          <w:rFonts w:ascii="Arial" w:hAnsi="Arial"/>
          <w:color w:val="000000"/>
        </w:rPr>
        <w:t xml:space="preserve">Como condição de participação no certame, o licitante ainda </w:t>
      </w:r>
      <w:r>
        <w:rPr>
          <w:rFonts w:ascii="Arial" w:hAnsi="Arial"/>
          <w:b w:val="1"/>
          <w:color w:val="000000"/>
        </w:rPr>
        <w:t>deverá</w:t>
      </w:r>
      <w:r>
        <w:rPr>
          <w:rFonts w:ascii="Arial" w:hAnsi="Arial"/>
          <w:color w:val="000000"/>
        </w:rPr>
        <w:t xml:space="preserve"> apresentar </w:t>
      </w:r>
      <w:r>
        <w:rPr>
          <w:rFonts w:ascii="Arial" w:hAnsi="Arial"/>
          <w:b w:val="1"/>
          <w:color w:val="000000"/>
          <w:highlight w:val="yellow"/>
        </w:rPr>
        <w:t>Declaração de Responsabilidade Unificada</w:t>
      </w:r>
      <w:r>
        <w:rPr>
          <w:rFonts w:ascii="Arial" w:hAnsi="Arial"/>
          <w:color w:val="000000"/>
          <w:highlight w:val="yellow"/>
        </w:rPr>
        <w:t xml:space="preserve"> (</w:t>
      </w:r>
      <w:r>
        <w:rPr>
          <w:rFonts w:ascii="Arial" w:hAnsi="Arial"/>
          <w:b w:val="1"/>
          <w:color w:val="000000"/>
          <w:highlight w:val="yellow"/>
        </w:rPr>
        <w:t>Anexo II</w:t>
      </w:r>
      <w:r>
        <w:rPr>
          <w:rFonts w:ascii="Arial" w:hAnsi="Arial"/>
          <w:color w:val="000000"/>
          <w:highlight w:val="yellow"/>
        </w:rPr>
        <w:t>).</w:t>
      </w:r>
    </w:p>
    <w:p>
      <w:pPr>
        <w:pStyle w:val="P13"/>
        <w:numPr>
          <w:ilvl w:val="2"/>
          <w:numId w:val="5"/>
        </w:numPr>
        <w:tabs>
          <w:tab w:val="left" w:pos="1843" w:leader="none"/>
        </w:tabs>
        <w:ind w:firstLine="0" w:left="993"/>
        <w:contextualSpacing w:val="0"/>
        <w:rPr>
          <w:rFonts w:ascii="Arial" w:hAnsi="Arial"/>
        </w:rPr>
      </w:pPr>
      <w:r>
        <w:rPr>
          <w:rFonts w:ascii="Arial" w:hAnsi="Arial"/>
          <w:b w:val="1"/>
        </w:rPr>
        <w:t>Tratando-se de procurador ou representante legal, a procuração por instrumento público ou particular assinada pelo Sócio/Administrador/Empresário da licitante</w:t>
      </w:r>
      <w:r>
        <w:rPr>
          <w:rFonts w:ascii="Arial" w:hAnsi="Arial"/>
        </w:rPr>
        <w:t>, com firma reconhecida ou autenticada digitalmente, da qual constem, no mínimo, poderes específicos para formular lances, negociar preço, interpor recursos e desistir de sua interposição e praticar todos os demais atos pertinentes ao certame, se for o caso.</w:t>
      </w:r>
    </w:p>
    <w:p>
      <w:pPr>
        <w:pStyle w:val="P13"/>
        <w:numPr>
          <w:ilvl w:val="1"/>
          <w:numId w:val="5"/>
        </w:numPr>
        <w:tabs>
          <w:tab w:val="left" w:pos="567" w:leader="none"/>
          <w:tab w:val="left" w:pos="993" w:leader="none"/>
        </w:tabs>
        <w:ind w:firstLine="0" w:left="426"/>
        <w:contextualSpacing w:val="0"/>
        <w:rPr>
          <w:rFonts w:ascii="Arial" w:hAnsi="Arial"/>
          <w:b w:val="1"/>
        </w:rPr>
      </w:pPr>
      <w:r>
        <w:rPr>
          <w:rFonts w:ascii="Arial" w:hAnsi="Arial"/>
        </w:rPr>
        <w:t>O licitante enquadrado como MEI que pretenda auferir os benefícios do tratamento diferenciado previstos na Lei Complementar nº 123/2006, estará dispensado da prova de inscrição nos cadastros de contribuintes estadual e municipal.</w:t>
      </w:r>
    </w:p>
    <w:p>
      <w:pPr>
        <w:pStyle w:val="P13"/>
        <w:numPr>
          <w:ilvl w:val="1"/>
          <w:numId w:val="5"/>
        </w:numPr>
        <w:tabs>
          <w:tab w:val="left" w:pos="567" w:leader="none"/>
          <w:tab w:val="left" w:pos="993" w:leader="none"/>
        </w:tabs>
        <w:ind w:firstLine="0" w:left="426"/>
        <w:contextualSpacing w:val="0"/>
        <w:rPr>
          <w:rFonts w:ascii="Arial" w:hAnsi="Arial"/>
          <w:b w:val="1"/>
        </w:rPr>
      </w:pPr>
      <w:r>
        <w:rPr>
          <w:rFonts w:ascii="Arial" w:hAnsi="Arial"/>
          <w:color w:val="000000"/>
        </w:rPr>
        <w:t xml:space="preserve">A existência de restrição relativamente à regularidade fiscal e trabalhista não impede que a licitante qualificada como MPE seja </w:t>
      </w:r>
      <w:r>
        <w:rPr>
          <w:rFonts w:ascii="Arial" w:hAnsi="Arial"/>
        </w:rPr>
        <w:t>declarada</w:t>
      </w:r>
      <w:r>
        <w:rPr>
          <w:rFonts w:ascii="Arial" w:hAnsi="Arial"/>
          <w:color w:val="000000"/>
        </w:rPr>
        <w:t xml:space="preserve"> vencedora, uma vez que atenda a todas as demais exigências do edital.</w:t>
      </w:r>
    </w:p>
    <w:p>
      <w:pPr>
        <w:pStyle w:val="P13"/>
        <w:numPr>
          <w:ilvl w:val="2"/>
          <w:numId w:val="7"/>
        </w:numPr>
        <w:tabs>
          <w:tab w:val="left" w:pos="1843" w:leader="none"/>
        </w:tabs>
        <w:ind w:firstLine="0" w:left="993"/>
        <w:contextualSpacing w:val="0"/>
        <w:rPr>
          <w:rFonts w:ascii="Arial" w:hAnsi="Arial"/>
          <w:color w:val="000000"/>
        </w:rPr>
      </w:pPr>
      <w:r>
        <w:rPr>
          <w:rFonts w:ascii="Arial" w:hAnsi="Arial"/>
          <w:color w:val="000000"/>
        </w:rPr>
        <w:t>A declaração do vencedor acontecerá no momento imediatamente posterior à fase de habilitação.</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rPr>
        <w:t xml:space="preserve">Caso a </w:t>
      </w:r>
      <w:r>
        <w:rPr>
          <w:rFonts w:ascii="Arial" w:hAnsi="Arial"/>
          <w:color w:val="000000"/>
        </w:rPr>
        <w:t>proposta mais vantajosa seja ofertada por licitante qualificada como MPE,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color w:val="000000"/>
        </w:rPr>
        <w:t>A não-regularização fiscal e trabalhista no prazo previsto no subitem anterior acarretará da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color w:val="000000"/>
        </w:rPr>
        <w:t xml:space="preserve">Havendo necessidade de analisar minuciosamente os documentos exigidos, o(a) Pregoeiro(a) suspenderá a sessão, informando no </w:t>
      </w:r>
      <w:r>
        <w:rPr>
          <w:rFonts w:ascii="Arial" w:hAnsi="Arial"/>
          <w:i w:val="1"/>
          <w:color w:val="000000"/>
        </w:rPr>
        <w:t>chat</w:t>
      </w:r>
      <w:r>
        <w:rPr>
          <w:rFonts w:ascii="Arial" w:hAnsi="Arial"/>
          <w:color w:val="000000"/>
        </w:rPr>
        <w:t xml:space="preserve"> a nova data e horário para sua continuidade.</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color w:val="000000"/>
        </w:rPr>
        <w:t>Será inabilitado o licitante que não comprovar sua habilitação, seja por não apresentar quaisquer dos documentos exigidos para tanto, ou apresentá-los em desacordo com o estabelecido neste Edital.</w:t>
      </w:r>
    </w:p>
    <w:p>
      <w:pPr>
        <w:tabs>
          <w:tab w:val="left" w:pos="567" w:leader="none"/>
          <w:tab w:val="left" w:pos="993" w:leader="none"/>
        </w:tabs>
        <w:ind w:left="426"/>
        <w:rPr>
          <w:rFonts w:ascii="Arial" w:hAnsi="Arial"/>
          <w:color w:val="000000"/>
        </w:rPr>
      </w:pPr>
      <w:r>
        <w:rPr>
          <w:rFonts w:ascii="Arial" w:hAnsi="Arial"/>
          <w:color w:val="000000"/>
        </w:rPr>
        <w:t>Nos itens não exclusivos a microempresas e empresas de pequeno porte, em havendo inabilitação, haverá nova verificação, pelo sistema, da eventual ocorrência do empate ficto, previsto nos artigos 44 e 45 da Lei Complementar nº 123/2006, seguindo-se a disciplina antes estabelecida para aceitação da proposta subsequente.</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color w:val="000000"/>
        </w:rPr>
        <w:t>Constatado o atendimento às exigências de habilitação fixadas no Edital, o licitante será declarado vencedor.</w:t>
      </w:r>
    </w:p>
    <w:p>
      <w:pPr>
        <w:pStyle w:val="P13"/>
        <w:tabs>
          <w:tab w:val="left" w:pos="567" w:leader="none"/>
          <w:tab w:val="left" w:pos="993" w:leader="none"/>
        </w:tabs>
        <w:ind w:left="426"/>
        <w:rPr>
          <w:rFonts w:ascii="Arial" w:hAnsi="Arial"/>
          <w:color w:val="000000"/>
        </w:rPr>
      </w:pPr>
    </w:p>
    <w:p>
      <w:pPr>
        <w:pStyle w:val="P43"/>
        <w:tabs>
          <w:tab w:val="left" w:pos="426" w:leader="none"/>
          <w:tab w:val="clear" w:pos="567" w:leader="none"/>
        </w:tabs>
        <w:spacing w:before="0" w:beforeAutospacing="0" w:afterAutospacing="0"/>
        <w:rPr>
          <w:rFonts w:ascii="Arial" w:hAnsi="Arial"/>
          <w:color w:val="auto"/>
          <w:sz w:val="20"/>
        </w:rPr>
      </w:pPr>
      <w:r>
        <w:rPr>
          <w:rFonts w:ascii="Arial" w:hAnsi="Arial"/>
          <w:color w:val="auto"/>
          <w:sz w:val="20"/>
        </w:rPr>
        <w:t>DO ENCAMINHAMENTO DA PROPOSTA VENCEDORA</w:t>
      </w:r>
    </w:p>
    <w:p>
      <w:pPr>
        <w:pStyle w:val="P13"/>
        <w:numPr>
          <w:ilvl w:val="1"/>
          <w:numId w:val="2"/>
        </w:numPr>
        <w:tabs>
          <w:tab w:val="left" w:pos="567" w:leader="none"/>
          <w:tab w:val="left" w:pos="993" w:leader="none"/>
        </w:tabs>
        <w:ind w:firstLine="0" w:left="426"/>
        <w:contextualSpacing w:val="0"/>
        <w:rPr>
          <w:rFonts w:ascii="Arial" w:hAnsi="Arial"/>
          <w:b w:val="1"/>
          <w:color w:val="000000"/>
        </w:rPr>
      </w:pPr>
      <w:r>
        <w:rPr>
          <w:rFonts w:ascii="Arial" w:hAnsi="Arial"/>
          <w:color w:val="000000"/>
        </w:rPr>
        <w:t xml:space="preserve">A proposta final do licitante declarado vencedor deverá ser encaminhada no prazo de </w:t>
      </w:r>
      <w:r>
        <w:rPr>
          <w:rFonts w:ascii="Arial" w:hAnsi="Arial"/>
          <w:b w:val="1"/>
          <w:color w:val="000000"/>
        </w:rPr>
        <w:t>02 (duas) horas</w:t>
      </w:r>
      <w:r>
        <w:rPr>
          <w:rFonts w:ascii="Arial" w:hAnsi="Arial"/>
          <w:color w:val="000000"/>
        </w:rPr>
        <w:t>,</w:t>
      </w:r>
      <w:r>
        <w:rPr>
          <w:rFonts w:ascii="Arial" w:hAnsi="Arial"/>
          <w:b w:val="1"/>
          <w:color w:val="000000"/>
        </w:rPr>
        <w:t xml:space="preserve"> </w:t>
      </w:r>
      <w:r>
        <w:rPr>
          <w:rFonts w:ascii="Arial" w:hAnsi="Arial"/>
          <w:color w:val="000000"/>
        </w:rPr>
        <w:t>a contar da solicitação do(a) Pregoeiro(a) no sistema eletrônico, podendo ser utilizado o modelo do anexo IV e deverá:</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ser redigida em língua portuguesa, datilografada ou digitada, em uma via, sem emendas, rasuras, entrelinhas ou ressalvas, devendo a última folha ser assinada e as demais rubricadas pelo licitante ou seu representante legal;</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conter a indicação do banco, número da conta e agência do licitante vencedor, para fins de pagamento;</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 xml:space="preserve">conter </w:t>
      </w:r>
      <w:r>
        <w:rPr>
          <w:rFonts w:ascii="Arial" w:hAnsi="Arial"/>
        </w:rPr>
        <w:t xml:space="preserve">identificação completa da empresa (Razão Social, endereço, Inscrição no CNPJ, contato telefônico e de </w:t>
      </w:r>
      <w:r>
        <w:rPr>
          <w:rFonts w:ascii="Arial" w:hAnsi="Arial"/>
          <w:i w:val="1"/>
        </w:rPr>
        <w:t>e-mail</w:t>
      </w:r>
      <w:r>
        <w:rPr>
          <w:rFonts w:ascii="Arial" w:hAnsi="Arial"/>
        </w:rPr>
        <w:t xml:space="preserve">) e do responsável apto para assinatura de contrato, número e modalidade da Licitação e prazo de validade da proposta não inferior a </w:t>
      </w:r>
      <w:r>
        <w:rPr>
          <w:rFonts w:ascii="Arial" w:hAnsi="Arial"/>
          <w:b w:val="1"/>
        </w:rPr>
        <w:t>60 (sessenta) dias</w:t>
      </w:r>
      <w:r>
        <w:rPr>
          <w:rFonts w:ascii="Arial" w:hAnsi="Arial"/>
        </w:rPr>
        <w:t>.</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color w:val="000000"/>
        </w:rPr>
        <w:t>A proposta final deverá ser documentada nos autos e será levada em consideração no decorrer da execução do contrato e aplicação de eventual sanção à Contratada, se for o caso.</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color w:val="000000"/>
        </w:rPr>
        <w:t>As especificações dos serviços contidas na proposta apresentada pela CONTRATADA vinculam a execução contratual, devendo ser observadas integralmente durante a prestação dos serviços.</w:t>
      </w:r>
    </w:p>
    <w:p>
      <w:pPr>
        <w:pStyle w:val="P13"/>
        <w:numPr>
          <w:ilvl w:val="1"/>
          <w:numId w:val="2"/>
        </w:numPr>
        <w:tabs>
          <w:tab w:val="left" w:pos="567" w:leader="none"/>
          <w:tab w:val="left" w:pos="993" w:leader="none"/>
        </w:tabs>
        <w:ind w:firstLine="0" w:left="426"/>
        <w:contextualSpacing w:val="0"/>
        <w:rPr>
          <w:rFonts w:ascii="Arial" w:hAnsi="Arial"/>
          <w:color w:val="000000"/>
        </w:rPr>
      </w:pPr>
      <w:r>
        <w:rPr>
          <w:rFonts w:ascii="Arial" w:hAnsi="Arial"/>
        </w:rPr>
        <w:t>Os preços deverão ser expressos em moeda corrente nacional, o valor unitário em algarismos e o valor global em algarismos e por extenso.</w:t>
      </w:r>
    </w:p>
    <w:p>
      <w:pPr>
        <w:pStyle w:val="P13"/>
        <w:numPr>
          <w:ilvl w:val="2"/>
          <w:numId w:val="2"/>
        </w:numPr>
        <w:tabs>
          <w:tab w:val="left" w:pos="1701" w:leader="none"/>
        </w:tabs>
        <w:ind w:firstLine="0" w:left="993"/>
        <w:contextualSpacing w:val="0"/>
        <w:rPr>
          <w:rFonts w:ascii="Arial" w:hAnsi="Arial"/>
        </w:rPr>
      </w:pPr>
      <w:r>
        <w:rPr>
          <w:rFonts w:ascii="Arial" w:hAnsi="Arial"/>
        </w:rPr>
        <w:t>Ocorrendo divergência entre os preços unitários e o preço global, prevalecerão os primeiros; no caso de divergência entre os valores numéricos e os valores expressos por extenso, prevalecerão estes últimos.</w:t>
      </w:r>
    </w:p>
    <w:p>
      <w:pPr>
        <w:pStyle w:val="P13"/>
        <w:numPr>
          <w:ilvl w:val="1"/>
          <w:numId w:val="2"/>
        </w:numPr>
        <w:tabs>
          <w:tab w:val="left" w:pos="567" w:leader="none"/>
          <w:tab w:val="left" w:pos="993" w:leader="none"/>
        </w:tabs>
        <w:ind w:firstLine="0" w:left="426"/>
        <w:contextualSpacing w:val="0"/>
        <w:rPr>
          <w:rFonts w:ascii="Arial" w:hAnsi="Arial"/>
        </w:rPr>
      </w:pPr>
      <w:r>
        <w:rPr>
          <w:rFonts w:ascii="Arial" w:hAnsi="Arial"/>
        </w:rPr>
        <w:t>A oferta deverá ser firme e precisa, limitada, rigorosamente, ao objeto deste Edital, sem conter alternativas de preço ou de qualquer outra condição que induza o julgamento a mais de um resultado, sob pena de desclassificação.</w:t>
      </w:r>
    </w:p>
    <w:p>
      <w:pPr>
        <w:pStyle w:val="P13"/>
        <w:numPr>
          <w:ilvl w:val="1"/>
          <w:numId w:val="2"/>
        </w:numPr>
        <w:tabs>
          <w:tab w:val="left" w:pos="567" w:leader="none"/>
          <w:tab w:val="left" w:pos="993" w:leader="none"/>
        </w:tabs>
        <w:ind w:firstLine="0" w:left="426"/>
        <w:contextualSpacing w:val="0"/>
        <w:rPr>
          <w:rFonts w:ascii="Arial" w:hAnsi="Arial"/>
        </w:rPr>
      </w:pPr>
      <w:r>
        <w:rPr>
          <w:rFonts w:ascii="Arial" w:hAnsi="Arial"/>
        </w:rPr>
        <w:t>A proposta deverá obedecer aos termos deste Edital e seus Anexos, não sendo considerada aquela que não corresponda às especificações ali contidas ou que estabeleça vínculo à proposta de outro licitante.</w:t>
      </w:r>
    </w:p>
    <w:p>
      <w:pPr>
        <w:pStyle w:val="P13"/>
        <w:numPr>
          <w:ilvl w:val="1"/>
          <w:numId w:val="2"/>
        </w:numPr>
        <w:tabs>
          <w:tab w:val="left" w:pos="567" w:leader="none"/>
          <w:tab w:val="left" w:pos="993" w:leader="none"/>
        </w:tabs>
        <w:ind w:firstLine="0" w:left="426"/>
        <w:contextualSpacing w:val="0"/>
        <w:rPr>
          <w:rFonts w:ascii="Arial" w:hAnsi="Arial"/>
        </w:rPr>
      </w:pPr>
      <w:r>
        <w:rPr>
          <w:rFonts w:ascii="Arial" w:hAnsi="Arial"/>
        </w:rPr>
        <w:t>As propostas que contenham a descrição do objeto, o valor e os documentos complementares estarão disponíveis na internet, após a homologação.</w:t>
      </w:r>
    </w:p>
    <w:p>
      <w:pPr>
        <w:pStyle w:val="P13"/>
        <w:tabs>
          <w:tab w:val="left" w:pos="567" w:leader="none"/>
          <w:tab w:val="left" w:pos="993" w:leader="none"/>
        </w:tabs>
        <w:ind w:left="426"/>
        <w:rPr>
          <w:rFonts w:ascii="Arial" w:hAnsi="Arial"/>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DOS RECURSOS</w:t>
      </w:r>
    </w:p>
    <w:p>
      <w:pPr>
        <w:pStyle w:val="P13"/>
        <w:numPr>
          <w:ilvl w:val="1"/>
          <w:numId w:val="2"/>
        </w:numPr>
        <w:tabs>
          <w:tab w:val="left" w:pos="993" w:leader="none"/>
        </w:tabs>
        <w:ind w:firstLine="0" w:left="426"/>
        <w:contextualSpacing w:val="0"/>
        <w:rPr>
          <w:rFonts w:ascii="Arial" w:hAnsi="Arial"/>
        </w:rPr>
      </w:pPr>
      <w:r>
        <w:rPr>
          <w:rFonts w:ascii="Arial" w:hAnsi="Arial"/>
        </w:rPr>
        <w:t>A interposição de recurso referente ao julgamento das propostas, à habilitação ou inabilitação de licitantes, à anulação ou revogação da licitação, observará o disposto no art. 165, da Lei nº 14.133/2021.</w:t>
      </w:r>
    </w:p>
    <w:p>
      <w:pPr>
        <w:pStyle w:val="P13"/>
        <w:numPr>
          <w:ilvl w:val="1"/>
          <w:numId w:val="2"/>
        </w:numPr>
        <w:tabs>
          <w:tab w:val="left" w:pos="993" w:leader="none"/>
        </w:tabs>
        <w:ind w:firstLine="0" w:left="425"/>
        <w:contextualSpacing w:val="0"/>
        <w:rPr>
          <w:rFonts w:ascii="Arial" w:hAnsi="Arial"/>
        </w:rPr>
      </w:pPr>
      <w:r>
        <w:rPr>
          <w:rFonts w:ascii="Arial" w:hAnsi="Arial"/>
        </w:rPr>
        <w:t xml:space="preserve">Declarado o vencedor e decorrida a fase de regularização fiscal e trabalhista da licitante qualificada como MPE, se for o caso, será concedido o </w:t>
      </w:r>
      <w:r>
        <w:rPr>
          <w:rFonts w:ascii="Arial" w:hAnsi="Arial"/>
          <w:b w:val="1"/>
        </w:rPr>
        <w:t>prazo de 10 (dez) minutos</w:t>
      </w:r>
      <w:r>
        <w:rPr>
          <w:rFonts w:ascii="Arial" w:hAnsi="Arial"/>
        </w:rPr>
        <w:t xml:space="preserve">, para que qualquer licitante manifeste a intenção de recorrer, de forma motivada, isto é, indicando contra qual(is) decisão(ões) pretende recorrer e por quais motivos, </w:t>
      </w:r>
      <w:r>
        <w:rPr>
          <w:rFonts w:ascii="Arial" w:hAnsi="Arial"/>
          <w:b w:val="1"/>
        </w:rPr>
        <w:t>exclusivamente</w:t>
      </w:r>
      <w:r>
        <w:rPr>
          <w:rFonts w:ascii="Arial" w:hAnsi="Arial"/>
        </w:rPr>
        <w:t xml:space="preserve"> </w:t>
      </w:r>
      <w:r>
        <w:rPr>
          <w:rFonts w:ascii="Arial" w:hAnsi="Arial"/>
          <w:b w:val="1"/>
        </w:rPr>
        <w:t>em campo próprio do sistema BLL</w:t>
      </w:r>
      <w:r>
        <w:rPr>
          <w:rFonts w:ascii="Arial" w:hAnsi="Arial"/>
        </w:rPr>
        <w:t>.</w:t>
      </w:r>
    </w:p>
    <w:p>
      <w:pPr>
        <w:pStyle w:val="P13"/>
        <w:numPr>
          <w:ilvl w:val="1"/>
          <w:numId w:val="2"/>
        </w:numPr>
        <w:tabs>
          <w:tab w:val="left" w:pos="993" w:leader="none"/>
        </w:tabs>
        <w:ind w:firstLine="0" w:left="425"/>
        <w:contextualSpacing w:val="0"/>
        <w:rPr>
          <w:rFonts w:ascii="Arial" w:hAnsi="Arial"/>
        </w:rPr>
      </w:pPr>
      <w:r>
        <w:rPr>
          <w:rFonts w:ascii="Arial" w:hAnsi="Arial"/>
        </w:rPr>
        <w:t>Havendo quem se manifeste, caberá ao(à) Pregoeiro(a) verificar a tempestividade e a existência de motivação da intenção de recorrer, para decidir se admite ou não o recurso, fundamentadamente.</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Nesse momento o(a) Pregoeiro(a) não adentrará no mérito recursal, mas apenas verificará as condições de admissibilidade do recurso.</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A falta de manifestação motivada do licitante quanto à intenção de recorrer importará a decadência desse direito.</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 xml:space="preserve">Uma vez admitido o recurso, o recorrente terá, a partir de então, o prazo de </w:t>
      </w:r>
      <w:r>
        <w:rPr>
          <w:rFonts w:ascii="Arial" w:hAnsi="Arial"/>
          <w:b w:val="1"/>
          <w:color w:val="000000"/>
        </w:rPr>
        <w:t>03 (três) dias</w:t>
      </w:r>
      <w:r>
        <w:rPr>
          <w:rFonts w:ascii="Arial" w:hAnsi="Arial"/>
          <w:color w:val="000000"/>
        </w:rPr>
        <w:t xml:space="preserve"> </w:t>
      </w:r>
      <w:r>
        <w:rPr>
          <w:rFonts w:ascii="Arial" w:hAnsi="Arial"/>
          <w:b w:val="1"/>
          <w:color w:val="000000"/>
        </w:rPr>
        <w:t>úteis</w:t>
      </w:r>
      <w:r>
        <w:rPr>
          <w:rFonts w:ascii="Arial" w:hAnsi="Arial"/>
          <w:color w:val="000000"/>
        </w:rPr>
        <w:t xml:space="preserve"> para apresentar as razões, pelo sistema eletrônico, ficando os demais licitantes, desde logo, intimados para, querendo, apresentarem contrarrazões também pelo sistema eletrônico, </w:t>
      </w:r>
      <w:r>
        <w:rPr>
          <w:rFonts w:ascii="Arial" w:hAnsi="Arial"/>
          <w:b w:val="1"/>
          <w:color w:val="000000"/>
        </w:rPr>
        <w:t>por igual período</w:t>
      </w:r>
      <w:r>
        <w:rPr>
          <w:rFonts w:ascii="Arial" w:hAnsi="Arial"/>
          <w:color w:val="000000"/>
        </w:rPr>
        <w:t>, que começarão a contar do término do prazo do recorrente, sendo-lhes assegurada vista imediata dos elementos indispensáveis à defesa de seus interesses.</w:t>
      </w:r>
    </w:p>
    <w:p>
      <w:pPr>
        <w:pStyle w:val="P13"/>
        <w:numPr>
          <w:ilvl w:val="1"/>
          <w:numId w:val="2"/>
        </w:numPr>
        <w:tabs>
          <w:tab w:val="left" w:pos="993" w:leader="none"/>
        </w:tabs>
        <w:ind w:firstLine="0" w:left="426"/>
        <w:contextualSpacing w:val="0"/>
        <w:rPr>
          <w:rFonts w:ascii="Arial" w:hAnsi="Arial"/>
          <w:color w:val="000000"/>
        </w:rPr>
      </w:pPr>
      <w:r>
        <w:rPr>
          <w:rFonts w:ascii="Arial" w:hAnsi="Arial"/>
          <w:color w:val="000000"/>
        </w:rPr>
        <w:t xml:space="preserve">O recurso será dirigido à autoridade que tiver editado o ato ou proferido a decisão recorrida, a qual poderá reconsiderar sua decisão no prazo de </w:t>
      </w:r>
      <w:r>
        <w:rPr>
          <w:rFonts w:ascii="Arial" w:hAnsi="Arial"/>
          <w:b w:val="1"/>
          <w:color w:val="000000"/>
        </w:rPr>
        <w:t>03 (três) dias úteis</w:t>
      </w:r>
      <w:r>
        <w:rPr>
          <w:rFonts w:ascii="Arial" w:hAnsi="Arial"/>
          <w:color w:val="000000"/>
        </w:rPr>
        <w:t xml:space="preserve">, ou, nesse mesmo prazo, submeter o processo à Autoridade Superior, a qual deverá proferir sua decisão no prazo de </w:t>
      </w:r>
      <w:r>
        <w:rPr>
          <w:rFonts w:ascii="Arial" w:hAnsi="Arial"/>
          <w:b w:val="1"/>
          <w:color w:val="000000"/>
        </w:rPr>
        <w:t>10 (dez) dias úteis</w:t>
      </w:r>
      <w:r>
        <w:rPr>
          <w:rFonts w:ascii="Arial" w:hAnsi="Arial"/>
          <w:color w:val="000000"/>
        </w:rPr>
        <w:t>, contados do recebimento dos autos.</w:t>
      </w:r>
    </w:p>
    <w:p>
      <w:pPr>
        <w:pStyle w:val="P13"/>
        <w:numPr>
          <w:ilvl w:val="1"/>
          <w:numId w:val="2"/>
        </w:numPr>
        <w:tabs>
          <w:tab w:val="left" w:pos="993" w:leader="none"/>
        </w:tabs>
        <w:ind w:firstLine="0" w:left="425"/>
        <w:contextualSpacing w:val="0"/>
        <w:rPr>
          <w:rFonts w:ascii="Arial" w:hAnsi="Arial"/>
        </w:rPr>
      </w:pPr>
      <w:r>
        <w:rPr>
          <w:rFonts w:ascii="Arial" w:hAnsi="Arial"/>
          <w:color w:val="000000"/>
        </w:rPr>
        <w:t>O</w:t>
      </w:r>
      <w:r>
        <w:rPr>
          <w:rFonts w:ascii="Arial" w:hAnsi="Arial"/>
        </w:rPr>
        <w:t xml:space="preserve"> acolhimento do recurso invalida tão somente os atos insuscetíveis de aproveitamento. </w:t>
      </w:r>
    </w:p>
    <w:p>
      <w:pPr>
        <w:pStyle w:val="P13"/>
        <w:tabs>
          <w:tab w:val="left" w:pos="993" w:leader="none"/>
        </w:tabs>
        <w:ind w:left="425"/>
        <w:rPr>
          <w:rFonts w:ascii="Arial" w:hAnsi="Arial"/>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DA REABERTURA DA SESSÃO PÚBLICA</w:t>
      </w:r>
    </w:p>
    <w:p>
      <w:pPr>
        <w:pStyle w:val="P13"/>
        <w:numPr>
          <w:ilvl w:val="1"/>
          <w:numId w:val="2"/>
        </w:numPr>
        <w:tabs>
          <w:tab w:val="left" w:pos="993" w:leader="none"/>
        </w:tabs>
        <w:ind w:firstLine="0" w:left="425"/>
        <w:contextualSpacing w:val="0"/>
        <w:rPr>
          <w:rFonts w:ascii="Arial" w:hAnsi="Arial"/>
        </w:rPr>
      </w:pPr>
      <w:r>
        <w:rPr>
          <w:rFonts w:ascii="Arial" w:hAnsi="Arial"/>
        </w:rPr>
        <w:t>A sessão pública poderá ser reaberta:</w:t>
      </w:r>
    </w:p>
    <w:p>
      <w:pPr>
        <w:pStyle w:val="P13"/>
        <w:numPr>
          <w:ilvl w:val="2"/>
          <w:numId w:val="2"/>
        </w:numPr>
        <w:tabs>
          <w:tab w:val="left" w:pos="1418" w:leader="none"/>
          <w:tab w:val="left" w:pos="1701" w:leader="none"/>
        </w:tabs>
        <w:ind w:firstLine="0" w:left="993"/>
        <w:contextualSpacing w:val="0"/>
        <w:rPr>
          <w:rFonts w:ascii="Arial" w:hAnsi="Arial"/>
          <w:color w:val="000000"/>
        </w:rPr>
      </w:pPr>
      <w:r>
        <w:rPr>
          <w:rFonts w:ascii="Arial" w:hAnsi="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pPr>
        <w:pStyle w:val="P13"/>
        <w:numPr>
          <w:ilvl w:val="1"/>
          <w:numId w:val="2"/>
        </w:numPr>
        <w:tabs>
          <w:tab w:val="left" w:pos="993" w:leader="none"/>
        </w:tabs>
        <w:ind w:firstLine="0" w:left="425"/>
        <w:contextualSpacing w:val="0"/>
        <w:rPr>
          <w:rFonts w:ascii="Arial" w:hAnsi="Arial"/>
        </w:rPr>
      </w:pPr>
      <w:r>
        <w:rPr>
          <w:rFonts w:ascii="Arial" w:hAnsi="Arial"/>
        </w:rPr>
        <w:t>Todos os licitantes remanescentes deverão ser convocados para acompanhar a sessão reaberta.</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A convocação se dará por meio do sistema eletrônico (“</w:t>
      </w:r>
      <w:r>
        <w:rPr>
          <w:rFonts w:ascii="Arial" w:hAnsi="Arial"/>
          <w:i w:val="1"/>
          <w:color w:val="000000"/>
        </w:rPr>
        <w:t>chat</w:t>
      </w:r>
      <w:r>
        <w:rPr>
          <w:rFonts w:ascii="Arial" w:hAnsi="Arial"/>
          <w:color w:val="000000"/>
        </w:rPr>
        <w:t xml:space="preserve">”), </w:t>
      </w:r>
      <w:r>
        <w:rPr>
          <w:rFonts w:ascii="Arial" w:hAnsi="Arial"/>
          <w:i w:val="1"/>
          <w:color w:val="000000"/>
        </w:rPr>
        <w:t>e-mail</w:t>
      </w:r>
      <w:r>
        <w:rPr>
          <w:rFonts w:ascii="Arial" w:hAnsi="Arial"/>
          <w:color w:val="000000"/>
        </w:rPr>
        <w:t>, de acordo com a fase do procedimento licitatório.</w:t>
      </w:r>
    </w:p>
    <w:p>
      <w:pPr>
        <w:pStyle w:val="P13"/>
        <w:numPr>
          <w:ilvl w:val="2"/>
          <w:numId w:val="2"/>
        </w:numPr>
        <w:tabs>
          <w:tab w:val="left" w:pos="1701" w:leader="none"/>
        </w:tabs>
        <w:ind w:firstLine="0" w:left="993"/>
        <w:contextualSpacing w:val="0"/>
        <w:rPr>
          <w:rFonts w:ascii="Arial" w:hAnsi="Arial"/>
          <w:color w:val="000000"/>
        </w:rPr>
      </w:pPr>
      <w:r>
        <w:rPr>
          <w:rFonts w:ascii="Arial" w:hAnsi="Arial"/>
          <w:color w:val="000000"/>
        </w:rPr>
        <w:t xml:space="preserve">A convocação feita por </w:t>
      </w:r>
      <w:r>
        <w:rPr>
          <w:rFonts w:ascii="Arial" w:hAnsi="Arial"/>
          <w:i w:val="1"/>
          <w:color w:val="000000"/>
        </w:rPr>
        <w:t>e-mail</w:t>
      </w:r>
      <w:r>
        <w:rPr>
          <w:rFonts w:ascii="Arial" w:hAnsi="Arial"/>
          <w:color w:val="000000"/>
        </w:rPr>
        <w:t xml:space="preserve"> e/ou via telefone dar-se-á de acordo com os dados contidos na Proposta de Preço conforme item 7.1.</w:t>
      </w:r>
    </w:p>
    <w:p>
      <w:pPr>
        <w:pStyle w:val="P13"/>
        <w:tabs>
          <w:tab w:val="left" w:pos="1843" w:leader="none"/>
        </w:tabs>
        <w:ind w:left="1134"/>
        <w:rPr>
          <w:rFonts w:ascii="Arial" w:hAnsi="Arial"/>
          <w:color w:val="000000"/>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 xml:space="preserve">DA ADJUDICAÇÃO E HOMOLOGAÇÃO </w:t>
      </w:r>
    </w:p>
    <w:p>
      <w:pPr>
        <w:pStyle w:val="P13"/>
        <w:numPr>
          <w:ilvl w:val="1"/>
          <w:numId w:val="2"/>
        </w:numPr>
        <w:tabs>
          <w:tab w:val="left" w:pos="993" w:leader="none"/>
        </w:tabs>
        <w:ind w:firstLine="0" w:left="425"/>
        <w:contextualSpacing w:val="0"/>
        <w:rPr>
          <w:rFonts w:ascii="Arial" w:hAnsi="Arial"/>
        </w:rPr>
      </w:pPr>
      <w:r>
        <w:rPr>
          <w:rFonts w:ascii="Arial" w:hAnsi="Arial"/>
        </w:rPr>
        <w:t>O objeto da licitação será adjudicado ao licitante declarado vencedor, por ato do(a) Pregoeiro(a), caso não haja interposição de recurso, ou pela autoridade competente, após a regular decisão dos recursos apresentados.</w:t>
      </w:r>
    </w:p>
    <w:p>
      <w:pPr>
        <w:pStyle w:val="P13"/>
        <w:numPr>
          <w:ilvl w:val="1"/>
          <w:numId w:val="2"/>
        </w:numPr>
        <w:tabs>
          <w:tab w:val="left" w:pos="993" w:leader="none"/>
        </w:tabs>
        <w:ind w:firstLine="0" w:left="425"/>
        <w:contextualSpacing w:val="0"/>
        <w:rPr>
          <w:rFonts w:ascii="Arial" w:hAnsi="Arial"/>
          <w:color w:val="000000"/>
        </w:rPr>
      </w:pPr>
      <w:r>
        <w:rPr>
          <w:rFonts w:ascii="Arial" w:hAnsi="Arial"/>
        </w:rPr>
        <w:t>Após a fase recursal, constatada a regularidade dos atos praticados, a autoridade competente homologará o procedimento licitatório, ou procederá conforme alternativas do art. 71 e ss. da Lei nº 14.133/2021.</w:t>
      </w:r>
    </w:p>
    <w:p>
      <w:pPr>
        <w:pStyle w:val="P13"/>
        <w:tabs>
          <w:tab w:val="left" w:pos="993" w:leader="none"/>
        </w:tabs>
        <w:ind w:left="425"/>
        <w:rPr>
          <w:rFonts w:ascii="Arial" w:hAnsi="Arial"/>
          <w:color w:val="000000"/>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DA CONTRATAÇÃO, DA VIGÊNCIA E DO PAGAMENTO</w:t>
      </w:r>
    </w:p>
    <w:p>
      <w:pPr>
        <w:pStyle w:val="P13"/>
        <w:numPr>
          <w:ilvl w:val="1"/>
          <w:numId w:val="8"/>
        </w:numPr>
        <w:tabs>
          <w:tab w:val="left" w:pos="993" w:leader="none"/>
        </w:tabs>
        <w:ind w:firstLine="0" w:left="426"/>
        <w:contextualSpacing w:val="0"/>
        <w:rPr>
          <w:rFonts w:ascii="Arial" w:hAnsi="Arial"/>
        </w:rPr>
      </w:pPr>
      <w:r>
        <w:rPr>
          <w:rFonts w:ascii="Arial" w:hAnsi="Arial"/>
        </w:rPr>
        <w:t>Após a homologação da licitação, em sendo realizada a contratação, será firmado Contrato Administrativo ou emitido instrumento equivalente.</w:t>
      </w:r>
    </w:p>
    <w:p>
      <w:pPr>
        <w:pStyle w:val="P13"/>
        <w:numPr>
          <w:ilvl w:val="1"/>
          <w:numId w:val="8"/>
        </w:numPr>
        <w:tabs>
          <w:tab w:val="left" w:pos="993" w:leader="none"/>
        </w:tabs>
        <w:ind w:firstLine="0" w:left="426"/>
        <w:contextualSpacing w:val="0"/>
        <w:rPr>
          <w:rFonts w:ascii="Arial" w:hAnsi="Arial"/>
        </w:rPr>
      </w:pPr>
      <w:r>
        <w:rPr>
          <w:rFonts w:ascii="Arial" w:hAnsi="Arial"/>
        </w:rPr>
        <w:t xml:space="preserve">O adjudicatário terá o prazo de </w:t>
      </w:r>
      <w:r>
        <w:rPr>
          <w:rFonts w:ascii="Arial" w:hAnsi="Arial"/>
          <w:b w:val="1"/>
        </w:rPr>
        <w:t>05 (cinco) dias úteis</w:t>
      </w:r>
      <w:r>
        <w:rPr>
          <w:rFonts w:ascii="Arial" w:hAnsi="Arial"/>
        </w:rPr>
        <w:t xml:space="preserve">, contados a partir da data de sua </w:t>
      </w:r>
      <w:r>
        <w:rPr>
          <w:rFonts w:ascii="Arial" w:hAnsi="Arial"/>
          <w:color w:val="000000"/>
        </w:rPr>
        <w:t xml:space="preserve">convocação, para assinar o </w:t>
      </w:r>
      <w:r>
        <w:rPr>
          <w:rFonts w:ascii="Arial" w:hAnsi="Arial"/>
        </w:rPr>
        <w:t>Contrato Administrativo ou instrumento equivalente (Nota de Empenho, etc.)</w:t>
      </w:r>
      <w:r>
        <w:rPr>
          <w:rFonts w:ascii="Arial" w:hAnsi="Arial"/>
          <w:color w:val="000000"/>
        </w:rPr>
        <w:t xml:space="preserve"> </w:t>
      </w:r>
      <w:r>
        <w:rPr>
          <w:rFonts w:ascii="Arial" w:hAnsi="Arial"/>
        </w:rPr>
        <w:t xml:space="preserve">sob pena de decair do direito à contratação, sem prejuízo das sanções previstas neste Edital. </w:t>
      </w:r>
    </w:p>
    <w:p>
      <w:pPr>
        <w:pStyle w:val="P13"/>
        <w:numPr>
          <w:ilvl w:val="2"/>
          <w:numId w:val="8"/>
        </w:numPr>
        <w:tabs>
          <w:tab w:val="left" w:pos="1701" w:leader="none"/>
        </w:tabs>
        <w:ind w:firstLine="0" w:left="993"/>
        <w:contextualSpacing w:val="0"/>
        <w:rPr>
          <w:rFonts w:ascii="Arial" w:hAnsi="Arial"/>
        </w:rPr>
      </w:pPr>
      <w:r>
        <w:rPr>
          <w:rFonts w:ascii="Arial" w:hAnsi="Arial"/>
        </w:rPr>
        <w:t xml:space="preserve">Alternativamente à convocação para comparecer perante o órgão ou entidade para a assinatura do Contrato Administrativo, a Administração poderá encaminhá-lo para assinatura, mediante correspondência postal com aviso de recebimento (AR), disponibilização de acesso a sistema de processo eletrônico para esse fim ou outro meio eletrônico, para que seja assinado e devolvido no prazo de </w:t>
      </w:r>
      <w:r>
        <w:rPr>
          <w:rFonts w:ascii="Arial" w:hAnsi="Arial"/>
          <w:b w:val="1"/>
        </w:rPr>
        <w:t>05 (cinco) dias</w:t>
      </w:r>
      <w:r>
        <w:rPr>
          <w:rFonts w:ascii="Arial" w:hAnsi="Arial"/>
        </w:rPr>
        <w:t>, a contar da data de seu recebimento ou da disponibilização do acesso ao sistema de processo eletrônico.</w:t>
      </w:r>
    </w:p>
    <w:p>
      <w:pPr>
        <w:pStyle w:val="P13"/>
        <w:numPr>
          <w:ilvl w:val="2"/>
          <w:numId w:val="8"/>
        </w:numPr>
        <w:tabs>
          <w:tab w:val="left" w:pos="1701" w:leader="none"/>
        </w:tabs>
        <w:ind w:firstLine="0" w:left="993"/>
        <w:contextualSpacing w:val="0"/>
        <w:rPr>
          <w:rFonts w:ascii="Arial" w:hAnsi="Arial"/>
        </w:rPr>
      </w:pPr>
      <w:r>
        <w:rPr>
          <w:rFonts w:ascii="Arial" w:hAnsi="Arial"/>
        </w:rPr>
        <w:t>O prazo previsto no subitem anterior poderá ser prorrogado, por igual período, por solicitação justificada do adjudicatário e aceita pela Administração.</w:t>
      </w:r>
    </w:p>
    <w:p>
      <w:pPr>
        <w:pStyle w:val="P13"/>
        <w:numPr>
          <w:ilvl w:val="1"/>
          <w:numId w:val="8"/>
        </w:numPr>
        <w:tabs>
          <w:tab w:val="left" w:pos="993" w:leader="none"/>
        </w:tabs>
        <w:ind w:firstLine="0" w:left="426"/>
        <w:contextualSpacing w:val="0"/>
        <w:rPr>
          <w:rFonts w:ascii="Arial" w:hAnsi="Arial"/>
        </w:rPr>
      </w:pPr>
      <w:r>
        <w:rPr>
          <w:rFonts w:ascii="Arial" w:hAnsi="Arial"/>
        </w:rPr>
        <w:t xml:space="preserve">O prazo de vigência da contratação é o estabelecido no Termo de Referência. </w:t>
      </w:r>
    </w:p>
    <w:p>
      <w:pPr>
        <w:pStyle w:val="P13"/>
        <w:numPr>
          <w:ilvl w:val="1"/>
          <w:numId w:val="8"/>
        </w:numPr>
        <w:tabs>
          <w:tab w:val="left" w:pos="993" w:leader="none"/>
        </w:tabs>
        <w:ind w:firstLine="0" w:left="426"/>
        <w:contextualSpacing w:val="0"/>
        <w:rPr>
          <w:rFonts w:ascii="Arial" w:hAnsi="Arial"/>
        </w:rPr>
      </w:pPr>
      <w:r>
        <w:rPr>
          <w:rFonts w:ascii="Arial" w:hAnsi="Arial"/>
        </w:rPr>
        <w:t>Na assinatura do Contrato Administrativo ou instrumento equivalente, será exigida a comprovação das condições de habilitação consignadas no edital, que deverão ser mantidas pelo licitante durante a vigência do contrato ou da ata de registro de preços.</w:t>
      </w:r>
    </w:p>
    <w:p>
      <w:pPr>
        <w:pStyle w:val="P13"/>
        <w:numPr>
          <w:ilvl w:val="1"/>
          <w:numId w:val="8"/>
        </w:numPr>
        <w:tabs>
          <w:tab w:val="left" w:pos="993" w:leader="none"/>
        </w:tabs>
        <w:ind w:firstLine="0" w:left="426"/>
        <w:contextualSpacing w:val="0"/>
        <w:rPr>
          <w:rFonts w:ascii="Arial" w:hAnsi="Arial"/>
        </w:rPr>
      </w:pPr>
      <w:r>
        <w:rPr>
          <w:rFonts w:ascii="Arial" w:hAnsi="Arial"/>
        </w:rPr>
        <w:t>Na hipótese de o vencedor da licitação não comprovar as condições de habilitação consignadas no Edital ou se recusar a assinar o Contrato Administrativo,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pPr>
        <w:pStyle w:val="P17"/>
        <w:numPr>
          <w:ilvl w:val="1"/>
          <w:numId w:val="8"/>
        </w:numPr>
        <w:tabs>
          <w:tab w:val="left" w:pos="993" w:leader="none"/>
        </w:tabs>
        <w:ind w:firstLine="0" w:left="426"/>
        <w:rPr>
          <w:sz w:val="20"/>
        </w:rPr>
      </w:pPr>
      <w:r>
        <w:rPr>
          <w:sz w:val="20"/>
        </w:rPr>
        <w:t xml:space="preserve">No interesse da Administração, nas alterações unilaterais a que se refere o inciso I do </w:t>
      </w:r>
      <w:r>
        <w:rPr>
          <w:i w:val="1"/>
          <w:sz w:val="20"/>
        </w:rPr>
        <w:t>caput</w:t>
      </w:r>
      <w:r>
        <w:rPr>
          <w:sz w:val="20"/>
        </w:rPr>
        <w:t xml:space="preserve"> do art. 124 da Lei nº 14.133/2021, o Contratado será obrigado a aceitar, nas mesmas condições contratuais, acréscimos ou supressões de até 25% (vinte e cinco por cento) do valor inicial atualizado do contrato que se fizerem nas obras, nos serviços ou nas compras, e, se for o caso de reforma de edifício ou de equipamento, o limite para os acréscimos será de 50% (cinquenta por cento).</w:t>
      </w:r>
    </w:p>
    <w:p>
      <w:pPr>
        <w:pStyle w:val="P17"/>
        <w:numPr>
          <w:ilvl w:val="1"/>
          <w:numId w:val="8"/>
        </w:numPr>
        <w:tabs>
          <w:tab w:val="left" w:pos="993" w:leader="none"/>
        </w:tabs>
        <w:ind w:firstLine="0" w:left="426"/>
        <w:rPr>
          <w:sz w:val="20"/>
        </w:rPr>
      </w:pPr>
      <w:r>
        <w:rPr>
          <w:sz w:val="20"/>
        </w:rPr>
        <w:t>De igual forma, comprovado e justificado o interesse da Administração, e acordado com o Contratado, a municipalidade poderá prorrogar o prazo de vigência do contrato, nos termos do art. 107 da Lei nº 14.133/2021.</w:t>
      </w:r>
    </w:p>
    <w:p>
      <w:pPr>
        <w:pStyle w:val="P17"/>
        <w:numPr>
          <w:ilvl w:val="1"/>
          <w:numId w:val="8"/>
        </w:numPr>
        <w:tabs>
          <w:tab w:val="left" w:pos="993" w:leader="none"/>
        </w:tabs>
        <w:ind w:firstLine="0" w:left="426"/>
        <w:rPr>
          <w:sz w:val="20"/>
        </w:rPr>
      </w:pPr>
      <w:r>
        <w:rPr>
          <w:sz w:val="20"/>
        </w:rPr>
        <w:t>Na hipótese de ocorrência de atraso no início da execução dos serviços ou na realização da viagem, decorrente de motivo de força maior e/ou fatores imponderáveis, os fatos deverão ser submetidos, por escrito, ao órgão licitador, com as justificativas correspondentes, para análise e decisão.</w:t>
      </w:r>
    </w:p>
    <w:p>
      <w:pPr>
        <w:pStyle w:val="P17"/>
        <w:numPr>
          <w:ilvl w:val="1"/>
          <w:numId w:val="8"/>
        </w:numPr>
        <w:tabs>
          <w:tab w:val="left" w:pos="993" w:leader="none"/>
        </w:tabs>
        <w:ind w:firstLine="0" w:left="426"/>
        <w:rPr>
          <w:sz w:val="20"/>
        </w:rPr>
      </w:pPr>
      <w:r>
        <w:rPr>
          <w:sz w:val="20"/>
        </w:rPr>
        <w:t>Quando imotivada, a justificativa não será causa excludente da aplicação de sanções.</w:t>
      </w:r>
    </w:p>
    <w:p>
      <w:pPr>
        <w:pStyle w:val="P17"/>
        <w:numPr>
          <w:ilvl w:val="1"/>
          <w:numId w:val="8"/>
        </w:numPr>
        <w:tabs>
          <w:tab w:val="left" w:pos="993" w:leader="none"/>
        </w:tabs>
        <w:ind w:firstLine="0" w:left="426"/>
        <w:rPr>
          <w:sz w:val="20"/>
        </w:rPr>
      </w:pPr>
      <w:r>
        <w:rPr>
          <w:sz w:val="20"/>
        </w:rPr>
        <w:t>A recusa do adjudicatário em assinar o Contrato Administrativo no prazo fixado na convocação caracterizará inadimplência das obrigações contratuais, sujeitando-o às penalidades previstas neste edital e na legislação vigente.</w:t>
      </w:r>
    </w:p>
    <w:p>
      <w:pPr>
        <w:pStyle w:val="P17"/>
        <w:numPr>
          <w:ilvl w:val="1"/>
          <w:numId w:val="8"/>
        </w:numPr>
        <w:tabs>
          <w:tab w:val="left" w:pos="993" w:leader="none"/>
        </w:tabs>
        <w:ind w:firstLine="0" w:left="426"/>
        <w:rPr>
          <w:sz w:val="20"/>
        </w:rPr>
      </w:pPr>
      <w:r>
        <w:rPr>
          <w:sz w:val="20"/>
        </w:rPr>
        <w:t>Ocorrendo a hipótese prevista no item anterior, o processo de licitação retornará ao Pregoeiro, para convocação dos licitantes remanescentes, respeitada a ordem de classificação das propostas, e assim, sucessivamente, até apuração de uma que atenda aos requisitos do edital.</w:t>
      </w:r>
    </w:p>
    <w:p>
      <w:pPr>
        <w:pStyle w:val="P17"/>
        <w:numPr>
          <w:ilvl w:val="1"/>
          <w:numId w:val="8"/>
        </w:numPr>
        <w:tabs>
          <w:tab w:val="left" w:pos="993" w:leader="none"/>
        </w:tabs>
        <w:ind w:firstLine="0" w:left="426"/>
        <w:rPr>
          <w:sz w:val="20"/>
        </w:rPr>
      </w:pPr>
      <w:r>
        <w:rPr>
          <w:sz w:val="20"/>
        </w:rPr>
        <w:t xml:space="preserve">Transcorridos </w:t>
      </w:r>
      <w:r>
        <w:rPr>
          <w:b w:val="1"/>
          <w:sz w:val="20"/>
        </w:rPr>
        <w:t>60 (sessenta) dias</w:t>
      </w:r>
      <w:r>
        <w:rPr>
          <w:sz w:val="20"/>
        </w:rPr>
        <w:t xml:space="preserve"> da data de recebimento das propostas, sem a convocação para a contratação, ficam os proponentes liberados dos compromissos assumidos na licitação, salvo se ratificadas as condições da proposta até o vencimento desse prazo, por igual período.</w:t>
      </w:r>
    </w:p>
    <w:p>
      <w:pPr>
        <w:pStyle w:val="P17"/>
        <w:numPr>
          <w:ilvl w:val="1"/>
          <w:numId w:val="8"/>
        </w:numPr>
        <w:tabs>
          <w:tab w:val="left" w:pos="993" w:leader="none"/>
        </w:tabs>
        <w:ind w:firstLine="0" w:left="426"/>
        <w:rPr>
          <w:sz w:val="20"/>
        </w:rPr>
      </w:pPr>
      <w:r>
        <w:rPr>
          <w:sz w:val="20"/>
        </w:rPr>
        <w:t xml:space="preserve">A </w:t>
      </w:r>
      <w:r>
        <w:rPr>
          <w:b w:val="1"/>
          <w:sz w:val="20"/>
        </w:rPr>
        <w:t>CONTRATADA</w:t>
      </w:r>
      <w:r>
        <w:rPr>
          <w:sz w:val="20"/>
        </w:rPr>
        <w:t xml:space="preserve"> deverá manter, durante todo o período de execução do contrato, as condições de habilitação e qualificação exigidas na licitação.</w:t>
      </w:r>
    </w:p>
    <w:p>
      <w:pPr>
        <w:pStyle w:val="P17"/>
        <w:numPr>
          <w:ilvl w:val="1"/>
          <w:numId w:val="8"/>
        </w:numPr>
        <w:tabs>
          <w:tab w:val="left" w:pos="993" w:leader="none"/>
        </w:tabs>
        <w:ind w:firstLine="0" w:left="426"/>
        <w:rPr>
          <w:sz w:val="20"/>
        </w:rPr>
      </w:pPr>
      <w:r>
        <w:rPr>
          <w:sz w:val="20"/>
        </w:rPr>
        <w:t xml:space="preserve">O pagamento será efetuado em </w:t>
      </w:r>
      <w:r>
        <w:rPr>
          <w:b w:val="1"/>
          <w:sz w:val="20"/>
        </w:rPr>
        <w:t>o prazo final de pagamento é de até 30 dias corridos</w:t>
      </w:r>
      <w:r>
        <w:rPr>
          <w:sz w:val="20"/>
        </w:rPr>
        <w:t xml:space="preserve"> após a efetiva execução dos serviços e a realização da viagem, mediante apresentação da Nota Fiscal/Fatura devidamente atestada pelo responsável pela fiscalização do contrato.</w:t>
      </w:r>
    </w:p>
    <w:p>
      <w:pPr>
        <w:pStyle w:val="P17"/>
        <w:numPr>
          <w:ilvl w:val="1"/>
          <w:numId w:val="8"/>
        </w:numPr>
        <w:tabs>
          <w:tab w:val="left" w:pos="993" w:leader="none"/>
        </w:tabs>
        <w:ind w:firstLine="0" w:left="426"/>
        <w:rPr>
          <w:sz w:val="20"/>
        </w:rPr>
      </w:pPr>
      <w:r>
        <w:rPr>
          <w:sz w:val="20"/>
        </w:rPr>
        <w:t>As notas fiscais/faturas que apresentarem incorreções serão devolvidas à Contratada e seu vencimento ocorrerá após sua reapresentação.</w:t>
      </w:r>
    </w:p>
    <w:p>
      <w:pPr>
        <w:pStyle w:val="P17"/>
        <w:numPr>
          <w:ilvl w:val="1"/>
          <w:numId w:val="8"/>
        </w:numPr>
        <w:tabs>
          <w:tab w:val="left" w:pos="993" w:leader="none"/>
        </w:tabs>
        <w:ind w:firstLine="0" w:left="426"/>
        <w:rPr>
          <w:sz w:val="20"/>
        </w:rPr>
      </w:pPr>
      <w:r>
        <w:rPr>
          <w:sz w:val="20"/>
        </w:rPr>
        <w:t xml:space="preserve">A Nota Fiscal/Fatura deverá ser apresentada após a efetiva execução dos serviços e deverá observar as exigências administrativas e fiscais estabelecidas pela </w:t>
      </w:r>
      <w:r>
        <w:rPr>
          <w:b w:val="1"/>
          <w:sz w:val="20"/>
        </w:rPr>
        <w:t>CONTRATANTE.</w:t>
      </w:r>
    </w:p>
    <w:p>
      <w:pPr>
        <w:pStyle w:val="P17"/>
        <w:numPr>
          <w:ilvl w:val="1"/>
          <w:numId w:val="8"/>
        </w:numPr>
        <w:tabs>
          <w:tab w:val="left" w:pos="993" w:leader="none"/>
        </w:tabs>
        <w:ind w:firstLine="0" w:left="426"/>
        <w:rPr>
          <w:sz w:val="20"/>
        </w:rPr>
      </w:pPr>
      <w:r>
        <w:rPr>
          <w:sz w:val="20"/>
        </w:rPr>
        <w:t>O pagamento será realizado mediante crédito aberto em conta corrente em nome da Contratada.</w:t>
      </w:r>
    </w:p>
    <w:p>
      <w:pPr>
        <w:pStyle w:val="P17"/>
        <w:numPr>
          <w:ilvl w:val="1"/>
          <w:numId w:val="8"/>
        </w:numPr>
        <w:tabs>
          <w:tab w:val="left" w:pos="993" w:leader="none"/>
        </w:tabs>
        <w:ind w:firstLine="0" w:left="426"/>
        <w:rPr>
          <w:sz w:val="20"/>
        </w:rPr>
      </w:pPr>
      <w:r>
        <w:rPr>
          <w:sz w:val="20"/>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pStyle w:val="P17"/>
        <w:numPr>
          <w:ilvl w:val="1"/>
          <w:numId w:val="8"/>
        </w:numPr>
        <w:tabs>
          <w:tab w:val="left" w:pos="993" w:leader="none"/>
        </w:tabs>
        <w:ind w:firstLine="0" w:left="426"/>
        <w:rPr>
          <w:sz w:val="20"/>
        </w:rPr>
      </w:pPr>
      <w:r>
        <w:rPr>
          <w:sz w:val="20"/>
        </w:rPr>
        <w:t xml:space="preserve">As notas fiscais deverão ser emitidas, </w:t>
      </w:r>
      <w:r>
        <w:rPr>
          <w:b w:val="1"/>
          <w:sz w:val="20"/>
          <w:highlight w:val="yellow"/>
        </w:rPr>
        <w:t>conforme as informações repassadas pelo Departamento de Compras e Patrimônio e as contidas na Nota de Empenho</w:t>
      </w:r>
      <w:r>
        <w:rPr>
          <w:sz w:val="20"/>
        </w:rPr>
        <w:t>, em nome de:</w:t>
      </w:r>
    </w:p>
    <w:p>
      <w:pPr>
        <w:pStyle w:val="P17"/>
        <w:numPr>
          <w:ilvl w:val="2"/>
          <w:numId w:val="8"/>
        </w:numPr>
        <w:tabs>
          <w:tab w:val="left" w:pos="1843" w:leader="none"/>
        </w:tabs>
        <w:ind w:firstLine="0" w:left="993"/>
        <w:rPr>
          <w:sz w:val="20"/>
        </w:rPr>
      </w:pPr>
      <w:r>
        <w:rPr>
          <w:b w:val="1"/>
          <w:sz w:val="20"/>
        </w:rPr>
        <w:t>MUNICÍPIO DE TUNEIRAS DO OESTE</w:t>
      </w:r>
      <w:r>
        <w:rPr>
          <w:sz w:val="20"/>
        </w:rPr>
        <w:t>, CNPJ nº 76.247.329/0001-13,</w:t>
      </w:r>
    </w:p>
    <w:p>
      <w:pPr>
        <w:pStyle w:val="P17"/>
        <w:tabs>
          <w:tab w:val="left" w:pos="1843" w:leader="none"/>
        </w:tabs>
        <w:ind w:left="993"/>
        <w:rPr>
          <w:sz w:val="20"/>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DO REAJUSTAMENTO EM SENTIDO GERAL</w:t>
      </w:r>
    </w:p>
    <w:p>
      <w:pPr>
        <w:pStyle w:val="P13"/>
        <w:numPr>
          <w:ilvl w:val="0"/>
          <w:numId w:val="9"/>
        </w:numPr>
        <w:contextualSpacing w:val="0"/>
        <w:rPr>
          <w:rFonts w:ascii="Arial" w:hAnsi="Arial"/>
          <w:vanish w:val="1"/>
          <w:color w:val="000000"/>
        </w:rPr>
      </w:pPr>
    </w:p>
    <w:p>
      <w:pPr>
        <w:pStyle w:val="P13"/>
        <w:numPr>
          <w:ilvl w:val="0"/>
          <w:numId w:val="9"/>
        </w:numPr>
        <w:contextualSpacing w:val="0"/>
        <w:rPr>
          <w:rFonts w:ascii="Arial" w:hAnsi="Arial"/>
          <w:vanish w:val="1"/>
          <w:color w:val="000000"/>
        </w:rPr>
      </w:pPr>
    </w:p>
    <w:p>
      <w:pPr>
        <w:pStyle w:val="P13"/>
        <w:numPr>
          <w:ilvl w:val="0"/>
          <w:numId w:val="9"/>
        </w:numPr>
        <w:contextualSpacing w:val="0"/>
        <w:rPr>
          <w:rFonts w:ascii="Arial" w:hAnsi="Arial"/>
          <w:vanish w:val="1"/>
          <w:color w:val="000000"/>
        </w:rPr>
      </w:pPr>
    </w:p>
    <w:p>
      <w:pPr>
        <w:pStyle w:val="P13"/>
        <w:numPr>
          <w:ilvl w:val="0"/>
          <w:numId w:val="9"/>
        </w:numPr>
        <w:contextualSpacing w:val="0"/>
        <w:rPr>
          <w:rFonts w:ascii="Arial" w:hAnsi="Arial"/>
          <w:vanish w:val="1"/>
          <w:color w:val="000000"/>
        </w:rPr>
      </w:pPr>
    </w:p>
    <w:p>
      <w:pPr>
        <w:pStyle w:val="P13"/>
        <w:numPr>
          <w:ilvl w:val="1"/>
          <w:numId w:val="8"/>
        </w:numPr>
        <w:tabs>
          <w:tab w:val="left" w:pos="993" w:leader="none"/>
        </w:tabs>
        <w:ind w:firstLine="0" w:left="426"/>
        <w:contextualSpacing w:val="0"/>
        <w:rPr>
          <w:rFonts w:ascii="Arial" w:hAnsi="Arial"/>
          <w:color w:val="000000"/>
        </w:rPr>
      </w:pPr>
      <w:r>
        <w:rPr>
          <w:rFonts w:ascii="Arial" w:hAnsi="Arial"/>
          <w:color w:val="000000"/>
        </w:rPr>
        <w:t>As regras acerca do reajustamento em sentido geral do valor contratual são as estabelecidas no Termo de Referência, anexo a este Edital, bem como as previstas no art. 124 e ss. da Lei nº 14.133/2021.17.</w:t>
      </w:r>
    </w:p>
    <w:p>
      <w:pPr>
        <w:pStyle w:val="P13"/>
        <w:tabs>
          <w:tab w:val="left" w:pos="993" w:leader="none"/>
        </w:tabs>
        <w:ind w:left="426"/>
        <w:rPr>
          <w:rFonts w:ascii="Arial" w:hAnsi="Arial"/>
          <w:color w:val="000000"/>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DO RECEBIMENTO DO OBJETO E DA FISCALIZAÇÃO</w:t>
      </w:r>
    </w:p>
    <w:p>
      <w:pPr>
        <w:pStyle w:val="P13"/>
        <w:numPr>
          <w:ilvl w:val="1"/>
          <w:numId w:val="8"/>
        </w:numPr>
        <w:tabs>
          <w:tab w:val="left" w:pos="993" w:leader="none"/>
        </w:tabs>
        <w:ind w:firstLine="0" w:left="426"/>
        <w:contextualSpacing w:val="0"/>
        <w:rPr>
          <w:rFonts w:ascii="Arial" w:hAnsi="Arial"/>
          <w:color w:val="000000"/>
        </w:rPr>
      </w:pPr>
      <w:r>
        <w:rPr>
          <w:rFonts w:ascii="Arial" w:hAnsi="Arial"/>
          <w:color w:val="000000"/>
        </w:rPr>
        <w:t>Os critérios de recebimento</w:t>
      </w:r>
      <w:r>
        <w:rPr>
          <w:rFonts w:ascii="Arial" w:hAnsi="Arial"/>
          <w:color w:val="000000"/>
          <w:lang w:eastAsia="en-US"/>
        </w:rPr>
        <w:t xml:space="preserve"> e aceitação</w:t>
      </w:r>
      <w:r>
        <w:rPr>
          <w:rFonts w:ascii="Arial" w:hAnsi="Arial"/>
          <w:color w:val="000000"/>
        </w:rPr>
        <w:t xml:space="preserve"> do objeto e de fiscalização estão previstos no Termo de Referência.</w:t>
      </w:r>
    </w:p>
    <w:p>
      <w:pPr>
        <w:pStyle w:val="P13"/>
        <w:tabs>
          <w:tab w:val="left" w:pos="993" w:leader="none"/>
        </w:tabs>
        <w:ind w:left="426"/>
        <w:rPr>
          <w:rFonts w:ascii="Arial" w:hAnsi="Arial"/>
          <w:color w:val="000000"/>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DAS OBRIGAÇÕES DA CONTRATANTE E DA CONTRATADA</w:t>
      </w:r>
    </w:p>
    <w:p>
      <w:pPr>
        <w:pStyle w:val="P13"/>
        <w:numPr>
          <w:ilvl w:val="1"/>
          <w:numId w:val="8"/>
        </w:numPr>
        <w:tabs>
          <w:tab w:val="left" w:pos="993" w:leader="none"/>
        </w:tabs>
        <w:ind w:firstLine="0" w:left="426"/>
        <w:contextualSpacing w:val="0"/>
        <w:rPr>
          <w:rFonts w:ascii="Arial" w:hAnsi="Arial"/>
          <w:b w:val="1"/>
          <w:color w:val="000000"/>
        </w:rPr>
      </w:pPr>
      <w:r>
        <w:rPr>
          <w:rFonts w:ascii="Arial" w:hAnsi="Arial"/>
          <w:color w:val="000000"/>
        </w:rPr>
        <w:t>As obrigações da Contratante e da Contratada são as estabelecidas no Termo de Referência e na Minuta de Contrato.</w:t>
      </w:r>
    </w:p>
    <w:p>
      <w:pPr>
        <w:pStyle w:val="P13"/>
        <w:tabs>
          <w:tab w:val="left" w:pos="1843" w:leader="none"/>
        </w:tabs>
        <w:ind w:left="0"/>
        <w:rPr>
          <w:rFonts w:ascii="Arial" w:hAnsi="Arial"/>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DAS SANÇÕES ADMINISTRATIVAS</w:t>
      </w:r>
    </w:p>
    <w:p>
      <w:pPr>
        <w:pStyle w:val="P13"/>
        <w:numPr>
          <w:ilvl w:val="1"/>
          <w:numId w:val="10"/>
        </w:numPr>
        <w:tabs>
          <w:tab w:val="left" w:pos="993" w:leader="none"/>
        </w:tabs>
        <w:ind w:firstLine="0" w:left="426"/>
        <w:contextualSpacing w:val="0"/>
        <w:rPr>
          <w:rFonts w:ascii="Arial" w:hAnsi="Arial"/>
          <w:shd w:val="clear" w:color="auto" w:fill="FFFFFF"/>
        </w:rPr>
      </w:pPr>
      <w:r>
        <w:rPr>
          <w:rFonts w:ascii="Arial" w:hAnsi="Arial"/>
          <w:shd w:val="clear" w:color="auto" w:fill="FFFFFF"/>
        </w:rPr>
        <w:t>Comete infração administrativa o licitante ou contratada que cometer quaisquer das infrações previstas no art. 155 da Lei nº 14.133/2021, ficando submetidos a aplicação das cominações legais, e demais procedimentos de apurações e punições, previstas no art. 156 e ss. da mesma Lei.</w:t>
      </w:r>
    </w:p>
    <w:p>
      <w:pPr>
        <w:tabs>
          <w:tab w:val="left" w:pos="993" w:leader="none"/>
        </w:tabs>
        <w:ind w:left="426"/>
        <w:rPr>
          <w:rFonts w:ascii="Arial" w:hAnsi="Arial"/>
          <w:color w:val="000000"/>
        </w:rPr>
      </w:pPr>
    </w:p>
    <w:p>
      <w:pPr>
        <w:pStyle w:val="P43"/>
        <w:tabs>
          <w:tab w:val="left" w:pos="426" w:leader="none"/>
          <w:tab w:val="clear" w:pos="567" w:leader="none"/>
        </w:tabs>
        <w:spacing w:before="0" w:beforeAutospacing="0" w:afterAutospacing="0"/>
        <w:rPr>
          <w:rFonts w:ascii="Arial" w:hAnsi="Arial"/>
          <w:sz w:val="20"/>
        </w:rPr>
      </w:pPr>
      <w:r>
        <w:rPr>
          <w:rFonts w:ascii="Arial" w:hAnsi="Arial"/>
          <w:sz w:val="20"/>
        </w:rPr>
        <w:t>DAS DISPOSIÇÕES GERAIS</w:t>
      </w:r>
    </w:p>
    <w:p>
      <w:pPr>
        <w:numPr>
          <w:ilvl w:val="1"/>
          <w:numId w:val="11"/>
        </w:numPr>
        <w:tabs>
          <w:tab w:val="left" w:pos="993" w:leader="none"/>
        </w:tabs>
        <w:ind w:firstLine="0" w:left="426"/>
        <w:rPr>
          <w:rFonts w:ascii="Arial" w:hAnsi="Arial"/>
          <w:color w:val="000000"/>
        </w:rPr>
      </w:pPr>
      <w:r>
        <w:rPr>
          <w:rFonts w:ascii="Arial" w:hAnsi="Arial"/>
          <w:color w:val="000000"/>
        </w:rPr>
        <w:t>Da sessão pública do Pregão divulgar-se-á Ata no sistema eletrônico.</w:t>
      </w:r>
    </w:p>
    <w:p>
      <w:pPr>
        <w:numPr>
          <w:ilvl w:val="1"/>
          <w:numId w:val="11"/>
        </w:numPr>
        <w:tabs>
          <w:tab w:val="left" w:pos="993" w:leader="none"/>
        </w:tabs>
        <w:ind w:firstLine="0" w:left="426"/>
        <w:rPr>
          <w:rFonts w:ascii="Arial" w:hAnsi="Arial"/>
          <w:color w:val="000000"/>
        </w:rPr>
      </w:pPr>
      <w:r>
        <w:rPr>
          <w:rFonts w:ascii="Arial" w:hAnsi="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pPr>
        <w:numPr>
          <w:ilvl w:val="1"/>
          <w:numId w:val="11"/>
        </w:numPr>
        <w:tabs>
          <w:tab w:val="left" w:pos="993" w:leader="none"/>
        </w:tabs>
        <w:ind w:firstLine="0" w:left="426"/>
        <w:rPr>
          <w:rFonts w:ascii="Arial" w:hAnsi="Arial"/>
          <w:color w:val="000000"/>
        </w:rPr>
      </w:pPr>
      <w:r>
        <w:rPr>
          <w:rFonts w:ascii="Arial" w:hAnsi="Arial"/>
          <w:color w:val="000000"/>
        </w:rPr>
        <w:t>Todas as referências de tempo no Edital, no aviso e durante a sessão pública observarão o horário de Brasília/DF.</w:t>
      </w:r>
    </w:p>
    <w:p>
      <w:pPr>
        <w:numPr>
          <w:ilvl w:val="1"/>
          <w:numId w:val="11"/>
        </w:numPr>
        <w:tabs>
          <w:tab w:val="left" w:pos="993" w:leader="none"/>
        </w:tabs>
        <w:ind w:firstLine="0" w:left="426"/>
        <w:rPr>
          <w:rFonts w:ascii="Arial" w:hAnsi="Arial"/>
          <w:color w:val="000000"/>
        </w:rPr>
      </w:pPr>
      <w:r>
        <w:rPr>
          <w:rFonts w:ascii="Arial" w:hAnsi="Arial"/>
          <w:color w:val="000000"/>
        </w:rPr>
        <w:t>O Pregoeiro, no interesse público, poderá sanar, relevar omissões ou erros puramente formais observados na Documentação de Habilitação e Proposta de Preços, desde que não contrariem a legislação vigente e não comprometam a lisura da licitação.</w:t>
      </w:r>
    </w:p>
    <w:p>
      <w:pPr>
        <w:numPr>
          <w:ilvl w:val="1"/>
          <w:numId w:val="11"/>
        </w:numPr>
        <w:tabs>
          <w:tab w:val="left" w:pos="993" w:leader="none"/>
        </w:tabs>
        <w:ind w:firstLine="0" w:left="426"/>
        <w:rPr>
          <w:rFonts w:ascii="Arial" w:hAnsi="Arial"/>
          <w:color w:val="000000"/>
        </w:rPr>
      </w:pPr>
      <w:r>
        <w:rPr>
          <w:rFonts w:ascii="Arial" w:hAnsi="Arial"/>
          <w:b w:val="1"/>
          <w:color w:val="000000"/>
        </w:rPr>
        <w:t>A homologação do resultado desta licitação não implicará direito à contratação</w:t>
      </w:r>
      <w:r>
        <w:rPr>
          <w:rFonts w:ascii="Arial" w:hAnsi="Arial"/>
          <w:color w:val="000000"/>
        </w:rPr>
        <w:t>.</w:t>
      </w:r>
    </w:p>
    <w:p>
      <w:pPr>
        <w:numPr>
          <w:ilvl w:val="1"/>
          <w:numId w:val="11"/>
        </w:numPr>
        <w:tabs>
          <w:tab w:val="left" w:pos="993" w:leader="none"/>
        </w:tabs>
        <w:ind w:firstLine="0" w:left="426"/>
        <w:rPr>
          <w:rFonts w:ascii="Arial" w:hAnsi="Arial"/>
          <w:color w:val="000000"/>
        </w:rPr>
      </w:pPr>
      <w:r>
        <w:rPr>
          <w:rFonts w:ascii="Arial" w:hAnsi="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numPr>
          <w:ilvl w:val="1"/>
          <w:numId w:val="11"/>
        </w:numPr>
        <w:tabs>
          <w:tab w:val="left" w:pos="993" w:leader="none"/>
        </w:tabs>
        <w:ind w:firstLine="0" w:left="426"/>
        <w:rPr>
          <w:rFonts w:ascii="Arial" w:hAnsi="Arial"/>
          <w:color w:val="000000"/>
        </w:rPr>
      </w:pPr>
      <w:r>
        <w:rPr>
          <w:rFonts w:ascii="Arial" w:hAnsi="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pPr>
        <w:numPr>
          <w:ilvl w:val="1"/>
          <w:numId w:val="11"/>
        </w:numPr>
        <w:tabs>
          <w:tab w:val="left" w:pos="993" w:leader="none"/>
        </w:tabs>
        <w:ind w:firstLine="0" w:left="426"/>
        <w:rPr>
          <w:rFonts w:ascii="Arial" w:hAnsi="Arial"/>
          <w:color w:val="000000"/>
        </w:rPr>
      </w:pPr>
      <w:r>
        <w:rPr>
          <w:rFonts w:ascii="Arial" w:hAnsi="Arial"/>
          <w:color w:val="000000"/>
        </w:rPr>
        <w:t>Na contagem dos prazos estabelecidos neste Edital e seus Anexos, excluir-se-á o dia do início e incluir-se-á o do vencimento. Só se iniciam e vencem os prazos em dias de expediente na Administração.</w:t>
      </w:r>
    </w:p>
    <w:p>
      <w:pPr>
        <w:numPr>
          <w:ilvl w:val="1"/>
          <w:numId w:val="11"/>
        </w:numPr>
        <w:tabs>
          <w:tab w:val="left" w:pos="993" w:leader="none"/>
        </w:tabs>
        <w:ind w:firstLine="0" w:left="426"/>
        <w:rPr>
          <w:rFonts w:ascii="Arial" w:hAnsi="Arial"/>
          <w:color w:val="000000"/>
        </w:rPr>
      </w:pPr>
      <w:r>
        <w:rPr>
          <w:rFonts w:ascii="Arial" w:hAnsi="Arial"/>
          <w:color w:val="000000"/>
        </w:rPr>
        <w:t>O desatendimento de exigências formais não essenciais não importará o afastamento do licitante, desde que seja possível o aproveitamento do ato, observados os princípios da isonomia e do interesse público.</w:t>
      </w:r>
    </w:p>
    <w:p>
      <w:pPr>
        <w:numPr>
          <w:ilvl w:val="1"/>
          <w:numId w:val="11"/>
        </w:numPr>
        <w:tabs>
          <w:tab w:val="left" w:pos="1134" w:leader="none"/>
        </w:tabs>
        <w:ind w:firstLine="0" w:left="426"/>
        <w:rPr>
          <w:rFonts w:ascii="Arial" w:hAnsi="Arial"/>
          <w:color w:val="000000"/>
        </w:rPr>
      </w:pPr>
      <w:r>
        <w:rPr>
          <w:rFonts w:ascii="Arial" w:hAnsi="Arial"/>
          <w:color w:val="000000"/>
        </w:rPr>
        <w:t>Em caso de divergência entre disposições deste Edital e de seus anexos ou demais peças que compõem o processo, prevalecerá as deste Edital.</w:t>
      </w:r>
    </w:p>
    <w:p>
      <w:pPr>
        <w:numPr>
          <w:ilvl w:val="1"/>
          <w:numId w:val="11"/>
        </w:numPr>
        <w:tabs>
          <w:tab w:val="left" w:pos="1134" w:leader="none"/>
        </w:tabs>
        <w:ind w:firstLine="0" w:left="426"/>
        <w:rPr>
          <w:rFonts w:ascii="Arial" w:hAnsi="Arial"/>
          <w:color w:val="000000"/>
        </w:rPr>
      </w:pPr>
      <w:r>
        <w:rPr>
          <w:rFonts w:ascii="Arial" w:hAnsi="Arial"/>
        </w:rPr>
        <w:t>Ao Prefeito Municipal, somente após encerradas as fases de julgamento e habilitação, fica reservado o direito de revogar a presente licitação, por justas razões de interesse público, decorrente de fato superveniente, devidamente comprovado, ou anulá-la por ilegalidade, mediante parecer devidamente fundamento, conforme art. 71 e ss. da Lei nº 14.133/2021.</w:t>
      </w:r>
    </w:p>
    <w:p>
      <w:pPr>
        <w:numPr>
          <w:ilvl w:val="1"/>
          <w:numId w:val="11"/>
        </w:numPr>
        <w:tabs>
          <w:tab w:val="left" w:pos="1134" w:leader="none"/>
        </w:tabs>
        <w:ind w:firstLine="0" w:left="426"/>
        <w:rPr>
          <w:rFonts w:ascii="Arial" w:hAnsi="Arial"/>
          <w:color w:val="000000"/>
        </w:rPr>
      </w:pPr>
      <w:r>
        <w:rPr>
          <w:rFonts w:ascii="Arial" w:hAnsi="Arial"/>
          <w:color w:val="000000"/>
        </w:rPr>
        <w:t>No interesse da Administração, sem que caiba aos participantes qualquer reclamação ou indenização, poderá ser adiada a data da abertura desta licitação, ou alteradas as condições do presente edital, com fixação de novo prazo para a realização do certame, exceto quando a alteração não comprometer a formulação das propostas.</w:t>
      </w:r>
    </w:p>
    <w:p>
      <w:pPr>
        <w:numPr>
          <w:ilvl w:val="1"/>
          <w:numId w:val="11"/>
        </w:numPr>
        <w:tabs>
          <w:tab w:val="left" w:pos="1134" w:leader="none"/>
        </w:tabs>
        <w:ind w:firstLine="0" w:left="426"/>
        <w:rPr>
          <w:rFonts w:ascii="Arial" w:hAnsi="Arial"/>
          <w:color w:val="000000"/>
        </w:rPr>
      </w:pPr>
      <w:r>
        <w:rPr>
          <w:rFonts w:ascii="Arial" w:hAnsi="Arial"/>
          <w:color w:val="000000"/>
        </w:rPr>
        <w:t>As licitantes são responsáveis administrativa, civil e penalmente pela fidelidade e legitimidade das informações e dos documentos apresentados em qualquer fase da licitação.</w:t>
      </w:r>
    </w:p>
    <w:p>
      <w:pPr>
        <w:numPr>
          <w:ilvl w:val="1"/>
          <w:numId w:val="11"/>
        </w:numPr>
        <w:tabs>
          <w:tab w:val="left" w:pos="1134" w:leader="none"/>
        </w:tabs>
        <w:ind w:firstLine="0" w:left="426"/>
        <w:rPr>
          <w:rFonts w:ascii="Arial" w:hAnsi="Arial"/>
          <w:color w:val="000000"/>
        </w:rPr>
      </w:pPr>
      <w:r>
        <w:rPr>
          <w:rFonts w:ascii="Arial" w:hAnsi="Arial"/>
        </w:rPr>
        <w:t>Fazem parte integrante deste edital, como se aqui estivessem transcritos, Normas da ABNT, Código de Defesa do Consumidor, especificações exclusivas, enfim, tudo pertinente ao objeto licitado</w:t>
      </w:r>
      <w:r>
        <w:rPr>
          <w:rFonts w:ascii="Arial" w:hAnsi="Arial"/>
          <w:color w:val="000000"/>
        </w:rPr>
        <w:t>.</w:t>
      </w:r>
    </w:p>
    <w:p>
      <w:pPr>
        <w:numPr>
          <w:ilvl w:val="1"/>
          <w:numId w:val="11"/>
        </w:numPr>
        <w:tabs>
          <w:tab w:val="left" w:pos="1134" w:leader="none"/>
        </w:tabs>
        <w:ind w:firstLine="0" w:left="426"/>
        <w:rPr>
          <w:rFonts w:ascii="Arial" w:hAnsi="Arial"/>
          <w:color w:val="000000"/>
        </w:rPr>
      </w:pPr>
      <w:r>
        <w:rPr>
          <w:rFonts w:ascii="Arial" w:hAnsi="Arial"/>
        </w:rPr>
        <w:t>Os casos omissos serão regulados pela legislação vigente sobre o tema.</w:t>
      </w:r>
    </w:p>
    <w:p>
      <w:pPr>
        <w:numPr>
          <w:ilvl w:val="1"/>
          <w:numId w:val="11"/>
        </w:numPr>
        <w:tabs>
          <w:tab w:val="left" w:pos="1134" w:leader="none"/>
        </w:tabs>
        <w:ind w:firstLine="0" w:left="426"/>
        <w:rPr>
          <w:rFonts w:ascii="Arial" w:hAnsi="Arial"/>
          <w:color w:val="000000"/>
        </w:rPr>
      </w:pPr>
      <w:r>
        <w:rPr>
          <w:rFonts w:ascii="Arial" w:hAnsi="Arial"/>
        </w:rPr>
        <w:t>As normas disciplinadoras desta licitação serão interpretadas em favor da ampliação da disputa, respeitada a igualdade de oportunidade entre as licitantes e desde que não comprometam o interesse público, a finalidade e a segurança da contratação.</w:t>
      </w:r>
    </w:p>
    <w:p>
      <w:pPr>
        <w:numPr>
          <w:ilvl w:val="1"/>
          <w:numId w:val="11"/>
        </w:numPr>
        <w:tabs>
          <w:tab w:val="left" w:pos="1134" w:leader="none"/>
        </w:tabs>
        <w:ind w:firstLine="0" w:left="426"/>
        <w:rPr>
          <w:rFonts w:ascii="Arial" w:hAnsi="Arial"/>
          <w:color w:val="000000"/>
        </w:rPr>
      </w:pPr>
      <w:r>
        <w:rPr>
          <w:rFonts w:ascii="Arial" w:hAnsi="Arial"/>
        </w:rPr>
        <w:t>Para dirimir controvérsias decorrentes deste certame, o Foro competente é o da Comarca de Cruzeiro do Oeste, Estado do Paraná, excluindo qualquer outro, por mais privilegiado que seja ou se torne.</w:t>
      </w:r>
    </w:p>
    <w:p>
      <w:pPr>
        <w:numPr>
          <w:ilvl w:val="1"/>
          <w:numId w:val="11"/>
        </w:numPr>
        <w:tabs>
          <w:tab w:val="left" w:pos="1134" w:leader="none"/>
        </w:tabs>
        <w:ind w:firstLine="0" w:left="426"/>
        <w:rPr>
          <w:rFonts w:ascii="Arial" w:hAnsi="Arial"/>
          <w:color w:val="000000"/>
        </w:rPr>
      </w:pPr>
      <w:r>
        <w:rPr>
          <w:rFonts w:ascii="Arial" w:hAnsi="Arial"/>
          <w:color w:val="000000"/>
        </w:rPr>
        <w:t>Integram este Edital, para todos os fins e efeitos, os seguintes anexos:</w:t>
      </w:r>
    </w:p>
    <w:p>
      <w:pPr>
        <w:numPr>
          <w:ilvl w:val="2"/>
          <w:numId w:val="11"/>
        </w:numPr>
        <w:tabs>
          <w:tab w:val="left" w:pos="1843" w:leader="none"/>
          <w:tab w:val="left" w:pos="1985" w:leader="none"/>
        </w:tabs>
        <w:ind w:firstLine="0" w:left="1134"/>
        <w:rPr>
          <w:rFonts w:ascii="Arial" w:hAnsi="Arial"/>
          <w:color w:val="000000"/>
        </w:rPr>
      </w:pPr>
      <w:bookmarkStart w:id="15" w:name="_Hlk157506625"/>
      <w:r>
        <w:rPr>
          <w:rFonts w:ascii="Arial" w:hAnsi="Arial"/>
          <w:color w:val="000000"/>
        </w:rPr>
        <w:t>ANEXO I – Termo de Referência;</w:t>
      </w:r>
    </w:p>
    <w:p>
      <w:pPr>
        <w:numPr>
          <w:ilvl w:val="2"/>
          <w:numId w:val="11"/>
        </w:numPr>
        <w:tabs>
          <w:tab w:val="left" w:pos="1843" w:leader="none"/>
          <w:tab w:val="left" w:pos="1985" w:leader="none"/>
        </w:tabs>
        <w:ind w:firstLine="0" w:left="1134"/>
        <w:rPr>
          <w:rFonts w:ascii="Arial" w:hAnsi="Arial"/>
          <w:color w:val="000000"/>
        </w:rPr>
      </w:pPr>
      <w:r>
        <w:rPr>
          <w:rFonts w:ascii="Arial" w:hAnsi="Arial"/>
          <w:color w:val="000000"/>
        </w:rPr>
        <w:t>ANEXO II – Declaração de Responsabilidade Unificada;</w:t>
      </w:r>
    </w:p>
    <w:p>
      <w:pPr>
        <w:numPr>
          <w:ilvl w:val="2"/>
          <w:numId w:val="11"/>
        </w:numPr>
        <w:tabs>
          <w:tab w:val="left" w:pos="1440" w:leader="none"/>
          <w:tab w:val="left" w:pos="1985" w:leader="none"/>
        </w:tabs>
        <w:ind w:firstLine="0" w:left="1134"/>
        <w:rPr>
          <w:rFonts w:ascii="Arial" w:hAnsi="Arial"/>
          <w:color w:val="000000"/>
        </w:rPr>
      </w:pPr>
      <w:r>
        <w:rPr>
          <w:rFonts w:ascii="Arial" w:hAnsi="Arial"/>
          <w:color w:val="000000"/>
        </w:rPr>
        <w:t>ANEXO III – Modelo de Proposta de Preço;</w:t>
      </w:r>
    </w:p>
    <w:p>
      <w:pPr>
        <w:numPr>
          <w:ilvl w:val="2"/>
          <w:numId w:val="11"/>
        </w:numPr>
        <w:tabs>
          <w:tab w:val="left" w:pos="1440" w:leader="none"/>
          <w:tab w:val="left" w:pos="1985" w:leader="none"/>
        </w:tabs>
        <w:ind w:firstLine="0" w:left="1134"/>
        <w:rPr>
          <w:rFonts w:ascii="Arial" w:hAnsi="Arial"/>
          <w:color w:val="000000"/>
        </w:rPr>
      </w:pPr>
      <w:r>
        <w:rPr>
          <w:rFonts w:ascii="Arial" w:hAnsi="Arial"/>
          <w:color w:val="000000"/>
        </w:rPr>
        <w:t>ANEXO IV – Minuta de Contrato Administrativo.</w:t>
      </w:r>
    </w:p>
    <w:p>
      <w:pPr>
        <w:ind w:right="-15"/>
        <w:rPr>
          <w:rFonts w:ascii="Arial" w:hAnsi="Arial"/>
          <w:color w:val="000000"/>
        </w:rPr>
      </w:pPr>
      <w:bookmarkEnd w:id="15"/>
    </w:p>
    <w:p>
      <w:pPr>
        <w:ind w:right="-15"/>
        <w:rPr>
          <w:rFonts w:ascii="Arial" w:hAnsi="Arial"/>
          <w:color w:val="000000"/>
        </w:rPr>
      </w:pPr>
      <w:r>
        <w:rPr>
          <w:rFonts w:ascii="Arial" w:hAnsi="Arial"/>
          <w:color w:val="000000"/>
        </w:rPr>
        <w:t>Tuneiras do Oeste, 16 de setembro de 2026.</w:t>
      </w:r>
    </w:p>
    <w:p>
      <w:pPr>
        <w:ind w:firstLine="709"/>
        <w:jc w:val="center"/>
        <w:rPr>
          <w:rFonts w:ascii="Arial" w:hAnsi="Arial"/>
          <w:b w:val="1"/>
          <w:color w:val="000000"/>
        </w:rPr>
      </w:pPr>
    </w:p>
    <w:p>
      <w:pPr>
        <w:ind w:firstLine="709"/>
        <w:jc w:val="center"/>
        <w:rPr>
          <w:rFonts w:ascii="Arial" w:hAnsi="Arial"/>
          <w:b w:val="1"/>
          <w:color w:val="000000"/>
        </w:rPr>
      </w:pPr>
    </w:p>
    <w:p>
      <w:pPr>
        <w:ind w:firstLine="709"/>
        <w:jc w:val="center"/>
        <w:rPr>
          <w:rFonts w:ascii="Arial" w:hAnsi="Arial"/>
          <w:b w:val="1"/>
          <w:color w:val="000000"/>
        </w:rPr>
      </w:pPr>
    </w:p>
    <w:p>
      <w:pPr>
        <w:ind w:firstLine="709"/>
        <w:jc w:val="center"/>
        <w:rPr>
          <w:rFonts w:ascii="Arial" w:hAnsi="Arial"/>
          <w:b w:val="1"/>
          <w:color w:val="000000"/>
        </w:rPr>
      </w:pPr>
    </w:p>
    <w:p>
      <w:pPr>
        <w:ind w:firstLine="709"/>
        <w:jc w:val="center"/>
        <w:rPr>
          <w:rFonts w:ascii="Arial" w:hAnsi="Arial"/>
          <w:b w:val="1"/>
          <w:color w:val="000000"/>
        </w:rPr>
      </w:pPr>
    </w:p>
    <w:p>
      <w:pPr>
        <w:ind w:firstLine="709"/>
        <w:jc w:val="center"/>
        <w:rPr>
          <w:rFonts w:ascii="Arial" w:hAnsi="Arial"/>
          <w:b w:val="1"/>
          <w:color w:val="000000"/>
        </w:rPr>
      </w:pPr>
    </w:p>
    <w:p>
      <w:pPr>
        <w:ind w:firstLine="709"/>
        <w:jc w:val="center"/>
        <w:rPr>
          <w:rFonts w:ascii="Arial" w:hAnsi="Arial"/>
          <w:b w:val="1"/>
          <w:color w:val="000000"/>
        </w:rPr>
      </w:pPr>
    </w:p>
    <w:p>
      <w:pPr>
        <w:ind w:firstLine="709"/>
        <w:jc w:val="center"/>
        <w:rPr>
          <w:rFonts w:ascii="Arial" w:hAnsi="Arial"/>
          <w:b w:val="1"/>
          <w:color w:val="000000"/>
        </w:rPr>
      </w:pPr>
    </w:p>
    <w:p>
      <w:pPr>
        <w:ind w:firstLine="709"/>
        <w:jc w:val="center"/>
        <w:rPr>
          <w:rFonts w:ascii="Arial" w:hAnsi="Arial"/>
          <w:b w:val="1"/>
          <w:color w:val="000000"/>
        </w:rPr>
      </w:pPr>
    </w:p>
    <w:p>
      <w:pPr>
        <w:jc w:val="center"/>
        <w:rPr>
          <w:rFonts w:ascii="Arial" w:hAnsi="Arial"/>
          <w:b w:val="1"/>
        </w:rPr>
      </w:pPr>
      <w:r>
        <w:rPr>
          <w:rFonts w:ascii="Arial" w:hAnsi="Arial"/>
          <w:b w:val="1"/>
        </w:rPr>
        <w:t>GUERINO MENDONÇA DOS SANTOS</w:t>
      </w:r>
    </w:p>
    <w:p>
      <w:pPr>
        <w:jc w:val="center"/>
        <w:rPr>
          <w:rFonts w:ascii="Arial" w:hAnsi="Arial"/>
        </w:rPr>
      </w:pPr>
      <w:r>
        <w:rPr>
          <w:rFonts w:ascii="Arial" w:hAnsi="Arial"/>
        </w:rPr>
        <w:t>Prefeito Municipal</w:t>
      </w:r>
    </w:p>
    <w:p>
      <w:pPr>
        <w:jc w:val="center"/>
        <w:rPr>
          <w:rFonts w:ascii="Arial" w:hAnsi="Arial"/>
        </w:rPr>
      </w:pPr>
    </w:p>
    <w:p>
      <w:pPr>
        <w:rPr>
          <w:rFonts w:ascii="Arial" w:hAnsi="Arial"/>
        </w:rPr>
      </w:pPr>
    </w:p>
    <w:p/>
    <w:p/>
    <w:p/>
    <w:p/>
    <w:p/>
    <w:p/>
    <w:p/>
    <w:p/>
    <w:p/>
    <w:p/>
    <w:p/>
    <w:p/>
    <w:p/>
    <w:p/>
    <w:p/>
    <w:p/>
    <w:p/>
    <w:p/>
    <w:p/>
    <w:p/>
    <w:p/>
    <w:p/>
    <w:p/>
    <w:p/>
    <w:p/>
    <w:p/>
    <w:p/>
    <w:p/>
    <w:p/>
    <w:p/>
    <w:p/>
    <w:p/>
    <w:p>
      <w:pPr>
        <w:jc w:val="center"/>
      </w:pPr>
    </w:p>
    <w:p>
      <w:pPr>
        <w:widowControl w:val="0"/>
        <w:ind w:right="99"/>
        <w:rPr>
          <w:rFonts w:ascii="Arial" w:hAnsi="Arial"/>
          <w:b w:val="1"/>
          <w:u w:val="single"/>
          <w:lang w:eastAsia="en-US"/>
        </w:rPr>
      </w:pPr>
      <w:r>
        <w:rPr>
          <w:rFonts w:ascii="Arial" w:hAnsi="Arial"/>
        </w:rPr>
        <w:t xml:space="preserve">                                                                     </w:t>
      </w:r>
      <w:r>
        <w:rPr>
          <w:rFonts w:ascii="Arial" w:hAnsi="Arial"/>
          <w:u w:val="single"/>
        </w:rPr>
        <w:t xml:space="preserve"> </w:t>
      </w:r>
      <w:r>
        <w:rPr>
          <w:rFonts w:ascii="Arial" w:hAnsi="Arial"/>
          <w:b w:val="1"/>
          <w:u w:val="single"/>
          <w:lang w:eastAsia="en-US"/>
        </w:rPr>
        <w:t>ANEXO I</w:t>
      </w:r>
    </w:p>
    <w:p>
      <w:pPr>
        <w:widowControl w:val="0"/>
        <w:ind w:right="99"/>
        <w:jc w:val="center"/>
        <w:rPr>
          <w:rFonts w:ascii="Arial" w:hAnsi="Arial"/>
          <w:b w:val="1"/>
          <w:u w:val="single"/>
          <w:lang w:eastAsia="en-US"/>
        </w:rPr>
      </w:pPr>
    </w:p>
    <w:p>
      <w:pPr>
        <w:widowControl w:val="0"/>
        <w:ind w:right="99"/>
        <w:jc w:val="center"/>
        <w:rPr>
          <w:rFonts w:ascii="Arial" w:hAnsi="Arial"/>
          <w:b w:val="1"/>
          <w:u w:val="single"/>
          <w:lang w:eastAsia="en-US"/>
        </w:rPr>
      </w:pPr>
      <w:r>
        <w:rPr>
          <w:rFonts w:ascii="Arial" w:hAnsi="Arial"/>
          <w:b w:val="1"/>
          <w:u w:val="single"/>
          <w:lang w:eastAsia="en-US"/>
        </w:rPr>
        <w:t>TERMO DE REFERÊNCIA</w:t>
      </w:r>
    </w:p>
    <w:p>
      <w:pPr>
        <w:rPr>
          <w:rFonts w:ascii="Arial" w:hAnsi="Arial"/>
          <w:b w:val="1"/>
          <w:lang w:eastAsia="en-US"/>
        </w:rPr>
      </w:pPr>
    </w:p>
    <w:p>
      <w:pPr>
        <w:rPr>
          <w:rFonts w:ascii="Arial" w:hAnsi="Arial"/>
          <w:b w:val="1"/>
          <w:lang w:eastAsia="en-US"/>
        </w:rPr>
      </w:pPr>
      <w:r>
        <w:rPr>
          <w:rFonts w:ascii="Arial" w:hAnsi="Arial"/>
          <w:b w:val="1"/>
          <w:lang w:eastAsia="en-US"/>
        </w:rPr>
        <w:t>1. DAS CONDIÇÕES GERAIS DA CONTRATAÇÃO (Art. 6º, XXIII, ‘a’, ‘e’ e ‘i’ da Lei nº 14.133/2021)</w:t>
      </w:r>
    </w:p>
    <w:p>
      <w:pPr>
        <w:rPr>
          <w:rFonts w:ascii="Arial" w:hAnsi="Arial"/>
          <w:lang w:eastAsia="en-US"/>
        </w:rPr>
      </w:pPr>
      <w:r>
        <w:rPr>
          <w:rFonts w:ascii="Arial" w:hAnsi="Arial"/>
          <w:b w:val="1"/>
          <w:lang w:eastAsia="en-US"/>
        </w:rPr>
        <w:t>1.1.</w:t>
      </w:r>
      <w:r>
        <w:rPr>
          <w:rFonts w:ascii="Arial" w:hAnsi="Arial"/>
          <w:lang w:eastAsia="en-US"/>
        </w:rPr>
        <w:t xml:space="preserve"> </w:t>
      </w:r>
      <w:r>
        <w:rPr>
          <w:rFonts w:ascii="Arial" w:hAnsi="Arial"/>
          <w:b w:val="1"/>
        </w:rPr>
        <w:t>CONTRATAÇÃO DE EMPRESA ESPECIALIZADA NA ORGANIZAÇÃO E EXECUÇÃO DE VIAGEM TURÍSTICA, NO ÂMBITO DO PROGRAMA PARANÁ MAIS VIAGEM, CONFORME TERMO DE CONVÊNIO Nº 033/2026, CELEBRADO COM A SECRETARIA DE ESTADO DO TURISMO – SETU/PR, PARA ATENDIMENTO AOS ALUNOS DO ENSINO MÉDIO DO MUNICÍPIO DE TUNEIRAS DO OESTE–PR</w:t>
      </w:r>
      <w:r>
        <w:rPr>
          <w:rFonts w:ascii="Arial" w:hAnsi="Arial"/>
          <w:color w:val="000000"/>
        </w:rPr>
        <w:t>,</w:t>
      </w:r>
      <w:r>
        <w:rPr>
          <w:rFonts w:ascii="Arial" w:hAnsi="Arial"/>
          <w:lang w:eastAsia="en-US"/>
        </w:rPr>
        <w:t xml:space="preserve"> conforme especificações e quantidades abaixo:</w:t>
      </w:r>
    </w:p>
    <w:p>
      <w:pPr>
        <w:rPr>
          <w:rFonts w:ascii="Arial" w:hAnsi="Arial"/>
          <w:lang w:eastAsia="en-US"/>
        </w:rPr>
      </w:pPr>
    </w:p>
    <w:tbl>
      <w:tblPr>
        <w:tblW w:w="900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ook w:val="04A0"/>
      </w:tblPr>
      <w:tblGrid/>
      <w:tr>
        <w:trPr>
          <w:trHeight w:hRule="atLeast" w:val="300"/>
        </w:trPr>
        <w:tc>
          <w:tcPr>
            <w:tcW w:w="861" w:type="dxa"/>
          </w:tcPr>
          <w:p>
            <w:pPr>
              <w:tabs>
                <w:tab w:val="left" w:pos="1620" w:leader="none"/>
                <w:tab w:val="left" w:pos="2160" w:leader="none"/>
              </w:tabs>
              <w:jc w:val="center"/>
              <w:rPr>
                <w:rFonts w:ascii="Arial" w:hAnsi="Arial"/>
                <w:b w:val="1"/>
                <w:lang w:eastAsia="en-US"/>
              </w:rPr>
            </w:pPr>
          </w:p>
          <w:p>
            <w:pPr>
              <w:jc w:val="left"/>
              <w:rPr>
                <w:rFonts w:ascii="Calibri" w:hAnsi="Calibri"/>
                <w:b w:val="1"/>
                <w:sz w:val="22"/>
                <w:lang w:eastAsia="en-US"/>
              </w:rPr>
            </w:pPr>
            <w:r>
              <w:rPr>
                <w:rFonts w:ascii="Arial" w:hAnsi="Arial"/>
                <w:b w:val="1"/>
                <w:lang w:eastAsia="en-US"/>
              </w:rPr>
              <w:t>Ordem</w:t>
            </w:r>
          </w:p>
        </w:tc>
        <w:tc>
          <w:tcPr>
            <w:tcW w:w="2173" w:type="dxa"/>
          </w:tcPr>
          <w:p>
            <w:pPr>
              <w:tabs>
                <w:tab w:val="left" w:pos="1620" w:leader="none"/>
                <w:tab w:val="left" w:pos="2160" w:leader="none"/>
              </w:tabs>
              <w:jc w:val="center"/>
              <w:rPr>
                <w:rFonts w:ascii="Arial" w:hAnsi="Arial"/>
                <w:b w:val="1"/>
                <w:lang w:eastAsia="en-US"/>
              </w:rPr>
            </w:pPr>
          </w:p>
          <w:p>
            <w:pPr>
              <w:tabs>
                <w:tab w:val="left" w:pos="1620" w:leader="none"/>
                <w:tab w:val="left" w:pos="2160" w:leader="none"/>
              </w:tabs>
              <w:jc w:val="center"/>
              <w:rPr>
                <w:rFonts w:ascii="Arial" w:hAnsi="Arial"/>
                <w:b w:val="1"/>
                <w:lang w:eastAsia="en-US"/>
              </w:rPr>
            </w:pPr>
            <w:r>
              <w:rPr>
                <w:rFonts w:ascii="Arial" w:hAnsi="Arial"/>
                <w:b w:val="1"/>
                <w:lang w:eastAsia="en-US"/>
              </w:rPr>
              <w:t>Especificação</w:t>
            </w:r>
          </w:p>
          <w:p>
            <w:pPr>
              <w:jc w:val="left"/>
              <w:rPr>
                <w:rFonts w:ascii="Calibri" w:hAnsi="Calibri"/>
                <w:b w:val="1"/>
                <w:sz w:val="22"/>
                <w:lang w:eastAsia="en-US"/>
              </w:rPr>
            </w:pPr>
          </w:p>
        </w:tc>
        <w:tc>
          <w:tcPr>
            <w:tcW w:w="1283" w:type="dxa"/>
          </w:tcPr>
          <w:p>
            <w:pPr>
              <w:tabs>
                <w:tab w:val="left" w:pos="1620" w:leader="none"/>
                <w:tab w:val="left" w:pos="2160" w:leader="none"/>
              </w:tabs>
              <w:jc w:val="center"/>
              <w:rPr>
                <w:rFonts w:ascii="Arial" w:hAnsi="Arial"/>
                <w:b w:val="1"/>
                <w:lang w:eastAsia="en-US"/>
              </w:rPr>
            </w:pPr>
            <w:r>
              <w:rPr>
                <w:rFonts w:ascii="Arial" w:hAnsi="Arial"/>
                <w:b w:val="1"/>
                <w:lang w:eastAsia="en-US"/>
              </w:rPr>
              <w:t>Categoria</w:t>
            </w:r>
          </w:p>
          <w:p>
            <w:pPr>
              <w:tabs>
                <w:tab w:val="left" w:pos="1620" w:leader="none"/>
                <w:tab w:val="left" w:pos="2160" w:leader="none"/>
              </w:tabs>
              <w:jc w:val="center"/>
              <w:rPr>
                <w:rFonts w:ascii="Arial" w:hAnsi="Arial"/>
                <w:b w:val="1"/>
                <w:lang w:eastAsia="en-US"/>
              </w:rPr>
            </w:pPr>
            <w:r>
              <w:rPr>
                <w:rFonts w:ascii="Arial" w:hAnsi="Arial"/>
                <w:b w:val="1"/>
                <w:lang w:eastAsia="en-US"/>
              </w:rPr>
              <w:t>Econômica</w:t>
            </w:r>
          </w:p>
        </w:tc>
        <w:tc>
          <w:tcPr>
            <w:tcW w:w="1160" w:type="dxa"/>
          </w:tcPr>
          <w:p>
            <w:pPr>
              <w:tabs>
                <w:tab w:val="left" w:pos="1620" w:leader="none"/>
                <w:tab w:val="left" w:pos="2160" w:leader="none"/>
              </w:tabs>
              <w:jc w:val="center"/>
              <w:rPr>
                <w:rFonts w:ascii="Arial" w:hAnsi="Arial"/>
                <w:b w:val="1"/>
                <w:lang w:eastAsia="en-US"/>
              </w:rPr>
            </w:pPr>
          </w:p>
          <w:p>
            <w:pPr>
              <w:tabs>
                <w:tab w:val="left" w:pos="1620" w:leader="none"/>
                <w:tab w:val="left" w:pos="2160" w:leader="none"/>
              </w:tabs>
              <w:jc w:val="center"/>
              <w:rPr>
                <w:rFonts w:ascii="Arial" w:hAnsi="Arial"/>
                <w:b w:val="1"/>
                <w:lang w:eastAsia="en-US"/>
              </w:rPr>
            </w:pPr>
            <w:r>
              <w:rPr>
                <w:rFonts w:ascii="Arial" w:hAnsi="Arial"/>
                <w:b w:val="1"/>
                <w:lang w:eastAsia="en-US"/>
              </w:rPr>
              <w:t>Unidade</w:t>
            </w:r>
          </w:p>
        </w:tc>
        <w:tc>
          <w:tcPr>
            <w:tcW w:w="850" w:type="dxa"/>
          </w:tcPr>
          <w:p>
            <w:pPr>
              <w:tabs>
                <w:tab w:val="left" w:pos="1620" w:leader="none"/>
                <w:tab w:val="left" w:pos="2160" w:leader="none"/>
              </w:tabs>
              <w:jc w:val="center"/>
              <w:rPr>
                <w:rFonts w:ascii="Arial" w:hAnsi="Arial"/>
                <w:b w:val="1"/>
                <w:lang w:eastAsia="en-US"/>
              </w:rPr>
            </w:pPr>
          </w:p>
          <w:p>
            <w:pPr>
              <w:jc w:val="left"/>
              <w:rPr>
                <w:rFonts w:ascii="Calibri" w:hAnsi="Calibri"/>
                <w:b w:val="1"/>
                <w:sz w:val="22"/>
                <w:lang w:eastAsia="en-US"/>
              </w:rPr>
            </w:pPr>
            <w:r>
              <w:rPr>
                <w:rFonts w:ascii="Arial" w:hAnsi="Arial"/>
                <w:b w:val="1"/>
                <w:lang w:eastAsia="en-US"/>
              </w:rPr>
              <w:t>Quant.</w:t>
            </w:r>
          </w:p>
        </w:tc>
        <w:tc>
          <w:tcPr>
            <w:tcW w:w="1339" w:type="dxa"/>
          </w:tcPr>
          <w:p>
            <w:pPr>
              <w:tabs>
                <w:tab w:val="left" w:pos="1620" w:leader="none"/>
                <w:tab w:val="left" w:pos="2160" w:leader="none"/>
              </w:tabs>
              <w:jc w:val="left"/>
              <w:rPr>
                <w:rFonts w:ascii="Arial" w:hAnsi="Arial"/>
                <w:b w:val="1"/>
                <w:lang w:eastAsia="en-US"/>
              </w:rPr>
            </w:pPr>
            <w:r>
              <w:rPr>
                <w:rFonts w:ascii="Arial" w:hAnsi="Arial"/>
                <w:b w:val="1"/>
                <w:lang w:eastAsia="en-US"/>
              </w:rPr>
              <w:t xml:space="preserve">Valor Máx. </w:t>
            </w:r>
          </w:p>
          <w:p>
            <w:pPr>
              <w:jc w:val="left"/>
              <w:rPr>
                <w:rFonts w:ascii="Calibri" w:hAnsi="Calibri"/>
                <w:b w:val="1"/>
                <w:sz w:val="22"/>
                <w:lang w:eastAsia="en-US"/>
              </w:rPr>
            </w:pPr>
            <w:r>
              <w:rPr>
                <w:rFonts w:ascii="Arial" w:hAnsi="Arial"/>
                <w:b w:val="1"/>
                <w:lang w:eastAsia="en-US"/>
              </w:rPr>
              <w:t>Unit. (R$)</w:t>
            </w:r>
          </w:p>
        </w:tc>
        <w:tc>
          <w:tcPr>
            <w:tcW w:w="1339" w:type="dxa"/>
          </w:tcPr>
          <w:p>
            <w:pPr>
              <w:jc w:val="left"/>
              <w:rPr>
                <w:rFonts w:ascii="Calibri" w:hAnsi="Calibri"/>
                <w:b w:val="1"/>
                <w:sz w:val="22"/>
                <w:lang w:eastAsia="en-US"/>
              </w:rPr>
            </w:pPr>
            <w:r>
              <w:rPr>
                <w:rFonts w:ascii="Arial" w:hAnsi="Arial"/>
                <w:b w:val="1"/>
                <w:lang w:eastAsia="en-US"/>
              </w:rPr>
              <w:t>Valor Máx. Total. (R$)</w:t>
            </w:r>
          </w:p>
        </w:tc>
      </w:tr>
      <w:tr>
        <w:trPr>
          <w:trHeight w:hRule="atLeast" w:val="300"/>
        </w:trPr>
        <w:tc>
          <w:tcPr>
            <w:tcW w:w="861" w:type="dxa"/>
            <w:hideMark/>
          </w:tcPr>
          <w:p>
            <w:pPr>
              <w:spacing w:lineRule="auto" w:line="259" w:after="160" w:beforeAutospacing="0" w:afterAutospacing="0"/>
              <w:jc w:val="left"/>
              <w:rPr>
                <w:rFonts w:ascii="Calibri" w:hAnsi="Calibri"/>
                <w:sz w:val="22"/>
                <w:lang w:eastAsia="en-US"/>
              </w:rPr>
            </w:pPr>
            <w:r>
              <w:rPr>
                <w:rFonts w:ascii="Calibri" w:hAnsi="Calibri"/>
                <w:sz w:val="22"/>
                <w:lang w:eastAsia="en-US"/>
              </w:rPr>
              <w:t>1</w:t>
            </w:r>
          </w:p>
        </w:tc>
        <w:tc>
          <w:tcPr>
            <w:tcW w:w="2173" w:type="dxa"/>
            <w:hideMark/>
          </w:tcPr>
          <w:p>
            <w:pPr>
              <w:jc w:val="left"/>
              <w:rPr>
                <w:rFonts w:ascii="Calibri" w:hAnsi="Calibri"/>
                <w:sz w:val="22"/>
                <w:lang w:eastAsia="en-US"/>
              </w:rPr>
            </w:pPr>
            <w:r>
              <w:rPr>
                <w:rFonts w:ascii="Calibri" w:hAnsi="Calibri"/>
                <w:sz w:val="22"/>
                <w:lang w:eastAsia="en-US"/>
              </w:rPr>
              <w:t>Transporte</w:t>
            </w:r>
          </w:p>
          <w:p>
            <w:pPr>
              <w:jc w:val="left"/>
              <w:rPr>
                <w:rFonts w:ascii="Calibri" w:hAnsi="Calibri"/>
                <w:sz w:val="22"/>
                <w:lang w:eastAsia="en-US"/>
              </w:rPr>
            </w:pPr>
            <w:r>
              <w:rPr>
                <w:rFonts w:ascii="Calibri" w:hAnsi="Calibri"/>
                <w:sz w:val="22"/>
                <w:lang w:eastAsia="en-US"/>
              </w:rPr>
              <w:t>rodoviário Tuneiras</w:t>
            </w:r>
          </w:p>
          <w:p>
            <w:pPr>
              <w:jc w:val="left"/>
              <w:rPr>
                <w:rFonts w:ascii="Calibri" w:hAnsi="Calibri"/>
                <w:sz w:val="22"/>
                <w:lang w:eastAsia="en-US"/>
              </w:rPr>
            </w:pPr>
            <w:r>
              <w:rPr>
                <w:rFonts w:ascii="Calibri" w:hAnsi="Calibri"/>
                <w:sz w:val="22"/>
                <w:lang w:eastAsia="en-US"/>
              </w:rPr>
              <w:t>do Oeste x Foz do</w:t>
            </w:r>
          </w:p>
          <w:p>
            <w:pPr>
              <w:jc w:val="left"/>
              <w:rPr>
                <w:rFonts w:ascii="Calibri" w:hAnsi="Calibri"/>
                <w:sz w:val="22"/>
                <w:lang w:eastAsia="en-US"/>
              </w:rPr>
            </w:pPr>
            <w:r>
              <w:rPr>
                <w:rFonts w:ascii="Calibri" w:hAnsi="Calibri"/>
                <w:sz w:val="22"/>
                <w:lang w:eastAsia="en-US"/>
              </w:rPr>
              <w:t>Iguaçu x Tuneiras do</w:t>
            </w:r>
          </w:p>
          <w:p>
            <w:pPr>
              <w:jc w:val="left"/>
              <w:rPr>
                <w:rFonts w:ascii="Calibri" w:hAnsi="Calibri"/>
                <w:sz w:val="22"/>
                <w:lang w:eastAsia="en-US"/>
              </w:rPr>
            </w:pPr>
            <w:r>
              <w:rPr>
                <w:rFonts w:ascii="Calibri" w:hAnsi="Calibri"/>
                <w:sz w:val="22"/>
                <w:lang w:eastAsia="en-US"/>
              </w:rPr>
              <w:t>Oeste e visita</w:t>
            </w:r>
          </w:p>
          <w:p>
            <w:pPr>
              <w:jc w:val="left"/>
              <w:rPr>
                <w:rFonts w:ascii="Calibri" w:hAnsi="Calibri"/>
                <w:sz w:val="22"/>
                <w:lang w:eastAsia="en-US"/>
              </w:rPr>
            </w:pPr>
            <w:r>
              <w:rPr>
                <w:rFonts w:ascii="Calibri" w:hAnsi="Calibri"/>
                <w:sz w:val="22"/>
                <w:lang w:eastAsia="en-US"/>
              </w:rPr>
              <w:t>Cataratas do Iguaçu,</w:t>
            </w:r>
          </w:p>
          <w:p>
            <w:pPr>
              <w:jc w:val="left"/>
              <w:rPr>
                <w:rFonts w:ascii="Calibri" w:hAnsi="Calibri"/>
                <w:sz w:val="22"/>
                <w:lang w:eastAsia="en-US"/>
              </w:rPr>
            </w:pPr>
            <w:r>
              <w:rPr>
                <w:rFonts w:ascii="Calibri" w:hAnsi="Calibri"/>
                <w:sz w:val="22"/>
                <w:lang w:eastAsia="en-US"/>
              </w:rPr>
              <w:t>Parque das Aves,</w:t>
            </w:r>
          </w:p>
          <w:p>
            <w:pPr>
              <w:jc w:val="left"/>
              <w:rPr>
                <w:rFonts w:ascii="Calibri" w:hAnsi="Calibri"/>
                <w:sz w:val="22"/>
                <w:lang w:eastAsia="en-US"/>
              </w:rPr>
            </w:pPr>
            <w:r>
              <w:rPr>
                <w:rFonts w:ascii="Calibri" w:hAnsi="Calibri"/>
                <w:sz w:val="22"/>
                <w:lang w:eastAsia="en-US"/>
              </w:rPr>
              <w:t>Marco das três</w:t>
            </w:r>
          </w:p>
          <w:p>
            <w:pPr>
              <w:jc w:val="left"/>
              <w:rPr>
                <w:rFonts w:ascii="Calibri" w:hAnsi="Calibri"/>
                <w:sz w:val="22"/>
                <w:lang w:eastAsia="en-US"/>
              </w:rPr>
            </w:pPr>
            <w:r>
              <w:rPr>
                <w:rFonts w:ascii="Calibri" w:hAnsi="Calibri"/>
                <w:sz w:val="22"/>
                <w:lang w:eastAsia="en-US"/>
              </w:rPr>
              <w:t>fronteiras, Itaipu</w:t>
            </w:r>
          </w:p>
          <w:p>
            <w:pPr>
              <w:jc w:val="left"/>
              <w:rPr>
                <w:rFonts w:ascii="Calibri" w:hAnsi="Calibri"/>
                <w:sz w:val="22"/>
                <w:lang w:eastAsia="en-US"/>
              </w:rPr>
            </w:pPr>
            <w:r>
              <w:rPr>
                <w:rFonts w:ascii="Calibri" w:hAnsi="Calibri"/>
                <w:sz w:val="22"/>
                <w:lang w:eastAsia="en-US"/>
              </w:rPr>
              <w:t>Binacional</w:t>
            </w:r>
          </w:p>
          <w:p>
            <w:pPr>
              <w:jc w:val="left"/>
              <w:rPr>
                <w:rFonts w:ascii="Calibri" w:hAnsi="Calibri"/>
                <w:sz w:val="22"/>
                <w:lang w:eastAsia="en-US"/>
              </w:rPr>
            </w:pPr>
            <w:r>
              <w:rPr>
                <w:rFonts w:ascii="Calibri" w:hAnsi="Calibri"/>
                <w:sz w:val="22"/>
                <w:lang w:eastAsia="en-US"/>
              </w:rPr>
              <w:t>panorâmico.</w:t>
            </w:r>
          </w:p>
        </w:tc>
        <w:tc>
          <w:tcPr>
            <w:tcW w:w="1283" w:type="dxa"/>
          </w:tcPr>
          <w:p>
            <w:pPr>
              <w:jc w:val="left"/>
              <w:rPr>
                <w:rFonts w:ascii="Calibri" w:hAnsi="Calibri"/>
                <w:sz w:val="22"/>
                <w:lang w:eastAsia="en-US"/>
              </w:rPr>
            </w:pPr>
            <w:r>
              <w:rPr>
                <w:rFonts w:ascii="Calibri" w:hAnsi="Calibri"/>
                <w:sz w:val="22"/>
                <w:lang w:eastAsia="en-US"/>
              </w:rPr>
              <w:br w:type="textWrapping"/>
              <w:br w:type="textWrapping"/>
              <w:br w:type="textWrapping"/>
              <w:br w:type="textWrapping"/>
              <w:t>Despesa</w:t>
            </w:r>
          </w:p>
          <w:p>
            <w:pPr>
              <w:jc w:val="left"/>
              <w:rPr>
                <w:rFonts w:ascii="Calibri" w:hAnsi="Calibri"/>
                <w:sz w:val="22"/>
                <w:lang w:eastAsia="en-US"/>
              </w:rPr>
            </w:pPr>
            <w:r>
              <w:rPr>
                <w:rFonts w:ascii="Calibri" w:hAnsi="Calibri"/>
                <w:sz w:val="22"/>
                <w:lang w:eastAsia="en-US"/>
              </w:rPr>
              <w:t>Corrente</w:t>
            </w:r>
          </w:p>
        </w:tc>
        <w:tc>
          <w:tcPr>
            <w:tcW w:w="1160" w:type="dxa"/>
          </w:tcPr>
          <w:p>
            <w:pPr>
              <w:jc w:val="left"/>
              <w:rPr>
                <w:rFonts w:ascii="Calibri" w:hAnsi="Calibri"/>
                <w:sz w:val="22"/>
                <w:lang w:eastAsia="en-US"/>
              </w:rPr>
            </w:pPr>
            <w:r>
              <w:rPr>
                <w:rFonts w:ascii="Calibri" w:hAnsi="Calibri"/>
                <w:sz w:val="22"/>
                <w:lang w:eastAsia="en-US"/>
              </w:rPr>
              <w:br w:type="textWrapping"/>
              <w:br w:type="textWrapping"/>
              <w:br w:type="textWrapping"/>
              <w:br w:type="textWrapping"/>
              <w:t>Ônibus</w:t>
            </w:r>
          </w:p>
        </w:tc>
        <w:tc>
          <w:tcPr>
            <w:tcW w:w="850" w:type="dxa"/>
            <w:hideMark/>
          </w:tcPr>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r>
              <w:rPr>
                <w:rFonts w:ascii="Calibri" w:hAnsi="Calibri"/>
                <w:sz w:val="22"/>
                <w:lang w:eastAsia="en-US"/>
              </w:rPr>
              <w:t xml:space="preserve">     </w:t>
              <w:br w:type="textWrapping"/>
              <w:t xml:space="preserve">  02</w:t>
            </w:r>
          </w:p>
        </w:tc>
        <w:tc>
          <w:tcPr>
            <w:tcW w:w="1339" w:type="dxa"/>
            <w:hideMark/>
          </w:tcPr>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r>
              <w:rPr>
                <w:rFonts w:ascii="Calibri" w:hAnsi="Calibri"/>
                <w:sz w:val="22"/>
                <w:lang w:eastAsia="en-US"/>
              </w:rPr>
              <w:br w:type="textWrapping"/>
              <w:t>R$12.000,00</w:t>
            </w:r>
          </w:p>
        </w:tc>
        <w:tc>
          <w:tcPr>
            <w:tcW w:w="1339" w:type="dxa"/>
            <w:hideMark/>
          </w:tcPr>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r>
              <w:rPr>
                <w:rFonts w:ascii="Calibri" w:hAnsi="Calibri"/>
                <w:sz w:val="22"/>
                <w:lang w:eastAsia="en-US"/>
              </w:rPr>
              <w:br w:type="textWrapping"/>
              <w:t>R$24.000,00</w:t>
            </w:r>
          </w:p>
        </w:tc>
      </w:tr>
      <w:tr>
        <w:trPr>
          <w:trHeight w:hRule="atLeast" w:val="300"/>
        </w:trPr>
        <w:tc>
          <w:tcPr>
            <w:tcW w:w="861" w:type="dxa"/>
          </w:tcPr>
          <w:p>
            <w:pPr>
              <w:spacing w:lineRule="auto" w:line="259" w:after="160" w:beforeAutospacing="0" w:afterAutospacing="0"/>
              <w:jc w:val="left"/>
              <w:rPr>
                <w:rFonts w:ascii="Calibri" w:hAnsi="Calibri"/>
                <w:sz w:val="22"/>
                <w:lang w:eastAsia="en-US"/>
              </w:rPr>
            </w:pPr>
            <w:r>
              <w:rPr>
                <w:rFonts w:ascii="Calibri" w:hAnsi="Calibri"/>
                <w:sz w:val="22"/>
                <w:lang w:eastAsia="en-US"/>
              </w:rPr>
              <w:br w:type="textWrapping"/>
              <w:t>02</w:t>
            </w:r>
          </w:p>
        </w:tc>
        <w:tc>
          <w:tcPr>
            <w:tcW w:w="2173" w:type="dxa"/>
          </w:tcPr>
          <w:p>
            <w:pPr>
              <w:tabs>
                <w:tab w:val="left" w:pos="2490" w:leader="none"/>
              </w:tabs>
              <w:jc w:val="left"/>
              <w:rPr>
                <w:rFonts w:ascii="Calibri" w:hAnsi="Calibri"/>
                <w:sz w:val="22"/>
                <w:lang w:eastAsia="en-US"/>
              </w:rPr>
            </w:pPr>
            <w:r>
              <w:rPr>
                <w:rFonts w:ascii="Calibri" w:hAnsi="Calibri"/>
                <w:sz w:val="22"/>
                <w:lang w:eastAsia="en-US"/>
              </w:rPr>
              <w:t>Seguro viagem para todos</w:t>
            </w:r>
          </w:p>
          <w:p>
            <w:pPr>
              <w:tabs>
                <w:tab w:val="left" w:pos="2490" w:leader="none"/>
              </w:tabs>
              <w:jc w:val="left"/>
              <w:rPr>
                <w:rFonts w:ascii="Calibri" w:hAnsi="Calibri"/>
                <w:sz w:val="22"/>
                <w:lang w:eastAsia="en-US"/>
              </w:rPr>
            </w:pPr>
            <w:r>
              <w:rPr>
                <w:rFonts w:ascii="Calibri" w:hAnsi="Calibri"/>
                <w:sz w:val="22"/>
                <w:lang w:eastAsia="en-US"/>
              </w:rPr>
              <w:t>os passageiros</w:t>
            </w:r>
          </w:p>
        </w:tc>
        <w:tc>
          <w:tcPr>
            <w:tcW w:w="1283" w:type="dxa"/>
          </w:tcPr>
          <w:p>
            <w:pPr>
              <w:jc w:val="left"/>
              <w:rPr>
                <w:rFonts w:ascii="Calibri" w:hAnsi="Calibri"/>
                <w:sz w:val="22"/>
                <w:lang w:eastAsia="en-US"/>
              </w:rPr>
            </w:pPr>
            <w:r>
              <w:rPr>
                <w:rFonts w:ascii="Calibri" w:hAnsi="Calibri"/>
                <w:sz w:val="22"/>
                <w:lang w:eastAsia="en-US"/>
              </w:rPr>
              <w:t>Despesa</w:t>
            </w:r>
          </w:p>
          <w:p>
            <w:pPr>
              <w:jc w:val="left"/>
              <w:rPr>
                <w:rFonts w:ascii="Calibri" w:hAnsi="Calibri"/>
                <w:sz w:val="22"/>
                <w:lang w:eastAsia="en-US"/>
              </w:rPr>
            </w:pPr>
            <w:r>
              <w:rPr>
                <w:rFonts w:ascii="Calibri" w:hAnsi="Calibri"/>
                <w:sz w:val="22"/>
                <w:lang w:eastAsia="en-US"/>
              </w:rPr>
              <w:t>Corrente</w:t>
            </w:r>
          </w:p>
        </w:tc>
        <w:tc>
          <w:tcPr>
            <w:tcW w:w="1160" w:type="dxa"/>
          </w:tcPr>
          <w:p>
            <w:pPr>
              <w:jc w:val="left"/>
              <w:rPr>
                <w:rFonts w:ascii="Calibri" w:hAnsi="Calibri"/>
                <w:sz w:val="22"/>
                <w:lang w:eastAsia="en-US"/>
              </w:rPr>
            </w:pPr>
            <w:r>
              <w:rPr>
                <w:rFonts w:ascii="Calibri" w:hAnsi="Calibri"/>
                <w:sz w:val="22"/>
                <w:lang w:eastAsia="en-US"/>
              </w:rPr>
              <w:t>Passageiro</w:t>
            </w:r>
          </w:p>
        </w:tc>
        <w:tc>
          <w:tcPr>
            <w:tcW w:w="850" w:type="dxa"/>
          </w:tcPr>
          <w:p>
            <w:pPr>
              <w:jc w:val="left"/>
              <w:rPr>
                <w:rFonts w:ascii="Calibri" w:hAnsi="Calibri"/>
                <w:sz w:val="22"/>
                <w:lang w:eastAsia="en-US"/>
              </w:rPr>
            </w:pPr>
            <w:r>
              <w:rPr>
                <w:rFonts w:ascii="Calibri" w:hAnsi="Calibri"/>
                <w:sz w:val="22"/>
                <w:lang w:eastAsia="en-US"/>
              </w:rPr>
              <w:t xml:space="preserve">   </w:t>
            </w:r>
          </w:p>
          <w:p>
            <w:pPr>
              <w:jc w:val="left"/>
              <w:rPr>
                <w:rFonts w:ascii="Calibri" w:hAnsi="Calibri"/>
                <w:sz w:val="22"/>
                <w:lang w:eastAsia="en-US"/>
              </w:rPr>
            </w:pPr>
            <w:r>
              <w:rPr>
                <w:rFonts w:ascii="Calibri" w:hAnsi="Calibri"/>
                <w:sz w:val="22"/>
                <w:lang w:eastAsia="en-US"/>
              </w:rPr>
              <w:t xml:space="preserve">    80</w:t>
            </w:r>
          </w:p>
        </w:tc>
        <w:tc>
          <w:tcPr>
            <w:tcW w:w="1339" w:type="dxa"/>
          </w:tcPr>
          <w:p>
            <w:pPr>
              <w:jc w:val="left"/>
              <w:rPr>
                <w:rFonts w:ascii="Calibri" w:hAnsi="Calibri"/>
                <w:sz w:val="22"/>
                <w:lang w:eastAsia="en-US"/>
              </w:rPr>
            </w:pPr>
            <w:r>
              <w:rPr>
                <w:rFonts w:ascii="Calibri" w:hAnsi="Calibri"/>
                <w:sz w:val="22"/>
                <w:lang w:eastAsia="en-US"/>
              </w:rPr>
              <w:br w:type="textWrapping"/>
              <w:t xml:space="preserve">  R$40,00</w:t>
            </w:r>
          </w:p>
        </w:tc>
        <w:tc>
          <w:tcPr>
            <w:tcW w:w="1339" w:type="dxa"/>
          </w:tcPr>
          <w:p>
            <w:pPr>
              <w:jc w:val="left"/>
              <w:rPr>
                <w:rFonts w:ascii="Calibri" w:hAnsi="Calibri"/>
                <w:sz w:val="22"/>
                <w:lang w:eastAsia="en-US"/>
              </w:rPr>
            </w:pPr>
            <w:r>
              <w:rPr>
                <w:rFonts w:ascii="Calibri" w:hAnsi="Calibri"/>
                <w:sz w:val="22"/>
                <w:lang w:eastAsia="en-US"/>
              </w:rPr>
              <w:br w:type="textWrapping"/>
              <w:t>R$3.200,00</w:t>
            </w:r>
          </w:p>
        </w:tc>
      </w:tr>
      <w:tr>
        <w:trPr>
          <w:trHeight w:hRule="atLeast" w:val="300"/>
        </w:trPr>
        <w:tc>
          <w:tcPr>
            <w:tcW w:w="861" w:type="dxa"/>
          </w:tcPr>
          <w:p>
            <w:pPr>
              <w:spacing w:lineRule="auto" w:line="259" w:after="160" w:beforeAutospacing="0" w:afterAutospacing="0"/>
              <w:jc w:val="left"/>
              <w:rPr>
                <w:rFonts w:ascii="Calibri" w:hAnsi="Calibri"/>
                <w:sz w:val="22"/>
                <w:lang w:eastAsia="en-US"/>
              </w:rPr>
            </w:pPr>
            <w:r>
              <w:rPr>
                <w:rFonts w:ascii="Calibri" w:hAnsi="Calibri"/>
                <w:sz w:val="22"/>
                <w:lang w:eastAsia="en-US"/>
              </w:rPr>
              <w:t>03</w:t>
            </w:r>
          </w:p>
        </w:tc>
        <w:tc>
          <w:tcPr>
            <w:tcW w:w="2173" w:type="dxa"/>
          </w:tcPr>
          <w:p>
            <w:pPr>
              <w:tabs>
                <w:tab w:val="left" w:pos="2490" w:leader="none"/>
              </w:tabs>
              <w:jc w:val="left"/>
              <w:rPr>
                <w:rFonts w:ascii="Calibri" w:hAnsi="Calibri"/>
                <w:sz w:val="22"/>
                <w:lang w:eastAsia="en-US"/>
              </w:rPr>
            </w:pPr>
            <w:r>
              <w:rPr>
                <w:rFonts w:ascii="Calibri" w:hAnsi="Calibri"/>
                <w:sz w:val="22"/>
                <w:lang w:eastAsia="en-US"/>
              </w:rPr>
              <w:t>Guia de turismo</w:t>
            </w:r>
          </w:p>
        </w:tc>
        <w:tc>
          <w:tcPr>
            <w:tcW w:w="1283" w:type="dxa"/>
          </w:tcPr>
          <w:p>
            <w:pPr>
              <w:jc w:val="left"/>
              <w:rPr>
                <w:rFonts w:ascii="Calibri" w:hAnsi="Calibri"/>
                <w:sz w:val="22"/>
                <w:lang w:eastAsia="en-US"/>
              </w:rPr>
            </w:pPr>
            <w:r>
              <w:rPr>
                <w:rFonts w:ascii="Calibri" w:hAnsi="Calibri"/>
                <w:sz w:val="22"/>
                <w:lang w:eastAsia="en-US"/>
              </w:rPr>
              <w:t>Despesa</w:t>
            </w:r>
          </w:p>
          <w:p>
            <w:pPr>
              <w:jc w:val="left"/>
              <w:rPr>
                <w:rFonts w:ascii="Calibri" w:hAnsi="Calibri"/>
                <w:sz w:val="22"/>
                <w:lang w:eastAsia="en-US"/>
              </w:rPr>
            </w:pPr>
            <w:r>
              <w:rPr>
                <w:rFonts w:ascii="Calibri" w:hAnsi="Calibri"/>
                <w:sz w:val="22"/>
                <w:lang w:eastAsia="en-US"/>
              </w:rPr>
              <w:t>Corrente</w:t>
            </w:r>
          </w:p>
        </w:tc>
        <w:tc>
          <w:tcPr>
            <w:tcW w:w="1160" w:type="dxa"/>
          </w:tcPr>
          <w:p>
            <w:pPr>
              <w:jc w:val="left"/>
              <w:rPr>
                <w:rFonts w:ascii="Calibri" w:hAnsi="Calibri"/>
                <w:sz w:val="22"/>
                <w:lang w:eastAsia="en-US"/>
              </w:rPr>
            </w:pPr>
            <w:r>
              <w:rPr>
                <w:rFonts w:ascii="Calibri" w:hAnsi="Calibri"/>
                <w:sz w:val="22"/>
                <w:lang w:eastAsia="en-US"/>
              </w:rPr>
              <w:t>Serviço</w:t>
            </w:r>
          </w:p>
        </w:tc>
        <w:tc>
          <w:tcPr>
            <w:tcW w:w="850" w:type="dxa"/>
          </w:tcPr>
          <w:p>
            <w:pPr>
              <w:jc w:val="left"/>
              <w:rPr>
                <w:rFonts w:ascii="Calibri" w:hAnsi="Calibri"/>
                <w:sz w:val="22"/>
                <w:lang w:eastAsia="en-US"/>
              </w:rPr>
            </w:pPr>
            <w:r>
              <w:rPr>
                <w:rFonts w:ascii="Calibri" w:hAnsi="Calibri"/>
                <w:sz w:val="22"/>
                <w:lang w:eastAsia="en-US"/>
              </w:rPr>
              <w:t xml:space="preserve">    02</w:t>
            </w:r>
          </w:p>
        </w:tc>
        <w:tc>
          <w:tcPr>
            <w:tcW w:w="1339" w:type="dxa"/>
          </w:tcPr>
          <w:p>
            <w:pPr>
              <w:jc w:val="left"/>
              <w:rPr>
                <w:rFonts w:ascii="Calibri" w:hAnsi="Calibri"/>
                <w:sz w:val="22"/>
                <w:lang w:eastAsia="en-US"/>
              </w:rPr>
            </w:pPr>
            <w:r>
              <w:rPr>
                <w:rFonts w:ascii="Calibri" w:hAnsi="Calibri"/>
                <w:sz w:val="22"/>
                <w:lang w:eastAsia="en-US"/>
              </w:rPr>
              <w:t xml:space="preserve"> R$950,00</w:t>
            </w:r>
          </w:p>
        </w:tc>
        <w:tc>
          <w:tcPr>
            <w:tcW w:w="1339" w:type="dxa"/>
          </w:tcPr>
          <w:p>
            <w:pPr>
              <w:jc w:val="left"/>
              <w:rPr>
                <w:rFonts w:ascii="Calibri" w:hAnsi="Calibri"/>
                <w:sz w:val="22"/>
                <w:lang w:eastAsia="en-US"/>
              </w:rPr>
            </w:pPr>
            <w:r>
              <w:rPr>
                <w:rFonts w:ascii="Calibri" w:hAnsi="Calibri"/>
                <w:sz w:val="22"/>
                <w:lang w:eastAsia="en-US"/>
              </w:rPr>
              <w:t>R$1.900,00</w:t>
            </w:r>
          </w:p>
        </w:tc>
      </w:tr>
      <w:tr>
        <w:trPr>
          <w:trHeight w:hRule="atLeast" w:val="300"/>
        </w:trPr>
        <w:tc>
          <w:tcPr>
            <w:tcW w:w="861" w:type="dxa"/>
          </w:tcPr>
          <w:p>
            <w:pPr>
              <w:spacing w:lineRule="auto" w:line="259" w:after="160" w:beforeAutospacing="0" w:afterAutospacing="0"/>
              <w:jc w:val="left"/>
              <w:rPr>
                <w:rFonts w:ascii="Calibri" w:hAnsi="Calibri"/>
                <w:sz w:val="22"/>
                <w:lang w:eastAsia="en-US"/>
              </w:rPr>
            </w:pPr>
            <w:r>
              <w:rPr>
                <w:rFonts w:ascii="Calibri" w:hAnsi="Calibri"/>
                <w:sz w:val="22"/>
                <w:lang w:eastAsia="en-US"/>
              </w:rPr>
              <w:t>04</w:t>
            </w:r>
          </w:p>
        </w:tc>
        <w:tc>
          <w:tcPr>
            <w:tcW w:w="2173" w:type="dxa"/>
          </w:tcPr>
          <w:p>
            <w:pPr>
              <w:tabs>
                <w:tab w:val="left" w:pos="2490" w:leader="none"/>
              </w:tabs>
              <w:jc w:val="left"/>
              <w:rPr>
                <w:rFonts w:ascii="Calibri" w:hAnsi="Calibri"/>
                <w:sz w:val="22"/>
                <w:lang w:eastAsia="en-US"/>
              </w:rPr>
            </w:pPr>
            <w:r>
              <w:rPr>
                <w:rFonts w:ascii="Calibri" w:hAnsi="Calibri"/>
                <w:sz w:val="22"/>
                <w:lang w:eastAsia="en-US"/>
              </w:rPr>
              <w:t>Hospedagem: 1</w:t>
            </w:r>
          </w:p>
          <w:p>
            <w:pPr>
              <w:tabs>
                <w:tab w:val="left" w:pos="2490" w:leader="none"/>
              </w:tabs>
              <w:jc w:val="left"/>
              <w:rPr>
                <w:rFonts w:ascii="Calibri" w:hAnsi="Calibri"/>
                <w:sz w:val="22"/>
                <w:lang w:eastAsia="en-US"/>
              </w:rPr>
            </w:pPr>
            <w:r>
              <w:rPr>
                <w:rFonts w:ascii="Calibri" w:hAnsi="Calibri"/>
                <w:sz w:val="22"/>
                <w:lang w:eastAsia="en-US"/>
              </w:rPr>
              <w:t>diária com café da</w:t>
            </w:r>
          </w:p>
          <w:p>
            <w:pPr>
              <w:tabs>
                <w:tab w:val="left" w:pos="2490" w:leader="none"/>
              </w:tabs>
              <w:jc w:val="left"/>
              <w:rPr>
                <w:rFonts w:ascii="Calibri" w:hAnsi="Calibri"/>
                <w:sz w:val="22"/>
                <w:lang w:eastAsia="en-US"/>
              </w:rPr>
            </w:pPr>
            <w:r>
              <w:rPr>
                <w:rFonts w:ascii="Calibri" w:hAnsi="Calibri"/>
                <w:sz w:val="22"/>
                <w:lang w:eastAsia="en-US"/>
              </w:rPr>
              <w:t>manhã.</w:t>
            </w:r>
          </w:p>
        </w:tc>
        <w:tc>
          <w:tcPr>
            <w:tcW w:w="1283" w:type="dxa"/>
          </w:tcPr>
          <w:p>
            <w:pPr>
              <w:jc w:val="left"/>
              <w:rPr>
                <w:rFonts w:ascii="Calibri" w:hAnsi="Calibri"/>
                <w:sz w:val="22"/>
                <w:lang w:eastAsia="en-US"/>
              </w:rPr>
            </w:pPr>
            <w:r>
              <w:rPr>
                <w:rFonts w:ascii="Calibri" w:hAnsi="Calibri"/>
                <w:sz w:val="22"/>
                <w:lang w:eastAsia="en-US"/>
              </w:rPr>
              <w:t>Despesa</w:t>
            </w:r>
          </w:p>
          <w:p>
            <w:pPr>
              <w:jc w:val="left"/>
              <w:rPr>
                <w:rFonts w:ascii="Calibri" w:hAnsi="Calibri"/>
                <w:sz w:val="22"/>
                <w:lang w:eastAsia="en-US"/>
              </w:rPr>
            </w:pPr>
            <w:r>
              <w:rPr>
                <w:rFonts w:ascii="Calibri" w:hAnsi="Calibri"/>
                <w:sz w:val="22"/>
                <w:lang w:eastAsia="en-US"/>
              </w:rPr>
              <w:t>Corrente</w:t>
            </w:r>
          </w:p>
        </w:tc>
        <w:tc>
          <w:tcPr>
            <w:tcW w:w="1160" w:type="dxa"/>
          </w:tcPr>
          <w:p>
            <w:pPr>
              <w:jc w:val="left"/>
              <w:rPr>
                <w:rFonts w:ascii="Calibri" w:hAnsi="Calibri"/>
                <w:sz w:val="22"/>
                <w:lang w:eastAsia="en-US"/>
              </w:rPr>
            </w:pPr>
            <w:r>
              <w:rPr>
                <w:rFonts w:ascii="Calibri" w:hAnsi="Calibri"/>
                <w:sz w:val="22"/>
                <w:lang w:eastAsia="en-US"/>
              </w:rPr>
              <w:br w:type="textWrapping"/>
              <w:t>Passageiro</w:t>
            </w:r>
          </w:p>
        </w:tc>
        <w:tc>
          <w:tcPr>
            <w:tcW w:w="850" w:type="dxa"/>
          </w:tcPr>
          <w:p>
            <w:pPr>
              <w:jc w:val="left"/>
              <w:rPr>
                <w:rFonts w:ascii="Calibri" w:hAnsi="Calibri"/>
                <w:sz w:val="22"/>
                <w:lang w:eastAsia="en-US"/>
              </w:rPr>
            </w:pPr>
            <w:r>
              <w:rPr>
                <w:rFonts w:ascii="Calibri" w:hAnsi="Calibri"/>
                <w:sz w:val="22"/>
                <w:lang w:eastAsia="en-US"/>
              </w:rPr>
              <w:br w:type="textWrapping"/>
              <w:t xml:space="preserve">    80</w:t>
            </w:r>
          </w:p>
        </w:tc>
        <w:tc>
          <w:tcPr>
            <w:tcW w:w="1339" w:type="dxa"/>
          </w:tcPr>
          <w:p>
            <w:pPr>
              <w:jc w:val="left"/>
              <w:rPr>
                <w:rFonts w:ascii="Calibri" w:hAnsi="Calibri"/>
                <w:sz w:val="22"/>
                <w:lang w:eastAsia="en-US"/>
              </w:rPr>
            </w:pPr>
            <w:r>
              <w:rPr>
                <w:rFonts w:ascii="Calibri" w:hAnsi="Calibri"/>
                <w:sz w:val="22"/>
                <w:lang w:eastAsia="en-US"/>
              </w:rPr>
              <w:br w:type="textWrapping"/>
              <w:t xml:space="preserve">  R$250,69</w:t>
            </w:r>
          </w:p>
        </w:tc>
        <w:tc>
          <w:tcPr>
            <w:tcW w:w="1339" w:type="dxa"/>
          </w:tcPr>
          <w:p>
            <w:pPr>
              <w:jc w:val="left"/>
              <w:rPr>
                <w:rFonts w:ascii="Calibri" w:hAnsi="Calibri"/>
                <w:sz w:val="22"/>
                <w:lang w:eastAsia="en-US"/>
              </w:rPr>
            </w:pPr>
            <w:r>
              <w:rPr>
                <w:rFonts w:ascii="Calibri" w:hAnsi="Calibri"/>
                <w:sz w:val="22"/>
                <w:lang w:eastAsia="en-US"/>
              </w:rPr>
              <w:br w:type="textWrapping"/>
              <w:t>R$20.055,20</w:t>
            </w:r>
          </w:p>
        </w:tc>
      </w:tr>
      <w:tr>
        <w:trPr>
          <w:trHeight w:hRule="atLeast" w:val="1698"/>
        </w:trPr>
        <w:tc>
          <w:tcPr>
            <w:tcW w:w="861" w:type="dxa"/>
          </w:tcPr>
          <w:p>
            <w:pPr>
              <w:spacing w:lineRule="auto" w:line="259" w:after="160" w:beforeAutospacing="0" w:afterAutospacing="0"/>
              <w:jc w:val="left"/>
              <w:rPr>
                <w:rFonts w:ascii="Calibri" w:hAnsi="Calibri"/>
                <w:sz w:val="22"/>
                <w:lang w:eastAsia="en-US"/>
              </w:rPr>
            </w:pPr>
            <w:r>
              <w:rPr>
                <w:rFonts w:ascii="Calibri" w:hAnsi="Calibri"/>
                <w:sz w:val="22"/>
                <w:lang w:eastAsia="en-US"/>
              </w:rPr>
              <w:t>05</w:t>
            </w:r>
          </w:p>
        </w:tc>
        <w:tc>
          <w:tcPr>
            <w:tcW w:w="2173" w:type="dxa"/>
          </w:tcPr>
          <w:p>
            <w:pPr>
              <w:tabs>
                <w:tab w:val="left" w:pos="2490" w:leader="none"/>
              </w:tabs>
              <w:jc w:val="left"/>
              <w:rPr>
                <w:rFonts w:ascii="Calibri" w:hAnsi="Calibri"/>
                <w:sz w:val="22"/>
                <w:lang w:eastAsia="en-US"/>
              </w:rPr>
            </w:pPr>
            <w:r>
              <w:rPr>
                <w:rFonts w:ascii="Calibri" w:hAnsi="Calibri"/>
                <w:sz w:val="22"/>
                <w:lang w:eastAsia="en-US"/>
              </w:rPr>
              <w:t>Refeições sendo 02 Almoço self-service e 01 janta (incluso bebida não alcoólica inclusa nas refeições)</w:t>
              <w:br w:type="textWrapping"/>
              <w:t>café da manhã no dia do passeio</w:t>
            </w:r>
          </w:p>
        </w:tc>
        <w:tc>
          <w:tcPr>
            <w:tcW w:w="1283" w:type="dxa"/>
          </w:tcPr>
          <w:p>
            <w:pPr>
              <w:jc w:val="left"/>
              <w:rPr>
                <w:rFonts w:ascii="Calibri" w:hAnsi="Calibri"/>
                <w:sz w:val="22"/>
                <w:lang w:eastAsia="en-US"/>
              </w:rPr>
            </w:pPr>
            <w:r>
              <w:rPr>
                <w:rFonts w:ascii="Calibri" w:hAnsi="Calibri"/>
                <w:sz w:val="22"/>
                <w:lang w:eastAsia="en-US"/>
              </w:rPr>
              <w:br w:type="textWrapping"/>
              <w:br w:type="textWrapping"/>
              <w:br w:type="textWrapping"/>
              <w:t>Despesa</w:t>
            </w:r>
          </w:p>
          <w:p>
            <w:pPr>
              <w:jc w:val="left"/>
              <w:rPr>
                <w:rFonts w:ascii="Calibri" w:hAnsi="Calibri"/>
                <w:sz w:val="22"/>
                <w:lang w:eastAsia="en-US"/>
              </w:rPr>
            </w:pPr>
            <w:r>
              <w:rPr>
                <w:rFonts w:ascii="Calibri" w:hAnsi="Calibri"/>
                <w:sz w:val="22"/>
                <w:lang w:eastAsia="en-US"/>
              </w:rPr>
              <w:t>Corrente</w:t>
            </w:r>
          </w:p>
        </w:tc>
        <w:tc>
          <w:tcPr>
            <w:tcW w:w="1160" w:type="dxa"/>
          </w:tcPr>
          <w:p>
            <w:pPr>
              <w:jc w:val="left"/>
              <w:rPr>
                <w:rFonts w:ascii="Calibri" w:hAnsi="Calibri"/>
                <w:sz w:val="22"/>
                <w:lang w:eastAsia="en-US"/>
              </w:rPr>
            </w:pPr>
            <w:r>
              <w:rPr>
                <w:rFonts w:ascii="Calibri" w:hAnsi="Calibri"/>
                <w:sz w:val="22"/>
                <w:lang w:eastAsia="en-US"/>
              </w:rPr>
              <w:br w:type="textWrapping"/>
              <w:br w:type="textWrapping"/>
              <w:br w:type="textWrapping"/>
              <w:br w:type="textWrapping"/>
              <w:t>Passageiro</w:t>
              <w:br w:type="textWrapping"/>
              <w:br w:type="textWrapping"/>
            </w:r>
          </w:p>
        </w:tc>
        <w:tc>
          <w:tcPr>
            <w:tcW w:w="850" w:type="dxa"/>
          </w:tcPr>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r>
              <w:rPr>
                <w:rFonts w:ascii="Calibri" w:hAnsi="Calibri"/>
                <w:sz w:val="22"/>
                <w:lang w:eastAsia="en-US"/>
              </w:rPr>
              <w:t xml:space="preserve"> 80</w:t>
            </w:r>
          </w:p>
        </w:tc>
        <w:tc>
          <w:tcPr>
            <w:tcW w:w="1339" w:type="dxa"/>
          </w:tcPr>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r>
              <w:rPr>
                <w:rFonts w:ascii="Calibri" w:hAnsi="Calibri"/>
                <w:sz w:val="22"/>
                <w:lang w:eastAsia="en-US"/>
              </w:rPr>
              <w:t>R$239,77</w:t>
            </w:r>
          </w:p>
        </w:tc>
        <w:tc>
          <w:tcPr>
            <w:tcW w:w="1339" w:type="dxa"/>
          </w:tcPr>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r>
              <w:rPr>
                <w:rFonts w:ascii="Calibri" w:hAnsi="Calibri"/>
                <w:sz w:val="22"/>
                <w:lang w:eastAsia="en-US"/>
              </w:rPr>
              <w:t>R$19.181,60</w:t>
            </w:r>
          </w:p>
        </w:tc>
      </w:tr>
      <w:tr>
        <w:trPr>
          <w:trHeight w:hRule="atLeast" w:val="300"/>
        </w:trPr>
        <w:tc>
          <w:tcPr>
            <w:tcW w:w="861" w:type="dxa"/>
          </w:tcPr>
          <w:p>
            <w:pPr>
              <w:spacing w:lineRule="auto" w:line="259" w:after="160" w:beforeAutospacing="0" w:afterAutospacing="0"/>
              <w:jc w:val="left"/>
              <w:rPr>
                <w:rFonts w:ascii="Calibri" w:hAnsi="Calibri"/>
                <w:sz w:val="22"/>
                <w:lang w:eastAsia="en-US"/>
              </w:rPr>
            </w:pPr>
            <w:r>
              <w:rPr>
                <w:rFonts w:ascii="Calibri" w:hAnsi="Calibri"/>
                <w:sz w:val="22"/>
                <w:lang w:eastAsia="en-US"/>
              </w:rPr>
              <w:br w:type="textWrapping"/>
              <w:t>06</w:t>
            </w:r>
          </w:p>
        </w:tc>
        <w:tc>
          <w:tcPr>
            <w:tcW w:w="2173" w:type="dxa"/>
          </w:tcPr>
          <w:p>
            <w:pPr>
              <w:tabs>
                <w:tab w:val="left" w:pos="2490" w:leader="none"/>
              </w:tabs>
              <w:jc w:val="left"/>
              <w:rPr>
                <w:rFonts w:ascii="Calibri" w:hAnsi="Calibri"/>
                <w:sz w:val="22"/>
                <w:lang w:eastAsia="en-US"/>
              </w:rPr>
            </w:pPr>
            <w:r>
              <w:rPr>
                <w:rFonts w:ascii="Calibri" w:hAnsi="Calibri"/>
                <w:sz w:val="22"/>
                <w:lang w:eastAsia="en-US"/>
              </w:rPr>
              <w:t>Ingressos passeios para</w:t>
            </w:r>
          </w:p>
          <w:p>
            <w:pPr>
              <w:tabs>
                <w:tab w:val="left" w:pos="2490" w:leader="none"/>
              </w:tabs>
              <w:jc w:val="left"/>
              <w:rPr>
                <w:rFonts w:ascii="Calibri" w:hAnsi="Calibri"/>
                <w:sz w:val="22"/>
                <w:lang w:eastAsia="en-US"/>
              </w:rPr>
            </w:pPr>
            <w:r>
              <w:rPr>
                <w:rFonts w:ascii="Calibri" w:hAnsi="Calibri"/>
                <w:sz w:val="22"/>
                <w:lang w:eastAsia="en-US"/>
              </w:rPr>
              <w:t>- Cataratas do Iguaçu;</w:t>
            </w:r>
          </w:p>
          <w:p>
            <w:pPr>
              <w:tabs>
                <w:tab w:val="left" w:pos="2490" w:leader="none"/>
              </w:tabs>
              <w:jc w:val="left"/>
              <w:rPr>
                <w:rFonts w:ascii="Calibri" w:hAnsi="Calibri"/>
                <w:sz w:val="22"/>
                <w:lang w:eastAsia="en-US"/>
              </w:rPr>
            </w:pPr>
            <w:r>
              <w:rPr>
                <w:rFonts w:ascii="Calibri" w:hAnsi="Calibri"/>
                <w:sz w:val="22"/>
                <w:lang w:eastAsia="en-US"/>
              </w:rPr>
              <w:t>- Parque das aves;</w:t>
            </w:r>
          </w:p>
          <w:p>
            <w:pPr>
              <w:tabs>
                <w:tab w:val="left" w:pos="2490" w:leader="none"/>
              </w:tabs>
              <w:jc w:val="left"/>
              <w:rPr>
                <w:rFonts w:ascii="Calibri" w:hAnsi="Calibri"/>
                <w:sz w:val="22"/>
                <w:lang w:eastAsia="en-US"/>
              </w:rPr>
            </w:pPr>
            <w:r>
              <w:rPr>
                <w:rFonts w:ascii="Calibri" w:hAnsi="Calibri"/>
                <w:sz w:val="22"/>
                <w:lang w:eastAsia="en-US"/>
              </w:rPr>
              <w:t>- marco da três fronteiras</w:t>
            </w:r>
          </w:p>
          <w:p>
            <w:pPr>
              <w:tabs>
                <w:tab w:val="left" w:pos="2490" w:leader="none"/>
              </w:tabs>
              <w:jc w:val="left"/>
              <w:rPr>
                <w:rFonts w:ascii="Calibri" w:hAnsi="Calibri"/>
                <w:sz w:val="22"/>
                <w:lang w:eastAsia="en-US"/>
              </w:rPr>
            </w:pPr>
            <w:r>
              <w:rPr>
                <w:rFonts w:ascii="Calibri" w:hAnsi="Calibri"/>
                <w:sz w:val="22"/>
                <w:lang w:eastAsia="en-US"/>
              </w:rPr>
              <w:t>- Itaipu Binacional</w:t>
            </w:r>
          </w:p>
          <w:p>
            <w:pPr>
              <w:tabs>
                <w:tab w:val="left" w:pos="2490" w:leader="none"/>
              </w:tabs>
              <w:jc w:val="left"/>
              <w:rPr>
                <w:rFonts w:ascii="Calibri" w:hAnsi="Calibri"/>
                <w:sz w:val="22"/>
                <w:lang w:eastAsia="en-US"/>
              </w:rPr>
            </w:pPr>
            <w:r>
              <w:rPr>
                <w:rFonts w:ascii="Calibri" w:hAnsi="Calibri"/>
                <w:sz w:val="22"/>
                <w:lang w:eastAsia="en-US"/>
              </w:rPr>
              <w:t>panorâmico</w:t>
            </w:r>
          </w:p>
        </w:tc>
        <w:tc>
          <w:tcPr>
            <w:tcW w:w="1283" w:type="dxa"/>
          </w:tcPr>
          <w:p>
            <w:pPr>
              <w:jc w:val="left"/>
              <w:rPr>
                <w:rFonts w:ascii="Calibri" w:hAnsi="Calibri"/>
                <w:sz w:val="22"/>
                <w:lang w:eastAsia="en-US"/>
              </w:rPr>
            </w:pPr>
            <w:r>
              <w:rPr>
                <w:rFonts w:ascii="Calibri" w:hAnsi="Calibri"/>
                <w:sz w:val="22"/>
                <w:lang w:eastAsia="en-US"/>
              </w:rPr>
              <w:br w:type="textWrapping"/>
              <w:br w:type="textWrapping"/>
              <w:br w:type="textWrapping"/>
              <w:t>Despesa Corrente</w:t>
            </w:r>
          </w:p>
        </w:tc>
        <w:tc>
          <w:tcPr>
            <w:tcW w:w="1160" w:type="dxa"/>
          </w:tcPr>
          <w:p>
            <w:pPr>
              <w:jc w:val="left"/>
              <w:rPr>
                <w:rFonts w:ascii="Calibri" w:hAnsi="Calibri"/>
                <w:sz w:val="22"/>
                <w:lang w:eastAsia="en-US"/>
              </w:rPr>
            </w:pPr>
            <w:r>
              <w:rPr>
                <w:rFonts w:ascii="Calibri" w:hAnsi="Calibri"/>
                <w:sz w:val="22"/>
                <w:lang w:eastAsia="en-US"/>
              </w:rPr>
              <w:br w:type="textWrapping"/>
              <w:br w:type="textWrapping"/>
              <w:br w:type="textWrapping"/>
              <w:br w:type="textWrapping"/>
              <w:t>Passageiro</w:t>
            </w:r>
          </w:p>
        </w:tc>
        <w:tc>
          <w:tcPr>
            <w:tcW w:w="850" w:type="dxa"/>
          </w:tcPr>
          <w:p>
            <w:pPr>
              <w:jc w:val="left"/>
              <w:rPr>
                <w:rFonts w:ascii="Calibri" w:hAnsi="Calibri"/>
                <w:sz w:val="22"/>
                <w:lang w:eastAsia="en-US"/>
              </w:rPr>
            </w:pPr>
            <w:r>
              <w:rPr>
                <w:rFonts w:ascii="Calibri" w:hAnsi="Calibri"/>
                <w:sz w:val="22"/>
                <w:lang w:eastAsia="en-US"/>
              </w:rPr>
              <w:br w:type="textWrapping"/>
              <w:br w:type="textWrapping"/>
              <w:br w:type="textWrapping"/>
              <w:br w:type="textWrapping"/>
              <w:t xml:space="preserve">  80</w:t>
            </w:r>
          </w:p>
        </w:tc>
        <w:tc>
          <w:tcPr>
            <w:tcW w:w="1339" w:type="dxa"/>
          </w:tcPr>
          <w:p>
            <w:pPr>
              <w:jc w:val="left"/>
              <w:rPr>
                <w:rFonts w:ascii="Calibri" w:hAnsi="Calibri"/>
                <w:sz w:val="22"/>
                <w:lang w:eastAsia="en-US"/>
              </w:rPr>
            </w:pPr>
          </w:p>
          <w:p>
            <w:pPr>
              <w:jc w:val="left"/>
              <w:rPr>
                <w:rFonts w:ascii="Calibri" w:hAnsi="Calibri"/>
                <w:sz w:val="22"/>
                <w:lang w:eastAsia="en-US"/>
              </w:rPr>
            </w:pPr>
          </w:p>
          <w:p>
            <w:pPr>
              <w:jc w:val="left"/>
              <w:rPr>
                <w:rFonts w:ascii="Calibri" w:hAnsi="Calibri"/>
                <w:sz w:val="22"/>
                <w:lang w:eastAsia="en-US"/>
              </w:rPr>
            </w:pPr>
            <w:r>
              <w:rPr>
                <w:rFonts w:ascii="Calibri" w:hAnsi="Calibri"/>
                <w:sz w:val="22"/>
                <w:lang w:eastAsia="en-US"/>
              </w:rPr>
              <w:br w:type="textWrapping"/>
              <w:br w:type="textWrapping"/>
              <w:t>R$400,00</w:t>
            </w:r>
          </w:p>
        </w:tc>
        <w:tc>
          <w:tcPr>
            <w:tcW w:w="1339" w:type="dxa"/>
          </w:tcPr>
          <w:p>
            <w:pPr>
              <w:jc w:val="left"/>
              <w:rPr>
                <w:rFonts w:ascii="Calibri" w:hAnsi="Calibri"/>
                <w:sz w:val="22"/>
                <w:lang w:eastAsia="en-US"/>
              </w:rPr>
            </w:pPr>
            <w:r>
              <w:rPr>
                <w:rFonts w:ascii="Calibri" w:hAnsi="Calibri"/>
                <w:sz w:val="22"/>
                <w:lang w:eastAsia="en-US"/>
              </w:rPr>
              <w:br w:type="textWrapping"/>
              <w:br w:type="textWrapping"/>
              <w:br w:type="textWrapping"/>
              <w:br w:type="textWrapping"/>
              <w:t>R$32.000,00</w:t>
            </w:r>
          </w:p>
        </w:tc>
      </w:tr>
    </w:tbl>
    <w:p>
      <w:pPr>
        <w:rPr>
          <w:rFonts w:ascii="Arial" w:hAnsi="Arial"/>
          <w:lang w:eastAsia="en-US"/>
        </w:rPr>
      </w:pPr>
    </w:p>
    <w:p>
      <w:pPr>
        <w:tabs>
          <w:tab w:val="left" w:pos="1620" w:leader="none"/>
          <w:tab w:val="left" w:pos="2160" w:leader="none"/>
        </w:tabs>
        <w:rPr>
          <w:rFonts w:ascii="Arial" w:hAnsi="Arial"/>
          <w:lang w:eastAsia="en-US"/>
        </w:rPr>
      </w:pPr>
    </w:p>
    <w:p>
      <w:pPr>
        <w:tabs>
          <w:tab w:val="left" w:pos="1620" w:leader="none"/>
          <w:tab w:val="left" w:pos="2160" w:leader="none"/>
        </w:tabs>
        <w:rPr>
          <w:rFonts w:ascii="Arial" w:hAnsi="Arial"/>
          <w:lang w:eastAsia="en-US"/>
        </w:rPr>
      </w:pPr>
      <w:r>
        <w:rPr>
          <w:rFonts w:ascii="Arial" w:hAnsi="Arial"/>
          <w:b w:val="1"/>
          <w:lang w:eastAsia="en-US"/>
        </w:rPr>
        <w:t>1.2.</w:t>
      </w:r>
      <w:r>
        <w:rPr>
          <w:rFonts w:ascii="Arial" w:hAnsi="Arial"/>
          <w:lang w:eastAsia="en-US"/>
        </w:rPr>
        <w:t xml:space="preserve"> O objeto desta contratação não se enquadra como bem de luxo, nos termos da legislação vigente, tratando-se de aquisição necessária ao atendimento do interesse público e das atividades institucionais do Município de Tuneiras do Oeste/PR.</w:t>
      </w:r>
    </w:p>
    <w:p>
      <w:pPr>
        <w:tabs>
          <w:tab w:val="left" w:pos="1620" w:leader="none"/>
          <w:tab w:val="left" w:pos="2160" w:leader="none"/>
        </w:tabs>
        <w:rPr>
          <w:rFonts w:ascii="Arial" w:hAnsi="Arial"/>
          <w:lang w:eastAsia="en-US"/>
        </w:rPr>
      </w:pPr>
      <w:r>
        <w:rPr>
          <w:rFonts w:ascii="Arial" w:hAnsi="Arial"/>
          <w:b w:val="1"/>
          <w:lang w:eastAsia="en-US"/>
        </w:rPr>
        <w:t>1.3.</w:t>
      </w:r>
      <w:r>
        <w:rPr>
          <w:rFonts w:ascii="Arial" w:hAnsi="Arial"/>
          <w:lang w:eastAsia="en-US"/>
        </w:rPr>
        <w:t xml:space="preserve"> O prazo de vigência da contratação será de até </w:t>
      </w:r>
      <w:r>
        <w:rPr>
          <w:rFonts w:ascii="Arial" w:hAnsi="Arial"/>
          <w:b w:val="1"/>
          <w:lang w:eastAsia="en-US"/>
        </w:rPr>
        <w:t>12 (doze) meses</w:t>
      </w:r>
      <w:r>
        <w:rPr>
          <w:rFonts w:ascii="Arial" w:hAnsi="Arial"/>
          <w:lang w:eastAsia="en-US"/>
        </w:rPr>
        <w:t>, contados da data indicada no instrumento contratual, na forma do art. 105, da Lei n° 14.133/2021.</w:t>
      </w:r>
    </w:p>
    <w:p>
      <w:pPr>
        <w:tabs>
          <w:tab w:val="left" w:pos="1620" w:leader="none"/>
          <w:tab w:val="left" w:pos="2160" w:leader="none"/>
        </w:tabs>
        <w:rPr>
          <w:rFonts w:ascii="Arial" w:hAnsi="Arial"/>
          <w:highlight w:val="yellow"/>
          <w:lang w:eastAsia="en-US"/>
        </w:rPr>
      </w:pPr>
      <w:r>
        <w:rPr>
          <w:rFonts w:ascii="Arial" w:hAnsi="Arial"/>
          <w:b w:val="1"/>
          <w:lang w:eastAsia="en-US"/>
        </w:rPr>
        <w:t>1.4.</w:t>
      </w:r>
      <w:r>
        <w:rPr>
          <w:rFonts w:ascii="Arial" w:hAnsi="Arial"/>
          <w:lang w:eastAsia="en-US"/>
        </w:rPr>
        <w:t xml:space="preserve"> O custo estimado total da contratação é de </w:t>
      </w:r>
      <w:r>
        <w:rPr>
          <w:rFonts w:ascii="Arial" w:hAnsi="Arial"/>
          <w:b w:val="1"/>
          <w:lang w:eastAsia="en-US"/>
        </w:rPr>
        <w:t>R$</w:t>
      </w:r>
      <w:r>
        <w:rPr>
          <w:rFonts w:ascii="Arial" w:hAnsi="Arial"/>
          <w:b w:val="1"/>
        </w:rPr>
        <w:t>100.336,80 (cem mil, trezentos e trinta e seis reais e oitenta centavos)</w:t>
      </w:r>
      <w:r>
        <w:rPr>
          <w:rFonts w:ascii="Arial" w:hAnsi="Arial"/>
          <w:lang w:eastAsia="en-US"/>
        </w:rPr>
        <w:t>,</w:t>
      </w:r>
      <w:r>
        <w:rPr>
          <w:rFonts w:ascii="ArialMT" w:hAnsi="ArialMT"/>
          <w:sz w:val="22"/>
        </w:rPr>
        <w:t xml:space="preserve"> </w:t>
      </w:r>
      <w:r>
        <w:rPr>
          <w:rFonts w:ascii="Arial" w:hAnsi="Arial"/>
          <w:highlight w:val="yellow"/>
          <w:lang w:eastAsia="en-US"/>
        </w:rPr>
        <w:t>resultando no valor total de R$ 92.800,00, por</w:t>
      </w:r>
    </w:p>
    <w:p>
      <w:pPr>
        <w:tabs>
          <w:tab w:val="left" w:pos="1620" w:leader="none"/>
          <w:tab w:val="left" w:pos="2160" w:leader="none"/>
        </w:tabs>
        <w:rPr>
          <w:rFonts w:ascii="Arial" w:hAnsi="Arial"/>
          <w:lang w:eastAsia="en-US"/>
        </w:rPr>
      </w:pPr>
      <w:r>
        <w:rPr>
          <w:rFonts w:ascii="Arial" w:hAnsi="Arial"/>
          <w:highlight w:val="yellow"/>
          <w:lang w:eastAsia="en-US"/>
        </w:rPr>
        <w:t>parte da SETU e R$ 7.536,80 por parte do Município.</w:t>
      </w:r>
      <w:r>
        <w:rPr>
          <w:rFonts w:ascii="Arial" w:hAnsi="Arial"/>
          <w:lang w:eastAsia="en-US"/>
        </w:rPr>
        <w:t xml:space="preserve"> Conforme quantitativos e valores unitários constantes da planilha de composição de custos que integra este Termo de Referência.</w:t>
      </w:r>
    </w:p>
    <w:p>
      <w:pPr>
        <w:tabs>
          <w:tab w:val="left" w:pos="1620" w:leader="none"/>
          <w:tab w:val="left" w:pos="2160" w:leader="none"/>
        </w:tabs>
        <w:rPr>
          <w:rFonts w:ascii="Arial" w:hAnsi="Arial"/>
          <w:b w:val="1"/>
          <w:lang w:eastAsia="en-US"/>
        </w:rPr>
      </w:pPr>
      <w:r>
        <w:rPr>
          <w:rFonts w:ascii="Arial" w:hAnsi="Arial"/>
          <w:b w:val="1"/>
          <w:lang w:eastAsia="en-US"/>
        </w:rPr>
        <w:t xml:space="preserve"> </w:t>
      </w:r>
    </w:p>
    <w:p>
      <w:pPr>
        <w:tabs>
          <w:tab w:val="left" w:pos="1620" w:leader="none"/>
          <w:tab w:val="left" w:pos="2160" w:leader="none"/>
        </w:tabs>
        <w:rPr>
          <w:rFonts w:ascii="Arial" w:hAnsi="Arial"/>
          <w:b w:val="1"/>
          <w:lang w:eastAsia="en-US"/>
        </w:rPr>
      </w:pPr>
      <w:r>
        <w:rPr>
          <w:rFonts w:ascii="Arial" w:hAnsi="Arial"/>
          <w:b w:val="1"/>
          <w:lang w:eastAsia="en-US"/>
        </w:rPr>
        <w:t>1.6.</w:t>
      </w:r>
      <w:r>
        <w:rPr>
          <w:rFonts w:ascii="Arial" w:hAnsi="Arial"/>
          <w:lang w:eastAsia="en-US"/>
        </w:rPr>
        <w:t xml:space="preserve"> Os valores estimados acima descritos são oriundos de pesquisas de preços realizadas junto a fornecedores do ramo, consultas a contratações similares e demais meios admitidos pela legislação vigente, considerando as características e especificidades do objeto, conforme documentação constante do Estudo Técnico Preliminar e demais anexos, nos termos do art. 6º, inciso XXIII, alínea "i", da Lei nº 14.133/2021.</w:t>
      </w:r>
      <w:r>
        <w:rPr>
          <w:rFonts w:ascii="Arial" w:hAnsi="Arial"/>
          <w:b w:val="1"/>
          <w:lang w:eastAsia="en-US"/>
        </w:rPr>
        <w:t xml:space="preserve"> </w:t>
      </w:r>
    </w:p>
    <w:p>
      <w:pPr>
        <w:rPr>
          <w:rFonts w:ascii="Arial" w:hAnsi="Arial"/>
          <w:b w:val="1"/>
          <w:lang w:eastAsia="en-US"/>
        </w:rPr>
      </w:pPr>
    </w:p>
    <w:p>
      <w:pPr>
        <w:rPr>
          <w:rFonts w:ascii="Arial" w:hAnsi="Arial"/>
          <w:b w:val="1"/>
          <w:lang w:eastAsia="en-US"/>
        </w:rPr>
      </w:pPr>
      <w:r>
        <w:rPr>
          <w:rFonts w:ascii="Arial" w:hAnsi="Arial"/>
          <w:b w:val="1"/>
          <w:lang w:eastAsia="en-US"/>
        </w:rPr>
        <w:t>2. DA FUNDAMENTAÇÃO E DESCRIÇÃO DA NECESSIDADE DA CONTRATAÇÃO (Art. 6º, XXIII, ‘b’ e ‘c’ da Lei nº 14.133/2021)</w:t>
      </w:r>
    </w:p>
    <w:p>
      <w:pPr>
        <w:rPr>
          <w:rFonts w:ascii="Arial" w:hAnsi="Arial"/>
          <w:lang w:eastAsia="en-US"/>
        </w:rPr>
      </w:pPr>
      <w:r>
        <w:rPr>
          <w:rFonts w:ascii="Arial" w:hAnsi="Arial"/>
          <w:b w:val="1"/>
          <w:lang w:eastAsia="en-US"/>
        </w:rPr>
        <w:t xml:space="preserve">2.1. </w:t>
      </w:r>
      <w:r>
        <w:rPr>
          <w:rFonts w:ascii="Arial" w:hAnsi="Arial"/>
          <w:lang w:eastAsia="en-US"/>
        </w:rPr>
        <w:t>O presente instrumento tem por objeto a realização de viagem turística para Foz do Iguaçu nos dias 23 de outubro a 25 de outubro de 2026 com 70 alunos do ensino médio e 10 monitores, a viagem contempla transporte em ônibus panorâmico, seguro viagem, guia de turismo, todas as refeições sendo 2 almoços self servisse e um jantar self servisse com bebida não alcoólica inclusa nas refeições, café da manhã no dia do passeio, ingressos para as</w:t>
      </w:r>
    </w:p>
    <w:p>
      <w:pPr>
        <w:rPr>
          <w:rFonts w:ascii="Arial" w:hAnsi="Arial"/>
          <w:lang w:eastAsia="en-US"/>
        </w:rPr>
      </w:pPr>
      <w:r>
        <w:rPr>
          <w:rFonts w:ascii="Arial" w:hAnsi="Arial"/>
          <w:lang w:eastAsia="en-US"/>
        </w:rPr>
        <w:t>Cataratas do Iguaçu, Parque das aves, Marco das três fronteiras e Itaipu Binacional</w:t>
      </w:r>
    </w:p>
    <w:p>
      <w:pPr>
        <w:rPr>
          <w:rFonts w:ascii="Arial" w:hAnsi="Arial"/>
          <w:lang w:eastAsia="en-US"/>
        </w:rPr>
      </w:pPr>
      <w:r>
        <w:rPr>
          <w:rFonts w:ascii="Arial" w:hAnsi="Arial"/>
          <w:lang w:eastAsia="en-US"/>
        </w:rPr>
        <w:t>Panorâmico. 1 diária de hospedagem em hotel de categoria turística com café da manhã.</w:t>
      </w:r>
    </w:p>
    <w:p>
      <w:pPr>
        <w:rPr>
          <w:rFonts w:ascii="Arial" w:hAnsi="Arial"/>
          <w:lang w:eastAsia="en-US"/>
        </w:rPr>
      </w:pPr>
      <w:r>
        <w:rPr>
          <w:rFonts w:ascii="Arial" w:hAnsi="Arial"/>
          <w:lang w:eastAsia="en-US"/>
        </w:rPr>
        <w:t>A iniciativa visa proporcionar acesso ao turismo, lazer e conhecimento, promovendo a</w:t>
      </w:r>
    </w:p>
    <w:p>
      <w:pPr>
        <w:rPr>
          <w:rFonts w:ascii="Arial" w:hAnsi="Arial"/>
          <w:lang w:eastAsia="en-US"/>
        </w:rPr>
      </w:pPr>
      <w:r>
        <w:rPr>
          <w:rFonts w:ascii="Arial" w:hAnsi="Arial"/>
          <w:lang w:eastAsia="en-US"/>
        </w:rPr>
        <w:t>inclusão social e a valorização do patrimônio turístico estadual, em consonância com as</w:t>
      </w:r>
    </w:p>
    <w:p>
      <w:pPr>
        <w:rPr>
          <w:rFonts w:ascii="Arial" w:hAnsi="Arial"/>
          <w:lang w:eastAsia="en-US"/>
        </w:rPr>
      </w:pPr>
      <w:r>
        <w:rPr>
          <w:rFonts w:ascii="Arial" w:hAnsi="Arial"/>
          <w:lang w:eastAsia="en-US"/>
        </w:rPr>
        <w:t>diretrizes do programa.</w:t>
      </w:r>
    </w:p>
    <w:p>
      <w:pPr>
        <w:rPr>
          <w:rFonts w:ascii="Arial" w:hAnsi="Arial"/>
          <w:b w:val="1"/>
          <w:lang w:eastAsia="en-US"/>
        </w:rPr>
      </w:pPr>
    </w:p>
    <w:p>
      <w:pPr>
        <w:rPr>
          <w:rFonts w:ascii="Arial" w:hAnsi="Arial"/>
          <w:lang w:eastAsia="en-US"/>
        </w:rPr>
      </w:pPr>
      <w:r>
        <w:rPr>
          <w:rFonts w:ascii="Arial" w:hAnsi="Arial"/>
          <w:b w:val="1"/>
          <w:lang w:eastAsia="en-US"/>
        </w:rPr>
        <w:t>3. DOS REQUISITOS DA CONTRATAÇÃO (Art. 6º, XXIII, ‘d’ da Lei nº 14.133/2021)</w:t>
      </w:r>
    </w:p>
    <w:p>
      <w:pPr>
        <w:rPr>
          <w:rFonts w:ascii="Arial" w:hAnsi="Arial"/>
          <w:b w:val="1"/>
          <w:lang w:eastAsia="en-US"/>
        </w:rPr>
      </w:pPr>
      <w:r>
        <w:rPr>
          <w:rFonts w:ascii="Arial" w:hAnsi="Arial"/>
          <w:b w:val="1"/>
          <w:lang w:eastAsia="en-US"/>
        </w:rPr>
        <w:t xml:space="preserve">3.1. </w:t>
      </w:r>
      <w:r>
        <w:rPr>
          <w:rFonts w:ascii="Arial" w:hAnsi="Arial"/>
          <w:lang w:eastAsia="en-US"/>
        </w:rPr>
        <w:t>A contratação deverá observar os seguintes requisitos:</w:t>
      </w:r>
    </w:p>
    <w:p>
      <w:pPr>
        <w:rPr>
          <w:rFonts w:ascii="Arial" w:hAnsi="Arial"/>
          <w:b w:val="1"/>
          <w:lang w:eastAsia="en-US"/>
        </w:rPr>
      </w:pPr>
      <w:r>
        <w:rPr>
          <w:rFonts w:ascii="Arial" w:hAnsi="Arial"/>
          <w:b w:val="1"/>
          <w:lang w:eastAsia="en-US"/>
        </w:rPr>
        <w:t xml:space="preserve">3.1.1 </w:t>
      </w:r>
      <w:r>
        <w:rPr>
          <w:rFonts w:ascii="Arial" w:hAnsi="Arial"/>
          <w:lang w:eastAsia="en-US"/>
        </w:rPr>
        <w:t xml:space="preserve">O critério de julgamento a ser utilizado no presente certame será o </w:t>
      </w:r>
      <w:r>
        <w:rPr>
          <w:rFonts w:ascii="Arial" w:hAnsi="Arial"/>
          <w:b w:val="1"/>
          <w:lang w:eastAsia="en-US"/>
        </w:rPr>
        <w:t>MENOR PREÇO GLOBAL</w:t>
      </w:r>
      <w:r>
        <w:rPr>
          <w:rFonts w:ascii="Arial" w:hAnsi="Arial"/>
          <w:lang w:eastAsia="en-US"/>
        </w:rPr>
        <w:t>.</w:t>
      </w:r>
    </w:p>
    <w:p>
      <w:pPr>
        <w:rPr>
          <w:rFonts w:ascii="Arial" w:hAnsi="Arial"/>
          <w:b w:val="1"/>
          <w:lang w:eastAsia="en-US"/>
        </w:rPr>
      </w:pPr>
      <w:r>
        <w:rPr>
          <w:rFonts w:ascii="Arial" w:hAnsi="Arial"/>
          <w:b w:val="1"/>
          <w:lang w:eastAsia="en-US"/>
        </w:rPr>
        <w:t xml:space="preserve">3.1.2 </w:t>
      </w:r>
      <w:r>
        <w:rPr>
          <w:rFonts w:ascii="Arial" w:hAnsi="Arial"/>
          <w:lang w:eastAsia="en-US"/>
        </w:rPr>
        <w:t>Não serão aplicadas a indicação e/ou a vedação de marcas;</w:t>
      </w:r>
    </w:p>
    <w:p>
      <w:pPr>
        <w:rPr>
          <w:rFonts w:ascii="Arial" w:hAnsi="Arial"/>
          <w:lang w:eastAsia="en-US"/>
        </w:rPr>
      </w:pPr>
      <w:r>
        <w:rPr>
          <w:rFonts w:ascii="Arial" w:hAnsi="Arial"/>
          <w:b w:val="1"/>
          <w:lang w:eastAsia="en-US"/>
        </w:rPr>
        <w:t xml:space="preserve">3.1.3 </w:t>
      </w:r>
      <w:r>
        <w:rPr>
          <w:rFonts w:ascii="Arial" w:hAnsi="Arial"/>
          <w:lang w:eastAsia="en-US"/>
        </w:rPr>
        <w:t>Será permitida a contratação de terceiros para a execução de serviços acessórios integrantes do objeto, tais como transporte, hospedagem, alimentação, guias locais e demais serviços necessários à realização da viagem, permanecendo a CONTRATADA integralmente responsável perante o Município pela execução do objeto e pelo cumprimento de todas as obrigações contratuais;</w:t>
      </w:r>
    </w:p>
    <w:p>
      <w:pPr>
        <w:rPr>
          <w:rFonts w:ascii="Arial" w:hAnsi="Arial"/>
          <w:lang w:eastAsia="en-US"/>
        </w:rPr>
      </w:pPr>
      <w:r>
        <w:rPr>
          <w:rFonts w:ascii="Arial" w:hAnsi="Arial"/>
          <w:b w:val="1"/>
          <w:lang w:eastAsia="en-US"/>
        </w:rPr>
        <w:t xml:space="preserve">3.1.4 </w:t>
      </w:r>
      <w:r>
        <w:rPr>
          <w:rFonts w:ascii="Arial" w:hAnsi="Arial"/>
          <w:lang w:eastAsia="en-US"/>
        </w:rPr>
        <w:t>É vedada a transferência ou cessão integral do contrato a terceiros.</w:t>
      </w:r>
    </w:p>
    <w:p>
      <w:pPr>
        <w:rPr>
          <w:rFonts w:ascii="Arial" w:hAnsi="Arial"/>
          <w:b w:val="1"/>
          <w:lang w:eastAsia="en-US"/>
        </w:rPr>
      </w:pPr>
    </w:p>
    <w:p>
      <w:pPr>
        <w:rPr>
          <w:rFonts w:ascii="Arial" w:hAnsi="Arial"/>
          <w:lang w:eastAsia="en-US"/>
        </w:rPr>
      </w:pPr>
      <w:r>
        <w:rPr>
          <w:rFonts w:ascii="Arial" w:hAnsi="Arial"/>
          <w:b w:val="1"/>
          <w:lang w:eastAsia="en-US"/>
        </w:rPr>
        <w:t>4. DO MODELO DE EXECUÇÃO CONTRATUAL (Art. 6º, XXIII, ‘e’, e art. 40, §1º, II, ambos da Leinº14.133/2021);</w:t>
        <w:br w:type="textWrapping"/>
        <w:t>4.1.</w:t>
      </w:r>
      <w:r>
        <w:rPr>
          <w:rFonts w:ascii="Arial" w:hAnsi="Arial"/>
          <w:lang w:eastAsia="en-US"/>
        </w:rPr>
        <w:t xml:space="preserve"> A execução do objeto será realizada por empresa especializada na organização e execução de viagem turística, observando integralmente as condições estabelecidas neste Termo de Referência, no instrumento convocatório, na proposta apresentada pela contratada e no Termo de Convênio nº 033/2026, celebrado com a Secretaria de Estado do Turismo – SETU/PR, referente ao Programa Paraná Mais Viagem.</w:t>
      </w:r>
    </w:p>
    <w:p>
      <w:pPr>
        <w:rPr>
          <w:rFonts w:ascii="Arial" w:hAnsi="Arial"/>
          <w:lang w:eastAsia="en-US"/>
        </w:rPr>
      </w:pPr>
      <w:r>
        <w:rPr>
          <w:rFonts w:ascii="Arial" w:hAnsi="Arial"/>
          <w:b w:val="1"/>
          <w:lang w:eastAsia="en-US"/>
        </w:rPr>
        <w:t>4.2.</w:t>
      </w:r>
      <w:r>
        <w:rPr>
          <w:rFonts w:ascii="Arial" w:hAnsi="Arial"/>
          <w:lang w:eastAsia="en-US"/>
        </w:rPr>
        <w:t xml:space="preserve"> A contratada será responsável pela organização e execução dos serviços necessários à realização da viagem turística, incluindo os deslocamentos e demais serviços previstos no objeto da contratação, de acordo com as especificações e quantitativos estabelecidos pela Administração.</w:t>
      </w:r>
    </w:p>
    <w:p>
      <w:pPr>
        <w:rPr>
          <w:rFonts w:ascii="Arial" w:hAnsi="Arial"/>
          <w:lang w:eastAsia="en-US"/>
        </w:rPr>
      </w:pPr>
      <w:r>
        <w:rPr>
          <w:rFonts w:ascii="Arial" w:hAnsi="Arial"/>
          <w:b w:val="1"/>
          <w:lang w:eastAsia="en-US"/>
        </w:rPr>
        <w:t>4.3</w:t>
      </w:r>
      <w:r>
        <w:rPr>
          <w:rFonts w:ascii="Arial" w:hAnsi="Arial"/>
          <w:lang w:eastAsia="en-US"/>
        </w:rPr>
        <w:t>. A execução deverá ocorrer nas datas, horários, locais e condições previamente definidos pelo Município, devendo a contratada manter os serviços em condições adequadas de segurança, conforto, qualidade e regularidade durante toda a realização da viagem.</w:t>
      </w:r>
    </w:p>
    <w:p>
      <w:pPr>
        <w:rPr>
          <w:rFonts w:ascii="Arial" w:hAnsi="Arial"/>
          <w:lang w:eastAsia="en-US"/>
        </w:rPr>
      </w:pPr>
      <w:r>
        <w:rPr>
          <w:rFonts w:ascii="Arial" w:hAnsi="Arial"/>
          <w:b w:val="1"/>
          <w:lang w:eastAsia="en-US"/>
        </w:rPr>
        <w:t>4.4.</w:t>
      </w:r>
      <w:r>
        <w:rPr>
          <w:rFonts w:ascii="Arial" w:hAnsi="Arial"/>
          <w:lang w:eastAsia="en-US"/>
        </w:rPr>
        <w:t xml:space="preserve"> A contratada deverá disponibilizar os veículos, profissionais e demais recursos necessários à execução do objeto, quando previstos na contratação, devendo todos atender à legislação vigente e às normas de segurança e trânsito aplicáveis.</w:t>
      </w:r>
    </w:p>
    <w:p>
      <w:pPr>
        <w:rPr>
          <w:rFonts w:ascii="Arial" w:hAnsi="Arial"/>
          <w:lang w:eastAsia="en-US"/>
        </w:rPr>
      </w:pPr>
      <w:r>
        <w:rPr>
          <w:rFonts w:ascii="Arial" w:hAnsi="Arial"/>
          <w:b w:val="1"/>
          <w:lang w:eastAsia="en-US"/>
        </w:rPr>
        <w:t>4.5.</w:t>
      </w:r>
      <w:r>
        <w:rPr>
          <w:rFonts w:ascii="Arial" w:hAnsi="Arial"/>
          <w:lang w:eastAsia="en-US"/>
        </w:rPr>
        <w:t xml:space="preserve"> A empresa contratada deverá cumprir rigorosamente o itinerário e a programação estabelecidos pelo Município, não podendo realizar alterações que prejudiquem a execução do objeto sem prévia autorização da Administração.</w:t>
      </w:r>
    </w:p>
    <w:p>
      <w:pPr>
        <w:rPr>
          <w:rFonts w:ascii="Arial" w:hAnsi="Arial"/>
          <w:lang w:eastAsia="en-US"/>
        </w:rPr>
      </w:pPr>
      <w:r>
        <w:rPr>
          <w:rFonts w:ascii="Arial" w:hAnsi="Arial"/>
          <w:b w:val="1"/>
          <w:lang w:eastAsia="en-US"/>
        </w:rPr>
        <w:t>4.6.</w:t>
      </w:r>
      <w:r>
        <w:rPr>
          <w:rFonts w:ascii="Arial" w:hAnsi="Arial"/>
          <w:lang w:eastAsia="en-US"/>
        </w:rPr>
        <w:t xml:space="preserve"> A contratada deverá manter comunicação permanente com o responsável indicado pelo Município, informando previamente qualquer situação que possa comprometer ou alterar a execução da viagem.</w:t>
      </w:r>
    </w:p>
    <w:p>
      <w:pPr>
        <w:rPr>
          <w:rFonts w:ascii="Arial" w:hAnsi="Arial"/>
          <w:lang w:eastAsia="en-US"/>
        </w:rPr>
      </w:pPr>
      <w:r>
        <w:rPr>
          <w:rFonts w:ascii="Arial" w:hAnsi="Arial"/>
          <w:b w:val="1"/>
          <w:lang w:eastAsia="en-US"/>
        </w:rPr>
        <w:t>4.7.</w:t>
      </w:r>
      <w:r>
        <w:rPr>
          <w:rFonts w:ascii="Arial" w:hAnsi="Arial"/>
          <w:lang w:eastAsia="en-US"/>
        </w:rPr>
        <w:t xml:space="preserve"> Eventuais ocorrências, atrasos, problemas operacionais ou outras situações que possam comprometer a execução deverão ser comunicados imediatamente ao Município, cabendo à contratada adotar as providências necessárias para sua solução, sem prejuízo das responsabilidades previstas no contrato.</w:t>
      </w:r>
    </w:p>
    <w:p>
      <w:pPr>
        <w:rPr>
          <w:rFonts w:ascii="Arial" w:hAnsi="Arial"/>
          <w:lang w:eastAsia="en-US"/>
        </w:rPr>
      </w:pPr>
      <w:r>
        <w:rPr>
          <w:rFonts w:ascii="Arial" w:hAnsi="Arial"/>
          <w:b w:val="1"/>
          <w:lang w:eastAsia="en-US"/>
        </w:rPr>
        <w:t>4.8.</w:t>
      </w:r>
      <w:r>
        <w:rPr>
          <w:rFonts w:ascii="Arial" w:hAnsi="Arial"/>
          <w:lang w:eastAsia="en-US"/>
        </w:rPr>
        <w:t xml:space="preserve"> O recebimento e a fiscalização da execução serão realizados por servidor(es) designado(s) pela Administração, que verificarão o cumprimento das condições estabelecidas no contrato e nos documentos que integram o processo de contratação.</w:t>
      </w:r>
    </w:p>
    <w:p>
      <w:pPr>
        <w:rPr>
          <w:rFonts w:ascii="Arial" w:hAnsi="Arial"/>
          <w:lang w:eastAsia="en-US"/>
        </w:rPr>
      </w:pPr>
      <w:r>
        <w:rPr>
          <w:rFonts w:ascii="Arial" w:hAnsi="Arial"/>
          <w:b w:val="1"/>
          <w:lang w:eastAsia="en-US"/>
        </w:rPr>
        <w:t>4.9.</w:t>
      </w:r>
      <w:r>
        <w:rPr>
          <w:rFonts w:ascii="Arial" w:hAnsi="Arial"/>
          <w:lang w:eastAsia="en-US"/>
        </w:rPr>
        <w:t xml:space="preserve"> O pagamento será realizado após a efetiva execução dos serviços e o respectivo recebimento pela Administração, mediante apresentação da nota fiscal e demais documentos exigidos, observadas as condições estabelecidas no contrato.</w:t>
      </w:r>
    </w:p>
    <w:p>
      <w:pPr>
        <w:rPr>
          <w:rFonts w:ascii="Arial" w:hAnsi="Arial"/>
          <w:lang w:eastAsia="en-US"/>
        </w:rPr>
      </w:pPr>
      <w:r>
        <w:rPr>
          <w:rFonts w:ascii="Arial" w:hAnsi="Arial"/>
          <w:b w:val="1"/>
          <w:lang w:eastAsia="en-US"/>
        </w:rPr>
        <w:t>4.10.</w:t>
      </w:r>
      <w:r>
        <w:rPr>
          <w:rFonts w:ascii="Arial" w:hAnsi="Arial"/>
          <w:lang w:eastAsia="en-US"/>
        </w:rPr>
        <w:t xml:space="preserve"> A execução deverá observar, ainda, todas as exigências e obrigações previstas no Termo de Convênio nº 033/2026 – SETU/PR, de forma a assegurar o cumprimento das finalidades do Programa Paraná Mais Viagem e a correta aplicação dos recursos públicos envolvidos.</w:t>
      </w:r>
    </w:p>
    <w:p>
      <w:pPr>
        <w:rPr>
          <w:rFonts w:ascii="Arial" w:hAnsi="Arial"/>
          <w:b w:val="1"/>
          <w:lang w:eastAsia="en-US"/>
        </w:rPr>
      </w:pPr>
      <w:r>
        <w:rPr>
          <w:rFonts w:ascii="Arial" w:hAnsi="Arial"/>
          <w:b w:val="1"/>
          <w:lang w:eastAsia="en-US"/>
        </w:rPr>
        <w:t>4.11.</w:t>
      </w:r>
      <w:r>
        <w:rPr>
          <w:rFonts w:ascii="Arial" w:hAnsi="Arial"/>
          <w:sz w:val="22"/>
        </w:rPr>
        <w:t xml:space="preserve"> </w:t>
      </w:r>
      <w:r>
        <w:rPr>
          <w:rFonts w:ascii="Arial" w:hAnsi="Arial"/>
          <w:b w:val="1"/>
          <w:sz w:val="22"/>
        </w:rPr>
        <w:t>roteiro</w:t>
      </w:r>
      <w:r>
        <w:rPr>
          <w:rFonts w:ascii="Arial" w:hAnsi="Arial"/>
          <w:sz w:val="22"/>
        </w:rPr>
        <w:t xml:space="preserve">: </w:t>
      </w:r>
      <w:r>
        <w:rPr>
          <w:rFonts w:ascii="Arial" w:hAnsi="Arial"/>
          <w:lang w:eastAsia="en-US"/>
        </w:rPr>
        <w:t>Viagem para Foz do Iguaçu-PR, incluindo transporte, seguro viagem, guia de turismo, 1 dia de hospedagem com 1 café da manhã, 2 almoços e 1 janta, e passeios com ingressos de acesso incluso</w:t>
      </w:r>
      <w:r>
        <w:rPr>
          <w:rFonts w:ascii="Arial" w:hAnsi="Arial"/>
          <w:b w:val="1"/>
          <w:lang w:eastAsia="en-US"/>
        </w:rPr>
        <w:t xml:space="preserve">s </w:t>
      </w:r>
      <w:r>
        <w:rPr>
          <w:rFonts w:ascii="Arial" w:hAnsi="Arial"/>
          <w:lang w:eastAsia="en-US"/>
        </w:rPr>
        <w:t>das Cataratas do Iguaçu, Parque das Aves, Marco das Três Fronteiras e Itaipu Binacional.</w:t>
      </w:r>
    </w:p>
    <w:p>
      <w:pPr>
        <w:rPr>
          <w:rFonts w:ascii="Arial" w:hAnsi="Arial"/>
          <w:b w:val="1"/>
          <w:lang w:eastAsia="en-US"/>
        </w:rPr>
      </w:pPr>
      <w:r>
        <w:rPr>
          <w:rFonts w:ascii="Arial" w:hAnsi="Arial"/>
          <w:b w:val="1"/>
          <w:lang w:eastAsia="en-US"/>
        </w:rPr>
        <w:t>Obs: Saída no dia 23 prevista para 22h, chegada no dia 24 de manhã, e volta no dia 25 após o almoço.</w:t>
      </w:r>
    </w:p>
    <w:p>
      <w:pPr>
        <w:rPr>
          <w:rFonts w:ascii="Arial" w:hAnsi="Arial"/>
          <w:lang w:eastAsia="en-US"/>
        </w:rPr>
      </w:pPr>
      <w:r>
        <w:rPr>
          <w:rFonts w:ascii="Arial" w:hAnsi="Arial"/>
          <w:b w:val="1"/>
          <w:lang w:eastAsia="en-US"/>
        </w:rPr>
        <w:t>4.12.</w:t>
      </w:r>
      <w:r>
        <w:rPr>
          <w:rFonts w:ascii="Arial" w:hAnsi="Arial"/>
          <w:lang w:eastAsia="en-US"/>
        </w:rPr>
        <w:t xml:space="preserve"> O transporte ocorrerá em ônibus Leito Turismo equipado com ar-condicionado, poltronas reclináveis, cinto de segurança e banheiro, com destino ao município de </w:t>
      </w:r>
      <w:r>
        <w:rPr>
          <w:rFonts w:ascii="Arial" w:hAnsi="Arial"/>
          <w:b w:val="1"/>
          <w:lang w:eastAsia="en-US"/>
        </w:rPr>
        <w:t>Foz do Iguaçu, Estado Paraná</w:t>
      </w:r>
      <w:r>
        <w:rPr>
          <w:rFonts w:ascii="Arial" w:hAnsi="Arial"/>
          <w:lang w:eastAsia="en-US"/>
        </w:rPr>
        <w:t xml:space="preserve">, percorrendo uma distância aproximadamente de 319 km, até o destino. A viagem vai ser realizada com </w:t>
      </w:r>
      <w:r>
        <w:rPr>
          <w:rFonts w:ascii="Arial" w:hAnsi="Arial"/>
          <w:b w:val="1"/>
          <w:lang w:eastAsia="en-US"/>
        </w:rPr>
        <w:t>SEGURO VIAGEM</w:t>
      </w:r>
      <w:r>
        <w:rPr>
          <w:rFonts w:ascii="Arial" w:hAnsi="Arial"/>
          <w:lang w:eastAsia="en-US"/>
        </w:rPr>
        <w:t>.</w:t>
      </w:r>
    </w:p>
    <w:p>
      <w:pPr>
        <w:rPr>
          <w:rFonts w:ascii="Arial" w:hAnsi="Arial"/>
          <w:lang w:eastAsia="en-US"/>
        </w:rPr>
      </w:pPr>
    </w:p>
    <w:p>
      <w:pPr>
        <w:rPr>
          <w:rFonts w:ascii="Arial" w:hAnsi="Arial"/>
          <w:b w:val="1"/>
          <w:lang w:eastAsia="en-US"/>
        </w:rPr>
      </w:pPr>
      <w:r>
        <w:rPr>
          <w:rFonts w:ascii="Arial" w:hAnsi="Arial"/>
          <w:b w:val="1"/>
          <w:lang w:eastAsia="en-US"/>
        </w:rPr>
        <w:t>5. DO MODELO DE GESTÃO CONTRATUAL (Art. 6º, XXIII, ‘f’ da Lei nº 14.133/2021)</w:t>
      </w:r>
    </w:p>
    <w:p>
      <w:pPr>
        <w:rPr>
          <w:rFonts w:ascii="Arial" w:hAnsi="Arial"/>
          <w:lang w:eastAsia="en-US"/>
        </w:rPr>
      </w:pPr>
      <w:r>
        <w:rPr>
          <w:rFonts w:ascii="Arial" w:hAnsi="Arial"/>
          <w:b w:val="1"/>
          <w:lang w:eastAsia="en-US"/>
        </w:rPr>
        <w:t xml:space="preserve">5.1. </w:t>
      </w:r>
      <w:r>
        <w:rPr>
          <w:rFonts w:ascii="Arial" w:hAnsi="Arial"/>
          <w:lang w:eastAsia="en-US"/>
        </w:rPr>
        <w:t>O contrato deverá ser executado fielmente pelas partes, de acordo com as cláusulas avençadas no termo contratual e as normas da Lei nº 14.133/2021, e cada parte responderá pelas consequências de sua inexecução total ou parcial.</w:t>
      </w:r>
    </w:p>
    <w:p>
      <w:pPr>
        <w:rPr>
          <w:rFonts w:ascii="Arial" w:hAnsi="Arial"/>
          <w:lang w:eastAsia="en-US"/>
        </w:rPr>
      </w:pPr>
      <w:r>
        <w:rPr>
          <w:rFonts w:ascii="Arial" w:hAnsi="Arial"/>
          <w:b w:val="1"/>
          <w:lang w:eastAsia="en-US"/>
        </w:rPr>
        <w:t>5.2</w:t>
      </w:r>
      <w:r>
        <w:rPr>
          <w:rFonts w:ascii="Arial" w:hAnsi="Arial"/>
          <w:lang w:eastAsia="en-US"/>
        </w:rPr>
        <w:t>. Em caso de impedimento, ordem de paralisação ou suspensão do contrato, o cronograma de execução será prorrogado automaticamente pelo período correspondente, mediante registro formal das ocorrências.</w:t>
      </w:r>
    </w:p>
    <w:p>
      <w:pPr>
        <w:rPr>
          <w:rFonts w:ascii="Arial" w:hAnsi="Arial"/>
          <w:lang w:eastAsia="en-US"/>
        </w:rPr>
      </w:pPr>
      <w:r>
        <w:rPr>
          <w:rFonts w:ascii="Arial" w:hAnsi="Arial"/>
          <w:b w:val="1"/>
          <w:lang w:eastAsia="en-US"/>
        </w:rPr>
        <w:t xml:space="preserve">5.3. </w:t>
      </w:r>
      <w:r>
        <w:rPr>
          <w:rFonts w:ascii="Arial" w:hAnsi="Arial"/>
          <w:lang w:eastAsia="en-US"/>
        </w:rPr>
        <w:t>As comunicações entre a Administração e a Contratada deverão ser realizadas por escrito, admitindo-se o uso de meios eletrônicos.</w:t>
      </w:r>
    </w:p>
    <w:p>
      <w:pPr>
        <w:rPr>
          <w:rFonts w:ascii="Arial" w:hAnsi="Arial"/>
          <w:lang w:eastAsia="en-US"/>
        </w:rPr>
      </w:pPr>
      <w:r>
        <w:rPr>
          <w:rFonts w:ascii="Arial" w:hAnsi="Arial"/>
          <w:b w:val="1"/>
          <w:lang w:eastAsia="en-US"/>
        </w:rPr>
        <w:t>5.4</w:t>
      </w:r>
      <w:r>
        <w:rPr>
          <w:rFonts w:ascii="Arial" w:hAnsi="Arial"/>
          <w:lang w:eastAsia="en-US"/>
        </w:rPr>
        <w:t>. O órgão ou entidade poderá convocar representante da empresa para adoção de providências que devam ser cumpridas de forma imediata.</w:t>
      </w:r>
    </w:p>
    <w:p>
      <w:pPr>
        <w:rPr>
          <w:rFonts w:ascii="Arial" w:hAnsi="Arial"/>
          <w:lang w:eastAsia="en-US"/>
        </w:rPr>
      </w:pPr>
      <w:r>
        <w:rPr>
          <w:rFonts w:ascii="Arial" w:hAnsi="Arial"/>
          <w:lang w:eastAsia="en-US"/>
        </w:rPr>
        <w:t xml:space="preserve"> Após a assinatura do contrato ou instrumento equivalente, o órgão ou entidade poderá convocar o representante da empresa contratada para reunião inicial, para apresentação do plano de fiscalização, contendo informações sobre as obrigações contratuais, os mecanismos de acompanhamento e fiscalização, as condições de prestação dos serviços turísticos, o método de verificação da conformidade dos serviços entregues e as sanções aplicáveis, dentre outros aspectos necessários à adequada execução contratual.</w:t>
      </w:r>
    </w:p>
    <w:p>
      <w:pPr>
        <w:rPr>
          <w:rFonts w:ascii="Arial" w:hAnsi="Arial"/>
          <w:lang w:eastAsia="en-US"/>
        </w:rPr>
      </w:pPr>
      <w:r>
        <w:rPr>
          <w:rFonts w:ascii="Arial" w:hAnsi="Arial"/>
          <w:b w:val="1"/>
          <w:lang w:eastAsia="en-US"/>
        </w:rPr>
        <w:t>5.6.</w:t>
      </w:r>
      <w:r>
        <w:rPr>
          <w:rFonts w:ascii="Arial" w:hAnsi="Arial"/>
          <w:lang w:eastAsia="en-US"/>
        </w:rPr>
        <w:t xml:space="preserve"> A execução do contrato deverá ser acompanhada e fiscalizada pelo(s) fiscal(is) do contrato, ou pelos respectivos substitutos, especialmente quanto à prestação dos serviços turísticos, em conformidade com as condições estabelecidas neste Termo de Referência.</w:t>
      </w:r>
    </w:p>
    <w:p>
      <w:pPr>
        <w:rPr>
          <w:rFonts w:ascii="Arial" w:hAnsi="Arial"/>
          <w:lang w:eastAsia="en-US"/>
        </w:rPr>
      </w:pPr>
      <w:r>
        <w:rPr>
          <w:rFonts w:ascii="Arial" w:hAnsi="Arial"/>
          <w:b w:val="1"/>
          <w:lang w:eastAsia="en-US"/>
        </w:rPr>
        <w:t>5.7.</w:t>
      </w:r>
      <w:r>
        <w:rPr>
          <w:rFonts w:ascii="Arial" w:hAnsi="Arial"/>
          <w:lang w:eastAsia="en-US"/>
        </w:rPr>
        <w:t xml:space="preserve"> O fiscal do contrato acompanhará a execução, garantindo o cumprimento de todas as condições estabelecidas neste Termo de Referência, especialmente quanto à qualidade, segurança, conforto e conformidade na prestação dos serviços turísticos, de modo a assegurar os melhores resultados para a Administração.</w:t>
      </w:r>
    </w:p>
    <w:p>
      <w:pPr>
        <w:rPr>
          <w:rFonts w:ascii="Arial" w:hAnsi="Arial"/>
          <w:lang w:eastAsia="en-US"/>
        </w:rPr>
      </w:pPr>
      <w:r>
        <w:rPr>
          <w:rFonts w:ascii="Arial" w:hAnsi="Arial"/>
          <w:b w:val="1"/>
          <w:lang w:eastAsia="en-US"/>
        </w:rPr>
        <w:t>5.8.</w:t>
      </w:r>
      <w:r>
        <w:rPr>
          <w:rFonts w:ascii="Arial" w:hAnsi="Arial"/>
          <w:lang w:eastAsia="en-US"/>
        </w:rPr>
        <w:t xml:space="preserve"> O fiscal do contrato anotará no histórico de gerenciamento todas as ocorrências relacionadas à execução contratual, especialmente aquelas relativas à execução da viagem pedagógica, registrando as medidas necessárias para a regularização de eventuais falhas, desconformidades ou defeitos constatados.</w:t>
      </w:r>
    </w:p>
    <w:p>
      <w:pPr>
        <w:rPr>
          <w:rFonts w:ascii="Arial" w:hAnsi="Arial"/>
          <w:lang w:eastAsia="en-US"/>
        </w:rPr>
      </w:pPr>
      <w:r>
        <w:rPr>
          <w:rFonts w:ascii="Arial" w:hAnsi="Arial"/>
          <w:b w:val="1"/>
          <w:lang w:eastAsia="en-US"/>
        </w:rPr>
        <w:t>5.9.</w:t>
      </w:r>
      <w:r>
        <w:rPr>
          <w:rFonts w:ascii="Arial" w:hAnsi="Arial"/>
          <w:lang w:eastAsia="en-US"/>
        </w:rPr>
        <w:t xml:space="preserve"> Identificada qualquer inexatidão ou irregularidade na execução contratual, especialmente na prestação dos serviços de transporte, hospedagem, alimentação ou guias, o fiscal emitirá notificação à Contratada para adoção das providências corretivas, estabelecendo prazo para saneamento das falhas constatadas.</w:t>
      </w:r>
    </w:p>
    <w:p>
      <w:pPr>
        <w:rPr>
          <w:rFonts w:ascii="Arial" w:hAnsi="Arial"/>
          <w:lang w:eastAsia="en-US"/>
        </w:rPr>
      </w:pPr>
      <w:r>
        <w:rPr>
          <w:rFonts w:ascii="Arial" w:hAnsi="Arial"/>
          <w:b w:val="1"/>
          <w:lang w:eastAsia="en-US"/>
        </w:rPr>
        <w:t>5.10.</w:t>
      </w:r>
      <w:r>
        <w:rPr>
          <w:rFonts w:ascii="Arial" w:hAnsi="Arial"/>
          <w:lang w:eastAsia="en-US"/>
        </w:rPr>
        <w:t xml:space="preserve"> O fiscal informará ao gestor do contrato, em tempo hábil, as situações que demandem decisão ou adoção de medidas que extrapolem sua competência, para que sejam adotadas as providências necessárias e saneadoras, quando for o caso.</w:t>
      </w:r>
    </w:p>
    <w:p>
      <w:pPr>
        <w:rPr>
          <w:rFonts w:ascii="Arial" w:hAnsi="Arial"/>
          <w:lang w:eastAsia="en-US"/>
        </w:rPr>
      </w:pPr>
      <w:r>
        <w:rPr>
          <w:rFonts w:ascii="Arial" w:hAnsi="Arial"/>
          <w:b w:val="1"/>
          <w:lang w:eastAsia="en-US"/>
        </w:rPr>
        <w:t>5.11.</w:t>
      </w:r>
      <w:r>
        <w:rPr>
          <w:rFonts w:ascii="Arial" w:hAnsi="Arial"/>
          <w:lang w:eastAsia="en-US"/>
        </w:rPr>
        <w:t xml:space="preserve"> No caso de ocorrências que possam inviabilizar a execução do contrato nas datas aprazadas, o fiscal comunicará o fato imediatamente ao gestor.</w:t>
      </w:r>
    </w:p>
    <w:p>
      <w:pPr>
        <w:rPr>
          <w:rFonts w:ascii="Arial" w:hAnsi="Arial"/>
          <w:lang w:eastAsia="en-US"/>
        </w:rPr>
      </w:pPr>
      <w:r>
        <w:rPr>
          <w:rFonts w:ascii="Arial" w:hAnsi="Arial"/>
          <w:b w:val="1"/>
          <w:lang w:eastAsia="en-US"/>
        </w:rPr>
        <w:t>5.12.</w:t>
      </w:r>
      <w:r>
        <w:rPr>
          <w:rFonts w:ascii="Arial" w:hAnsi="Arial"/>
          <w:lang w:eastAsia="en-US"/>
        </w:rPr>
        <w:t xml:space="preserve"> O fiscal deverá comunicar ao gestor, em tempo hábil, o término da vigência contratual sob sua responsabilidade, para adoção das providências administrativas cabíveis, inclusive quanto à eventual prorrogação, renovação ou nova contratação, se for o caso.</w:t>
      </w:r>
    </w:p>
    <w:p>
      <w:pPr>
        <w:rPr>
          <w:rFonts w:ascii="Arial" w:hAnsi="Arial"/>
          <w:lang w:eastAsia="en-US"/>
        </w:rPr>
      </w:pPr>
      <w:r>
        <w:rPr>
          <w:rFonts w:ascii="Arial" w:hAnsi="Arial"/>
          <w:b w:val="1"/>
          <w:lang w:eastAsia="en-US"/>
        </w:rPr>
        <w:t>5.13.</w:t>
      </w:r>
      <w:r>
        <w:rPr>
          <w:rFonts w:ascii="Arial" w:hAnsi="Arial"/>
          <w:lang w:eastAsia="en-US"/>
        </w:rPr>
        <w:t xml:space="preserve"> O fiscal verificará a manutenção das condições de habilitação da Contratada, acompanhará a execução do contrato, o empenho, o pagamento, as eventuais glosas e a formalização de apostilamentos e termos aditivos, solicitando, quando necessário, documentos comprobatórios pertinentes à execução contratual.</w:t>
      </w:r>
    </w:p>
    <w:p>
      <w:pPr>
        <w:rPr>
          <w:rFonts w:ascii="Arial" w:hAnsi="Arial"/>
          <w:lang w:eastAsia="en-US"/>
        </w:rPr>
      </w:pPr>
      <w:r>
        <w:rPr>
          <w:rFonts w:ascii="Arial" w:hAnsi="Arial"/>
          <w:b w:val="1"/>
          <w:lang w:eastAsia="en-US"/>
        </w:rPr>
        <w:t xml:space="preserve">5.14. </w:t>
      </w:r>
      <w:r>
        <w:rPr>
          <w:rFonts w:ascii="Arial" w:hAnsi="Arial"/>
          <w:lang w:eastAsia="en-US"/>
        </w:rPr>
        <w:t>Caso ocorram descumprimento das obrigações contratuais, o fiscal atuará tempestivamente na solução do problema, reportando ao gestor do contrato para que tome as providências cabíveis, quando ultrapassar a sua competência.</w:t>
      </w:r>
    </w:p>
    <w:p>
      <w:pPr>
        <w:rPr>
          <w:rFonts w:ascii="Arial" w:hAnsi="Arial"/>
          <w:lang w:eastAsia="en-US"/>
        </w:rPr>
      </w:pPr>
      <w:r>
        <w:rPr>
          <w:rFonts w:ascii="Arial" w:hAnsi="Arial"/>
          <w:b w:val="1"/>
          <w:lang w:eastAsia="en-US"/>
        </w:rPr>
        <w:t>5.15.</w:t>
      </w:r>
      <w:r>
        <w:rPr>
          <w:rFonts w:ascii="Arial" w:hAnsi="Arial"/>
          <w:lang w:eastAsia="en-US"/>
        </w:rPr>
        <w:t xml:space="preserve"> O gestor do contrato coordenará a atualização do processo de acompanhamento e fiscalização contratual, mantendo todos os registros formais da execução no histórico de gerenciamento, incluindo ordens de serviço, registros de ocorrências, eventuais alterações e prorrogações contratuais, elaborando relatórios com vistas à verificação da necessidade de adequações para o atendimento da finalidade da Administração, especialmente quanto à adequada execução da viagem turística.</w:t>
      </w:r>
    </w:p>
    <w:p>
      <w:pPr>
        <w:rPr>
          <w:rFonts w:ascii="Arial" w:hAnsi="Arial"/>
          <w:lang w:eastAsia="en-US"/>
        </w:rPr>
      </w:pPr>
      <w:r>
        <w:rPr>
          <w:rFonts w:ascii="Arial" w:hAnsi="Arial"/>
          <w:b w:val="1"/>
          <w:lang w:eastAsia="en-US"/>
        </w:rPr>
        <w:t>5.16.</w:t>
      </w:r>
      <w:r>
        <w:rPr>
          <w:rFonts w:ascii="Arial" w:hAnsi="Arial"/>
          <w:lang w:eastAsia="en-US"/>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rPr>
          <w:rFonts w:ascii="Arial" w:hAnsi="Arial"/>
          <w:lang w:eastAsia="en-US"/>
        </w:rPr>
      </w:pPr>
      <w:r>
        <w:rPr>
          <w:rFonts w:ascii="Arial" w:hAnsi="Arial"/>
          <w:b w:val="1"/>
          <w:lang w:eastAsia="en-US"/>
        </w:rPr>
        <w:t>5.17.</w:t>
      </w:r>
      <w:r>
        <w:rPr>
          <w:rFonts w:ascii="Arial" w:hAnsi="Arial"/>
          <w:lang w:eastAsia="en-US"/>
        </w:rPr>
        <w:t xml:space="preserve"> O gestor do contrato acompanhará os registros realizados pelos fiscais, de todas as ocorrências relacionadas à execução e as medidas adotadas, informando à autoridade superior, se for o caso, aquelas que ultrapassarem a sua competência.</w:t>
      </w:r>
    </w:p>
    <w:p>
      <w:pPr>
        <w:rPr>
          <w:rFonts w:ascii="Arial" w:hAnsi="Arial"/>
          <w:lang w:eastAsia="en-US"/>
        </w:rPr>
      </w:pPr>
      <w:r>
        <w:rPr>
          <w:rFonts w:ascii="Arial" w:hAnsi="Arial"/>
          <w:b w:val="1"/>
          <w:lang w:eastAsia="en-US"/>
        </w:rPr>
        <w:t>5.18.</w:t>
      </w:r>
      <w:r>
        <w:rPr>
          <w:rFonts w:ascii="Arial" w:hAnsi="Arial"/>
          <w:lang w:eastAsia="en-US"/>
        </w:rPr>
        <w:t xml:space="preserve">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rPr>
          <w:rFonts w:ascii="Arial" w:hAnsi="Arial"/>
          <w:lang w:eastAsia="en-US"/>
        </w:rPr>
      </w:pPr>
      <w:r>
        <w:rPr>
          <w:rFonts w:ascii="Arial" w:hAnsi="Arial"/>
          <w:b w:val="1"/>
          <w:lang w:eastAsia="en-US"/>
        </w:rPr>
        <w:t>5.19.</w:t>
      </w:r>
      <w:r>
        <w:rPr>
          <w:rFonts w:ascii="Arial" w:hAnsi="Arial"/>
          <w:lang w:eastAsia="en-US"/>
        </w:rPr>
        <w:t xml:space="preserve"> 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pPr>
        <w:rPr>
          <w:rFonts w:ascii="Arial" w:hAnsi="Arial"/>
          <w:lang w:eastAsia="en-US"/>
        </w:rPr>
      </w:pPr>
      <w:r>
        <w:rPr>
          <w:rFonts w:ascii="Arial" w:hAnsi="Arial"/>
          <w:b w:val="1"/>
          <w:lang w:eastAsia="en-US"/>
        </w:rPr>
        <w:t>5.20</w:t>
      </w:r>
      <w:r>
        <w:rPr>
          <w:rFonts w:ascii="Arial" w:hAnsi="Arial"/>
          <w:lang w:eastAsia="en-US"/>
        </w:rPr>
        <w:t>. O gestor do contrato deverá elaborar relatório final com informações sobre a consecução dos objetivos que tenham justificado a contratação e eventuais condutas a serem adotadas para o aprimoramento das atividades da Administração.</w:t>
      </w:r>
    </w:p>
    <w:p>
      <w:pPr>
        <w:rPr>
          <w:rFonts w:ascii="Arial" w:hAnsi="Arial"/>
          <w:b w:val="1"/>
          <w:lang w:eastAsia="en-US"/>
        </w:rPr>
      </w:pPr>
      <w:r>
        <w:rPr>
          <w:rFonts w:ascii="Arial" w:hAnsi="Arial"/>
          <w:lang w:eastAsia="en-US"/>
        </w:rPr>
        <w:t xml:space="preserve">  5.21. Fica designado(a) como Fiscal do Contrato o(a) servidor(a)</w:t>
      </w:r>
      <w:r>
        <w:rPr>
          <w:rFonts w:ascii="Arial" w:hAnsi="Arial"/>
          <w:b w:val="1"/>
          <w:lang w:eastAsia="en-US"/>
        </w:rPr>
        <w:t xml:space="preserve"> CLAUDIO NEVES PEREIRA (Portaria nº 251/2025).</w:t>
      </w:r>
    </w:p>
    <w:p>
      <w:pPr>
        <w:rPr>
          <w:rFonts w:ascii="Arial" w:hAnsi="Arial"/>
          <w:b w:val="1"/>
          <w:lang w:eastAsia="en-US"/>
        </w:rPr>
      </w:pPr>
      <w:r>
        <w:rPr>
          <w:rFonts w:ascii="Arial" w:hAnsi="Arial"/>
          <w:b w:val="1"/>
          <w:lang w:eastAsia="en-US"/>
        </w:rPr>
        <w:t xml:space="preserve">  5.22. </w:t>
      </w:r>
      <w:r>
        <w:rPr>
          <w:rFonts w:ascii="Arial" w:hAnsi="Arial"/>
          <w:lang w:eastAsia="en-US"/>
        </w:rPr>
        <w:t>Fica designado(a) como Gestor(a) do Contrato o(a) servidor(a)</w:t>
      </w:r>
      <w:r>
        <w:rPr>
          <w:rFonts w:ascii="Arial" w:hAnsi="Arial"/>
          <w:b w:val="1"/>
          <w:lang w:eastAsia="en-US"/>
        </w:rPr>
        <w:t xml:space="preserve"> RUANA PALOMA DE OLIVEIRA LIMA (Portaria nº 080/2025).</w:t>
      </w:r>
    </w:p>
    <w:p>
      <w:pPr>
        <w:rPr>
          <w:rFonts w:ascii="Arial" w:hAnsi="Arial"/>
          <w:b w:val="1"/>
          <w:lang w:eastAsia="en-US"/>
        </w:rPr>
      </w:pPr>
    </w:p>
    <w:p>
      <w:pPr>
        <w:rPr>
          <w:rFonts w:ascii="Arial" w:hAnsi="Arial"/>
          <w:b w:val="1"/>
          <w:lang w:eastAsia="en-US"/>
        </w:rPr>
      </w:pPr>
      <w:r>
        <w:rPr>
          <w:rFonts w:ascii="Arial" w:hAnsi="Arial"/>
          <w:b w:val="1"/>
          <w:lang w:eastAsia="en-US"/>
        </w:rPr>
        <w:t>6. MEDIDAS ACAUTELADORAS</w:t>
      </w:r>
    </w:p>
    <w:p>
      <w:pPr>
        <w:rPr>
          <w:rFonts w:ascii="Arial" w:hAnsi="Arial"/>
          <w:lang w:eastAsia="en-US"/>
        </w:rPr>
      </w:pPr>
      <w:r>
        <w:rPr>
          <w:rFonts w:ascii="Arial" w:hAnsi="Arial"/>
          <w:b w:val="1"/>
          <w:lang w:eastAsia="en-US"/>
        </w:rPr>
        <w:t>6.1.</w:t>
      </w:r>
      <w:r>
        <w:rPr>
          <w:rFonts w:ascii="Arial" w:hAnsi="Arial"/>
          <w:lang w:eastAsia="en-US"/>
        </w:rPr>
        <w:t xml:space="preserve"> Em caso de risco iminente à execução contratual ou à segurança da Administração, a Administração poderá, de forma motivada e no âmbito de suas competências previstas na Lei nº 14.133/2021, adotar medidas acauteladoras necessárias para prevenir a ocorrência de dano de difícil ou impossível reparação, inclusive a suspensão de pagamentos, quando devidamente justificada e observados os princípios do contraditório e da ampla defesa, quando cabíveis.</w:t>
      </w:r>
    </w:p>
    <w:p>
      <w:pPr>
        <w:rPr>
          <w:rFonts w:ascii="Arial" w:hAnsi="Arial"/>
          <w:b w:val="1"/>
          <w:lang w:eastAsia="en-US"/>
        </w:rPr>
      </w:pPr>
    </w:p>
    <w:p>
      <w:pPr>
        <w:rPr>
          <w:rFonts w:ascii="Arial" w:hAnsi="Arial"/>
          <w:b w:val="1"/>
          <w:lang w:eastAsia="en-US"/>
        </w:rPr>
      </w:pPr>
      <w:r>
        <w:rPr>
          <w:rFonts w:ascii="Arial" w:hAnsi="Arial"/>
          <w:b w:val="1"/>
          <w:lang w:eastAsia="en-US"/>
        </w:rPr>
        <w:t>7. DOS CRITÉRIOS E DO PRAZO DE PAGAMENTO (Art. 6º, XXIII, ‘g’ e ‘h’ da Lei nº 14.133/2021)</w:t>
      </w:r>
    </w:p>
    <w:p>
      <w:pPr>
        <w:rPr>
          <w:rFonts w:ascii="Arial" w:hAnsi="Arial"/>
          <w:lang w:eastAsia="en-US"/>
        </w:rPr>
      </w:pPr>
      <w:r>
        <w:rPr>
          <w:rFonts w:ascii="Arial" w:hAnsi="Arial"/>
          <w:b w:val="1"/>
          <w:lang w:eastAsia="en-US"/>
        </w:rPr>
        <w:t>7.1.</w:t>
      </w:r>
      <w:r>
        <w:rPr>
          <w:rFonts w:ascii="Arial" w:hAnsi="Arial"/>
          <w:lang w:eastAsia="en-US"/>
        </w:rPr>
        <w:t xml:space="preserve"> O pagamento será realizado por meio de ordem bancária, para crédito em banco, agência e conta-corrente indicados pela Contratada.</w:t>
      </w:r>
    </w:p>
    <w:p>
      <w:pPr>
        <w:rPr>
          <w:rFonts w:ascii="Arial" w:hAnsi="Arial"/>
          <w:lang w:eastAsia="en-US"/>
        </w:rPr>
      </w:pPr>
      <w:r>
        <w:rPr>
          <w:rFonts w:ascii="Arial" w:hAnsi="Arial"/>
          <w:b w:val="1"/>
          <w:lang w:eastAsia="en-US"/>
        </w:rPr>
        <w:t>7.2.</w:t>
      </w:r>
      <w:r>
        <w:rPr>
          <w:rFonts w:ascii="Arial" w:hAnsi="Arial"/>
          <w:lang w:eastAsia="en-US"/>
        </w:rPr>
        <w:t xml:space="preserve"> Será considerada data do pagamento o dia em que constar como emitida a ordem bancária para pagamento.</w:t>
      </w:r>
    </w:p>
    <w:p>
      <w:pPr>
        <w:rPr>
          <w:rFonts w:ascii="Arial" w:hAnsi="Arial"/>
          <w:lang w:eastAsia="en-US"/>
        </w:rPr>
      </w:pPr>
      <w:r>
        <w:rPr>
          <w:rFonts w:ascii="Arial" w:hAnsi="Arial"/>
          <w:b w:val="1"/>
          <w:color w:val="000000"/>
          <w:lang w:eastAsia="en-US"/>
        </w:rPr>
        <w:t>7.3.</w:t>
      </w:r>
      <w:r>
        <w:rPr>
          <w:rFonts w:ascii="Arial" w:hAnsi="Arial"/>
          <w:lang w:eastAsia="en-US"/>
        </w:rPr>
        <w:t xml:space="preserve"> Recebida a Nota Fiscal ou documento de cobrança equivalente, o prazo para liquidação será de até </w:t>
      </w:r>
      <w:r>
        <w:rPr>
          <w:rFonts w:ascii="Arial" w:hAnsi="Arial"/>
          <w:b w:val="1"/>
          <w:lang w:eastAsia="en-US"/>
        </w:rPr>
        <w:t>30 (trinta) dias corrido</w:t>
      </w:r>
      <w:r>
        <w:rPr>
          <w:rFonts w:ascii="Arial" w:hAnsi="Arial"/>
          <w:lang w:eastAsia="en-US"/>
        </w:rPr>
        <w:t>, prorrogáveis por igual período.</w:t>
      </w:r>
    </w:p>
    <w:p>
      <w:pPr>
        <w:rPr>
          <w:rFonts w:ascii="Arial" w:hAnsi="Arial"/>
          <w:lang w:eastAsia="en-US"/>
        </w:rPr>
      </w:pPr>
      <w:r>
        <w:rPr>
          <w:rFonts w:ascii="Arial" w:hAnsi="Arial"/>
          <w:b w:val="1"/>
          <w:lang w:eastAsia="en-US"/>
        </w:rPr>
        <w:t>7.3.1.</w:t>
      </w:r>
      <w:r>
        <w:rPr>
          <w:rFonts w:ascii="Arial" w:hAnsi="Arial"/>
          <w:lang w:eastAsia="en-US"/>
        </w:rPr>
        <w:t xml:space="preserve"> O prazo de que trata o subitem anterior poderá ser reduzido à metade, mantida a possibilidade de prorrogação, nas contratações cujo valor não ultrapasse o limite previsto no inciso II do art. 75 da Lei nº 14.133/2021.</w:t>
      </w:r>
    </w:p>
    <w:p>
      <w:pPr>
        <w:rPr>
          <w:rFonts w:ascii="Arial" w:hAnsi="Arial"/>
          <w:lang w:eastAsia="en-US"/>
        </w:rPr>
      </w:pPr>
      <w:r>
        <w:rPr>
          <w:rFonts w:ascii="Arial" w:hAnsi="Arial"/>
          <w:b w:val="1"/>
          <w:lang w:eastAsia="en-US"/>
        </w:rPr>
        <w:t>7.3.2.</w:t>
      </w:r>
      <w:r>
        <w:rPr>
          <w:rFonts w:ascii="Arial" w:hAnsi="Arial"/>
          <w:lang w:eastAsia="en-US"/>
        </w:rPr>
        <w:t xml:space="preserve"> A nota fiscal ou instrumento de cobrança equivalente deverá ser obrigatoriamente acompanhado da comprovação da regularidade fiscal, mediante consulta aos sítios eletrônicos oficiais ou à documentação mencionada no art. 68 da Lei nº 14.133/2021.</w:t>
      </w:r>
    </w:p>
    <w:p>
      <w:pPr>
        <w:rPr>
          <w:rFonts w:ascii="Arial" w:hAnsi="Arial"/>
          <w:lang w:eastAsia="en-US"/>
        </w:rPr>
      </w:pPr>
      <w:r>
        <w:rPr>
          <w:rFonts w:ascii="Arial" w:hAnsi="Arial"/>
          <w:b w:val="1"/>
          <w:lang w:eastAsia="en-US"/>
        </w:rPr>
        <w:t>7.4.</w:t>
      </w:r>
      <w:r>
        <w:rPr>
          <w:rFonts w:ascii="Arial" w:hAnsi="Arial"/>
          <w:lang w:eastAsia="en-US"/>
        </w:rPr>
        <w:t xml:space="preserve"> Para fins de liquidação, o setor competente deverá verificar se a nota fiscal ou instrumento de cobrança equivalente apresentado expressa os elementos necessários e essenciais do documento, tais como:</w:t>
      </w:r>
    </w:p>
    <w:p>
      <w:pPr>
        <w:rPr>
          <w:rFonts w:ascii="Arial" w:hAnsi="Arial"/>
          <w:lang w:eastAsia="en-US"/>
        </w:rPr>
      </w:pPr>
      <w:r>
        <w:rPr>
          <w:rFonts w:ascii="Arial" w:hAnsi="Arial"/>
          <w:b w:val="1"/>
          <w:lang w:eastAsia="en-US"/>
        </w:rPr>
        <w:t>a)</w:t>
      </w:r>
      <w:r>
        <w:rPr>
          <w:rFonts w:ascii="Arial" w:hAnsi="Arial"/>
          <w:lang w:eastAsia="en-US"/>
        </w:rPr>
        <w:t xml:space="preserve"> O prazo de validade;</w:t>
      </w:r>
    </w:p>
    <w:p>
      <w:pPr>
        <w:rPr>
          <w:rFonts w:ascii="Arial" w:hAnsi="Arial"/>
          <w:lang w:eastAsia="en-US"/>
        </w:rPr>
      </w:pPr>
      <w:r>
        <w:rPr>
          <w:rFonts w:ascii="Arial" w:hAnsi="Arial"/>
          <w:b w:val="1"/>
          <w:lang w:eastAsia="en-US"/>
        </w:rPr>
        <w:t>b)</w:t>
      </w:r>
      <w:r>
        <w:rPr>
          <w:rFonts w:ascii="Arial" w:hAnsi="Arial"/>
          <w:lang w:eastAsia="en-US"/>
        </w:rPr>
        <w:t xml:space="preserve"> A data da emissão;</w:t>
      </w:r>
    </w:p>
    <w:p>
      <w:pPr>
        <w:rPr>
          <w:rFonts w:ascii="Arial" w:hAnsi="Arial"/>
          <w:lang w:eastAsia="en-US"/>
        </w:rPr>
      </w:pPr>
      <w:r>
        <w:rPr>
          <w:rFonts w:ascii="Arial" w:hAnsi="Arial"/>
          <w:b w:val="1"/>
          <w:lang w:eastAsia="en-US"/>
        </w:rPr>
        <w:t>c)</w:t>
      </w:r>
      <w:r>
        <w:rPr>
          <w:rFonts w:ascii="Arial" w:hAnsi="Arial"/>
          <w:lang w:eastAsia="en-US"/>
        </w:rPr>
        <w:t xml:space="preserve"> Os dados do contrato e do órgão contratante;</w:t>
      </w:r>
    </w:p>
    <w:p>
      <w:pPr>
        <w:rPr>
          <w:rFonts w:ascii="Arial" w:hAnsi="Arial"/>
          <w:lang w:eastAsia="en-US"/>
        </w:rPr>
      </w:pPr>
      <w:r>
        <w:rPr>
          <w:rFonts w:ascii="Arial" w:hAnsi="Arial"/>
          <w:b w:val="1"/>
          <w:lang w:eastAsia="en-US"/>
        </w:rPr>
        <w:t>d)</w:t>
      </w:r>
      <w:r>
        <w:rPr>
          <w:rFonts w:ascii="Arial" w:hAnsi="Arial"/>
          <w:lang w:eastAsia="en-US"/>
        </w:rPr>
        <w:t xml:space="preserve"> O período respectivo de execução do contrato;</w:t>
      </w:r>
    </w:p>
    <w:p>
      <w:pPr>
        <w:rPr>
          <w:rFonts w:ascii="Arial" w:hAnsi="Arial"/>
          <w:lang w:eastAsia="en-US"/>
        </w:rPr>
      </w:pPr>
      <w:r>
        <w:rPr>
          <w:rFonts w:ascii="Arial" w:hAnsi="Arial"/>
          <w:b w:val="1"/>
          <w:lang w:eastAsia="en-US"/>
        </w:rPr>
        <w:t>e)</w:t>
      </w:r>
      <w:r>
        <w:rPr>
          <w:rFonts w:ascii="Arial" w:hAnsi="Arial"/>
          <w:lang w:eastAsia="en-US"/>
        </w:rPr>
        <w:t xml:space="preserve"> O valor a pagar; e</w:t>
      </w:r>
    </w:p>
    <w:p>
      <w:pPr>
        <w:rPr>
          <w:rFonts w:ascii="Arial" w:hAnsi="Arial"/>
          <w:lang w:eastAsia="en-US"/>
        </w:rPr>
      </w:pPr>
      <w:r>
        <w:rPr>
          <w:rFonts w:ascii="Arial" w:hAnsi="Arial"/>
          <w:b w:val="1"/>
          <w:lang w:eastAsia="en-US"/>
        </w:rPr>
        <w:t>f)</w:t>
      </w:r>
      <w:r>
        <w:rPr>
          <w:rFonts w:ascii="Arial" w:hAnsi="Arial"/>
          <w:lang w:eastAsia="en-US"/>
        </w:rPr>
        <w:t xml:space="preserve"> Eventual destaque do valor de retenções tributárias cabíveis.</w:t>
      </w:r>
    </w:p>
    <w:p>
      <w:pPr>
        <w:rPr>
          <w:rFonts w:ascii="Arial" w:hAnsi="Arial"/>
          <w:lang w:eastAsia="en-US"/>
        </w:rPr>
      </w:pPr>
      <w:r>
        <w:rPr>
          <w:rFonts w:ascii="Arial" w:hAnsi="Arial"/>
          <w:b w:val="1"/>
          <w:lang w:eastAsia="en-US"/>
        </w:rPr>
        <w:t>7.4.1.</w:t>
      </w:r>
      <w:r>
        <w:rPr>
          <w:rFonts w:ascii="Arial" w:hAnsi="Arial"/>
          <w:lang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rPr>
          <w:rFonts w:ascii="Arial" w:hAnsi="Arial"/>
          <w:lang w:eastAsia="en-US"/>
        </w:rPr>
      </w:pPr>
      <w:r>
        <w:rPr>
          <w:rFonts w:ascii="Arial" w:hAnsi="Arial"/>
          <w:b w:val="1"/>
          <w:lang w:eastAsia="en-US"/>
        </w:rPr>
        <w:t>7.5.</w:t>
      </w:r>
      <w:r>
        <w:rPr>
          <w:rFonts w:ascii="Arial" w:hAnsi="Arial"/>
          <w:lang w:eastAsia="en-US"/>
        </w:rPr>
        <w:t xml:space="preserve"> A Administração deverá verificar a manutenção das condições de habilitação exigidas no edital de Pregão e identificar possível razão que impeça a participação em licitação/contratação pública, no âmbito do órgão ou entidade, que implique proibição de contratar com o Poder Público, bem como ocorrências impeditivas indiretas.</w:t>
      </w:r>
    </w:p>
    <w:p>
      <w:pPr>
        <w:rPr>
          <w:rFonts w:ascii="Arial" w:hAnsi="Arial"/>
          <w:lang w:eastAsia="en-US"/>
        </w:rPr>
      </w:pPr>
      <w:r>
        <w:rPr>
          <w:rFonts w:ascii="Arial" w:hAnsi="Arial"/>
          <w:b w:val="1"/>
          <w:lang w:eastAsia="en-US"/>
        </w:rPr>
        <w:t>7.5.1.</w:t>
      </w:r>
      <w:r>
        <w:rPr>
          <w:rFonts w:ascii="Arial" w:hAnsi="Arial"/>
          <w:lang w:eastAsia="en-US"/>
        </w:rPr>
        <w:t xml:space="preserve"> Constatando-se uma situação de irregularidade da Contratada, será providenciada sua notificação, por escrito, para que, no prazo de </w:t>
      </w:r>
      <w:r>
        <w:rPr>
          <w:rFonts w:ascii="Arial" w:hAnsi="Arial"/>
          <w:b w:val="1"/>
          <w:lang w:eastAsia="en-US"/>
        </w:rPr>
        <w:t>05 (cinco) dias úteis</w:t>
      </w:r>
      <w:r>
        <w:rPr>
          <w:rFonts w:ascii="Arial" w:hAnsi="Arial"/>
          <w:lang w:eastAsia="en-US"/>
        </w:rPr>
        <w:t>, regularize sua situação ou, no mesmo prazo, apresente sua defesa. O prazo poderá ser prorrogado uma vez, por igual período, a critério do contratante.</w:t>
      </w:r>
    </w:p>
    <w:p>
      <w:pPr>
        <w:rPr>
          <w:rFonts w:ascii="Arial" w:hAnsi="Arial"/>
          <w:lang w:eastAsia="en-US"/>
        </w:rPr>
      </w:pPr>
      <w:r>
        <w:rPr>
          <w:rFonts w:ascii="Arial" w:hAnsi="Arial"/>
          <w:b w:val="1"/>
          <w:lang w:eastAsia="en-US"/>
        </w:rPr>
        <w:t>7.5.2.</w:t>
      </w:r>
      <w:r>
        <w:rPr>
          <w:rFonts w:ascii="Arial" w:hAnsi="Arial"/>
          <w:lang w:eastAsia="en-US"/>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rPr>
          <w:rFonts w:ascii="Arial" w:hAnsi="Arial"/>
          <w:lang w:eastAsia="en-US"/>
        </w:rPr>
      </w:pPr>
      <w:r>
        <w:rPr>
          <w:rFonts w:ascii="Arial" w:hAnsi="Arial"/>
          <w:b w:val="1"/>
          <w:lang w:eastAsia="en-US"/>
        </w:rPr>
        <w:t>7.5.3.</w:t>
      </w:r>
      <w:r>
        <w:rPr>
          <w:rFonts w:ascii="Arial" w:hAnsi="Arial"/>
          <w:lang w:eastAsia="en-US"/>
        </w:rPr>
        <w:t xml:space="preserve"> Persistindo a irregularidade, o contratante deverá adotar as medidas necessárias à rescisão contratual nos autos do processo administrativo correspondente, assegurada à Contratada a ampla defesa.</w:t>
      </w:r>
    </w:p>
    <w:p>
      <w:pPr>
        <w:rPr>
          <w:rFonts w:ascii="Arial" w:hAnsi="Arial"/>
          <w:lang w:eastAsia="en-US"/>
        </w:rPr>
      </w:pPr>
      <w:r>
        <w:rPr>
          <w:rFonts w:ascii="Arial" w:hAnsi="Arial"/>
          <w:b w:val="1"/>
          <w:lang w:eastAsia="en-US"/>
        </w:rPr>
        <w:t>7.5.4.</w:t>
      </w:r>
      <w:r>
        <w:rPr>
          <w:rFonts w:ascii="Arial" w:hAnsi="Arial"/>
          <w:lang w:eastAsia="en-US"/>
        </w:rPr>
        <w:t xml:space="preserve"> Havendo a efetiva execução do objeto, os pagamentos serão realizados normalmente, até que se decida pela rescisão do contrato, caso a Contratada não regularize sua situação.</w:t>
      </w:r>
    </w:p>
    <w:p>
      <w:pPr>
        <w:rPr>
          <w:rFonts w:ascii="Arial" w:hAnsi="Arial"/>
          <w:lang w:eastAsia="en-US"/>
        </w:rPr>
      </w:pPr>
      <w:r>
        <w:rPr>
          <w:rFonts w:ascii="Arial" w:hAnsi="Arial"/>
          <w:b w:val="1"/>
          <w:lang w:eastAsia="en-US"/>
        </w:rPr>
        <w:t>7.6.</w:t>
      </w:r>
      <w:r>
        <w:rPr>
          <w:rFonts w:ascii="Arial" w:hAnsi="Arial"/>
          <w:lang w:eastAsia="en-US"/>
        </w:rPr>
        <w:t xml:space="preserve">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rPr>
          <w:rFonts w:ascii="Arial" w:hAnsi="Arial"/>
          <w:lang w:eastAsia="en-US"/>
        </w:rPr>
      </w:pPr>
      <w:r>
        <w:rPr>
          <w:rFonts w:ascii="Arial" w:hAnsi="Arial"/>
          <w:b w:val="1"/>
          <w:lang w:eastAsia="en-US"/>
        </w:rPr>
        <w:t>7.7.</w:t>
      </w:r>
      <w:r>
        <w:rPr>
          <w:rFonts w:ascii="Arial" w:hAnsi="Arial"/>
          <w:lang w:eastAsia="en-US"/>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rPr>
          <w:rFonts w:ascii="Arial" w:hAnsi="Arial"/>
          <w:b w:val="1"/>
          <w:highlight w:val="yellow"/>
          <w:lang w:eastAsia="en-US"/>
        </w:rPr>
      </w:pPr>
      <w:r>
        <w:rPr>
          <w:rFonts w:ascii="Arial" w:hAnsi="Arial"/>
          <w:b w:val="1"/>
          <w:lang w:eastAsia="en-US"/>
        </w:rPr>
        <w:t>7.8.</w:t>
      </w:r>
      <w:r>
        <w:rPr>
          <w:rFonts w:ascii="Arial" w:hAnsi="Arial"/>
          <w:lang w:eastAsia="en-US"/>
        </w:rPr>
        <w:t xml:space="preserve"> </w:t>
      </w:r>
      <w:r>
        <w:rPr>
          <w:rFonts w:ascii="Arial" w:hAnsi="Arial"/>
          <w:b w:val="1"/>
          <w:highlight w:val="yellow"/>
          <w:lang w:eastAsia="en-US"/>
        </w:rPr>
        <w:t xml:space="preserve">O pagamento será efetuado o prazo final de pagamento é de até 30 dias corridos.  </w:t>
      </w:r>
    </w:p>
    <w:p>
      <w:pPr>
        <w:rPr>
          <w:rFonts w:ascii="Arial" w:hAnsi="Arial"/>
          <w:lang w:eastAsia="en-US"/>
        </w:rPr>
      </w:pPr>
      <w:r>
        <w:rPr>
          <w:rFonts w:ascii="Arial" w:hAnsi="Arial"/>
          <w:b w:val="1"/>
          <w:lang w:eastAsia="en-US"/>
        </w:rPr>
        <w:t>7.8.1.</w:t>
      </w:r>
      <w:r>
        <w:rPr>
          <w:rFonts w:ascii="Arial" w:hAnsi="Arial"/>
          <w:lang w:eastAsia="en-US"/>
        </w:rPr>
        <w:t xml:space="preserve"> Em caso de atraso no pagamento, os valores serão atualizados monetariamente, conforme índice oficial adotado pela Administração.</w:t>
      </w:r>
    </w:p>
    <w:p>
      <w:pPr>
        <w:rPr>
          <w:rFonts w:ascii="Arial" w:hAnsi="Arial"/>
          <w:lang w:eastAsia="en-US"/>
        </w:rPr>
      </w:pPr>
    </w:p>
    <w:p>
      <w:pPr>
        <w:rPr>
          <w:rFonts w:ascii="Arial" w:hAnsi="Arial"/>
          <w:b w:val="1"/>
          <w:lang w:eastAsia="en-US"/>
        </w:rPr>
      </w:pPr>
      <w:r>
        <w:rPr>
          <w:rFonts w:ascii="Arial" w:hAnsi="Arial"/>
          <w:b w:val="1"/>
          <w:lang w:eastAsia="en-US"/>
        </w:rPr>
        <w:t>8. DA ADEQUAÇÃO ORÇAMENTÁRIA (Art. 6º, XXIII, ‘j’, da Lei nº 14.133/2021)</w:t>
      </w:r>
    </w:p>
    <w:p>
      <w:pPr>
        <w:rPr>
          <w:rFonts w:ascii="Arial" w:hAnsi="Arial"/>
          <w:lang w:eastAsia="en-US"/>
        </w:rPr>
      </w:pPr>
      <w:r>
        <w:rPr>
          <w:rFonts w:ascii="Arial" w:hAnsi="Arial"/>
          <w:b w:val="1"/>
          <w:lang w:eastAsia="en-US"/>
        </w:rPr>
        <w:t xml:space="preserve">8.1. </w:t>
      </w:r>
      <w:r>
        <w:rPr>
          <w:rFonts w:ascii="Arial" w:hAnsi="Arial"/>
          <w:lang w:eastAsia="en-US"/>
        </w:rPr>
        <w:t>As despesas decorrentes da presente contratação correrão à conta das seguintes Dotações Orçamentárias:</w:t>
      </w:r>
    </w:p>
    <w:p>
      <w:pPr>
        <w:rPr>
          <w:rFonts w:ascii="Arial" w:hAnsi="Arial"/>
          <w:lang w:eastAsia="en-US"/>
        </w:rPr>
      </w:pPr>
    </w:p>
    <w:p>
      <w:pPr>
        <w:rPr>
          <w:rFonts w:ascii="Arial" w:hAnsi="Arial"/>
          <w:lang w:eastAsia="en-US"/>
        </w:rPr>
      </w:pPr>
    </w:p>
    <w:p>
      <w:pPr>
        <w:rPr>
          <w:rFonts w:ascii="Arial" w:hAnsi="Arial"/>
          <w:lang w:eastAsia="en-US"/>
        </w:rPr>
      </w:pPr>
    </w:p>
    <w:tbl>
      <w:tblPr>
        <w:tblW w:w="8514" w:type="dxa"/>
        <w:jc w:val="cente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ook w:val="04A0"/>
      </w:tblPr>
      <w:tblGrid/>
      <w:tr>
        <w:trPr>
          <w:jc w:val="center"/>
        </w:trPr>
        <w:tc>
          <w:tcPr>
            <w:tcW w:w="2075"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Órgão/Unidade</w:t>
            </w:r>
          </w:p>
        </w:tc>
        <w:tc>
          <w:tcPr>
            <w:tcW w:w="2254"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Funcional Programática</w:t>
            </w:r>
          </w:p>
        </w:tc>
        <w:tc>
          <w:tcPr>
            <w:tcW w:w="2032"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Elemento de Despesa</w:t>
            </w:r>
          </w:p>
        </w:tc>
        <w:tc>
          <w:tcPr>
            <w:tcW w:w="1186"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Fonte</w:t>
            </w:r>
          </w:p>
        </w:tc>
        <w:tc>
          <w:tcPr>
            <w:tcW w:w="967"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Ficha</w:t>
            </w:r>
          </w:p>
        </w:tc>
      </w:tr>
      <w:tr>
        <w:trPr>
          <w:jc w:val="center"/>
        </w:trPr>
        <w:tc>
          <w:tcPr>
            <w:tcW w:w="2075"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ind w:left="425"/>
              <w:rPr>
                <w:rFonts w:ascii="Arial" w:hAnsi="Arial"/>
                <w:color w:val="000000"/>
                <w:sz w:val="22"/>
              </w:rPr>
            </w:pPr>
            <w:r>
              <w:rPr>
                <w:rFonts w:ascii="Arial" w:hAnsi="Arial"/>
                <w:color w:val="000000"/>
                <w:sz w:val="22"/>
              </w:rPr>
              <w:t>12.003</w:t>
            </w:r>
          </w:p>
        </w:tc>
        <w:tc>
          <w:tcPr>
            <w:tcW w:w="2254"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23.695.0363.2073</w:t>
            </w:r>
          </w:p>
        </w:tc>
        <w:tc>
          <w:tcPr>
            <w:tcW w:w="2032"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3.3.90.39.00.00</w:t>
            </w:r>
          </w:p>
        </w:tc>
        <w:tc>
          <w:tcPr>
            <w:tcW w:w="1186"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 xml:space="preserve">  1001</w:t>
            </w:r>
          </w:p>
        </w:tc>
        <w:tc>
          <w:tcPr>
            <w:tcW w:w="967"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 xml:space="preserve">  633</w:t>
            </w:r>
          </w:p>
        </w:tc>
      </w:tr>
    </w:tbl>
    <w:p>
      <w:pPr>
        <w:rPr>
          <w:rFonts w:ascii="Arial" w:hAnsi="Arial"/>
          <w:lang w:eastAsia="en-US"/>
        </w:rPr>
      </w:pPr>
    </w:p>
    <w:p>
      <w:pPr>
        <w:jc w:val="left"/>
        <w:rPr>
          <w:rFonts w:ascii="Arial" w:hAnsi="Arial"/>
          <w:b w:val="1"/>
          <w:lang w:eastAsia="en-US"/>
        </w:rPr>
      </w:pPr>
      <w:r>
        <w:rPr>
          <w:rFonts w:ascii="Arial" w:hAnsi="Arial"/>
          <w:b w:val="1"/>
          <w:lang w:eastAsia="en-US"/>
        </w:rPr>
        <w:t>9. DA QUANTIDADE LICITADA</w:t>
      </w:r>
    </w:p>
    <w:p>
      <w:pPr>
        <w:jc w:val="left"/>
        <w:rPr>
          <w:rFonts w:ascii="Arial" w:hAnsi="Arial"/>
          <w:lang w:eastAsia="en-US"/>
        </w:rPr>
      </w:pPr>
      <w:r>
        <w:rPr>
          <w:rFonts w:ascii="Arial" w:hAnsi="Arial"/>
          <w:b w:val="1"/>
          <w:lang w:eastAsia="en-US"/>
        </w:rPr>
        <w:t>9.1.</w:t>
      </w:r>
      <w:r>
        <w:rPr>
          <w:rFonts w:ascii="Arial" w:hAnsi="Arial"/>
          <w:lang w:eastAsia="en-US"/>
        </w:rPr>
        <w:t xml:space="preserve"> A quantidade a ser contratada foi definida considerando a necessidade de atendimento de </w:t>
      </w:r>
      <w:r>
        <w:rPr>
          <w:rFonts w:ascii="Arial" w:hAnsi="Arial"/>
          <w:b w:val="1"/>
          <w:lang w:eastAsia="en-US"/>
        </w:rPr>
        <w:t>80 (oitenta) pessoas</w:t>
      </w:r>
      <w:r>
        <w:rPr>
          <w:rFonts w:ascii="Arial" w:hAnsi="Arial"/>
          <w:lang w:eastAsia="en-US"/>
        </w:rPr>
        <w:t xml:space="preserve">, sendo </w:t>
      </w:r>
      <w:r>
        <w:rPr>
          <w:rFonts w:ascii="Arial" w:hAnsi="Arial"/>
          <w:b w:val="1"/>
          <w:lang w:eastAsia="en-US"/>
        </w:rPr>
        <w:t>70 (setenta) alunos do Ensino Médio e 10 (dez) monitores/acompanhantes</w:t>
      </w:r>
      <w:r>
        <w:rPr>
          <w:rFonts w:ascii="Arial" w:hAnsi="Arial"/>
          <w:lang w:eastAsia="en-US"/>
        </w:rPr>
        <w:t xml:space="preserve">, para participação na viagem turística ao Município de Foz do Iguaçu–PR, no período de </w:t>
      </w:r>
      <w:r>
        <w:rPr>
          <w:rFonts w:ascii="Arial" w:hAnsi="Arial"/>
          <w:b w:val="1"/>
          <w:lang w:eastAsia="en-US"/>
        </w:rPr>
        <w:t>23 a 25 de outubro de 2026</w:t>
      </w:r>
      <w:r>
        <w:rPr>
          <w:rFonts w:ascii="Arial" w:hAnsi="Arial"/>
          <w:lang w:eastAsia="en-US"/>
        </w:rPr>
        <w:t>, no âmbito do Programa Paraná Mais Viagem e do Termo de Convênio nº 033/2026.</w:t>
        <w:br w:type="textWrapping"/>
        <w:t>Para a adequada execução da viagem, foram dimensionados os seguintes quantitativos:</w:t>
      </w:r>
    </w:p>
    <w:tbl>
      <w:tblPr>
        <w:tblW w:w="0" w:type="auto"/>
        <w:tblCellSpacing w:w="15" w:type="dxa"/>
        <w:tblCellMar>
          <w:top w:w="15" w:type="dxa"/>
          <w:left w:w="15" w:type="dxa"/>
          <w:bottom w:w="15" w:type="dxa"/>
          <w:right w:w="15" w:type="dxa"/>
        </w:tblCellMar>
        <w:tblLook w:val="04A0"/>
      </w:tblPr>
      <w:tblGrid/>
      <w:tr>
        <w:trPr>
          <w:tblHeader/>
          <w:tblCellSpacing w:w="15" w:type="dxa"/>
        </w:trPr>
        <w:tc>
          <w:tcPr>
            <w:tcW w:w="0" w:type="auto"/>
            <w:vAlign w:val="center"/>
            <w:hideMark/>
          </w:tcPr>
          <w:p>
            <w:pPr>
              <w:jc w:val="left"/>
              <w:rPr>
                <w:rFonts w:ascii="Arial" w:hAnsi="Arial"/>
                <w:b w:val="1"/>
                <w:lang w:eastAsia="en-US"/>
              </w:rPr>
            </w:pPr>
            <w:r>
              <w:rPr>
                <w:rFonts w:ascii="Arial" w:hAnsi="Arial"/>
                <w:b w:val="1"/>
                <w:lang w:eastAsia="en-US"/>
              </w:rPr>
              <w:t>Item</w:t>
            </w:r>
          </w:p>
        </w:tc>
        <w:tc>
          <w:tcPr>
            <w:tcW w:w="0" w:type="auto"/>
            <w:vAlign w:val="center"/>
            <w:hideMark/>
          </w:tcPr>
          <w:p>
            <w:pPr>
              <w:jc w:val="left"/>
              <w:rPr>
                <w:rFonts w:ascii="Arial" w:hAnsi="Arial"/>
                <w:b w:val="1"/>
                <w:lang w:eastAsia="en-US"/>
              </w:rPr>
            </w:pPr>
            <w:r>
              <w:rPr>
                <w:rFonts w:ascii="Arial" w:hAnsi="Arial"/>
                <w:b w:val="1"/>
                <w:lang w:eastAsia="en-US"/>
              </w:rPr>
              <w:t>Descrição</w:t>
            </w:r>
          </w:p>
        </w:tc>
        <w:tc>
          <w:tcPr>
            <w:tcW w:w="0" w:type="auto"/>
            <w:vAlign w:val="center"/>
            <w:hideMark/>
          </w:tcPr>
          <w:p>
            <w:pPr>
              <w:jc w:val="left"/>
              <w:rPr>
                <w:rFonts w:ascii="Arial" w:hAnsi="Arial"/>
                <w:b w:val="1"/>
                <w:lang w:eastAsia="en-US"/>
              </w:rPr>
            </w:pPr>
            <w:r>
              <w:rPr>
                <w:rFonts w:ascii="Arial" w:hAnsi="Arial"/>
                <w:b w:val="1"/>
                <w:lang w:eastAsia="en-US"/>
              </w:rPr>
              <w:t>Quantidade</w:t>
            </w:r>
          </w:p>
        </w:tc>
      </w:tr>
      <w:tr>
        <w:trPr>
          <w:tblCellSpacing w:w="15" w:type="dxa"/>
        </w:trPr>
        <w:tc>
          <w:tcPr>
            <w:tcW w:w="0" w:type="auto"/>
            <w:vAlign w:val="center"/>
            <w:hideMark/>
          </w:tcPr>
          <w:p>
            <w:pPr>
              <w:jc w:val="left"/>
              <w:rPr>
                <w:rFonts w:ascii="Arial" w:hAnsi="Arial"/>
                <w:lang w:eastAsia="en-US"/>
              </w:rPr>
            </w:pPr>
            <w:r>
              <w:rPr>
                <w:rFonts w:ascii="Arial" w:hAnsi="Arial"/>
                <w:lang w:eastAsia="en-US"/>
              </w:rPr>
              <w:t>01</w:t>
            </w:r>
          </w:p>
        </w:tc>
        <w:tc>
          <w:tcPr>
            <w:tcW w:w="0" w:type="auto"/>
            <w:vAlign w:val="center"/>
            <w:hideMark/>
          </w:tcPr>
          <w:p>
            <w:pPr>
              <w:jc w:val="left"/>
              <w:rPr>
                <w:rFonts w:ascii="Arial" w:hAnsi="Arial"/>
                <w:lang w:eastAsia="en-US"/>
              </w:rPr>
            </w:pPr>
            <w:r>
              <w:rPr>
                <w:rFonts w:ascii="Arial" w:hAnsi="Arial"/>
                <w:lang w:eastAsia="en-US"/>
              </w:rPr>
              <w:t>Transporte rodoviário Tuneiras do Oeste–PR x Foz do Iguaçu–PR x Tuneiras do Oeste–PR, incluindo deslocamentos para os atrativos previstos</w:t>
            </w:r>
          </w:p>
        </w:tc>
        <w:tc>
          <w:tcPr>
            <w:tcW w:w="0" w:type="auto"/>
            <w:vAlign w:val="center"/>
            <w:hideMark/>
          </w:tcPr>
          <w:p>
            <w:pPr>
              <w:jc w:val="left"/>
              <w:rPr>
                <w:rFonts w:ascii="Arial" w:hAnsi="Arial"/>
                <w:lang w:eastAsia="en-US"/>
              </w:rPr>
            </w:pPr>
            <w:r>
              <w:rPr>
                <w:rFonts w:ascii="Arial" w:hAnsi="Arial"/>
                <w:b w:val="1"/>
                <w:lang w:eastAsia="en-US"/>
              </w:rPr>
              <w:t>2 ônibus</w:t>
            </w:r>
          </w:p>
        </w:tc>
      </w:tr>
      <w:tr>
        <w:trPr>
          <w:tblCellSpacing w:w="15" w:type="dxa"/>
        </w:trPr>
        <w:tc>
          <w:tcPr>
            <w:tcW w:w="0" w:type="auto"/>
            <w:vAlign w:val="center"/>
            <w:hideMark/>
          </w:tcPr>
          <w:p>
            <w:pPr>
              <w:jc w:val="left"/>
              <w:rPr>
                <w:rFonts w:ascii="Arial" w:hAnsi="Arial"/>
                <w:lang w:eastAsia="en-US"/>
              </w:rPr>
            </w:pPr>
            <w:r>
              <w:rPr>
                <w:rFonts w:ascii="Arial" w:hAnsi="Arial"/>
                <w:lang w:eastAsia="en-US"/>
              </w:rPr>
              <w:t>02</w:t>
            </w:r>
          </w:p>
        </w:tc>
        <w:tc>
          <w:tcPr>
            <w:tcW w:w="0" w:type="auto"/>
            <w:vAlign w:val="center"/>
            <w:hideMark/>
          </w:tcPr>
          <w:p>
            <w:pPr>
              <w:jc w:val="left"/>
              <w:rPr>
                <w:rFonts w:ascii="Arial" w:hAnsi="Arial"/>
                <w:lang w:eastAsia="en-US"/>
              </w:rPr>
            </w:pPr>
            <w:r>
              <w:rPr>
                <w:rFonts w:ascii="Arial" w:hAnsi="Arial"/>
                <w:lang w:eastAsia="en-US"/>
              </w:rPr>
              <w:t>Seguro viagem para os participantes</w:t>
            </w:r>
          </w:p>
        </w:tc>
        <w:tc>
          <w:tcPr>
            <w:tcW w:w="0" w:type="auto"/>
            <w:vAlign w:val="center"/>
            <w:hideMark/>
          </w:tcPr>
          <w:p>
            <w:pPr>
              <w:jc w:val="left"/>
              <w:rPr>
                <w:rFonts w:ascii="Arial" w:hAnsi="Arial"/>
                <w:b w:val="1"/>
                <w:lang w:eastAsia="en-US"/>
              </w:rPr>
            </w:pPr>
            <w:r>
              <w:rPr>
                <w:rFonts w:ascii="Arial" w:hAnsi="Arial"/>
                <w:b w:val="1"/>
                <w:lang w:eastAsia="en-US"/>
              </w:rPr>
              <w:t xml:space="preserve">80  passageiros</w:t>
            </w:r>
          </w:p>
          <w:p>
            <w:pPr>
              <w:jc w:val="left"/>
              <w:rPr>
                <w:rFonts w:ascii="Arial" w:hAnsi="Arial"/>
                <w:lang w:eastAsia="en-US"/>
              </w:rPr>
            </w:pPr>
          </w:p>
        </w:tc>
      </w:tr>
      <w:tr>
        <w:trPr>
          <w:tblCellSpacing w:w="15" w:type="dxa"/>
        </w:trPr>
        <w:tc>
          <w:tcPr>
            <w:tcW w:w="0" w:type="auto"/>
            <w:vAlign w:val="center"/>
            <w:hideMark/>
          </w:tcPr>
          <w:p>
            <w:pPr>
              <w:jc w:val="left"/>
              <w:rPr>
                <w:rFonts w:ascii="Arial" w:hAnsi="Arial"/>
                <w:lang w:eastAsia="en-US"/>
              </w:rPr>
            </w:pPr>
            <w:r>
              <w:rPr>
                <w:rFonts w:ascii="Arial" w:hAnsi="Arial"/>
                <w:lang w:eastAsia="en-US"/>
              </w:rPr>
              <w:t>03</w:t>
            </w:r>
          </w:p>
        </w:tc>
        <w:tc>
          <w:tcPr>
            <w:tcW w:w="0" w:type="auto"/>
            <w:vAlign w:val="center"/>
            <w:hideMark/>
          </w:tcPr>
          <w:p>
            <w:pPr>
              <w:jc w:val="left"/>
              <w:rPr>
                <w:rFonts w:ascii="Arial" w:hAnsi="Arial"/>
                <w:lang w:eastAsia="en-US"/>
              </w:rPr>
            </w:pPr>
            <w:r>
              <w:rPr>
                <w:rFonts w:ascii="Arial" w:hAnsi="Arial"/>
                <w:lang w:eastAsia="en-US"/>
              </w:rPr>
              <w:t>Serviços de guia de turismo</w:t>
            </w:r>
          </w:p>
        </w:tc>
        <w:tc>
          <w:tcPr>
            <w:tcW w:w="0" w:type="auto"/>
            <w:vAlign w:val="center"/>
            <w:hideMark/>
          </w:tcPr>
          <w:p>
            <w:pPr>
              <w:jc w:val="left"/>
              <w:rPr>
                <w:rFonts w:ascii="Arial" w:hAnsi="Arial"/>
                <w:b w:val="1"/>
                <w:lang w:eastAsia="en-US"/>
              </w:rPr>
            </w:pPr>
            <w:r>
              <w:rPr>
                <w:rFonts w:ascii="Arial" w:hAnsi="Arial"/>
                <w:b w:val="1"/>
                <w:lang w:eastAsia="en-US"/>
              </w:rPr>
              <w:t>2 serviços</w:t>
            </w:r>
          </w:p>
          <w:p>
            <w:pPr>
              <w:jc w:val="left"/>
              <w:rPr>
                <w:rFonts w:ascii="Arial" w:hAnsi="Arial"/>
                <w:lang w:eastAsia="en-US"/>
              </w:rPr>
            </w:pPr>
          </w:p>
        </w:tc>
      </w:tr>
      <w:tr>
        <w:trPr>
          <w:tblCellSpacing w:w="15" w:type="dxa"/>
        </w:trPr>
        <w:tc>
          <w:tcPr>
            <w:tcW w:w="0" w:type="auto"/>
            <w:vAlign w:val="center"/>
            <w:hideMark/>
          </w:tcPr>
          <w:p>
            <w:pPr>
              <w:jc w:val="left"/>
              <w:rPr>
                <w:rFonts w:ascii="Arial" w:hAnsi="Arial"/>
                <w:lang w:eastAsia="en-US"/>
              </w:rPr>
            </w:pPr>
            <w:r>
              <w:rPr>
                <w:rFonts w:ascii="Arial" w:hAnsi="Arial"/>
                <w:lang w:eastAsia="en-US"/>
              </w:rPr>
              <w:t>04</w:t>
            </w:r>
          </w:p>
        </w:tc>
        <w:tc>
          <w:tcPr>
            <w:tcW w:w="0" w:type="auto"/>
            <w:vAlign w:val="center"/>
            <w:hideMark/>
          </w:tcPr>
          <w:p>
            <w:pPr>
              <w:jc w:val="left"/>
              <w:rPr>
                <w:rFonts w:ascii="Arial" w:hAnsi="Arial"/>
                <w:lang w:eastAsia="en-US"/>
              </w:rPr>
            </w:pPr>
            <w:r>
              <w:rPr>
                <w:rFonts w:ascii="Arial" w:hAnsi="Arial"/>
                <w:lang w:eastAsia="en-US"/>
              </w:rPr>
              <w:t>Hospedagem, incluindo 1 diária com café da manhã</w:t>
            </w:r>
          </w:p>
        </w:tc>
        <w:tc>
          <w:tcPr>
            <w:tcW w:w="0" w:type="auto"/>
            <w:vAlign w:val="center"/>
            <w:hideMark/>
          </w:tcPr>
          <w:p>
            <w:pPr>
              <w:jc w:val="left"/>
              <w:rPr>
                <w:rFonts w:ascii="Arial" w:hAnsi="Arial"/>
                <w:b w:val="1"/>
                <w:lang w:eastAsia="en-US"/>
              </w:rPr>
            </w:pPr>
            <w:r>
              <w:rPr>
                <w:rFonts w:ascii="Arial" w:hAnsi="Arial"/>
                <w:b w:val="1"/>
                <w:lang w:eastAsia="en-US"/>
              </w:rPr>
              <w:t>80 pessoas</w:t>
            </w:r>
          </w:p>
          <w:p>
            <w:pPr>
              <w:jc w:val="left"/>
              <w:rPr>
                <w:rFonts w:ascii="Arial" w:hAnsi="Arial"/>
                <w:b w:val="1"/>
                <w:lang w:eastAsia="en-US"/>
              </w:rPr>
            </w:pPr>
          </w:p>
          <w:p>
            <w:pPr>
              <w:jc w:val="left"/>
              <w:rPr>
                <w:rFonts w:ascii="Arial" w:hAnsi="Arial"/>
                <w:lang w:eastAsia="en-US"/>
              </w:rPr>
            </w:pPr>
          </w:p>
        </w:tc>
      </w:tr>
      <w:tr>
        <w:trPr>
          <w:tblCellSpacing w:w="15" w:type="dxa"/>
        </w:trPr>
        <w:tc>
          <w:tcPr>
            <w:tcW w:w="0" w:type="auto"/>
            <w:vAlign w:val="center"/>
            <w:hideMark/>
          </w:tcPr>
          <w:p>
            <w:pPr>
              <w:jc w:val="left"/>
              <w:rPr>
                <w:rFonts w:ascii="Arial" w:hAnsi="Arial"/>
                <w:lang w:eastAsia="en-US"/>
              </w:rPr>
            </w:pPr>
            <w:r>
              <w:rPr>
                <w:rFonts w:ascii="Arial" w:hAnsi="Arial"/>
                <w:lang w:eastAsia="en-US"/>
              </w:rPr>
              <w:t>05</w:t>
            </w:r>
          </w:p>
        </w:tc>
        <w:tc>
          <w:tcPr>
            <w:tcW w:w="0" w:type="auto"/>
            <w:vAlign w:val="center"/>
            <w:hideMark/>
          </w:tcPr>
          <w:p>
            <w:pPr>
              <w:jc w:val="left"/>
              <w:rPr>
                <w:rFonts w:ascii="Arial" w:hAnsi="Arial"/>
                <w:lang w:eastAsia="en-US"/>
              </w:rPr>
            </w:pPr>
            <w:r>
              <w:rPr>
                <w:rFonts w:ascii="Arial" w:hAnsi="Arial"/>
                <w:lang w:eastAsia="en-US"/>
              </w:rPr>
              <w:t>Refeições, compreendendo os serviços previstos no Termo de Referência</w:t>
            </w:r>
          </w:p>
        </w:tc>
        <w:tc>
          <w:tcPr>
            <w:tcW w:w="0" w:type="auto"/>
            <w:vAlign w:val="center"/>
            <w:hideMark/>
          </w:tcPr>
          <w:p>
            <w:pPr>
              <w:jc w:val="left"/>
              <w:rPr>
                <w:rFonts w:ascii="Arial" w:hAnsi="Arial"/>
                <w:b w:val="1"/>
                <w:lang w:eastAsia="en-US"/>
              </w:rPr>
            </w:pPr>
            <w:r>
              <w:rPr>
                <w:rFonts w:ascii="Arial" w:hAnsi="Arial"/>
                <w:b w:val="1"/>
                <w:lang w:eastAsia="en-US"/>
              </w:rPr>
              <w:t>80 pessoas</w:t>
            </w:r>
          </w:p>
          <w:p>
            <w:pPr>
              <w:jc w:val="left"/>
              <w:rPr>
                <w:rFonts w:ascii="Arial" w:hAnsi="Arial"/>
                <w:b w:val="1"/>
                <w:lang w:eastAsia="en-US"/>
              </w:rPr>
            </w:pPr>
          </w:p>
          <w:p>
            <w:pPr>
              <w:jc w:val="left"/>
              <w:rPr>
                <w:rFonts w:ascii="Arial" w:hAnsi="Arial"/>
                <w:lang w:eastAsia="en-US"/>
              </w:rPr>
            </w:pPr>
          </w:p>
        </w:tc>
      </w:tr>
      <w:tr>
        <w:trPr>
          <w:tblCellSpacing w:w="15" w:type="dxa"/>
        </w:trPr>
        <w:tc>
          <w:tcPr>
            <w:tcW w:w="0" w:type="auto"/>
            <w:vAlign w:val="center"/>
            <w:hideMark/>
          </w:tcPr>
          <w:p>
            <w:pPr>
              <w:jc w:val="left"/>
              <w:rPr>
                <w:rFonts w:ascii="Arial" w:hAnsi="Arial"/>
                <w:lang w:eastAsia="en-US"/>
              </w:rPr>
            </w:pPr>
            <w:r>
              <w:rPr>
                <w:rFonts w:ascii="Arial" w:hAnsi="Arial"/>
                <w:lang w:eastAsia="en-US"/>
              </w:rPr>
              <w:t>06</w:t>
            </w:r>
          </w:p>
        </w:tc>
        <w:tc>
          <w:tcPr>
            <w:tcW w:w="0" w:type="auto"/>
            <w:vAlign w:val="center"/>
            <w:hideMark/>
          </w:tcPr>
          <w:p>
            <w:pPr>
              <w:jc w:val="left"/>
              <w:rPr>
                <w:rFonts w:ascii="Arial" w:hAnsi="Arial"/>
                <w:lang w:eastAsia="en-US"/>
              </w:rPr>
            </w:pPr>
            <w:r>
              <w:rPr>
                <w:rFonts w:ascii="Arial" w:hAnsi="Arial"/>
                <w:lang w:eastAsia="en-US"/>
              </w:rPr>
              <w:t>Ingressos para Cataratas do Iguaçu, Parque das Aves, Marco das Três Fronteiras e Itaipu Binacional – visita panorâmica</w:t>
            </w:r>
          </w:p>
        </w:tc>
        <w:tc>
          <w:tcPr>
            <w:tcW w:w="0" w:type="auto"/>
            <w:vAlign w:val="center"/>
            <w:hideMark/>
          </w:tcPr>
          <w:p>
            <w:pPr>
              <w:jc w:val="left"/>
              <w:rPr>
                <w:rFonts w:ascii="Arial" w:hAnsi="Arial"/>
                <w:b w:val="1"/>
                <w:lang w:eastAsia="en-US"/>
              </w:rPr>
            </w:pPr>
            <w:r>
              <w:rPr>
                <w:rFonts w:ascii="Arial" w:hAnsi="Arial"/>
                <w:b w:val="1"/>
                <w:lang w:eastAsia="en-US"/>
              </w:rPr>
              <w:t>80 ingressos</w:t>
            </w:r>
          </w:p>
          <w:p>
            <w:pPr>
              <w:jc w:val="left"/>
              <w:rPr>
                <w:rFonts w:ascii="Arial" w:hAnsi="Arial"/>
                <w:lang w:eastAsia="en-US"/>
              </w:rPr>
            </w:pPr>
          </w:p>
        </w:tc>
      </w:tr>
    </w:tbl>
    <w:p>
      <w:pPr>
        <w:jc w:val="left"/>
        <w:rPr>
          <w:rFonts w:ascii="Arial" w:hAnsi="Arial"/>
          <w:lang w:eastAsia="en-US"/>
        </w:rPr>
      </w:pPr>
      <w:r>
        <w:rPr>
          <w:rFonts w:ascii="Arial" w:hAnsi="Arial"/>
          <w:lang w:eastAsia="en-US"/>
        </w:rPr>
        <w:t>Os quantitativos foram definidos com base no número de participantes previsto para a viagem e nos serviços necessários à sua completa execução, de modo a assegurar o atendimento integral dos 70 (setenta) alunos e 10 (dez) monitores/acompanhantes durante o período da programação.</w:t>
      </w:r>
    </w:p>
    <w:p>
      <w:pPr>
        <w:jc w:val="left"/>
        <w:rPr>
          <w:rFonts w:ascii="Arial" w:hAnsi="Arial"/>
          <w:lang w:eastAsia="en-US"/>
        </w:rPr>
      </w:pPr>
      <w:r>
        <w:rPr>
          <w:rFonts w:ascii="Arial" w:hAnsi="Arial"/>
          <w:lang w:eastAsia="en-US"/>
        </w:rPr>
        <w:t>A definição das quantidades considera, ainda, a necessidade de contratação integrada dos serviços de transporte, seguro, guia, hospedagem, alimentação e ingressos, de modo a garantir a adequada organização e execução da viagem turística. A Lei nº 14.133/2021 determina que o Estudo Técnico Preliminar contenha a estimativa das quantidades acompanhada das respectivas memórias de cálculo e documentos de suporte.</w:t>
      </w:r>
    </w:p>
    <w:p>
      <w:pPr>
        <w:jc w:val="left"/>
        <w:rPr>
          <w:rFonts w:ascii="Arial" w:hAnsi="Arial"/>
          <w:lang w:eastAsia="en-US"/>
        </w:rPr>
      </w:pPr>
      <w:r>
        <w:rPr>
          <w:rFonts w:ascii="Arial" w:hAnsi="Arial"/>
          <w:lang w:eastAsia="en-US"/>
        </w:rPr>
        <w:br w:type="textWrapping"/>
      </w:r>
    </w:p>
    <w:p>
      <w:pPr>
        <w:rPr>
          <w:rFonts w:ascii="Arial" w:hAnsi="Arial"/>
          <w:b w:val="1"/>
          <w:lang w:eastAsia="en-US"/>
        </w:rPr>
      </w:pPr>
    </w:p>
    <w:p>
      <w:pPr>
        <w:rPr>
          <w:rFonts w:ascii="Arial" w:hAnsi="Arial"/>
        </w:rPr>
      </w:pPr>
    </w:p>
    <w:p>
      <w:pPr>
        <w:rPr>
          <w:rFonts w:ascii="Arial" w:hAnsi="Arial"/>
          <w:b w:val="1"/>
        </w:rPr>
      </w:pPr>
    </w:p>
    <w:p>
      <w:pPr>
        <w:rPr>
          <w:rFonts w:ascii="Arial" w:hAnsi="Arial"/>
          <w:b w:val="1"/>
          <w:lang w:eastAsia="en-US"/>
        </w:rPr>
      </w:pPr>
    </w:p>
    <w:p>
      <w:pPr>
        <w:rPr>
          <w:rFonts w:ascii="Arial" w:hAnsi="Arial"/>
          <w:b w:val="1"/>
          <w:lang w:eastAsia="en-US"/>
        </w:rPr>
      </w:pPr>
    </w:p>
    <w:p>
      <w:pPr>
        <w:jc w:val="center"/>
        <w:rPr>
          <w:rFonts w:ascii="Arial" w:hAnsi="Arial"/>
        </w:rPr>
      </w:pPr>
      <w:bookmarkStart w:id="16" w:name="_Hlk202775241"/>
      <w:r>
        <w:rPr>
          <w:rFonts w:ascii="Arial" w:hAnsi="Arial"/>
          <w:b w:val="1"/>
          <w:lang w:eastAsia="en-US"/>
        </w:rPr>
        <w:t xml:space="preserve">   </w:t>
      </w:r>
      <w:bookmarkEnd w:id="16"/>
      <w:bookmarkStart w:id="17" w:name="_Hlk230164425"/>
      <w:r>
        <w:rPr>
          <w:rFonts w:ascii="Arial" w:hAnsi="Arial"/>
        </w:rPr>
        <w:t>Ruana Paloma de Oliveira Lima</w:t>
      </w:r>
    </w:p>
    <w:p>
      <w:pPr>
        <w:jc w:val="center"/>
        <w:rPr>
          <w:rFonts w:ascii="Arial" w:hAnsi="Arial"/>
          <w:b w:val="1"/>
        </w:rPr>
      </w:pPr>
      <w:r>
        <w:rPr>
          <w:rFonts w:ascii="Arial" w:hAnsi="Arial"/>
          <w:b w:val="1"/>
        </w:rPr>
        <w:t>Secretária Municipal de Turismo e Meio Ambiente</w:t>
      </w:r>
    </w:p>
    <w:p>
      <w:pPr>
        <w:jc w:val="center"/>
        <w:rPr>
          <w:rFonts w:ascii="Arial" w:hAnsi="Arial"/>
        </w:rPr>
      </w:pPr>
      <w:r>
        <w:rPr>
          <w:rFonts w:ascii="Arial" w:hAnsi="Arial"/>
        </w:rPr>
        <w:t xml:space="preserve"> Portaria n° 080/2025</w:t>
      </w:r>
      <w:bookmarkEnd w:id="17"/>
    </w:p>
    <w:p>
      <w:pPr>
        <w:rPr>
          <w:rFonts w:ascii="Arial" w:hAnsi="Arial"/>
        </w:rPr>
        <w:sectPr>
          <w:headerReference xmlns:r="http://schemas.openxmlformats.org/officeDocument/2006/relationships" w:type="default" r:id="RelHdr1"/>
          <w:footerReference xmlns:r="http://schemas.openxmlformats.org/officeDocument/2006/relationships" w:type="default" r:id="RelFtr1"/>
          <w:type w:val="nextPage"/>
          <w:pgSz w:w="11906" w:h="16838" w:code="0"/>
          <w:pgMar w:left="1701" w:right="1416" w:top="2127" w:bottom="1134" w:header="426" w:footer="381" w:gutter="0"/>
          <w:cols w:equalWidth="1" w:space="720"/>
        </w:sectPr>
      </w:pPr>
    </w:p>
    <w:p>
      <w:pPr>
        <w:widowControl w:val="0"/>
        <w:ind w:right="99"/>
        <w:jc w:val="center"/>
        <w:rPr>
          <w:rFonts w:ascii="Arial" w:hAnsi="Arial"/>
          <w:b w:val="1"/>
          <w:u w:val="single"/>
        </w:rPr>
      </w:pPr>
      <w:r>
        <w:rPr>
          <w:rFonts w:ascii="Arial" w:hAnsi="Arial"/>
          <w:b w:val="1"/>
          <w:u w:val="single"/>
        </w:rPr>
        <w:t>ANEXO II</w:t>
      </w:r>
    </w:p>
    <w:p>
      <w:pPr>
        <w:widowControl w:val="0"/>
        <w:ind w:right="99"/>
        <w:jc w:val="center"/>
        <w:rPr>
          <w:rFonts w:ascii="Arial" w:hAnsi="Arial"/>
          <w:b w:val="1"/>
        </w:rPr>
      </w:pPr>
    </w:p>
    <w:p>
      <w:pPr>
        <w:widowControl w:val="0"/>
        <w:ind w:right="99"/>
        <w:jc w:val="center"/>
        <w:rPr>
          <w:rFonts w:ascii="Arial" w:hAnsi="Arial"/>
          <w:b w:val="1"/>
          <w:i w:val="1"/>
          <w:highlight w:val="darkGreen"/>
        </w:rPr>
      </w:pPr>
      <w:r>
        <w:rPr>
          <w:rFonts w:ascii="Arial" w:hAnsi="Arial"/>
          <w:b w:val="1"/>
          <w:i w:val="1"/>
          <w:highlight w:val="darkGreen"/>
        </w:rPr>
        <w:t>(Modelo)</w:t>
      </w:r>
    </w:p>
    <w:p>
      <w:pPr>
        <w:spacing w:lineRule="auto" w:line="288" w:beforeAutospacing="0" w:afterAutospacing="0"/>
        <w:jc w:val="center"/>
        <w:rPr>
          <w:rFonts w:ascii="Arial" w:hAnsi="Arial"/>
          <w:b w:val="1"/>
          <w:i w:val="1"/>
        </w:rPr>
      </w:pPr>
      <w:r>
        <w:rPr>
          <w:rFonts w:ascii="Arial" w:hAnsi="Arial"/>
          <w:b w:val="1"/>
          <w:i w:val="1"/>
          <w:highlight w:val="darkGreen"/>
        </w:rPr>
        <w:t xml:space="preserve"> (Papel Timbrado da Empresa Licitante)</w:t>
      </w:r>
    </w:p>
    <w:p>
      <w:pPr>
        <w:widowControl w:val="0"/>
        <w:ind w:right="99"/>
        <w:jc w:val="center"/>
        <w:rPr>
          <w:rFonts w:ascii="Arial" w:hAnsi="Arial"/>
          <w:b w:val="1"/>
        </w:rPr>
      </w:pPr>
    </w:p>
    <w:p>
      <w:pPr>
        <w:widowControl w:val="0"/>
        <w:ind w:right="99"/>
        <w:jc w:val="center"/>
        <w:rPr>
          <w:rFonts w:ascii="Arial" w:hAnsi="Arial"/>
          <w:b w:val="1"/>
        </w:rPr>
      </w:pPr>
      <w:r>
        <w:rPr>
          <w:rFonts w:ascii="Arial" w:hAnsi="Arial"/>
          <w:b w:val="1"/>
        </w:rPr>
        <w:t>DECLARAÇÃO DE RESPONSABILIDADE UNIFICADA</w:t>
      </w:r>
    </w:p>
    <w:p>
      <w:pPr>
        <w:widowControl w:val="0"/>
        <w:ind w:right="99"/>
        <w:rPr>
          <w:rFonts w:ascii="Arial" w:hAnsi="Arial"/>
          <w:b w:val="1"/>
        </w:rPr>
      </w:pPr>
    </w:p>
    <w:p>
      <w:pPr>
        <w:rPr>
          <w:rFonts w:ascii="Arial" w:hAnsi="Arial"/>
          <w:b w:val="1"/>
        </w:rPr>
      </w:pPr>
      <w:bookmarkStart w:id="18" w:name="_Hlk190350416"/>
      <w:r>
        <w:rPr>
          <w:rFonts w:ascii="Arial" w:hAnsi="Arial"/>
          <w:b w:val="1"/>
        </w:rPr>
        <w:t>Ao(À) Sr(a). Pregoeiro(a)</w:t>
      </w:r>
    </w:p>
    <w:p>
      <w:pPr>
        <w:rPr>
          <w:rFonts w:ascii="Arial" w:hAnsi="Arial"/>
          <w:b w:val="1"/>
        </w:rPr>
      </w:pPr>
      <w:r>
        <w:rPr>
          <w:rFonts w:ascii="Arial" w:hAnsi="Arial"/>
          <w:b w:val="1"/>
        </w:rPr>
        <w:t>Prefeitura Municipal de Tuneiras do Oeste/PR</w:t>
      </w:r>
    </w:p>
    <w:p>
      <w:pPr>
        <w:widowControl w:val="0"/>
        <w:ind w:right="99"/>
        <w:rPr>
          <w:rFonts w:ascii="Arial" w:hAnsi="Arial"/>
          <w:b w:val="1"/>
        </w:rPr>
      </w:pPr>
      <w:bookmarkEnd w:id="18"/>
    </w:p>
    <w:p>
      <w:pPr>
        <w:widowControl w:val="0"/>
        <w:ind w:right="99"/>
        <w:rPr>
          <w:rFonts w:ascii="Arial" w:hAnsi="Arial"/>
        </w:rPr>
      </w:pPr>
      <w:r>
        <w:rPr>
          <w:rFonts w:ascii="Arial" w:hAnsi="Arial"/>
        </w:rPr>
        <w:t xml:space="preserve">A empresa _____________________________, pessoa jurídica de direito privado, inscrita no CNPJ sob o nº _______________, por intermédio de seu(sua) representante legal o(a) Sr(a) __________________________, portador(a) da CI/RG nº ____________ SSP/__ e do CPF nº ________________, </w:t>
      </w:r>
      <w:r>
        <w:rPr>
          <w:rFonts w:ascii="Arial" w:hAnsi="Arial"/>
          <w:b w:val="1"/>
        </w:rPr>
        <w:t>DECLARA</w:t>
      </w:r>
      <w:r>
        <w:rPr>
          <w:rFonts w:ascii="Arial" w:hAnsi="Arial"/>
        </w:rPr>
        <w:t xml:space="preserve">, para efeito de participação no processo licitatório na modalidade </w:t>
      </w:r>
      <w:r>
        <w:rPr>
          <w:rFonts w:ascii="Arial" w:hAnsi="Arial"/>
          <w:b w:val="1"/>
        </w:rPr>
        <w:t>PREGÃO ELETRÔNICO</w:t>
      </w:r>
      <w:r>
        <w:rPr>
          <w:rFonts w:ascii="Arial" w:hAnsi="Arial"/>
        </w:rPr>
        <w:t xml:space="preserve"> sob o nº </w:t>
      </w:r>
      <w:r>
        <w:rPr>
          <w:rFonts w:ascii="Arial" w:hAnsi="Arial"/>
          <w:b w:val="1"/>
        </w:rPr>
        <w:t>038/2026</w:t>
      </w:r>
      <w:r>
        <w:rPr>
          <w:rFonts w:ascii="Arial" w:hAnsi="Arial"/>
        </w:rPr>
        <w:t>, promovido pela Prefeitura Municipal de Tuneiras do Oeste, Estado do Paraná, que:</w:t>
      </w:r>
    </w:p>
    <w:p>
      <w:pPr>
        <w:widowControl w:val="0"/>
        <w:ind w:right="99"/>
        <w:rPr>
          <w:rFonts w:ascii="Arial" w:hAnsi="Arial"/>
          <w:b w:val="1"/>
        </w:rPr>
      </w:pP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color w:val="000000"/>
        </w:rPr>
        <w:t>estamos cientes e concordamos com as condições contidas no Edital e seus anexos;</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color w:val="000000"/>
        </w:rPr>
        <w:t>cumprimos os requisitos para a habilitação definidos no Edital e que a proposta apresentada está em conformidade com as exigências editalícias;</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color w:val="000000"/>
        </w:rPr>
        <w:t>inexistem fatos impeditivos para habilitação no certame, cientes da obrigatoriedade de declarar ocorrências posteriores;</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color w:val="000000"/>
        </w:rPr>
        <w:t>não empregamos menor de 18 anos em trabalho noturno, perigoso ou insalubre e não emprega menor de 16 anos, salvo menor, a partir de 14 anos, na condição de aprendiz, nos termos do artigo 7°, XXXIII, da Constituição;</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color w:val="000000"/>
        </w:rPr>
        <w:t>a proposta foi elaborada de forma independente, compreendendo a integralidade dos custos para atendimento dos direitos trabalhistas assegurados na Constituição Federal, Leis e demais normas vigentes;</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color w:val="000000"/>
        </w:rPr>
        <w:t>não possuímos, em nossa cadeia produtiva, empregados executando trabalho degradante ou forçado, observando o disposto nos incisos III e IV do art. 1º e no inciso III do art. 5º da Constituição Federal;</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color w:val="000000"/>
        </w:rPr>
        <w:t xml:space="preserve">observamos a reserva de cargos prevista em lei para pessoa com deficiência ou para reabilitado da Previdência Social e que atendam às regras de acessibilidade previstas na legislação, conforme disposto no art. 93 da Lei nº 8.213, de 24 de julho de </w:t>
      </w:r>
      <w:r>
        <w:rPr>
          <w:rFonts w:ascii="Arial" w:hAnsi="Arial"/>
        </w:rPr>
        <w:t>1991;</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rPr>
        <w:t>não mantemos em nosso quadro societário ou empregamos cônjuges, companheiros ou parentes em linha reta, colateral ou por afinidade, até o terceiro grau, de servidor público do órgão ou entidade licitante, que nele exerça cargo em comissão ou função de confiança, seja membro da comissão de licitação, pregoeiro ou equipe de apoio ou autoridade ligada à contratação, conforme disposições previstas na legislação vigente;</w:t>
      </w:r>
    </w:p>
    <w:p>
      <w:pPr>
        <w:pStyle w:val="P13"/>
        <w:numPr>
          <w:ilvl w:val="0"/>
          <w:numId w:val="31"/>
        </w:numPr>
        <w:tabs>
          <w:tab w:val="left" w:pos="284" w:leader="none"/>
          <w:tab w:val="left" w:pos="2694" w:leader="none"/>
        </w:tabs>
        <w:spacing w:before="120" w:after="120" w:beforeAutospacing="0" w:afterAutospacing="0"/>
        <w:ind w:firstLine="0" w:left="0"/>
        <w:contextualSpacing w:val="0"/>
        <w:rPr>
          <w:rFonts w:ascii="Arial" w:hAnsi="Arial"/>
          <w:color w:val="000000"/>
        </w:rPr>
      </w:pPr>
      <w:r>
        <w:rPr>
          <w:rFonts w:ascii="Arial" w:hAnsi="Arial"/>
        </w:rPr>
        <w:t>tivemos acesso a todos os documentos e informações pertinentes ao referido procedimento licitatório.</w:t>
      </w:r>
    </w:p>
    <w:p>
      <w:pPr>
        <w:widowControl w:val="0"/>
        <w:ind w:right="99"/>
        <w:rPr>
          <w:rFonts w:ascii="Arial" w:hAnsi="Arial"/>
          <w:b w:val="1"/>
        </w:rPr>
      </w:pPr>
    </w:p>
    <w:p>
      <w:pPr>
        <w:ind w:firstLine="1134"/>
        <w:rPr>
          <w:rFonts w:ascii="Arial" w:hAnsi="Arial"/>
          <w:i w:val="1"/>
        </w:rPr>
      </w:pPr>
      <w:r>
        <w:rPr>
          <w:rFonts w:ascii="Arial" w:hAnsi="Arial"/>
          <w:i w:val="1"/>
          <w:highlight w:val="darkGreen"/>
        </w:rPr>
        <w:t>(Local e data)</w:t>
      </w:r>
    </w:p>
    <w:p>
      <w:pPr>
        <w:ind w:firstLine="1134"/>
        <w:rPr>
          <w:rFonts w:ascii="Arial" w:hAnsi="Arial"/>
        </w:rPr>
      </w:pPr>
    </w:p>
    <w:p>
      <w:pPr>
        <w:ind w:firstLine="1134"/>
        <w:rPr>
          <w:rFonts w:ascii="Arial" w:hAnsi="Arial"/>
        </w:rPr>
      </w:pPr>
    </w:p>
    <w:p>
      <w:pPr>
        <w:ind w:firstLine="1134"/>
        <w:rPr>
          <w:rFonts w:ascii="Arial" w:hAnsi="Arial"/>
        </w:rPr>
      </w:pPr>
    </w:p>
    <w:p>
      <w:pPr>
        <w:spacing w:lineRule="auto" w:line="360" w:beforeAutospacing="0" w:afterAutospacing="0"/>
        <w:jc w:val="center"/>
        <w:rPr>
          <w:rFonts w:ascii="Arial" w:hAnsi="Arial"/>
        </w:rPr>
      </w:pPr>
      <w:r>
        <w:rPr>
          <w:rFonts w:ascii="Arial" w:hAnsi="Arial"/>
        </w:rPr>
        <w:t>_________________________________________</w:t>
      </w:r>
    </w:p>
    <w:p>
      <w:pPr>
        <w:spacing w:lineRule="auto" w:line="360" w:beforeAutospacing="0" w:afterAutospacing="0"/>
        <w:jc w:val="center"/>
        <w:rPr>
          <w:rFonts w:ascii="Arial" w:hAnsi="Arial"/>
          <w:i w:val="1"/>
        </w:rPr>
      </w:pPr>
      <w:r>
        <w:rPr>
          <w:rFonts w:ascii="Arial" w:hAnsi="Arial"/>
          <w:i w:val="1"/>
          <w:highlight w:val="darkGreen"/>
        </w:rPr>
        <w:t>(Nome e Assinatura do Representante Legal da Empresa Licitante)</w:t>
      </w:r>
    </w:p>
    <w:p>
      <w:pPr>
        <w:widowControl w:val="0"/>
        <w:ind w:right="99"/>
        <w:jc w:val="center"/>
        <w:rPr>
          <w:rFonts w:ascii="Arial" w:hAnsi="Arial"/>
          <w:b w:val="1"/>
        </w:rPr>
      </w:pPr>
    </w:p>
    <w:p>
      <w:pPr>
        <w:widowControl w:val="0"/>
        <w:ind w:right="99"/>
        <w:jc w:val="center"/>
        <w:rPr>
          <w:rFonts w:ascii="Arial" w:hAnsi="Arial"/>
          <w:b w:val="1"/>
        </w:rPr>
      </w:pPr>
    </w:p>
    <w:p>
      <w:pPr>
        <w:widowControl w:val="0"/>
        <w:ind w:right="99"/>
        <w:jc w:val="center"/>
        <w:rPr>
          <w:rFonts w:ascii="Arial" w:hAnsi="Arial"/>
          <w:b w:val="1"/>
        </w:rPr>
      </w:pPr>
    </w:p>
    <w:p>
      <w:pPr>
        <w:widowControl w:val="0"/>
        <w:ind w:right="99"/>
        <w:jc w:val="center"/>
        <w:rPr>
          <w:rFonts w:ascii="Arial" w:hAnsi="Arial"/>
          <w:b w:val="1"/>
          <w:u w:val="single"/>
        </w:rPr>
      </w:pPr>
      <w:r>
        <w:rPr>
          <w:rFonts w:ascii="Arial" w:hAnsi="Arial"/>
          <w:b w:val="1"/>
          <w:u w:val="single"/>
        </w:rPr>
        <w:t>ANEXO III</w:t>
      </w:r>
    </w:p>
    <w:p>
      <w:pPr>
        <w:widowControl w:val="0"/>
        <w:ind w:right="99"/>
        <w:jc w:val="center"/>
        <w:rPr>
          <w:rFonts w:ascii="Arial" w:hAnsi="Arial"/>
          <w:b w:val="1"/>
        </w:rPr>
      </w:pPr>
    </w:p>
    <w:p>
      <w:pPr>
        <w:widowControl w:val="0"/>
        <w:ind w:right="99"/>
        <w:jc w:val="center"/>
        <w:rPr>
          <w:rFonts w:ascii="Arial" w:hAnsi="Arial"/>
          <w:b w:val="1"/>
          <w:i w:val="1"/>
          <w:highlight w:val="darkGreen"/>
        </w:rPr>
      </w:pPr>
      <w:r>
        <w:rPr>
          <w:rFonts w:ascii="Arial" w:hAnsi="Arial"/>
          <w:b w:val="1"/>
          <w:i w:val="1"/>
          <w:highlight w:val="darkGreen"/>
        </w:rPr>
        <w:t>(Modelo)</w:t>
      </w:r>
    </w:p>
    <w:p>
      <w:pPr>
        <w:spacing w:lineRule="auto" w:line="288" w:beforeAutospacing="0" w:afterAutospacing="0"/>
        <w:jc w:val="center"/>
        <w:rPr>
          <w:rFonts w:ascii="Arial" w:hAnsi="Arial"/>
          <w:b w:val="1"/>
          <w:i w:val="1"/>
        </w:rPr>
      </w:pPr>
      <w:r>
        <w:rPr>
          <w:rFonts w:ascii="Arial" w:hAnsi="Arial"/>
          <w:b w:val="1"/>
          <w:i w:val="1"/>
          <w:highlight w:val="darkGreen"/>
        </w:rPr>
        <w:t xml:space="preserve"> (Papel Timbrado da Empresa Licitante)</w:t>
      </w:r>
    </w:p>
    <w:p>
      <w:pPr>
        <w:jc w:val="center"/>
        <w:rPr>
          <w:rFonts w:ascii="Arial" w:hAnsi="Arial"/>
          <w:b w:val="1"/>
          <w:u w:val="single"/>
        </w:rPr>
      </w:pPr>
    </w:p>
    <w:p>
      <w:pPr>
        <w:jc w:val="center"/>
        <w:rPr>
          <w:rFonts w:ascii="Arial" w:hAnsi="Arial"/>
          <w:b w:val="1"/>
          <w:u w:val="single"/>
        </w:rPr>
      </w:pPr>
      <w:r>
        <w:rPr>
          <w:rFonts w:ascii="Arial" w:hAnsi="Arial"/>
          <w:b w:val="1"/>
          <w:u w:val="single"/>
        </w:rPr>
        <w:t>PROPOSTA DE PREÇOS</w:t>
      </w:r>
    </w:p>
    <w:p>
      <w:pPr>
        <w:rPr>
          <w:rFonts w:ascii="Arial" w:hAnsi="Arial"/>
          <w:b w:val="1"/>
        </w:rPr>
      </w:pPr>
    </w:p>
    <w:p>
      <w:pPr>
        <w:rPr>
          <w:rFonts w:ascii="Arial" w:hAnsi="Arial"/>
          <w:b w:val="1"/>
        </w:rPr>
      </w:pPr>
      <w:r>
        <w:rPr>
          <w:rFonts w:ascii="Arial" w:hAnsi="Arial"/>
          <w:b w:val="1"/>
        </w:rPr>
        <w:t>Ao(À) Sr(a). Pregoeiro(a)</w:t>
      </w:r>
    </w:p>
    <w:p>
      <w:pPr>
        <w:rPr>
          <w:rFonts w:ascii="Arial" w:hAnsi="Arial"/>
          <w:b w:val="1"/>
        </w:rPr>
      </w:pPr>
      <w:r>
        <w:rPr>
          <w:rFonts w:ascii="Arial" w:hAnsi="Arial"/>
          <w:b w:val="1"/>
        </w:rPr>
        <w:t>Prefeitura Municipal de Tuneiras do Oeste/PR</w:t>
      </w:r>
    </w:p>
    <w:p>
      <w:pPr>
        <w:ind w:firstLine="1134"/>
        <w:rPr>
          <w:rFonts w:ascii="Arial" w:hAnsi="Arial"/>
        </w:rPr>
      </w:pPr>
    </w:p>
    <w:p>
      <w:pPr>
        <w:rPr>
          <w:rFonts w:ascii="Arial" w:hAnsi="Arial"/>
        </w:rPr>
      </w:pPr>
      <w:r>
        <w:rPr>
          <w:rFonts w:ascii="Arial" w:hAnsi="Arial"/>
        </w:rPr>
        <w:t xml:space="preserve">Pela presente e na melhor forma de direito, a empresa ___________________________, inscrita no CNPJ nº ______________, apresenta à vossa apreciação a Proposta de Preços, atendendo ao contido no Edital do </w:t>
      </w:r>
      <w:r>
        <w:rPr>
          <w:rFonts w:ascii="Arial" w:hAnsi="Arial"/>
          <w:b w:val="1"/>
        </w:rPr>
        <w:t>PREGÃO ELETRÔNICO Nº 038/2026</w:t>
      </w:r>
      <w:r>
        <w:rPr>
          <w:rFonts w:ascii="Arial" w:hAnsi="Arial"/>
        </w:rPr>
        <w:t xml:space="preserve">, </w:t>
      </w:r>
      <w:bookmarkStart w:id="19" w:name="_Hlk190351616"/>
      <w:r>
        <w:rPr>
          <w:rFonts w:ascii="Arial" w:hAnsi="Arial"/>
        </w:rPr>
        <w:t>promovido pelo Município de Tuneiras do Oeste, Estado do Paraná</w:t>
      </w:r>
      <w:bookmarkEnd w:id="19"/>
      <w:r>
        <w:rPr>
          <w:rFonts w:ascii="Arial" w:hAnsi="Arial"/>
        </w:rPr>
        <w:t xml:space="preserve">, para a </w:t>
      </w:r>
      <w:r>
        <w:rPr>
          <w:rFonts w:ascii="Arial" w:hAnsi="Arial"/>
          <w:b w:val="1"/>
        </w:rPr>
        <w:t>CONTRATAÇÃO DE EMPRESA ESPECIALIZADA NA ORGANIZAÇÃO E EXECUÇÃO DE VIAGEM TURÍSTICA, NO ÂMBITO DO PROGRAMA PARANÁ MAIS VIAGEM, CONFORME TERMO DE CONVÊNIO Nº 033/2026, CELEBRADO COM A SECRETARIA DE ESTADO DO TURISMO – SETU/PR, PARA ATENDIMENTO AOS ALUNOS DO ENSINO MÉDIO DO MUNICÍPIO DE TUNEIRAS DO OESTE–PR</w:t>
      </w:r>
      <w:r>
        <w:rPr>
          <w:rFonts w:ascii="Arial" w:hAnsi="Arial"/>
        </w:rPr>
        <w:t>, objeto do presente certame licitatório, em LOTE ÚNICO, conforme os termos do Edital e do Termo de Referência:</w:t>
      </w:r>
    </w:p>
    <w:p>
      <w:pPr>
        <w:rPr>
          <w:rFonts w:ascii="Arial" w:hAnsi="Arial"/>
        </w:rPr>
      </w:pPr>
    </w:p>
    <w:tbl>
      <w:tblPr>
        <w:tblW w:w="8818" w:type="dxa"/>
        <w:tblInd w:w="108"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ook w:val="04A0"/>
      </w:tblPr>
      <w:tblGrid/>
      <w:tr>
        <w:tc>
          <w:tcPr>
            <w:tcW w:w="880" w:type="dxa"/>
            <w:tcBorders>
              <w:top w:val="single" w:sz="4" w:space="0" w:shadow="0" w:frame="0"/>
              <w:left w:val="single" w:sz="4" w:space="0" w:shadow="0" w:frame="0"/>
              <w:bottom w:val="single" w:sz="4" w:space="0" w:shadow="0" w:frame="0"/>
              <w:right w:val="single" w:sz="4" w:space="0" w:shadow="0" w:frame="0"/>
            </w:tcBorders>
            <w:vAlign w:val="center"/>
            <w:hideMark/>
          </w:tcPr>
          <w:p>
            <w:pPr>
              <w:jc w:val="center"/>
              <w:rPr>
                <w:rFonts w:ascii="Arial" w:hAnsi="Arial"/>
                <w:b w:val="1"/>
              </w:rPr>
            </w:pPr>
            <w:r>
              <w:rPr>
                <w:rFonts w:ascii="Arial" w:hAnsi="Arial"/>
                <w:b w:val="1"/>
              </w:rPr>
              <w:t>Lote 1</w:t>
            </w:r>
          </w:p>
        </w:tc>
        <w:tc>
          <w:tcPr>
            <w:tcW w:w="3118" w:type="dxa"/>
            <w:tcBorders>
              <w:top w:val="single" w:sz="4" w:space="0" w:shadow="0" w:frame="0"/>
              <w:left w:val="single" w:sz="4" w:space="0" w:shadow="0" w:frame="0"/>
              <w:bottom w:val="single" w:sz="4" w:space="0" w:shadow="0" w:frame="0"/>
              <w:right w:val="single" w:sz="4" w:space="0" w:shadow="0" w:frame="0"/>
            </w:tcBorders>
            <w:vAlign w:val="center"/>
            <w:hideMark/>
          </w:tcPr>
          <w:p>
            <w:pPr>
              <w:jc w:val="center"/>
              <w:rPr>
                <w:rFonts w:ascii="Arial" w:hAnsi="Arial"/>
                <w:b w:val="1"/>
              </w:rPr>
            </w:pPr>
            <w:r>
              <w:rPr>
                <w:rFonts w:ascii="Arial" w:hAnsi="Arial"/>
                <w:b w:val="1"/>
              </w:rPr>
              <w:t>Descrição</w:t>
            </w:r>
          </w:p>
        </w:tc>
        <w:tc>
          <w:tcPr>
            <w:tcW w:w="1701" w:type="dxa"/>
            <w:tcBorders>
              <w:top w:val="single" w:sz="4" w:space="0" w:shadow="0" w:frame="0"/>
              <w:left w:val="single" w:sz="4" w:space="0" w:shadow="0" w:frame="0"/>
              <w:bottom w:val="single" w:sz="4" w:space="0" w:shadow="0" w:frame="0"/>
              <w:right w:val="single" w:sz="4" w:space="0" w:shadow="0" w:frame="0"/>
            </w:tcBorders>
            <w:vAlign w:val="center"/>
            <w:hideMark/>
          </w:tcPr>
          <w:p>
            <w:pPr>
              <w:jc w:val="center"/>
              <w:rPr>
                <w:rFonts w:ascii="Arial" w:hAnsi="Arial"/>
                <w:b w:val="1"/>
              </w:rPr>
            </w:pPr>
            <w:r>
              <w:rPr>
                <w:rFonts w:ascii="Arial" w:hAnsi="Arial"/>
                <w:b w:val="1"/>
              </w:rPr>
              <w:t>Unidade</w:t>
            </w:r>
          </w:p>
        </w:tc>
        <w:tc>
          <w:tcPr>
            <w:tcW w:w="3119" w:type="dxa"/>
            <w:tcBorders>
              <w:top w:val="single" w:sz="4" w:space="0" w:shadow="0" w:frame="0"/>
              <w:left w:val="single" w:sz="4" w:space="0" w:shadow="0" w:frame="0"/>
              <w:bottom w:val="single" w:sz="4" w:space="0" w:shadow="0" w:frame="0"/>
              <w:right w:val="single" w:sz="4" w:space="0" w:shadow="0" w:frame="0"/>
            </w:tcBorders>
            <w:vAlign w:val="center"/>
            <w:hideMark/>
          </w:tcPr>
          <w:p>
            <w:pPr>
              <w:jc w:val="center"/>
              <w:rPr>
                <w:rFonts w:ascii="Arial" w:hAnsi="Arial"/>
                <w:b w:val="1"/>
              </w:rPr>
            </w:pPr>
            <w:r>
              <w:rPr>
                <w:rFonts w:ascii="Arial" w:hAnsi="Arial"/>
                <w:b w:val="1"/>
              </w:rPr>
              <w:t xml:space="preserve">Valor Global </w:t>
            </w:r>
          </w:p>
        </w:tc>
      </w:tr>
      <w:tr>
        <w:tc>
          <w:tcPr>
            <w:tcW w:w="880" w:type="dxa"/>
            <w:tcBorders>
              <w:top w:val="single" w:sz="4" w:space="0" w:shadow="0" w:frame="0"/>
              <w:left w:val="single" w:sz="4" w:space="0" w:shadow="0" w:frame="0"/>
              <w:bottom w:val="single" w:sz="4" w:space="0" w:shadow="0" w:frame="0"/>
              <w:right w:val="single" w:sz="4" w:space="0" w:shadow="0" w:frame="0"/>
            </w:tcBorders>
            <w:vAlign w:val="center"/>
          </w:tcPr>
          <w:p>
            <w:pPr>
              <w:jc w:val="center"/>
              <w:rPr>
                <w:rFonts w:ascii="Arial" w:hAnsi="Arial"/>
              </w:rPr>
            </w:pPr>
            <w:r>
              <w:rPr>
                <w:rFonts w:ascii="Arial" w:hAnsi="Arial"/>
              </w:rPr>
              <w:t>1</w:t>
            </w:r>
          </w:p>
        </w:tc>
        <w:tc>
          <w:tcPr>
            <w:tcW w:w="3118" w:type="dxa"/>
            <w:tcBorders>
              <w:top w:val="single" w:sz="4" w:space="0" w:shadow="0" w:frame="0"/>
              <w:left w:val="single" w:sz="4" w:space="0" w:shadow="0" w:frame="0"/>
              <w:bottom w:val="single" w:sz="4" w:space="0" w:shadow="0" w:frame="0"/>
              <w:right w:val="single" w:sz="4" w:space="0" w:shadow="0" w:frame="0"/>
            </w:tcBorders>
            <w:vAlign w:val="center"/>
          </w:tcPr>
          <w:p>
            <w:pPr>
              <w:rPr>
                <w:rFonts w:ascii="Arial" w:hAnsi="Arial"/>
              </w:rPr>
            </w:pPr>
            <w:r>
              <w:rPr>
                <w:rFonts w:ascii="Arial" w:hAnsi="Arial"/>
              </w:rPr>
              <w:t>Empresa especializada na organização e execução de viagem turística</w:t>
            </w:r>
          </w:p>
        </w:tc>
        <w:tc>
          <w:tcPr>
            <w:tcW w:w="1701" w:type="dxa"/>
            <w:tcBorders>
              <w:top w:val="single" w:sz="4" w:space="0" w:shadow="0" w:frame="0"/>
              <w:left w:val="single" w:sz="4" w:space="0" w:shadow="0" w:frame="0"/>
              <w:bottom w:val="single" w:sz="4" w:space="0" w:shadow="0" w:frame="0"/>
              <w:right w:val="single" w:sz="4" w:space="0" w:shadow="0" w:frame="0"/>
            </w:tcBorders>
            <w:vAlign w:val="center"/>
          </w:tcPr>
          <w:p>
            <w:pPr>
              <w:jc w:val="center"/>
              <w:rPr>
                <w:rFonts w:ascii="Arial" w:hAnsi="Arial"/>
              </w:rPr>
            </w:pPr>
            <w:r>
              <w:rPr>
                <w:rFonts w:ascii="Arial" w:hAnsi="Arial"/>
              </w:rPr>
              <w:t>Global</w:t>
            </w:r>
          </w:p>
        </w:tc>
        <w:tc>
          <w:tcPr>
            <w:tcW w:w="3119" w:type="dxa"/>
            <w:tcBorders>
              <w:top w:val="single" w:sz="4" w:space="0" w:shadow="0" w:frame="0"/>
              <w:left w:val="single" w:sz="4" w:space="0" w:shadow="0" w:frame="0"/>
              <w:bottom w:val="single" w:sz="4" w:space="0" w:shadow="0" w:frame="0"/>
              <w:right w:val="single" w:sz="4" w:space="0" w:shadow="0" w:frame="0"/>
            </w:tcBorders>
            <w:vAlign w:val="center"/>
          </w:tcPr>
          <w:p>
            <w:pPr>
              <w:jc w:val="center"/>
              <w:rPr>
                <w:rFonts w:ascii="Arial" w:hAnsi="Arial"/>
              </w:rPr>
            </w:pPr>
          </w:p>
        </w:tc>
      </w:tr>
      <w:tr>
        <w:tc>
          <w:tcPr>
            <w:tcW w:w="880" w:type="dxa"/>
            <w:tcBorders>
              <w:top w:val="single" w:sz="4" w:space="0" w:shadow="0" w:frame="0"/>
              <w:left w:val="single" w:sz="4" w:space="0" w:shadow="0" w:frame="0"/>
              <w:bottom w:val="single" w:sz="4" w:space="0" w:shadow="0" w:frame="0"/>
              <w:right w:val="single" w:sz="4" w:space="0" w:shadow="0" w:frame="0"/>
            </w:tcBorders>
            <w:vAlign w:val="center"/>
          </w:tcPr>
          <w:p>
            <w:pPr>
              <w:jc w:val="center"/>
              <w:rPr>
                <w:rFonts w:ascii="Arial" w:hAnsi="Arial"/>
              </w:rPr>
            </w:pPr>
          </w:p>
        </w:tc>
        <w:tc>
          <w:tcPr>
            <w:tcW w:w="3118" w:type="dxa"/>
            <w:tcBorders>
              <w:top w:val="single" w:sz="4" w:space="0" w:shadow="0" w:frame="0"/>
              <w:left w:val="single" w:sz="4" w:space="0" w:shadow="0" w:frame="0"/>
              <w:bottom w:val="single" w:sz="4" w:space="0" w:shadow="0" w:frame="0"/>
              <w:right w:val="single" w:sz="4" w:space="0" w:shadow="0" w:frame="0"/>
            </w:tcBorders>
            <w:vAlign w:val="center"/>
          </w:tcPr>
          <w:p>
            <w:pPr>
              <w:rPr>
                <w:rFonts w:ascii="Arial" w:hAnsi="Arial"/>
              </w:rPr>
            </w:pPr>
          </w:p>
        </w:tc>
        <w:tc>
          <w:tcPr>
            <w:tcW w:w="1701" w:type="dxa"/>
            <w:tcBorders>
              <w:top w:val="single" w:sz="4" w:space="0" w:shadow="0" w:frame="0"/>
              <w:left w:val="single" w:sz="4" w:space="0" w:shadow="0" w:frame="0"/>
              <w:bottom w:val="single" w:sz="4" w:space="0" w:shadow="0" w:frame="0"/>
              <w:right w:val="single" w:sz="4" w:space="0" w:shadow="0" w:frame="0"/>
            </w:tcBorders>
            <w:vAlign w:val="center"/>
          </w:tcPr>
          <w:p>
            <w:pPr>
              <w:jc w:val="center"/>
              <w:rPr>
                <w:rFonts w:ascii="Arial" w:hAnsi="Arial"/>
              </w:rPr>
            </w:pPr>
          </w:p>
        </w:tc>
        <w:tc>
          <w:tcPr>
            <w:tcW w:w="3119" w:type="dxa"/>
            <w:tcBorders>
              <w:top w:val="single" w:sz="4" w:space="0" w:shadow="0" w:frame="0"/>
              <w:left w:val="single" w:sz="4" w:space="0" w:shadow="0" w:frame="0"/>
              <w:bottom w:val="single" w:sz="4" w:space="0" w:shadow="0" w:frame="0"/>
              <w:right w:val="single" w:sz="4" w:space="0" w:shadow="0" w:frame="0"/>
            </w:tcBorders>
            <w:vAlign w:val="center"/>
          </w:tcPr>
          <w:p>
            <w:pPr>
              <w:jc w:val="center"/>
              <w:rPr>
                <w:rFonts w:ascii="Arial" w:hAnsi="Arial"/>
              </w:rPr>
            </w:pPr>
          </w:p>
        </w:tc>
      </w:tr>
    </w:tbl>
    <w:p>
      <w:pPr>
        <w:rPr>
          <w:rFonts w:ascii="Arial" w:hAnsi="Arial"/>
        </w:rPr>
      </w:pPr>
    </w:p>
    <w:p>
      <w:pPr>
        <w:rPr>
          <w:rFonts w:ascii="Arial" w:hAnsi="Arial"/>
          <w:color w:val="000000"/>
        </w:rPr>
      </w:pPr>
      <w:r>
        <w:rPr>
          <w:rFonts w:ascii="Arial" w:hAnsi="Arial"/>
        </w:rPr>
        <w:t>Esclarecemos que, na composição do preço global ofertado, foram consideradas todas as condições, quantidades, especificações, roteiro, datas, serviços envolvidos e demais exigências estabelecidas no Anexo I – Termo de Referência, comprometendo-nos a cumprir fielmente todas as condições previstas no Edital e seus anexos</w:t>
      </w:r>
      <w:r>
        <w:rPr>
          <w:rFonts w:ascii="Arial" w:hAnsi="Arial"/>
          <w:color w:val="000000"/>
        </w:rPr>
        <w:t>.</w:t>
      </w:r>
    </w:p>
    <w:p>
      <w:pPr>
        <w:rPr>
          <w:rFonts w:ascii="Arial" w:hAnsi="Arial"/>
        </w:rPr>
      </w:pPr>
    </w:p>
    <w:p>
      <w:pPr>
        <w:rPr>
          <w:rFonts w:ascii="Arial" w:hAnsi="Arial"/>
        </w:rPr>
      </w:pPr>
      <w:r>
        <w:rPr>
          <w:rFonts w:ascii="Arial" w:hAnsi="Arial"/>
        </w:rPr>
        <w:t>Atestamos, também, que no valor proposto estão incluídos todos os custos operacionais, encargos previdenciários, trabalhistas, tributários, comerciais e quaisquer outros que incidam direta ou indiretamente na execução dos serviços.</w:t>
      </w:r>
    </w:p>
    <w:p>
      <w:pPr>
        <w:rPr>
          <w:rFonts w:ascii="Arial" w:hAnsi="Arial"/>
        </w:rPr>
      </w:pPr>
    </w:p>
    <w:p>
      <w:pPr>
        <w:rPr>
          <w:rFonts w:ascii="Arial" w:hAnsi="Arial"/>
          <w:b w:val="1"/>
          <w:i w:val="1"/>
        </w:rPr>
      </w:pPr>
      <w:r>
        <w:rPr>
          <w:rFonts w:ascii="Arial" w:hAnsi="Arial"/>
        </w:rPr>
        <w:t xml:space="preserve">Validade da proposta: ___________. </w:t>
      </w:r>
      <w:r>
        <w:rPr>
          <w:rFonts w:ascii="Arial" w:hAnsi="Arial"/>
          <w:b w:val="1"/>
          <w:i w:val="1"/>
          <w:highlight w:val="darkGreen"/>
        </w:rPr>
        <w:t>(mínimo de 60 dias)</w:t>
      </w:r>
    </w:p>
    <w:p>
      <w:pPr>
        <w:rPr>
          <w:rFonts w:ascii="Arial" w:hAnsi="Arial"/>
          <w:b w:val="1"/>
        </w:rPr>
      </w:pPr>
    </w:p>
    <w:p>
      <w:pPr>
        <w:rPr>
          <w:rFonts w:ascii="Arial" w:hAnsi="Arial"/>
          <w:b w:val="1"/>
        </w:rPr>
      </w:pPr>
    </w:p>
    <w:p>
      <w:pPr>
        <w:rPr>
          <w:rFonts w:ascii="Arial" w:hAnsi="Arial"/>
          <w:b w:val="1"/>
        </w:rPr>
      </w:pPr>
      <w:r>
        <w:rPr>
          <w:rFonts w:ascii="Arial" w:hAnsi="Arial"/>
          <w:b w:val="1"/>
        </w:rPr>
        <w:t>Responsável pela assinatura do contrato:</w:t>
      </w:r>
    </w:p>
    <w:p>
      <w:pPr>
        <w:rPr>
          <w:rFonts w:ascii="Arial" w:hAnsi="Arial"/>
        </w:rPr>
      </w:pPr>
      <w:r>
        <w:rPr>
          <w:rFonts w:ascii="Arial" w:hAnsi="Arial"/>
        </w:rPr>
        <w:t>Nome completo:____________________________________________________________________</w:t>
      </w:r>
    </w:p>
    <w:p>
      <w:pPr>
        <w:rPr>
          <w:rFonts w:ascii="Arial" w:hAnsi="Arial"/>
        </w:rPr>
      </w:pPr>
      <w:r>
        <w:rPr>
          <w:rFonts w:ascii="Arial" w:hAnsi="Arial"/>
        </w:rPr>
        <w:t>____________________________________ RG: ___________________ CPF: _________________</w:t>
      </w:r>
    </w:p>
    <w:p>
      <w:pPr>
        <w:rPr>
          <w:rFonts w:ascii="Arial" w:hAnsi="Arial"/>
        </w:rPr>
      </w:pPr>
    </w:p>
    <w:p>
      <w:pPr>
        <w:rPr>
          <w:rFonts w:ascii="Arial" w:hAnsi="Arial"/>
          <w:b w:val="1"/>
        </w:rPr>
      </w:pPr>
      <w:r>
        <w:rPr>
          <w:rFonts w:ascii="Arial" w:hAnsi="Arial"/>
          <w:b w:val="1"/>
        </w:rPr>
        <w:t>Contato:</w:t>
      </w:r>
    </w:p>
    <w:p>
      <w:pPr>
        <w:rPr>
          <w:rFonts w:ascii="Arial" w:hAnsi="Arial"/>
        </w:rPr>
      </w:pPr>
      <w:r>
        <w:rPr>
          <w:rFonts w:ascii="Arial" w:hAnsi="Arial"/>
        </w:rPr>
        <w:t xml:space="preserve">Telefone: (   ) ______-______; Celular: (   ) _______-______; e-mail: __________________________</w:t>
      </w:r>
    </w:p>
    <w:p>
      <w:pPr>
        <w:rPr>
          <w:rFonts w:ascii="Arial" w:hAnsi="Arial"/>
        </w:rPr>
      </w:pPr>
    </w:p>
    <w:p>
      <w:pPr>
        <w:rPr>
          <w:rFonts w:ascii="Arial" w:hAnsi="Arial"/>
          <w:b w:val="1"/>
        </w:rPr>
      </w:pPr>
      <w:r>
        <w:rPr>
          <w:rFonts w:ascii="Arial" w:hAnsi="Arial"/>
          <w:b w:val="1"/>
        </w:rPr>
        <w:t>Dados Bancários:</w:t>
      </w:r>
    </w:p>
    <w:p>
      <w:pPr>
        <w:rPr>
          <w:rFonts w:ascii="Arial" w:hAnsi="Arial"/>
        </w:rPr>
      </w:pPr>
      <w:r>
        <w:rPr>
          <w:rFonts w:ascii="Arial" w:hAnsi="Arial"/>
        </w:rPr>
        <w:t>Banco: ____________________ Agência n°: __________________ Conta n°: __________________</w:t>
      </w:r>
    </w:p>
    <w:p>
      <w:pPr>
        <w:rPr>
          <w:rFonts w:ascii="Arial" w:hAnsi="Arial"/>
        </w:rPr>
      </w:pPr>
    </w:p>
    <w:p>
      <w:pPr>
        <w:ind w:firstLine="1134"/>
        <w:rPr>
          <w:rFonts w:ascii="Arial" w:hAnsi="Arial"/>
          <w:i w:val="1"/>
        </w:rPr>
      </w:pPr>
      <w:r>
        <w:rPr>
          <w:rFonts w:ascii="Arial" w:hAnsi="Arial"/>
          <w:i w:val="1"/>
          <w:highlight w:val="darkGreen"/>
        </w:rPr>
        <w:t>(Local e data)</w:t>
      </w:r>
    </w:p>
    <w:p>
      <w:pPr>
        <w:spacing w:lineRule="auto" w:line="360" w:beforeAutospacing="0" w:afterAutospacing="0"/>
        <w:rPr>
          <w:rFonts w:ascii="Arial" w:hAnsi="Arial"/>
        </w:rPr>
      </w:pPr>
      <w:r>
        <w:rPr>
          <w:rFonts w:ascii="Arial" w:hAnsi="Arial"/>
        </w:rPr>
        <w:t xml:space="preserve">                          ________________________________________</w:t>
      </w:r>
    </w:p>
    <w:p>
      <w:pPr>
        <w:spacing w:lineRule="auto" w:line="360" w:beforeAutospacing="0" w:afterAutospacing="0"/>
        <w:jc w:val="center"/>
        <w:rPr>
          <w:rFonts w:ascii="Arial" w:hAnsi="Arial"/>
          <w:i w:val="1"/>
        </w:rPr>
      </w:pPr>
      <w:r>
        <w:rPr>
          <w:rFonts w:ascii="Arial" w:hAnsi="Arial"/>
          <w:i w:val="1"/>
          <w:highlight w:val="darkGreen"/>
        </w:rPr>
        <w:t>(Nome e Assinatura do Representante Legal da Empresa Licitante)</w:t>
      </w:r>
    </w:p>
    <w:p>
      <w:pPr>
        <w:widowControl w:val="0"/>
        <w:ind w:right="99"/>
        <w:rPr>
          <w:rFonts w:ascii="Arial" w:hAnsi="Arial"/>
          <w:i w:val="1"/>
        </w:rPr>
      </w:pPr>
    </w:p>
    <w:p>
      <w:pPr>
        <w:widowControl w:val="0"/>
        <w:ind w:right="99"/>
        <w:rPr>
          <w:rFonts w:ascii="Arial" w:hAnsi="Arial"/>
          <w:b w:val="1"/>
          <w:u w:val="single"/>
        </w:rPr>
      </w:pPr>
      <w:r>
        <w:rPr>
          <w:rFonts w:ascii="Arial" w:hAnsi="Arial"/>
          <w:i w:val="1"/>
        </w:rPr>
        <w:t xml:space="preserve">                                                                         </w:t>
      </w:r>
      <w:r>
        <w:rPr>
          <w:rFonts w:ascii="Arial" w:hAnsi="Arial"/>
          <w:b w:val="1"/>
          <w:u w:val="single"/>
        </w:rPr>
        <w:t>ANEXO IV</w:t>
      </w:r>
    </w:p>
    <w:p>
      <w:pPr>
        <w:widowControl w:val="0"/>
        <w:ind w:right="99"/>
        <w:jc w:val="center"/>
        <w:rPr>
          <w:rFonts w:ascii="Arial" w:hAnsi="Arial"/>
          <w:b w:val="1"/>
        </w:rPr>
      </w:pPr>
    </w:p>
    <w:p>
      <w:pPr>
        <w:widowControl w:val="0"/>
        <w:ind w:right="99"/>
        <w:jc w:val="center"/>
        <w:rPr>
          <w:rFonts w:ascii="Arial" w:hAnsi="Arial"/>
          <w:b w:val="1"/>
        </w:rPr>
      </w:pPr>
      <w:r>
        <w:rPr>
          <w:rFonts w:ascii="Arial" w:hAnsi="Arial"/>
          <w:b w:val="1"/>
        </w:rPr>
        <w:t>MINUTA DO CONTRATO</w:t>
      </w:r>
    </w:p>
    <w:p>
      <w:pPr>
        <w:ind w:hanging="27"/>
        <w:rPr>
          <w:rFonts w:ascii="Arial" w:hAnsi="Arial"/>
          <w:b w:val="1"/>
        </w:rPr>
      </w:pPr>
    </w:p>
    <w:p>
      <w:pPr>
        <w:rPr>
          <w:rFonts w:ascii="Arial" w:hAnsi="Arial"/>
          <w:b w:val="1"/>
        </w:rPr>
      </w:pPr>
      <w:r>
        <w:rPr>
          <w:rFonts w:ascii="Arial" w:hAnsi="Arial"/>
          <w:b w:val="1"/>
        </w:rPr>
        <w:t>CONTRATO ADMINISTRATIVO QUE CELEBRAM ENTRE SI O MUNICÍPIO DE TUNEIRAS DO OESTE E A EMPRESA ___________.</w:t>
      </w:r>
    </w:p>
    <w:p>
      <w:pPr>
        <w:jc w:val="center"/>
        <w:rPr>
          <w:rFonts w:ascii="Arial" w:hAnsi="Arial"/>
          <w:b w:val="1"/>
        </w:rPr>
      </w:pPr>
    </w:p>
    <w:p>
      <w:pPr>
        <w:jc w:val="center"/>
        <w:rPr>
          <w:rFonts w:ascii="Arial" w:hAnsi="Arial"/>
          <w:b w:val="1"/>
        </w:rPr>
      </w:pPr>
      <w:r>
        <w:rPr>
          <w:rFonts w:ascii="Arial" w:hAnsi="Arial"/>
          <w:b w:val="1"/>
        </w:rPr>
        <w:t>PREGÃO ELETRÔNICO</w:t>
        <w:tab/>
        <w:tab/>
        <w:t>Nº 038/2026</w:t>
      </w:r>
    </w:p>
    <w:p>
      <w:pPr>
        <w:jc w:val="center"/>
        <w:rPr>
          <w:rFonts w:ascii="Arial" w:hAnsi="Arial"/>
          <w:b w:val="1"/>
        </w:rPr>
      </w:pPr>
      <w:r>
        <w:rPr>
          <w:rFonts w:ascii="Arial" w:hAnsi="Arial"/>
          <w:b w:val="1"/>
        </w:rPr>
        <w:t xml:space="preserve">PROCESSO ADMINISTRATIVO </w:t>
        <w:tab/>
        <w:t>Nº 067/2026</w:t>
      </w:r>
    </w:p>
    <w:p>
      <w:pPr>
        <w:jc w:val="center"/>
        <w:rPr>
          <w:rFonts w:ascii="Arial" w:hAnsi="Arial"/>
          <w:b w:val="1"/>
        </w:rPr>
      </w:pPr>
      <w:r>
        <w:rPr>
          <w:rFonts w:ascii="Arial" w:hAnsi="Arial"/>
          <w:b w:val="1"/>
        </w:rPr>
        <w:t xml:space="preserve">CONTRATO ADMINISTRATIVO </w:t>
        <w:tab/>
        <w:t>Nº ___/2026</w:t>
      </w:r>
    </w:p>
    <w:p>
      <w:pPr>
        <w:jc w:val="center"/>
        <w:rPr>
          <w:rFonts w:ascii="Arial" w:hAnsi="Arial"/>
          <w:b w:val="1"/>
        </w:rPr>
      </w:pPr>
    </w:p>
    <w:p>
      <w:pPr>
        <w:ind w:right="99"/>
        <w:rPr>
          <w:rFonts w:ascii="Arial" w:hAnsi="Arial"/>
        </w:rPr>
      </w:pPr>
      <w:r>
        <w:rPr>
          <w:rFonts w:ascii="Arial" w:hAnsi="Arial"/>
        </w:rPr>
        <w:t>O</w:t>
      </w:r>
      <w:r>
        <w:rPr>
          <w:rFonts w:ascii="Arial" w:hAnsi="Arial"/>
          <w:b w:val="1"/>
        </w:rPr>
        <w:t xml:space="preserve"> MUNICÍPIO DE TUNEIRAS DO OESTE</w:t>
      </w:r>
      <w:r>
        <w:rPr>
          <w:rFonts w:ascii="Arial" w:hAnsi="Arial"/>
        </w:rPr>
        <w:t xml:space="preserve">, pessoa jurídica de direito público interno, com sede à Rua Santa Catarina, 409, Centro, Paço Municipal, nesta cidade, inscrita no CNPJ/MF sob o nº 76.247.329/0001-13, neste ato representado pelo Prefeito Municipal, Guerino Mendonça dos Santos, brasileiro, portador da CI/RG nº 6.058.981-0 SSP/PR, inscrito no CPF/MF nº 883.782.099-20,, doravante denominado </w:t>
      </w:r>
      <w:r>
        <w:rPr>
          <w:rFonts w:ascii="Arial" w:hAnsi="Arial"/>
          <w:b w:val="1"/>
        </w:rPr>
        <w:t>CONTRATANTE</w:t>
      </w:r>
      <w:r>
        <w:rPr>
          <w:rFonts w:ascii="Arial" w:hAnsi="Arial"/>
        </w:rPr>
        <w:t xml:space="preserve">, e a empresa _________________________, inscrita no CNPJ/MF sob o nº _________________________, com estabelecimento à _________________________, na cidade de _________________________, com telefone de contato (xx)xxxx-xxxx, representada neste ato por _________________________, (nacionalidade), (estado civil), (profissão), portador(a) da CI/RG nº __________ (órgão expedidor), inscrito no CPF/MF nº _______________, doravante denominada </w:t>
      </w:r>
      <w:r>
        <w:rPr>
          <w:rFonts w:ascii="Arial" w:hAnsi="Arial"/>
          <w:b w:val="1"/>
        </w:rPr>
        <w:t>CONTRATADA</w:t>
      </w:r>
      <w:r>
        <w:rPr>
          <w:rFonts w:ascii="Arial" w:hAnsi="Arial"/>
        </w:rPr>
        <w:t>, perante as testemunhas abaixo firmadas, pactuam o presente contrato pelas Cláusulas e condições seguintes:</w:t>
      </w:r>
    </w:p>
    <w:p>
      <w:pPr>
        <w:ind w:right="99"/>
        <w:rPr>
          <w:rFonts w:ascii="Arial" w:hAnsi="Arial"/>
        </w:rPr>
      </w:pPr>
    </w:p>
    <w:p>
      <w:pPr>
        <w:ind w:right="99"/>
        <w:rPr>
          <w:rFonts w:ascii="Arial" w:hAnsi="Arial"/>
        </w:rPr>
      </w:pPr>
      <w:r>
        <w:rPr>
          <w:rFonts w:ascii="Arial" w:hAnsi="Arial"/>
          <w:b w:val="1"/>
        </w:rPr>
        <w:t>CLÁUSULA PRIMEIRA - FUNDAMENTAÇÃO:</w:t>
      </w:r>
      <w:r>
        <w:rPr>
          <w:rFonts w:ascii="Arial" w:hAnsi="Arial"/>
        </w:rPr>
        <w:t xml:space="preserve"> O presente </w:t>
      </w:r>
      <w:r>
        <w:rPr>
          <w:rFonts w:ascii="Arial" w:hAnsi="Arial"/>
          <w:b w:val="1"/>
        </w:rPr>
        <w:t>CONTRATO</w:t>
      </w:r>
      <w:r>
        <w:rPr>
          <w:rFonts w:ascii="Arial" w:hAnsi="Arial"/>
        </w:rPr>
        <w:t xml:space="preserve"> é celebrado com fundamento no </w:t>
      </w:r>
      <w:r>
        <w:rPr>
          <w:rFonts w:ascii="Arial" w:hAnsi="Arial"/>
          <w:b w:val="1"/>
          <w:caps w:val="1"/>
        </w:rPr>
        <w:t>Pregão eletrônico n° 038/2026</w:t>
      </w:r>
      <w:r>
        <w:rPr>
          <w:rFonts w:ascii="Arial" w:hAnsi="Arial"/>
        </w:rPr>
        <w:t xml:space="preserve"> </w:t>
      </w:r>
      <w:r>
        <w:rPr>
          <w:rFonts w:ascii="Arial" w:hAnsi="Arial"/>
          <w:b w:val="1"/>
        </w:rPr>
        <w:t>(PROCESSO ADMINISTRATIVO Nº 067/2026)</w:t>
      </w:r>
      <w:r>
        <w:rPr>
          <w:rFonts w:ascii="Arial" w:hAnsi="Arial"/>
        </w:rPr>
        <w:t xml:space="preserve">, cuja celebração foi autorizada pelo despacho de homologação datado de </w:t>
      </w:r>
      <w:r>
        <w:rPr>
          <w:rFonts w:ascii="Arial" w:hAnsi="Arial"/>
          <w:b w:val="1"/>
        </w:rPr>
        <w:t>__/__/2026</w:t>
      </w:r>
      <w:r>
        <w:rPr>
          <w:rFonts w:ascii="Arial" w:hAnsi="Arial"/>
        </w:rPr>
        <w:t>, que integram o presente e na Lei nº 14.133/2021, sem prejuízo das demais legislações aplicáveis ao caso.</w:t>
      </w:r>
    </w:p>
    <w:p>
      <w:pPr>
        <w:ind w:firstLine="1134" w:right="99"/>
        <w:rPr>
          <w:rFonts w:ascii="Arial" w:hAnsi="Arial"/>
        </w:rPr>
      </w:pPr>
    </w:p>
    <w:p>
      <w:pPr>
        <w:rPr>
          <w:rFonts w:ascii="Arial" w:hAnsi="Arial"/>
        </w:rPr>
      </w:pPr>
      <w:r>
        <w:rPr>
          <w:rFonts w:ascii="Arial" w:hAnsi="Arial"/>
          <w:b w:val="1"/>
        </w:rPr>
        <w:t>CLÁUSULA SEGUNDA – OBJETO:</w:t>
      </w:r>
      <w:r>
        <w:rPr>
          <w:rFonts w:ascii="Arial" w:hAnsi="Arial"/>
        </w:rPr>
        <w:t xml:space="preserve"> A CONTRATADA se obriga à execução integral dos serviços objeto deste Contrato, conforme especificações, quantitativos, condições e demais exigências estabelecidas no Edital e no Termo de Referência.  </w:t>
      </w:r>
      <w:r>
        <w:rPr>
          <w:rFonts w:ascii="Arial" w:hAnsi="Arial"/>
          <w:b w:val="1"/>
        </w:rPr>
        <w:t>CONTRATAÇÃO DE EMPRESA ESPECIALIZADA NA ORGANIZAÇÃO E EXECUÇÃO DE VIAGEM TURÍSTICA, NO ÂMBITO DO PROGRAMA PARANÁ MAIS VIAGEM, CONFORME TERMO DE CONVÊNIO Nº 033/2026, CELEBRADO COM A SECRETARIA DE ESTADO DO TURISMO – SETU/PR, PARA ATENDIMENTO AOS ALUNOS DO ENSINO MÉDIO DO MUNICÍPIO DE TUNEIRAS DO OESTE–PR</w:t>
      </w:r>
      <w:r>
        <w:rPr>
          <w:rFonts w:ascii="Arial" w:hAnsi="Arial"/>
        </w:rPr>
        <w:t>, conforme especificações, quantitativos, condições e demais exigências estabelecidas no Edital e no Termo de Referência.</w:t>
      </w:r>
    </w:p>
    <w:p>
      <w:pPr>
        <w:rPr>
          <w:rFonts w:ascii="Arial" w:hAnsi="Arial"/>
        </w:rPr>
      </w:pPr>
    </w:p>
    <w:p>
      <w:pPr>
        <w:rPr>
          <w:rFonts w:ascii="Arial" w:hAnsi="Arial"/>
          <w:b w:val="1"/>
        </w:rPr>
      </w:pPr>
      <w:r>
        <w:rPr>
          <w:rFonts w:ascii="Arial" w:hAnsi="Arial"/>
          <w:b w:val="1"/>
        </w:rPr>
        <w:t>PARÁGRAFO PRIMEIRO</w:t>
      </w:r>
    </w:p>
    <w:p>
      <w:pPr>
        <w:rPr>
          <w:rFonts w:ascii="Arial" w:hAnsi="Arial"/>
        </w:rPr>
      </w:pPr>
      <w:r>
        <w:rPr>
          <w:rFonts w:ascii="Arial" w:hAnsi="Arial"/>
        </w:rPr>
        <w:t>A execução do objeto compreenderá, conforme estabelecido no Termo de Referência, os serviços necessários à realização da viagem, incluindo transporte rodoviário, hospedagem, alimentação, seguro-viagem, serviços de guia de turismo e ingressos para as atrações previstas no roteiro.</w:t>
      </w:r>
    </w:p>
    <w:p>
      <w:pPr>
        <w:rPr>
          <w:rFonts w:ascii="Arial" w:hAnsi="Arial"/>
          <w:b w:val="1"/>
        </w:rPr>
      </w:pPr>
      <w:r>
        <w:rPr>
          <w:rFonts w:ascii="Arial" w:hAnsi="Arial"/>
          <w:b w:val="1"/>
        </w:rPr>
        <w:t>PARÁGRAFO SEGUNDO</w:t>
      </w:r>
    </w:p>
    <w:p>
      <w:pPr>
        <w:rPr>
          <w:rFonts w:ascii="Arial" w:hAnsi="Arial"/>
        </w:rPr>
      </w:pPr>
      <w:r>
        <w:rPr>
          <w:rFonts w:ascii="Arial" w:hAnsi="Arial"/>
        </w:rPr>
        <w:t>A viagem será realizada conforme roteiro, datas, horários, quantitativos e demais condições estabelecidas no Termo de Referência, observadas as alterações previamente autorizadas pela CONTRATANTE, quando justificadamente necessárias.</w:t>
      </w:r>
    </w:p>
    <w:p>
      <w:pPr>
        <w:rPr>
          <w:rFonts w:ascii="Arial" w:hAnsi="Arial"/>
          <w:b w:val="1"/>
        </w:rPr>
      </w:pPr>
      <w:r>
        <w:rPr>
          <w:rFonts w:ascii="Arial" w:hAnsi="Arial"/>
          <w:b w:val="1"/>
        </w:rPr>
        <w:t>PARÁGRAFO TERCEIRO</w:t>
      </w:r>
    </w:p>
    <w:p>
      <w:pPr>
        <w:rPr>
          <w:rFonts w:ascii="Arial" w:hAnsi="Arial"/>
        </w:rPr>
      </w:pPr>
      <w:r>
        <w:rPr>
          <w:rFonts w:ascii="Arial" w:hAnsi="Arial"/>
        </w:rPr>
        <w:t>A CONTRATADA será integralmente responsável pela organização e coordenação dos serviços contratados, inclusive aqueles executados por terceiros autorizados, sem prejuízo da responsabilidade direta da CONTRATADA perante o Município.</w:t>
      </w:r>
    </w:p>
    <w:p>
      <w:pPr>
        <w:rPr>
          <w:rFonts w:ascii="Arial" w:hAnsi="Arial"/>
        </w:rPr>
      </w:pPr>
    </w:p>
    <w:p>
      <w:pPr>
        <w:rPr>
          <w:rFonts w:ascii="Arial" w:hAnsi="Arial"/>
        </w:rPr>
      </w:pPr>
      <w:r>
        <w:rPr>
          <w:rFonts w:ascii="Arial" w:hAnsi="Arial"/>
          <w:b w:val="1"/>
        </w:rPr>
        <w:t xml:space="preserve">CLÁUSULA TERCEIRA – REGIME DE EXECUÇÃO: </w:t>
      </w:r>
      <w:r>
        <w:rPr>
          <w:rFonts w:ascii="Arial" w:hAnsi="Arial"/>
        </w:rPr>
        <w:t xml:space="preserve">O objeto será executado de forma </w:t>
      </w:r>
      <w:r>
        <w:rPr>
          <w:rFonts w:ascii="Arial" w:hAnsi="Arial"/>
          <w:b w:val="1"/>
        </w:rPr>
        <w:t>indireta</w:t>
      </w:r>
      <w:r>
        <w:rPr>
          <w:rFonts w:ascii="Arial" w:hAnsi="Arial"/>
        </w:rPr>
        <w:t xml:space="preserve">, mediante </w:t>
      </w:r>
      <w:r>
        <w:rPr>
          <w:rFonts w:ascii="Arial" w:hAnsi="Arial"/>
          <w:b w:val="1"/>
        </w:rPr>
        <w:t>empreitada por preço global</w:t>
      </w:r>
      <w:r>
        <w:rPr>
          <w:rFonts w:ascii="Arial" w:hAnsi="Arial"/>
        </w:rPr>
        <w:t>, considerando o conjunto de serviços necessários à organização e realização da viagem turística, conforme as condições estabelecidas no Termo de Referência e na proposta da CONTRATADA.</w:t>
      </w:r>
    </w:p>
    <w:p>
      <w:pPr>
        <w:rPr>
          <w:rFonts w:ascii="Arial" w:hAnsi="Arial"/>
          <w:b w:val="1"/>
        </w:rPr>
      </w:pPr>
      <w:r>
        <w:rPr>
          <w:rFonts w:ascii="Arial" w:hAnsi="Arial"/>
          <w:b w:val="1"/>
        </w:rPr>
        <w:t>PARÁGRAFO ÚNICO</w:t>
      </w:r>
    </w:p>
    <w:p>
      <w:pPr>
        <w:rPr>
          <w:rFonts w:ascii="Arial" w:hAnsi="Arial"/>
        </w:rPr>
      </w:pPr>
      <w:r>
        <w:rPr>
          <w:rFonts w:ascii="Arial" w:hAnsi="Arial"/>
        </w:rPr>
        <w:t>A execução ocorrerá conforme o roteiro e cronograma estabelecidos pela CONTRATANTE, não caracterizando fornecimento parcelado de bens, mas prestação de serviços integrados para a realização da viagem.</w:t>
      </w:r>
    </w:p>
    <w:p>
      <w:pPr>
        <w:rPr>
          <w:rFonts w:ascii="Arial" w:hAnsi="Arial"/>
        </w:rPr>
      </w:pPr>
    </w:p>
    <w:p>
      <w:pPr>
        <w:rPr>
          <w:rFonts w:ascii="Arial" w:hAnsi="Arial"/>
        </w:rPr>
      </w:pPr>
      <w:r>
        <w:rPr>
          <w:rFonts w:ascii="Arial" w:hAnsi="Arial"/>
          <w:b w:val="1"/>
        </w:rPr>
        <w:t>CLÁUSULA QUARTA – DO PREÇO E CONDIÇÕES DE PAGAMENTO: O valor total do presente Contrato é de</w:t>
      </w:r>
      <w:r>
        <w:rPr>
          <w:rFonts w:ascii="Arial" w:hAnsi="Arial"/>
        </w:rPr>
        <w:t xml:space="preserve"> </w:t>
      </w:r>
      <w:r>
        <w:rPr>
          <w:rFonts w:ascii="Arial" w:hAnsi="Arial"/>
          <w:b w:val="1"/>
        </w:rPr>
        <w:t>R$-_______ (valor por extenso)</w:t>
      </w:r>
      <w:r>
        <w:rPr>
          <w:rFonts w:ascii="Arial" w:hAnsi="Arial"/>
        </w:rPr>
        <w:t>, correspondente ao valor global adjudicado para a execução integral do objeto.</w:t>
      </w:r>
    </w:p>
    <w:p>
      <w:pPr>
        <w:rPr>
          <w:rFonts w:ascii="Arial" w:hAnsi="Arial"/>
        </w:rPr>
      </w:pPr>
    </w:p>
    <w:p>
      <w:pPr>
        <w:rPr>
          <w:rFonts w:ascii="Arial" w:hAnsi="Arial"/>
          <w:b w:val="1"/>
        </w:rPr>
      </w:pPr>
      <w:r>
        <w:rPr>
          <w:rFonts w:ascii="Arial" w:hAnsi="Arial"/>
          <w:b w:val="1"/>
        </w:rPr>
        <w:t>PARÁGRAFO PRIMEIRO</w:t>
      </w:r>
    </w:p>
    <w:p>
      <w:pPr>
        <w:rPr>
          <w:rFonts w:ascii="Arial" w:hAnsi="Arial"/>
        </w:rPr>
      </w:pPr>
      <w:r>
        <w:rPr>
          <w:rFonts w:ascii="Arial" w:hAnsi="Arial"/>
        </w:rPr>
        <w:t xml:space="preserve">O pagamento será efetuado pela Tesouraria do Município de Tuneiras do Oeste, em até </w:t>
      </w:r>
      <w:r>
        <w:rPr>
          <w:rFonts w:ascii="Arial" w:hAnsi="Arial"/>
          <w:b w:val="1"/>
        </w:rPr>
        <w:t>30 (trinta) dias corridos</w:t>
      </w:r>
      <w:r>
        <w:rPr>
          <w:rFonts w:ascii="Arial" w:hAnsi="Arial"/>
        </w:rPr>
        <w:t>, após a efetiva execução dos serviços e o respectivo recebimento pela CONTRATANTE, mediante apresentação da Nota Fiscal/Fatura devidamente atestada pelo responsável pela fiscalização do contrato.</w:t>
      </w:r>
    </w:p>
    <w:p>
      <w:pPr>
        <w:rPr>
          <w:rFonts w:ascii="Arial" w:hAnsi="Arial"/>
        </w:rPr>
      </w:pPr>
    </w:p>
    <w:p>
      <w:pPr>
        <w:rPr>
          <w:rFonts w:ascii="Arial" w:hAnsi="Arial"/>
          <w:b w:val="1"/>
        </w:rPr>
      </w:pPr>
      <w:r>
        <w:rPr>
          <w:rFonts w:ascii="Arial" w:hAnsi="Arial"/>
          <w:b w:val="1"/>
        </w:rPr>
        <w:t>PARÁGRAFO SEGUNDO</w:t>
      </w:r>
    </w:p>
    <w:p>
      <w:pPr>
        <w:rPr>
          <w:rFonts w:ascii="Arial" w:hAnsi="Arial"/>
        </w:rPr>
      </w:pPr>
      <w:r>
        <w:rPr>
          <w:rFonts w:ascii="Arial" w:hAnsi="Arial"/>
        </w:rPr>
        <w:t>Para fins de pagamento, a Nota Fiscal/Fatura deverá estar acompanhada dos documentos necessários à comprovação da regularidade da CONTRATADA, quando exigíveis, bem como dos demais documentos previstos no Edital, no Termo de Referência e na legislação aplicável.</w:t>
      </w:r>
    </w:p>
    <w:p>
      <w:pPr>
        <w:rPr>
          <w:rFonts w:ascii="Arial" w:hAnsi="Arial"/>
        </w:rPr>
      </w:pPr>
    </w:p>
    <w:p>
      <w:pPr>
        <w:rPr>
          <w:rFonts w:ascii="Arial" w:hAnsi="Arial"/>
          <w:b w:val="1"/>
        </w:rPr>
      </w:pPr>
      <w:r>
        <w:rPr>
          <w:rFonts w:ascii="Arial" w:hAnsi="Arial"/>
          <w:b w:val="1"/>
        </w:rPr>
        <w:t>PARÁGRAFO TERCEIRO</w:t>
      </w:r>
    </w:p>
    <w:p>
      <w:pPr>
        <w:rPr>
          <w:rFonts w:ascii="Arial" w:hAnsi="Arial"/>
        </w:rPr>
      </w:pPr>
      <w:r>
        <w:rPr>
          <w:rFonts w:ascii="Arial" w:hAnsi="Arial"/>
        </w:rPr>
        <w:t>O pagamento somente será realizado após a comprovação da efetiva prestação dos serviços contratados e do cumprimento das condições estabelecidas no Edital, no Termo de Referência e neste Contrato.</w:t>
      </w:r>
    </w:p>
    <w:p>
      <w:pPr>
        <w:rPr>
          <w:rFonts w:ascii="Arial" w:hAnsi="Arial"/>
        </w:rPr>
      </w:pPr>
    </w:p>
    <w:p>
      <w:pPr>
        <w:rPr>
          <w:rFonts w:ascii="Arial" w:hAnsi="Arial"/>
          <w:b w:val="1"/>
        </w:rPr>
      </w:pPr>
      <w:r>
        <w:rPr>
          <w:rFonts w:ascii="Arial" w:hAnsi="Arial"/>
          <w:b w:val="1"/>
        </w:rPr>
        <w:t>PARÁGRAFO QUARTO</w:t>
      </w:r>
    </w:p>
    <w:p>
      <w:pPr>
        <w:rPr>
          <w:rFonts w:ascii="Arial" w:hAnsi="Arial"/>
        </w:rPr>
      </w:pPr>
      <w:r>
        <w:rPr>
          <w:rFonts w:ascii="Arial" w:hAnsi="Arial"/>
        </w:rPr>
        <w:t>Os preços contratados permanecerão fixos e irreajustáveis durante o período de vigência contratual, observado o disposto na Lei nº 14.133/2021 quanto à possibilidade de revisão contratual nas hipóteses legalmente admitidas.</w:t>
      </w:r>
    </w:p>
    <w:p>
      <w:pPr>
        <w:rPr>
          <w:rFonts w:ascii="Arial" w:hAnsi="Arial"/>
        </w:rPr>
      </w:pPr>
    </w:p>
    <w:p>
      <w:pPr>
        <w:rPr>
          <w:rFonts w:ascii="Arial" w:hAnsi="Arial"/>
          <w:b w:val="1"/>
        </w:rPr>
      </w:pPr>
      <w:r>
        <w:rPr>
          <w:rFonts w:ascii="Arial" w:hAnsi="Arial"/>
          <w:b w:val="1"/>
        </w:rPr>
        <w:t>PARÁGRAFO QUINTO</w:t>
      </w:r>
    </w:p>
    <w:p>
      <w:pPr>
        <w:rPr>
          <w:rFonts w:ascii="Arial" w:hAnsi="Arial"/>
        </w:rPr>
      </w:pPr>
      <w:r>
        <w:rPr>
          <w:rFonts w:ascii="Arial" w:hAnsi="Arial"/>
        </w:rPr>
        <w:t>Na hipótese de atraso no pagamento por parte da CONTRATANTE, desde que a CONTRATADA não tenha concorrido para o atraso, serão observadas as disposições legais aplicáveis.</w:t>
      </w:r>
    </w:p>
    <w:p>
      <w:pPr>
        <w:rPr>
          <w:rFonts w:ascii="Arial" w:hAnsi="Arial"/>
        </w:rPr>
      </w:pPr>
    </w:p>
    <w:p>
      <w:pPr>
        <w:rPr>
          <w:rFonts w:ascii="Arial" w:hAnsi="Arial"/>
          <w:b w:val="1"/>
        </w:rPr>
      </w:pPr>
      <w:r>
        <w:rPr>
          <w:rFonts w:ascii="Arial" w:hAnsi="Arial"/>
          <w:b w:val="1"/>
        </w:rPr>
        <w:t>PARÁGRAFO SEXTO</w:t>
      </w:r>
    </w:p>
    <w:p>
      <w:pPr>
        <w:rPr>
          <w:rFonts w:ascii="Arial" w:hAnsi="Arial"/>
        </w:rPr>
      </w:pPr>
      <w:r>
        <w:rPr>
          <w:rFonts w:ascii="Arial" w:hAnsi="Arial"/>
        </w:rPr>
        <w:t>Poderão ocorrer acréscimos ou supressões no objeto, nos limites e condições estabelecidos pela Lei nº 14.133/2021.</w:t>
      </w:r>
    </w:p>
    <w:p>
      <w:pPr>
        <w:rPr>
          <w:rFonts w:ascii="Arial" w:hAnsi="Arial"/>
          <w:b w:val="1"/>
        </w:rPr>
      </w:pPr>
    </w:p>
    <w:p>
      <w:pPr>
        <w:rPr>
          <w:rFonts w:ascii="Arial" w:hAnsi="Arial"/>
        </w:rPr>
      </w:pPr>
      <w:r>
        <w:rPr>
          <w:rFonts w:ascii="Arial" w:hAnsi="Arial"/>
          <w:b w:val="1"/>
        </w:rPr>
        <w:t>CLÁUSULA QUINTA – DA VIGÊNCIA:</w:t>
      </w:r>
      <w:r>
        <w:rPr>
          <w:rFonts w:ascii="Arial" w:hAnsi="Arial"/>
        </w:rPr>
        <w:t xml:space="preserve"> O prazo de vigência do presente Contrato terá início na data de sua assinatura e permanecerá vigente até </w:t>
      </w:r>
      <w:r>
        <w:rPr>
          <w:rFonts w:ascii="Arial" w:hAnsi="Arial"/>
          <w:b w:val="1"/>
        </w:rPr>
        <w:t>31 de janeiro de 2027</w:t>
      </w:r>
      <w:r>
        <w:rPr>
          <w:rFonts w:ascii="Arial" w:hAnsi="Arial"/>
        </w:rPr>
        <w:t>, observada a vigência do Termo de Convênio nº 033/2026 e as disposições da Lei nº 14.133/2021.</w:t>
      </w:r>
    </w:p>
    <w:p>
      <w:pPr>
        <w:rPr>
          <w:rFonts w:ascii="Arial" w:hAnsi="Arial"/>
        </w:rPr>
      </w:pPr>
    </w:p>
    <w:p>
      <w:pPr>
        <w:rPr>
          <w:rFonts w:ascii="Arial" w:hAnsi="Arial"/>
          <w:b w:val="1"/>
        </w:rPr>
      </w:pPr>
      <w:r>
        <w:rPr>
          <w:rFonts w:ascii="Arial" w:hAnsi="Arial"/>
          <w:b w:val="1"/>
        </w:rPr>
        <w:t>PARÁGRAFO PRIMEIRO</w:t>
      </w:r>
    </w:p>
    <w:p>
      <w:pPr>
        <w:rPr>
          <w:rFonts w:ascii="Arial" w:hAnsi="Arial"/>
        </w:rPr>
      </w:pPr>
      <w:r>
        <w:rPr>
          <w:rFonts w:ascii="Arial" w:hAnsi="Arial"/>
        </w:rPr>
        <w:t>A execução efetiva da viagem ocorrerá nas datas estabelecidas no Termo de Referência, previstas para o período de 23 a 25 de outubro de 2026, salvo alteração formalmente autorizada pela CONTRATANTE e devidamente justificada.</w:t>
      </w:r>
    </w:p>
    <w:p>
      <w:pPr>
        <w:rPr>
          <w:rFonts w:ascii="Arial" w:hAnsi="Arial"/>
          <w:b w:val="1"/>
        </w:rPr>
      </w:pPr>
    </w:p>
    <w:p>
      <w:pPr>
        <w:rPr>
          <w:rFonts w:ascii="Arial" w:hAnsi="Arial"/>
          <w:b w:val="1"/>
        </w:rPr>
      </w:pPr>
      <w:r>
        <w:rPr>
          <w:rFonts w:ascii="Arial" w:hAnsi="Arial"/>
          <w:b w:val="1"/>
        </w:rPr>
        <w:t>PARÁGRAFO SEGUNDO</w:t>
      </w:r>
    </w:p>
    <w:p>
      <w:pPr>
        <w:rPr>
          <w:rFonts w:ascii="Arial" w:hAnsi="Arial"/>
        </w:rPr>
      </w:pPr>
      <w:r>
        <w:rPr>
          <w:rFonts w:ascii="Arial" w:hAnsi="Arial"/>
        </w:rPr>
        <w:t>O prazo de vigência contratual não implica realização contínua dos serviços durante todo o período, destinando-se também à conclusão das obrigações decorrentes da contratação, inclusive recebimento, pagamento, prestação de contas e demais providências administrativas relacionadas ao objeto.</w:t>
      </w:r>
    </w:p>
    <w:p>
      <w:pPr>
        <w:rPr>
          <w:rFonts w:ascii="Arial" w:hAnsi="Arial"/>
          <w:b w:val="1"/>
        </w:rPr>
      </w:pPr>
    </w:p>
    <w:p>
      <w:pPr>
        <w:rPr>
          <w:rFonts w:ascii="Arial" w:hAnsi="Arial"/>
        </w:rPr>
      </w:pPr>
      <w:r>
        <w:rPr>
          <w:rFonts w:ascii="Arial" w:hAnsi="Arial"/>
          <w:b w:val="1"/>
        </w:rPr>
        <w:t>CLÁUSULA SEXTA – DA DOTAÇÃO ORÇAMENTÁRIA:</w:t>
      </w:r>
      <w:r>
        <w:rPr>
          <w:rFonts w:ascii="Arial" w:hAnsi="Arial"/>
        </w:rPr>
        <w:t xml:space="preserve"> As despesas decorrentes da execução do objeto da presente licitação correrão por conta da(s) seguinte(s) dotação(ões) orçamentária(s):</w:t>
      </w:r>
    </w:p>
    <w:p>
      <w:pPr>
        <w:rPr>
          <w:rFonts w:ascii="Arial" w:hAnsi="Arial"/>
        </w:rPr>
      </w:pPr>
    </w:p>
    <w:tbl>
      <w:tblPr>
        <w:tblW w:w="8514" w:type="dxa"/>
        <w:jc w:val="cente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ook w:val="04A0"/>
      </w:tblPr>
      <w:tblGrid/>
      <w:tr>
        <w:trPr>
          <w:jc w:val="center"/>
        </w:trPr>
        <w:tc>
          <w:tcPr>
            <w:tcW w:w="2075"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Órgão/Unidade</w:t>
            </w:r>
          </w:p>
        </w:tc>
        <w:tc>
          <w:tcPr>
            <w:tcW w:w="2254"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Funcional Programática</w:t>
            </w:r>
          </w:p>
        </w:tc>
        <w:tc>
          <w:tcPr>
            <w:tcW w:w="2032"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Elemento de Despesa</w:t>
            </w:r>
          </w:p>
        </w:tc>
        <w:tc>
          <w:tcPr>
            <w:tcW w:w="1186"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Fonte</w:t>
            </w:r>
          </w:p>
        </w:tc>
        <w:tc>
          <w:tcPr>
            <w:tcW w:w="967"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jc w:val="center"/>
              <w:rPr>
                <w:rFonts w:ascii="Arial" w:hAnsi="Arial"/>
                <w:b w:val="1"/>
              </w:rPr>
            </w:pPr>
            <w:r>
              <w:rPr>
                <w:rFonts w:ascii="Arial" w:hAnsi="Arial"/>
                <w:b w:val="1"/>
              </w:rPr>
              <w:t>Ficha</w:t>
            </w:r>
          </w:p>
        </w:tc>
      </w:tr>
      <w:tr>
        <w:trPr>
          <w:jc w:val="center"/>
        </w:trPr>
        <w:tc>
          <w:tcPr>
            <w:tcW w:w="2075"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ind w:left="425"/>
              <w:rPr>
                <w:rFonts w:ascii="Arial" w:hAnsi="Arial"/>
                <w:color w:val="000000"/>
                <w:sz w:val="22"/>
              </w:rPr>
            </w:pPr>
            <w:r>
              <w:rPr>
                <w:rFonts w:ascii="Arial" w:hAnsi="Arial"/>
                <w:color w:val="000000"/>
                <w:sz w:val="22"/>
              </w:rPr>
              <w:t>12.003</w:t>
            </w:r>
          </w:p>
        </w:tc>
        <w:tc>
          <w:tcPr>
            <w:tcW w:w="2254"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23.695.0363.2073</w:t>
            </w:r>
          </w:p>
        </w:tc>
        <w:tc>
          <w:tcPr>
            <w:tcW w:w="2032"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3.3.90.39.00.00</w:t>
            </w:r>
          </w:p>
        </w:tc>
        <w:tc>
          <w:tcPr>
            <w:tcW w:w="1186"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 xml:space="preserve">  1001</w:t>
            </w:r>
          </w:p>
        </w:tc>
        <w:tc>
          <w:tcPr>
            <w:tcW w:w="967" w:type="dxa"/>
            <w:tcBorders>
              <w:top w:val="single" w:sz="4" w:space="0" w:shadow="0" w:frame="0"/>
              <w:left w:val="single" w:sz="4" w:space="0" w:shadow="0" w:frame="0"/>
              <w:bottom w:val="single" w:sz="4" w:space="0" w:shadow="0" w:frame="0"/>
              <w:right w:val="single" w:sz="4" w:space="0" w:shadow="0" w:frame="0"/>
            </w:tcBorders>
            <w:vAlign w:val="center"/>
            <w:hideMark/>
          </w:tcPr>
          <w:p>
            <w:pPr>
              <w:tabs>
                <w:tab w:val="left" w:pos="851" w:leader="none"/>
              </w:tabs>
              <w:rPr>
                <w:rFonts w:ascii="Arial" w:hAnsi="Arial"/>
                <w:color w:val="000000"/>
                <w:sz w:val="22"/>
              </w:rPr>
            </w:pPr>
            <w:r>
              <w:rPr>
                <w:rFonts w:ascii="Arial" w:hAnsi="Arial"/>
                <w:color w:val="000000"/>
                <w:sz w:val="22"/>
              </w:rPr>
              <w:t xml:space="preserve">  633</w:t>
            </w:r>
          </w:p>
        </w:tc>
      </w:tr>
    </w:tbl>
    <w:p>
      <w:pPr>
        <w:rPr>
          <w:rFonts w:ascii="Arial" w:hAnsi="Arial"/>
        </w:rPr>
      </w:pPr>
    </w:p>
    <w:p>
      <w:pPr>
        <w:rPr>
          <w:rFonts w:ascii="Arial" w:hAnsi="Arial"/>
        </w:rPr>
      </w:pPr>
    </w:p>
    <w:p>
      <w:pPr>
        <w:rPr>
          <w:rFonts w:ascii="Arial" w:hAnsi="Arial"/>
        </w:rPr>
      </w:pPr>
      <w:r>
        <w:rPr>
          <w:rFonts w:ascii="Arial" w:hAnsi="Arial"/>
          <w:b w:val="1"/>
        </w:rPr>
        <w:t xml:space="preserve">CLÁUSULA SÉTIMA – DA FISCALIZAÇÃO E DA GESTÃO DO CONTRATO: </w:t>
      </w:r>
      <w:r>
        <w:rPr>
          <w:rFonts w:ascii="Arial" w:hAnsi="Arial"/>
        </w:rPr>
        <w:t>A fiscalização da execução contratual será exercida por representante da Administração, ao qual competirá acompanhar e fiscalizar a execução dos serviços, verificar o cumprimento das obrigações da CONTRATADA e registrar as ocorrências relacionadas à execução do objeto, ficando designado como Fiscal do Contrato o(a) servidor(a)</w:t>
      </w:r>
      <w:r>
        <w:rPr>
          <w:rFonts w:ascii="Arial" w:hAnsi="Arial"/>
          <w:b w:val="1"/>
          <w:lang w:eastAsia="en-US"/>
        </w:rPr>
        <w:t xml:space="preserve"> CLAUDIO NEVES PEREIRA (Portaria n° 251/2025)</w:t>
      </w:r>
      <w:r>
        <w:rPr>
          <w:rFonts w:ascii="Arial" w:hAnsi="Arial"/>
          <w:lang w:eastAsia="en-US"/>
        </w:rPr>
        <w:t>.</w:t>
      </w:r>
      <w:r>
        <w:rPr>
          <w:rFonts w:ascii="Arial" w:hAnsi="Arial"/>
        </w:rPr>
        <w:t xml:space="preserve"> Ficando designado como Gestor(a) do Contrato o(a) servidor(a) </w:t>
      </w:r>
      <w:r>
        <w:rPr>
          <w:rFonts w:ascii="Arial" w:hAnsi="Arial"/>
          <w:b w:val="1"/>
          <w:lang w:eastAsia="en-US"/>
        </w:rPr>
        <w:t>RUANA PALOMA DE OLIVEIRA LIMA (Portaria n° 080/2025).</w:t>
      </w:r>
    </w:p>
    <w:p>
      <w:pPr>
        <w:tabs>
          <w:tab w:val="left" w:pos="0" w:leader="none"/>
        </w:tabs>
        <w:rPr>
          <w:rFonts w:ascii="Arial" w:hAnsi="Arial"/>
        </w:rPr>
      </w:pPr>
    </w:p>
    <w:p>
      <w:pPr>
        <w:rPr>
          <w:rFonts w:ascii="Arial" w:hAnsi="Arial"/>
          <w:b w:val="1"/>
        </w:rPr>
      </w:pPr>
      <w:r>
        <w:rPr>
          <w:rFonts w:ascii="Arial" w:hAnsi="Arial"/>
          <w:b w:val="1"/>
        </w:rPr>
        <w:t>PARÁGRAFO PRIMEIRO</w:t>
      </w:r>
    </w:p>
    <w:p>
      <w:pPr>
        <w:rPr>
          <w:rFonts w:ascii="Arial" w:hAnsi="Arial"/>
        </w:rPr>
      </w:pPr>
      <w:r>
        <w:rPr>
          <w:rFonts w:ascii="Arial" w:hAnsi="Arial"/>
        </w:rPr>
        <w:t>Compete ao Fiscal do Contrato acompanhar a execução dos serviços, verificar sua conformidade com o Termo de Referência, registrar ocorrências, comunicar eventuais irregularidades e atestar a execução para fins de pagamento.</w:t>
      </w:r>
    </w:p>
    <w:p>
      <w:pPr>
        <w:rPr>
          <w:rFonts w:ascii="Arial" w:hAnsi="Arial"/>
        </w:rPr>
      </w:pPr>
    </w:p>
    <w:p>
      <w:pPr>
        <w:rPr>
          <w:rFonts w:ascii="Arial" w:hAnsi="Arial"/>
          <w:b w:val="1"/>
        </w:rPr>
      </w:pPr>
      <w:r>
        <w:rPr>
          <w:rFonts w:ascii="Arial" w:hAnsi="Arial"/>
          <w:b w:val="1"/>
        </w:rPr>
        <w:t>PARÁGRAFO SEGUNDO</w:t>
      </w:r>
    </w:p>
    <w:p>
      <w:pPr>
        <w:rPr>
          <w:rFonts w:ascii="Arial" w:hAnsi="Arial"/>
        </w:rPr>
      </w:pPr>
      <w:r>
        <w:rPr>
          <w:rFonts w:ascii="Arial" w:hAnsi="Arial"/>
        </w:rPr>
        <w:t>Compete ao Gestor do Contrato coordenar as atividades relacionadas à gestão contratual, inclusive quanto aos procedimentos administrativos, pagamentos, eventuais alterações, aplicação de sanções e demais providências necessárias ao adequado acompanhamento do contrato.</w:t>
      </w:r>
    </w:p>
    <w:p>
      <w:pPr>
        <w:rPr>
          <w:rFonts w:ascii="Arial" w:hAnsi="Arial"/>
        </w:rPr>
      </w:pPr>
    </w:p>
    <w:p>
      <w:pPr>
        <w:rPr>
          <w:rFonts w:ascii="Arial" w:hAnsi="Arial"/>
          <w:b w:val="1"/>
        </w:rPr>
      </w:pPr>
      <w:r>
        <w:rPr>
          <w:rFonts w:ascii="Arial" w:hAnsi="Arial"/>
          <w:b w:val="1"/>
        </w:rPr>
        <w:t>PARÁGRAFO TERCEIRO</w:t>
      </w:r>
    </w:p>
    <w:p>
      <w:pPr>
        <w:rPr>
          <w:rFonts w:ascii="Arial" w:hAnsi="Arial"/>
        </w:rPr>
      </w:pPr>
      <w:r>
        <w:rPr>
          <w:rFonts w:ascii="Arial" w:hAnsi="Arial"/>
        </w:rPr>
        <w:t>A CONTRATADA deverá atender prontamente às determinações da fiscalização e da gestão do contrato, fornecendo esclarecimentos e documentos necessários ao acompanhamento da execução contratual</w:t>
      </w:r>
    </w:p>
    <w:p>
      <w:pPr>
        <w:ind w:firstLine="1134"/>
        <w:rPr>
          <w:rFonts w:ascii="Arial" w:hAnsi="Arial"/>
          <w:b w:val="1"/>
        </w:rPr>
      </w:pPr>
    </w:p>
    <w:p>
      <w:pPr>
        <w:rPr>
          <w:rFonts w:ascii="Arial" w:hAnsi="Arial"/>
          <w:b w:val="1"/>
        </w:rPr>
      </w:pPr>
      <w:r>
        <w:rPr>
          <w:rFonts w:ascii="Arial" w:hAnsi="Arial"/>
          <w:b w:val="1"/>
        </w:rPr>
        <w:t>CLÁUSULA OITAVA – DAS PENALIDADES</w:t>
      </w:r>
    </w:p>
    <w:p>
      <w:pPr>
        <w:rPr>
          <w:rFonts w:ascii="Arial" w:hAnsi="Arial"/>
        </w:rPr>
      </w:pPr>
      <w:r>
        <w:rPr>
          <w:rFonts w:ascii="Arial" w:hAnsi="Arial"/>
        </w:rPr>
        <w:t xml:space="preserve">O descumprimento total ou parcial das obrigações assumidas pela </w:t>
      </w:r>
      <w:r>
        <w:rPr>
          <w:rFonts w:ascii="Arial" w:hAnsi="Arial"/>
          <w:b w:val="1"/>
        </w:rPr>
        <w:t>CONTRATADA</w:t>
      </w:r>
      <w:r>
        <w:rPr>
          <w:rFonts w:ascii="Arial" w:hAnsi="Arial"/>
        </w:rPr>
        <w:t xml:space="preserve"> sujeitará a empresa às sanções previstas na Lei nº 14.133/2021, assegurados o contraditório e a ampla defesa, mediante processo administrativo próprio.</w:t>
      </w:r>
    </w:p>
    <w:p>
      <w:pPr>
        <w:rPr>
          <w:rFonts w:ascii="Arial" w:hAnsi="Arial"/>
          <w:b w:val="1"/>
        </w:rPr>
      </w:pPr>
    </w:p>
    <w:p>
      <w:pPr>
        <w:rPr>
          <w:rFonts w:ascii="Arial" w:hAnsi="Arial"/>
          <w:b w:val="1"/>
        </w:rPr>
      </w:pPr>
      <w:r>
        <w:rPr>
          <w:rFonts w:ascii="Arial" w:hAnsi="Arial"/>
          <w:b w:val="1"/>
        </w:rPr>
        <w:t>PARÁGRAFO PRIMEIRO</w:t>
      </w:r>
    </w:p>
    <w:p>
      <w:pPr>
        <w:rPr>
          <w:rFonts w:ascii="Arial" w:hAnsi="Arial"/>
        </w:rPr>
      </w:pPr>
      <w:r>
        <w:rPr>
          <w:rFonts w:ascii="Arial" w:hAnsi="Arial"/>
        </w:rPr>
        <w:t>As sanções poderão compreender, conforme a gravidade da conduta e observadas as disposições legais aplicáveis:</w:t>
      </w:r>
    </w:p>
    <w:p>
      <w:pPr>
        <w:rPr>
          <w:rFonts w:ascii="Arial" w:hAnsi="Arial"/>
        </w:rPr>
      </w:pPr>
      <w:r>
        <w:rPr>
          <w:rFonts w:ascii="Arial" w:hAnsi="Arial"/>
        </w:rPr>
        <w:t>I – Advertência;</w:t>
      </w:r>
    </w:p>
    <w:p>
      <w:pPr>
        <w:rPr>
          <w:rFonts w:ascii="Arial" w:hAnsi="Arial"/>
        </w:rPr>
      </w:pPr>
      <w:r>
        <w:rPr>
          <w:rFonts w:ascii="Arial" w:hAnsi="Arial"/>
        </w:rPr>
        <w:t>II – Multa;</w:t>
      </w:r>
    </w:p>
    <w:p>
      <w:pPr>
        <w:rPr>
          <w:rFonts w:ascii="Arial" w:hAnsi="Arial"/>
        </w:rPr>
      </w:pPr>
      <w:r>
        <w:rPr>
          <w:rFonts w:ascii="Arial" w:hAnsi="Arial"/>
        </w:rPr>
        <w:t>III – impedimento de licitar e contratar;</w:t>
      </w:r>
    </w:p>
    <w:p>
      <w:pPr>
        <w:rPr>
          <w:rFonts w:ascii="Arial" w:hAnsi="Arial"/>
        </w:rPr>
      </w:pPr>
      <w:r>
        <w:rPr>
          <w:rFonts w:ascii="Arial" w:hAnsi="Arial"/>
        </w:rPr>
        <w:t>IV – Declaração de inidoneidade para licitar ou contratar.</w:t>
      </w:r>
    </w:p>
    <w:p>
      <w:pPr>
        <w:rPr>
          <w:rFonts w:ascii="Arial" w:hAnsi="Arial"/>
          <w:b w:val="1"/>
        </w:rPr>
      </w:pPr>
    </w:p>
    <w:p>
      <w:pPr>
        <w:rPr>
          <w:rFonts w:ascii="Arial" w:hAnsi="Arial"/>
          <w:b w:val="1"/>
        </w:rPr>
      </w:pPr>
      <w:r>
        <w:rPr>
          <w:rFonts w:ascii="Arial" w:hAnsi="Arial"/>
          <w:b w:val="1"/>
        </w:rPr>
        <w:t>PARÁGRAFO SEGUNDO</w:t>
      </w:r>
    </w:p>
    <w:p>
      <w:pPr>
        <w:rPr>
          <w:rFonts w:ascii="Arial" w:hAnsi="Arial"/>
        </w:rPr>
      </w:pPr>
      <w:r>
        <w:rPr>
          <w:rFonts w:ascii="Arial" w:hAnsi="Arial"/>
        </w:rPr>
        <w:t>A aplicação das sanções observará a natureza e a gravidade da infração, os danos causados à Administração, as circunstâncias do caso concreto e os demais critérios estabelecidos pela Lei nº 14.133/2021 e pela regulamentação municipal aplicável.</w:t>
      </w:r>
    </w:p>
    <w:p>
      <w:pPr>
        <w:rPr>
          <w:rFonts w:ascii="Arial" w:hAnsi="Arial"/>
          <w:b w:val="1"/>
        </w:rPr>
      </w:pPr>
    </w:p>
    <w:p>
      <w:pPr>
        <w:rPr>
          <w:rFonts w:ascii="Arial" w:hAnsi="Arial"/>
          <w:b w:val="1"/>
        </w:rPr>
      </w:pPr>
      <w:r>
        <w:rPr>
          <w:rFonts w:ascii="Arial" w:hAnsi="Arial"/>
          <w:b w:val="1"/>
        </w:rPr>
        <w:t>PARÁGRAFO TERCEIRO</w:t>
      </w:r>
    </w:p>
    <w:p>
      <w:pPr>
        <w:rPr>
          <w:rFonts w:ascii="Arial" w:hAnsi="Arial"/>
        </w:rPr>
      </w:pPr>
      <w:r>
        <w:rPr>
          <w:rFonts w:ascii="Arial" w:hAnsi="Arial"/>
        </w:rPr>
        <w:t xml:space="preserve">A aplicação de qualquer penalidade não afasta a responsabilidade da </w:t>
      </w:r>
      <w:r>
        <w:rPr>
          <w:rFonts w:ascii="Arial" w:hAnsi="Arial"/>
          <w:b w:val="1"/>
        </w:rPr>
        <w:t>CONTRATADA</w:t>
      </w:r>
      <w:r>
        <w:rPr>
          <w:rFonts w:ascii="Arial" w:hAnsi="Arial"/>
        </w:rPr>
        <w:t xml:space="preserve"> pela reparação dos danos eventualmente causados à Administração.</w:t>
      </w:r>
    </w:p>
    <w:p>
      <w:pPr>
        <w:ind w:firstLine="1134"/>
        <w:rPr>
          <w:rFonts w:ascii="Arial" w:hAnsi="Arial"/>
          <w:b w:val="1"/>
        </w:rPr>
      </w:pPr>
    </w:p>
    <w:p>
      <w:pPr>
        <w:ind w:firstLine="1134"/>
        <w:rPr>
          <w:rFonts w:ascii="Arial" w:hAnsi="Arial"/>
          <w:b w:val="1"/>
        </w:rPr>
      </w:pPr>
    </w:p>
    <w:p>
      <w:pPr>
        <w:ind w:firstLine="1134"/>
        <w:rPr>
          <w:rFonts w:ascii="Arial" w:hAnsi="Arial"/>
          <w:b w:val="1"/>
        </w:rPr>
      </w:pPr>
    </w:p>
    <w:p>
      <w:pPr>
        <w:rPr>
          <w:rFonts w:ascii="Arial" w:hAnsi="Arial"/>
          <w:b w:val="1"/>
        </w:rPr>
      </w:pPr>
      <w:r>
        <w:rPr>
          <w:rFonts w:ascii="Arial" w:hAnsi="Arial"/>
          <w:b w:val="1"/>
        </w:rPr>
        <w:t>CLÁUSULA NONA – DA EXTINÇÃO DO CONTRATO</w:t>
      </w:r>
    </w:p>
    <w:p>
      <w:pPr>
        <w:rPr>
          <w:rFonts w:ascii="Arial" w:hAnsi="Arial"/>
        </w:rPr>
      </w:pPr>
      <w:r>
        <w:rPr>
          <w:rFonts w:ascii="Arial" w:hAnsi="Arial"/>
        </w:rPr>
        <w:t>O presente Contrato poderá ser extinto nas hipóteses previstas nos arts. 137 e seguintes da Lei nº 14.133/2021, mediante decisão fundamentada da autoridade competente e observados o contraditório e a ampla defesa, quando cabíveis.</w:t>
      </w:r>
    </w:p>
    <w:p>
      <w:pPr>
        <w:rPr>
          <w:rFonts w:ascii="Arial" w:hAnsi="Arial"/>
          <w:b w:val="1"/>
        </w:rPr>
      </w:pPr>
    </w:p>
    <w:p>
      <w:pPr>
        <w:rPr>
          <w:rFonts w:ascii="Arial" w:hAnsi="Arial"/>
          <w:b w:val="1"/>
        </w:rPr>
      </w:pPr>
      <w:r>
        <w:rPr>
          <w:rFonts w:ascii="Arial" w:hAnsi="Arial"/>
          <w:b w:val="1"/>
        </w:rPr>
        <w:t>PARÁGRAFO ÚNICO</w:t>
      </w:r>
    </w:p>
    <w:p>
      <w:pPr>
        <w:rPr>
          <w:rFonts w:ascii="Arial" w:hAnsi="Arial"/>
          <w:b w:val="1"/>
        </w:rPr>
      </w:pPr>
      <w:r>
        <w:rPr>
          <w:rFonts w:ascii="Arial" w:hAnsi="Arial"/>
        </w:rPr>
        <w:t>A extinção do Contrato não prejudicará a aplicação das penalidades eventualmente cabíveis nem a responsabilidade da</w:t>
      </w:r>
      <w:r>
        <w:rPr>
          <w:rFonts w:ascii="Arial" w:hAnsi="Arial"/>
          <w:b w:val="1"/>
        </w:rPr>
        <w:t xml:space="preserve"> CONTRATADA </w:t>
      </w:r>
      <w:r>
        <w:rPr>
          <w:rFonts w:ascii="Arial" w:hAnsi="Arial"/>
        </w:rPr>
        <w:t xml:space="preserve">pelos danos causados à </w:t>
      </w:r>
      <w:r>
        <w:rPr>
          <w:rFonts w:ascii="Arial" w:hAnsi="Arial"/>
          <w:b w:val="1"/>
        </w:rPr>
        <w:t>CONTRATANTE.</w:t>
      </w:r>
    </w:p>
    <w:p>
      <w:pPr>
        <w:rPr>
          <w:rFonts w:ascii="Arial" w:hAnsi="Arial"/>
        </w:rPr>
      </w:pPr>
      <w:r>
        <w:rPr>
          <w:rFonts w:ascii="Arial" w:hAnsi="Arial"/>
        </w:rPr>
        <w:t xml:space="preserve"> </w:t>
      </w:r>
    </w:p>
    <w:p>
      <w:pPr>
        <w:rPr>
          <w:rFonts w:ascii="Arial" w:hAnsi="Arial"/>
          <w:b w:val="1"/>
        </w:rPr>
      </w:pPr>
      <w:r>
        <w:rPr>
          <w:rFonts w:ascii="Arial" w:hAnsi="Arial"/>
          <w:b w:val="1"/>
        </w:rPr>
        <w:t>CLÁUSULA DÉCIMA – DAS RESPONSABILIDADES DA CONTRATADA</w:t>
      </w:r>
    </w:p>
    <w:p>
      <w:pPr>
        <w:rPr>
          <w:rFonts w:ascii="Arial" w:hAnsi="Arial"/>
          <w:b w:val="1"/>
        </w:rPr>
      </w:pPr>
    </w:p>
    <w:p>
      <w:pPr>
        <w:rPr>
          <w:rFonts w:ascii="Arial" w:hAnsi="Arial"/>
        </w:rPr>
      </w:pPr>
      <w:r>
        <w:rPr>
          <w:rFonts w:ascii="Arial" w:hAnsi="Arial"/>
        </w:rPr>
        <w:t>A CONTRATADA obriga-se a:</w:t>
      </w:r>
    </w:p>
    <w:p>
      <w:pPr>
        <w:rPr>
          <w:rFonts w:ascii="Arial" w:hAnsi="Arial"/>
        </w:rPr>
      </w:pPr>
      <w:r>
        <w:rPr>
          <w:rFonts w:ascii="Arial" w:hAnsi="Arial"/>
        </w:rPr>
        <w:t>I – Executar integralmente os serviços de organização e execução da viagem turística, conforme as especificações, roteiro, datas, horários e condições estabelecidas no Termo de Referência;</w:t>
      </w:r>
    </w:p>
    <w:p>
      <w:pPr>
        <w:rPr>
          <w:rFonts w:ascii="Arial" w:hAnsi="Arial"/>
        </w:rPr>
      </w:pPr>
      <w:r>
        <w:rPr>
          <w:rFonts w:ascii="Arial" w:hAnsi="Arial"/>
        </w:rPr>
        <w:t>II – Garantir que os serviços integrantes do pacote turístico, incluindo transporte, hospedagem, alimentação, seguro-viagem, guias de turismo e ingressos, sejam prestados de acordo com as condições contratadas;</w:t>
      </w:r>
    </w:p>
    <w:p>
      <w:pPr>
        <w:rPr>
          <w:rFonts w:ascii="Arial" w:hAnsi="Arial"/>
        </w:rPr>
      </w:pPr>
      <w:r>
        <w:rPr>
          <w:rFonts w:ascii="Arial" w:hAnsi="Arial"/>
        </w:rPr>
        <w:t>III – responsabilizar-se pela organização, coordenação e execução dos serviços contratados;</w:t>
      </w:r>
    </w:p>
    <w:p>
      <w:pPr>
        <w:rPr>
          <w:rFonts w:ascii="Arial" w:hAnsi="Arial"/>
        </w:rPr>
      </w:pPr>
      <w:r>
        <w:rPr>
          <w:rFonts w:ascii="Arial" w:hAnsi="Arial"/>
        </w:rPr>
        <w:t>IV – Responsabilizar-se pelos danos causados à CONTRATANTE ou a terceiros decorrentes de sua atuação ou da atuação de terceiros por ela contratados para execução dos serviços;</w:t>
      </w:r>
    </w:p>
    <w:p>
      <w:pPr>
        <w:rPr>
          <w:rFonts w:ascii="Arial" w:hAnsi="Arial"/>
        </w:rPr>
      </w:pPr>
      <w:r>
        <w:rPr>
          <w:rFonts w:ascii="Arial" w:hAnsi="Arial"/>
        </w:rPr>
        <w:t>V – Comunicar imediatamente à CONTRATANTE qualquer ocorrência que possa comprometer a execução da viagem;</w:t>
      </w:r>
    </w:p>
    <w:p>
      <w:pPr>
        <w:rPr>
          <w:rFonts w:ascii="Arial" w:hAnsi="Arial"/>
        </w:rPr>
      </w:pPr>
      <w:r>
        <w:rPr>
          <w:rFonts w:ascii="Arial" w:hAnsi="Arial"/>
        </w:rPr>
        <w:t>VI – Não alterar o roteiro, horários, locais, serviços ou demais condições contratadas sem prévia autorização da CONTRATANTE, salvo situações emergenciais que exijam providências imediatas para garantir a segurança dos passageiros;</w:t>
      </w:r>
    </w:p>
    <w:p>
      <w:pPr>
        <w:rPr>
          <w:rFonts w:ascii="Arial" w:hAnsi="Arial"/>
        </w:rPr>
      </w:pPr>
      <w:r>
        <w:rPr>
          <w:rFonts w:ascii="Arial" w:hAnsi="Arial"/>
        </w:rPr>
        <w:t>VII – manter, durante toda a execução contratual, as condições de habilitação e qualificação exigidas na licitação;</w:t>
      </w:r>
    </w:p>
    <w:p>
      <w:pPr>
        <w:rPr>
          <w:rFonts w:ascii="Arial" w:hAnsi="Arial"/>
        </w:rPr>
      </w:pPr>
      <w:r>
        <w:rPr>
          <w:rFonts w:ascii="Arial" w:hAnsi="Arial"/>
        </w:rPr>
        <w:t xml:space="preserve">VIII – manter ativo, quando legalmente exigível para as atividades objeto da contratação, o </w:t>
      </w:r>
      <w:r>
        <w:rPr>
          <w:rFonts w:ascii="Arial" w:hAnsi="Arial"/>
          <w:b w:val="1"/>
        </w:rPr>
        <w:t>Cadastro de Prestadores de Serviços Turísticos – CADASTUR</w:t>
      </w:r>
      <w:r>
        <w:rPr>
          <w:rFonts w:ascii="Arial" w:hAnsi="Arial"/>
        </w:rPr>
        <w:t>;</w:t>
      </w:r>
    </w:p>
    <w:p>
      <w:pPr>
        <w:rPr>
          <w:rFonts w:ascii="Arial" w:hAnsi="Arial"/>
        </w:rPr>
      </w:pPr>
      <w:r>
        <w:rPr>
          <w:rFonts w:ascii="Arial" w:hAnsi="Arial"/>
        </w:rPr>
        <w:t>IX – Disponibilizar transporte compatível com as especificações estabelecidas no Termo de Referência, devidamente regularizado e em condições adequadas de segurança e funcionamento;</w:t>
      </w:r>
    </w:p>
    <w:p>
      <w:pPr>
        <w:rPr>
          <w:rFonts w:ascii="Arial" w:hAnsi="Arial"/>
        </w:rPr>
      </w:pPr>
      <w:r>
        <w:rPr>
          <w:rFonts w:ascii="Arial" w:hAnsi="Arial"/>
        </w:rPr>
        <w:t>X – Garantir a disponibilização do seguro-viagem para os passageiros, conforme as condições e quantitativos estabelecidos no Termo de Referência;</w:t>
      </w:r>
    </w:p>
    <w:p>
      <w:pPr>
        <w:rPr>
          <w:rFonts w:ascii="Arial" w:hAnsi="Arial"/>
        </w:rPr>
      </w:pPr>
      <w:r>
        <w:rPr>
          <w:rFonts w:ascii="Arial" w:hAnsi="Arial"/>
        </w:rPr>
        <w:t>XI – garantir hospedagem e alimentação nas condições estabelecidas no Termo de Referência;</w:t>
      </w:r>
    </w:p>
    <w:p>
      <w:pPr>
        <w:rPr>
          <w:rFonts w:ascii="Arial" w:hAnsi="Arial"/>
        </w:rPr>
      </w:pPr>
      <w:r>
        <w:rPr>
          <w:rFonts w:ascii="Arial" w:hAnsi="Arial"/>
        </w:rPr>
        <w:t>XII – disponibilizar os serviços de guia de turismo e os ingressos previstos no roteiro contratado;</w:t>
      </w:r>
    </w:p>
    <w:p>
      <w:pPr>
        <w:rPr>
          <w:rFonts w:ascii="Arial" w:hAnsi="Arial"/>
        </w:rPr>
      </w:pPr>
      <w:r>
        <w:rPr>
          <w:rFonts w:ascii="Arial" w:hAnsi="Arial"/>
        </w:rPr>
        <w:t>XIII – arcar com todos os custos necessários à execução do objeto, incluindo pessoal, motoristas, guias, tributos, encargos trabalhistas e previdenciários, pedágios, combustíveis, manutenção dos veículos e demais despesas relacionadas à execução contratual;</w:t>
      </w:r>
    </w:p>
    <w:p>
      <w:pPr>
        <w:rPr>
          <w:rFonts w:ascii="Arial" w:hAnsi="Arial"/>
        </w:rPr>
      </w:pPr>
      <w:r>
        <w:rPr>
          <w:rFonts w:ascii="Arial" w:hAnsi="Arial"/>
        </w:rPr>
        <w:t>XIV – substituir ou corrigir, às suas expensas, serviços prestados em desconformidade com as condições contratadas, sempre que possível de forma imediata;</w:t>
      </w:r>
    </w:p>
    <w:p>
      <w:pPr>
        <w:rPr>
          <w:rFonts w:ascii="Arial" w:hAnsi="Arial"/>
        </w:rPr>
      </w:pPr>
      <w:r>
        <w:rPr>
          <w:rFonts w:ascii="Arial" w:hAnsi="Arial"/>
        </w:rPr>
        <w:t>XV – Cumprir as normas de segurança e demais normas legais aplicáveis à prestação dos serviços;</w:t>
      </w:r>
    </w:p>
    <w:p>
      <w:pPr>
        <w:rPr>
          <w:rFonts w:ascii="Arial" w:hAnsi="Arial"/>
        </w:rPr>
      </w:pPr>
      <w:r>
        <w:rPr>
          <w:rFonts w:ascii="Arial" w:hAnsi="Arial"/>
        </w:rPr>
        <w:t>XVI – não permitir a utilização de trabalho de menor de 16 (dezesseis) anos, salvo na condição de aprendiz, a partir dos 14 (quatorze) anos, bem como não permitir trabalho noturno, perigoso ou insalubre a menores de 18 (dezoito) anos;</w:t>
      </w:r>
    </w:p>
    <w:p>
      <w:pPr>
        <w:rPr>
          <w:rFonts w:ascii="Arial" w:hAnsi="Arial"/>
        </w:rPr>
      </w:pPr>
      <w:r>
        <w:rPr>
          <w:rFonts w:ascii="Arial" w:hAnsi="Arial"/>
        </w:rPr>
        <w:t>XVII – atender às determinações da fiscalização e da gestão do contrato;</w:t>
      </w:r>
    </w:p>
    <w:p>
      <w:pPr>
        <w:rPr>
          <w:rFonts w:ascii="Arial" w:hAnsi="Arial"/>
        </w:rPr>
      </w:pPr>
      <w:r>
        <w:rPr>
          <w:rFonts w:ascii="Arial" w:hAnsi="Arial"/>
        </w:rPr>
        <w:t>XVIII – manter sigilo sobre informações a que tiver acesso em razão da execução contratual, quando aplicável;</w:t>
      </w:r>
    </w:p>
    <w:p>
      <w:pPr>
        <w:rPr>
          <w:rFonts w:ascii="Arial" w:hAnsi="Arial"/>
        </w:rPr>
      </w:pPr>
      <w:r>
        <w:rPr>
          <w:rFonts w:ascii="Arial" w:hAnsi="Arial"/>
        </w:rPr>
        <w:t>XIX – cumprir as demais obrigações previstas no Edital, Termo de Referência e na legislação aplicável.</w:t>
      </w:r>
    </w:p>
    <w:p>
      <w:pPr>
        <w:rPr>
          <w:rFonts w:ascii="Arial" w:hAnsi="Arial"/>
        </w:rPr>
      </w:pPr>
    </w:p>
    <w:p>
      <w:pPr>
        <w:rPr>
          <w:rFonts w:ascii="Arial" w:hAnsi="Arial"/>
          <w:b w:val="1"/>
        </w:rPr>
      </w:pPr>
      <w:r>
        <w:rPr>
          <w:rFonts w:ascii="Arial" w:hAnsi="Arial"/>
          <w:b w:val="1"/>
        </w:rPr>
        <w:t xml:space="preserve">CLÁUSULA DÉCIMA  PRIMEIRA – DAS RESPONSABILIDADES DA CONTRATANTE</w:t>
      </w:r>
    </w:p>
    <w:p>
      <w:pPr>
        <w:rPr>
          <w:rFonts w:ascii="Arial" w:hAnsi="Arial"/>
          <w:b w:val="1"/>
        </w:rPr>
      </w:pPr>
      <w:r>
        <w:rPr>
          <w:rFonts w:ascii="Arial" w:hAnsi="Arial"/>
          <w:b w:val="1"/>
        </w:rPr>
        <w:t>A CONTRATANTE obriga-se a:</w:t>
      </w:r>
    </w:p>
    <w:p>
      <w:pPr>
        <w:rPr>
          <w:rFonts w:ascii="Arial" w:hAnsi="Arial"/>
          <w:b w:val="1"/>
        </w:rPr>
      </w:pPr>
    </w:p>
    <w:p>
      <w:pPr>
        <w:rPr>
          <w:rFonts w:ascii="Arial" w:hAnsi="Arial"/>
        </w:rPr>
      </w:pPr>
      <w:r>
        <w:rPr>
          <w:rFonts w:ascii="Arial" w:hAnsi="Arial"/>
        </w:rPr>
        <w:t>I – Acompanhar e fiscalizar a execução dos serviços contratados;</w:t>
      </w:r>
    </w:p>
    <w:p>
      <w:pPr>
        <w:rPr>
          <w:rFonts w:ascii="Arial" w:hAnsi="Arial"/>
        </w:rPr>
      </w:pPr>
      <w:r>
        <w:rPr>
          <w:rFonts w:ascii="Arial" w:hAnsi="Arial"/>
        </w:rPr>
        <w:t>II – Fornecer as informações necessárias à adequada execução do objeto;</w:t>
      </w:r>
    </w:p>
    <w:p>
      <w:pPr>
        <w:rPr>
          <w:rFonts w:ascii="Arial" w:hAnsi="Arial"/>
        </w:rPr>
      </w:pPr>
      <w:r>
        <w:rPr>
          <w:rFonts w:ascii="Arial" w:hAnsi="Arial"/>
        </w:rPr>
        <w:t xml:space="preserve">III – comunicar à </w:t>
      </w:r>
      <w:r>
        <w:rPr>
          <w:rFonts w:ascii="Arial" w:hAnsi="Arial"/>
          <w:b w:val="1"/>
        </w:rPr>
        <w:t>CONTRATADA</w:t>
      </w:r>
      <w:r>
        <w:rPr>
          <w:rFonts w:ascii="Arial" w:hAnsi="Arial"/>
        </w:rPr>
        <w:t>S eventuais irregularidades verificadas durante a execução dos serviços;</w:t>
      </w:r>
    </w:p>
    <w:p>
      <w:pPr>
        <w:rPr>
          <w:rFonts w:ascii="Arial" w:hAnsi="Arial"/>
        </w:rPr>
      </w:pPr>
      <w:r>
        <w:rPr>
          <w:rFonts w:ascii="Arial" w:hAnsi="Arial"/>
        </w:rPr>
        <w:t>IV – Efetuar o pagamento devido, após a efetiva execução dos serviços e o cumprimento das condições estabelecidas neste Contrato;</w:t>
      </w:r>
    </w:p>
    <w:p>
      <w:pPr>
        <w:rPr>
          <w:rFonts w:ascii="Arial" w:hAnsi="Arial"/>
        </w:rPr>
      </w:pPr>
      <w:r>
        <w:rPr>
          <w:rFonts w:ascii="Arial" w:hAnsi="Arial"/>
        </w:rPr>
        <w:t>V – Disponibilizar os responsáveis pelo acompanhamento da viagem, conforme previsto no Termo de Referência;</w:t>
      </w:r>
    </w:p>
    <w:p>
      <w:pPr>
        <w:rPr>
          <w:rFonts w:ascii="Arial" w:hAnsi="Arial"/>
        </w:rPr>
      </w:pPr>
      <w:r>
        <w:rPr>
          <w:rFonts w:ascii="Arial" w:hAnsi="Arial"/>
        </w:rPr>
        <w:t>VI – Prestar os esclarecimentos necessários à CONTRATADA para a adequada execução do objeto;</w:t>
      </w:r>
    </w:p>
    <w:p>
      <w:pPr>
        <w:rPr>
          <w:rFonts w:ascii="Arial" w:hAnsi="Arial"/>
        </w:rPr>
      </w:pPr>
      <w:r>
        <w:rPr>
          <w:rFonts w:ascii="Arial" w:hAnsi="Arial"/>
        </w:rPr>
        <w:t>VII – aplicar as medidas administrativas cabíveis em caso de descumprimento das obrigações contratuais, observados o contraditório e a ampla defesa.</w:t>
      </w:r>
    </w:p>
    <w:p>
      <w:pPr>
        <w:rPr>
          <w:rFonts w:ascii="Arial" w:hAnsi="Arial"/>
          <w:b w:val="1"/>
        </w:rPr>
      </w:pPr>
    </w:p>
    <w:p>
      <w:pPr>
        <w:rPr>
          <w:rFonts w:ascii="Arial" w:hAnsi="Arial"/>
          <w:b w:val="1"/>
        </w:rPr>
      </w:pPr>
      <w:r>
        <w:rPr>
          <w:rFonts w:ascii="Arial" w:hAnsi="Arial"/>
          <w:b w:val="1"/>
        </w:rPr>
        <w:t>CLÁUSULA DÉCIMA SEGUNDA – DA SUBCONTRATAÇÃO</w:t>
      </w:r>
    </w:p>
    <w:p>
      <w:pPr>
        <w:rPr>
          <w:rFonts w:ascii="Arial" w:hAnsi="Arial"/>
        </w:rPr>
      </w:pPr>
      <w:r>
        <w:rPr>
          <w:rFonts w:ascii="Arial" w:hAnsi="Arial"/>
        </w:rPr>
        <w:t xml:space="preserve">Será permitida a contratação de terceiros pela </w:t>
      </w:r>
      <w:r>
        <w:rPr>
          <w:rFonts w:ascii="Arial" w:hAnsi="Arial"/>
          <w:b w:val="1"/>
        </w:rPr>
        <w:t>CONTRATADA</w:t>
      </w:r>
      <w:r>
        <w:rPr>
          <w:rFonts w:ascii="Arial" w:hAnsi="Arial"/>
        </w:rPr>
        <w:t xml:space="preserve"> para a execução de serviços acessórios integrantes do objeto, tais como transporte, hospedagem, alimentação, guias locais e demais serviços necessários à realização da viagem, desde que observadas as condições estabelecidas no Edital e no Termo de Referência.</w:t>
      </w:r>
    </w:p>
    <w:p>
      <w:pPr>
        <w:rPr>
          <w:rFonts w:ascii="Arial" w:hAnsi="Arial"/>
          <w:b w:val="1"/>
        </w:rPr>
      </w:pPr>
      <w:r>
        <w:rPr>
          <w:rFonts w:ascii="Arial" w:hAnsi="Arial"/>
          <w:b w:val="1"/>
        </w:rPr>
        <w:t>PARÁGRAFO PRIMEIRO</w:t>
      </w:r>
    </w:p>
    <w:p>
      <w:pPr>
        <w:rPr>
          <w:rFonts w:ascii="Arial" w:hAnsi="Arial"/>
        </w:rPr>
      </w:pPr>
      <w:r>
        <w:rPr>
          <w:rFonts w:ascii="Arial" w:hAnsi="Arial"/>
        </w:rPr>
        <w:t xml:space="preserve">A eventual contratação de terceiros não transferirá à </w:t>
      </w:r>
      <w:r>
        <w:rPr>
          <w:rFonts w:ascii="Arial" w:hAnsi="Arial"/>
          <w:b w:val="1"/>
        </w:rPr>
        <w:t>CONTRATADA</w:t>
      </w:r>
      <w:r>
        <w:rPr>
          <w:rFonts w:ascii="Arial" w:hAnsi="Arial"/>
        </w:rPr>
        <w:t xml:space="preserve"> a responsabilidade pela execução do objeto, permanecendo esta integralmente responsável perante a </w:t>
      </w:r>
      <w:r>
        <w:rPr>
          <w:rFonts w:ascii="Arial" w:hAnsi="Arial"/>
          <w:b w:val="1"/>
        </w:rPr>
        <w:t xml:space="preserve">CONTRATANTE </w:t>
      </w:r>
      <w:r>
        <w:rPr>
          <w:rFonts w:ascii="Arial" w:hAnsi="Arial"/>
        </w:rPr>
        <w:t>pelo cumprimento de todas as obrigações contratuais.</w:t>
      </w:r>
    </w:p>
    <w:p>
      <w:pPr>
        <w:rPr>
          <w:rFonts w:ascii="Arial" w:hAnsi="Arial"/>
        </w:rPr>
      </w:pPr>
    </w:p>
    <w:p>
      <w:pPr>
        <w:rPr>
          <w:rFonts w:ascii="Arial" w:hAnsi="Arial"/>
          <w:b w:val="1"/>
        </w:rPr>
      </w:pPr>
      <w:r>
        <w:rPr>
          <w:rFonts w:ascii="Arial" w:hAnsi="Arial"/>
          <w:b w:val="1"/>
        </w:rPr>
        <w:t>PARÁGRAFO SEGUNDO</w:t>
      </w:r>
    </w:p>
    <w:p>
      <w:pPr>
        <w:rPr>
          <w:rFonts w:ascii="Arial" w:hAnsi="Arial"/>
        </w:rPr>
      </w:pPr>
      <w:r>
        <w:rPr>
          <w:rFonts w:ascii="Arial" w:hAnsi="Arial"/>
        </w:rPr>
        <w:t>É vedada a transferência ou cessão integral do presente Contrato a terceiros.</w:t>
      </w:r>
    </w:p>
    <w:p>
      <w:pPr>
        <w:rPr>
          <w:rFonts w:ascii="Arial" w:hAnsi="Arial"/>
          <w:b w:val="1"/>
        </w:rPr>
      </w:pPr>
    </w:p>
    <w:p>
      <w:pPr>
        <w:rPr>
          <w:rFonts w:ascii="Arial" w:hAnsi="Arial"/>
          <w:b w:val="1"/>
        </w:rPr>
      </w:pPr>
      <w:r>
        <w:rPr>
          <w:rFonts w:ascii="Arial" w:hAnsi="Arial"/>
          <w:b w:val="1"/>
        </w:rPr>
        <w:t>CLÁUSULA DÉCIMA TERCEIRA – DOS TRIBUTOS E DEMAIS DESPESAS</w:t>
      </w:r>
    </w:p>
    <w:p>
      <w:pPr>
        <w:rPr>
          <w:rFonts w:ascii="Arial" w:hAnsi="Arial"/>
        </w:rPr>
      </w:pPr>
      <w:r>
        <w:rPr>
          <w:rFonts w:ascii="Arial" w:hAnsi="Arial"/>
        </w:rPr>
        <w:t>Constituem encargos exclusivos da</w:t>
      </w:r>
      <w:r>
        <w:rPr>
          <w:rFonts w:ascii="Arial" w:hAnsi="Arial"/>
          <w:b w:val="1"/>
        </w:rPr>
        <w:t xml:space="preserve"> CONTRATADA</w:t>
      </w:r>
      <w:r>
        <w:rPr>
          <w:rFonts w:ascii="Arial" w:hAnsi="Arial"/>
        </w:rPr>
        <w:t xml:space="preserve"> todos os tributos, taxas, contribuições, encargos trabalhistas, previdenciários, fiscais e comerciais, bem como todas as despesas necessárias à execução do objeto contratual.</w:t>
      </w:r>
    </w:p>
    <w:p>
      <w:pPr>
        <w:rPr>
          <w:rFonts w:ascii="Arial" w:hAnsi="Arial"/>
        </w:rPr>
      </w:pPr>
    </w:p>
    <w:p>
      <w:pPr>
        <w:rPr>
          <w:rFonts w:ascii="Arial" w:hAnsi="Arial"/>
          <w:b w:val="1"/>
        </w:rPr>
      </w:pPr>
      <w:r>
        <w:rPr>
          <w:rFonts w:ascii="Arial" w:hAnsi="Arial"/>
          <w:b w:val="1"/>
        </w:rPr>
        <w:t>PARÁGRAFO ÚNICO</w:t>
      </w:r>
    </w:p>
    <w:p>
      <w:pPr>
        <w:rPr>
          <w:rFonts w:ascii="Arial" w:hAnsi="Arial"/>
        </w:rPr>
      </w:pPr>
      <w:r>
        <w:rPr>
          <w:rFonts w:ascii="Arial" w:hAnsi="Arial"/>
        </w:rPr>
        <w:t>Também correrão por conta da</w:t>
      </w:r>
      <w:r>
        <w:rPr>
          <w:rFonts w:ascii="Arial" w:hAnsi="Arial"/>
          <w:b w:val="1"/>
        </w:rPr>
        <w:t xml:space="preserve"> CONTRATADA </w:t>
      </w:r>
      <w:r>
        <w:rPr>
          <w:rFonts w:ascii="Arial" w:hAnsi="Arial"/>
        </w:rPr>
        <w:t>todas as despesas decorrentes da execução dos serviços, inclusive transporte, combustível, pedágios, manutenção dos veículos, pessoal, hospedagem e alimentação de sua equipe, quando necessários à execução do objeto.</w:t>
      </w:r>
    </w:p>
    <w:p>
      <w:pPr>
        <w:rPr>
          <w:rFonts w:ascii="Arial" w:hAnsi="Arial"/>
        </w:rPr>
      </w:pPr>
    </w:p>
    <w:p>
      <w:pPr>
        <w:ind w:firstLine="1134"/>
        <w:rPr>
          <w:rFonts w:ascii="Arial" w:hAnsi="Arial"/>
          <w:b w:val="1"/>
        </w:rPr>
      </w:pPr>
    </w:p>
    <w:p>
      <w:pPr>
        <w:rPr>
          <w:rFonts w:ascii="Arial" w:hAnsi="Arial"/>
          <w:b w:val="1"/>
        </w:rPr>
      </w:pPr>
      <w:r>
        <w:rPr>
          <w:rFonts w:ascii="Arial" w:hAnsi="Arial"/>
          <w:b w:val="1"/>
        </w:rPr>
        <w:t>CLÁUSULA DÉCIMA QUARTA – DA PROTEÇÃO DE DADOS</w:t>
      </w:r>
    </w:p>
    <w:p>
      <w:pPr>
        <w:rPr>
          <w:rFonts w:ascii="Arial" w:hAnsi="Arial"/>
        </w:rPr>
      </w:pPr>
      <w:r>
        <w:rPr>
          <w:rFonts w:ascii="Arial" w:hAnsi="Arial"/>
        </w:rPr>
        <w:t>As partes obrigam-se a observar, no que couber, as disposições da Lei Federal nº 13.709/2018 – Lei Geral de Proteção de Dados Pessoais (LGPD), especialmente quanto ao tratamento de dados pessoais eventualmente necessários à execução do objeto contratual.</w:t>
      </w:r>
    </w:p>
    <w:p>
      <w:pPr>
        <w:rPr>
          <w:rFonts w:ascii="Arial" w:hAnsi="Arial"/>
          <w:b w:val="1"/>
        </w:rPr>
      </w:pPr>
      <w:r>
        <w:rPr>
          <w:rFonts w:ascii="Arial" w:hAnsi="Arial"/>
          <w:b w:val="1"/>
        </w:rPr>
        <w:t>PARÁGRAFO ÚNICO</w:t>
      </w:r>
    </w:p>
    <w:p>
      <w:pPr>
        <w:rPr>
          <w:rFonts w:ascii="Arial" w:hAnsi="Arial"/>
        </w:rPr>
      </w:pPr>
      <w:r>
        <w:rPr>
          <w:rFonts w:ascii="Arial" w:hAnsi="Arial"/>
        </w:rPr>
        <w:t>A</w:t>
      </w:r>
      <w:r>
        <w:rPr>
          <w:rFonts w:ascii="Arial" w:hAnsi="Arial"/>
          <w:b w:val="1"/>
        </w:rPr>
        <w:t xml:space="preserve"> CONTRATADA</w:t>
      </w:r>
      <w:r>
        <w:rPr>
          <w:rFonts w:ascii="Arial" w:hAnsi="Arial"/>
        </w:rPr>
        <w:t xml:space="preserve"> deverá utilizar os dados pessoais a que tiver acesso exclusivamente para as finalidades relacionadas à execução do objeto, adotando medidas adequadas para sua proteção.</w:t>
      </w:r>
    </w:p>
    <w:p>
      <w:pPr>
        <w:ind w:firstLine="1134"/>
        <w:rPr>
          <w:rFonts w:ascii="Arial" w:hAnsi="Arial"/>
          <w:b w:val="1"/>
        </w:rPr>
      </w:pPr>
    </w:p>
    <w:p>
      <w:pPr>
        <w:rPr>
          <w:rFonts w:ascii="Arial" w:hAnsi="Arial"/>
          <w:b w:val="1"/>
        </w:rPr>
      </w:pPr>
      <w:r>
        <w:rPr>
          <w:rFonts w:ascii="Arial" w:hAnsi="Arial"/>
          <w:b w:val="1"/>
        </w:rPr>
        <w:t>CLÁUSULA DÉCIMA QUINTA – DO FORO</w:t>
      </w:r>
    </w:p>
    <w:p>
      <w:pPr>
        <w:rPr>
          <w:rFonts w:ascii="Arial" w:hAnsi="Arial"/>
        </w:rPr>
      </w:pPr>
      <w:r>
        <w:rPr>
          <w:rFonts w:ascii="Arial" w:hAnsi="Arial"/>
        </w:rPr>
        <w:t>Fica eleito o Foro da Comarca de Cruzeiro do Oeste, Estado do Paraná, para dirimir quaisquer questões decorrentes deste Contrato que não possam ser solucionadas administrativamente, com renúncia expressa a qualquer outro, por mais privilegiado que seja.</w:t>
      </w:r>
    </w:p>
    <w:p>
      <w:pPr>
        <w:rPr>
          <w:rFonts w:ascii="Arial" w:hAnsi="Arial"/>
        </w:rPr>
      </w:pPr>
    </w:p>
    <w:p>
      <w:pPr>
        <w:rPr>
          <w:rFonts w:ascii="Arial" w:hAnsi="Arial"/>
        </w:rPr>
      </w:pPr>
      <w:r>
        <w:rPr>
          <w:rFonts w:ascii="Arial" w:hAnsi="Arial"/>
        </w:rPr>
        <w:t>E, por estarem de acordo, as partes firmam o presente instrumento para que produza seus jurídicos e legais efeitos.</w:t>
      </w:r>
    </w:p>
    <w:p>
      <w:pPr>
        <w:rPr>
          <w:rFonts w:ascii="Arial" w:hAnsi="Arial"/>
        </w:rPr>
      </w:pPr>
    </w:p>
    <w:p>
      <w:pPr>
        <w:rPr>
          <w:rFonts w:ascii="Arial" w:hAnsi="Arial"/>
        </w:rPr>
      </w:pPr>
    </w:p>
    <w:p>
      <w:pPr>
        <w:rPr>
          <w:rFonts w:ascii="Arial" w:hAnsi="Arial"/>
        </w:rPr>
      </w:pPr>
    </w:p>
    <w:p>
      <w:pPr>
        <w:rPr>
          <w:rFonts w:ascii="Arial" w:hAnsi="Arial"/>
        </w:rPr>
      </w:pPr>
    </w:p>
    <w:p>
      <w:pPr>
        <w:rPr>
          <w:rFonts w:ascii="Arial" w:hAnsi="Arial"/>
        </w:rPr>
      </w:pPr>
    </w:p>
    <w:p>
      <w:pPr>
        <w:rPr>
          <w:rFonts w:ascii="Arial" w:hAnsi="Arial"/>
        </w:rPr>
      </w:pPr>
    </w:p>
    <w:p>
      <w:pPr>
        <w:ind w:firstLine="1134"/>
        <w:rPr>
          <w:rFonts w:ascii="Arial" w:hAnsi="Arial"/>
        </w:rPr>
      </w:pPr>
    </w:p>
    <w:p>
      <w:pPr>
        <w:rPr>
          <w:rFonts w:ascii="Arial" w:hAnsi="Arial"/>
        </w:rPr>
      </w:pPr>
      <w:r>
        <w:rPr>
          <w:rFonts w:ascii="Arial" w:hAnsi="Arial"/>
        </w:rPr>
        <w:t>Tuneiras do Oeste, ____ de _____________ de 2026.</w:t>
      </w:r>
    </w:p>
    <w:p>
      <w:pPr>
        <w:rPr>
          <w:rFonts w:ascii="Arial" w:hAnsi="Arial"/>
        </w:rPr>
      </w:pPr>
    </w:p>
    <w:p>
      <w:pPr>
        <w:rPr>
          <w:rFonts w:ascii="Arial" w:hAnsi="Arial"/>
        </w:rPr>
      </w:pPr>
    </w:p>
    <w:tbl>
      <w:tblPr>
        <w:tblW w:w="9346" w:type="dxa"/>
        <w:jc w:val="center"/>
        <w:tblLayout w:type="fixed"/>
        <w:tblCellMar>
          <w:left w:w="70" w:type="dxa"/>
          <w:right w:w="70" w:type="dxa"/>
        </w:tblCellMar>
      </w:tblPr>
      <w:tblGrid/>
      <w:tr>
        <w:trPr>
          <w:trHeight w:hRule="atLeast" w:val="1055"/>
          <w:jc w:val="center"/>
        </w:trPr>
        <w:tc>
          <w:tcPr>
            <w:tcW w:w="4666" w:type="dxa"/>
            <w:vAlign w:val="center"/>
          </w:tcPr>
          <w:p>
            <w:pPr>
              <w:jc w:val="center"/>
              <w:rPr>
                <w:rFonts w:ascii="Arial" w:hAnsi="Arial"/>
                <w:b w:val="1"/>
              </w:rPr>
            </w:pPr>
            <w:r>
              <w:rPr>
                <w:rFonts w:ascii="Arial" w:hAnsi="Arial"/>
                <w:b w:val="1"/>
              </w:rPr>
              <w:t>MUNICÍPIO DE TUNEIRAS DO OESTE</w:t>
            </w:r>
          </w:p>
          <w:p>
            <w:pPr>
              <w:jc w:val="center"/>
              <w:rPr>
                <w:rFonts w:ascii="Arial" w:hAnsi="Arial"/>
                <w:b w:val="1"/>
              </w:rPr>
            </w:pPr>
            <w:r>
              <w:rPr>
                <w:rFonts w:ascii="Arial" w:hAnsi="Arial"/>
                <w:b w:val="1"/>
              </w:rPr>
              <w:t>Guerino Mendonça dos Santos</w:t>
            </w:r>
          </w:p>
          <w:p>
            <w:pPr>
              <w:jc w:val="center"/>
              <w:rPr>
                <w:rFonts w:ascii="Arial" w:hAnsi="Arial"/>
              </w:rPr>
            </w:pPr>
            <w:r>
              <w:rPr>
                <w:rFonts w:ascii="Arial" w:hAnsi="Arial"/>
              </w:rPr>
              <w:t>Prefeito Municipal</w:t>
            </w:r>
          </w:p>
        </w:tc>
        <w:tc>
          <w:tcPr>
            <w:tcW w:w="4680" w:type="dxa"/>
            <w:vAlign w:val="center"/>
          </w:tcPr>
          <w:p>
            <w:pPr>
              <w:jc w:val="center"/>
              <w:rPr>
                <w:rFonts w:ascii="Arial" w:hAnsi="Arial"/>
              </w:rPr>
            </w:pPr>
          </w:p>
        </w:tc>
      </w:tr>
      <w:tr>
        <w:trPr>
          <w:jc w:val="center"/>
        </w:trPr>
        <w:tc>
          <w:tcPr>
            <w:tcW w:w="4666" w:type="dxa"/>
            <w:vAlign w:val="center"/>
          </w:tcPr>
          <w:p>
            <w:pPr>
              <w:jc w:val="center"/>
              <w:rPr>
                <w:rFonts w:ascii="Arial" w:hAnsi="Arial"/>
              </w:rPr>
            </w:pPr>
            <w:r>
              <w:rPr>
                <w:rFonts w:ascii="Arial" w:hAnsi="Arial"/>
              </w:rPr>
              <w:t>Contratante</w:t>
            </w:r>
          </w:p>
        </w:tc>
        <w:tc>
          <w:tcPr>
            <w:tcW w:w="4680" w:type="dxa"/>
            <w:vAlign w:val="center"/>
          </w:tcPr>
          <w:p>
            <w:pPr>
              <w:jc w:val="center"/>
              <w:rPr>
                <w:rFonts w:ascii="Arial" w:hAnsi="Arial"/>
              </w:rPr>
            </w:pPr>
            <w:r>
              <w:rPr>
                <w:rFonts w:ascii="Arial" w:hAnsi="Arial"/>
              </w:rPr>
              <w:t>Contratada</w:t>
            </w:r>
          </w:p>
        </w:tc>
      </w:tr>
    </w:tbl>
    <w:p>
      <w:pPr>
        <w:rPr>
          <w:rFonts w:ascii="Arial" w:hAnsi="Arial"/>
        </w:rPr>
      </w:pPr>
    </w:p>
    <w:p>
      <w:pPr>
        <w:rPr>
          <w:rFonts w:ascii="Arial" w:hAnsi="Arial"/>
        </w:rPr>
      </w:pPr>
      <w:r>
        <w:rPr>
          <w:rFonts w:ascii="Arial" w:hAnsi="Arial"/>
        </w:rPr>
        <w:t>Testemunhas:</w:t>
      </w:r>
    </w:p>
    <w:p>
      <w:pPr>
        <w:rPr>
          <w:rFonts w:ascii="Arial" w:hAnsi="Arial"/>
        </w:rPr>
      </w:pPr>
    </w:p>
    <w:p>
      <w:pPr>
        <w:rPr>
          <w:rFonts w:ascii="Arial" w:hAnsi="Arial"/>
        </w:rPr>
      </w:pPr>
    </w:p>
    <w:p>
      <w:pPr>
        <w:rPr>
          <w:rFonts w:ascii="Arial" w:hAnsi="Arial"/>
        </w:rPr>
      </w:pPr>
      <w:r>
        <w:rPr>
          <w:rFonts w:ascii="Arial" w:hAnsi="Arial"/>
        </w:rPr>
        <w:t>1. ______________________________</w:t>
        <w:tab/>
        <w:t>2._______________________________</w:t>
      </w:r>
    </w:p>
    <w:p>
      <w:pPr>
        <w:rPr>
          <w:rFonts w:ascii="Arial" w:hAnsi="Arial"/>
        </w:rPr>
      </w:pPr>
      <w:r>
        <w:rPr>
          <w:rFonts w:ascii="Arial" w:hAnsi="Arial"/>
        </w:rPr>
        <w:t xml:space="preserve">Nome:   Patrícia Barbato</w:t>
        <w:tab/>
        <w:tab/>
        <w:tab/>
        <w:t>Nome: Daiani Mendes Miranda Borges</w:t>
      </w:r>
    </w:p>
    <w:p>
      <w:pPr>
        <w:rPr>
          <w:rFonts w:ascii="Arial" w:hAnsi="Arial"/>
        </w:rPr>
      </w:pPr>
      <w:r>
        <w:rPr>
          <w:rFonts w:ascii="Arial" w:hAnsi="Arial"/>
        </w:rPr>
        <w:t xml:space="preserve">R.G.:   7.370.550-9</w:t>
        <w:tab/>
        <w:t xml:space="preserve"> SSP/PR</w:t>
        <w:tab/>
        <w:tab/>
        <w:t xml:space="preserve"> R.G.: 9.528.597-0 SSP/PR</w:t>
      </w:r>
    </w:p>
    <w:p>
      <w:pPr>
        <w:spacing w:lineRule="auto" w:line="360" w:beforeAutospacing="0" w:afterAutospacing="0"/>
        <w:rPr>
          <w:rFonts w:ascii="Arial" w:hAnsi="Arial"/>
        </w:rPr>
      </w:pPr>
    </w:p>
    <w:p>
      <w:pPr>
        <w:jc w:val="center"/>
      </w:pPr>
    </w:p>
    <w:sectPr>
      <w:headerReference xmlns:r="http://schemas.openxmlformats.org/officeDocument/2006/relationships" w:type="default" r:id="RelHdr2"/>
      <w:footerReference xmlns:r="http://schemas.openxmlformats.org/officeDocument/2006/relationships" w:type="default" r:id="RelFtr2"/>
      <w:type w:val="nextPage"/>
      <w:pgSz w:w="11906" w:h="16838" w:code="0"/>
      <w:pgMar w:left="1701" w:right="1701" w:top="1417" w:bottom="1417" w:header="708" w:footer="708" w:gutter="0"/>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tabs>
        <w:tab w:val="left" w:pos="2410" w:leader="none"/>
      </w:tabs>
      <w:jc w:val="center"/>
      <w:rPr>
        <w:rFonts w:ascii="Tahoma" w:hAnsi="Tahoma"/>
        <w:sz w:val="18"/>
        <w:lang w:eastAsia="en-US"/>
      </w:rPr>
    </w:pPr>
    <w:r>
      <w:rPr>
        <w:rFonts w:ascii="Tahoma" w:hAnsi="Tahoma"/>
        <w:sz w:val="18"/>
        <w:lang w:eastAsia="en-US"/>
      </w:rPr>
      <w:t>Paço Municipal|Rua Santa Catarina, 409|Centro|87450-000|Tuneiras do Oeste|Paraná|Brasil</w:t>
    </w:r>
  </w:p>
  <w:p>
    <w:pPr>
      <w:tabs>
        <w:tab w:val="left" w:pos="510" w:leader="none"/>
        <w:tab w:val="left" w:pos="2410" w:leader="none"/>
        <w:tab w:val="center" w:pos="4678" w:leader="none"/>
      </w:tabs>
      <w:jc w:val="center"/>
      <w:rPr>
        <w:rFonts w:ascii="Tahoma" w:hAnsi="Tahoma"/>
        <w:sz w:val="18"/>
        <w:lang w:eastAsia="en-US"/>
      </w:rPr>
    </w:pPr>
    <w:r>
      <w:rPr>
        <w:rFonts w:ascii="Tahoma" w:hAnsi="Tahoma"/>
        <w:sz w:val="18"/>
        <w:lang w:eastAsia="en-US"/>
      </w:rPr>
      <w:t>CNPJ 76.247.329/0001-13|Fone (44) 3653-1301|</w:t>
    </w:r>
    <w:r>
      <w:rPr>
        <w:rFonts w:ascii="Tahoma" w:hAnsi="Tahoma"/>
        <w:sz w:val="18"/>
        <w:lang w:eastAsia="en-US"/>
      </w:rPr>
      <w:fldChar w:fldCharType="begin"/>
    </w:r>
    <w:r>
      <w:rPr>
        <w:rFonts w:ascii="Tahoma" w:hAnsi="Tahoma"/>
        <w:sz w:val="18"/>
        <w:lang w:eastAsia="en-US"/>
      </w:rPr>
      <w:instrText>HYPERLINK "www.tuneirasdooeste.pr.gov.br"</w:instrText>
    </w:r>
    <w:r>
      <w:rPr>
        <w:rFonts w:ascii="Tahoma" w:hAnsi="Tahoma"/>
        <w:sz w:val="18"/>
        <w:lang w:eastAsia="en-US"/>
      </w:rPr>
      <w:fldChar w:fldCharType="separate"/>
    </w:r>
    <w:r>
      <w:rPr>
        <w:rFonts w:ascii="Tahoma" w:hAnsi="Tahoma"/>
        <w:color w:val="0000FF"/>
        <w:sz w:val="18"/>
        <w:u w:val="single"/>
        <w:lang w:eastAsia="en-US"/>
      </w:rPr>
      <w:t>www.tuneirasdooeste.pr.gov.br</w:t>
    </w:r>
    <w:r>
      <w:rPr>
        <w:rFonts w:ascii="Tahoma" w:hAnsi="Tahoma"/>
        <w:color w:val="0000FF"/>
        <w:sz w:val="18"/>
        <w:u w:val="single"/>
        <w:lang w:eastAsia="en-US"/>
      </w:rPr>
      <w:fldChar w:fldCharType="end"/>
    </w:r>
  </w:p>
  <w:p>
    <w:pPr>
      <w:pStyle w:val="P16"/>
    </w:pPr>
  </w:p>
</w:ftr>
</file>

<file path=word/footer2.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tabs>
        <w:tab w:val="left" w:pos="2410" w:leader="none"/>
      </w:tabs>
      <w:jc w:val="center"/>
      <w:rPr>
        <w:rFonts w:ascii="Tahoma" w:hAnsi="Tahoma"/>
        <w:sz w:val="18"/>
      </w:rPr>
    </w:pPr>
    <w:r>
      <w:rPr>
        <w:rFonts w:ascii="Tahoma" w:hAnsi="Tahoma"/>
        <w:sz w:val="18"/>
      </w:rPr>
      <w:t>Paço Municipal|Rua Santa Catarina, 409|Centro|87450-000|Tuneiras do Oeste|Paraná|Brasil</w:t>
    </w:r>
  </w:p>
  <w:p>
    <w:pPr>
      <w:tabs>
        <w:tab w:val="left" w:pos="510" w:leader="none"/>
        <w:tab w:val="left" w:pos="2410" w:leader="none"/>
        <w:tab w:val="center" w:pos="4678" w:leader="none"/>
      </w:tabs>
      <w:jc w:val="center"/>
      <w:rPr>
        <w:rFonts w:ascii="Tahoma" w:hAnsi="Tahoma"/>
        <w:sz w:val="18"/>
      </w:rPr>
    </w:pPr>
    <w:r>
      <w:rPr>
        <w:rFonts w:ascii="Tahoma" w:hAnsi="Tahoma"/>
        <w:sz w:val="18"/>
      </w:rPr>
      <w:t>CNPJ 76.247.329/0001-13|Fone (44) 3653-1301|</w:t>
    </w:r>
    <w:r>
      <w:rPr>
        <w:rFonts w:ascii="Tahoma" w:hAnsi="Tahoma"/>
        <w:sz w:val="18"/>
      </w:rPr>
      <w:fldChar w:fldCharType="begin"/>
    </w:r>
    <w:r>
      <w:rPr>
        <w:rFonts w:ascii="Tahoma" w:hAnsi="Tahoma"/>
        <w:sz w:val="18"/>
      </w:rPr>
      <w:instrText>HYPERLINK "www.tuneirasdooeste.pr.gov.br"</w:instrText>
    </w:r>
    <w:r>
      <w:rPr>
        <w:rFonts w:ascii="Tahoma" w:hAnsi="Tahoma"/>
        <w:sz w:val="18"/>
      </w:rPr>
      <w:fldChar w:fldCharType="separate"/>
    </w:r>
    <w:r>
      <w:rPr>
        <w:rStyle w:val="C2"/>
        <w:rFonts w:ascii="Tahoma" w:hAnsi="Tahoma"/>
        <w:sz w:val="18"/>
      </w:rPr>
      <w:t>www.tuneirasdooeste.pr.gov.br</w:t>
    </w:r>
    <w:r>
      <w:rPr>
        <w:rStyle w:val="C2"/>
        <w:rFonts w:ascii="Tahoma" w:hAnsi="Tahoma"/>
        <w:sz w:val="18"/>
      </w:rPr>
      <w:fldChar w:fldCharType="end"/>
    </w: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tabs>
        <w:tab w:val="left" w:pos="2410" w:leader="none"/>
        <w:tab w:val="center" w:pos="4678" w:leader="none"/>
      </w:tabs>
      <w:spacing w:lineRule="auto" w:line="264" w:beforeAutospacing="0" w:afterAutospacing="0"/>
      <w:ind w:left="284"/>
      <w:jc w:val="center"/>
      <w:rPr>
        <w:rFonts w:ascii="Tahoma" w:hAnsi="Tahoma"/>
        <w:b w:val="1"/>
        <w:sz w:val="36"/>
      </w:rPr>
    </w:pPr>
    <w:bookmarkStart w:id="0" w:name="_Hlk240461408"/>
    <w:bookmarkStart w:id="1" w:name="_Hlk240461409"/>
    <w:r>
      <w:rPr>
        <w:rFonts w:ascii="Tahoma" w:hAnsi="Tahoma"/>
      </w:rPr>
      <w:drawing>
        <wp:anchor xmlns:wp="http://schemas.openxmlformats.org/drawingml/2006/wordprocessingDrawing" distT="0" distB="0" distL="114300" distR="114300" simplePos="0" relativeHeight="4" behindDoc="1" locked="0" layoutInCell="1" allowOverlap="0">
          <wp:simplePos x="0" y="0"/>
          <wp:positionH relativeFrom="column">
            <wp:posOffset>-308610</wp:posOffset>
          </wp:positionH>
          <wp:positionV relativeFrom="paragraph">
            <wp:posOffset>27305</wp:posOffset>
          </wp:positionV>
          <wp:extent cx="1005840" cy="89598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_x0000_s1025"/>
                  <pic:cNvPicPr>
                    <a:picLocks noChangeAspect="1"/>
                  </pic:cNvPicPr>
                </pic:nvPicPr>
                <pic:blipFill dpi="0">
                  <a:blip xmlns:r="http://schemas.openxmlformats.org/officeDocument/2006/relationships" r:embed="Relimage1"/>
                  <a:srcRect/>
                  <a:stretch>
                    <a:fillRect/>
                  </a:stretch>
                </pic:blipFill>
                <pic:spPr bwMode="auto">
                  <a:xfrm>
                    <a:off x="0" y="0"/>
                    <a:ext cx="1005840" cy="895985"/>
                  </a:xfrm>
                  <a:prstGeom prst="rect"/>
                  <a:noFill/>
                  <a:ln>
                    <a:noFill/>
                  </a:ln>
                </pic:spPr>
              </pic:pic>
            </a:graphicData>
          </a:graphic>
        </wp:anchor>
      </w:drawing>
    </w:r>
    <w:r>
      <w:rPr>
        <w:rFonts w:ascii="Tahoma" w:hAnsi="Tahoma"/>
        <w:b w:val="1"/>
        <w:noProof w:val="1"/>
        <w:sz w:val="24"/>
      </w:rPr>
      <w:drawing>
        <wp:anchor xmlns:wp="http://schemas.openxmlformats.org/drawingml/2006/wordprocessingDrawing" distT="0" distB="0" distL="114300" distR="114300" simplePos="0" relativeHeight="1" behindDoc="1" locked="0" layoutInCell="1" allowOverlap="0">
          <wp:simplePos x="0" y="0"/>
          <wp:positionH relativeFrom="column">
            <wp:posOffset>5208905</wp:posOffset>
          </wp:positionH>
          <wp:positionV relativeFrom="paragraph">
            <wp:posOffset>27305</wp:posOffset>
          </wp:positionV>
          <wp:extent cx="1059180" cy="10572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pic:cNvPicPr>
                </pic:nvPicPr>
                <pic:blipFill dpi="0">
                  <a:blip xmlns:r="http://schemas.openxmlformats.org/officeDocument/2006/relationships" r:embed="Relimage2"/>
                  <a:srcRect/>
                  <a:stretch>
                    <a:fillRect/>
                  </a:stretch>
                </pic:blipFill>
                <pic:spPr bwMode="auto">
                  <a:xfrm>
                    <a:off x="0" y="0"/>
                    <a:ext cx="1059180" cy="1057275"/>
                  </a:xfrm>
                  <a:prstGeom prst="rect"/>
                  <a:noFill/>
                  <a:ln>
                    <a:noFill/>
                  </a:ln>
                </pic:spPr>
              </pic:pic>
            </a:graphicData>
          </a:graphic>
        </wp:anchor>
      </w:drawing>
    </w:r>
    <w:r>
      <w:rPr>
        <w:rFonts w:ascii="Tahoma" w:hAnsi="Tahoma"/>
        <w:b w:val="1"/>
        <w:sz w:val="28"/>
      </w:rPr>
      <w:br w:type="textWrapping"/>
    </w:r>
    <w:r>
      <w:rPr>
        <w:rFonts w:ascii="Tahoma" w:hAnsi="Tahoma"/>
        <w:b w:val="1"/>
        <w:sz w:val="36"/>
      </w:rPr>
      <w:t>MUNICÍPIO DE TUNEIRAS DO OESTE</w:t>
    </w:r>
  </w:p>
  <w:p>
    <w:pPr>
      <w:tabs>
        <w:tab w:val="left" w:pos="765" w:leader="none"/>
        <w:tab w:val="left" w:pos="2410" w:leader="none"/>
        <w:tab w:val="center" w:pos="4678" w:leader="none"/>
      </w:tabs>
      <w:spacing w:lineRule="auto" w:line="264" w:beforeAutospacing="0" w:afterAutospacing="0"/>
      <w:ind w:left="284"/>
      <w:jc w:val="center"/>
      <w:rPr>
        <w:rFonts w:ascii="Tahoma" w:hAnsi="Tahoma"/>
        <w:b w:val="1"/>
        <w:sz w:val="32"/>
      </w:rPr>
    </w:pPr>
    <w:r>
      <w:rPr>
        <w:rFonts w:ascii="Tahoma" w:hAnsi="Tahoma"/>
        <w:b w:val="1"/>
        <w:sz w:val="32"/>
      </w:rPr>
      <w:t>ESTADO DO PARANÁ</w:t>
    </w:r>
  </w:p>
  <w:p>
    <w:pPr>
      <w:pStyle w:val="P15"/>
    </w:pPr>
    <w:bookmarkEnd w:id="0"/>
    <w:bookmarkEnd w:id="1"/>
  </w:p>
</w:hdr>
</file>

<file path=word/header2.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tabs>
        <w:tab w:val="left" w:pos="2410" w:leader="none"/>
        <w:tab w:val="center" w:pos="4678" w:leader="none"/>
      </w:tabs>
      <w:spacing w:lineRule="auto" w:line="264" w:beforeAutospacing="0" w:afterAutospacing="0"/>
      <w:ind w:left="284"/>
      <w:jc w:val="center"/>
      <w:rPr>
        <w:rFonts w:ascii="Tahoma" w:hAnsi="Tahoma"/>
        <w:b w:val="1"/>
        <w:sz w:val="36"/>
      </w:rPr>
    </w:pPr>
    <w:r>
      <w:rPr>
        <w:rFonts w:ascii="Tahoma" w:hAnsi="Tahoma"/>
        <w:noProof w:val="1"/>
      </w:rPr>
      <w:drawing>
        <wp:anchor xmlns:wp="http://schemas.openxmlformats.org/drawingml/2006/wordprocessingDrawing" distT="0" distB="0" distL="114300" distR="114300" simplePos="0" relativeHeight="2" behindDoc="1" locked="0" layoutInCell="1" allowOverlap="1">
          <wp:simplePos x="0" y="0"/>
          <wp:positionH relativeFrom="column">
            <wp:posOffset>-308610</wp:posOffset>
          </wp:positionH>
          <wp:positionV relativeFrom="paragraph">
            <wp:posOffset>27305</wp:posOffset>
          </wp:positionV>
          <wp:extent cx="1005840" cy="895985"/>
          <wp:effectExtent l="0" t="0" r="3810" b="0"/>
          <wp:wrapSquare wrapText="bothSides"/>
          <wp:docPr id="5755240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xmlns:r="http://schemas.openxmlformats.org/officeDocument/2006/relationships" r:embed="Relimage3"/>
                  <a:srcRect/>
                  <a:stretch>
                    <a:fillRect/>
                  </a:stretch>
                </pic:blipFill>
                <pic:spPr bwMode="auto">
                  <a:xfrm>
                    <a:off x="0" y="0"/>
                    <a:ext cx="1005840" cy="895985"/>
                  </a:xfrm>
                  <a:prstGeom prst="rect"/>
                  <a:noFill/>
                </pic:spPr>
              </pic:pic>
            </a:graphicData>
          </a:graphic>
        </wp:anchor>
      </w:drawing>
    </w:r>
    <w:r>
      <w:rPr>
        <w:rFonts w:ascii="Tahoma" w:hAnsi="Tahoma"/>
        <w:b w:val="1"/>
        <w:noProof w:val="1"/>
      </w:rPr>
      <w:drawing>
        <wp:anchor xmlns:wp="http://schemas.openxmlformats.org/drawingml/2006/wordprocessingDrawing" distT="0" distB="0" distL="114300" distR="114300" simplePos="0" relativeHeight="3" behindDoc="1" locked="0" layoutInCell="1" allowOverlap="1">
          <wp:simplePos x="0" y="0"/>
          <wp:positionH relativeFrom="column">
            <wp:posOffset>5208905</wp:posOffset>
          </wp:positionH>
          <wp:positionV relativeFrom="paragraph">
            <wp:posOffset>27305</wp:posOffset>
          </wp:positionV>
          <wp:extent cx="1059180" cy="1057275"/>
          <wp:effectExtent l="0" t="0" r="7620" b="9525"/>
          <wp:wrapNone/>
          <wp:docPr id="12811983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dpi="0">
                  <a:blip xmlns:r="http://schemas.openxmlformats.org/officeDocument/2006/relationships" r:embed="Relimage4"/>
                  <a:srcRect/>
                  <a:stretch>
                    <a:fillRect/>
                  </a:stretch>
                </pic:blipFill>
                <pic:spPr bwMode="auto">
                  <a:xfrm>
                    <a:off x="0" y="0"/>
                    <a:ext cx="1059180" cy="1057275"/>
                  </a:xfrm>
                  <a:prstGeom prst="rect"/>
                  <a:noFill/>
                </pic:spPr>
              </pic:pic>
            </a:graphicData>
          </a:graphic>
        </wp:anchor>
      </w:drawing>
    </w:r>
    <w:r>
      <w:rPr>
        <w:rFonts w:ascii="Tahoma" w:hAnsi="Tahoma"/>
        <w:b w:val="1"/>
        <w:sz w:val="28"/>
      </w:rPr>
      <w:br w:type="textWrapping"/>
    </w:r>
    <w:r>
      <w:rPr>
        <w:rFonts w:ascii="Tahoma" w:hAnsi="Tahoma"/>
        <w:b w:val="1"/>
        <w:sz w:val="36"/>
      </w:rPr>
      <w:t>MUNICÍPIO DE TUNEIRAS DO OESTE</w:t>
    </w:r>
  </w:p>
  <w:p>
    <w:pPr>
      <w:tabs>
        <w:tab w:val="left" w:pos="765" w:leader="none"/>
        <w:tab w:val="left" w:pos="2410" w:leader="none"/>
        <w:tab w:val="center" w:pos="4678" w:leader="none"/>
      </w:tabs>
      <w:spacing w:lineRule="auto" w:line="264" w:beforeAutospacing="0" w:afterAutospacing="0"/>
      <w:ind w:left="284"/>
      <w:jc w:val="center"/>
      <w:rPr>
        <w:rFonts w:ascii="Tahoma" w:hAnsi="Tahoma"/>
        <w:b w:val="1"/>
        <w:sz w:val="32"/>
      </w:rPr>
    </w:pPr>
    <w:r>
      <w:rPr>
        <w:rFonts w:ascii="Tahoma" w:hAnsi="Tahoma"/>
        <w:b w:val="1"/>
        <w:sz w:val="32"/>
      </w:rPr>
      <w:t>ESTADO DO PARANÁ</w:t>
    </w:r>
  </w:p>
  <w:p>
    <w:pPr>
      <w:pStyle w:val="P15"/>
    </w:pPr>
  </w:p>
</w:hdr>
</file>

<file path=word/numbering.xml><?xml version="1.0" encoding="utf-8"?>
<w:numbering xmlns:w="http://schemas.openxmlformats.org/wordprocessingml/2006/main">
  <w:abstractNum w:abstractNumId="0">
    <w:nsid w:val="00000080"/>
    <w:multiLevelType w:val="hybridMultilevel"/>
    <w:lvl w:ilvl="0">
      <w:start w:val="1"/>
      <w:numFmt w:val="bullet"/>
      <w:pStyle w:val="P38"/>
      <w:suff w:val="tab"/>
      <w:lvlText w:val=""/>
      <w:lvlJc w:val="left"/>
      <w:pPr>
        <w:ind w:hanging="360" w:left="1492"/>
        <w:tabs>
          <w:tab w:val="left" w:pos="1492" w:leader="none"/>
        </w:tabs>
      </w:pPr>
      <w:rPr>
        <w:rFonts w:ascii="Symbol" w:hAnsi="Symbol"/>
      </w:rPr>
    </w:lvl>
    <w:lvl w:ilvl="1" w:tplc="6B005F80">
      <w:start w:val="1"/>
      <w:numFmt w:val="decimal"/>
      <w:suff w:val="tab"/>
      <w:lvlText w:val="%1."/>
      <w:lvlJc w:val="left"/>
      <w:pPr/>
      <w:rPr/>
    </w:lvl>
    <w:lvl w:ilvl="2" w:tplc="28B30645">
      <w:start w:val="1"/>
      <w:numFmt w:val="decimal"/>
      <w:suff w:val="tab"/>
      <w:lvlText w:val="%1."/>
      <w:lvlJc w:val="left"/>
      <w:pPr/>
      <w:rPr/>
    </w:lvl>
    <w:lvl w:ilvl="3" w:tplc="235592A2">
      <w:start w:val="1"/>
      <w:numFmt w:val="decimal"/>
      <w:suff w:val="tab"/>
      <w:lvlText w:val="%1."/>
      <w:lvlJc w:val="left"/>
      <w:pPr/>
      <w:rPr/>
    </w:lvl>
    <w:lvl w:ilvl="4" w:tplc="0B5082F3">
      <w:start w:val="1"/>
      <w:numFmt w:val="decimal"/>
      <w:suff w:val="tab"/>
      <w:lvlText w:val="%1."/>
      <w:lvlJc w:val="left"/>
      <w:pPr/>
      <w:rPr/>
    </w:lvl>
    <w:lvl w:ilvl="5" w:tplc="2F1C108C">
      <w:start w:val="1"/>
      <w:numFmt w:val="decimal"/>
      <w:suff w:val="tab"/>
      <w:lvlText w:val="%1."/>
      <w:lvlJc w:val="left"/>
      <w:pPr/>
      <w:rPr/>
    </w:lvl>
    <w:lvl w:ilvl="6" w:tplc="2A0A8BD7">
      <w:start w:val="1"/>
      <w:numFmt w:val="decimal"/>
      <w:suff w:val="tab"/>
      <w:lvlText w:val="%1."/>
      <w:lvlJc w:val="left"/>
      <w:pPr/>
      <w:rPr/>
    </w:lvl>
    <w:lvl w:ilvl="7" w:tplc="6FFD5B06">
      <w:start w:val="1"/>
      <w:numFmt w:val="decimal"/>
      <w:suff w:val="tab"/>
      <w:lvlText w:val="%1."/>
      <w:lvlJc w:val="left"/>
      <w:pPr/>
      <w:rPr/>
    </w:lvl>
    <w:lvl w:ilvl="8" w:tplc="61C7779F">
      <w:start w:val="1"/>
      <w:numFmt w:val="decimal"/>
      <w:suff w:val="tab"/>
      <w:lvlText w:val="%1."/>
      <w:lvlJc w:val="left"/>
      <w:pPr/>
      <w:rPr/>
    </w:lvl>
  </w:abstractNum>
  <w:abstractNum w:abstractNumId="1">
    <w:nsid w:val="03D705C5"/>
    <w:multiLevelType w:val="multilevel"/>
    <w:lvl w:ilvl="0">
      <w:start w:val="1"/>
      <w:numFmt w:val="decimal"/>
      <w:suff w:val="tab"/>
      <w:lvlText w:val="%1."/>
      <w:lvlJc w:val="left"/>
      <w:pPr>
        <w:ind w:hanging="360" w:left="720"/>
      </w:pPr>
      <w:rPr>
        <w:b w:val="1"/>
      </w:rPr>
    </w:lvl>
    <w:lvl w:ilvl="1">
      <w:start w:val="1"/>
      <w:numFmt w:val="decimal"/>
      <w:isLgl w:val="1"/>
      <w:suff w:val="tab"/>
      <w:lvlText w:val="%1.%2."/>
      <w:lvlJc w:val="left"/>
      <w:pPr>
        <w:ind w:hanging="360" w:left="720"/>
      </w:pPr>
      <w:rPr/>
    </w:lvl>
    <w:lvl w:ilvl="2">
      <w:start w:val="1"/>
      <w:numFmt w:val="decimal"/>
      <w:isLgl w:val="1"/>
      <w:suff w:val="tab"/>
      <w:lvlText w:val="%1.%2.%3."/>
      <w:lvlJc w:val="left"/>
      <w:pPr>
        <w:ind w:hanging="720" w:left="1080"/>
      </w:pPr>
      <w:rPr/>
    </w:lvl>
    <w:lvl w:ilvl="3">
      <w:start w:val="1"/>
      <w:numFmt w:val="decimal"/>
      <w:isLgl w:val="1"/>
      <w:suff w:val="tab"/>
      <w:lvlText w:val="%1.%2.%3.%4."/>
      <w:lvlJc w:val="left"/>
      <w:pPr>
        <w:ind w:hanging="720" w:left="1080"/>
      </w:pPr>
      <w:rPr/>
    </w:lvl>
    <w:lvl w:ilvl="4">
      <w:start w:val="1"/>
      <w:numFmt w:val="decimal"/>
      <w:isLgl w:val="1"/>
      <w:suff w:val="tab"/>
      <w:lvlText w:val="%1.%2.%3.%4.%5."/>
      <w:lvlJc w:val="left"/>
      <w:pPr>
        <w:ind w:hanging="1080" w:left="1440"/>
      </w:pPr>
      <w:rPr/>
    </w:lvl>
    <w:lvl w:ilvl="5">
      <w:start w:val="1"/>
      <w:numFmt w:val="decimal"/>
      <w:isLgl w:val="1"/>
      <w:suff w:val="tab"/>
      <w:lvlText w:val="%1.%2.%3.%4.%5.%6."/>
      <w:lvlJc w:val="left"/>
      <w:pPr>
        <w:ind w:hanging="1080" w:left="1440"/>
      </w:pPr>
      <w:rPr/>
    </w:lvl>
    <w:lvl w:ilvl="6">
      <w:start w:val="1"/>
      <w:numFmt w:val="decimal"/>
      <w:isLgl w:val="1"/>
      <w:suff w:val="tab"/>
      <w:lvlText w:val="%1.%2.%3.%4.%5.%6.%7."/>
      <w:lvlJc w:val="left"/>
      <w:pPr>
        <w:ind w:hanging="1440" w:left="1800"/>
      </w:pPr>
      <w:rPr/>
    </w:lvl>
    <w:lvl w:ilvl="7">
      <w:start w:val="1"/>
      <w:numFmt w:val="decimal"/>
      <w:isLgl w:val="1"/>
      <w:suff w:val="tab"/>
      <w:lvlText w:val="%1.%2.%3.%4.%5.%6.%7.%8."/>
      <w:lvlJc w:val="left"/>
      <w:pPr>
        <w:ind w:hanging="1440" w:left="1800"/>
      </w:pPr>
      <w:rPr/>
    </w:lvl>
    <w:lvl w:ilvl="8">
      <w:start w:val="1"/>
      <w:numFmt w:val="decimal"/>
      <w:isLgl w:val="1"/>
      <w:suff w:val="tab"/>
      <w:lvlText w:val="%1.%2.%3.%4.%5.%6.%7.%8.%9."/>
      <w:lvlJc w:val="left"/>
      <w:pPr>
        <w:ind w:hanging="1800" w:left="2160"/>
      </w:pPr>
      <w:rPr/>
    </w:lvl>
  </w:abstractNum>
  <w:abstractNum w:abstractNumId="2">
    <w:nsid w:val="08F43CA7"/>
    <w:multiLevelType w:val="multilevel"/>
    <w:lvl w:ilvl="0">
      <w:start w:val="9"/>
      <w:numFmt w:val="decimal"/>
      <w:suff w:val="tab"/>
      <w:lvlText w:val="%1"/>
      <w:lvlJc w:val="left"/>
      <w:pPr>
        <w:ind w:hanging="705" w:left="705"/>
      </w:pPr>
      <w:rPr/>
    </w:lvl>
    <w:lvl w:ilvl="1">
      <w:start w:val="10"/>
      <w:numFmt w:val="decimal"/>
      <w:suff w:val="tab"/>
      <w:lvlText w:val="%1.%2"/>
      <w:lvlJc w:val="left"/>
      <w:pPr>
        <w:ind w:hanging="705" w:left="1083"/>
      </w:pPr>
      <w:rPr/>
    </w:lvl>
    <w:lvl w:ilvl="2">
      <w:start w:val="9"/>
      <w:numFmt w:val="decimal"/>
      <w:suff w:val="tab"/>
      <w:lvlText w:val="%1.%2.%3"/>
      <w:lvlJc w:val="left"/>
      <w:pPr>
        <w:ind w:hanging="720" w:left="1476"/>
      </w:pPr>
      <w:rPr/>
    </w:lvl>
    <w:lvl w:ilvl="3">
      <w:start w:val="1"/>
      <w:numFmt w:val="decimal"/>
      <w:suff w:val="tab"/>
      <w:lvlText w:val="%1.%2.%3.%4"/>
      <w:lvlJc w:val="left"/>
      <w:pPr>
        <w:ind w:hanging="720" w:left="1854"/>
      </w:pPr>
      <w:rPr/>
    </w:lvl>
    <w:lvl w:ilvl="4">
      <w:start w:val="1"/>
      <w:numFmt w:val="decimal"/>
      <w:suff w:val="tab"/>
      <w:lvlText w:val="%1.%2.%3.%4.%5"/>
      <w:lvlJc w:val="left"/>
      <w:pPr>
        <w:ind w:hanging="1080" w:left="2592"/>
      </w:pPr>
      <w:rPr/>
    </w:lvl>
    <w:lvl w:ilvl="5">
      <w:start w:val="1"/>
      <w:numFmt w:val="decimal"/>
      <w:suff w:val="tab"/>
      <w:lvlText w:val="%1.%2.%3.%4.%5.%6"/>
      <w:lvlJc w:val="left"/>
      <w:pPr>
        <w:ind w:hanging="1080" w:left="2970"/>
      </w:pPr>
      <w:rPr/>
    </w:lvl>
    <w:lvl w:ilvl="6">
      <w:start w:val="1"/>
      <w:numFmt w:val="decimal"/>
      <w:suff w:val="tab"/>
      <w:lvlText w:val="%1.%2.%3.%4.%5.%6.%7"/>
      <w:lvlJc w:val="left"/>
      <w:pPr>
        <w:ind w:hanging="1440" w:left="3708"/>
      </w:pPr>
      <w:rPr/>
    </w:lvl>
    <w:lvl w:ilvl="7">
      <w:start w:val="1"/>
      <w:numFmt w:val="decimal"/>
      <w:suff w:val="tab"/>
      <w:lvlText w:val="%1.%2.%3.%4.%5.%6.%7.%8"/>
      <w:lvlJc w:val="left"/>
      <w:pPr>
        <w:ind w:hanging="1440" w:left="4086"/>
      </w:pPr>
      <w:rPr/>
    </w:lvl>
    <w:lvl w:ilvl="8">
      <w:start w:val="1"/>
      <w:numFmt w:val="decimal"/>
      <w:suff w:val="tab"/>
      <w:lvlText w:val="%1.%2.%3.%4.%5.%6.%7.%8.%9"/>
      <w:lvlJc w:val="left"/>
      <w:pPr>
        <w:ind w:hanging="1800" w:left="4824"/>
      </w:pPr>
      <w:rPr/>
    </w:lvl>
  </w:abstractNum>
  <w:abstractNum w:abstractNumId="3">
    <w:nsid w:val="0B0D1E1D"/>
    <w:multiLevelType w:val="multilevel"/>
    <w:lvl w:ilvl="0">
      <w:start w:val="9"/>
      <w:numFmt w:val="decimal"/>
      <w:suff w:val="tab"/>
      <w:lvlText w:val="%1"/>
      <w:lvlJc w:val="left"/>
      <w:pPr>
        <w:ind w:hanging="705" w:left="705"/>
      </w:pPr>
      <w:rPr/>
    </w:lvl>
    <w:lvl w:ilvl="1">
      <w:start w:val="13"/>
      <w:numFmt w:val="decimal"/>
      <w:suff w:val="tab"/>
      <w:lvlText w:val="%1.%2"/>
      <w:lvlJc w:val="left"/>
      <w:pPr>
        <w:ind w:hanging="705" w:left="1251"/>
      </w:pPr>
      <w:rPr/>
    </w:lvl>
    <w:lvl w:ilvl="2">
      <w:start w:val="1"/>
      <w:numFmt w:val="decimal"/>
      <w:suff w:val="tab"/>
      <w:lvlText w:val="%1.%2.%3"/>
      <w:lvlJc w:val="left"/>
      <w:pPr>
        <w:ind w:hanging="720" w:left="1812"/>
      </w:pPr>
      <w:rPr/>
    </w:lvl>
    <w:lvl w:ilvl="3">
      <w:start w:val="1"/>
      <w:numFmt w:val="decimal"/>
      <w:suff w:val="tab"/>
      <w:lvlText w:val="%1.%2.%3.%4"/>
      <w:lvlJc w:val="left"/>
      <w:pPr>
        <w:ind w:hanging="720" w:left="2358"/>
      </w:pPr>
      <w:rPr/>
    </w:lvl>
    <w:lvl w:ilvl="4">
      <w:start w:val="1"/>
      <w:numFmt w:val="decimal"/>
      <w:suff w:val="tab"/>
      <w:lvlText w:val="%1.%2.%3.%4.%5"/>
      <w:lvlJc w:val="left"/>
      <w:pPr>
        <w:ind w:hanging="1080" w:left="3264"/>
      </w:pPr>
      <w:rPr/>
    </w:lvl>
    <w:lvl w:ilvl="5">
      <w:start w:val="1"/>
      <w:numFmt w:val="decimal"/>
      <w:suff w:val="tab"/>
      <w:lvlText w:val="%1.%2.%3.%4.%5.%6"/>
      <w:lvlJc w:val="left"/>
      <w:pPr>
        <w:ind w:hanging="1080" w:left="3810"/>
      </w:pPr>
      <w:rPr/>
    </w:lvl>
    <w:lvl w:ilvl="6">
      <w:start w:val="1"/>
      <w:numFmt w:val="decimal"/>
      <w:suff w:val="tab"/>
      <w:lvlText w:val="%1.%2.%3.%4.%5.%6.%7"/>
      <w:lvlJc w:val="left"/>
      <w:pPr>
        <w:ind w:hanging="1440" w:left="4716"/>
      </w:pPr>
      <w:rPr/>
    </w:lvl>
    <w:lvl w:ilvl="7">
      <w:start w:val="1"/>
      <w:numFmt w:val="decimal"/>
      <w:suff w:val="tab"/>
      <w:lvlText w:val="%1.%2.%3.%4.%5.%6.%7.%8"/>
      <w:lvlJc w:val="left"/>
      <w:pPr>
        <w:ind w:hanging="1440" w:left="5262"/>
      </w:pPr>
      <w:rPr/>
    </w:lvl>
    <w:lvl w:ilvl="8">
      <w:start w:val="1"/>
      <w:numFmt w:val="decimal"/>
      <w:suff w:val="tab"/>
      <w:lvlText w:val="%1.%2.%3.%4.%5.%6.%7.%8.%9"/>
      <w:lvlJc w:val="left"/>
      <w:pPr>
        <w:ind w:hanging="1800" w:left="6168"/>
      </w:pPr>
      <w:rPr/>
    </w:lvl>
  </w:abstractNum>
  <w:abstractNum w:abstractNumId="4">
    <w:nsid w:val="0F09097E"/>
    <w:multiLevelType w:val="multilevel"/>
    <w:tmpl w:val="0409001D"/>
    <w:styleLink w:val="N7"/>
    <w:lvl w:ilvl="0">
      <w:start w:val="1"/>
      <w:numFmt w:val="decimal"/>
      <w:suff w:val="tab"/>
      <w:lvlText w:val="%1."/>
      <w:lvlJc w:val="left"/>
      <w:pPr>
        <w:ind w:hanging="360" w:left="360"/>
      </w:pPr>
      <w:rPr>
        <w:b w:val="1"/>
      </w:rPr>
    </w:lvl>
    <w:lvl w:ilvl="1">
      <w:start w:val="1"/>
      <w:numFmt w:val="decimal"/>
      <w:suff w:val="tab"/>
      <w:lvlText w:val="%1.%2."/>
      <w:lvlJc w:val="left"/>
      <w:pPr>
        <w:ind w:hanging="432" w:left="999"/>
      </w:pPr>
      <w:rPr>
        <w:rFonts w:ascii="Arial" w:hAnsi="Arial"/>
        <w:b w:val="0"/>
        <w:i w:val="0"/>
        <w:strike w:val="0"/>
        <w:color w:val="auto"/>
        <w:sz w:val="20"/>
        <w:u w:val="none"/>
      </w:rPr>
    </w:lvl>
    <w:lvl w:ilvl="2">
      <w:start w:val="1"/>
      <w:numFmt w:val="decimal"/>
      <w:suff w:val="tab"/>
      <w:lvlText w:val="%1.%2.%3."/>
      <w:lvlJc w:val="left"/>
      <w:pPr>
        <w:ind w:hanging="504" w:left="1638"/>
      </w:pPr>
      <w:rPr>
        <w:rFonts w:ascii="Arial" w:hAnsi="Arial"/>
        <w:b w:val="0"/>
        <w:i w:val="0"/>
        <w:strike w:val="0"/>
        <w:color w:val="auto"/>
        <w:sz w:val="20"/>
        <w:u w:val="none"/>
      </w:rPr>
    </w:lvl>
    <w:lvl w:ilvl="3">
      <w:start w:val="1"/>
      <w:numFmt w:val="decimal"/>
      <w:suff w:val="tab"/>
      <w:lvlText w:val="%1.%2.%3.%4."/>
      <w:lvlJc w:val="left"/>
      <w:pPr>
        <w:ind w:hanging="648" w:left="2491"/>
      </w:pPr>
      <w:rPr/>
    </w:lvl>
    <w:lvl w:ilvl="4">
      <w:start w:val="1"/>
      <w:numFmt w:val="decimal"/>
      <w:suff w:val="tab"/>
      <w:lvlText w:val="%1.%2.%3.%4.%5."/>
      <w:lvlJc w:val="left"/>
      <w:pPr>
        <w:ind w:hanging="792" w:left="2232"/>
      </w:pPr>
      <w:rPr/>
    </w:lvl>
    <w:lvl w:ilvl="5">
      <w:start w:val="1"/>
      <w:numFmt w:val="decimal"/>
      <w:suff w:val="tab"/>
      <w:lvlText w:val="%1.%2.%3.%4.%5.%6."/>
      <w:lvlJc w:val="left"/>
      <w:pPr>
        <w:ind w:hanging="936" w:left="2736"/>
      </w:pPr>
      <w:rPr/>
    </w:lvl>
    <w:lvl w:ilvl="6">
      <w:start w:val="1"/>
      <w:numFmt w:val="decimal"/>
      <w:suff w:val="tab"/>
      <w:lvlText w:val="%1.%2.%3.%4.%5.%6.%7."/>
      <w:lvlJc w:val="left"/>
      <w:pPr>
        <w:ind w:hanging="1080" w:left="3240"/>
      </w:pPr>
      <w:rPr/>
    </w:lvl>
    <w:lvl w:ilvl="7">
      <w:start w:val="1"/>
      <w:numFmt w:val="decimal"/>
      <w:suff w:val="tab"/>
      <w:lvlText w:val="%1.%2.%3.%4.%5.%6.%7.%8."/>
      <w:lvlJc w:val="left"/>
      <w:pPr>
        <w:ind w:hanging="1224" w:left="3744"/>
      </w:pPr>
      <w:rPr/>
    </w:lvl>
    <w:lvl w:ilvl="8">
      <w:start w:val="1"/>
      <w:numFmt w:val="decimal"/>
      <w:suff w:val="tab"/>
      <w:lvlText w:val="%1.%2.%3.%4.%5.%6.%7.%8.%9."/>
      <w:lvlJc w:val="left"/>
      <w:pPr>
        <w:ind w:hanging="1440" w:left="4320"/>
      </w:pPr>
      <w:rPr/>
    </w:lvl>
  </w:abstractNum>
  <w:abstractNum w:abstractNumId="5">
    <w:nsid w:val="1D5C100D"/>
    <w:multiLevelType w:val="multilevel"/>
    <w:lvl w:ilvl="0">
      <w:start w:val="1"/>
      <w:numFmt w:val="decimal"/>
      <w:pStyle w:val="P43"/>
      <w:suff w:val="tab"/>
      <w:lvlText w:val="%1."/>
      <w:lvlJc w:val="left"/>
      <w:pPr>
        <w:ind w:hanging="360" w:left="360"/>
      </w:pPr>
      <w:rPr>
        <w:b w:val="1"/>
        <w:sz w:val="20"/>
      </w:rPr>
    </w:lvl>
    <w:lvl w:ilvl="1">
      <w:start w:val="1"/>
      <w:numFmt w:val="decimal"/>
      <w:suff w:val="tab"/>
      <w:lvlText w:val="%1.%2."/>
      <w:lvlJc w:val="left"/>
      <w:pPr>
        <w:ind w:hanging="432" w:left="1850"/>
      </w:pPr>
      <w:rPr>
        <w:rFonts w:ascii="Arial" w:hAnsi="Arial"/>
        <w:b w:val="1"/>
        <w:i w:val="0"/>
        <w:strike w:val="0"/>
        <w:color w:val="auto"/>
        <w:sz w:val="20"/>
        <w:u w:val="none"/>
      </w:rPr>
    </w:lvl>
    <w:lvl w:ilvl="2">
      <w:start w:val="1"/>
      <w:numFmt w:val="decimal"/>
      <w:suff w:val="tab"/>
      <w:lvlText w:val="%1.%2.%3."/>
      <w:lvlJc w:val="left"/>
      <w:pPr>
        <w:ind w:hanging="504" w:left="1497"/>
      </w:pPr>
      <w:rPr>
        <w:rFonts w:ascii="Arial" w:hAnsi="Arial"/>
        <w:b w:val="1"/>
        <w:i w:val="0"/>
        <w:strike w:val="0"/>
        <w:color w:val="auto"/>
        <w:sz w:val="20"/>
        <w:u w:val="none"/>
      </w:rPr>
    </w:lvl>
    <w:lvl w:ilvl="3">
      <w:start w:val="1"/>
      <w:numFmt w:val="decimal"/>
      <w:suff w:val="tab"/>
      <w:lvlText w:val="%1.%2.%3.%4."/>
      <w:lvlJc w:val="left"/>
      <w:pPr>
        <w:ind w:hanging="648" w:left="2491"/>
      </w:pPr>
      <w:rPr>
        <w:b w:val="1"/>
        <w:i w:val="0"/>
      </w:rPr>
    </w:lvl>
    <w:lvl w:ilvl="4">
      <w:start w:val="1"/>
      <w:numFmt w:val="decimal"/>
      <w:suff w:val="tab"/>
      <w:lvlText w:val="%1.%2.%3.%4.%5."/>
      <w:lvlJc w:val="left"/>
      <w:pPr>
        <w:ind w:hanging="792" w:left="2232"/>
      </w:pPr>
      <w:rPr/>
    </w:lvl>
    <w:lvl w:ilvl="5">
      <w:start w:val="1"/>
      <w:numFmt w:val="decimal"/>
      <w:suff w:val="tab"/>
      <w:lvlText w:val="%1.%2.%3.%4.%5.%6."/>
      <w:lvlJc w:val="left"/>
      <w:pPr>
        <w:ind w:hanging="936" w:left="2736"/>
      </w:pPr>
      <w:rPr/>
    </w:lvl>
    <w:lvl w:ilvl="6">
      <w:start w:val="1"/>
      <w:numFmt w:val="decimal"/>
      <w:suff w:val="tab"/>
      <w:lvlText w:val="%1.%2.%3.%4.%5.%6.%7."/>
      <w:lvlJc w:val="left"/>
      <w:pPr>
        <w:ind w:hanging="1080" w:left="3240"/>
      </w:pPr>
      <w:rPr/>
    </w:lvl>
    <w:lvl w:ilvl="7">
      <w:start w:val="1"/>
      <w:numFmt w:val="decimal"/>
      <w:suff w:val="tab"/>
      <w:lvlText w:val="%1.%2.%3.%4.%5.%6.%7.%8."/>
      <w:lvlJc w:val="left"/>
      <w:pPr>
        <w:ind w:hanging="1224" w:left="3744"/>
      </w:pPr>
      <w:rPr/>
    </w:lvl>
    <w:lvl w:ilvl="8">
      <w:start w:val="1"/>
      <w:numFmt w:val="decimal"/>
      <w:suff w:val="tab"/>
      <w:lvlText w:val="%1.%2.%3.%4.%5.%6.%7.%8.%9."/>
      <w:lvlJc w:val="left"/>
      <w:pPr>
        <w:ind w:hanging="1440" w:left="4320"/>
      </w:pPr>
      <w:rPr/>
    </w:lvl>
  </w:abstractNum>
  <w:abstractNum w:abstractNumId="6">
    <w:nsid w:val="1ECA6698"/>
    <w:multiLevelType w:val="multilevel"/>
    <w:lvl w:ilvl="0">
      <w:start w:val="6"/>
      <w:numFmt w:val="decimal"/>
      <w:suff w:val="tab"/>
      <w:lvlText w:val="%1"/>
      <w:lvlJc w:val="left"/>
      <w:pPr>
        <w:ind w:hanging="435" w:left="435"/>
      </w:pPr>
      <w:rPr/>
    </w:lvl>
    <w:lvl w:ilvl="1">
      <w:start w:val="2"/>
      <w:numFmt w:val="decimal"/>
      <w:suff w:val="tab"/>
      <w:lvlText w:val="%1.%2"/>
      <w:lvlJc w:val="left"/>
      <w:pPr>
        <w:ind w:hanging="435" w:left="577"/>
      </w:pPr>
      <w:rPr/>
    </w:lvl>
    <w:lvl w:ilvl="2">
      <w:start w:val="1"/>
      <w:numFmt w:val="decimal"/>
      <w:suff w:val="tab"/>
      <w:lvlText w:val="%1.%2.%3"/>
      <w:lvlJc w:val="left"/>
      <w:pPr>
        <w:ind w:hanging="720" w:left="1004"/>
      </w:pPr>
      <w:rPr/>
    </w:lvl>
    <w:lvl w:ilvl="3">
      <w:start w:val="1"/>
      <w:numFmt w:val="decimal"/>
      <w:suff w:val="tab"/>
      <w:lvlText w:val="%1.%2.%3.%4"/>
      <w:lvlJc w:val="left"/>
      <w:pPr>
        <w:ind w:hanging="720" w:left="1146"/>
      </w:pPr>
      <w:rPr/>
    </w:lvl>
    <w:lvl w:ilvl="4">
      <w:start w:val="1"/>
      <w:numFmt w:val="decimal"/>
      <w:suff w:val="tab"/>
      <w:lvlText w:val="%1.%2.%3.%4.%5"/>
      <w:lvlJc w:val="left"/>
      <w:pPr>
        <w:ind w:hanging="1080" w:left="1648"/>
      </w:pPr>
      <w:rPr/>
    </w:lvl>
    <w:lvl w:ilvl="5">
      <w:start w:val="1"/>
      <w:numFmt w:val="decimal"/>
      <w:suff w:val="tab"/>
      <w:lvlText w:val="%1.%2.%3.%4.%5.%6"/>
      <w:lvlJc w:val="left"/>
      <w:pPr>
        <w:ind w:hanging="1080" w:left="1790"/>
      </w:pPr>
      <w:rPr/>
    </w:lvl>
    <w:lvl w:ilvl="6">
      <w:start w:val="1"/>
      <w:numFmt w:val="decimal"/>
      <w:suff w:val="tab"/>
      <w:lvlText w:val="%1.%2.%3.%4.%5.%6.%7"/>
      <w:lvlJc w:val="left"/>
      <w:pPr>
        <w:ind w:hanging="1440" w:left="2292"/>
      </w:pPr>
      <w:rPr/>
    </w:lvl>
    <w:lvl w:ilvl="7">
      <w:start w:val="1"/>
      <w:numFmt w:val="decimal"/>
      <w:suff w:val="tab"/>
      <w:lvlText w:val="%1.%2.%3.%4.%5.%6.%7.%8"/>
      <w:lvlJc w:val="left"/>
      <w:pPr>
        <w:ind w:hanging="1440" w:left="2434"/>
      </w:pPr>
      <w:rPr/>
    </w:lvl>
    <w:lvl w:ilvl="8">
      <w:start w:val="1"/>
      <w:numFmt w:val="decimal"/>
      <w:suff w:val="tab"/>
      <w:lvlText w:val="%1.%2.%3.%4.%5.%6.%7.%8.%9"/>
      <w:lvlJc w:val="left"/>
      <w:pPr>
        <w:ind w:hanging="1800" w:left="2936"/>
      </w:pPr>
      <w:rPr/>
    </w:lvl>
  </w:abstractNum>
  <w:abstractNum w:abstractNumId="7">
    <w:nsid w:val="220B4663"/>
    <w:multiLevelType w:val="multilevel"/>
    <w:lvl w:ilvl="0">
      <w:start w:val="9"/>
      <w:numFmt w:val="decimal"/>
      <w:suff w:val="tab"/>
      <w:lvlText w:val="%1"/>
      <w:lvlJc w:val="left"/>
      <w:pPr>
        <w:ind w:hanging="540" w:left="540"/>
      </w:pPr>
      <w:rPr/>
    </w:lvl>
    <w:lvl w:ilvl="1">
      <w:start w:val="12"/>
      <w:numFmt w:val="decimal"/>
      <w:suff w:val="tab"/>
      <w:lvlText w:val="%1.%2"/>
      <w:lvlJc w:val="left"/>
      <w:pPr>
        <w:ind w:hanging="540" w:left="1107"/>
      </w:pPr>
      <w:rPr/>
    </w:lvl>
    <w:lvl w:ilvl="2">
      <w:start w:val="1"/>
      <w:numFmt w:val="decimal"/>
      <w:suff w:val="tab"/>
      <w:lvlText w:val="%1.%2.%3"/>
      <w:lvlJc w:val="left"/>
      <w:pPr>
        <w:ind w:hanging="720" w:left="1854"/>
      </w:pPr>
      <w:rPr/>
    </w:lvl>
    <w:lvl w:ilvl="3">
      <w:start w:val="1"/>
      <w:numFmt w:val="decimal"/>
      <w:suff w:val="tab"/>
      <w:lvlText w:val="%1.%2.%3.%4"/>
      <w:lvlJc w:val="left"/>
      <w:pPr>
        <w:ind w:hanging="720" w:left="2421"/>
      </w:pPr>
      <w:rPr/>
    </w:lvl>
    <w:lvl w:ilvl="4">
      <w:start w:val="1"/>
      <w:numFmt w:val="decimal"/>
      <w:suff w:val="tab"/>
      <w:lvlText w:val="%1.%2.%3.%4.%5"/>
      <w:lvlJc w:val="left"/>
      <w:pPr>
        <w:ind w:hanging="1080" w:left="3348"/>
      </w:pPr>
      <w:rPr/>
    </w:lvl>
    <w:lvl w:ilvl="5">
      <w:start w:val="1"/>
      <w:numFmt w:val="decimal"/>
      <w:suff w:val="tab"/>
      <w:lvlText w:val="%1.%2.%3.%4.%5.%6"/>
      <w:lvlJc w:val="left"/>
      <w:pPr>
        <w:ind w:hanging="1080" w:left="3915"/>
      </w:pPr>
      <w:rPr/>
    </w:lvl>
    <w:lvl w:ilvl="6">
      <w:start w:val="1"/>
      <w:numFmt w:val="decimal"/>
      <w:suff w:val="tab"/>
      <w:lvlText w:val="%1.%2.%3.%4.%5.%6.%7"/>
      <w:lvlJc w:val="left"/>
      <w:pPr>
        <w:ind w:hanging="1440" w:left="4842"/>
      </w:pPr>
      <w:rPr/>
    </w:lvl>
    <w:lvl w:ilvl="7">
      <w:start w:val="1"/>
      <w:numFmt w:val="decimal"/>
      <w:suff w:val="tab"/>
      <w:lvlText w:val="%1.%2.%3.%4.%5.%6.%7.%8"/>
      <w:lvlJc w:val="left"/>
      <w:pPr>
        <w:ind w:hanging="1440" w:left="5409"/>
      </w:pPr>
      <w:rPr/>
    </w:lvl>
    <w:lvl w:ilvl="8">
      <w:start w:val="1"/>
      <w:numFmt w:val="decimal"/>
      <w:suff w:val="tab"/>
      <w:lvlText w:val="%1.%2.%3.%4.%5.%6.%7.%8.%9"/>
      <w:lvlJc w:val="left"/>
      <w:pPr>
        <w:ind w:hanging="1800" w:left="6336"/>
      </w:pPr>
      <w:rPr/>
    </w:lvl>
  </w:abstractNum>
  <w:abstractNum w:abstractNumId="8">
    <w:nsid w:val="33B441A2"/>
    <w:multiLevelType w:val="multilevel"/>
    <w:tmpl w:val="0409001D"/>
    <w:styleLink w:val="N1"/>
    <w:lvl w:ilvl="0">
      <w:start w:val="1"/>
      <w:numFmt w:val="decimal"/>
      <w:suff w:val="tab"/>
      <w:lvlText w:val="%1)"/>
      <w:lvlJc w:val="left"/>
      <w:pPr>
        <w:ind w:hanging="360" w:left="360"/>
      </w:pPr>
      <w:rPr>
        <w:rFonts w:ascii="1" w:hAnsi="1"/>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9">
    <w:nsid w:val="346250F7"/>
    <w:multiLevelType w:val="multilevel"/>
    <w:lvl w:ilvl="0">
      <w:start w:val="6"/>
      <w:numFmt w:val="decimal"/>
      <w:suff w:val="tab"/>
      <w:lvlText w:val="%1"/>
      <w:lvlJc w:val="left"/>
      <w:pPr>
        <w:ind w:hanging="360" w:left="360"/>
      </w:pPr>
      <w:rPr/>
    </w:lvl>
    <w:lvl w:ilvl="1">
      <w:start w:val="1"/>
      <w:numFmt w:val="decimal"/>
      <w:suff w:val="tab"/>
      <w:lvlText w:val="%1.%2"/>
      <w:lvlJc w:val="left"/>
      <w:pPr>
        <w:ind w:hanging="360" w:left="785"/>
      </w:pPr>
      <w:rPr/>
    </w:lvl>
    <w:lvl w:ilvl="2">
      <w:start w:val="1"/>
      <w:numFmt w:val="decimal"/>
      <w:suff w:val="tab"/>
      <w:lvlText w:val="%1.%2.%3"/>
      <w:lvlJc w:val="left"/>
      <w:pPr>
        <w:ind w:hanging="720" w:left="1712"/>
      </w:pPr>
      <w:rPr/>
    </w:lvl>
    <w:lvl w:ilvl="3">
      <w:start w:val="1"/>
      <w:numFmt w:val="decimal"/>
      <w:suff w:val="tab"/>
      <w:lvlText w:val="%1.%2.%3.%4"/>
      <w:lvlJc w:val="left"/>
      <w:pPr>
        <w:ind w:hanging="720" w:left="2208"/>
      </w:pPr>
      <w:rPr/>
    </w:lvl>
    <w:lvl w:ilvl="4">
      <w:start w:val="1"/>
      <w:numFmt w:val="decimal"/>
      <w:suff w:val="tab"/>
      <w:lvlText w:val="%1.%2.%3.%4.%5"/>
      <w:lvlJc w:val="left"/>
      <w:pPr>
        <w:ind w:hanging="1080" w:left="3064"/>
      </w:pPr>
      <w:rPr/>
    </w:lvl>
    <w:lvl w:ilvl="5">
      <w:start w:val="1"/>
      <w:numFmt w:val="decimal"/>
      <w:suff w:val="tab"/>
      <w:lvlText w:val="%1.%2.%3.%4.%5.%6"/>
      <w:lvlJc w:val="left"/>
      <w:pPr>
        <w:ind w:hanging="1080" w:left="3560"/>
      </w:pPr>
      <w:rPr/>
    </w:lvl>
    <w:lvl w:ilvl="6">
      <w:start w:val="1"/>
      <w:numFmt w:val="decimal"/>
      <w:suff w:val="tab"/>
      <w:lvlText w:val="%1.%2.%3.%4.%5.%6.%7"/>
      <w:lvlJc w:val="left"/>
      <w:pPr>
        <w:ind w:hanging="1440" w:left="4416"/>
      </w:pPr>
      <w:rPr/>
    </w:lvl>
    <w:lvl w:ilvl="7">
      <w:start w:val="1"/>
      <w:numFmt w:val="decimal"/>
      <w:suff w:val="tab"/>
      <w:lvlText w:val="%1.%2.%3.%4.%5.%6.%7.%8"/>
      <w:lvlJc w:val="left"/>
      <w:pPr>
        <w:ind w:hanging="1440" w:left="4912"/>
      </w:pPr>
      <w:rPr/>
    </w:lvl>
    <w:lvl w:ilvl="8">
      <w:start w:val="1"/>
      <w:numFmt w:val="decimal"/>
      <w:suff w:val="tab"/>
      <w:lvlText w:val="%1.%2.%3.%4.%5.%6.%7.%8.%9"/>
      <w:lvlJc w:val="left"/>
      <w:pPr>
        <w:ind w:hanging="1800" w:left="5768"/>
      </w:pPr>
      <w:rPr/>
    </w:lvl>
  </w:abstractNum>
  <w:abstractNum w:abstractNumId="10">
    <w:nsid w:val="3C38010C"/>
    <w:multiLevelType w:val="multilevel"/>
    <w:lvl w:ilvl="0">
      <w:start w:val="9"/>
      <w:numFmt w:val="decimal"/>
      <w:suff w:val="tab"/>
      <w:lvlText w:val="%1"/>
      <w:lvlJc w:val="left"/>
      <w:pPr>
        <w:ind w:hanging="540" w:left="540"/>
      </w:pPr>
      <w:rPr/>
    </w:lvl>
    <w:lvl w:ilvl="1">
      <w:start w:val="11"/>
      <w:numFmt w:val="decimal"/>
      <w:suff w:val="tab"/>
      <w:lvlText w:val="%1.%2"/>
      <w:lvlJc w:val="left"/>
      <w:pPr>
        <w:ind w:hanging="540" w:left="1107"/>
      </w:pPr>
      <w:rPr/>
    </w:lvl>
    <w:lvl w:ilvl="2">
      <w:start w:val="1"/>
      <w:numFmt w:val="decimal"/>
      <w:suff w:val="tab"/>
      <w:lvlText w:val="%1.%2.%3"/>
      <w:lvlJc w:val="left"/>
      <w:pPr>
        <w:ind w:hanging="720" w:left="1854"/>
      </w:pPr>
      <w:rPr>
        <w:b w:val="0"/>
      </w:rPr>
    </w:lvl>
    <w:lvl w:ilvl="3">
      <w:start w:val="1"/>
      <w:numFmt w:val="decimal"/>
      <w:suff w:val="tab"/>
      <w:lvlText w:val="%1.%2.%3.%4"/>
      <w:lvlJc w:val="left"/>
      <w:pPr>
        <w:ind w:hanging="720" w:left="2421"/>
      </w:pPr>
      <w:rPr/>
    </w:lvl>
    <w:lvl w:ilvl="4">
      <w:start w:val="1"/>
      <w:numFmt w:val="decimal"/>
      <w:suff w:val="tab"/>
      <w:lvlText w:val="%1.%2.%3.%4.%5"/>
      <w:lvlJc w:val="left"/>
      <w:pPr>
        <w:ind w:hanging="1080" w:left="3348"/>
      </w:pPr>
      <w:rPr/>
    </w:lvl>
    <w:lvl w:ilvl="5">
      <w:start w:val="1"/>
      <w:numFmt w:val="decimal"/>
      <w:suff w:val="tab"/>
      <w:lvlText w:val="%1.%2.%3.%4.%5.%6"/>
      <w:lvlJc w:val="left"/>
      <w:pPr>
        <w:ind w:hanging="1080" w:left="3915"/>
      </w:pPr>
      <w:rPr/>
    </w:lvl>
    <w:lvl w:ilvl="6">
      <w:start w:val="1"/>
      <w:numFmt w:val="decimal"/>
      <w:suff w:val="tab"/>
      <w:lvlText w:val="%1.%2.%3.%4.%5.%6.%7"/>
      <w:lvlJc w:val="left"/>
      <w:pPr>
        <w:ind w:hanging="1440" w:left="4842"/>
      </w:pPr>
      <w:rPr/>
    </w:lvl>
    <w:lvl w:ilvl="7">
      <w:start w:val="1"/>
      <w:numFmt w:val="decimal"/>
      <w:suff w:val="tab"/>
      <w:lvlText w:val="%1.%2.%3.%4.%5.%6.%7.%8"/>
      <w:lvlJc w:val="left"/>
      <w:pPr>
        <w:ind w:hanging="1440" w:left="5409"/>
      </w:pPr>
      <w:rPr/>
    </w:lvl>
    <w:lvl w:ilvl="8">
      <w:start w:val="1"/>
      <w:numFmt w:val="decimal"/>
      <w:suff w:val="tab"/>
      <w:lvlText w:val="%1.%2.%3.%4.%5.%6.%7.%8.%9"/>
      <w:lvlJc w:val="left"/>
      <w:pPr>
        <w:ind w:hanging="1800" w:left="6336"/>
      </w:pPr>
      <w:rPr/>
    </w:lvl>
  </w:abstractNum>
  <w:abstractNum w:abstractNumId="11">
    <w:nsid w:val="3F5B4B07"/>
    <w:multiLevelType w:val="multilevel"/>
    <w:tmpl w:val="0409001D"/>
    <w:styleLink w:val="N2"/>
    <w:lvl w:ilvl="0">
      <w:start w:val="6"/>
      <w:numFmt w:val="decimal"/>
      <w:suff w:val="tab"/>
      <w:lvlText w:val="8.%1"/>
      <w:lvlJc w:val="left"/>
      <w:pPr>
        <w:ind w:hanging="555" w:left="555"/>
      </w:pPr>
      <w:rPr/>
    </w:lvl>
    <w:lvl w:ilvl="1">
      <w:start w:val="1"/>
      <w:numFmt w:val="lowerLetter"/>
      <w:suff w:val="tab"/>
      <w:lvlText w:val="%2."/>
      <w:lvlJc w:val="left"/>
      <w:pPr>
        <w:ind w:hanging="360" w:left="1440"/>
      </w:pPr>
      <w:rPr/>
    </w:lvl>
    <w:lvl w:ilvl="2">
      <w:start w:val="1"/>
      <w:numFmt w:val="lowerRoman"/>
      <w:suff w:val="tab"/>
      <w:lvlText w:val="%3."/>
      <w:lvlJc w:val="right"/>
      <w:pPr>
        <w:ind w:hanging="180" w:left="2160"/>
      </w:pPr>
      <w:rPr/>
    </w:lvl>
    <w:lvl w:ilvl="3">
      <w:start w:val="1"/>
      <w:numFmt w:val="decimal"/>
      <w:suff w:val="tab"/>
      <w:lvlText w:val="%4."/>
      <w:lvlJc w:val="left"/>
      <w:pPr>
        <w:ind w:hanging="360" w:left="2880"/>
      </w:pPr>
      <w:rPr/>
    </w:lvl>
    <w:lvl w:ilvl="4">
      <w:start w:val="1"/>
      <w:numFmt w:val="lowerLetter"/>
      <w:suff w:val="tab"/>
      <w:lvlText w:val="%5."/>
      <w:lvlJc w:val="left"/>
      <w:pPr>
        <w:ind w:hanging="360" w:left="3600"/>
      </w:pPr>
      <w:rPr/>
    </w:lvl>
    <w:lvl w:ilvl="5">
      <w:start w:val="1"/>
      <w:numFmt w:val="lowerRoman"/>
      <w:suff w:val="tab"/>
      <w:lvlText w:val="%6."/>
      <w:lvlJc w:val="right"/>
      <w:pPr>
        <w:ind w:hanging="180" w:left="4320"/>
      </w:pPr>
      <w:rPr/>
    </w:lvl>
    <w:lvl w:ilvl="6">
      <w:start w:val="1"/>
      <w:numFmt w:val="decimal"/>
      <w:suff w:val="tab"/>
      <w:lvlText w:val="%7."/>
      <w:lvlJc w:val="left"/>
      <w:pPr>
        <w:ind w:hanging="360" w:left="5040"/>
      </w:pPr>
      <w:rPr/>
    </w:lvl>
    <w:lvl w:ilvl="7">
      <w:start w:val="1"/>
      <w:numFmt w:val="lowerLetter"/>
      <w:suff w:val="tab"/>
      <w:lvlText w:val="%8."/>
      <w:lvlJc w:val="left"/>
      <w:pPr>
        <w:ind w:hanging="360" w:left="5760"/>
      </w:pPr>
      <w:rPr/>
    </w:lvl>
    <w:lvl w:ilvl="8">
      <w:start w:val="1"/>
      <w:numFmt w:val="lowerRoman"/>
      <w:suff w:val="tab"/>
      <w:lvlText w:val="%9."/>
      <w:lvlJc w:val="right"/>
      <w:pPr>
        <w:ind w:hanging="180" w:left="6480"/>
      </w:pPr>
      <w:rPr/>
    </w:lvl>
  </w:abstractNum>
  <w:abstractNum w:abstractNumId="12">
    <w:nsid w:val="4459525D"/>
    <w:multiLevelType w:val="multilevel"/>
    <w:lvl w:ilvl="0">
      <w:start w:val="14"/>
      <w:numFmt w:val="decimal"/>
      <w:suff w:val="tab"/>
      <w:lvlText w:val="%1."/>
      <w:lvlJc w:val="left"/>
      <w:pPr>
        <w:ind w:hanging="360" w:left="720"/>
      </w:pPr>
      <w:rPr/>
    </w:lvl>
    <w:lvl w:ilvl="1">
      <w:start w:val="1"/>
      <w:numFmt w:val="decimal"/>
      <w:isLgl w:val="1"/>
      <w:suff w:val="tab"/>
      <w:lvlText w:val="%1.%2."/>
      <w:lvlJc w:val="left"/>
      <w:pPr>
        <w:ind w:hanging="435" w:left="795"/>
      </w:pPr>
      <w:rPr>
        <w:b w:val="0"/>
      </w:rPr>
    </w:lvl>
    <w:lvl w:ilvl="2">
      <w:start w:val="1"/>
      <w:numFmt w:val="decimal"/>
      <w:isLgl w:val="1"/>
      <w:suff w:val="tab"/>
      <w:lvlText w:val="%1.%2.%3."/>
      <w:lvlJc w:val="left"/>
      <w:pPr>
        <w:ind w:hanging="720" w:left="1080"/>
      </w:pPr>
      <w:rPr/>
    </w:lvl>
    <w:lvl w:ilvl="3">
      <w:start w:val="1"/>
      <w:numFmt w:val="decimal"/>
      <w:isLgl w:val="1"/>
      <w:suff w:val="tab"/>
      <w:lvlText w:val="%1.%2.%3.%4."/>
      <w:lvlJc w:val="left"/>
      <w:pPr>
        <w:ind w:hanging="720" w:left="1080"/>
      </w:pPr>
      <w:rPr/>
    </w:lvl>
    <w:lvl w:ilvl="4">
      <w:start w:val="1"/>
      <w:numFmt w:val="decimal"/>
      <w:isLgl w:val="1"/>
      <w:suff w:val="tab"/>
      <w:lvlText w:val="%1.%2.%3.%4.%5."/>
      <w:lvlJc w:val="left"/>
      <w:pPr>
        <w:ind w:hanging="1080" w:left="1440"/>
      </w:pPr>
      <w:rPr/>
    </w:lvl>
    <w:lvl w:ilvl="5">
      <w:start w:val="1"/>
      <w:numFmt w:val="decimal"/>
      <w:isLgl w:val="1"/>
      <w:suff w:val="tab"/>
      <w:lvlText w:val="%1.%2.%3.%4.%5.%6."/>
      <w:lvlJc w:val="left"/>
      <w:pPr>
        <w:ind w:hanging="1080" w:left="1440"/>
      </w:pPr>
      <w:rPr/>
    </w:lvl>
    <w:lvl w:ilvl="6">
      <w:start w:val="1"/>
      <w:numFmt w:val="decimal"/>
      <w:isLgl w:val="1"/>
      <w:suff w:val="tab"/>
      <w:lvlText w:val="%1.%2.%3.%4.%5.%6.%7."/>
      <w:lvlJc w:val="left"/>
      <w:pPr>
        <w:ind w:hanging="1440" w:left="1800"/>
      </w:pPr>
      <w:rPr/>
    </w:lvl>
    <w:lvl w:ilvl="7">
      <w:start w:val="1"/>
      <w:numFmt w:val="decimal"/>
      <w:isLgl w:val="1"/>
      <w:suff w:val="tab"/>
      <w:lvlText w:val="%1.%2.%3.%4.%5.%6.%7.%8."/>
      <w:lvlJc w:val="left"/>
      <w:pPr>
        <w:ind w:hanging="1440" w:left="1800"/>
      </w:pPr>
      <w:rPr/>
    </w:lvl>
    <w:lvl w:ilvl="8">
      <w:start w:val="1"/>
      <w:numFmt w:val="decimal"/>
      <w:isLgl w:val="1"/>
      <w:suff w:val="tab"/>
      <w:lvlText w:val="%1.%2.%3.%4.%5.%6.%7.%8.%9."/>
      <w:lvlJc w:val="left"/>
      <w:pPr>
        <w:ind w:hanging="1800" w:left="2160"/>
      </w:pPr>
      <w:rPr/>
    </w:lvl>
  </w:abstractNum>
  <w:abstractNum w:abstractNumId="13">
    <w:nsid w:val="4C2A2B11"/>
    <w:multiLevelType w:val="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14">
    <w:nsid w:val="4DD80F6E"/>
    <w:multiLevelType w:val="multilevel"/>
    <w:tmpl w:val="0409001D"/>
    <w:styleLink w:val="N3"/>
    <w:lvl w:ilvl="0">
      <w:start w:val="3"/>
      <w:numFmt w:val="decimal"/>
      <w:suff w:val="tab"/>
      <w:lvlText w:val="%1)"/>
      <w:lvlJc w:val="left"/>
      <w:pPr>
        <w:ind w:hanging="360" w:left="360"/>
      </w:pPr>
      <w:rPr>
        <w:rFonts w:ascii="3" w:hAnsi="3"/>
        <w:b w:val="0"/>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15">
    <w:nsid w:val="55764A2F"/>
    <w:multiLevelType w:val="hybridMultilevel"/>
    <w:lvl w:ilvl="0" w:tplc="80B8B61E">
      <w:start w:val="1"/>
      <w:numFmt w:val="lowerLetter"/>
      <w:suff w:val="tab"/>
      <w:lvlText w:val="%1)"/>
      <w:lvlJc w:val="left"/>
      <w:pPr>
        <w:ind w:hanging="360" w:left="1440"/>
      </w:pPr>
      <w:rPr>
        <w:b w:val="1"/>
      </w:rPr>
    </w:lvl>
    <w:lvl w:ilvl="1" w:tplc="04160019">
      <w:start w:val="1"/>
      <w:numFmt w:val="decimal"/>
      <w:suff w:val="tab"/>
      <w:lvlText w:val="%2."/>
      <w:lvlJc w:val="left"/>
      <w:pPr>
        <w:ind w:hanging="360" w:left="1440"/>
        <w:tabs>
          <w:tab w:val="left" w:pos="1440" w:leader="none"/>
        </w:tabs>
      </w:pPr>
      <w:rPr/>
    </w:lvl>
    <w:lvl w:ilvl="2" w:tplc="0416001B">
      <w:start w:val="1"/>
      <w:numFmt w:val="decimal"/>
      <w:suff w:val="tab"/>
      <w:lvlText w:val="%3."/>
      <w:lvlJc w:val="left"/>
      <w:pPr>
        <w:ind w:hanging="360" w:left="2160"/>
        <w:tabs>
          <w:tab w:val="left" w:pos="2160" w:leader="none"/>
        </w:tabs>
      </w:pPr>
      <w:rPr/>
    </w:lvl>
    <w:lvl w:ilvl="3" w:tplc="0416000F">
      <w:start w:val="1"/>
      <w:numFmt w:val="decimal"/>
      <w:suff w:val="tab"/>
      <w:lvlText w:val="%4."/>
      <w:lvlJc w:val="left"/>
      <w:pPr>
        <w:ind w:hanging="360" w:left="2880"/>
        <w:tabs>
          <w:tab w:val="left" w:pos="2880" w:leader="none"/>
        </w:tabs>
      </w:pPr>
      <w:rPr/>
    </w:lvl>
    <w:lvl w:ilvl="4" w:tplc="04160019">
      <w:start w:val="1"/>
      <w:numFmt w:val="decimal"/>
      <w:suff w:val="tab"/>
      <w:lvlText w:val="%5."/>
      <w:lvlJc w:val="left"/>
      <w:pPr>
        <w:ind w:hanging="360" w:left="3600"/>
        <w:tabs>
          <w:tab w:val="left" w:pos="3600" w:leader="none"/>
        </w:tabs>
      </w:pPr>
      <w:rPr/>
    </w:lvl>
    <w:lvl w:ilvl="5" w:tplc="0416001B">
      <w:start w:val="1"/>
      <w:numFmt w:val="decimal"/>
      <w:suff w:val="tab"/>
      <w:lvlText w:val="%6."/>
      <w:lvlJc w:val="left"/>
      <w:pPr>
        <w:ind w:hanging="360" w:left="4320"/>
        <w:tabs>
          <w:tab w:val="left" w:pos="4320" w:leader="none"/>
        </w:tabs>
      </w:pPr>
      <w:rPr/>
    </w:lvl>
    <w:lvl w:ilvl="6" w:tplc="0416000F">
      <w:start w:val="1"/>
      <w:numFmt w:val="decimal"/>
      <w:suff w:val="tab"/>
      <w:lvlText w:val="%7."/>
      <w:lvlJc w:val="left"/>
      <w:pPr>
        <w:ind w:hanging="360" w:left="5040"/>
        <w:tabs>
          <w:tab w:val="left" w:pos="5040" w:leader="none"/>
        </w:tabs>
      </w:pPr>
      <w:rPr/>
    </w:lvl>
    <w:lvl w:ilvl="7" w:tplc="04160019">
      <w:start w:val="1"/>
      <w:numFmt w:val="decimal"/>
      <w:suff w:val="tab"/>
      <w:lvlText w:val="%8."/>
      <w:lvlJc w:val="left"/>
      <w:pPr>
        <w:ind w:hanging="360" w:left="5760"/>
        <w:tabs>
          <w:tab w:val="left" w:pos="5760" w:leader="none"/>
        </w:tabs>
      </w:pPr>
      <w:rPr/>
    </w:lvl>
    <w:lvl w:ilvl="8" w:tplc="0416001B">
      <w:start w:val="1"/>
      <w:numFmt w:val="decimal"/>
      <w:suff w:val="tab"/>
      <w:lvlText w:val="%9."/>
      <w:lvlJc w:val="left"/>
      <w:pPr>
        <w:ind w:hanging="360" w:left="6480"/>
        <w:tabs>
          <w:tab w:val="left" w:pos="6480" w:leader="none"/>
        </w:tabs>
      </w:pPr>
      <w:rPr/>
    </w:lvl>
  </w:abstractNum>
  <w:abstractNum w:abstractNumId="16">
    <w:nsid w:val="58C70088"/>
    <w:multiLevelType w:val="multilevel"/>
    <w:lvl w:ilvl="0">
      <w:start w:val="1"/>
      <w:numFmt w:val="decimal"/>
      <w:pStyle w:val="P51"/>
      <w:suff w:val="tab"/>
      <w:lvlText w:val="%1."/>
      <w:lvlJc w:val="left"/>
      <w:pPr>
        <w:ind w:hanging="360" w:left="502"/>
      </w:pPr>
      <w:rPr>
        <w:b w:val="1"/>
        <w:i w:val="0"/>
        <w:strike w:val="0"/>
        <w:u w:val="none"/>
      </w:rPr>
    </w:lvl>
    <w:lvl w:ilvl="1">
      <w:start w:val="1"/>
      <w:numFmt w:val="decimal"/>
      <w:pStyle w:val="P50"/>
      <w:suff w:val="tab"/>
      <w:lvlText w:val="%1.%2."/>
      <w:lvlJc w:val="left"/>
      <w:pPr>
        <w:ind w:hanging="432" w:left="858"/>
      </w:pPr>
      <w:rPr>
        <w:b w:val="0"/>
        <w:strike w:val="0"/>
        <w:u w:val="none"/>
      </w:rPr>
    </w:lvl>
    <w:lvl w:ilvl="2">
      <w:start w:val="1"/>
      <w:numFmt w:val="decimal"/>
      <w:pStyle w:val="P52"/>
      <w:suff w:val="tab"/>
      <w:lvlText w:val="%1.%2.%3."/>
      <w:lvlJc w:val="left"/>
      <w:pPr>
        <w:ind w:hanging="504" w:left="1224"/>
      </w:pPr>
      <w:rPr>
        <w:i w:val="0"/>
        <w:strike w:val="0"/>
        <w:u w:val="none"/>
      </w:rPr>
    </w:lvl>
    <w:lvl w:ilvl="3">
      <w:start w:val="1"/>
      <w:numFmt w:val="decimal"/>
      <w:pStyle w:val="P53"/>
      <w:suff w:val="tab"/>
      <w:lvlText w:val="%1.%2.%3.%4."/>
      <w:lvlJc w:val="left"/>
      <w:pPr>
        <w:ind w:hanging="648" w:left="1728"/>
      </w:pPr>
      <w:rPr/>
    </w:lvl>
    <w:lvl w:ilvl="4">
      <w:start w:val="1"/>
      <w:numFmt w:val="decimal"/>
      <w:pStyle w:val="P54"/>
      <w:suff w:val="tab"/>
      <w:lvlText w:val="%1.%2.%3.%4.%5."/>
      <w:lvlJc w:val="left"/>
      <w:pPr>
        <w:ind w:hanging="792" w:left="4053"/>
      </w:pPr>
      <w:rPr/>
    </w:lvl>
    <w:lvl w:ilvl="5">
      <w:start w:val="1"/>
      <w:numFmt w:val="decimal"/>
      <w:suff w:val="tab"/>
      <w:lvlText w:val="%1.%2.%3.%4.%5.%6."/>
      <w:lvlJc w:val="left"/>
      <w:pPr>
        <w:ind w:hanging="936" w:left="2736"/>
      </w:pPr>
      <w:rPr/>
    </w:lvl>
    <w:lvl w:ilvl="6">
      <w:start w:val="1"/>
      <w:numFmt w:val="decimal"/>
      <w:suff w:val="tab"/>
      <w:lvlText w:val="%1.%2.%3.%4.%5.%6.%7."/>
      <w:lvlJc w:val="left"/>
      <w:pPr>
        <w:ind w:hanging="1080" w:left="3240"/>
      </w:pPr>
      <w:rPr/>
    </w:lvl>
    <w:lvl w:ilvl="7">
      <w:start w:val="1"/>
      <w:numFmt w:val="decimal"/>
      <w:suff w:val="tab"/>
      <w:lvlText w:val="%1.%2.%3.%4.%5.%6.%7.%8."/>
      <w:lvlJc w:val="left"/>
      <w:pPr>
        <w:ind w:hanging="1224" w:left="3744"/>
      </w:pPr>
      <w:rPr/>
    </w:lvl>
    <w:lvl w:ilvl="8">
      <w:start w:val="1"/>
      <w:numFmt w:val="decimal"/>
      <w:suff w:val="tab"/>
      <w:lvlText w:val="%1.%2.%3.%4.%5.%6.%7.%8.%9."/>
      <w:lvlJc w:val="left"/>
      <w:pPr>
        <w:ind w:hanging="1440" w:left="4320"/>
      </w:pPr>
      <w:rPr/>
    </w:lvl>
  </w:abstractNum>
  <w:abstractNum w:abstractNumId="17">
    <w:nsid w:val="67E17B68"/>
    <w:multiLevelType w:val="multilevel"/>
    <w:tmpl w:val="0409001D"/>
    <w:styleLink w:val="N4"/>
    <w:lvl w:ilvl="0">
      <w:start w:val="61"/>
      <w:numFmt w:val="decimal"/>
      <w:suff w:val="tab"/>
      <w:lvlText w:val="%1)"/>
      <w:lvlJc w:val="left"/>
      <w:pPr>
        <w:ind w:hanging="360" w:left="360"/>
      </w:pPr>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18">
    <w:nsid w:val="704E3384"/>
    <w:multiLevelType w:val="hybridMultilevel"/>
    <w:lvl w:ilvl="0" w:tplc="E3106066">
      <w:start w:val="1"/>
      <w:numFmt w:val="lowerLetter"/>
      <w:suff w:val="tab"/>
      <w:lvlText w:val="%1)"/>
      <w:lvlJc w:val="left"/>
      <w:pPr>
        <w:ind w:hanging="360" w:left="1215"/>
      </w:pPr>
      <w:rPr>
        <w:b w:val="1"/>
      </w:rPr>
    </w:lvl>
    <w:lvl w:ilvl="1" w:tplc="04160019">
      <w:start w:val="1"/>
      <w:numFmt w:val="lowerLetter"/>
      <w:suff w:val="tab"/>
      <w:lvlText w:val="%2."/>
      <w:lvlJc w:val="left"/>
      <w:pPr>
        <w:ind w:hanging="360" w:left="1935"/>
      </w:pPr>
      <w:rPr/>
    </w:lvl>
    <w:lvl w:ilvl="2" w:tplc="0416001B">
      <w:start w:val="1"/>
      <w:numFmt w:val="lowerRoman"/>
      <w:suff w:val="tab"/>
      <w:lvlText w:val="%3."/>
      <w:lvlJc w:val="right"/>
      <w:pPr>
        <w:ind w:hanging="180" w:left="2655"/>
      </w:pPr>
      <w:rPr/>
    </w:lvl>
    <w:lvl w:ilvl="3" w:tplc="0416000F">
      <w:start w:val="1"/>
      <w:numFmt w:val="decimal"/>
      <w:suff w:val="tab"/>
      <w:lvlText w:val="%4."/>
      <w:lvlJc w:val="left"/>
      <w:pPr>
        <w:ind w:hanging="360" w:left="3375"/>
      </w:pPr>
      <w:rPr/>
    </w:lvl>
    <w:lvl w:ilvl="4" w:tplc="04160019">
      <w:start w:val="1"/>
      <w:numFmt w:val="lowerLetter"/>
      <w:suff w:val="tab"/>
      <w:lvlText w:val="%5."/>
      <w:lvlJc w:val="left"/>
      <w:pPr>
        <w:ind w:hanging="360" w:left="4095"/>
      </w:pPr>
      <w:rPr/>
    </w:lvl>
    <w:lvl w:ilvl="5" w:tplc="0416001B">
      <w:start w:val="1"/>
      <w:numFmt w:val="lowerRoman"/>
      <w:suff w:val="tab"/>
      <w:lvlText w:val="%6."/>
      <w:lvlJc w:val="right"/>
      <w:pPr>
        <w:ind w:hanging="180" w:left="4815"/>
      </w:pPr>
      <w:rPr/>
    </w:lvl>
    <w:lvl w:ilvl="6" w:tplc="0416000F">
      <w:start w:val="1"/>
      <w:numFmt w:val="decimal"/>
      <w:suff w:val="tab"/>
      <w:lvlText w:val="%7."/>
      <w:lvlJc w:val="left"/>
      <w:pPr>
        <w:ind w:hanging="360" w:left="5535"/>
      </w:pPr>
      <w:rPr/>
    </w:lvl>
    <w:lvl w:ilvl="7" w:tplc="04160019">
      <w:start w:val="1"/>
      <w:numFmt w:val="lowerLetter"/>
      <w:suff w:val="tab"/>
      <w:lvlText w:val="%8."/>
      <w:lvlJc w:val="left"/>
      <w:pPr>
        <w:ind w:hanging="360" w:left="6255"/>
      </w:pPr>
      <w:rPr/>
    </w:lvl>
    <w:lvl w:ilvl="8" w:tplc="0416001B">
      <w:start w:val="1"/>
      <w:numFmt w:val="lowerRoman"/>
      <w:suff w:val="tab"/>
      <w:lvlText w:val="%9."/>
      <w:lvlJc w:val="right"/>
      <w:pPr>
        <w:ind w:hanging="180" w:left="6975"/>
      </w:pPr>
      <w:rPr/>
    </w:lvl>
  </w:abstractNum>
  <w:abstractNum w:abstractNumId="19">
    <w:nsid w:val="737F1181"/>
    <w:multiLevelType w:val="hybridMultilevel"/>
    <w:lvl w:ilvl="0" w:tplc="0416000F">
      <w:start w:val="1"/>
      <w:numFmt w:val="decimal"/>
      <w:suff w:val="tab"/>
      <w:lvlText w:val="%1."/>
      <w:lvlJc w:val="left"/>
      <w:pPr>
        <w:ind w:hanging="360" w:left="720"/>
      </w:pPr>
      <w:rPr/>
    </w:lvl>
    <w:lvl w:ilvl="1" w:tplc="04160019">
      <w:start w:val="1"/>
      <w:numFmt w:val="lowerLetter"/>
      <w:suff w:val="tab"/>
      <w:lvlText w:val="%2."/>
      <w:lvlJc w:val="left"/>
      <w:pPr>
        <w:ind w:hanging="360" w:left="1440"/>
      </w:pPr>
      <w:rPr/>
    </w:lvl>
    <w:lvl w:ilvl="2" w:tplc="0416001B">
      <w:start w:val="1"/>
      <w:numFmt w:val="lowerRoman"/>
      <w:suff w:val="tab"/>
      <w:lvlText w:val="%3."/>
      <w:lvlJc w:val="right"/>
      <w:pPr>
        <w:ind w:hanging="180" w:left="2160"/>
      </w:pPr>
      <w:rPr/>
    </w:lvl>
    <w:lvl w:ilvl="3" w:tplc="0416000F">
      <w:start w:val="1"/>
      <w:numFmt w:val="decimal"/>
      <w:suff w:val="tab"/>
      <w:lvlText w:val="%4."/>
      <w:lvlJc w:val="left"/>
      <w:pPr>
        <w:ind w:hanging="360" w:left="2880"/>
      </w:pPr>
      <w:rPr/>
    </w:lvl>
    <w:lvl w:ilvl="4" w:tplc="04160019">
      <w:start w:val="1"/>
      <w:numFmt w:val="lowerLetter"/>
      <w:suff w:val="tab"/>
      <w:lvlText w:val="%5."/>
      <w:lvlJc w:val="left"/>
      <w:pPr>
        <w:ind w:hanging="360" w:left="3600"/>
      </w:pPr>
      <w:rPr/>
    </w:lvl>
    <w:lvl w:ilvl="5" w:tplc="0416001B">
      <w:start w:val="1"/>
      <w:numFmt w:val="lowerRoman"/>
      <w:suff w:val="tab"/>
      <w:lvlText w:val="%6."/>
      <w:lvlJc w:val="right"/>
      <w:pPr>
        <w:ind w:hanging="180" w:left="4320"/>
      </w:pPr>
      <w:rPr/>
    </w:lvl>
    <w:lvl w:ilvl="6" w:tplc="0416000F">
      <w:start w:val="1"/>
      <w:numFmt w:val="decimal"/>
      <w:suff w:val="tab"/>
      <w:lvlText w:val="%7."/>
      <w:lvlJc w:val="left"/>
      <w:pPr>
        <w:ind w:hanging="360" w:left="5040"/>
      </w:pPr>
      <w:rPr/>
    </w:lvl>
    <w:lvl w:ilvl="7" w:tplc="04160019">
      <w:start w:val="1"/>
      <w:numFmt w:val="lowerLetter"/>
      <w:suff w:val="tab"/>
      <w:lvlText w:val="%8."/>
      <w:lvlJc w:val="left"/>
      <w:pPr>
        <w:ind w:hanging="360" w:left="5760"/>
      </w:pPr>
      <w:rPr/>
    </w:lvl>
    <w:lvl w:ilvl="8" w:tplc="0416001B">
      <w:start w:val="1"/>
      <w:numFmt w:val="lowerRoman"/>
      <w:suff w:val="tab"/>
      <w:lvlText w:val="%9."/>
      <w:lvlJc w:val="right"/>
      <w:pPr>
        <w:ind w:hanging="180" w:left="6480"/>
      </w:pPr>
      <w:rPr/>
    </w:lvl>
  </w:abstractNum>
  <w:abstractNum w:abstractNumId="20">
    <w:nsid w:val="75D833FC"/>
    <w:multiLevelType w:val="multilevel"/>
    <w:tmpl w:val="0409001D"/>
    <w:styleLink w:val="N5"/>
    <w:lvl w:ilvl="0">
      <w:start w:val="8"/>
      <w:numFmt w:val="decimal"/>
      <w:suff w:val="tab"/>
      <w:lvlText w:val="%1."/>
      <w:lvlJc w:val="left"/>
      <w:pPr>
        <w:ind w:hanging="555" w:left="555"/>
      </w:pPr>
      <w:rPr/>
    </w:lvl>
    <w:lvl w:ilvl="1">
      <w:start w:val="3"/>
      <w:numFmt w:val="decimal"/>
      <w:suff w:val="tab"/>
      <w:lvlText w:val="%1.%2."/>
      <w:lvlJc w:val="left"/>
      <w:pPr>
        <w:ind w:hanging="720" w:left="1222"/>
      </w:pPr>
      <w:rPr/>
    </w:lvl>
    <w:lvl w:ilvl="2">
      <w:start w:val="1"/>
      <w:numFmt w:val="decimal"/>
      <w:suff w:val="tab"/>
      <w:lvlText w:val="%1.%2.%3."/>
      <w:lvlJc w:val="left"/>
      <w:pPr>
        <w:ind w:hanging="720" w:left="720"/>
      </w:pPr>
      <w:rPr/>
    </w:lvl>
    <w:lvl w:ilvl="3">
      <w:start w:val="1"/>
      <w:numFmt w:val="decimal"/>
      <w:suff w:val="tab"/>
      <w:lvlText w:val="%1.%2.%3.%4."/>
      <w:lvlJc w:val="left"/>
      <w:pPr>
        <w:ind w:hanging="1080" w:left="2586"/>
      </w:pPr>
      <w:rPr/>
    </w:lvl>
    <w:lvl w:ilvl="4">
      <w:start w:val="1"/>
      <w:numFmt w:val="decimal"/>
      <w:suff w:val="tab"/>
      <w:lvlText w:val="%1.%2.%3.%4.%5."/>
      <w:lvlJc w:val="left"/>
      <w:pPr>
        <w:ind w:hanging="1440" w:left="3448"/>
      </w:pPr>
      <w:rPr/>
    </w:lvl>
    <w:lvl w:ilvl="5">
      <w:start w:val="1"/>
      <w:numFmt w:val="decimal"/>
      <w:suff w:val="tab"/>
      <w:lvlText w:val="%1.%2.%3.%4.%5.%6."/>
      <w:lvlJc w:val="left"/>
      <w:pPr>
        <w:ind w:hanging="1440" w:left="3950"/>
      </w:pPr>
      <w:rPr/>
    </w:lvl>
    <w:lvl w:ilvl="6">
      <w:start w:val="1"/>
      <w:numFmt w:val="decimal"/>
      <w:suff w:val="tab"/>
      <w:lvlText w:val="%1.%2.%3.%4.%5.%6.%7."/>
      <w:lvlJc w:val="left"/>
      <w:pPr>
        <w:ind w:hanging="1800" w:left="4812"/>
      </w:pPr>
      <w:rPr/>
    </w:lvl>
    <w:lvl w:ilvl="7">
      <w:start w:val="1"/>
      <w:numFmt w:val="decimal"/>
      <w:suff w:val="tab"/>
      <w:lvlText w:val="%1.%2.%3.%4.%5.%6.%7.%8."/>
      <w:lvlJc w:val="left"/>
      <w:pPr>
        <w:ind w:hanging="2160" w:left="5674"/>
      </w:pPr>
      <w:rPr/>
    </w:lvl>
    <w:lvl w:ilvl="8">
      <w:start w:val="1"/>
      <w:numFmt w:val="decimal"/>
      <w:suff w:val="tab"/>
      <w:lvlText w:val="%1.%2.%3.%4.%5.%6.%7.%8.%9."/>
      <w:lvlJc w:val="left"/>
      <w:pPr>
        <w:ind w:hanging="2160" w:left="6176"/>
      </w:pPr>
      <w:rPr/>
    </w:lvl>
  </w:abstractNum>
  <w:abstractNum w:abstractNumId="21">
    <w:nsid w:val="79D3778B"/>
    <w:multiLevelType w:val="multilevel"/>
    <w:lvl w:ilvl="0">
      <w:start w:val="13"/>
      <w:numFmt w:val="decimal"/>
      <w:suff w:val="tab"/>
      <w:lvlText w:val="%1"/>
      <w:lvlJc w:val="left"/>
      <w:pPr>
        <w:ind w:hanging="360" w:left="360"/>
      </w:pPr>
      <w:rPr/>
    </w:lvl>
    <w:lvl w:ilvl="1">
      <w:start w:val="1"/>
      <w:numFmt w:val="decimal"/>
      <w:suff w:val="tab"/>
      <w:lvlText w:val="%1.%2"/>
      <w:lvlJc w:val="left"/>
      <w:pPr>
        <w:ind w:hanging="360" w:left="785"/>
      </w:pPr>
      <w:rPr>
        <w:b w:val="0"/>
      </w:rPr>
    </w:lvl>
    <w:lvl w:ilvl="2">
      <w:start w:val="1"/>
      <w:numFmt w:val="decimal"/>
      <w:suff w:val="tab"/>
      <w:lvlText w:val="%1.%2.%3"/>
      <w:lvlJc w:val="left"/>
      <w:pPr>
        <w:ind w:hanging="720" w:left="1854"/>
      </w:pPr>
      <w:rPr/>
    </w:lvl>
    <w:lvl w:ilvl="3">
      <w:start w:val="1"/>
      <w:numFmt w:val="decimal"/>
      <w:suff w:val="tab"/>
      <w:lvlText w:val="%1.%2.%3.%4"/>
      <w:lvlJc w:val="left"/>
      <w:pPr>
        <w:ind w:hanging="720" w:left="2421"/>
      </w:pPr>
      <w:rPr/>
    </w:lvl>
    <w:lvl w:ilvl="4">
      <w:start w:val="1"/>
      <w:numFmt w:val="decimal"/>
      <w:suff w:val="tab"/>
      <w:lvlText w:val="%1.%2.%3.%4.%5"/>
      <w:lvlJc w:val="left"/>
      <w:pPr>
        <w:ind w:hanging="1080" w:left="3348"/>
      </w:pPr>
      <w:rPr/>
    </w:lvl>
    <w:lvl w:ilvl="5">
      <w:start w:val="1"/>
      <w:numFmt w:val="decimal"/>
      <w:suff w:val="tab"/>
      <w:lvlText w:val="%1.%2.%3.%4.%5.%6"/>
      <w:lvlJc w:val="left"/>
      <w:pPr>
        <w:ind w:hanging="1080" w:left="3915"/>
      </w:pPr>
      <w:rPr/>
    </w:lvl>
    <w:lvl w:ilvl="6">
      <w:start w:val="1"/>
      <w:numFmt w:val="decimal"/>
      <w:suff w:val="tab"/>
      <w:lvlText w:val="%1.%2.%3.%4.%5.%6.%7"/>
      <w:lvlJc w:val="left"/>
      <w:pPr>
        <w:ind w:hanging="1440" w:left="4842"/>
      </w:pPr>
      <w:rPr/>
    </w:lvl>
    <w:lvl w:ilvl="7">
      <w:start w:val="1"/>
      <w:numFmt w:val="decimal"/>
      <w:suff w:val="tab"/>
      <w:lvlText w:val="%1.%2.%3.%4.%5.%6.%7.%8"/>
      <w:lvlJc w:val="left"/>
      <w:pPr>
        <w:ind w:hanging="1440" w:left="5409"/>
      </w:pPr>
      <w:rPr/>
    </w:lvl>
    <w:lvl w:ilvl="8">
      <w:start w:val="1"/>
      <w:numFmt w:val="decimal"/>
      <w:suff w:val="tab"/>
      <w:lvlText w:val="%1.%2.%3.%4.%5.%6.%7.%8.%9"/>
      <w:lvlJc w:val="left"/>
      <w:pPr>
        <w:ind w:hanging="1800" w:left="6336"/>
      </w:pPr>
      <w:rPr/>
    </w:lvl>
  </w:abstractNum>
  <w:abstractNum w:abstractNumId="22">
    <w:nsid w:val="7C940B39"/>
    <w:multiLevelType w:val="multilevel"/>
    <w:tmpl w:val="0409001D"/>
    <w:styleLink w:val="N6"/>
    <w:lvl w:ilvl="0">
      <w:start w:val="1"/>
      <w:numFmt w:val="decimal"/>
      <w:suff w:val="tab"/>
      <w:lvlText w:val="%1)"/>
      <w:lvlJc w:val="left"/>
      <w:pPr>
        <w:ind w:hanging="360" w:left="360"/>
      </w:pPr>
      <w:rPr>
        <w:rFonts w:ascii="1" w:hAnsi="1"/>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23">
    <w:nsid w:val="7E0A17EC"/>
    <w:multiLevelType w:val="hybridMultilevel"/>
    <w:lvl w:ilvl="0" w:tplc="04160001">
      <w:start w:val="1"/>
      <w:numFmt w:val="bullet"/>
      <w:suff w:val="tab"/>
      <w:lvlText w:val=""/>
      <w:lvlJc w:val="left"/>
      <w:pPr>
        <w:ind w:hanging="360" w:left="720"/>
      </w:pPr>
      <w:rPr>
        <w:rFonts w:ascii="Symbol" w:hAnsi="Symbol"/>
      </w:rPr>
    </w:lvl>
    <w:lvl w:ilvl="1" w:tplc="04160003">
      <w:start w:val="1"/>
      <w:numFmt w:val="bullet"/>
      <w:suff w:val="tab"/>
      <w:lvlText w:val="o"/>
      <w:lvlJc w:val="left"/>
      <w:pPr>
        <w:ind w:hanging="360" w:left="1440"/>
      </w:pPr>
      <w:rPr>
        <w:rFonts w:ascii="Courier New" w:hAnsi="Courier New"/>
      </w:rPr>
    </w:lvl>
    <w:lvl w:ilvl="2" w:tplc="04160005">
      <w:start w:val="1"/>
      <w:numFmt w:val="bullet"/>
      <w:suff w:val="tab"/>
      <w:lvlText w:val=""/>
      <w:lvlJc w:val="left"/>
      <w:pPr>
        <w:ind w:hanging="360" w:left="2160"/>
      </w:pPr>
      <w:rPr>
        <w:rFonts w:ascii="Wingdings" w:hAnsi="Wingdings"/>
      </w:rPr>
    </w:lvl>
    <w:lvl w:ilvl="3" w:tplc="04160001">
      <w:start w:val="1"/>
      <w:numFmt w:val="bullet"/>
      <w:suff w:val="tab"/>
      <w:lvlText w:val=""/>
      <w:lvlJc w:val="left"/>
      <w:pPr>
        <w:ind w:hanging="360" w:left="2880"/>
      </w:pPr>
      <w:rPr>
        <w:rFonts w:ascii="Symbol" w:hAnsi="Symbol"/>
      </w:rPr>
    </w:lvl>
    <w:lvl w:ilvl="4" w:tplc="04160003">
      <w:start w:val="1"/>
      <w:numFmt w:val="bullet"/>
      <w:suff w:val="tab"/>
      <w:lvlText w:val="o"/>
      <w:lvlJc w:val="left"/>
      <w:pPr>
        <w:ind w:hanging="360" w:left="3600"/>
      </w:pPr>
      <w:rPr>
        <w:rFonts w:ascii="Courier New" w:hAnsi="Courier New"/>
      </w:rPr>
    </w:lvl>
    <w:lvl w:ilvl="5" w:tplc="04160005">
      <w:start w:val="1"/>
      <w:numFmt w:val="bullet"/>
      <w:suff w:val="tab"/>
      <w:lvlText w:val=""/>
      <w:lvlJc w:val="left"/>
      <w:pPr>
        <w:ind w:hanging="360" w:left="4320"/>
      </w:pPr>
      <w:rPr>
        <w:rFonts w:ascii="Wingdings" w:hAnsi="Wingdings"/>
      </w:rPr>
    </w:lvl>
    <w:lvl w:ilvl="6" w:tplc="04160001">
      <w:start w:val="1"/>
      <w:numFmt w:val="bullet"/>
      <w:suff w:val="tab"/>
      <w:lvlText w:val=""/>
      <w:lvlJc w:val="left"/>
      <w:pPr>
        <w:ind w:hanging="360" w:left="5040"/>
      </w:pPr>
      <w:rPr>
        <w:rFonts w:ascii="Symbol" w:hAnsi="Symbol"/>
      </w:rPr>
    </w:lvl>
    <w:lvl w:ilvl="7" w:tplc="04160003">
      <w:start w:val="1"/>
      <w:numFmt w:val="bullet"/>
      <w:suff w:val="tab"/>
      <w:lvlText w:val="o"/>
      <w:lvlJc w:val="left"/>
      <w:pPr>
        <w:ind w:hanging="360" w:left="5760"/>
      </w:pPr>
      <w:rPr>
        <w:rFonts w:ascii="Courier New" w:hAnsi="Courier New"/>
      </w:rPr>
    </w:lvl>
    <w:lvl w:ilvl="8" w:tplc="04160005">
      <w:start w:val="1"/>
      <w:numFmt w:val="bullet"/>
      <w:suff w:val="tab"/>
      <w:lvlText w:val=""/>
      <w:lvlJc w:val="left"/>
      <w:pPr>
        <w:ind w:hanging="360" w:left="6480"/>
      </w:pPr>
      <w:rPr>
        <w:rFonts w:ascii="Wingdings" w:hAnsi="Wingdings"/>
      </w:rPr>
    </w:lvl>
  </w:abstractNum>
  <w:num w:numId="1">
    <w:abstractNumId w:val="0"/>
  </w:num>
  <w:num w:numId="2">
    <w:abstractNumId w:val="5"/>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1"/>
  </w:num>
  <w:num w:numId="14">
    <w:abstractNumId w:val="14"/>
  </w:num>
  <w:num w:numId="15">
    <w:abstractNumId w:val="17"/>
  </w:num>
  <w:num w:numId="16">
    <w:abstractNumId w:val="20"/>
  </w:num>
  <w:num w:numId="17">
    <w:abstractNumId w:val="22"/>
  </w:num>
  <w:num w:numId="18">
    <w:abstractNumId w:val="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5"/>
  </w:num>
  <w:num w:numId="22">
    <w:abstractNumId w:val="2"/>
  </w:num>
  <w:num w:numId="23">
    <w:abstractNumId w:val="10"/>
  </w:num>
  <w:num w:numId="24">
    <w:abstractNumId w:val="7"/>
  </w:num>
  <w:num w:numId="25">
    <w:abstractNumId w:val="1"/>
  </w:num>
  <w:num w:numId="26">
    <w:abstractNumId w:val="12"/>
  </w:num>
  <w:num w:numId="27">
    <w:abstractNumId w:val="15"/>
  </w:num>
  <w:num w:numId="28">
    <w:abstractNumId w:val="18"/>
  </w:num>
  <w:num w:numId="29">
    <w:abstractNumId w:val="5"/>
  </w:num>
  <w:num w:numId="30">
    <w:abstractNumId w:val="6"/>
  </w:num>
  <w:num w:numId="31">
    <w:abstractNumId w:val="19"/>
  </w:num>
  <w:num w:numId="32">
    <w:abstractNumId w:val="23"/>
  </w:num>
  <w:num w:numId="33">
    <w:abstractNumId w:val="1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9"/>
    </w:lvlOverride>
    <w:lvlOverride w:ilvl="1">
      <w:startOverride w:val="1"/>
    </w:lvlOverride>
  </w:num>
  <w:num w:numId="35">
    <w:abstractNumId w:val="23"/>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bering>
</file>

<file path=word/settings.xml><?xml version="1.0" encoding="utf-8"?>
<w:settings xmlns:w="http://schemas.openxmlformats.org/wordprocessingml/2006/main">
  <w:displayBackgroundShape w:val="0"/>
  <w:defaultTabStop w:val="708"/>
  <w:autoHyphenation w:val="0"/>
  <w:evenAndOddHeaders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4"/>
        <w:u w:val="none"/>
        <w:shd w:val="clear" w:color="auto" w:fill="auto"/>
        <w:vertAlign w:val="baseline"/>
        <w:lang w:val="pt-BR" w:bidi="ar-SA" w:eastAsia="en-US"/>
      </w:rPr>
    </w:rPrDefault>
    <w:pPrDefault>
      <w:pPr>
        <w:keepNext w:val="0"/>
        <w:keepLines w:val="0"/>
        <w:pageBreakBefore w:val="0"/>
        <w:widowControl w:val="1"/>
        <w:suppressLineNumbers w:val="0"/>
        <w:shd w:val="clear" w:fill="auto"/>
        <w:suppressAutoHyphens w:val="0"/>
        <w:spacing w:lineRule="auto" w:line="278" w:before="0" w:after="160" w:beforeAutospacing="0" w:afterAutospacing="0"/>
        <w:ind w:firstLine="0" w:left="0" w:right="0"/>
        <w:contextualSpacing w:val="0"/>
        <w:bidi w:val="0"/>
        <w:jc w:val="left"/>
      </w:pPr>
    </w:pPrDefault>
  </w:docDefaults>
  <w:style w:type="paragraph" w:styleId="P0" w:default="1">
    <w:name w:val="Normal"/>
    <w:qFormat/>
    <w:pPr>
      <w:spacing w:lineRule="auto" w:line="240" w:after="0" w:beforeAutospacing="0" w:afterAutospacing="0"/>
      <w:jc w:val="both"/>
    </w:pPr>
    <w:rPr>
      <w:rFonts w:ascii="Times New Roman" w:hAnsi="Times New Roman"/>
      <w:sz w:val="20"/>
      <w:lang w:eastAsia="pt-BR"/>
    </w:rPr>
  </w:style>
  <w:style w:type="paragraph" w:styleId="P1">
    <w:name w:val="heading 1"/>
    <w:basedOn w:val="P0"/>
    <w:next w:val="P0"/>
    <w:link w:val="C3"/>
    <w:qFormat/>
    <w:pPr>
      <w:keepNext w:val="1"/>
      <w:keepLines w:val="1"/>
      <w:spacing w:before="360" w:after="80" w:beforeAutospacing="0" w:afterAutospacing="0"/>
      <w:outlineLvl w:val="0"/>
    </w:pPr>
    <w:rPr>
      <w:color w:val="2F5496" w:themeColor="accent1" w:themeShade="BF"/>
      <w:sz w:val="40"/>
    </w:rPr>
  </w:style>
  <w:style w:type="paragraph" w:styleId="P2">
    <w:name w:val="heading 2"/>
    <w:basedOn w:val="P0"/>
    <w:next w:val="P0"/>
    <w:link w:val="C4"/>
    <w:qFormat/>
    <w:pPr>
      <w:keepNext w:val="1"/>
      <w:keepLines w:val="1"/>
      <w:spacing w:before="160" w:after="80" w:beforeAutospacing="0" w:afterAutospacing="0"/>
      <w:outlineLvl w:val="1"/>
    </w:pPr>
    <w:rPr>
      <w:color w:val="2F5496" w:themeColor="accent1" w:themeShade="BF"/>
      <w:sz w:val="32"/>
    </w:rPr>
  </w:style>
  <w:style w:type="paragraph" w:styleId="P3">
    <w:name w:val="heading 3"/>
    <w:basedOn w:val="P0"/>
    <w:next w:val="P0"/>
    <w:link w:val="C5"/>
    <w:qFormat/>
    <w:pPr>
      <w:keepNext w:val="1"/>
      <w:keepLines w:val="1"/>
      <w:spacing w:before="160" w:after="80" w:beforeAutospacing="0" w:afterAutospacing="0"/>
      <w:outlineLvl w:val="2"/>
    </w:pPr>
    <w:rPr>
      <w:color w:val="2F5496" w:themeColor="accent1" w:themeShade="BF"/>
      <w:sz w:val="28"/>
    </w:rPr>
  </w:style>
  <w:style w:type="paragraph" w:styleId="P4">
    <w:name w:val="heading 4"/>
    <w:basedOn w:val="P0"/>
    <w:next w:val="P0"/>
    <w:link w:val="C6"/>
    <w:qFormat/>
    <w:pPr>
      <w:keepNext w:val="1"/>
      <w:keepLines w:val="1"/>
      <w:spacing w:before="80" w:after="40" w:beforeAutospacing="0" w:afterAutospacing="0"/>
      <w:outlineLvl w:val="3"/>
    </w:pPr>
    <w:rPr>
      <w:i w:val="1"/>
      <w:color w:val="2F5496" w:themeColor="accent1" w:themeShade="BF"/>
    </w:rPr>
  </w:style>
  <w:style w:type="paragraph" w:styleId="P5">
    <w:name w:val="heading 5"/>
    <w:basedOn w:val="P0"/>
    <w:next w:val="P0"/>
    <w:link w:val="C7"/>
    <w:qFormat/>
    <w:pPr>
      <w:keepNext w:val="1"/>
      <w:keepLines w:val="1"/>
      <w:spacing w:before="80" w:after="40" w:beforeAutospacing="0" w:afterAutospacing="0"/>
      <w:outlineLvl w:val="4"/>
    </w:pPr>
    <w:rPr>
      <w:color w:val="2F5496" w:themeColor="accent1" w:themeShade="BF"/>
    </w:rPr>
  </w:style>
  <w:style w:type="paragraph" w:styleId="P6">
    <w:name w:val="heading 6"/>
    <w:basedOn w:val="P0"/>
    <w:next w:val="P0"/>
    <w:link w:val="C8"/>
    <w:qFormat/>
    <w:pPr>
      <w:keepNext w:val="1"/>
      <w:keepLines w:val="1"/>
      <w:spacing w:before="40" w:beforeAutospacing="0" w:afterAutospacing="0"/>
      <w:outlineLvl w:val="5"/>
    </w:pPr>
    <w:rPr>
      <w:i w:val="1"/>
      <w:color w:val="595959" w:themeColor="text1" w:themeTint="A6"/>
    </w:rPr>
  </w:style>
  <w:style w:type="paragraph" w:styleId="P7">
    <w:name w:val="heading 7"/>
    <w:basedOn w:val="P0"/>
    <w:next w:val="P0"/>
    <w:link w:val="C9"/>
    <w:qFormat/>
    <w:pPr>
      <w:keepNext w:val="1"/>
      <w:keepLines w:val="1"/>
      <w:spacing w:before="40" w:beforeAutospacing="0" w:afterAutospacing="0"/>
      <w:outlineLvl w:val="6"/>
    </w:pPr>
    <w:rPr>
      <w:color w:val="595959" w:themeColor="text1" w:themeTint="A6"/>
    </w:rPr>
  </w:style>
  <w:style w:type="paragraph" w:styleId="P8">
    <w:name w:val="heading 8"/>
    <w:basedOn w:val="P0"/>
    <w:next w:val="P0"/>
    <w:link w:val="C10"/>
    <w:qFormat/>
    <w:pPr>
      <w:keepNext w:val="1"/>
      <w:keepLines w:val="1"/>
      <w:outlineLvl w:val="7"/>
    </w:pPr>
    <w:rPr>
      <w:i w:val="1"/>
      <w:color w:val="272727" w:themeColor="text1" w:themeTint="D8"/>
    </w:rPr>
  </w:style>
  <w:style w:type="paragraph" w:styleId="P9">
    <w:name w:val="heading 9"/>
    <w:basedOn w:val="P0"/>
    <w:next w:val="P0"/>
    <w:link w:val="C11"/>
    <w:qFormat/>
    <w:pPr>
      <w:keepNext w:val="1"/>
      <w:keepLines w:val="1"/>
      <w:outlineLvl w:val="8"/>
    </w:pPr>
    <w:rPr>
      <w:color w:val="272727" w:themeColor="text1" w:themeTint="D8"/>
    </w:rPr>
  </w:style>
  <w:style w:type="paragraph" w:styleId="P10">
    <w:name w:val="Title"/>
    <w:basedOn w:val="P0"/>
    <w:next w:val="P0"/>
    <w:link w:val="C12"/>
    <w:qFormat/>
    <w:pPr>
      <w:spacing w:after="80" w:beforeAutospacing="0" w:afterAutospacing="0"/>
      <w:contextualSpacing w:val="1"/>
    </w:pPr>
    <w:rPr>
      <w:sz w:val="56"/>
    </w:rPr>
  </w:style>
  <w:style w:type="paragraph" w:styleId="P11">
    <w:name w:val="Subtitle"/>
    <w:basedOn w:val="P0"/>
    <w:next w:val="P0"/>
    <w:link w:val="C13"/>
    <w:qFormat/>
    <w:pPr/>
    <w:rPr>
      <w:color w:val="595959" w:themeColor="text1" w:themeTint="A6"/>
      <w:sz w:val="28"/>
    </w:rPr>
  </w:style>
  <w:style w:type="paragraph" w:styleId="P12">
    <w:name w:val="Quote"/>
    <w:basedOn w:val="P0"/>
    <w:next w:val="P0"/>
    <w:link w:val="C14"/>
    <w:qFormat/>
    <w:pPr>
      <w:spacing w:before="160" w:beforeAutospacing="0" w:afterAutospacing="0"/>
      <w:jc w:val="center"/>
    </w:pPr>
    <w:rPr>
      <w:i w:val="1"/>
      <w:color w:val="404040" w:themeColor="text1" w:themeTint="BF"/>
    </w:rPr>
  </w:style>
  <w:style w:type="paragraph" w:styleId="P13">
    <w:name w:val="List Paragraph"/>
    <w:basedOn w:val="P0"/>
    <w:qFormat/>
    <w:pPr>
      <w:ind w:left="720"/>
      <w:contextualSpacing w:val="1"/>
    </w:pPr>
    <w:rPr/>
  </w:style>
  <w:style w:type="paragraph" w:styleId="P14">
    <w:name w:val="Intense Quote"/>
    <w:basedOn w:val="P0"/>
    <w:next w:val="P0"/>
    <w:link w:val="C16"/>
    <w:qFormat/>
    <w:pPr>
      <w:pBdr>
        <w:top w:val="single" w:sz="4" w:space="10" w:shadow="0" w:frame="0" w:color="2F5496" w:themeColor="accent1" w:themeShade="BF"/>
        <w:left w:val="none" w:sz="0" w:space="0" w:shadow="0" w:frame="0" w:color="auto"/>
        <w:bottom w:val="single" w:sz="4" w:space="10" w:shadow="0" w:frame="0" w:color="2F5496" w:themeColor="accent1" w:themeShade="BF"/>
        <w:right w:val="none" w:sz="0" w:space="0" w:shadow="0" w:frame="0" w:color="auto"/>
        <w:between w:val="none" w:sz="0" w:space="0" w:shadow="0" w:frame="0" w:color="auto"/>
      </w:pBdr>
      <w:spacing w:before="360" w:after="360" w:beforeAutospacing="0" w:afterAutospacing="0"/>
      <w:ind w:left="864" w:right="864"/>
      <w:jc w:val="center"/>
    </w:pPr>
    <w:rPr>
      <w:i w:val="1"/>
      <w:color w:val="2F5496" w:themeColor="accent1" w:themeShade="BF"/>
    </w:rPr>
  </w:style>
  <w:style w:type="paragraph" w:styleId="P15">
    <w:name w:val="header"/>
    <w:basedOn w:val="P0"/>
    <w:link w:val="C18"/>
    <w:pPr>
      <w:tabs>
        <w:tab w:val="center" w:pos="4252" w:leader="none"/>
        <w:tab w:val="right" w:pos="8504" w:leader="none"/>
      </w:tabs>
    </w:pPr>
    <w:rPr/>
  </w:style>
  <w:style w:type="paragraph" w:styleId="P16">
    <w:name w:val="footer"/>
    <w:basedOn w:val="P0"/>
    <w:link w:val="C19"/>
    <w:pPr>
      <w:tabs>
        <w:tab w:val="center" w:pos="4252" w:leader="none"/>
        <w:tab w:val="right" w:pos="8504" w:leader="none"/>
      </w:tabs>
    </w:pPr>
    <w:rPr/>
  </w:style>
  <w:style w:type="paragraph" w:styleId="P17">
    <w:name w:val="Body Text"/>
    <w:basedOn w:val="P0"/>
    <w:link w:val="C20"/>
    <w:pPr/>
    <w:rPr>
      <w:rFonts w:ascii="Arial" w:hAnsi="Arial"/>
      <w:sz w:val="24"/>
    </w:rPr>
  </w:style>
  <w:style w:type="paragraph" w:styleId="P18">
    <w:name w:val="Body Text Indent"/>
    <w:basedOn w:val="P0"/>
    <w:link w:val="C21"/>
    <w:pPr>
      <w:spacing w:lineRule="auto" w:line="360" w:beforeAutospacing="0" w:afterAutospacing="0"/>
    </w:pPr>
    <w:rPr>
      <w:b w:val="1"/>
      <w:sz w:val="24"/>
    </w:rPr>
  </w:style>
  <w:style w:type="paragraph" w:styleId="P19">
    <w:name w:val="Body Text 3"/>
    <w:basedOn w:val="P0"/>
    <w:link w:val="C22"/>
    <w:pPr>
      <w:spacing w:lineRule="auto" w:line="360" w:beforeAutospacing="0" w:afterAutospacing="0"/>
    </w:pPr>
    <w:rPr>
      <w:sz w:val="23"/>
    </w:rPr>
  </w:style>
  <w:style w:type="paragraph" w:styleId="P20">
    <w:name w:val="Body Text 2"/>
    <w:basedOn w:val="P0"/>
    <w:link w:val="C24"/>
    <w:pPr>
      <w:spacing w:lineRule="auto" w:line="360" w:beforeAutospacing="0" w:afterAutospacing="0"/>
    </w:pPr>
    <w:rPr>
      <w:sz w:val="24"/>
    </w:rPr>
  </w:style>
  <w:style w:type="paragraph" w:styleId="P21">
    <w:name w:val="Body Text Indent 2"/>
    <w:basedOn w:val="P0"/>
    <w:link w:val="C25"/>
    <w:pPr>
      <w:ind w:left="600"/>
    </w:pPr>
    <w:rPr>
      <w:color w:val="0000FF"/>
      <w:sz w:val="24"/>
    </w:rPr>
  </w:style>
  <w:style w:type="paragraph" w:styleId="P22">
    <w:name w:val="Body Text Indent 3"/>
    <w:basedOn w:val="P0"/>
    <w:link w:val="C26"/>
    <w:pPr>
      <w:ind w:left="1276"/>
    </w:pPr>
    <w:rPr>
      <w:sz w:val="24"/>
    </w:rPr>
  </w:style>
  <w:style w:type="paragraph" w:styleId="P23">
    <w:name w:val="Balloon Text"/>
    <w:basedOn w:val="P0"/>
    <w:link w:val="C28"/>
    <w:semiHidden/>
    <w:pPr/>
    <w:rPr>
      <w:rFonts w:ascii="Tahoma" w:hAnsi="Tahoma"/>
      <w:sz w:val="16"/>
      <w:lang/>
    </w:rPr>
  </w:style>
  <w:style w:type="paragraph" w:styleId="P24">
    <w:name w:val="titulo"/>
    <w:basedOn w:val="P0"/>
    <w:pPr>
      <w:spacing w:before="120" w:beforeAutospacing="0" w:afterAutospacing="0"/>
    </w:pPr>
    <w:rPr>
      <w:b w:val="1"/>
      <w:sz w:val="24"/>
      <w:lang w:val="pt-PT"/>
    </w:rPr>
  </w:style>
  <w:style w:type="paragraph" w:styleId="P25">
    <w:name w:val="Normal + Arial"/>
    <w:basedOn w:val="P0"/>
    <w:link w:val="C29"/>
    <w:pPr/>
    <w:rPr>
      <w:rFonts w:ascii="Arial" w:hAnsi="Arial"/>
      <w:sz w:val="24"/>
    </w:rPr>
  </w:style>
  <w:style w:type="paragraph" w:styleId="P26">
    <w:name w:val="Corpo do texto"/>
    <w:basedOn w:val="P0"/>
    <w:pPr>
      <w:suppressAutoHyphens w:val="1"/>
      <w:spacing w:lineRule="auto" w:line="360" w:beforeAutospacing="0" w:afterAutospacing="0"/>
    </w:pPr>
    <w:rPr>
      <w:noProof w:val="1"/>
      <w:sz w:val="24"/>
    </w:rPr>
  </w:style>
  <w:style w:type="paragraph" w:styleId="P27">
    <w:name w:val="Corpo de texto 21"/>
    <w:basedOn w:val="P0"/>
    <w:pPr>
      <w:suppressAutoHyphens w:val="1"/>
    </w:pPr>
    <w:rPr>
      <w:rFonts w:ascii="Arial" w:hAnsi="Arial"/>
      <w:lang w:eastAsia="ar-SA"/>
    </w:rPr>
  </w:style>
  <w:style w:type="paragraph" w:styleId="P28">
    <w:name w:val="Recuo de corpo de texto 21"/>
    <w:basedOn w:val="P0"/>
    <w:pPr>
      <w:suppressAutoHyphens w:val="1"/>
      <w:ind w:firstLine="600"/>
    </w:pPr>
    <w:rPr>
      <w:rFonts w:ascii="Arial" w:hAnsi="Arial"/>
      <w:lang w:eastAsia="ar-SA"/>
    </w:rPr>
  </w:style>
  <w:style w:type="paragraph" w:styleId="P29">
    <w:name w:val="Recuo de corpo de texto 31"/>
    <w:basedOn w:val="P0"/>
    <w:pPr>
      <w:suppressAutoHyphens w:val="1"/>
      <w:ind w:firstLine="1800"/>
    </w:pPr>
    <w:rPr>
      <w:rFonts w:ascii="Arial" w:hAnsi="Arial"/>
      <w:lang w:eastAsia="ar-SA"/>
    </w:rPr>
  </w:style>
  <w:style w:type="paragraph" w:styleId="P30">
    <w:name w:val="texto1"/>
    <w:basedOn w:val="P0"/>
    <w:pPr>
      <w:suppressAutoHyphens w:val="1"/>
      <w:spacing w:lineRule="atLeast" w:line="300" w:before="280" w:after="280" w:beforeAutospacing="0" w:afterAutospacing="0"/>
    </w:pPr>
    <w:rPr>
      <w:rFonts w:ascii="Arial" w:hAnsi="Arial"/>
      <w:sz w:val="17"/>
      <w:lang w:eastAsia="ar-SA"/>
    </w:rPr>
  </w:style>
  <w:style w:type="paragraph" w:styleId="P31">
    <w:name w:val="msolistparagraph"/>
    <w:basedOn w:val="P0"/>
    <w:pPr>
      <w:ind w:left="708"/>
    </w:pPr>
    <w:rPr>
      <w:sz w:val="24"/>
    </w:rPr>
  </w:style>
  <w:style w:type="paragraph" w:styleId="P32">
    <w:name w:val="Document Map"/>
    <w:basedOn w:val="P0"/>
    <w:link w:val="C36"/>
    <w:pPr>
      <w:jc w:val="left"/>
    </w:pPr>
    <w:rPr>
      <w:rFonts w:ascii="Tahoma" w:hAnsi="Tahoma"/>
      <w:sz w:val="16"/>
      <w:lang w:eastAsia="en-US"/>
    </w:rPr>
  </w:style>
  <w:style w:type="paragraph" w:styleId="P33">
    <w:name w:val="WW-Padrão"/>
    <w:pPr>
      <w:widowControl w:val="0"/>
      <w:suppressAutoHyphens w:val="1"/>
      <w:spacing w:lineRule="auto" w:line="240" w:after="0" w:beforeAutospacing="0" w:afterAutospacing="0"/>
      <w:jc w:val="center"/>
    </w:pPr>
    <w:rPr>
      <w:rFonts w:ascii="Times New Roman" w:hAnsi="Times New Roman"/>
      <w:sz w:val="20"/>
      <w:lang w:eastAsia="zh-CN"/>
    </w:rPr>
  </w:style>
  <w:style w:type="paragraph" w:styleId="P34">
    <w:name w:val="footnote text"/>
    <w:basedOn w:val="P0"/>
    <w:link w:val="C38"/>
    <w:pPr>
      <w:jc w:val="left"/>
    </w:pPr>
    <w:rPr/>
  </w:style>
  <w:style w:type="paragraph" w:styleId="P35">
    <w:name w:val="msonormal"/>
    <w:basedOn w:val="P0"/>
    <w:pPr>
      <w:spacing w:before="100" w:after="100" w:beforeAutospacing="1" w:afterAutospacing="1"/>
      <w:jc w:val="left"/>
    </w:pPr>
    <w:rPr>
      <w:sz w:val="24"/>
    </w:rPr>
  </w:style>
  <w:style w:type="paragraph" w:styleId="P36">
    <w:name w:val="Normal (Web)"/>
    <w:basedOn w:val="P0"/>
    <w:pPr>
      <w:spacing w:before="100" w:after="100" w:beforeAutospacing="1" w:afterAutospacing="1"/>
      <w:jc w:val="left"/>
    </w:pPr>
    <w:rPr>
      <w:sz w:val="24"/>
    </w:rPr>
  </w:style>
  <w:style w:type="paragraph" w:styleId="P37">
    <w:name w:val="annotation text"/>
    <w:basedOn w:val="P0"/>
    <w:link w:val="C41"/>
    <w:pPr>
      <w:jc w:val="left"/>
    </w:pPr>
    <w:rPr>
      <w:rFonts w:ascii="Ecofont_Spranq_eco_Sans" w:hAnsi="Ecofont_Spranq_eco_Sans"/>
    </w:rPr>
  </w:style>
  <w:style w:type="paragraph" w:styleId="P38">
    <w:name w:val="List Bullet 5"/>
    <w:basedOn w:val="P0"/>
    <w:pPr>
      <w:numPr>
        <w:numId w:val="1"/>
      </w:numPr>
      <w:tabs>
        <w:tab w:val="left" w:pos="360" w:leader="none"/>
        <w:tab w:val="clear" w:pos="1492" w:leader="none"/>
      </w:tabs>
      <w:ind w:firstLine="0" w:left="0"/>
      <w:contextualSpacing w:val="1"/>
      <w:jc w:val="left"/>
    </w:pPr>
    <w:rPr>
      <w:rFonts w:ascii="Ecofont_Spranq_eco_Sans" w:hAnsi="Ecofont_Spranq_eco_Sans"/>
      <w:sz w:val="24"/>
    </w:rPr>
  </w:style>
  <w:style w:type="paragraph" w:styleId="P39">
    <w:name w:val="annotation subject"/>
    <w:basedOn w:val="P37"/>
    <w:next w:val="P37"/>
    <w:link w:val="C42"/>
    <w:pPr/>
    <w:rPr>
      <w:b w:val="1"/>
    </w:rPr>
  </w:style>
  <w:style w:type="paragraph" w:styleId="P40">
    <w:name w:val="Revision"/>
    <w:semiHidden/>
    <w:pPr>
      <w:spacing w:lineRule="auto" w:line="240" w:after="0" w:beforeAutospacing="0" w:afterAutospacing="0"/>
    </w:pPr>
    <w:rPr>
      <w:rFonts w:ascii="Ecofont_Spranq_eco_Sans" w:hAnsi="Ecofont_Spranq_eco_Sans"/>
      <w:lang w:eastAsia="pt-BR"/>
    </w:rPr>
  </w:style>
  <w:style w:type="paragraph" w:styleId="P41">
    <w:name w:val="Nível 2"/>
    <w:basedOn w:val="P0"/>
    <w:next w:val="P0"/>
    <w:pPr>
      <w:spacing w:after="120" w:beforeAutospacing="0" w:afterAutospacing="0"/>
    </w:pPr>
    <w:rPr>
      <w:rFonts w:ascii="Arial" w:hAnsi="Arial"/>
      <w:b w:val="1"/>
      <w:sz w:val="24"/>
    </w:rPr>
  </w:style>
  <w:style w:type="paragraph" w:styleId="P42">
    <w:name w:val="citação 2"/>
    <w:basedOn w:val="P12"/>
    <w:link w:val="C43"/>
    <w:qFormat/>
    <w:pPr>
      <w:pBdr>
        <w:top w:val="single" w:sz="4" w:space="1" w:shadow="0" w:frame="0" w:color="1F497D"/>
        <w:left w:val="single" w:sz="4" w:space="4" w:shadow="0" w:frame="0" w:color="1F497D"/>
        <w:bottom w:val="single" w:sz="4" w:space="1" w:shadow="0" w:frame="0" w:color="1F497D"/>
        <w:right w:val="single" w:sz="4" w:space="4" w:shadow="0" w:frame="0" w:color="1F497D"/>
        <w:between w:val="none" w:sz="0" w:space="0" w:shadow="0" w:frame="0" w:color="auto"/>
      </w:pBdr>
      <w:shd w:val="clear" w:fill="FFFFCC"/>
      <w:spacing w:before="120" w:beforeAutospacing="0" w:afterAutospacing="0"/>
      <w:jc w:val="both"/>
    </w:pPr>
    <w:rPr>
      <w:rFonts w:ascii="Arial" w:hAnsi="Arial"/>
      <w:color w:val="000000"/>
    </w:rPr>
  </w:style>
  <w:style w:type="paragraph" w:styleId="P43">
    <w:name w:val="Nivel 01"/>
    <w:basedOn w:val="P1"/>
    <w:next w:val="P0"/>
    <w:link w:val="C44"/>
    <w:qFormat/>
    <w:pPr>
      <w:numPr>
        <w:numId w:val="2"/>
      </w:numPr>
      <w:tabs>
        <w:tab w:val="left" w:pos="567" w:leader="none"/>
      </w:tabs>
      <w:spacing w:before="240" w:after="0" w:beforeAutospacing="0" w:afterAutospacing="0"/>
    </w:pPr>
    <w:rPr>
      <w:rFonts w:ascii="Ecofont_Spranq_eco_Sans" w:hAnsi="Ecofont_Spranq_eco_Sans"/>
      <w:b w:val="1"/>
      <w:color w:val="000000"/>
      <w:sz w:val="52"/>
    </w:rPr>
  </w:style>
  <w:style w:type="paragraph" w:styleId="P44">
    <w:name w:val="Nivel_01_Titulo"/>
    <w:basedOn w:val="P43"/>
    <w:link w:val="C45"/>
    <w:pPr>
      <w:jc w:val="left"/>
    </w:pPr>
    <w:rPr/>
  </w:style>
  <w:style w:type="paragraph" w:styleId="P45">
    <w:name w:val="PADRÃO"/>
    <w:pPr>
      <w:keepNext w:val="1"/>
      <w:widowControl w:val="0"/>
      <w:shd w:val="clear" w:fill="FFFFFF"/>
      <w:spacing w:lineRule="auto" w:line="276" w:before="119" w:after="119" w:beforeAutospacing="0" w:afterAutospacing="0"/>
      <w:ind w:firstLine="567"/>
      <w:jc w:val="both"/>
    </w:pPr>
    <w:rPr>
      <w:rFonts w:ascii="Ecofont_Spranq_eco_Sans" w:hAnsi="Ecofont_Spranq_eco_Sans"/>
      <w:sz w:val="20"/>
      <w:lang w:bidi="hi-IN" w:eastAsia="zh-CN"/>
    </w:rPr>
  </w:style>
  <w:style w:type="paragraph" w:styleId="P46">
    <w:name w:val="Citação1"/>
    <w:basedOn w:val="P0"/>
    <w:next w:val="P0"/>
    <w:link w:val="C46"/>
    <w:pPr>
      <w:pBdr>
        <w:top w:val="single" w:sz="4" w:space="1" w:shadow="0" w:frame="0" w:color="1F497D"/>
        <w:left w:val="single" w:sz="4" w:space="4" w:shadow="0" w:frame="0" w:color="1F497D"/>
        <w:bottom w:val="single" w:sz="4" w:space="1" w:shadow="0" w:frame="0" w:color="1F497D"/>
        <w:right w:val="single" w:sz="4" w:space="4" w:shadow="0" w:frame="0" w:color="1F497D"/>
        <w:between w:val="none" w:sz="0" w:space="0" w:shadow="0" w:frame="0" w:color="auto"/>
      </w:pBdr>
      <w:shd w:val="clear" w:fill="FFFFCC"/>
      <w:spacing w:before="120" w:beforeAutospacing="0" w:afterAutospacing="0"/>
    </w:pPr>
    <w:rPr>
      <w:rFonts w:ascii="Ecofont_Spranq_eco_Sans" w:hAnsi="Ecofont_Spranq_eco_Sans"/>
      <w:i w:val="1"/>
      <w:color w:val="000000"/>
      <w:sz w:val="24"/>
      <w:lang w:eastAsia="en-US"/>
    </w:rPr>
  </w:style>
  <w:style w:type="paragraph" w:styleId="P47">
    <w:name w:val="paragraph"/>
    <w:basedOn w:val="P0"/>
    <w:pPr>
      <w:spacing w:before="100" w:after="100" w:beforeAutospacing="1" w:afterAutospacing="1"/>
      <w:jc w:val="left"/>
    </w:pPr>
    <w:rPr>
      <w:sz w:val="24"/>
    </w:rPr>
  </w:style>
  <w:style w:type="paragraph" w:styleId="P48">
    <w:name w:val="Nivel1"/>
    <w:basedOn w:val="P1"/>
    <w:link w:val="C47"/>
    <w:qFormat/>
    <w:pPr>
      <w:spacing w:lineRule="auto" w:line="276" w:before="480" w:after="0" w:beforeAutospacing="0" w:afterAutospacing="0"/>
      <w:ind w:hanging="357" w:left="357"/>
    </w:pPr>
    <w:rPr>
      <w:rFonts w:ascii="Arial" w:hAnsi="Arial"/>
      <w:color w:val="000000"/>
      <w:sz w:val="28"/>
    </w:rPr>
  </w:style>
  <w:style w:type="paragraph" w:styleId="P49">
    <w:name w:val="Parágrafo da Lista1"/>
    <w:basedOn w:val="P0"/>
    <w:qFormat/>
    <w:pPr>
      <w:ind w:left="720"/>
      <w:jc w:val="left"/>
    </w:pPr>
    <w:rPr>
      <w:rFonts w:ascii="Ecofont_Spranq_eco_Sans" w:hAnsi="Ecofont_Spranq_eco_Sans"/>
      <w:sz w:val="24"/>
    </w:rPr>
  </w:style>
  <w:style w:type="paragraph" w:styleId="P50">
    <w:name w:val="Nivel 2"/>
    <w:link w:val="C65"/>
    <w:qFormat/>
    <w:pPr>
      <w:numPr>
        <w:ilvl w:val="1"/>
        <w:numId w:val="3"/>
      </w:numPr>
      <w:spacing w:lineRule="auto" w:line="276" w:before="120" w:after="120" w:beforeAutospacing="0" w:afterAutospacing="0"/>
      <w:ind w:firstLine="0" w:left="0"/>
      <w:jc w:val="both"/>
    </w:pPr>
    <w:rPr>
      <w:rFonts w:ascii="Ecofont_Spranq_eco_Sans" w:hAnsi="Ecofont_Spranq_eco_Sans"/>
      <w:sz w:val="20"/>
      <w:lang w:eastAsia="pt-BR"/>
    </w:rPr>
  </w:style>
  <w:style w:type="paragraph" w:styleId="P51">
    <w:name w:val="Nivel 1"/>
    <w:basedOn w:val="P50"/>
    <w:next w:val="P50"/>
    <w:qFormat/>
    <w:pPr>
      <w:ind w:firstLine="0" w:left="0"/>
    </w:pPr>
    <w:rPr>
      <w:b w:val="1"/>
    </w:rPr>
  </w:style>
  <w:style w:type="paragraph" w:styleId="P52">
    <w:name w:val="Nivel 3"/>
    <w:basedOn w:val="P50"/>
    <w:link w:val="C66"/>
    <w:qFormat/>
    <w:pPr>
      <w:numPr>
        <w:ilvl w:val="2"/>
      </w:numPr>
      <w:ind w:firstLine="0" w:left="0"/>
    </w:pPr>
    <w:rPr>
      <w:color w:val="000000"/>
    </w:rPr>
  </w:style>
  <w:style w:type="paragraph" w:styleId="P53">
    <w:name w:val="Nivel 4"/>
    <w:basedOn w:val="P52"/>
    <w:link w:val="C48"/>
    <w:qFormat/>
    <w:pPr>
      <w:numPr>
        <w:ilvl w:val="3"/>
      </w:numPr>
      <w:ind w:firstLine="0" w:left="0"/>
    </w:pPr>
    <w:rPr>
      <w:color w:val="auto"/>
      <w:sz w:val="24"/>
      <w:lang w:eastAsia="en-US"/>
    </w:rPr>
  </w:style>
  <w:style w:type="paragraph" w:styleId="P54">
    <w:name w:val="Nivel 5"/>
    <w:basedOn w:val="P53"/>
    <w:qFormat/>
    <w:pPr>
      <w:numPr>
        <w:ilvl w:val="4"/>
      </w:numPr>
      <w:tabs>
        <w:tab w:val="left" w:pos="360" w:leader="none"/>
        <w:tab w:val="left" w:pos="3600" w:leader="none"/>
      </w:tabs>
      <w:ind w:firstLine="0" w:left="0"/>
    </w:pPr>
    <w:rPr/>
  </w:style>
  <w:style w:type="paragraph" w:styleId="P55">
    <w:name w:val="textbody"/>
    <w:basedOn w:val="P0"/>
    <w:pPr>
      <w:spacing w:before="100" w:after="100" w:beforeAutospacing="1" w:afterAutospacing="1"/>
      <w:jc w:val="left"/>
    </w:pPr>
    <w:rPr>
      <w:sz w:val="24"/>
    </w:rPr>
  </w:style>
  <w:style w:type="paragraph" w:styleId="P56">
    <w:name w:val="em_0020ementa"/>
    <w:basedOn w:val="P0"/>
    <w:pPr>
      <w:ind w:left="4160"/>
    </w:pPr>
    <w:rPr>
      <w:sz w:val="28"/>
    </w:rPr>
  </w:style>
  <w:style w:type="paragraph" w:styleId="P57">
    <w:name w:val="Grade Colorida - Ênfase 11"/>
    <w:basedOn w:val="P0"/>
    <w:next w:val="P0"/>
    <w:link w:val="C49"/>
    <w:qFormat/>
    <w:pPr>
      <w:pBdr>
        <w:top w:val="single" w:sz="4" w:space="1" w:shadow="0" w:frame="0" w:color="1F497D"/>
        <w:left w:val="single" w:sz="4" w:space="4" w:shadow="0" w:frame="0" w:color="1F497D"/>
        <w:bottom w:val="single" w:sz="4" w:space="1" w:shadow="0" w:frame="0" w:color="1F497D"/>
        <w:right w:val="single" w:sz="4" w:space="4" w:shadow="0" w:frame="0" w:color="1F497D"/>
        <w:between w:val="none" w:sz="0" w:space="0" w:shadow="0" w:frame="0" w:color="auto"/>
      </w:pBdr>
      <w:shd w:val="clear" w:fill="FFFFCC"/>
      <w:spacing w:before="120" w:beforeAutospacing="0" w:afterAutospacing="0"/>
    </w:pPr>
    <w:rPr>
      <w:rFonts w:ascii="Arial" w:hAnsi="Arial"/>
      <w:i w:val="1"/>
      <w:color w:val="000000"/>
      <w:sz w:val="24"/>
      <w:lang w:eastAsia="en-US"/>
    </w:rPr>
  </w:style>
  <w:style w:type="paragraph" w:styleId="P58">
    <w:name w:val="x_western"/>
    <w:basedOn w:val="P0"/>
    <w:pPr>
      <w:spacing w:before="100" w:after="100" w:beforeAutospacing="1" w:afterAutospacing="1"/>
      <w:jc w:val="left"/>
    </w:pPr>
    <w:rPr>
      <w:sz w:val="24"/>
    </w:rPr>
  </w:style>
  <w:style w:type="paragraph" w:styleId="P59">
    <w:name w:val="TCU - Ac - item 9 - §§_0"/>
    <w:basedOn w:val="P0"/>
    <w:qFormat/>
    <w:pPr>
      <w:ind w:firstLine="1134"/>
    </w:pPr>
    <w:rPr>
      <w:sz w:val="24"/>
      <w:lang w:eastAsia="en-US"/>
    </w:rPr>
  </w:style>
  <w:style w:type="paragraph" w:styleId="P60">
    <w:name w:val="Normal_1"/>
    <w:qFormat/>
    <w:pPr>
      <w:spacing w:lineRule="auto" w:line="240" w:after="0" w:beforeAutospacing="0" w:afterAutospacing="0"/>
    </w:pPr>
    <w:rPr>
      <w:rFonts w:ascii="Times New Roman" w:hAnsi="Times New Roman"/>
    </w:rPr>
  </w:style>
  <w:style w:type="paragraph" w:styleId="P61">
    <w:name w:val="tcu_-__ac_-_item_9_-_1ª_linha"/>
    <w:basedOn w:val="P0"/>
    <w:pPr>
      <w:spacing w:before="100" w:after="100" w:beforeAutospacing="1" w:afterAutospacing="1"/>
      <w:jc w:val="left"/>
    </w:pPr>
    <w:rPr>
      <w:sz w:val="24"/>
    </w:rPr>
  </w:style>
  <w:style w:type="paragraph" w:styleId="P62">
    <w:name w:val="texto_justificado_recuo_primeira_linha"/>
    <w:basedOn w:val="P0"/>
    <w:pPr>
      <w:spacing w:before="100" w:after="100" w:beforeAutospacing="1" w:afterAutospacing="1"/>
      <w:jc w:val="left"/>
    </w:pPr>
    <w:rPr>
      <w:sz w:val="24"/>
    </w:rPr>
  </w:style>
  <w:style w:type="paragraph" w:styleId="P63">
    <w:name w:val="texto_justificado"/>
    <w:basedOn w:val="P0"/>
    <w:pPr>
      <w:spacing w:before="100" w:after="100" w:beforeAutospacing="1" w:afterAutospacing="1"/>
      <w:jc w:val="left"/>
    </w:pPr>
    <w:rPr>
      <w:sz w:val="24"/>
    </w:rPr>
  </w:style>
  <w:style w:type="paragraph" w:styleId="P64">
    <w:name w:val="No Spacing"/>
    <w:qFormat/>
    <w:pPr>
      <w:spacing w:lineRule="auto" w:line="240" w:after="0" w:beforeAutospacing="0" w:afterAutospacing="0"/>
    </w:pPr>
    <w:rPr>
      <w:rFonts w:ascii="Calibri" w:hAnsi="Calibri"/>
      <w:sz w:val="22"/>
    </w:rPr>
  </w:style>
  <w:style w:type="paragraph" w:styleId="P65">
    <w:name w:val="Título1"/>
    <w:basedOn w:val="P0"/>
    <w:next w:val="P17"/>
    <w:pPr>
      <w:suppressAutoHyphens w:val="1"/>
      <w:jc w:val="center"/>
    </w:pPr>
    <w:rPr>
      <w:rFonts w:ascii="Arial Black" w:hAnsi="Arial Black"/>
      <w:b w:val="1"/>
      <w:color w:val="000000"/>
      <w:sz w:val="24"/>
      <w:lang w:eastAsia="zh-CN"/>
    </w:rPr>
  </w:style>
  <w:style w:type="paragraph" w:styleId="P66">
    <w:name w:val="Conteúdo da tabela"/>
    <w:basedOn w:val="P0"/>
    <w:pPr>
      <w:suppressLineNumbers w:val="1"/>
      <w:suppressAutoHyphens w:val="1"/>
      <w:jc w:val="left"/>
    </w:pPr>
    <w:rPr>
      <w:sz w:val="24"/>
      <w:lang w:eastAsia="zh-CN"/>
    </w:rPr>
  </w:style>
  <w:style w:type="paragraph" w:styleId="P67">
    <w:name w:val="pb-0"/>
    <w:basedOn w:val="P0"/>
    <w:pPr>
      <w:spacing w:before="100" w:after="100" w:beforeAutospacing="1" w:afterAutospacing="1"/>
      <w:jc w:val="left"/>
    </w:pPr>
    <w:rPr>
      <w:sz w:val="24"/>
    </w:rPr>
  </w:style>
  <w:style w:type="paragraph" w:styleId="P68">
    <w:name w:val="Normal + Arial1"/>
    <w:basedOn w:val="P0"/>
    <w:pPr/>
    <w:rPr>
      <w:rFonts w:ascii="Arial" w:hAnsi="Arial"/>
      <w:sz w:val="24"/>
    </w:rPr>
  </w:style>
  <w:style w:type="paragraph" w:styleId="P69">
    <w:name w:val="Normal + Arial2"/>
    <w:basedOn w:val="P0"/>
    <w:pPr/>
    <w:rPr>
      <w:rFonts w:ascii="Arial" w:hAnsi="Arial"/>
      <w:sz w:val="24"/>
      <w:lang w:eastAsia="en-US"/>
    </w:rPr>
  </w:style>
  <w:style w:type="paragraph" w:styleId="P70">
    <w:name w:val="Normal + Arial3"/>
    <w:basedOn w:val="P0"/>
    <w:link w:val="C63"/>
    <w:pPr/>
    <w:rPr>
      <w:rFonts w:ascii="Arial" w:hAnsi="Arial"/>
      <w:sz w:val="24"/>
      <w:lang w:eastAsia="en-US"/>
    </w:rPr>
  </w:style>
  <w:style w:type="paragraph" w:styleId="P71">
    <w:name w:val="Nível 3-R"/>
    <w:basedOn w:val="P52"/>
    <w:link w:val="C67"/>
    <w:qFormat/>
    <w:pPr>
      <w:numPr>
        <w:numId w:val="0"/>
      </w:numPr>
    </w:pPr>
    <w:rPr>
      <w:rFonts w:ascii="Arial" w:hAnsi="Arial"/>
      <w:i w:val="1"/>
      <w:color w:val="FF0000"/>
    </w:rPr>
  </w:style>
  <w:style w:type="character" w:styleId="C0" w:default="1">
    <w:name w:val="Default Paragraph Font"/>
    <w:rPr/>
  </w:style>
  <w:style w:type="character" w:styleId="C1">
    <w:name w:val="Line Number"/>
    <w:basedOn w:val="C0"/>
    <w:semiHidden/>
    <w:rPr/>
  </w:style>
  <w:style w:type="character" w:styleId="C2">
    <w:name w:val="Hyperlink"/>
    <w:rPr>
      <w:color w:val="0000FF"/>
      <w:u w:val="single"/>
    </w:rPr>
  </w:style>
  <w:style w:type="character" w:styleId="C3">
    <w:name w:val="Título 1 Char"/>
    <w:basedOn w:val="C0"/>
    <w:link w:val="P1"/>
    <w:rPr>
      <w:color w:val="2F5496" w:themeColor="accent1" w:themeShade="BF"/>
      <w:sz w:val="40"/>
    </w:rPr>
  </w:style>
  <w:style w:type="character" w:styleId="C4">
    <w:name w:val="Título 2 Char"/>
    <w:basedOn w:val="C0"/>
    <w:link w:val="P2"/>
    <w:rPr>
      <w:color w:val="2F5496" w:themeColor="accent1" w:themeShade="BF"/>
      <w:sz w:val="32"/>
    </w:rPr>
  </w:style>
  <w:style w:type="character" w:styleId="C5">
    <w:name w:val="Título 3 Char"/>
    <w:basedOn w:val="C0"/>
    <w:link w:val="P3"/>
    <w:rPr>
      <w:color w:val="2F5496" w:themeColor="accent1" w:themeShade="BF"/>
      <w:sz w:val="28"/>
    </w:rPr>
  </w:style>
  <w:style w:type="character" w:styleId="C6">
    <w:name w:val="Título 4 Char"/>
    <w:basedOn w:val="C0"/>
    <w:link w:val="P4"/>
    <w:rPr>
      <w:i w:val="1"/>
      <w:color w:val="2F5496" w:themeColor="accent1" w:themeShade="BF"/>
    </w:rPr>
  </w:style>
  <w:style w:type="character" w:styleId="C7">
    <w:name w:val="Título 5 Char"/>
    <w:basedOn w:val="C0"/>
    <w:link w:val="P5"/>
    <w:rPr>
      <w:color w:val="2F5496" w:themeColor="accent1" w:themeShade="BF"/>
    </w:rPr>
  </w:style>
  <w:style w:type="character" w:styleId="C8">
    <w:name w:val="Título 6 Char"/>
    <w:basedOn w:val="C0"/>
    <w:link w:val="P6"/>
    <w:rPr>
      <w:i w:val="1"/>
      <w:color w:val="595959" w:themeColor="text1" w:themeTint="A6"/>
    </w:rPr>
  </w:style>
  <w:style w:type="character" w:styleId="C9">
    <w:name w:val="Título 7 Char"/>
    <w:basedOn w:val="C0"/>
    <w:link w:val="P7"/>
    <w:rPr>
      <w:color w:val="595959" w:themeColor="text1" w:themeTint="A6"/>
    </w:rPr>
  </w:style>
  <w:style w:type="character" w:styleId="C10">
    <w:name w:val="Título 8 Char"/>
    <w:basedOn w:val="C0"/>
    <w:link w:val="P8"/>
    <w:rPr>
      <w:i w:val="1"/>
      <w:color w:val="272727" w:themeColor="text1" w:themeTint="D8"/>
    </w:rPr>
  </w:style>
  <w:style w:type="character" w:styleId="C11">
    <w:name w:val="Título 9 Char"/>
    <w:basedOn w:val="C0"/>
    <w:link w:val="P9"/>
    <w:rPr>
      <w:color w:val="272727" w:themeColor="text1" w:themeTint="D8"/>
    </w:rPr>
  </w:style>
  <w:style w:type="character" w:styleId="C12">
    <w:name w:val="Título Char"/>
    <w:basedOn w:val="C0"/>
    <w:link w:val="P10"/>
    <w:rPr>
      <w:sz w:val="56"/>
    </w:rPr>
  </w:style>
  <w:style w:type="character" w:styleId="C13">
    <w:name w:val="Subtítulo Char"/>
    <w:basedOn w:val="C0"/>
    <w:link w:val="P11"/>
    <w:rPr>
      <w:color w:val="595959" w:themeColor="text1" w:themeTint="A6"/>
      <w:sz w:val="28"/>
    </w:rPr>
  </w:style>
  <w:style w:type="character" w:styleId="C14">
    <w:name w:val="Citação Char"/>
    <w:basedOn w:val="C0"/>
    <w:link w:val="P12"/>
    <w:rPr>
      <w:i w:val="1"/>
      <w:color w:val="404040" w:themeColor="text1" w:themeTint="BF"/>
    </w:rPr>
  </w:style>
  <w:style w:type="character" w:styleId="C15">
    <w:name w:val="Intense Emphasis"/>
    <w:basedOn w:val="C0"/>
    <w:qFormat/>
    <w:rPr>
      <w:i w:val="1"/>
      <w:color w:val="2F5496" w:themeColor="accent1" w:themeShade="BF"/>
    </w:rPr>
  </w:style>
  <w:style w:type="character" w:styleId="C16">
    <w:name w:val="Citação Intensa Char"/>
    <w:basedOn w:val="C0"/>
    <w:link w:val="P14"/>
    <w:rPr>
      <w:i w:val="1"/>
      <w:color w:val="2F5496" w:themeColor="accent1" w:themeShade="BF"/>
    </w:rPr>
  </w:style>
  <w:style w:type="character" w:styleId="C17">
    <w:name w:val="Intense Reference"/>
    <w:basedOn w:val="C0"/>
    <w:qFormat/>
    <w:rPr>
      <w:b w:val="1"/>
      <w:color w:val="2F5496" w:themeColor="accent1" w:themeShade="BF"/>
    </w:rPr>
  </w:style>
  <w:style w:type="character" w:styleId="C18">
    <w:name w:val="Cabeçalho Char"/>
    <w:basedOn w:val="C0"/>
    <w:link w:val="P15"/>
    <w:rPr/>
  </w:style>
  <w:style w:type="character" w:styleId="C19">
    <w:name w:val="Rodapé Char"/>
    <w:basedOn w:val="C0"/>
    <w:link w:val="P16"/>
    <w:rPr/>
  </w:style>
  <w:style w:type="character" w:styleId="C20">
    <w:name w:val="Corpo de texto Char"/>
    <w:basedOn w:val="C0"/>
    <w:link w:val="P17"/>
    <w:rPr>
      <w:rFonts w:ascii="Arial" w:hAnsi="Arial"/>
      <w:sz w:val="24"/>
    </w:rPr>
  </w:style>
  <w:style w:type="character" w:styleId="C21">
    <w:name w:val="Recuo de corpo de texto Char"/>
    <w:basedOn w:val="C0"/>
    <w:link w:val="P18"/>
    <w:rPr>
      <w:b w:val="1"/>
      <w:sz w:val="24"/>
    </w:rPr>
  </w:style>
  <w:style w:type="character" w:styleId="C22">
    <w:name w:val="Corpo de texto 3 Char"/>
    <w:basedOn w:val="C0"/>
    <w:link w:val="P19"/>
    <w:rPr>
      <w:sz w:val="23"/>
    </w:rPr>
  </w:style>
  <w:style w:type="character" w:styleId="C23">
    <w:name w:val="page number"/>
    <w:basedOn w:val="C0"/>
    <w:rPr/>
  </w:style>
  <w:style w:type="character" w:styleId="C24">
    <w:name w:val="Corpo de texto 2 Char"/>
    <w:basedOn w:val="C0"/>
    <w:link w:val="P20"/>
    <w:rPr>
      <w:sz w:val="24"/>
    </w:rPr>
  </w:style>
  <w:style w:type="character" w:styleId="C25">
    <w:name w:val="Recuo de corpo de texto 2 Char"/>
    <w:basedOn w:val="C0"/>
    <w:link w:val="P21"/>
    <w:rPr>
      <w:color w:val="0000FF"/>
      <w:sz w:val="24"/>
    </w:rPr>
  </w:style>
  <w:style w:type="character" w:styleId="C26">
    <w:name w:val="Recuo de corpo de texto 3 Char"/>
    <w:basedOn w:val="C0"/>
    <w:link w:val="P22"/>
    <w:rPr>
      <w:sz w:val="24"/>
    </w:rPr>
  </w:style>
  <w:style w:type="character" w:styleId="C27">
    <w:name w:val="Strong"/>
    <w:qFormat/>
    <w:rPr>
      <w:b w:val="1"/>
    </w:rPr>
  </w:style>
  <w:style w:type="character" w:styleId="C28">
    <w:name w:val="Texto de balão Char"/>
    <w:basedOn w:val="C0"/>
    <w:link w:val="P23"/>
    <w:semiHidden/>
    <w:rPr>
      <w:rFonts w:ascii="Tahoma" w:hAnsi="Tahoma"/>
      <w:sz w:val="16"/>
      <w:lang/>
    </w:rPr>
  </w:style>
  <w:style w:type="character" w:styleId="C29">
    <w:name w:val="Normal + Arial Char"/>
    <w:link w:val="P25"/>
    <w:rPr>
      <w:rFonts w:ascii="Arial" w:hAnsi="Arial"/>
      <w:sz w:val="24"/>
    </w:rPr>
  </w:style>
  <w:style w:type="character" w:styleId="C30">
    <w:name w:val="N"/>
    <w:rPr>
      <w:b w:val="1"/>
    </w:rPr>
  </w:style>
  <w:style w:type="character" w:styleId="C31">
    <w:name w:val="Emphasis"/>
    <w:qFormat/>
    <w:rPr>
      <w:i w:val="1"/>
    </w:rPr>
  </w:style>
  <w:style w:type="character" w:styleId="C32">
    <w:name w:val="Char Char"/>
    <w:rPr>
      <w:rFonts w:ascii="Arial" w:hAnsi="Arial"/>
      <w:b w:val="1"/>
      <w:sz w:val="28"/>
    </w:rPr>
  </w:style>
  <w:style w:type="character" w:styleId="C33">
    <w:name w:val="Heading 1 Char"/>
    <w:rPr>
      <w:rFonts w:ascii="Cambria" w:hAnsi="Cambria"/>
      <w:b w:val="1"/>
      <w:sz w:val="32"/>
    </w:rPr>
  </w:style>
  <w:style w:type="character" w:styleId="C34">
    <w:name w:val="Title Char"/>
    <w:rPr>
      <w:rFonts w:ascii="Cambria" w:hAnsi="Cambria"/>
      <w:b w:val="1"/>
      <w:sz w:val="32"/>
    </w:rPr>
  </w:style>
  <w:style w:type="character" w:styleId="C35">
    <w:name w:val="Subtitle Char"/>
    <w:rPr>
      <w:rFonts w:ascii="Cambria" w:hAnsi="Cambria"/>
      <w:sz w:val="24"/>
    </w:rPr>
  </w:style>
  <w:style w:type="character" w:styleId="C36">
    <w:name w:val="Mapa do Documento Char"/>
    <w:link w:val="P32"/>
    <w:rPr>
      <w:rFonts w:ascii="Tahoma" w:hAnsi="Tahoma"/>
      <w:sz w:val="16"/>
      <w:lang w:eastAsia="en-US"/>
    </w:rPr>
  </w:style>
  <w:style w:type="character" w:styleId="C37">
    <w:name w:val="Mapa do Documento Char1"/>
    <w:basedOn w:val="C0"/>
    <w:rPr>
      <w:rFonts w:ascii="Segoe UI" w:hAnsi="Segoe UI"/>
      <w:sz w:val="16"/>
      <w:lang w:eastAsia="pt-BR"/>
    </w:rPr>
  </w:style>
  <w:style w:type="character" w:styleId="C38">
    <w:name w:val="Texto de nota de rodapé Char"/>
    <w:basedOn w:val="C0"/>
    <w:link w:val="P34"/>
    <w:rPr/>
  </w:style>
  <w:style w:type="character" w:styleId="C39">
    <w:name w:val="footnote reference"/>
    <w:rPr>
      <w:vertAlign w:val="superscript"/>
    </w:rPr>
  </w:style>
  <w:style w:type="character" w:styleId="C40">
    <w:name w:val="FollowedHyperlink"/>
    <w:rPr>
      <w:color w:val="800080"/>
      <w:u w:val="single"/>
    </w:rPr>
  </w:style>
  <w:style w:type="character" w:styleId="C41">
    <w:name w:val="Texto de comentário Char"/>
    <w:basedOn w:val="C0"/>
    <w:link w:val="P37"/>
    <w:qFormat/>
    <w:rPr>
      <w:rFonts w:ascii="Ecofont_Spranq_eco_Sans" w:hAnsi="Ecofont_Spranq_eco_Sans"/>
    </w:rPr>
  </w:style>
  <w:style w:type="character" w:styleId="C42">
    <w:name w:val="Assunto do comentário Char"/>
    <w:basedOn w:val="C41"/>
    <w:link w:val="P39"/>
    <w:rPr>
      <w:b w:val="1"/>
    </w:rPr>
  </w:style>
  <w:style w:type="character" w:styleId="C43">
    <w:name w:val="citação 2 Char"/>
    <w:link w:val="P42"/>
    <w:rPr>
      <w:rFonts w:ascii="Arial" w:hAnsi="Arial"/>
      <w:color w:val="000000"/>
    </w:rPr>
  </w:style>
  <w:style w:type="character" w:styleId="C44">
    <w:name w:val="Nivel 01 Char"/>
    <w:link w:val="P43"/>
    <w:rPr>
      <w:rFonts w:ascii="Ecofont_Spranq_eco_Sans" w:hAnsi="Ecofont_Spranq_eco_Sans"/>
      <w:b w:val="1"/>
      <w:color w:val="000000"/>
      <w:sz w:val="52"/>
    </w:rPr>
  </w:style>
  <w:style w:type="character" w:styleId="C45">
    <w:name w:val="Nivel_01_Titulo Char"/>
    <w:link w:val="P44"/>
    <w:rPr/>
  </w:style>
  <w:style w:type="character" w:styleId="C46">
    <w:name w:val="Quote Char"/>
    <w:link w:val="P46"/>
    <w:rPr>
      <w:rFonts w:ascii="Ecofont_Spranq_eco_Sans" w:hAnsi="Ecofont_Spranq_eco_Sans"/>
      <w:i w:val="1"/>
      <w:color w:val="000000"/>
      <w:sz w:val="24"/>
      <w:lang w:eastAsia="en-US"/>
    </w:rPr>
  </w:style>
  <w:style w:type="character" w:styleId="C47">
    <w:name w:val="Nivel1 Char"/>
    <w:link w:val="P48"/>
    <w:rPr>
      <w:rFonts w:ascii="Arial" w:hAnsi="Arial"/>
      <w:color w:val="000000"/>
      <w:sz w:val="28"/>
    </w:rPr>
  </w:style>
  <w:style w:type="character" w:styleId="C48">
    <w:name w:val="Nivel 4 Char"/>
    <w:link w:val="P53"/>
    <w:rPr>
      <w:color w:val="auto"/>
      <w:sz w:val="24"/>
      <w:lang w:eastAsia="en-US"/>
    </w:rPr>
  </w:style>
  <w:style w:type="character" w:styleId="C49">
    <w:name w:val="Grade Colorida - Ênfase 1 Char"/>
    <w:link w:val="P57"/>
    <w:rPr>
      <w:rFonts w:ascii="Arial" w:hAnsi="Arial"/>
      <w:i w:val="1"/>
      <w:color w:val="000000"/>
      <w:sz w:val="24"/>
      <w:lang w:eastAsia="en-US"/>
    </w:rPr>
  </w:style>
  <w:style w:type="character" w:styleId="C50">
    <w:name w:val="annotation reference"/>
    <w:rPr>
      <w:sz w:val="16"/>
    </w:rPr>
  </w:style>
  <w:style w:type="character" w:styleId="C51">
    <w:name w:val="normal__char1"/>
    <w:rPr>
      <w:rFonts w:ascii="Arial" w:hAnsi="Arial"/>
      <w:strike w:val="0"/>
      <w:sz w:val="24"/>
      <w:u w:val="none"/>
    </w:rPr>
  </w:style>
  <w:style w:type="character" w:styleId="C52">
    <w:name w:val="apple-style-span"/>
    <w:rPr/>
  </w:style>
  <w:style w:type="character" w:styleId="C53">
    <w:name w:val="normaltextrun"/>
    <w:rPr/>
  </w:style>
  <w:style w:type="character" w:styleId="C54">
    <w:name w:val="eop"/>
    <w:rPr/>
  </w:style>
  <w:style w:type="character" w:styleId="C55">
    <w:name w:val="spellingerror"/>
    <w:rPr/>
  </w:style>
  <w:style w:type="character" w:styleId="C56">
    <w:name w:val="cp_0020corpodespacho__char1"/>
    <w:rPr>
      <w:rFonts w:ascii="Times New Roman" w:hAnsi="Times New Roman"/>
      <w:strike w:val="0"/>
      <w:sz w:val="26"/>
      <w:u w:val="none"/>
    </w:rPr>
  </w:style>
  <w:style w:type="character" w:styleId="C57">
    <w:name w:val="em_0020ementa__char1"/>
    <w:rPr>
      <w:rFonts w:ascii="Times New Roman" w:hAnsi="Times New Roman"/>
      <w:strike w:val="0"/>
      <w:sz w:val="28"/>
      <w:u w:val="none"/>
    </w:rPr>
  </w:style>
  <w:style w:type="character" w:styleId="C58">
    <w:name w:val="Manoel"/>
    <w:qFormat/>
    <w:rPr>
      <w:rFonts w:ascii="Arial" w:hAnsi="Arial"/>
      <w:color w:val="7030A0"/>
      <w:sz w:val="20"/>
    </w:rPr>
  </w:style>
  <w:style w:type="character" w:styleId="C59">
    <w:name w:val="ListLabel 12"/>
    <w:rPr>
      <w:b w:val="1"/>
    </w:rPr>
  </w:style>
  <w:style w:type="character" w:styleId="C60">
    <w:name w:val="highlight"/>
    <w:rPr/>
  </w:style>
  <w:style w:type="character" w:styleId="C61">
    <w:name w:val="Menção Pendente1"/>
    <w:semiHidden/>
    <w:rPr>
      <w:color w:val="605E5C"/>
      <w:shd w:val="clear" w:color="auto" w:fill="E1DFDD"/>
    </w:rPr>
  </w:style>
  <w:style w:type="character" w:styleId="C62">
    <w:name w:val="Unresolved Mention"/>
    <w:semiHidden/>
    <w:rPr>
      <w:color w:val="605E5C"/>
      <w:shd w:val="clear" w:color="auto" w:fill="E1DFDD"/>
    </w:rPr>
  </w:style>
  <w:style w:type="character" w:styleId="C63">
    <w:name w:val="Centralizado Char"/>
    <w:link w:val="P70"/>
    <w:rPr>
      <w:rFonts w:ascii="Arial" w:hAnsi="Arial"/>
      <w:sz w:val="24"/>
      <w:lang w:eastAsia="en-US"/>
    </w:rPr>
  </w:style>
  <w:style w:type="character" w:styleId="C64">
    <w:name w:val="ng-star-inserted"/>
    <w:basedOn w:val="C0"/>
    <w:rPr/>
  </w:style>
  <w:style w:type="character" w:styleId="C65">
    <w:name w:val="Nivel 2 Char"/>
    <w:link w:val="P50"/>
    <w:rPr>
      <w:rFonts w:ascii="Ecofont_Spranq_eco_Sans" w:hAnsi="Ecofont_Spranq_eco_Sans"/>
      <w:sz w:val="20"/>
      <w:lang w:eastAsia="pt-BR"/>
    </w:rPr>
  </w:style>
  <w:style w:type="character" w:styleId="C66">
    <w:name w:val="Nivel 3 Char"/>
    <w:link w:val="P52"/>
    <w:rPr>
      <w:color w:val="000000"/>
    </w:rPr>
  </w:style>
  <w:style w:type="character" w:styleId="C67">
    <w:name w:val="Nível 3-R Char"/>
    <w:link w:val="P71"/>
    <w:rPr>
      <w:rFonts w:ascii="Arial" w:hAnsi="Arial"/>
      <w:i w:val="1"/>
      <w:color w:val="FF000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Grid"/>
    <w:basedOn w:val="T0"/>
    <w:pPr>
      <w:spacing w:lineRule="auto" w:line="240" w:after="0" w:beforeAutospacing="0" w:afterAutospacing="0"/>
    </w:pPr>
    <w:rPr>
      <w:rFonts w:ascii="Times New Roman" w:hAnsi="Times New Roman"/>
      <w:sz w:val="20"/>
      <w:lang w:eastAsia="pt-BR"/>
    </w:r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table" w:styleId="T3">
    <w:name w:val="Tabela com grade1"/>
    <w:basedOn w:val="T0"/>
    <w:pPr>
      <w:spacing w:lineRule="auto" w:line="240" w:after="0" w:beforeAutospacing="0" w:afterAutospacing="0"/>
    </w:pPr>
    <w:rPr>
      <w:rFonts w:ascii="Calibri" w:hAnsi="Calibri"/>
      <w:sz w:val="22"/>
    </w:r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numbering" w:styleId="N0">
    <w:name w:val="No List"/>
  </w:style>
  <w:style w:type="numbering" w:styleId="N1">
    <w:name w:val="Estilo4"/>
    <w:pPr>
      <w:numPr>
        <w:numId w:val="12"/>
      </w:numPr>
    </w:pPr>
  </w:style>
  <w:style w:type="numbering" w:styleId="N2">
    <w:name w:val="Estilo3"/>
    <w:pPr>
      <w:numPr>
        <w:numId w:val="13"/>
      </w:numPr>
    </w:pPr>
  </w:style>
  <w:style w:type="numbering" w:styleId="N3">
    <w:name w:val="Estilo5"/>
    <w:pPr>
      <w:numPr>
        <w:numId w:val="14"/>
      </w:numPr>
    </w:pPr>
  </w:style>
  <w:style w:type="numbering" w:styleId="N4">
    <w:name w:val="Estilo6"/>
    <w:pPr>
      <w:numPr>
        <w:numId w:val="15"/>
      </w:numPr>
    </w:pPr>
  </w:style>
  <w:style w:type="numbering" w:styleId="N5">
    <w:name w:val="Estilo1"/>
    <w:pPr>
      <w:numPr>
        <w:numId w:val="16"/>
      </w:numPr>
    </w:pPr>
  </w:style>
  <w:style w:type="numbering" w:styleId="N6">
    <w:name w:val="Estilo2"/>
    <w:pPr>
      <w:numPr>
        <w:numId w:val="17"/>
      </w:numPr>
    </w:pPr>
  </w:style>
  <w:style w:type="numbering" w:styleId="N7">
    <w:name w:val="Lista atual1"/>
    <w:pPr>
      <w:numPr>
        <w:numId w:val="20"/>
      </w:numPr>
    </w:pPr>
  </w:style>
  <w:style w:type="numbering" w:styleId="N8">
    <w:name w:val="Sem lista1"/>
  </w:style>
  <w:style w:type="numbering" w:styleId="N9">
    <w:name w:val="Sem lista2"/>
  </w:style>
  <w:style w:type="numbering" w:styleId="N10">
    <w:name w:val="Sem lista3"/>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Hdr2" Type="http://schemas.openxmlformats.org/officeDocument/2006/relationships/header" Target="header2.xml" /><Relationship Id="RelFtr1" Type="http://schemas.openxmlformats.org/officeDocument/2006/relationships/footer" Target="footer1.xml" /><Relationship Id="RelFtr2" Type="http://schemas.openxmlformats.org/officeDocument/2006/relationships/footer" Target="footer2.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_rels/header1.xml.rels>&#65279;<?xml version="1.0" encoding="utf-8"?><Relationships xmlns="http://schemas.openxmlformats.org/package/2006/relationships"><Relationship Id="Relimage1" Type="http://schemas.openxmlformats.org/officeDocument/2006/relationships/image" Target="/media/image1.jpg" /><Relationship Id="Relimage2" Type="http://schemas.openxmlformats.org/officeDocument/2006/relationships/image" Target="/media/image2.png" /></Relationships>
</file>

<file path=word/_rels/header2.xml.rels>&#65279;<?xml version="1.0" encoding="utf-8"?><Relationships xmlns="http://schemas.openxmlformats.org/package/2006/relationships"><Relationship Id="Relimage3" Type="http://schemas.openxmlformats.org/officeDocument/2006/relationships/image" Target="/media/image3.jpg" /><Relationship Id="Relimage4" Type="http://schemas.openxmlformats.org/officeDocument/2006/relationships/image" Target="/media/image4.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Usuario</dc:creator>
  <dcterms:created xsi:type="dcterms:W3CDTF">2026-09-16T17:37:00Z</dcterms:created>
  <cp:lastModifiedBy>IIS APPPOOL\DefaultAppPool</cp:lastModifiedBy>
  <dcterms:modified xsi:type="dcterms:W3CDTF">2026-09-25T11:59:00Z</dcterms:modified>
  <cp:revision>63</cp:revision>
</cp:coreProperties>
</file>