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tbl>
      <w:tblPr>
        <w:tblW w:w="9540" w:type="dxa"/>
        <w:jc w:val="center"/>
        <w:tblInd w:w="0" w:type="dxa"/>
        <w:tblLayout w:type="fixed"/>
        <w:tblCellMar>
          <w:top w:w="0" w:type="dxa"/>
          <w:left w:w="108" w:type="dxa"/>
          <w:bottom w:w="0" w:type="dxa"/>
          <w:right w:w="108" w:type="dxa"/>
        </w:tblCellMar>
      </w:tblPr>
      <w:tblGrid>
        <w:gridCol w:w="3119"/>
        <w:gridCol w:w="6420"/>
      </w:tblGrid>
      <w:tr>
        <w:trPr/>
        <w:tc>
          <w:tcPr>
            <w:tcW w:w="3119" w:type="dxa"/>
            <w:tcBorders>
              <w:bottom w:val="single" w:sz="4" w:space="0" w:color="000000"/>
            </w:tcBorders>
          </w:tcPr>
          <w:p>
            <w:pPr>
              <w:pStyle w:val="Normal"/>
              <w:widowControl w:val="false"/>
              <w:overflowPunct w:val="false"/>
              <w:spacing w:lineRule="auto" w:line="240" w:before="0" w:after="0"/>
              <w:ind w:hanging="0" w:left="-113" w:right="0"/>
              <w:jc w:val="both"/>
              <w:textAlignment w:val="baseline"/>
              <w:rPr>
                <w:rFonts w:ascii="Arial" w:hAnsi="Arial" w:cs="Verdana"/>
                <w:b w:val="false"/>
                <w:bCs w:val="false"/>
                <w:i w:val="false"/>
                <w:i w:val="false"/>
                <w:iCs w:val="false"/>
                <w:sz w:val="19"/>
                <w:szCs w:val="24"/>
              </w:rPr>
            </w:pPr>
            <w:r>
              <w:rPr>
                <w:rFonts w:cs="Verdana" w:ascii="Arial" w:hAnsi="Arial"/>
                <w:b/>
                <w:bCs w:val="false"/>
                <w:iCs w:val="false"/>
                <w:sz w:val="19"/>
                <w:szCs w:val="24"/>
              </w:rPr>
              <w:t>MODALIDADE</w:t>
            </w:r>
          </w:p>
        </w:tc>
        <w:tc>
          <w:tcPr>
            <w:tcW w:w="6420" w:type="dxa"/>
            <w:tcBorders>
              <w:bottom w:val="single" w:sz="4" w:space="0" w:color="000000"/>
            </w:tcBorders>
          </w:tcPr>
          <w:p>
            <w:pPr>
              <w:pStyle w:val="Normal"/>
              <w:widowControl w:val="false"/>
              <w:overflowPunct w:val="false"/>
              <w:spacing w:lineRule="auto" w:line="240" w:before="0" w:after="0"/>
              <w:ind w:hanging="0" w:left="0" w:right="-113"/>
              <w:jc w:val="right"/>
              <w:textAlignment w:val="baseline"/>
              <w:rPr>
                <w:rFonts w:ascii="Arial" w:hAnsi="Arial" w:cs="Verdana"/>
                <w:b w:val="false"/>
                <w:bCs w:val="false"/>
                <w:i w:val="false"/>
                <w:i w:val="false"/>
                <w:iCs w:val="false"/>
                <w:sz w:val="19"/>
                <w:szCs w:val="24"/>
              </w:rPr>
            </w:pPr>
            <w:r>
              <w:rPr>
                <w:rFonts w:cs="Verdana" w:ascii="Arial" w:hAnsi="Arial"/>
                <w:b/>
                <w:bCs w:val="false"/>
                <w:iCs w:val="false"/>
                <w:sz w:val="19"/>
                <w:szCs w:val="24"/>
              </w:rPr>
              <w:t>PREGÃO ELETRÔNICO PARA REGISTRO DE PREÇOS</w:t>
            </w:r>
          </w:p>
        </w:tc>
      </w:tr>
      <w:tr>
        <w:trPr/>
        <w:tc>
          <w:tcPr>
            <w:tcW w:w="3119" w:type="dxa"/>
            <w:tcBorders>
              <w:top w:val="single" w:sz="4" w:space="0" w:color="000000"/>
              <w:bottom w:val="single" w:sz="4" w:space="0" w:color="000000"/>
            </w:tcBorders>
          </w:tcPr>
          <w:p>
            <w:pPr>
              <w:pStyle w:val="Normal"/>
              <w:widowControl w:val="false"/>
              <w:overflowPunct w:val="false"/>
              <w:spacing w:lineRule="auto" w:line="240" w:before="0" w:after="0"/>
              <w:ind w:hanging="0" w:left="-113" w:right="0"/>
              <w:jc w:val="both"/>
              <w:textAlignment w:val="baseline"/>
              <w:rPr>
                <w:rFonts w:ascii="Arial" w:hAnsi="Arial" w:cs="Verdana"/>
                <w:b w:val="false"/>
                <w:bCs w:val="false"/>
                <w:i w:val="false"/>
                <w:i w:val="false"/>
                <w:iCs w:val="false"/>
                <w:sz w:val="19"/>
                <w:szCs w:val="24"/>
              </w:rPr>
            </w:pPr>
            <w:r>
              <w:rPr>
                <w:rFonts w:cs="Verdana" w:ascii="Arial" w:hAnsi="Arial"/>
                <w:b/>
                <w:bCs w:val="false"/>
                <w:iCs w:val="false"/>
                <w:sz w:val="19"/>
                <w:szCs w:val="24"/>
              </w:rPr>
              <w:t>ENTIDADE PROMOTORA</w:t>
            </w:r>
          </w:p>
        </w:tc>
        <w:tc>
          <w:tcPr>
            <w:tcW w:w="6420" w:type="dxa"/>
            <w:tcBorders>
              <w:top w:val="single" w:sz="4" w:space="0" w:color="000000"/>
              <w:bottom w:val="single" w:sz="4" w:space="0" w:color="000000"/>
            </w:tcBorders>
          </w:tcPr>
          <w:p>
            <w:pPr>
              <w:pStyle w:val="Normal"/>
              <w:widowControl w:val="false"/>
              <w:overflowPunct w:val="false"/>
              <w:spacing w:lineRule="auto" w:line="240" w:before="0" w:after="0"/>
              <w:ind w:hanging="0" w:left="0" w:right="-113"/>
              <w:jc w:val="right"/>
              <w:textAlignment w:val="baseline"/>
              <w:rPr>
                <w:rFonts w:ascii="Arial" w:hAnsi="Arial" w:cs="Verdana"/>
                <w:b w:val="false"/>
                <w:bCs w:val="false"/>
                <w:i w:val="false"/>
                <w:i w:val="false"/>
                <w:iCs w:val="false"/>
                <w:sz w:val="19"/>
                <w:szCs w:val="24"/>
              </w:rPr>
            </w:pPr>
            <w:r>
              <w:rPr>
                <w:rFonts w:cs="Verdana" w:ascii="Arial" w:hAnsi="Arial"/>
                <w:b/>
                <w:bCs w:val="false"/>
                <w:iCs w:val="false"/>
                <w:sz w:val="19"/>
                <w:szCs w:val="24"/>
              </w:rPr>
              <w:t>MUNICÍPIO DE CIANORTE</w:t>
            </w:r>
          </w:p>
        </w:tc>
      </w:tr>
      <w:tr>
        <w:trPr/>
        <w:tc>
          <w:tcPr>
            <w:tcW w:w="3119" w:type="dxa"/>
            <w:tcBorders>
              <w:top w:val="single" w:sz="4" w:space="0" w:color="000000"/>
              <w:bottom w:val="single" w:sz="4" w:space="0" w:color="000000"/>
            </w:tcBorders>
          </w:tcPr>
          <w:p>
            <w:pPr>
              <w:pStyle w:val="Normal"/>
              <w:widowControl w:val="false"/>
              <w:overflowPunct w:val="false"/>
              <w:spacing w:lineRule="auto" w:line="240" w:before="0" w:after="0"/>
              <w:ind w:hanging="0" w:left="-113" w:right="0"/>
              <w:jc w:val="both"/>
              <w:textAlignment w:val="baseline"/>
              <w:rPr>
                <w:rFonts w:ascii="Arial" w:hAnsi="Arial" w:cs="Verdana"/>
                <w:b w:val="false"/>
                <w:bCs w:val="false"/>
                <w:i w:val="false"/>
                <w:i w:val="false"/>
                <w:iCs w:val="false"/>
                <w:sz w:val="19"/>
                <w:szCs w:val="24"/>
              </w:rPr>
            </w:pPr>
            <w:r>
              <w:rPr>
                <w:rFonts w:cs="Verdana" w:ascii="Arial" w:hAnsi="Arial"/>
                <w:b/>
                <w:bCs w:val="false"/>
                <w:iCs w:val="false"/>
                <w:sz w:val="19"/>
                <w:szCs w:val="24"/>
              </w:rPr>
              <w:t>SOLICITANTE</w:t>
            </w:r>
          </w:p>
        </w:tc>
        <w:tc>
          <w:tcPr>
            <w:tcW w:w="6420" w:type="dxa"/>
            <w:tcBorders>
              <w:top w:val="single" w:sz="4" w:space="0" w:color="000000"/>
              <w:bottom w:val="single" w:sz="4" w:space="0" w:color="000000"/>
            </w:tcBorders>
          </w:tcPr>
          <w:p>
            <w:pPr>
              <w:pStyle w:val="Normal"/>
              <w:widowControl w:val="false"/>
              <w:overflowPunct w:val="false"/>
              <w:spacing w:lineRule="auto" w:line="240" w:before="0" w:after="0"/>
              <w:ind w:hanging="0" w:left="0" w:right="-113"/>
              <w:jc w:val="right"/>
              <w:textAlignment w:val="baseline"/>
              <w:rPr>
                <w:rFonts w:ascii="Arial" w:hAnsi="Arial" w:cs="Verdana"/>
                <w:b/>
                <w:bCs w:val="false"/>
                <w:iCs w:val="false"/>
                <w:color w:val="FF0000"/>
                <w:sz w:val="19"/>
                <w:szCs w:val="24"/>
                <w:shd w:fill="auto" w:val="clear"/>
              </w:rPr>
            </w:pPr>
            <w:r>
              <w:rPr>
                <w:rFonts w:cs="Verdana" w:ascii="Arial" w:hAnsi="Arial"/>
                <w:b/>
                <w:bCs w:val="false"/>
                <w:iCs w:val="false"/>
                <w:sz w:val="19"/>
                <w:szCs w:val="24"/>
              </w:rPr>
              <w:t xml:space="preserve">SECRETARIA MUNICIPAL DE </w:t>
            </w:r>
            <w:r>
              <w:rPr>
                <w:rFonts w:cs="Verdana" w:ascii="Arial" w:hAnsi="Arial"/>
                <w:b/>
                <w:bCs w:val="false"/>
                <w:iCs w:val="false"/>
                <w:color w:val="000000"/>
                <w:sz w:val="19"/>
                <w:szCs w:val="24"/>
                <w:shd w:fill="auto" w:val="clear"/>
              </w:rPr>
              <w:t>ASSISTÊNCIA SOCIAL</w:t>
            </w:r>
          </w:p>
        </w:tc>
      </w:tr>
      <w:tr>
        <w:trPr>
          <w:trHeight w:val="280" w:hRule="atLeast"/>
        </w:trPr>
        <w:tc>
          <w:tcPr>
            <w:tcW w:w="3119" w:type="dxa"/>
            <w:tcBorders>
              <w:bottom w:val="single" w:sz="4" w:space="0" w:color="000000"/>
            </w:tcBorders>
          </w:tcPr>
          <w:p>
            <w:pPr>
              <w:pStyle w:val="Normal"/>
              <w:widowControl w:val="false"/>
              <w:overflowPunct w:val="false"/>
              <w:spacing w:lineRule="auto" w:line="240" w:before="0" w:after="0"/>
              <w:ind w:hanging="0" w:left="-113" w:right="0"/>
              <w:jc w:val="both"/>
              <w:textAlignment w:val="baseline"/>
              <w:rPr>
                <w:rFonts w:ascii="Arial" w:hAnsi="Arial" w:cs="Verdana"/>
                <w:b w:val="false"/>
                <w:bCs w:val="false"/>
                <w:i w:val="false"/>
                <w:i w:val="false"/>
                <w:iCs w:val="false"/>
                <w:sz w:val="19"/>
                <w:szCs w:val="24"/>
              </w:rPr>
            </w:pPr>
            <w:r>
              <w:rPr>
                <w:rFonts w:cs="Verdana" w:ascii="Arial" w:hAnsi="Arial"/>
                <w:b/>
                <w:bCs w:val="false"/>
                <w:iCs w:val="false"/>
                <w:sz w:val="19"/>
                <w:szCs w:val="24"/>
              </w:rPr>
              <w:t>PREFEITO DO MUNICÍPIO</w:t>
            </w:r>
          </w:p>
        </w:tc>
        <w:tc>
          <w:tcPr>
            <w:tcW w:w="6420" w:type="dxa"/>
            <w:tcBorders>
              <w:bottom w:val="single" w:sz="4" w:space="0" w:color="000000"/>
            </w:tcBorders>
          </w:tcPr>
          <w:p>
            <w:pPr>
              <w:pStyle w:val="Normal"/>
              <w:widowControl w:val="false"/>
              <w:overflowPunct w:val="false"/>
              <w:spacing w:lineRule="auto" w:line="240" w:before="0" w:after="0"/>
              <w:ind w:hanging="0" w:left="0" w:right="-113"/>
              <w:jc w:val="right"/>
              <w:textAlignment w:val="baseline"/>
              <w:rPr>
                <w:rFonts w:ascii="Arial" w:hAnsi="Arial" w:cs="Verdana"/>
                <w:b w:val="false"/>
                <w:bCs w:val="false"/>
                <w:i w:val="false"/>
                <w:i w:val="false"/>
                <w:iCs w:val="false"/>
                <w:sz w:val="19"/>
                <w:szCs w:val="24"/>
              </w:rPr>
            </w:pPr>
            <w:r>
              <w:rPr>
                <w:rFonts w:cs="Verdana" w:ascii="Arial" w:hAnsi="Arial"/>
                <w:b/>
                <w:bCs w:val="false"/>
                <w:iCs w:val="false"/>
                <w:sz w:val="19"/>
                <w:szCs w:val="24"/>
              </w:rPr>
              <w:t>MARCO ANTONIO FRANZATO</w:t>
            </w:r>
          </w:p>
        </w:tc>
      </w:tr>
    </w:tbl>
    <w:p>
      <w:pPr>
        <w:pStyle w:val="Normal"/>
        <w:spacing w:lineRule="auto" w:line="240" w:before="31" w:after="62"/>
        <w:jc w:val="both"/>
        <w:rPr/>
      </w:pPr>
      <w:r>
        <w:rPr>
          <w:rFonts w:ascii="Arial" w:hAnsi="Arial"/>
          <w:color w:val="000000"/>
          <w:sz w:val="19"/>
          <w:szCs w:val="19"/>
        </w:rPr>
        <w:t xml:space="preserve">O Município de Cianorte, Estado do Paraná, torna público a quem interessar possa que: Nos termos da Lei n.º 14.133/2021, </w:t>
      </w:r>
      <w:r>
        <w:rPr>
          <w:rFonts w:cs="Arial-ItalicMT" w:ascii="Arial" w:hAnsi="Arial"/>
          <w:iCs/>
          <w:color w:val="000000"/>
          <w:sz w:val="19"/>
          <w:szCs w:val="19"/>
        </w:rPr>
        <w:t>Decreto Municipal n.º 31/2023</w:t>
      </w:r>
      <w:r>
        <w:rPr>
          <w:rFonts w:eastAsia="MS Mincho;ＭＳ 明朝" w:cs="Verdana" w:ascii="Arial" w:hAnsi="Arial"/>
          <w:color w:val="000000"/>
          <w:sz w:val="19"/>
          <w:szCs w:val="19"/>
          <w:lang w:eastAsia="pt-BR"/>
        </w:rPr>
        <w:t xml:space="preserve"> e demais legislações aplicáveis</w:t>
      </w:r>
      <w:r>
        <w:rPr>
          <w:rFonts w:ascii="Arial" w:hAnsi="Arial"/>
          <w:color w:val="000000"/>
          <w:sz w:val="19"/>
          <w:szCs w:val="19"/>
        </w:rPr>
        <w:t>, que se encontra aberta licitação na modalidade Pregão, na sua forma eletrônica, para o Registro de Preços mediante as condições estabelecidas neste edital.</w:t>
      </w:r>
    </w:p>
    <w:tbl>
      <w:tblPr>
        <w:tblW w:w="9642" w:type="dxa"/>
        <w:jc w:val="left"/>
        <w:tblInd w:w="0" w:type="dxa"/>
        <w:tblLayout w:type="fixed"/>
        <w:tblCellMar>
          <w:top w:w="55" w:type="dxa"/>
          <w:left w:w="55" w:type="dxa"/>
          <w:bottom w:w="55" w:type="dxa"/>
          <w:right w:w="55" w:type="dxa"/>
        </w:tblCellMar>
      </w:tblPr>
      <w:tblGrid>
        <w:gridCol w:w="3905"/>
        <w:gridCol w:w="5736"/>
      </w:tblGrid>
      <w:tr>
        <w:trPr>
          <w:trHeight w:val="283" w:hRule="atLeast"/>
        </w:trPr>
        <w:tc>
          <w:tcPr>
            <w:tcW w:w="3905" w:type="dxa"/>
            <w:tcBorders>
              <w:top w:val="single" w:sz="2" w:space="0" w:color="000000"/>
              <w:left w:val="single" w:sz="2" w:space="0" w:color="000000"/>
              <w:bottom w:val="single" w:sz="2" w:space="0" w:color="000000"/>
            </w:tcBorders>
            <w:vAlign w:val="center"/>
          </w:tcPr>
          <w:p>
            <w:pPr>
              <w:pStyle w:val="Normal"/>
              <w:widowControl w:val="false"/>
              <w:overflowPunct w:val="false"/>
              <w:spacing w:lineRule="auto" w:line="240" w:before="0" w:after="0"/>
              <w:jc w:val="both"/>
              <w:textAlignment w:val="baseline"/>
              <w:rPr>
                <w:rFonts w:ascii="Arial" w:hAnsi="Arial" w:eastAsia="Times New Roman" w:cs="Verdana"/>
                <w:b/>
                <w:bCs/>
                <w:color w:val="000000"/>
                <w:sz w:val="19"/>
                <w:szCs w:val="19"/>
                <w:shd w:fill="auto" w:val="clear"/>
                <w:lang w:val="pt-BR" w:eastAsia="zh-CN" w:bidi="ar-SA"/>
              </w:rPr>
            </w:pPr>
            <w:r>
              <w:rPr>
                <w:rFonts w:eastAsia="Times New Roman" w:cs="Verdana" w:ascii="Arial" w:hAnsi="Arial"/>
                <w:b/>
                <w:bCs/>
                <w:color w:val="000000"/>
                <w:sz w:val="19"/>
                <w:szCs w:val="19"/>
                <w:shd w:fill="auto" w:val="clear"/>
                <w:lang w:val="pt-BR" w:eastAsia="zh-CN" w:bidi="ar-SA"/>
              </w:rPr>
              <w:t>Tipo</w:t>
            </w:r>
          </w:p>
        </w:tc>
        <w:tc>
          <w:tcPr>
            <w:tcW w:w="5736"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40" w:before="0" w:after="0"/>
              <w:jc w:val="both"/>
              <w:rPr>
                <w:rFonts w:ascii="Arial" w:hAnsi="Arial" w:eastAsia="Times New Roman" w:cs="Arial"/>
                <w:b/>
                <w:bCs/>
                <w:color w:val="000000"/>
                <w:sz w:val="19"/>
                <w:szCs w:val="19"/>
                <w:u w:val="none"/>
                <w:shd w:fill="auto" w:val="clear"/>
              </w:rPr>
            </w:pPr>
            <w:r>
              <w:rPr>
                <w:rStyle w:val="Hyperlink"/>
                <w:rFonts w:eastAsia="Times New Roman" w:cs="Arial" w:ascii="Arial" w:hAnsi="Arial"/>
                <w:b/>
                <w:bCs/>
                <w:color w:val="000000"/>
                <w:sz w:val="19"/>
                <w:szCs w:val="19"/>
                <w:u w:val="none"/>
                <w:shd w:fill="auto" w:val="clear"/>
              </w:rPr>
              <w:t>Menor Preço por Item</w:t>
            </w:r>
          </w:p>
        </w:tc>
      </w:tr>
      <w:tr>
        <w:trPr>
          <w:trHeight w:val="283" w:hRule="atLeast"/>
        </w:trPr>
        <w:tc>
          <w:tcPr>
            <w:tcW w:w="3905" w:type="dxa"/>
            <w:tcBorders>
              <w:left w:val="single" w:sz="2" w:space="0" w:color="000000"/>
              <w:bottom w:val="single" w:sz="2" w:space="0" w:color="000000"/>
            </w:tcBorders>
            <w:vAlign w:val="center"/>
          </w:tcPr>
          <w:p>
            <w:pPr>
              <w:pStyle w:val="Normal"/>
              <w:widowControl w:val="false"/>
              <w:overflowPunct w:val="false"/>
              <w:spacing w:lineRule="auto" w:line="240" w:before="0" w:after="0"/>
              <w:jc w:val="both"/>
              <w:textAlignment w:val="baseline"/>
              <w:rPr>
                <w:rFonts w:ascii="Arial" w:hAnsi="Arial" w:eastAsia="Times New Roman" w:cs="Verdana"/>
                <w:b/>
                <w:bCs/>
                <w:color w:val="000000"/>
                <w:sz w:val="19"/>
                <w:szCs w:val="19"/>
                <w:shd w:fill="auto" w:val="clear"/>
                <w:lang w:val="pt-BR" w:eastAsia="zh-CN" w:bidi="ar-SA"/>
              </w:rPr>
            </w:pPr>
            <w:r>
              <w:rPr>
                <w:rFonts w:eastAsia="Times New Roman" w:cs="Verdana" w:ascii="Arial" w:hAnsi="Arial"/>
                <w:b/>
                <w:bCs/>
                <w:color w:val="000000"/>
                <w:sz w:val="19"/>
                <w:szCs w:val="19"/>
                <w:shd w:fill="auto" w:val="clear"/>
                <w:lang w:val="pt-BR" w:eastAsia="zh-CN" w:bidi="ar-SA"/>
              </w:rPr>
              <w:t>Do local</w:t>
            </w:r>
          </w:p>
        </w:tc>
        <w:tc>
          <w:tcPr>
            <w:tcW w:w="5736" w:type="dxa"/>
            <w:tcBorders>
              <w:left w:val="single" w:sz="2" w:space="0" w:color="000000"/>
              <w:bottom w:val="single" w:sz="2" w:space="0" w:color="000000"/>
              <w:right w:val="single" w:sz="2" w:space="0" w:color="000000"/>
            </w:tcBorders>
          </w:tcPr>
          <w:p>
            <w:pPr>
              <w:pStyle w:val="Normal"/>
              <w:widowControl w:val="false"/>
              <w:spacing w:lineRule="auto" w:line="240" w:before="0" w:after="0"/>
              <w:rPr>
                <w:rFonts w:ascii="Arial" w:hAnsi="Arial" w:eastAsia="Times New Roman" w:cs="Times New Roman"/>
                <w:b/>
                <w:bCs/>
                <w:color w:val="000000"/>
                <w:sz w:val="19"/>
                <w:szCs w:val="19"/>
                <w:lang w:val="pt-BR" w:eastAsia="zh-CN" w:bidi="ar-SA"/>
              </w:rPr>
            </w:pPr>
            <w:r>
              <w:rPr>
                <w:rStyle w:val="Hyperlink"/>
                <w:rFonts w:eastAsia="Times New Roman" w:cs="Arial" w:ascii="Arial" w:hAnsi="Arial"/>
                <w:b/>
                <w:bCs/>
                <w:sz w:val="19"/>
                <w:szCs w:val="19"/>
                <w:u w:val="none"/>
                <w:shd w:fill="auto" w:val="clear"/>
              </w:rPr>
              <w:t xml:space="preserve"> </w:t>
            </w:r>
            <w:r>
              <w:rPr>
                <w:rStyle w:val="Hyperlink"/>
                <w:rFonts w:eastAsia="Times New Roman" w:cs="Arial" w:ascii="Arial" w:hAnsi="Arial"/>
                <w:b/>
                <w:bCs/>
                <w:color w:val="000000"/>
                <w:sz w:val="19"/>
                <w:szCs w:val="19"/>
                <w:u w:val="none"/>
                <w:shd w:fill="auto" w:val="clear"/>
              </w:rPr>
              <w:t>Portal de licitações da Caixa Econômica Federal</w:t>
            </w:r>
          </w:p>
        </w:tc>
      </w:tr>
      <w:tr>
        <w:trPr/>
        <w:tc>
          <w:tcPr>
            <w:tcW w:w="3905" w:type="dxa"/>
            <w:tcBorders>
              <w:left w:val="single" w:sz="2" w:space="0" w:color="000000"/>
              <w:bottom w:val="single" w:sz="2" w:space="0" w:color="000000"/>
            </w:tcBorders>
            <w:vAlign w:val="center"/>
          </w:tcPr>
          <w:p>
            <w:pPr>
              <w:pStyle w:val="Normal"/>
              <w:widowControl w:val="false"/>
              <w:snapToGrid w:val="false"/>
              <w:spacing w:lineRule="auto" w:line="240" w:before="0" w:after="0"/>
              <w:ind w:hanging="0" w:left="0" w:right="-30"/>
              <w:jc w:val="both"/>
              <w:rPr>
                <w:rFonts w:ascii="Arial" w:hAnsi="Arial" w:eastAsia="Times New Roman" w:cs="Verdana"/>
                <w:b/>
                <w:bCs/>
                <w:color w:val="000000"/>
                <w:sz w:val="19"/>
                <w:szCs w:val="19"/>
                <w:shd w:fill="auto" w:val="clear"/>
                <w:lang w:val="pt-BR" w:eastAsia="zh-CN" w:bidi="ar-SA"/>
              </w:rPr>
            </w:pPr>
            <w:r>
              <w:rPr>
                <w:rFonts w:eastAsia="Times New Roman" w:cs="Verdana" w:ascii="Arial" w:hAnsi="Arial"/>
                <w:b/>
                <w:bCs/>
                <w:color w:val="000000"/>
                <w:sz w:val="19"/>
                <w:szCs w:val="19"/>
                <w:shd w:fill="auto" w:val="clear"/>
                <w:lang w:val="pt-BR" w:eastAsia="zh-CN" w:bidi="ar-SA"/>
              </w:rPr>
              <w:t>Endereço eletrônico</w:t>
            </w:r>
          </w:p>
        </w:tc>
        <w:tc>
          <w:tcPr>
            <w:tcW w:w="5736" w:type="dxa"/>
            <w:tcBorders>
              <w:left w:val="single" w:sz="2" w:space="0" w:color="000000"/>
              <w:bottom w:val="single" w:sz="2" w:space="0" w:color="000000"/>
              <w:right w:val="single" w:sz="2" w:space="0" w:color="000000"/>
            </w:tcBorders>
          </w:tcPr>
          <w:p>
            <w:pPr>
              <w:pStyle w:val="Normal"/>
              <w:widowControl w:val="false"/>
              <w:overflowPunct w:val="false"/>
              <w:spacing w:lineRule="auto" w:line="240" w:before="0" w:after="0"/>
              <w:jc w:val="both"/>
              <w:textAlignment w:val="baseline"/>
              <w:rPr/>
            </w:pPr>
            <w:r>
              <w:rPr>
                <w:rStyle w:val="Hyperlink"/>
                <w:rFonts w:eastAsia="Times New Roman" w:cs="Arial" w:ascii="Arial" w:hAnsi="Arial"/>
                <w:b/>
                <w:bCs/>
                <w:color w:val="000000"/>
                <w:sz w:val="19"/>
                <w:szCs w:val="19"/>
                <w:u w:val="none"/>
                <w:shd w:fill="auto" w:val="clear"/>
              </w:rPr>
              <w:t xml:space="preserve"> </w:t>
            </w:r>
            <w:hyperlink r:id="rId2">
              <w:r>
                <w:rPr>
                  <w:rStyle w:val="Style6"/>
                  <w:rFonts w:eastAsia="Times New Roman" w:cs="Arial" w:ascii="Arial" w:hAnsi="Arial"/>
                  <w:b/>
                  <w:bCs/>
                  <w:color w:val="000080"/>
                  <w:sz w:val="19"/>
                  <w:szCs w:val="19"/>
                  <w:u w:val="single"/>
                  <w:shd w:fill="auto" w:val="clear"/>
                  <w:lang w:val="zxx" w:eastAsia="zxx" w:bidi="zxx"/>
                </w:rPr>
                <w:t>https://licitacoes.caixa.gov.br/SitePages/pagina_inicial.aspx</w:t>
              </w:r>
            </w:hyperlink>
          </w:p>
        </w:tc>
      </w:tr>
      <w:tr>
        <w:trPr/>
        <w:tc>
          <w:tcPr>
            <w:tcW w:w="3905" w:type="dxa"/>
            <w:tcBorders>
              <w:left w:val="single" w:sz="2" w:space="0" w:color="000000"/>
              <w:bottom w:val="single" w:sz="2" w:space="0" w:color="000000"/>
            </w:tcBorders>
            <w:vAlign w:val="center"/>
          </w:tcPr>
          <w:p>
            <w:pPr>
              <w:pStyle w:val="Normal"/>
              <w:widowControl w:val="false"/>
              <w:snapToGrid w:val="false"/>
              <w:spacing w:lineRule="auto" w:line="240" w:before="0" w:after="0"/>
              <w:ind w:hanging="0" w:left="0" w:right="-30"/>
              <w:jc w:val="both"/>
              <w:rPr>
                <w:rFonts w:ascii="Arial" w:hAnsi="Arial" w:eastAsia="Times New Roman" w:cs="Verdana"/>
                <w:b/>
                <w:bCs/>
                <w:color w:val="000000"/>
                <w:sz w:val="19"/>
                <w:szCs w:val="19"/>
                <w:shd w:fill="auto" w:val="clear"/>
                <w:lang w:val="pt-BR" w:eastAsia="zh-CN" w:bidi="ar-SA"/>
              </w:rPr>
            </w:pPr>
            <w:r>
              <w:rPr>
                <w:rFonts w:eastAsia="Times New Roman" w:cs="Verdana" w:ascii="Arial" w:hAnsi="Arial"/>
                <w:b/>
                <w:bCs/>
                <w:color w:val="000000"/>
                <w:sz w:val="19"/>
                <w:szCs w:val="19"/>
                <w:shd w:fill="auto" w:val="clear"/>
                <w:lang w:val="pt-BR" w:eastAsia="zh-CN" w:bidi="ar-SA"/>
              </w:rPr>
              <w:t>Credenciamento</w:t>
            </w:r>
          </w:p>
        </w:tc>
        <w:tc>
          <w:tcPr>
            <w:tcW w:w="5736" w:type="dxa"/>
            <w:tcBorders>
              <w:left w:val="single" w:sz="2" w:space="0" w:color="000000"/>
              <w:bottom w:val="single" w:sz="2" w:space="0" w:color="000000"/>
              <w:right w:val="single" w:sz="2" w:space="0" w:color="000000"/>
            </w:tcBorders>
          </w:tcPr>
          <w:p>
            <w:pPr>
              <w:pStyle w:val="Normal"/>
              <w:widowControl w:val="false"/>
              <w:overflowPunct w:val="false"/>
              <w:spacing w:lineRule="auto" w:line="240" w:before="0" w:after="0"/>
              <w:jc w:val="both"/>
              <w:textAlignment w:val="baseline"/>
              <w:rPr>
                <w:rFonts w:ascii="Arial" w:hAnsi="Arial"/>
                <w:sz w:val="19"/>
                <w:szCs w:val="19"/>
                <w:shd w:fill="auto" w:val="clear"/>
              </w:rPr>
            </w:pPr>
            <w:r>
              <w:rPr>
                <w:rFonts w:eastAsia="Times New Roman" w:cs="Verdana" w:ascii="Arial" w:hAnsi="Arial"/>
                <w:b w:val="false"/>
                <w:bCs w:val="false"/>
                <w:color w:val="000000"/>
                <w:sz w:val="19"/>
                <w:szCs w:val="19"/>
                <w:u w:val="none"/>
                <w:shd w:fill="auto" w:val="clear"/>
                <w:lang w:val="pt-BR" w:eastAsia="zh-CN" w:bidi="ar-SA"/>
              </w:rPr>
              <w:t xml:space="preserve">Até </w:t>
            </w:r>
            <w:r>
              <w:rPr>
                <w:rFonts w:eastAsia="Times New Roman" w:cs="Verdana" w:ascii="Arial" w:hAnsi="Arial"/>
                <w:b w:val="false"/>
                <w:bCs w:val="false"/>
                <w:color w:val="000000"/>
                <w:sz w:val="19"/>
                <w:szCs w:val="19"/>
                <w:u w:val="none"/>
                <w:shd w:fill="auto" w:val="clear"/>
                <w:lang w:val="pt-BR" w:eastAsia="zh-CN" w:bidi="ar-SA"/>
              </w:rPr>
              <w:t xml:space="preserve">08:30 </w:t>
            </w:r>
            <w:r>
              <w:rPr>
                <w:rFonts w:eastAsia="Times New Roman" w:cs="Verdana" w:ascii="Arial" w:hAnsi="Arial"/>
                <w:b w:val="false"/>
                <w:bCs w:val="false"/>
                <w:color w:val="000000"/>
                <w:sz w:val="19"/>
                <w:szCs w:val="19"/>
                <w:u w:val="none"/>
                <w:shd w:fill="auto" w:val="clear"/>
                <w:lang w:val="pt-BR" w:eastAsia="zh-CN" w:bidi="ar-SA"/>
              </w:rPr>
              <w:t xml:space="preserve">horas do dia </w:t>
            </w:r>
            <w:r>
              <w:rPr>
                <w:rFonts w:eastAsia="Times New Roman" w:cs="Verdana" w:ascii="Arial" w:hAnsi="Arial"/>
                <w:b w:val="false"/>
                <w:bCs w:val="false"/>
                <w:color w:val="000000"/>
                <w:sz w:val="19"/>
                <w:szCs w:val="19"/>
                <w:u w:val="none"/>
                <w:shd w:fill="auto" w:val="clear"/>
                <w:lang w:val="pt-BR" w:eastAsia="zh-CN" w:bidi="ar-SA"/>
              </w:rPr>
              <w:t>08/10/</w:t>
            </w:r>
            <w:r>
              <w:rPr>
                <w:rFonts w:eastAsia="Times New Roman" w:cs="Verdana" w:ascii="Arial" w:hAnsi="Arial"/>
                <w:b w:val="false"/>
                <w:bCs w:val="false"/>
                <w:color w:val="000000"/>
                <w:sz w:val="19"/>
                <w:szCs w:val="19"/>
                <w:u w:val="none"/>
                <w:shd w:fill="auto" w:val="clear"/>
                <w:lang w:val="pt-BR" w:eastAsia="zh-CN" w:bidi="ar-SA"/>
              </w:rPr>
              <w:t>2025.</w:t>
            </w:r>
          </w:p>
        </w:tc>
      </w:tr>
      <w:tr>
        <w:trPr/>
        <w:tc>
          <w:tcPr>
            <w:tcW w:w="3905" w:type="dxa"/>
            <w:tcBorders>
              <w:left w:val="single" w:sz="2" w:space="0" w:color="000000"/>
              <w:bottom w:val="single" w:sz="2" w:space="0" w:color="000000"/>
            </w:tcBorders>
            <w:vAlign w:val="center"/>
          </w:tcPr>
          <w:p>
            <w:pPr>
              <w:pStyle w:val="Normal"/>
              <w:widowControl w:val="false"/>
              <w:snapToGrid w:val="false"/>
              <w:spacing w:lineRule="auto" w:line="240" w:before="0" w:after="0"/>
              <w:ind w:hanging="0" w:left="0" w:right="-30"/>
              <w:jc w:val="both"/>
              <w:rPr>
                <w:rFonts w:ascii="Arial" w:hAnsi="Arial" w:eastAsia="Times New Roman" w:cs="Verdana"/>
                <w:b/>
                <w:bCs/>
                <w:color w:val="000000"/>
                <w:sz w:val="19"/>
                <w:szCs w:val="19"/>
                <w:shd w:fill="auto" w:val="clear"/>
                <w:lang w:val="pt-BR" w:eastAsia="zh-CN" w:bidi="ar-SA"/>
              </w:rPr>
            </w:pPr>
            <w:r>
              <w:rPr>
                <w:rFonts w:eastAsia="Times New Roman" w:cs="Verdana" w:ascii="Arial" w:hAnsi="Arial"/>
                <w:b/>
                <w:bCs/>
                <w:color w:val="000000"/>
                <w:sz w:val="19"/>
                <w:szCs w:val="19"/>
                <w:shd w:fill="auto" w:val="clear"/>
                <w:lang w:val="pt-BR" w:eastAsia="zh-CN" w:bidi="ar-SA"/>
              </w:rPr>
              <w:t>Recebimento das Propostas e Habilitação</w:t>
            </w:r>
          </w:p>
        </w:tc>
        <w:tc>
          <w:tcPr>
            <w:tcW w:w="5736" w:type="dxa"/>
            <w:tcBorders>
              <w:left w:val="single" w:sz="2" w:space="0" w:color="000000"/>
              <w:bottom w:val="single" w:sz="2" w:space="0" w:color="000000"/>
              <w:right w:val="single" w:sz="2" w:space="0" w:color="000000"/>
            </w:tcBorders>
          </w:tcPr>
          <w:p>
            <w:pPr>
              <w:pStyle w:val="Normal"/>
              <w:widowControl w:val="false"/>
              <w:overflowPunct w:val="false"/>
              <w:spacing w:lineRule="auto" w:line="240" w:before="0" w:after="0"/>
              <w:jc w:val="both"/>
              <w:textAlignment w:val="baseline"/>
              <w:rPr>
                <w:rFonts w:ascii="Arial" w:hAnsi="Arial"/>
                <w:sz w:val="19"/>
                <w:szCs w:val="19"/>
                <w:shd w:fill="auto" w:val="clear"/>
              </w:rPr>
            </w:pPr>
            <w:r>
              <w:rPr>
                <w:rFonts w:eastAsia="Times New Roman" w:cs="Verdana" w:ascii="Arial" w:hAnsi="Arial"/>
                <w:b w:val="false"/>
                <w:bCs w:val="false"/>
                <w:color w:val="000000"/>
                <w:sz w:val="19"/>
                <w:szCs w:val="19"/>
                <w:u w:val="none"/>
                <w:shd w:fill="auto" w:val="clear"/>
                <w:lang w:val="pt-BR" w:eastAsia="zh-CN" w:bidi="ar-SA"/>
              </w:rPr>
              <w:t xml:space="preserve">Até </w:t>
            </w:r>
            <w:r>
              <w:rPr>
                <w:rFonts w:eastAsia="Times New Roman" w:cs="Verdana" w:ascii="Arial" w:hAnsi="Arial"/>
                <w:b w:val="false"/>
                <w:bCs w:val="false"/>
                <w:color w:val="000000"/>
                <w:sz w:val="19"/>
                <w:szCs w:val="19"/>
                <w:u w:val="none"/>
                <w:shd w:fill="auto" w:val="clear"/>
                <w:lang w:val="pt-BR" w:eastAsia="zh-CN" w:bidi="ar-SA"/>
              </w:rPr>
              <w:t xml:space="preserve">09:00 </w:t>
            </w:r>
            <w:r>
              <w:rPr>
                <w:rFonts w:eastAsia="Times New Roman" w:cs="Verdana" w:ascii="Arial" w:hAnsi="Arial"/>
                <w:b w:val="false"/>
                <w:bCs w:val="false"/>
                <w:color w:val="000000"/>
                <w:sz w:val="19"/>
                <w:szCs w:val="19"/>
                <w:u w:val="none"/>
                <w:shd w:fill="auto" w:val="clear"/>
                <w:lang w:val="pt-BR" w:eastAsia="zh-CN" w:bidi="ar-SA"/>
              </w:rPr>
              <w:t xml:space="preserve">horas do dia </w:t>
            </w:r>
            <w:r>
              <w:rPr>
                <w:rFonts w:eastAsia="Times New Roman" w:cs="Verdana" w:ascii="Arial" w:hAnsi="Arial"/>
                <w:b w:val="false"/>
                <w:bCs w:val="false"/>
                <w:color w:val="000000"/>
                <w:sz w:val="19"/>
                <w:szCs w:val="19"/>
                <w:u w:val="none"/>
                <w:shd w:fill="auto" w:val="clear"/>
                <w:lang w:val="pt-BR" w:eastAsia="zh-CN" w:bidi="ar-SA"/>
              </w:rPr>
              <w:t>08/10/</w:t>
            </w:r>
            <w:r>
              <w:rPr>
                <w:rFonts w:eastAsia="Times New Roman" w:cs="Verdana" w:ascii="Arial" w:hAnsi="Arial"/>
                <w:b w:val="false"/>
                <w:bCs w:val="false"/>
                <w:color w:val="000000"/>
                <w:sz w:val="19"/>
                <w:szCs w:val="19"/>
                <w:u w:val="none"/>
                <w:shd w:fill="auto" w:val="clear"/>
                <w:lang w:val="pt-BR" w:eastAsia="zh-CN" w:bidi="ar-SA"/>
              </w:rPr>
              <w:t>2025.</w:t>
            </w:r>
          </w:p>
        </w:tc>
      </w:tr>
      <w:tr>
        <w:trPr/>
        <w:tc>
          <w:tcPr>
            <w:tcW w:w="3905" w:type="dxa"/>
            <w:tcBorders>
              <w:left w:val="single" w:sz="2" w:space="0" w:color="000000"/>
              <w:bottom w:val="single" w:sz="2" w:space="0" w:color="000000"/>
            </w:tcBorders>
            <w:vAlign w:val="center"/>
          </w:tcPr>
          <w:p>
            <w:pPr>
              <w:pStyle w:val="Normal"/>
              <w:widowControl w:val="false"/>
              <w:snapToGrid w:val="false"/>
              <w:spacing w:lineRule="auto" w:line="240" w:before="0" w:after="0"/>
              <w:ind w:hanging="0" w:left="0" w:right="-30"/>
              <w:jc w:val="both"/>
              <w:rPr>
                <w:rFonts w:ascii="Arial" w:hAnsi="Arial" w:eastAsia="Times New Roman" w:cs="Verdana"/>
                <w:b/>
                <w:bCs/>
                <w:color w:val="000000"/>
                <w:sz w:val="19"/>
                <w:szCs w:val="19"/>
                <w:shd w:fill="auto" w:val="clear"/>
                <w:lang w:val="pt-BR" w:eastAsia="zh-CN" w:bidi="ar-SA"/>
              </w:rPr>
            </w:pPr>
            <w:r>
              <w:rPr>
                <w:rFonts w:eastAsia="Times New Roman" w:cs="Verdana" w:ascii="Arial" w:hAnsi="Arial"/>
                <w:b/>
                <w:bCs/>
                <w:color w:val="000000"/>
                <w:sz w:val="19"/>
                <w:szCs w:val="19"/>
                <w:shd w:fill="auto" w:val="clear"/>
                <w:lang w:val="pt-BR" w:eastAsia="zh-CN" w:bidi="ar-SA"/>
              </w:rPr>
              <w:t>Abertura e julgamento das propostas</w:t>
            </w:r>
          </w:p>
        </w:tc>
        <w:tc>
          <w:tcPr>
            <w:tcW w:w="5736" w:type="dxa"/>
            <w:tcBorders>
              <w:left w:val="single" w:sz="2" w:space="0" w:color="000000"/>
              <w:bottom w:val="single" w:sz="2" w:space="0" w:color="000000"/>
              <w:right w:val="single" w:sz="2" w:space="0" w:color="000000"/>
            </w:tcBorders>
          </w:tcPr>
          <w:p>
            <w:pPr>
              <w:pStyle w:val="Normal"/>
              <w:widowControl w:val="false"/>
              <w:overflowPunct w:val="false"/>
              <w:spacing w:lineRule="auto" w:line="240" w:before="0" w:after="0"/>
              <w:jc w:val="both"/>
              <w:textAlignment w:val="baseline"/>
              <w:rPr>
                <w:rFonts w:ascii="Arial" w:hAnsi="Arial"/>
                <w:color w:val="000000"/>
                <w:sz w:val="19"/>
                <w:szCs w:val="19"/>
                <w:shd w:fill="auto" w:val="clear"/>
              </w:rPr>
            </w:pPr>
            <w:r>
              <w:rPr>
                <w:rFonts w:eastAsia="Times New Roman" w:cs="Verdana" w:ascii="Arial" w:hAnsi="Arial"/>
                <w:b w:val="false"/>
                <w:bCs w:val="false"/>
                <w:color w:val="000000"/>
                <w:sz w:val="19"/>
                <w:szCs w:val="19"/>
                <w:u w:val="none"/>
                <w:shd w:fill="auto" w:val="clear"/>
                <w:lang w:val="pt-BR" w:eastAsia="zh-CN" w:bidi="ar-SA"/>
              </w:rPr>
              <w:t xml:space="preserve">Até </w:t>
            </w:r>
            <w:r>
              <w:rPr>
                <w:rFonts w:eastAsia="Times New Roman" w:cs="Verdana" w:ascii="Arial" w:hAnsi="Arial"/>
                <w:b w:val="false"/>
                <w:bCs w:val="false"/>
                <w:color w:val="000000"/>
                <w:sz w:val="19"/>
                <w:szCs w:val="19"/>
                <w:u w:val="none"/>
                <w:shd w:fill="auto" w:val="clear"/>
                <w:lang w:val="pt-BR" w:eastAsia="zh-CN" w:bidi="ar-SA"/>
              </w:rPr>
              <w:t xml:space="preserve">09:00 </w:t>
            </w:r>
            <w:r>
              <w:rPr>
                <w:rFonts w:eastAsia="Times New Roman" w:cs="Verdana" w:ascii="Arial" w:hAnsi="Arial"/>
                <w:b w:val="false"/>
                <w:bCs w:val="false"/>
                <w:color w:val="000000"/>
                <w:sz w:val="19"/>
                <w:szCs w:val="19"/>
                <w:u w:val="none"/>
                <w:shd w:fill="auto" w:val="clear"/>
                <w:lang w:val="pt-BR" w:eastAsia="zh-CN" w:bidi="ar-SA"/>
              </w:rPr>
              <w:t xml:space="preserve">horas do dia </w:t>
            </w:r>
            <w:r>
              <w:rPr>
                <w:rFonts w:eastAsia="Times New Roman" w:cs="Verdana" w:ascii="Arial" w:hAnsi="Arial"/>
                <w:b w:val="false"/>
                <w:bCs w:val="false"/>
                <w:color w:val="000000"/>
                <w:sz w:val="19"/>
                <w:szCs w:val="19"/>
                <w:u w:val="none"/>
                <w:shd w:fill="auto" w:val="clear"/>
                <w:lang w:val="pt-BR" w:eastAsia="zh-CN" w:bidi="ar-SA"/>
              </w:rPr>
              <w:t>08/10/</w:t>
            </w:r>
            <w:r>
              <w:rPr>
                <w:rFonts w:eastAsia="Times New Roman" w:cs="Verdana" w:ascii="Arial" w:hAnsi="Arial"/>
                <w:b w:val="false"/>
                <w:bCs w:val="false"/>
                <w:color w:val="000000"/>
                <w:sz w:val="19"/>
                <w:szCs w:val="19"/>
                <w:u w:val="none"/>
                <w:shd w:fill="auto" w:val="clear"/>
                <w:lang w:val="pt-BR" w:eastAsia="zh-CN" w:bidi="ar-SA"/>
              </w:rPr>
              <w:t>2025.</w:t>
            </w:r>
          </w:p>
        </w:tc>
      </w:tr>
      <w:tr>
        <w:trPr/>
        <w:tc>
          <w:tcPr>
            <w:tcW w:w="3905" w:type="dxa"/>
            <w:tcBorders>
              <w:left w:val="single" w:sz="2" w:space="0" w:color="000000"/>
              <w:bottom w:val="single" w:sz="2" w:space="0" w:color="000000"/>
            </w:tcBorders>
            <w:vAlign w:val="center"/>
          </w:tcPr>
          <w:p>
            <w:pPr>
              <w:pStyle w:val="Normal"/>
              <w:widowControl w:val="false"/>
              <w:snapToGrid w:val="false"/>
              <w:spacing w:lineRule="auto" w:line="240" w:before="0" w:after="0"/>
              <w:ind w:hanging="0" w:left="0" w:right="-30"/>
              <w:jc w:val="both"/>
              <w:rPr>
                <w:rFonts w:ascii="Arial" w:hAnsi="Arial"/>
                <w:sz w:val="19"/>
                <w:szCs w:val="19"/>
              </w:rPr>
            </w:pPr>
            <w:r>
              <w:rPr>
                <w:rFonts w:eastAsia="Times New Roman" w:cs="Verdana" w:ascii="Arial" w:hAnsi="Arial"/>
                <w:b/>
                <w:bCs/>
                <w:color w:val="000000"/>
                <w:sz w:val="19"/>
                <w:szCs w:val="19"/>
                <w:shd w:fill="auto" w:val="clear"/>
                <w:lang w:val="pt-BR" w:eastAsia="zh-CN" w:bidi="ar-SA"/>
              </w:rPr>
              <w:t>Início da sessão de disputa de preços</w:t>
            </w:r>
          </w:p>
        </w:tc>
        <w:tc>
          <w:tcPr>
            <w:tcW w:w="5736" w:type="dxa"/>
            <w:tcBorders>
              <w:left w:val="single" w:sz="2" w:space="0" w:color="000000"/>
              <w:bottom w:val="single" w:sz="2" w:space="0" w:color="000000"/>
              <w:right w:val="single" w:sz="2" w:space="0" w:color="000000"/>
            </w:tcBorders>
          </w:tcPr>
          <w:p>
            <w:pPr>
              <w:pStyle w:val="Normal"/>
              <w:widowControl w:val="false"/>
              <w:overflowPunct w:val="false"/>
              <w:spacing w:lineRule="auto" w:line="240" w:before="0" w:after="0"/>
              <w:jc w:val="both"/>
              <w:textAlignment w:val="baseline"/>
              <w:rPr>
                <w:rFonts w:ascii="Arial" w:hAnsi="Arial"/>
                <w:color w:val="000000"/>
                <w:sz w:val="19"/>
                <w:szCs w:val="19"/>
                <w:shd w:fill="auto" w:val="clear"/>
              </w:rPr>
            </w:pPr>
            <w:r>
              <w:rPr>
                <w:rFonts w:eastAsia="Times New Roman" w:cs="Verdana" w:ascii="Arial" w:hAnsi="Arial"/>
                <w:b w:val="false"/>
                <w:bCs w:val="false"/>
                <w:color w:val="000000"/>
                <w:sz w:val="19"/>
                <w:szCs w:val="19"/>
                <w:u w:val="none"/>
                <w:shd w:fill="auto" w:val="clear"/>
                <w:lang w:val="pt-BR" w:eastAsia="zh-CN" w:bidi="ar-SA"/>
              </w:rPr>
              <w:t xml:space="preserve">A partir das </w:t>
            </w:r>
            <w:r>
              <w:rPr>
                <w:rFonts w:eastAsia="Times New Roman" w:cs="Verdana" w:ascii="Arial" w:hAnsi="Arial"/>
                <w:b w:val="false"/>
                <w:bCs w:val="false"/>
                <w:color w:val="000000"/>
                <w:sz w:val="19"/>
                <w:szCs w:val="19"/>
                <w:u w:val="none"/>
                <w:shd w:fill="auto" w:val="clear"/>
                <w:lang w:val="pt-BR" w:eastAsia="zh-CN" w:bidi="ar-SA"/>
              </w:rPr>
              <w:t xml:space="preserve">09:30 </w:t>
            </w:r>
            <w:r>
              <w:rPr>
                <w:rFonts w:eastAsia="Times New Roman" w:cs="Verdana" w:ascii="Arial" w:hAnsi="Arial"/>
                <w:b w:val="false"/>
                <w:bCs w:val="false"/>
                <w:color w:val="000000"/>
                <w:sz w:val="19"/>
                <w:szCs w:val="19"/>
                <w:u w:val="none"/>
                <w:shd w:fill="auto" w:val="clear"/>
                <w:lang w:val="pt-BR" w:eastAsia="zh-CN" w:bidi="ar-SA"/>
              </w:rPr>
              <w:t xml:space="preserve">horas do dia </w:t>
            </w:r>
            <w:r>
              <w:rPr>
                <w:rFonts w:eastAsia="Times New Roman" w:cs="Verdana" w:ascii="Arial" w:hAnsi="Arial"/>
                <w:b w:val="false"/>
                <w:bCs w:val="false"/>
                <w:color w:val="000000"/>
                <w:sz w:val="19"/>
                <w:szCs w:val="19"/>
                <w:u w:val="none"/>
                <w:shd w:fill="auto" w:val="clear"/>
                <w:lang w:val="pt-BR" w:eastAsia="zh-CN" w:bidi="ar-SA"/>
              </w:rPr>
              <w:t>08/10/</w:t>
            </w:r>
            <w:r>
              <w:rPr>
                <w:rFonts w:eastAsia="Times New Roman" w:cs="Verdana" w:ascii="Arial" w:hAnsi="Arial"/>
                <w:b w:val="false"/>
                <w:bCs w:val="false"/>
                <w:color w:val="000000"/>
                <w:sz w:val="19"/>
                <w:szCs w:val="19"/>
                <w:u w:val="none"/>
                <w:shd w:fill="auto" w:val="clear"/>
                <w:lang w:val="pt-BR" w:eastAsia="zh-CN" w:bidi="ar-SA"/>
              </w:rPr>
              <w:t>2025.</w:t>
            </w:r>
          </w:p>
        </w:tc>
      </w:tr>
      <w:tr>
        <w:trPr/>
        <w:tc>
          <w:tcPr>
            <w:tcW w:w="3905" w:type="dxa"/>
            <w:tcBorders>
              <w:left w:val="single" w:sz="2" w:space="0" w:color="000000"/>
              <w:bottom w:val="single" w:sz="2" w:space="0" w:color="000000"/>
            </w:tcBorders>
            <w:vAlign w:val="center"/>
          </w:tcPr>
          <w:p>
            <w:pPr>
              <w:pStyle w:val="Normal"/>
              <w:widowControl w:val="false"/>
              <w:snapToGrid w:val="false"/>
              <w:spacing w:lineRule="auto" w:line="240" w:before="0" w:after="0"/>
              <w:ind w:hanging="0" w:left="0" w:right="-30"/>
              <w:jc w:val="both"/>
              <w:rPr>
                <w:rFonts w:ascii="Arial" w:hAnsi="Arial" w:eastAsia="Times New Roman" w:cs="Verdana"/>
                <w:b/>
                <w:bCs/>
                <w:color w:val="000000"/>
                <w:sz w:val="19"/>
                <w:szCs w:val="19"/>
                <w:shd w:fill="auto" w:val="clear"/>
                <w:lang w:val="pt-BR" w:eastAsia="zh-CN" w:bidi="ar-SA"/>
              </w:rPr>
            </w:pPr>
            <w:r>
              <w:rPr>
                <w:rFonts w:eastAsia="Times New Roman" w:cs="Verdana" w:ascii="Arial" w:hAnsi="Arial"/>
                <w:b/>
                <w:bCs/>
                <w:color w:val="000000"/>
                <w:sz w:val="19"/>
                <w:szCs w:val="19"/>
                <w:shd w:fill="auto" w:val="clear"/>
                <w:lang w:val="pt-BR" w:eastAsia="zh-CN" w:bidi="ar-SA"/>
              </w:rPr>
              <w:t>Referência de tempo</w:t>
            </w:r>
          </w:p>
        </w:tc>
        <w:tc>
          <w:tcPr>
            <w:tcW w:w="5736" w:type="dxa"/>
            <w:tcBorders>
              <w:left w:val="single" w:sz="2" w:space="0" w:color="000000"/>
              <w:bottom w:val="single" w:sz="2" w:space="0" w:color="000000"/>
              <w:right w:val="single" w:sz="2" w:space="0" w:color="000000"/>
            </w:tcBorders>
          </w:tcPr>
          <w:p>
            <w:pPr>
              <w:pStyle w:val="Contedodatabelauser"/>
              <w:widowControl w:val="false"/>
              <w:spacing w:lineRule="auto" w:line="240" w:before="0" w:after="0"/>
              <w:rPr>
                <w:rFonts w:ascii="Arial" w:hAnsi="Arial"/>
                <w:color w:val="000000"/>
                <w:sz w:val="19"/>
                <w:szCs w:val="19"/>
                <w:shd w:fill="auto" w:val="clear"/>
              </w:rPr>
            </w:pPr>
            <w:r>
              <w:rPr>
                <w:rFonts w:ascii="Arial" w:hAnsi="Arial"/>
                <w:color w:val="000000"/>
                <w:sz w:val="19"/>
                <w:szCs w:val="19"/>
                <w:shd w:fill="auto" w:val="clear"/>
              </w:rPr>
              <w:t>Horário de Brasília (DF).</w:t>
            </w:r>
          </w:p>
        </w:tc>
      </w:tr>
      <w:tr>
        <w:trPr/>
        <w:tc>
          <w:tcPr>
            <w:tcW w:w="9641" w:type="dxa"/>
            <w:gridSpan w:val="2"/>
            <w:tcBorders>
              <w:left w:val="single" w:sz="2" w:space="0" w:color="000000"/>
              <w:bottom w:val="single" w:sz="2" w:space="0" w:color="000000"/>
              <w:right w:val="single" w:sz="2" w:space="0" w:color="000000"/>
            </w:tcBorders>
            <w:vAlign w:val="center"/>
          </w:tcPr>
          <w:p>
            <w:pPr>
              <w:pStyle w:val="Normal"/>
              <w:widowControl w:val="false"/>
              <w:snapToGrid w:val="false"/>
              <w:spacing w:lineRule="auto" w:line="240" w:before="0" w:after="0"/>
              <w:ind w:hanging="0" w:left="0" w:right="-30"/>
              <w:jc w:val="both"/>
              <w:rPr>
                <w:rFonts w:ascii="Arial" w:hAnsi="Arial" w:eastAsia="Times New Roman" w:cs="Verdana"/>
                <w:b/>
                <w:bCs/>
                <w:color w:val="000000"/>
                <w:sz w:val="19"/>
                <w:szCs w:val="19"/>
                <w:shd w:fill="auto" w:val="clear"/>
                <w:lang w:val="pt-BR" w:eastAsia="zh-CN" w:bidi="ar-SA"/>
              </w:rPr>
            </w:pPr>
            <w:r>
              <w:rPr>
                <w:rFonts w:eastAsia="Times New Roman" w:cs="Verdana" w:ascii="Arial" w:hAnsi="Arial"/>
                <w:b/>
                <w:bCs/>
                <w:color w:val="000000"/>
                <w:sz w:val="19"/>
                <w:szCs w:val="19"/>
                <w:shd w:fill="auto" w:val="clear"/>
                <w:lang w:val="pt-BR" w:eastAsia="zh-CN" w:bidi="ar-SA"/>
              </w:rPr>
              <w:t>Não será concedido prazo para apresentação de documentos de habilitação e/ou propostas além do previamente estabelecido no edital.</w:t>
            </w:r>
          </w:p>
        </w:tc>
      </w:tr>
    </w:tbl>
    <w:p>
      <w:pPr>
        <w:pStyle w:val="BodyText"/>
        <w:numPr>
          <w:ilvl w:val="0"/>
          <w:numId w:val="0"/>
        </w:numPr>
        <w:ind w:hanging="0" w:left="0"/>
        <w:rPr/>
      </w:pPr>
      <w:r>
        <w:rPr/>
      </w:r>
    </w:p>
    <w:p>
      <w:pPr>
        <w:pStyle w:val="Heading1"/>
        <w:numPr>
          <w:ilvl w:val="0"/>
          <w:numId w:val="3"/>
        </w:numPr>
        <w:spacing w:lineRule="auto" w:line="240" w:before="31" w:after="62"/>
        <w:jc w:val="center"/>
        <w:rPr>
          <w:rFonts w:ascii="Arial" w:hAnsi="Arial"/>
          <w:sz w:val="19"/>
          <w:szCs w:val="19"/>
          <w:shd w:fill="auto" w:val="clear"/>
        </w:rPr>
      </w:pPr>
      <w:r>
        <w:rPr>
          <w:sz w:val="19"/>
          <w:szCs w:val="19"/>
          <w:shd w:fill="auto" w:val="clear"/>
        </w:rPr>
        <w:t>DO OBJETO</w:t>
      </w:r>
    </w:p>
    <w:p>
      <w:pPr>
        <w:pStyle w:val="Normal"/>
        <w:numPr>
          <w:ilvl w:val="1"/>
          <w:numId w:val="3"/>
        </w:numPr>
        <w:overflowPunct w:val="false"/>
        <w:spacing w:lineRule="auto" w:line="240" w:before="31" w:after="62"/>
        <w:jc w:val="both"/>
        <w:textAlignment w:val="baseline"/>
        <w:rPr>
          <w:rFonts w:ascii="Arial" w:hAnsi="Arial"/>
          <w:sz w:val="19"/>
          <w:szCs w:val="19"/>
        </w:rPr>
      </w:pPr>
      <w:r>
        <w:rPr>
          <w:rFonts w:cs="Verdana" w:ascii="Arial" w:hAnsi="Arial"/>
          <w:sz w:val="19"/>
          <w:szCs w:val="19"/>
        </w:rPr>
        <w:t xml:space="preserve">A presente licitação tem por objeto o </w:t>
      </w:r>
      <w:r>
        <w:rPr>
          <w:rFonts w:cs="Verdana" w:ascii="Arial" w:hAnsi="Arial"/>
          <w:b/>
          <w:sz w:val="19"/>
          <w:szCs w:val="19"/>
        </w:rPr>
        <w:t xml:space="preserve">Registro de Preços visando à </w:t>
      </w:r>
      <w:r>
        <w:rPr>
          <w:rFonts w:cs="Verdana" w:ascii="Arial" w:hAnsi="Arial"/>
          <w:b/>
          <w:bCs/>
          <w:color w:val="FF0000"/>
          <w:sz w:val="19"/>
          <w:szCs w:val="19"/>
        </w:rPr>
        <w:t>Aquisição de fraldas com recursos da Deliberação nº 78/2022 – CEDCA/PR e recursos livres, para a Secretaria Municipal de Assistência Social</w:t>
      </w:r>
      <w:r>
        <w:rPr>
          <w:rFonts w:cs="Verdana" w:ascii="Arial" w:hAnsi="Arial"/>
          <w:b/>
          <w:sz w:val="19"/>
          <w:szCs w:val="19"/>
        </w:rPr>
        <w:t xml:space="preserve">, </w:t>
      </w:r>
      <w:r>
        <w:rPr>
          <w:rFonts w:cs="Verdana" w:ascii="Arial" w:hAnsi="Arial"/>
          <w:sz w:val="19"/>
          <w:szCs w:val="19"/>
        </w:rPr>
        <w:t xml:space="preserve">a fim de atender as necessidades da Prefeitura do Município de Cianorte, conforme especificações descritas no </w:t>
      </w:r>
      <w:r>
        <w:rPr>
          <w:rFonts w:cs="Verdana" w:ascii="Arial" w:hAnsi="Arial"/>
          <w:sz w:val="19"/>
          <w:szCs w:val="19"/>
        </w:rPr>
        <w:fldChar w:fldCharType="begin"/>
      </w:r>
      <w:r>
        <w:rPr>
          <w:sz w:val="19"/>
          <w:szCs w:val="19"/>
          <w:rFonts w:cs="Verdana" w:ascii="Arial" w:hAnsi="Arial"/>
        </w:rPr>
        <w:instrText xml:space="preserve"> REF __RefHeading___Toc33410_3041975443 \h </w:instrText>
      </w:r>
      <w:r>
        <w:rPr>
          <w:sz w:val="19"/>
          <w:szCs w:val="19"/>
          <w:rFonts w:cs="Verdana" w:ascii="Arial" w:hAnsi="Arial"/>
        </w:rPr>
        <w:fldChar w:fldCharType="separate"/>
      </w:r>
      <w:r>
        <w:rPr>
          <w:sz w:val="19"/>
          <w:szCs w:val="19"/>
          <w:rFonts w:cs="Verdana" w:ascii="Arial" w:hAnsi="Arial"/>
        </w:rPr>
        <w:t>ANEXO III</w:t>
      </w:r>
      <w:r>
        <w:rPr>
          <w:sz w:val="19"/>
          <w:szCs w:val="19"/>
          <w:rFonts w:cs="Verdana" w:ascii="Arial" w:hAnsi="Arial"/>
        </w:rPr>
        <w:fldChar w:fldCharType="end"/>
      </w:r>
      <w:r>
        <w:rPr>
          <w:rFonts w:cs="Verdana" w:ascii="Arial" w:hAnsi="Arial"/>
          <w:sz w:val="19"/>
          <w:szCs w:val="19"/>
        </w:rPr>
        <w:t>.</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 xml:space="preserve">Órgão participante do presente procedimento: </w:t>
      </w:r>
    </w:p>
    <w:tbl>
      <w:tblPr>
        <w:tblW w:w="9514" w:type="dxa"/>
        <w:jc w:val="left"/>
        <w:tblInd w:w="131" w:type="dxa"/>
        <w:tblLayout w:type="fixed"/>
        <w:tblCellMar>
          <w:top w:w="0" w:type="dxa"/>
          <w:left w:w="108" w:type="dxa"/>
          <w:bottom w:w="0" w:type="dxa"/>
          <w:right w:w="108" w:type="dxa"/>
        </w:tblCellMar>
      </w:tblPr>
      <w:tblGrid>
        <w:gridCol w:w="4693"/>
        <w:gridCol w:w="4820"/>
      </w:tblGrid>
      <w:tr>
        <w:trPr/>
        <w:tc>
          <w:tcPr>
            <w:tcW w:w="4693"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CENTRO DE CUSTO</w:t>
            </w:r>
          </w:p>
        </w:tc>
        <w:tc>
          <w:tcPr>
            <w:tcW w:w="4820"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CÓDIGO</w:t>
            </w:r>
          </w:p>
        </w:tc>
      </w:tr>
      <w:tr>
        <w:trPr/>
        <w:tc>
          <w:tcPr>
            <w:tcW w:w="4693"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SECRETARIA DE ASSISTÊNCIA SOCIAL</w:t>
            </w:r>
          </w:p>
        </w:tc>
        <w:tc>
          <w:tcPr>
            <w:tcW w:w="4820"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w:t>
            </w:r>
          </w:p>
        </w:tc>
      </w:tr>
    </w:tbl>
    <w:p>
      <w:pPr>
        <w:pStyle w:val="Normal"/>
        <w:numPr>
          <w:ilvl w:val="0"/>
          <w:numId w:val="0"/>
        </w:numPr>
        <w:overflowPunct w:val="false"/>
        <w:spacing w:lineRule="auto" w:line="240" w:before="31" w:after="62"/>
        <w:ind w:hanging="0" w:left="0"/>
        <w:jc w:val="both"/>
        <w:textAlignment w:val="baseline"/>
        <w:rPr>
          <w:rFonts w:ascii="Arial" w:hAnsi="Arial" w:cs="Verdana"/>
          <w:color w:val="000000"/>
          <w:sz w:val="19"/>
          <w:szCs w:val="19"/>
          <w:shd w:fill="auto" w:val="clear"/>
        </w:rPr>
      </w:pPr>
      <w:r>
        <w:rPr>
          <w:rFonts w:cs="Verdana" w:ascii="Arial" w:hAnsi="Arial"/>
          <w:color w:val="000000"/>
          <w:sz w:val="19"/>
          <w:szCs w:val="19"/>
          <w:shd w:fill="auto" w:val="clear"/>
        </w:rPr>
      </w:r>
    </w:p>
    <w:p>
      <w:pPr>
        <w:pStyle w:val="Normal"/>
        <w:numPr>
          <w:ilvl w:val="1"/>
          <w:numId w:val="3"/>
        </w:numPr>
        <w:overflowPunct w:val="false"/>
        <w:spacing w:lineRule="auto" w:line="240" w:before="31" w:after="62"/>
        <w:jc w:val="both"/>
        <w:textAlignment w:val="baseline"/>
        <w:rPr>
          <w:rFonts w:ascii="Arial" w:hAnsi="Arial" w:cs="Verdana"/>
          <w:color w:val="000000"/>
          <w:sz w:val="19"/>
          <w:szCs w:val="19"/>
          <w:shd w:fill="auto" w:val="clear"/>
        </w:rPr>
      </w:pPr>
      <w:r>
        <w:rPr>
          <w:rFonts w:cs="Verdana" w:ascii="Arial" w:hAnsi="Arial"/>
          <w:color w:val="000000"/>
          <w:sz w:val="19"/>
          <w:szCs w:val="19"/>
          <w:shd w:fill="auto" w:val="clear"/>
        </w:rPr>
        <w:t>A divulgação do orçamento estimado não terá caráter sigiloso, sendo disponibilizado em arquivo à parte no momento da publicação do edital.</w:t>
      </w:r>
    </w:p>
    <w:p>
      <w:pPr>
        <w:pStyle w:val="Normal"/>
        <w:numPr>
          <w:ilvl w:val="0"/>
          <w:numId w:val="0"/>
        </w:numPr>
        <w:overflowPunct w:val="false"/>
        <w:spacing w:lineRule="auto" w:line="240" w:before="31" w:after="62"/>
        <w:ind w:hanging="0" w:left="0"/>
        <w:jc w:val="both"/>
        <w:textAlignment w:val="baseline"/>
        <w:rPr>
          <w:color w:val="000000"/>
          <w:shd w:fill="auto" w:val="clear"/>
        </w:rPr>
      </w:pPr>
      <w:r>
        <w:rPr>
          <w:color w:val="000000"/>
          <w:shd w:fill="auto" w:val="clear"/>
        </w:rPr>
      </w:r>
    </w:p>
    <w:p>
      <w:pPr>
        <w:pStyle w:val="Heading1"/>
        <w:numPr>
          <w:ilvl w:val="0"/>
          <w:numId w:val="3"/>
        </w:numPr>
        <w:spacing w:lineRule="auto" w:line="240" w:before="31" w:after="62"/>
        <w:jc w:val="center"/>
        <w:rPr>
          <w:rFonts w:ascii="Arial" w:hAnsi="Arial"/>
          <w:shd w:fill="auto" w:val="clear"/>
        </w:rPr>
      </w:pPr>
      <w:r>
        <w:rPr>
          <w:shd w:fill="auto" w:val="clear"/>
        </w:rPr>
        <w:t>DO VALOR ESTIMADO E DA DOTAÇÃO ORÇAMENTÁRIA</w:t>
      </w:r>
    </w:p>
    <w:p>
      <w:pPr>
        <w:pStyle w:val="BodyText"/>
        <w:numPr>
          <w:ilvl w:val="1"/>
          <w:numId w:val="3"/>
        </w:numPr>
        <w:spacing w:lineRule="auto" w:line="240" w:before="31" w:after="62"/>
        <w:rPr/>
      </w:pPr>
      <w:r>
        <w:rPr>
          <w:shd w:fill="auto" w:val="clear"/>
        </w:rPr>
        <w:t xml:space="preserve">O valor máximo estimado do presente edital é de </w:t>
      </w:r>
      <w:r>
        <w:rPr>
          <w:color w:val="FF0000"/>
          <w:shd w:fill="auto" w:val="clear"/>
        </w:rPr>
        <w:t>R$ 20.336,10 (vinte mil, trezentos e trinta e seis reais e dez centavos)</w:t>
      </w:r>
      <w:r>
        <w:rPr>
          <w:shd w:fill="auto" w:val="clear"/>
        </w:rPr>
        <w:t>.</w:t>
      </w:r>
    </w:p>
    <w:p>
      <w:pPr>
        <w:pStyle w:val="Normal"/>
        <w:numPr>
          <w:ilvl w:val="1"/>
          <w:numId w:val="3"/>
        </w:numPr>
        <w:spacing w:lineRule="auto" w:line="240" w:before="31" w:after="62"/>
        <w:jc w:val="both"/>
        <w:rPr>
          <w:rFonts w:ascii="Arial" w:hAnsi="Arial"/>
          <w:sz w:val="19"/>
          <w:szCs w:val="19"/>
        </w:rPr>
      </w:pPr>
      <w:r>
        <w:rPr>
          <w:rFonts w:ascii="Arial" w:hAnsi="Arial"/>
          <w:sz w:val="19"/>
          <w:szCs w:val="19"/>
        </w:rPr>
        <w:t>As despesas correrão por conta das seguintes dotações orçamentárias:</w:t>
      </w:r>
    </w:p>
    <w:tbl>
      <w:tblPr>
        <w:tblW w:w="9546" w:type="dxa"/>
        <w:jc w:val="left"/>
        <w:tblInd w:w="99" w:type="dxa"/>
        <w:tblLayout w:type="fixed"/>
        <w:tblCellMar>
          <w:top w:w="0" w:type="dxa"/>
          <w:left w:w="108" w:type="dxa"/>
          <w:bottom w:w="0" w:type="dxa"/>
          <w:right w:w="108" w:type="dxa"/>
        </w:tblCellMar>
      </w:tblPr>
      <w:tblGrid>
        <w:gridCol w:w="2312"/>
        <w:gridCol w:w="2413"/>
        <w:gridCol w:w="2410"/>
        <w:gridCol w:w="2410"/>
      </w:tblGrid>
      <w:tr>
        <w:trPr/>
        <w:tc>
          <w:tcPr>
            <w:tcW w:w="2312"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REDUZIDO</w:t>
            </w:r>
          </w:p>
        </w:tc>
        <w:tc>
          <w:tcPr>
            <w:tcW w:w="2413"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PROGRAMÁTICA</w:t>
            </w:r>
          </w:p>
        </w:tc>
        <w:tc>
          <w:tcPr>
            <w:tcW w:w="2410"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DESCRIÇÃO</w:t>
            </w:r>
          </w:p>
        </w:tc>
        <w:tc>
          <w:tcPr>
            <w:tcW w:w="2410"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FONTE DE RECURSO</w:t>
            </w:r>
          </w:p>
        </w:tc>
      </w:tr>
      <w:tr>
        <w:trPr/>
        <w:tc>
          <w:tcPr>
            <w:tcW w:w="2312"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636</w:t>
            </w:r>
          </w:p>
        </w:tc>
        <w:tc>
          <w:tcPr>
            <w:tcW w:w="2413"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1300208245001921023390300000</w:t>
            </w:r>
          </w:p>
        </w:tc>
        <w:tc>
          <w:tcPr>
            <w:tcW w:w="2410"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MATERIAL DE CONSUMO</w:t>
            </w:r>
          </w:p>
        </w:tc>
        <w:tc>
          <w:tcPr>
            <w:tcW w:w="2410"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1000</w:t>
            </w:r>
          </w:p>
        </w:tc>
      </w:tr>
      <w:tr>
        <w:trPr/>
        <w:tc>
          <w:tcPr>
            <w:tcW w:w="2312"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634</w:t>
            </w:r>
          </w:p>
        </w:tc>
        <w:tc>
          <w:tcPr>
            <w:tcW w:w="2413"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1300308243001960033390320000</w:t>
            </w:r>
          </w:p>
        </w:tc>
        <w:tc>
          <w:tcPr>
            <w:tcW w:w="2410"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MATERIAL, BEM OU SERVICO PARA DISTRIBUICAO GRATUITA</w:t>
            </w:r>
          </w:p>
        </w:tc>
        <w:tc>
          <w:tcPr>
            <w:tcW w:w="2410"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3912</w:t>
            </w:r>
          </w:p>
        </w:tc>
      </w:tr>
      <w:tr>
        <w:trPr/>
        <w:tc>
          <w:tcPr>
            <w:tcW w:w="2312"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644</w:t>
            </w:r>
          </w:p>
        </w:tc>
        <w:tc>
          <w:tcPr>
            <w:tcW w:w="2413"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1300308243001960033390320000</w:t>
            </w:r>
          </w:p>
        </w:tc>
        <w:tc>
          <w:tcPr>
            <w:tcW w:w="2410"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MATERIAL, BEM OU SERVICO PARA DISTRIBUICAO GRATUITA</w:t>
            </w:r>
          </w:p>
        </w:tc>
        <w:tc>
          <w:tcPr>
            <w:tcW w:w="2410"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3912</w:t>
            </w:r>
          </w:p>
        </w:tc>
      </w:tr>
    </w:tbl>
    <w:p>
      <w:pPr>
        <w:pStyle w:val="Normal"/>
        <w:numPr>
          <w:ilvl w:val="0"/>
          <w:numId w:val="0"/>
        </w:numPr>
        <w:spacing w:lineRule="auto" w:line="240" w:before="88" w:after="119"/>
        <w:ind w:hanging="0" w:left="0"/>
        <w:jc w:val="both"/>
        <w:rPr>
          <w:rFonts w:ascii="Arial" w:hAnsi="Arial"/>
          <w:sz w:val="19"/>
          <w:szCs w:val="19"/>
        </w:rPr>
      </w:pPr>
      <w:r>
        <w:rPr>
          <w:rFonts w:ascii="Arial" w:hAnsi="Arial"/>
          <w:sz w:val="19"/>
          <w:szCs w:val="19"/>
        </w:rPr>
      </w:r>
    </w:p>
    <w:p>
      <w:pPr>
        <w:pStyle w:val="Heading1"/>
        <w:numPr>
          <w:ilvl w:val="0"/>
          <w:numId w:val="3"/>
        </w:numPr>
        <w:spacing w:lineRule="auto" w:line="240" w:before="31" w:after="62"/>
        <w:jc w:val="center"/>
        <w:rPr/>
      </w:pPr>
      <w:r>
        <w:rPr/>
        <w:t xml:space="preserve"> </w:t>
      </w:r>
      <w:r>
        <w:rPr>
          <w:shd w:fill="auto" w:val="clear"/>
        </w:rPr>
        <w:t>DO REGISTRO DE PREÇOS</w:t>
      </w:r>
    </w:p>
    <w:p>
      <w:pPr>
        <w:pStyle w:val="BodyText"/>
        <w:numPr>
          <w:ilvl w:val="1"/>
          <w:numId w:val="3"/>
        </w:numPr>
        <w:spacing w:lineRule="auto" w:line="240" w:before="31" w:after="62"/>
        <w:jc w:val="both"/>
        <w:rPr>
          <w:highlight w:val="none"/>
          <w:shd w:fill="auto" w:val="clear"/>
        </w:rPr>
      </w:pPr>
      <w:r>
        <w:rPr>
          <w:shd w:fill="auto" w:val="clear"/>
        </w:rPr>
        <w:t>Haverá uma Ata de Registro de Preços por item, que será firmada entre o Município e a(s) licitante(s) vencedor(as).</w:t>
      </w:r>
    </w:p>
    <w:p>
      <w:pPr>
        <w:pStyle w:val="BodyText"/>
        <w:numPr>
          <w:ilvl w:val="1"/>
          <w:numId w:val="3"/>
        </w:numPr>
        <w:spacing w:lineRule="auto" w:line="240" w:before="31" w:after="62"/>
        <w:jc w:val="both"/>
        <w:rPr>
          <w:highlight w:val="none"/>
          <w:shd w:fill="auto" w:val="clear"/>
        </w:rPr>
      </w:pPr>
      <w:r>
        <w:rPr>
          <w:shd w:fill="auto" w:val="clear"/>
        </w:rPr>
        <w:t xml:space="preserve">Os </w:t>
      </w:r>
      <w:r>
        <w:rPr>
          <w:sz w:val="19"/>
          <w:szCs w:val="19"/>
          <w:shd w:fill="auto" w:val="clear"/>
        </w:rPr>
        <w:t>itens</w:t>
      </w:r>
      <w:r>
        <w:rPr>
          <w:shd w:fill="auto" w:val="clear"/>
        </w:rPr>
        <w:t xml:space="preserve"> listados no </w:t>
      </w:r>
      <w:r>
        <w:rPr>
          <w:rFonts w:cs="Verdana"/>
          <w:color w:val="000000"/>
          <w:sz w:val="19"/>
          <w:szCs w:val="19"/>
          <w:shd w:fill="auto" w:val="clear"/>
        </w:rPr>
        <w:fldChar w:fldCharType="begin"/>
      </w:r>
      <w:r>
        <w:rPr>
          <w:sz w:val="19"/>
          <w:shd w:fill="auto" w:val="clear"/>
          <w:szCs w:val="19"/>
          <w:rFonts w:cs="Verdana"/>
          <w:color w:val="000000"/>
        </w:rPr>
        <w:instrText xml:space="preserve"> REF __RefHeading___Toc33410_3041975443 \h </w:instrText>
      </w:r>
      <w:r>
        <w:rPr>
          <w:sz w:val="19"/>
          <w:shd w:fill="auto" w:val="clear"/>
          <w:szCs w:val="19"/>
          <w:rFonts w:cs="Verdana"/>
          <w:color w:val="000000"/>
        </w:rPr>
        <w:fldChar w:fldCharType="separate"/>
      </w:r>
      <w:r>
        <w:rPr>
          <w:sz w:val="19"/>
          <w:shd w:fill="auto" w:val="clear"/>
          <w:szCs w:val="19"/>
          <w:rFonts w:cs="Verdana"/>
          <w:color w:val="000000"/>
        </w:rPr>
        <w:t>ANEXO III</w:t>
      </w:r>
      <w:r>
        <w:rPr>
          <w:sz w:val="19"/>
          <w:shd w:fill="auto" w:val="clear"/>
          <w:szCs w:val="19"/>
          <w:rFonts w:cs="Verdana"/>
          <w:color w:val="000000"/>
        </w:rPr>
        <w:fldChar w:fldCharType="end"/>
      </w:r>
      <w:r>
        <w:rPr>
          <w:color w:val="000000"/>
          <w:shd w:fill="auto" w:val="clear"/>
        </w:rPr>
        <w:t>,</w:t>
      </w:r>
      <w:r>
        <w:rPr>
          <w:shd w:fill="auto" w:val="clear"/>
        </w:rPr>
        <w:t xml:space="preserve"> não serão necessariamente adquiridos em sua totalidade. Os mesmos são quantidades estimadas, sendo considerados apenas para fins de adjudicação e posterior convocação para assinatura da Ata de Registro de Preços. </w:t>
      </w:r>
    </w:p>
    <w:p>
      <w:pPr>
        <w:pStyle w:val="BodyText"/>
        <w:numPr>
          <w:ilvl w:val="1"/>
          <w:numId w:val="3"/>
        </w:numPr>
        <w:spacing w:lineRule="auto" w:line="240" w:before="31" w:after="62"/>
        <w:jc w:val="both"/>
        <w:rPr/>
      </w:pPr>
      <w:r>
        <w:rPr>
          <w:shd w:fill="auto" w:val="clear"/>
        </w:rPr>
        <w:t xml:space="preserve">As licitantes para as quais forem adjudicados os itens constantes do </w:t>
      </w:r>
      <w:r>
        <w:rPr>
          <w:rFonts w:cs="Verdana"/>
          <w:sz w:val="19"/>
          <w:szCs w:val="19"/>
          <w:shd w:fill="auto" w:val="clear"/>
        </w:rPr>
        <w:fldChar w:fldCharType="begin"/>
      </w:r>
      <w:r>
        <w:rPr>
          <w:sz w:val="19"/>
          <w:shd w:fill="auto" w:val="clear"/>
          <w:szCs w:val="19"/>
          <w:rFonts w:cs="Verdana"/>
        </w:rPr>
        <w:instrText xml:space="preserve"> REF __RefHeading___Toc33410_3041975443 \h </w:instrText>
      </w:r>
      <w:r>
        <w:rPr>
          <w:sz w:val="19"/>
          <w:shd w:fill="auto" w:val="clear"/>
          <w:szCs w:val="19"/>
          <w:rFonts w:cs="Verdana"/>
        </w:rPr>
        <w:fldChar w:fldCharType="separate"/>
      </w:r>
      <w:r>
        <w:rPr>
          <w:sz w:val="19"/>
          <w:shd w:fill="auto" w:val="clear"/>
          <w:szCs w:val="19"/>
          <w:rFonts w:cs="Verdana"/>
        </w:rPr>
        <w:t>ANEXO III</w:t>
      </w:r>
      <w:r>
        <w:rPr>
          <w:sz w:val="19"/>
          <w:shd w:fill="auto" w:val="clear"/>
          <w:szCs w:val="19"/>
          <w:rFonts w:cs="Verdana"/>
        </w:rPr>
        <w:fldChar w:fldCharType="end"/>
      </w:r>
      <w:r>
        <w:rPr>
          <w:shd w:fill="auto" w:val="clear"/>
        </w:rPr>
        <w:t xml:space="preserve"> e forem convocadas para a assinatura da Ata, obterão apenas o direito e a exclusividade de fornecimento/execução dos referidos </w:t>
      </w:r>
      <w:r>
        <w:rPr>
          <w:sz w:val="19"/>
          <w:szCs w:val="19"/>
          <w:shd w:fill="auto" w:val="clear"/>
        </w:rPr>
        <w:t>itens</w:t>
      </w:r>
      <w:r>
        <w:rPr>
          <w:shd w:fill="auto" w:val="clear"/>
        </w:rPr>
        <w:t xml:space="preserve"> até o término da sua vigência. O Município de Cianorte não se responsabilizará por prejuízos financeiros resultante</w:t>
      </w:r>
      <w:r>
        <w:rPr/>
        <w:t>s de uma expectativa de compra, não cabendo por parte dos licitantes qualquer recurso.</w:t>
      </w:r>
    </w:p>
    <w:p>
      <w:pPr>
        <w:pStyle w:val="BodyText"/>
        <w:numPr>
          <w:ilvl w:val="1"/>
          <w:numId w:val="3"/>
        </w:numPr>
        <w:spacing w:lineRule="auto" w:line="240" w:before="31" w:after="62"/>
        <w:jc w:val="both"/>
        <w:rPr/>
      </w:pPr>
      <w:r>
        <w:rPr/>
        <w:t xml:space="preserve">Fica vedada a participação do órgão ou entidade que compõe a Administração Municipal em mais de uma Ata de Registro de Preços com mesmo objeto </w:t>
      </w:r>
      <w:r>
        <w:rPr>
          <w:rFonts w:ascii="Arial;sans-serif" w:hAnsi="Arial;sans-serif"/>
          <w:b w:val="false"/>
          <w:i w:val="false"/>
          <w:caps w:val="false"/>
          <w:smallCaps w:val="false"/>
          <w:color w:val="000000"/>
          <w:spacing w:val="0"/>
          <w:sz w:val="20"/>
        </w:rPr>
        <w:t>no prazo de validade daquela de que já tiver participado, salvo na ocorrência de ata que tenha registrado quantitativo inferior ao máximo previsto no edital;</w:t>
      </w:r>
      <w:r>
        <w:rPr/>
        <w:t xml:space="preserve"> </w:t>
      </w:r>
    </w:p>
    <w:p>
      <w:pPr>
        <w:pStyle w:val="BodyText"/>
        <w:numPr>
          <w:ilvl w:val="1"/>
          <w:numId w:val="3"/>
        </w:numPr>
        <w:spacing w:lineRule="auto" w:line="240" w:before="31" w:after="62"/>
        <w:jc w:val="both"/>
        <w:rPr/>
      </w:pPr>
      <w:r>
        <w:rPr/>
        <w:t>Não será permitido a adesão à presente Ata de Registro de Preços de outros órgãos ou entidades da  Administração Pública.</w:t>
      </w:r>
    </w:p>
    <w:p>
      <w:pPr>
        <w:pStyle w:val="BodyText"/>
        <w:numPr>
          <w:ilvl w:val="1"/>
          <w:numId w:val="3"/>
        </w:numPr>
        <w:spacing w:lineRule="auto" w:line="240" w:before="31" w:after="62"/>
        <w:jc w:val="both"/>
        <w:rPr>
          <w:shd w:fill="auto" w:val="clear"/>
        </w:rPr>
      </w:pPr>
      <w:r>
        <w:rPr>
          <w:shd w:fill="auto" w:val="clear"/>
        </w:rPr>
        <w:t xml:space="preserve">Serão adjudicados os itens aos licitantes que apresentarem as melhores propostas/lances, nos termos da cláusula </w:t>
      </w:r>
      <w:r>
        <w:rPr>
          <w:color w:val="FF0000"/>
          <w:shd w:fill="auto" w:val="clear"/>
        </w:rPr>
        <w:t>14.5</w:t>
      </w:r>
      <w:r>
        <w:rPr>
          <w:shd w:fill="auto" w:val="clear"/>
        </w:rPr>
        <w:t xml:space="preserve"> deste edital.</w:t>
      </w:r>
    </w:p>
    <w:p>
      <w:pPr>
        <w:pStyle w:val="BodyText"/>
        <w:numPr>
          <w:ilvl w:val="1"/>
          <w:numId w:val="3"/>
        </w:numPr>
        <w:spacing w:lineRule="auto" w:line="240" w:before="31" w:after="62"/>
        <w:jc w:val="both"/>
        <w:rPr/>
      </w:pPr>
      <w:r>
        <w:rPr/>
        <w:t xml:space="preserve">O prazo de vigência da Ata de Registro de Preços, contado a partir da data de sua assinatura, será de </w:t>
      </w:r>
      <w:r>
        <w:rPr>
          <w:b/>
          <w:bCs/>
        </w:rPr>
        <w:t>1 (um) ano</w:t>
      </w:r>
      <w:r>
        <w:rPr/>
        <w:t>, e poderá ser prorrogado, por igual período, desde que comprovado que as condições e os preços permanecem vantajosos.</w:t>
      </w:r>
    </w:p>
    <w:p>
      <w:pPr>
        <w:pStyle w:val="BodyText"/>
        <w:numPr>
          <w:ilvl w:val="2"/>
          <w:numId w:val="3"/>
        </w:numPr>
        <w:spacing w:lineRule="auto" w:line="240" w:before="31" w:after="62"/>
        <w:ind w:hanging="0" w:left="113" w:right="0"/>
        <w:jc w:val="both"/>
        <w:rPr>
          <w:color w:val="000000"/>
          <w:shd w:fill="auto" w:val="clear"/>
        </w:rPr>
      </w:pPr>
      <w:r>
        <w:rPr>
          <w:color w:val="000000"/>
          <w:shd w:fill="auto" w:val="clear"/>
        </w:rPr>
        <w:t>Para fins de aplicação do contido no §7º, do artigo 25, da Lei Federal nº 14.133/2021, fica estabelecido como índice de reajustamento de preço, com data-base vinculada à data do orçamento estimado, o IPCA (Índice  Nacional de Preços ao Consumidor Amplo.</w:t>
      </w:r>
    </w:p>
    <w:p>
      <w:pPr>
        <w:pStyle w:val="BodyText"/>
        <w:numPr>
          <w:ilvl w:val="2"/>
          <w:numId w:val="3"/>
        </w:numPr>
        <w:spacing w:lineRule="auto" w:line="240" w:before="31" w:after="62"/>
        <w:ind w:hanging="0" w:left="113" w:right="0"/>
        <w:jc w:val="both"/>
        <w:rPr/>
      </w:pPr>
      <w:r>
        <w:rPr/>
        <w:t xml:space="preserve">Caso seja prorrogado conforme estabelecido na cláusula </w:t>
      </w:r>
      <w:r>
        <w:rPr>
          <w:color w:val="000000"/>
          <w:sz w:val="19"/>
          <w:shd w:fill="auto" w:val="clear"/>
        </w:rPr>
        <w:t>anterior</w:t>
      </w:r>
      <w:r>
        <w:rPr/>
        <w:t>, as partes poderão,</w:t>
      </w:r>
      <w:r>
        <w:rPr>
          <w:color w:val="C9211E"/>
        </w:rPr>
        <w:t xml:space="preserve"> </w:t>
      </w:r>
      <w:r>
        <w:rPr/>
        <w:t>reajustar o valor registrado de acordo com o índice IPCA - (Índice Nacional De Preços ao Consumidor Amplo), ou na falta deste, por outro índice de preços oficial ou não, que reflita a variação dos preços, no período do reajuste.</w:t>
      </w:r>
    </w:p>
    <w:p>
      <w:pPr>
        <w:pStyle w:val="BodyText"/>
        <w:numPr>
          <w:ilvl w:val="2"/>
          <w:numId w:val="3"/>
        </w:numPr>
        <w:spacing w:lineRule="auto" w:line="240" w:before="31" w:after="62"/>
        <w:ind w:hanging="0" w:left="113" w:right="0"/>
        <w:jc w:val="both"/>
        <w:rPr/>
      </w:pPr>
      <w:r>
        <w:rPr/>
        <w:t>No ato de prorrogação da vigência da Ata de Registro de Preços poderá haver a renovação dos quantitativos registrados, até o limite do quantitativo original.</w:t>
      </w:r>
    </w:p>
    <w:p>
      <w:pPr>
        <w:pStyle w:val="BodyText"/>
        <w:numPr>
          <w:ilvl w:val="0"/>
          <w:numId w:val="0"/>
        </w:numPr>
        <w:ind w:hanging="0" w:left="0"/>
        <w:rPr>
          <w:highlight w:val="none"/>
          <w:shd w:fill="FFFF00" w:val="clear"/>
        </w:rPr>
      </w:pPr>
      <w:r>
        <w:rPr>
          <w:shd w:fill="FFFF00" w:val="clear"/>
        </w:rPr>
      </w:r>
    </w:p>
    <w:p>
      <w:pPr>
        <w:pStyle w:val="Heading1"/>
        <w:numPr>
          <w:ilvl w:val="0"/>
          <w:numId w:val="3"/>
        </w:numPr>
        <w:spacing w:lineRule="auto" w:line="240" w:before="31" w:after="62"/>
        <w:jc w:val="center"/>
        <w:rPr/>
      </w:pPr>
      <w:bookmarkStart w:id="0" w:name="__RefHeading___Toc19206_165296459"/>
      <w:bookmarkEnd w:id="0"/>
      <w:r>
        <w:rPr/>
        <w:t>DAS CONDIÇÕES DE PARTICIPAÇÃO</w:t>
      </w:r>
    </w:p>
    <w:p>
      <w:pPr>
        <w:pStyle w:val="BodyText"/>
        <w:numPr>
          <w:ilvl w:val="1"/>
          <w:numId w:val="3"/>
        </w:numPr>
        <w:spacing w:lineRule="auto" w:line="240" w:before="31" w:after="62"/>
        <w:jc w:val="both"/>
        <w:rPr/>
      </w:pPr>
      <w:r>
        <w:rPr/>
        <w:t>Não poderão disputar licitação ou participar da execução de contrato, direta ou indiretamente:</w:t>
      </w:r>
    </w:p>
    <w:p>
      <w:pPr>
        <w:pStyle w:val="BodyText"/>
        <w:numPr>
          <w:ilvl w:val="4"/>
          <w:numId w:val="3"/>
        </w:numPr>
        <w:spacing w:lineRule="auto" w:line="240" w:before="31" w:after="62"/>
        <w:jc w:val="both"/>
        <w:rPr/>
      </w:pPr>
      <w:r>
        <w:rPr/>
        <w:t>Autor do anteprojeto, do projeto básico ou do projeto executivo, pessoa física ou jurídica, quando a licitação versar sobre obra, serviços ou fornecimento de bens a ele relacionados;</w:t>
      </w:r>
    </w:p>
    <w:p>
      <w:pPr>
        <w:pStyle w:val="BodyText"/>
        <w:numPr>
          <w:ilvl w:val="4"/>
          <w:numId w:val="3"/>
        </w:numPr>
        <w:spacing w:lineRule="auto" w:line="240" w:before="31" w:after="62"/>
        <w:jc w:val="both"/>
        <w:rPr/>
      </w:pPr>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BodyText"/>
        <w:numPr>
          <w:ilvl w:val="4"/>
          <w:numId w:val="3"/>
        </w:numPr>
        <w:spacing w:lineRule="auto" w:line="240" w:before="31" w:after="62"/>
        <w:jc w:val="both"/>
        <w:rPr/>
      </w:pPr>
      <w:r>
        <w:rPr/>
        <w:t>Pessoa física ou jurídica que se encontre, ao tempo da licitação, impossibilitada de participar da licitação em decorrência de sanção que lhe foi imposta;</w:t>
      </w:r>
    </w:p>
    <w:p>
      <w:pPr>
        <w:pStyle w:val="BodyText"/>
        <w:numPr>
          <w:ilvl w:val="4"/>
          <w:numId w:val="3"/>
        </w:numPr>
        <w:spacing w:lineRule="auto" w:line="240" w:before="31" w:after="62"/>
        <w:jc w:val="both"/>
        <w:rPr/>
      </w:pPr>
      <w: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BodyText"/>
        <w:numPr>
          <w:ilvl w:val="4"/>
          <w:numId w:val="3"/>
        </w:numPr>
        <w:spacing w:lineRule="auto" w:line="240" w:before="31" w:after="62"/>
        <w:jc w:val="both"/>
        <w:rPr/>
      </w:pPr>
      <w:r>
        <w:rPr/>
        <w:t>Empresas controladoras, controladas ou coligadas, nos termos da Lei nº 6.404, de 15 de dezembro de 1976, concorrendo entre si;</w:t>
      </w:r>
    </w:p>
    <w:p>
      <w:pPr>
        <w:pStyle w:val="BodyText"/>
        <w:numPr>
          <w:ilvl w:val="4"/>
          <w:numId w:val="3"/>
        </w:numPr>
        <w:spacing w:lineRule="auto" w:line="240" w:before="31" w:after="62"/>
        <w:jc w:val="both"/>
        <w:rPr>
          <w:color w:val="000000"/>
          <w:sz w:val="19"/>
          <w:szCs w:val="19"/>
        </w:rPr>
      </w:pPr>
      <w: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BodyText"/>
        <w:numPr>
          <w:ilvl w:val="1"/>
          <w:numId w:val="3"/>
        </w:numPr>
        <w:spacing w:lineRule="auto" w:line="240" w:before="31" w:after="62"/>
        <w:jc w:val="both"/>
        <w:rPr>
          <w:rFonts w:ascii="Arial" w:hAnsi="Arial"/>
          <w:color w:val="000000"/>
          <w:sz w:val="19"/>
          <w:szCs w:val="19"/>
        </w:rPr>
      </w:pPr>
      <w:r>
        <w:rPr>
          <w:color w:val="000000"/>
          <w:sz w:val="19"/>
          <w:szCs w:val="19"/>
        </w:rPr>
        <w:t>A participação neste Pregão será e</w:t>
      </w:r>
      <w:r>
        <w:rPr>
          <w:b/>
          <w:bCs/>
          <w:color w:val="000000"/>
          <w:sz w:val="19"/>
          <w:szCs w:val="19"/>
        </w:rPr>
        <w:t>xclusiva às microempresas (ME), empresas de pequeno porte (EPP) e microempreendedores individuais (MEI)</w:t>
      </w:r>
      <w:r>
        <w:rPr>
          <w:color w:val="000000"/>
          <w:sz w:val="19"/>
          <w:szCs w:val="19"/>
        </w:rPr>
        <w:t>, conforme Lei Complementar nº 123 de 14 de dezembro de 2006 e alterações, através da Lei Complementar 147/2014.</w:t>
      </w:r>
    </w:p>
    <w:p>
      <w:pPr>
        <w:pStyle w:val="BodyText"/>
        <w:numPr>
          <w:ilvl w:val="1"/>
          <w:numId w:val="3"/>
        </w:numPr>
        <w:spacing w:lineRule="auto" w:line="240" w:before="31" w:after="62"/>
        <w:jc w:val="both"/>
        <w:rPr>
          <w:rFonts w:ascii="Arial" w:hAnsi="Arial"/>
          <w:sz w:val="19"/>
          <w:szCs w:val="19"/>
        </w:rPr>
      </w:pPr>
      <w:r>
        <w:rPr>
          <w:rFonts w:eastAsia="Times New Roman" w:cs="Times New Roman"/>
          <w:color w:val="000000"/>
          <w:sz w:val="19"/>
          <w:szCs w:val="19"/>
          <w:shd w:fill="auto" w:val="clear"/>
        </w:rPr>
        <w:t xml:space="preserve">Neste certame também serão aplicados os benefícios do Decreto Municipal nº 125/2016 para os itens cujo valor se enquadrem em seu artigo 6º (itens exclusivos ou reservados para ME/EPP/MEI), de modo a promover o desenvolvimento econômico e social em </w:t>
      </w:r>
      <w:r>
        <w:rPr>
          <w:rFonts w:eastAsia="Times New Roman" w:cs="Times New Roman"/>
          <w:b/>
          <w:bCs/>
          <w:color w:val="000000"/>
          <w:sz w:val="19"/>
          <w:szCs w:val="19"/>
          <w:shd w:fill="auto" w:val="clear"/>
        </w:rPr>
        <w:t>âmbito local</w:t>
      </w:r>
      <w:r>
        <w:rPr>
          <w:rFonts w:eastAsia="Times New Roman" w:cs="Times New Roman"/>
          <w:color w:val="000000"/>
          <w:sz w:val="19"/>
          <w:szCs w:val="19"/>
          <w:shd w:fill="auto" w:val="clear"/>
        </w:rPr>
        <w:t>.</w:t>
      </w:r>
    </w:p>
    <w:p>
      <w:pPr>
        <w:pStyle w:val="BodyText"/>
        <w:numPr>
          <w:ilvl w:val="0"/>
          <w:numId w:val="0"/>
        </w:numPr>
        <w:spacing w:lineRule="auto" w:line="240" w:before="31" w:after="62"/>
        <w:ind w:hanging="0" w:left="0"/>
        <w:jc w:val="both"/>
        <w:rPr>
          <w:rFonts w:ascii="Arial" w:hAnsi="Arial" w:eastAsia="Times New Roman" w:cs="Times New Roman"/>
          <w:color w:val="000000"/>
          <w:sz w:val="19"/>
          <w:szCs w:val="19"/>
          <w:shd w:fill="auto" w:val="clear"/>
        </w:rPr>
      </w:pPr>
      <w:r>
        <w:rPr>
          <w:rFonts w:eastAsia="Times New Roman" w:cs="Times New Roman"/>
          <w:color w:val="000000"/>
          <w:sz w:val="19"/>
          <w:szCs w:val="19"/>
          <w:shd w:fill="auto" w:val="clear"/>
        </w:rPr>
      </w:r>
    </w:p>
    <w:p>
      <w:pPr>
        <w:pStyle w:val="Heading1"/>
        <w:numPr>
          <w:ilvl w:val="0"/>
          <w:numId w:val="3"/>
        </w:numPr>
        <w:spacing w:lineRule="auto" w:line="240" w:before="31" w:after="62"/>
        <w:jc w:val="center"/>
        <w:rPr>
          <w:shd w:fill="auto" w:val="clear"/>
        </w:rPr>
      </w:pPr>
      <w:r>
        <w:rPr>
          <w:shd w:fill="auto" w:val="clear"/>
        </w:rPr>
        <w:t>DO CADASTRO E CREDENCIAMENTO JUNTO AO PORTAL DE LICITAÇÕES CAIXA</w:t>
      </w:r>
    </w:p>
    <w:p>
      <w:pPr>
        <w:pStyle w:val="Normal"/>
        <w:numPr>
          <w:ilvl w:val="1"/>
          <w:numId w:val="3"/>
        </w:numPr>
        <w:overflowPunct w:val="false"/>
        <w:spacing w:lineRule="auto" w:line="240" w:before="57" w:after="57"/>
        <w:jc w:val="both"/>
        <w:textAlignment w:val="baseline"/>
        <w:rPr>
          <w:rFonts w:ascii="Arial" w:hAnsi="Arial"/>
          <w:sz w:val="19"/>
          <w:szCs w:val="19"/>
          <w:shd w:fill="auto" w:val="clear"/>
        </w:rPr>
      </w:pPr>
      <w:r>
        <w:rPr>
          <w:rFonts w:cs="Verdana" w:ascii="Arial" w:hAnsi="Arial"/>
          <w:b/>
          <w:sz w:val="19"/>
          <w:szCs w:val="19"/>
          <w:shd w:fill="auto" w:val="clear"/>
        </w:rPr>
        <w:t xml:space="preserve">Para participar deste Pregão, o interessado deve providenciar o </w:t>
      </w:r>
      <w:r>
        <w:rPr>
          <w:rFonts w:ascii="Arial" w:hAnsi="Arial"/>
          <w:b/>
          <w:sz w:val="19"/>
          <w:szCs w:val="19"/>
          <w:shd w:fill="auto" w:val="clear"/>
        </w:rPr>
        <w:t xml:space="preserve">Cadastro </w:t>
      </w:r>
      <w:r>
        <w:rPr>
          <w:rFonts w:ascii="Arial" w:hAnsi="Arial"/>
          <w:sz w:val="19"/>
          <w:szCs w:val="19"/>
          <w:shd w:fill="auto" w:val="clear"/>
        </w:rPr>
        <w:t xml:space="preserve">no Portal Licitações CAIXA e efetuar o </w:t>
      </w:r>
      <w:r>
        <w:rPr>
          <w:rFonts w:ascii="Arial" w:hAnsi="Arial"/>
          <w:b/>
          <w:sz w:val="19"/>
          <w:szCs w:val="19"/>
          <w:shd w:fill="auto" w:val="clear"/>
        </w:rPr>
        <w:t xml:space="preserve">Credenciamento </w:t>
      </w:r>
      <w:r>
        <w:rPr>
          <w:rFonts w:ascii="Arial" w:hAnsi="Arial"/>
          <w:sz w:val="19"/>
          <w:szCs w:val="19"/>
          <w:shd w:fill="auto" w:val="clear"/>
        </w:rPr>
        <w:t>neste certame específico, seguindo os passos abaixo.</w:t>
      </w:r>
    </w:p>
    <w:p>
      <w:pPr>
        <w:pStyle w:val="Normal"/>
        <w:numPr>
          <w:ilvl w:val="2"/>
          <w:numId w:val="3"/>
        </w:numPr>
        <w:overflowPunct w:val="false"/>
        <w:spacing w:lineRule="auto" w:line="240" w:before="57" w:after="57"/>
        <w:jc w:val="both"/>
        <w:textAlignment w:val="baseline"/>
        <w:rPr>
          <w:rFonts w:ascii="Arial" w:hAnsi="Arial"/>
          <w:b/>
          <w:bCs/>
          <w:sz w:val="19"/>
          <w:szCs w:val="19"/>
          <w:shd w:fill="auto" w:val="clear"/>
        </w:rPr>
      </w:pPr>
      <w:r>
        <w:rPr>
          <w:rFonts w:ascii="Arial" w:hAnsi="Arial"/>
          <w:b/>
          <w:bCs/>
          <w:sz w:val="19"/>
          <w:szCs w:val="19"/>
          <w:shd w:fill="auto" w:val="clear"/>
        </w:rPr>
        <w:t>CADASTRO:</w:t>
      </w:r>
    </w:p>
    <w:p>
      <w:pPr>
        <w:pStyle w:val="Normal"/>
        <w:numPr>
          <w:ilvl w:val="3"/>
          <w:numId w:val="3"/>
        </w:numPr>
        <w:overflowPunct w:val="false"/>
        <w:spacing w:lineRule="auto" w:line="240" w:before="57" w:after="57"/>
        <w:jc w:val="both"/>
        <w:textAlignment w:val="baseline"/>
        <w:rPr>
          <w:rFonts w:ascii="Arial" w:hAnsi="Arial"/>
          <w:sz w:val="19"/>
          <w:szCs w:val="19"/>
        </w:rPr>
      </w:pPr>
      <w:r>
        <w:rPr>
          <w:rFonts w:ascii="Arial" w:hAnsi="Arial"/>
          <w:sz w:val="19"/>
          <w:szCs w:val="19"/>
          <w:shd w:fill="auto" w:val="clear"/>
        </w:rPr>
        <w:t xml:space="preserve">O CADASTRO deve ser adotado </w:t>
      </w:r>
      <w:r>
        <w:rPr>
          <w:rFonts w:ascii="Arial" w:hAnsi="Arial"/>
          <w:b/>
          <w:bCs/>
          <w:sz w:val="19"/>
          <w:szCs w:val="19"/>
          <w:shd w:fill="auto" w:val="clear"/>
        </w:rPr>
        <w:t>somente aos interessados ainda não cadastrados no Portal Licitações CAIXA</w:t>
      </w:r>
      <w:r>
        <w:rPr>
          <w:rFonts w:ascii="Arial" w:hAnsi="Arial"/>
          <w:sz w:val="19"/>
          <w:szCs w:val="19"/>
          <w:shd w:fill="auto" w:val="clear"/>
        </w:rPr>
        <w:t xml:space="preserve">, acessando o endereço eletrônico </w:t>
      </w:r>
      <w:hyperlink r:id="rId3">
        <w:r>
          <w:rPr>
            <w:rStyle w:val="Style6"/>
            <w:rFonts w:ascii="Arial" w:hAnsi="Arial"/>
            <w:color w:val="000080"/>
            <w:sz w:val="19"/>
            <w:szCs w:val="19"/>
            <w:u w:val="single"/>
            <w:shd w:fill="auto" w:val="clear"/>
            <w:lang w:val="zxx" w:eastAsia="zxx" w:bidi="zxx"/>
          </w:rPr>
          <w:t>http://licitacoes.caixa.gov.br</w:t>
        </w:r>
      </w:hyperlink>
      <w:r>
        <w:rPr>
          <w:rFonts w:ascii="Arial" w:hAnsi="Arial"/>
          <w:sz w:val="19"/>
          <w:szCs w:val="19"/>
          <w:shd w:fill="auto" w:val="clear"/>
        </w:rPr>
        <w:t>, conforme as seguintes etapas: aba “CADASTRO”, escolher a opção “Pessoa Física” ou “Pessoa Jurídica”, preencher os dados do PRÉ-CADASTRO, concordar com o TERMO DE ADESÃO e “CONCLUIR O PRÉ-CADASTRO”.</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No momento do pré-cadastro, o sistema valida as informações registradas e, caso haja divergência, informa o Licitante os campos que necessitam de ajustes.</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Após a validação das informações do pré-cadastro, o sistema confirma a operação e apresenta a mensagem: “Seu Pré-cadastro está em análise. Deseja imprimir o termo de adesão?” “Sim/Não”".</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O sistema também enviará mensagem por e-mail: “Notificação de Registro do Pré-cadastro”.</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Após validação pelo sistema, dos dados com a base de dados da Receita Federal, o sistema conclui o CADASTRO e envia ao Licitante mensagem de e-mail confirmando a conclusão e certificação do cadastro e a senha de acesso provisória, que deverá ser validada e trocada em até 48 horas.</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Caso a validação e a troca de senha não sejam efetuadas no prazo estipulado, a senha expirará e será necessário solicitar nova senha por meio de contatos disponibilizados pelo Atendimento CAIXA.</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A nova senha de acesso deve ser elaborada, obrigatoriamente, de acordo com as orientações recebidas por e-mail.</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Quando há divergência nos dados, o sistema envia e-mail ao Licitante para notificar do cadastro não concluído e orienta entrar em contato com a central de atendimento CAIXA, por meio dos telefones acima.</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Para os Licitantes que estejam com certificação expirada ou suspensa, para regularização, o representante legal da empresa deve comparecer a uma agência da CAIXA, munido dos documentos originais abaixo:</w:t>
      </w:r>
    </w:p>
    <w:p>
      <w:pPr>
        <w:pStyle w:val="Normal"/>
        <w:keepNext w:val="false"/>
        <w:widowControl/>
        <w:numPr>
          <w:ilvl w:val="5"/>
          <w:numId w:val="3"/>
        </w:numPr>
        <w:overflowPunct w:val="false"/>
        <w:bidi w:val="0"/>
        <w:spacing w:lineRule="auto" w:line="240" w:before="57" w:after="57"/>
        <w:ind w:hanging="0" w:left="680" w:right="0"/>
        <w:jc w:val="both"/>
        <w:textAlignment w:val="baseline"/>
        <w:rPr>
          <w:rFonts w:ascii="Arial" w:hAnsi="Arial"/>
          <w:sz w:val="19"/>
          <w:szCs w:val="19"/>
          <w:shd w:fill="auto" w:val="clear"/>
        </w:rPr>
      </w:pPr>
      <w:r>
        <w:rPr>
          <w:rFonts w:ascii="Arial" w:hAnsi="Arial"/>
          <w:sz w:val="19"/>
          <w:szCs w:val="19"/>
          <w:shd w:fill="auto" w:val="clear"/>
        </w:rPr>
        <w:t>Pessoa Física: Documento de Identificação Pessoal; CPF; Comprovante de endereço e Procuração (quando for o caso).</w:t>
      </w:r>
    </w:p>
    <w:p>
      <w:pPr>
        <w:pStyle w:val="Normal"/>
        <w:keepNext w:val="false"/>
        <w:widowControl/>
        <w:numPr>
          <w:ilvl w:val="5"/>
          <w:numId w:val="3"/>
        </w:numPr>
        <w:overflowPunct w:val="false"/>
        <w:bidi w:val="0"/>
        <w:spacing w:lineRule="auto" w:line="240" w:before="57" w:after="57"/>
        <w:ind w:hanging="0" w:left="680" w:right="0"/>
        <w:jc w:val="both"/>
        <w:textAlignment w:val="baseline"/>
        <w:rPr>
          <w:rFonts w:ascii="Arial" w:hAnsi="Arial"/>
          <w:sz w:val="19"/>
          <w:szCs w:val="19"/>
          <w:shd w:fill="auto" w:val="clear"/>
        </w:rPr>
      </w:pPr>
      <w:r>
        <w:rPr>
          <w:rFonts w:ascii="Arial" w:hAnsi="Arial"/>
          <w:sz w:val="19"/>
          <w:szCs w:val="19"/>
          <w:shd w:fill="auto" w:val="clear"/>
        </w:rPr>
        <w:t>Pessoa Jurídica: Contrato Social e Alterações; Procuração do Representante Legal (quando for o caso); Documento de Identificação Pessoal do representante da empresa; CPF e Comprovante de endereço.</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A Procuração deve ser elaborada por meio de instrumento público ou particular com firma reconhecida e deve ser acompanhada de documento comprobatório da capacidade do outorgante para constituir mandatários.</w:t>
      </w:r>
    </w:p>
    <w:p>
      <w:pPr>
        <w:pStyle w:val="Normal"/>
        <w:numPr>
          <w:ilvl w:val="3"/>
          <w:numId w:val="3"/>
        </w:numPr>
        <w:overflowPunct w:val="false"/>
        <w:spacing w:lineRule="auto" w:line="240" w:before="57" w:after="57"/>
        <w:jc w:val="both"/>
        <w:textAlignment w:val="baseline"/>
        <w:rPr>
          <w:rFonts w:ascii="Arial" w:hAnsi="Arial"/>
          <w:sz w:val="19"/>
          <w:szCs w:val="19"/>
          <w:shd w:fill="auto" w:val="clear"/>
        </w:rPr>
      </w:pPr>
      <w:r>
        <w:rPr>
          <w:rFonts w:ascii="Arial" w:hAnsi="Arial"/>
          <w:sz w:val="19"/>
          <w:szCs w:val="19"/>
          <w:shd w:fill="auto" w:val="clear"/>
        </w:rPr>
        <w:t>Sendo proprietário da empresa, sócio, dirigente ou assemelhado, deverá ser apresentado o Estatuto ou Contrato Social, no qual estejam expressos seus poderes para exercer direitos e assumir obrigações em decorrência de tal investidura.</w:t>
      </w:r>
    </w:p>
    <w:p>
      <w:pPr>
        <w:pStyle w:val="Normal"/>
        <w:numPr>
          <w:ilvl w:val="2"/>
          <w:numId w:val="3"/>
        </w:numPr>
        <w:overflowPunct w:val="false"/>
        <w:spacing w:lineRule="auto" w:line="240" w:before="0" w:after="120"/>
        <w:jc w:val="both"/>
        <w:textAlignment w:val="baseline"/>
        <w:rPr>
          <w:rFonts w:ascii="Arial" w:hAnsi="Arial"/>
          <w:b/>
          <w:bCs/>
          <w:sz w:val="19"/>
          <w:szCs w:val="19"/>
          <w:shd w:fill="auto" w:val="clear"/>
        </w:rPr>
      </w:pPr>
      <w:r>
        <w:rPr>
          <w:rFonts w:ascii="Arial" w:hAnsi="Arial"/>
          <w:b/>
          <w:bCs/>
          <w:sz w:val="19"/>
          <w:szCs w:val="19"/>
          <w:shd w:fill="auto" w:val="clear"/>
        </w:rPr>
        <w:t>CREDENCIAMENTO:</w:t>
      </w:r>
    </w:p>
    <w:p>
      <w:pPr>
        <w:pStyle w:val="Normal"/>
        <w:numPr>
          <w:ilvl w:val="3"/>
          <w:numId w:val="3"/>
        </w:numPr>
        <w:overflowPunct w:val="false"/>
        <w:spacing w:lineRule="auto" w:line="240" w:before="0" w:after="120"/>
        <w:jc w:val="both"/>
        <w:textAlignment w:val="baseline"/>
        <w:rPr>
          <w:rFonts w:ascii="Arial" w:hAnsi="Arial"/>
          <w:sz w:val="19"/>
          <w:szCs w:val="19"/>
          <w:shd w:fill="auto" w:val="clear"/>
        </w:rPr>
      </w:pPr>
      <w:r>
        <w:rPr>
          <w:rFonts w:ascii="Arial" w:hAnsi="Arial"/>
          <w:sz w:val="19"/>
          <w:szCs w:val="19"/>
          <w:shd w:fill="auto" w:val="clear"/>
        </w:rPr>
        <w:t xml:space="preserve">A interessada também deverá providenciar o </w:t>
      </w:r>
      <w:r>
        <w:rPr>
          <w:rFonts w:ascii="Arial" w:hAnsi="Arial"/>
          <w:b/>
          <w:bCs/>
          <w:sz w:val="19"/>
          <w:szCs w:val="19"/>
          <w:shd w:fill="auto" w:val="clear"/>
        </w:rPr>
        <w:t>CREDENCIAMENTO específico para este pregão</w:t>
      </w:r>
      <w:r>
        <w:rPr>
          <w:rFonts w:ascii="Arial" w:hAnsi="Arial"/>
          <w:sz w:val="19"/>
          <w:szCs w:val="19"/>
          <w:shd w:fill="auto" w:val="clear"/>
        </w:rPr>
        <w:t xml:space="preserve"> </w:t>
      </w:r>
      <w:r>
        <w:rPr>
          <w:rFonts w:ascii="Arial" w:hAnsi="Arial"/>
          <w:b/>
          <w:bCs/>
          <w:sz w:val="19"/>
          <w:szCs w:val="19"/>
          <w:shd w:fill="auto" w:val="clear"/>
        </w:rPr>
        <w:t>até o dia e hora indicados no preâmbulo deste edital</w:t>
      </w:r>
      <w:r>
        <w:rPr>
          <w:rFonts w:ascii="Arial" w:hAnsi="Arial"/>
          <w:sz w:val="19"/>
          <w:szCs w:val="19"/>
          <w:shd w:fill="auto" w:val="clear"/>
        </w:rPr>
        <w:t>, exclusivamente por meio do endereço eletrônico http://licitacoes.caixa.gov.br, efetuar login por meio da opção “Acesso ao Sistema”, em seguida “SE VOCÊ É FORNECEDOR, FAÇA LOGIN AQUI: ACESSAR”, na “Área do Licitante” marcar a opção “Licitação CAIXA/Pregão Eletrônico”, escolher a opção “Credenciamento em Novos Certames”, localizado no quadro “Minhas Atividades”, marcar Comprador “Conveniados”, selecionar o certame desejado, clicar na Atividade “Credenciamento”, selecionar a declaração de ciência, marcar a(s) opção(ões) de direito de preferência, caso se aplique finalizar o credenciamento clicando em “Concordar”.</w:t>
      </w:r>
    </w:p>
    <w:p>
      <w:pPr>
        <w:pStyle w:val="Normal"/>
        <w:numPr>
          <w:ilvl w:val="3"/>
          <w:numId w:val="3"/>
        </w:numPr>
        <w:overflowPunct w:val="false"/>
        <w:spacing w:lineRule="auto" w:line="240" w:before="0" w:after="120"/>
        <w:jc w:val="both"/>
        <w:textAlignment w:val="baseline"/>
        <w:rPr>
          <w:rFonts w:ascii="Arial" w:hAnsi="Arial"/>
          <w:sz w:val="19"/>
          <w:szCs w:val="19"/>
          <w:shd w:fill="auto" w:val="clear"/>
        </w:rPr>
      </w:pPr>
      <w:r>
        <w:rPr>
          <w:rFonts w:ascii="Arial" w:hAnsi="Arial"/>
          <w:b/>
          <w:bCs/>
          <w:sz w:val="19"/>
          <w:szCs w:val="19"/>
          <w:shd w:fill="auto" w:val="clear"/>
        </w:rPr>
        <w:t>Até o dia e hora indicados para o credenciamento</w:t>
      </w:r>
      <w:r>
        <w:rPr>
          <w:rFonts w:ascii="Arial" w:hAnsi="Arial"/>
          <w:sz w:val="19"/>
          <w:szCs w:val="19"/>
          <w:shd w:fill="auto" w:val="clear"/>
        </w:rPr>
        <w:t>, a licitante poderá alterar o seu credenciamento, as opções de preferência e até mesmo se descredenciar. Decorrido esse prazo não será possível quaisquer alterações para participação neste Pregão Eletrônico.</w:t>
      </w:r>
    </w:p>
    <w:p>
      <w:pPr>
        <w:pStyle w:val="Normal"/>
        <w:numPr>
          <w:ilvl w:val="3"/>
          <w:numId w:val="3"/>
        </w:numPr>
        <w:overflowPunct w:val="false"/>
        <w:spacing w:lineRule="auto" w:line="240" w:before="0" w:after="120"/>
        <w:jc w:val="both"/>
        <w:textAlignment w:val="baseline"/>
        <w:rPr>
          <w:rFonts w:ascii="Arial" w:hAnsi="Arial"/>
          <w:b w:val="false"/>
          <w:bCs w:val="false"/>
          <w:sz w:val="19"/>
          <w:szCs w:val="19"/>
          <w:shd w:fill="auto" w:val="clear"/>
        </w:rPr>
      </w:pPr>
      <w:r>
        <w:rPr>
          <w:rFonts w:cs="Verdana" w:ascii="Arial" w:hAnsi="Arial"/>
          <w:b w:val="false"/>
          <w:bCs w:val="false"/>
          <w:sz w:val="19"/>
          <w:szCs w:val="19"/>
          <w:shd w:fill="auto" w:val="clear"/>
        </w:rPr>
        <w:t>O credenciamento junto à CAIXA implica a responsabilidade legal do licitante e a presunção de sua capacidade técnica para realização das transações inerentes ao presente processo.</w:t>
      </w:r>
    </w:p>
    <w:p>
      <w:pPr>
        <w:pStyle w:val="BodyText"/>
        <w:spacing w:lineRule="auto" w:line="240" w:before="31" w:after="62"/>
        <w:jc w:val="both"/>
        <w:rPr>
          <w:shd w:fill="auto" w:val="clear"/>
        </w:rPr>
      </w:pPr>
      <w:r>
        <w:rPr>
          <w:shd w:fill="auto" w:val="clear"/>
        </w:rPr>
      </w:r>
    </w:p>
    <w:p>
      <w:pPr>
        <w:pStyle w:val="Heading1"/>
        <w:numPr>
          <w:ilvl w:val="0"/>
          <w:numId w:val="3"/>
        </w:numPr>
        <w:spacing w:lineRule="auto" w:line="240" w:before="31" w:after="62"/>
        <w:jc w:val="center"/>
        <w:rPr>
          <w:shd w:fill="auto" w:val="clear"/>
        </w:rPr>
      </w:pPr>
      <w:r>
        <w:rPr>
          <w:shd w:fill="auto" w:val="clear"/>
        </w:rPr>
        <w:t>DO SISTEMA ELETRÔNICO</w:t>
      </w:r>
    </w:p>
    <w:p>
      <w:pPr>
        <w:pStyle w:val="Normal"/>
        <w:numPr>
          <w:ilvl w:val="1"/>
          <w:numId w:val="3"/>
        </w:numPr>
        <w:overflowPunct w:val="false"/>
        <w:spacing w:lineRule="auto" w:line="240" w:before="31" w:after="62"/>
        <w:jc w:val="both"/>
        <w:textAlignment w:val="baseline"/>
        <w:rPr>
          <w:rFonts w:ascii="Arial" w:hAnsi="Arial"/>
          <w:sz w:val="19"/>
          <w:szCs w:val="19"/>
        </w:rPr>
      </w:pPr>
      <w:r>
        <w:rPr>
          <w:rFonts w:ascii="Arial" w:hAnsi="Arial"/>
          <w:sz w:val="19"/>
          <w:szCs w:val="19"/>
        </w:rPr>
        <w:t>É de exclusiva responsabilidade do usuário o sigilo da senha, bem como seu uso em qualquer transação efetuada diretamente ou por seu representante, no sistema eletrônico, não cabendo à Caixa Econômica Federal ou ao Município de Cianorte a responsabilidade por eventuais danos decorrentes de uso indevido da senha, ainda que por terceiros.</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O licitante será responsável por todas as transações que forem efetuadas em seu nome no sistema eletrônico, assumindo como verdadeiros firmes e valiosos a sua proposta e seus lances.</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Se o sistema de pregão eletrônico ficar inacessível por problemas operacionais, com a desconexão de todos os participantes no decorrer da etapa competitiva do pregão, o certame será suspenso e retomado somente após a comunicação via e-mail aos participantes, e no próprio endereço web onde ocorria à sessão pública.</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Incumbirá ao licitante acompanhar as operações no sistema eletrônico durante a sessão pública do pregão, ficando responsável pelo ônus decorrente da perda de negócios diante da inobservância de quaisquer mensagens emitidas pelo sistema ou de sua desconexão, inclusive no que tange ao subitem supra.</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No caso de desconexão apenas do pregoeiro, no decorrer da etapa competitiva do pregão, o sistema eletrônico permanecerá acessível aos licitantes para recepção dos lances, retomando o pregoeiro, quando possível, sua atuação no certame, sem prejuízo dos atos realizados.</w:t>
      </w:r>
    </w:p>
    <w:p>
      <w:pPr>
        <w:pStyle w:val="Normal"/>
        <w:numPr>
          <w:ilvl w:val="1"/>
          <w:numId w:val="3"/>
        </w:numPr>
        <w:overflowPunct w:val="false"/>
        <w:spacing w:lineRule="auto" w:line="240" w:before="31" w:after="62"/>
        <w:jc w:val="both"/>
        <w:textAlignment w:val="baseline"/>
        <w:rPr>
          <w:rFonts w:ascii="Arial" w:hAnsi="Arial"/>
          <w:b w:val="false"/>
          <w:bCs w:val="false"/>
          <w:sz w:val="19"/>
          <w:szCs w:val="19"/>
        </w:rPr>
      </w:pPr>
      <w:r>
        <w:rPr>
          <w:rFonts w:ascii="Arial" w:hAnsi="Arial"/>
          <w:b w:val="false"/>
          <w:bCs w:val="false"/>
          <w:sz w:val="19"/>
          <w:szCs w:val="19"/>
        </w:rPr>
        <w:t>Quando a desconexão do pregoeiro persistir por tempo superior a 10 minutos, a sessão do pregão será suspensa e será reiniciado somente após comunicação via e-mail aos participantes.</w:t>
      </w:r>
    </w:p>
    <w:p>
      <w:pPr>
        <w:pStyle w:val="Normal"/>
        <w:numPr>
          <w:ilvl w:val="0"/>
          <w:numId w:val="0"/>
        </w:numPr>
        <w:overflowPunct w:val="false"/>
        <w:spacing w:lineRule="auto" w:line="240" w:before="31" w:after="62"/>
        <w:ind w:hanging="0" w:left="0"/>
        <w:jc w:val="both"/>
        <w:textAlignment w:val="baseline"/>
        <w:rPr>
          <w:rFonts w:ascii="Arial" w:hAnsi="Arial"/>
          <w:b w:val="false"/>
          <w:bCs w:val="false"/>
          <w:sz w:val="19"/>
          <w:szCs w:val="19"/>
        </w:rPr>
      </w:pPr>
      <w:r>
        <w:rPr>
          <w:rFonts w:ascii="Arial" w:hAnsi="Arial"/>
          <w:b w:val="false"/>
          <w:bCs w:val="false"/>
          <w:sz w:val="19"/>
          <w:szCs w:val="19"/>
        </w:rPr>
      </w:r>
    </w:p>
    <w:p>
      <w:pPr>
        <w:pStyle w:val="Heading1"/>
        <w:numPr>
          <w:ilvl w:val="0"/>
          <w:numId w:val="3"/>
        </w:numPr>
        <w:spacing w:lineRule="auto" w:line="240" w:before="31" w:after="62"/>
        <w:jc w:val="center"/>
        <w:rPr>
          <w:rFonts w:ascii="Arial" w:hAnsi="Arial"/>
          <w:sz w:val="19"/>
          <w:szCs w:val="19"/>
          <w:shd w:fill="auto" w:val="clear"/>
        </w:rPr>
      </w:pPr>
      <w:r>
        <w:rPr>
          <w:sz w:val="19"/>
          <w:szCs w:val="19"/>
          <w:shd w:fill="auto" w:val="clear"/>
        </w:rPr>
        <w:t>DOS PROCEDIMENTOS DO PREGÃO</w:t>
      </w:r>
    </w:p>
    <w:p>
      <w:pPr>
        <w:pStyle w:val="Normal"/>
        <w:numPr>
          <w:ilvl w:val="1"/>
          <w:numId w:val="3"/>
        </w:numPr>
        <w:overflowPunct w:val="false"/>
        <w:spacing w:lineRule="auto" w:line="240" w:before="31" w:after="62"/>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 xml:space="preserve">No presente certame a fase de habilitação sucederá as fases de apresentação de propostas e lances, e de julgamento. </w:t>
      </w:r>
    </w:p>
    <w:p>
      <w:pPr>
        <w:pStyle w:val="Normal"/>
        <w:numPr>
          <w:ilvl w:val="1"/>
          <w:numId w:val="3"/>
        </w:numPr>
        <w:overflowPunct w:val="false"/>
        <w:spacing w:lineRule="auto" w:line="240" w:before="31" w:after="62"/>
        <w:jc w:val="both"/>
        <w:textAlignment w:val="baseline"/>
        <w:rPr>
          <w:rFonts w:ascii="Arial" w:hAnsi="Arial" w:cs="Verdana"/>
          <w:b/>
          <w:bCs/>
          <w:sz w:val="19"/>
          <w:szCs w:val="19"/>
          <w:shd w:fill="auto" w:val="clear"/>
        </w:rPr>
      </w:pPr>
      <w:r>
        <w:rPr>
          <w:rFonts w:cs="Verdana" w:ascii="Arial" w:hAnsi="Arial"/>
          <w:b/>
          <w:bCs/>
          <w:sz w:val="19"/>
          <w:szCs w:val="19"/>
          <w:shd w:fill="auto" w:val="clear"/>
        </w:rPr>
        <w:t>FORMAS DE ENVIO DAS PROPOSTAS E DOCUMENTAÇÕES:</w:t>
      </w:r>
    </w:p>
    <w:p>
      <w:pPr>
        <w:pStyle w:val="Normal"/>
        <w:numPr>
          <w:ilvl w:val="2"/>
          <w:numId w:val="3"/>
        </w:numPr>
        <w:overflowPunct w:val="false"/>
        <w:spacing w:lineRule="auto" w:line="240" w:before="31" w:after="62"/>
        <w:jc w:val="both"/>
        <w:textAlignment w:val="baseline"/>
        <w:rPr>
          <w:rFonts w:ascii="Arial" w:hAnsi="Arial" w:cs="Verdana"/>
          <w:b/>
          <w:bCs/>
          <w:sz w:val="19"/>
          <w:szCs w:val="19"/>
          <w:shd w:fill="auto" w:val="clear"/>
        </w:rPr>
      </w:pPr>
      <w:r>
        <w:rPr>
          <w:rFonts w:cs="Verdana" w:ascii="Arial" w:hAnsi="Arial"/>
          <w:b/>
          <w:bCs/>
          <w:sz w:val="19"/>
          <w:szCs w:val="19"/>
          <w:shd w:fill="auto" w:val="clear"/>
        </w:rPr>
        <w:t>ENVIO DAS PROPOSTAS:</w:t>
      </w:r>
    </w:p>
    <w:p>
      <w:pPr>
        <w:pStyle w:val="Normal"/>
        <w:numPr>
          <w:ilvl w:val="3"/>
          <w:numId w:val="3"/>
        </w:numPr>
        <w:overflowPunct w:val="false"/>
        <w:spacing w:lineRule="auto" w:line="240" w:before="31" w:after="62"/>
        <w:jc w:val="both"/>
        <w:textAlignment w:val="baseline"/>
        <w:rPr/>
      </w:pPr>
      <w:r>
        <w:rPr>
          <w:rFonts w:cs="Verdana" w:ascii="Arial" w:hAnsi="Arial"/>
          <w:b w:val="false"/>
          <w:bCs w:val="false"/>
          <w:sz w:val="19"/>
          <w:szCs w:val="19"/>
          <w:shd w:fill="auto" w:val="clear"/>
        </w:rPr>
        <w:t xml:space="preserve">A </w:t>
      </w:r>
      <w:r>
        <w:rPr>
          <w:rFonts w:cs="Verdana" w:ascii="Arial" w:hAnsi="Arial"/>
          <w:b/>
          <w:bCs/>
          <w:sz w:val="19"/>
          <w:szCs w:val="19"/>
          <w:shd w:fill="auto" w:val="clear"/>
        </w:rPr>
        <w:t>PROPOSTA COMERCIAL</w:t>
      </w:r>
      <w:r>
        <w:rPr>
          <w:rFonts w:cs="Verdana" w:ascii="Arial" w:hAnsi="Arial"/>
          <w:b w:val="false"/>
          <w:bCs w:val="false"/>
          <w:sz w:val="19"/>
          <w:szCs w:val="19"/>
          <w:shd w:fill="auto" w:val="clear"/>
        </w:rPr>
        <w:t xml:space="preserve"> </w:t>
      </w:r>
      <w:r>
        <w:rPr>
          <w:rFonts w:cs="Verdana" w:ascii="Arial" w:hAnsi="Arial"/>
          <w:b/>
          <w:bCs/>
          <w:sz w:val="19"/>
          <w:szCs w:val="19"/>
          <w:shd w:fill="auto" w:val="clear"/>
        </w:rPr>
        <w:t xml:space="preserve"> </w:t>
      </w:r>
      <w:r>
        <w:rPr>
          <w:rFonts w:eastAsia="Times New Roman" w:cs="Verdana" w:ascii="Arial" w:hAnsi="Arial"/>
          <w:b w:val="false"/>
          <w:bCs w:val="false"/>
          <w:color w:val="000000"/>
          <w:sz w:val="19"/>
          <w:szCs w:val="19"/>
          <w:shd w:fill="auto" w:val="clear"/>
          <w:lang w:val="pt-BR" w:eastAsia="zh-CN" w:bidi="ar-SA"/>
        </w:rPr>
        <w:t xml:space="preserve">deverá ser enviada eletronicamente, até o dia e hora indicados no preâmbulo deste edital, por meio do endereço Eletrônico </w:t>
      </w:r>
      <w:hyperlink r:id="rId4">
        <w:r>
          <w:rPr>
            <w:rStyle w:val="Style6"/>
            <w:rFonts w:cs="Verdana" w:ascii="Arial" w:hAnsi="Arial"/>
            <w:b w:val="false"/>
            <w:bCs w:val="false"/>
            <w:i/>
            <w:iCs/>
            <w:color w:val="000080"/>
            <w:sz w:val="19"/>
            <w:szCs w:val="19"/>
            <w:u w:val="single"/>
            <w:shd w:fill="auto" w:val="clear"/>
            <w:lang w:val="zxx" w:eastAsia="zxx" w:bidi="zxx"/>
          </w:rPr>
          <w:t>http://licitacoes.caixa.gov.br</w:t>
        </w:r>
      </w:hyperlink>
      <w:r>
        <w:rPr>
          <w:rFonts w:eastAsia="Times New Roman" w:cs="Verdana" w:ascii="Arial" w:hAnsi="Arial"/>
          <w:b w:val="false"/>
          <w:bCs w:val="false"/>
          <w:i/>
          <w:iCs/>
          <w:color w:val="000000"/>
          <w:sz w:val="19"/>
          <w:szCs w:val="19"/>
          <w:shd w:fill="auto" w:val="clear"/>
          <w:lang w:val="pt-BR" w:eastAsia="zh-CN" w:bidi="ar-SA"/>
        </w:rPr>
        <w:t>,</w:t>
      </w:r>
      <w:r>
        <w:rPr>
          <w:rFonts w:eastAsia="Times New Roman" w:cs="Verdana" w:ascii="Arial" w:hAnsi="Arial"/>
          <w:b w:val="false"/>
          <w:bCs w:val="false"/>
          <w:color w:val="000000"/>
          <w:sz w:val="19"/>
          <w:szCs w:val="19"/>
          <w:shd w:fill="auto" w:val="clear"/>
          <w:lang w:val="pt-BR" w:eastAsia="zh-CN" w:bidi="ar-SA"/>
        </w:rPr>
        <w:t xml:space="preserve"> na aba </w:t>
      </w:r>
      <w:r>
        <w:rPr>
          <w:rFonts w:eastAsia="Times New Roman" w:cs="Verdana" w:ascii="Arial" w:hAnsi="Arial"/>
          <w:b w:val="false"/>
          <w:bCs w:val="false"/>
          <w:i/>
          <w:color w:val="000000"/>
          <w:sz w:val="19"/>
          <w:szCs w:val="19"/>
          <w:shd w:fill="auto" w:val="clear"/>
          <w:lang w:val="pt-BR" w:eastAsia="zh-CN" w:bidi="ar-SA"/>
        </w:rPr>
        <w:t>“ÁREA LOGADA”</w:t>
      </w:r>
      <w:r>
        <w:rPr>
          <w:rFonts w:eastAsia="Times New Roman" w:cs="Verdana" w:ascii="Arial" w:hAnsi="Arial"/>
          <w:b w:val="false"/>
          <w:bCs w:val="false"/>
          <w:i w:val="false"/>
          <w:color w:val="000000"/>
          <w:sz w:val="19"/>
          <w:szCs w:val="19"/>
          <w:shd w:fill="auto" w:val="clear"/>
          <w:lang w:val="pt-BR" w:eastAsia="zh-CN" w:bidi="ar-SA"/>
        </w:rPr>
        <w:t xml:space="preserve">, clicar em </w:t>
      </w:r>
      <w:r>
        <w:rPr>
          <w:rFonts w:eastAsia="Times New Roman" w:cs="Verdana" w:ascii="Arial" w:hAnsi="Arial"/>
          <w:b w:val="false"/>
          <w:bCs w:val="false"/>
          <w:i/>
          <w:color w:val="000000"/>
          <w:sz w:val="19"/>
          <w:szCs w:val="19"/>
          <w:shd w:fill="auto" w:val="clear"/>
          <w:lang w:val="pt-BR" w:eastAsia="zh-CN" w:bidi="ar-SA"/>
        </w:rPr>
        <w:t xml:space="preserve">“ACESSO AO SISTEMA” </w:t>
      </w:r>
      <w:r>
        <w:rPr>
          <w:rFonts w:eastAsia="Times New Roman" w:cs="Verdana" w:ascii="Arial" w:hAnsi="Arial"/>
          <w:b w:val="false"/>
          <w:bCs w:val="false"/>
          <w:i w:val="false"/>
          <w:color w:val="000000"/>
          <w:sz w:val="19"/>
          <w:szCs w:val="19"/>
          <w:shd w:fill="auto" w:val="clear"/>
          <w:lang w:val="pt-BR" w:eastAsia="zh-CN" w:bidi="ar-SA"/>
        </w:rPr>
        <w:t xml:space="preserve">→ escolher </w:t>
      </w:r>
      <w:r>
        <w:rPr>
          <w:rFonts w:eastAsia="Times New Roman" w:cs="Verdana" w:ascii="Arial" w:hAnsi="Arial"/>
          <w:b w:val="false"/>
          <w:bCs w:val="false"/>
          <w:i/>
          <w:color w:val="000000"/>
          <w:sz w:val="19"/>
          <w:szCs w:val="19"/>
          <w:shd w:fill="auto" w:val="clear"/>
          <w:lang w:val="pt-BR" w:eastAsia="zh-CN" w:bidi="ar-SA"/>
        </w:rPr>
        <w:t xml:space="preserve">“SE VOCÊ É FORNECEDOR, FAÇA LOGIN AQUI: ACESSAR” </w:t>
      </w:r>
      <w:r>
        <w:rPr>
          <w:rFonts w:eastAsia="Times New Roman" w:cs="Verdana" w:ascii="Arial" w:hAnsi="Arial"/>
          <w:b w:val="false"/>
          <w:bCs w:val="false"/>
          <w:i w:val="false"/>
          <w:color w:val="000000"/>
          <w:sz w:val="19"/>
          <w:szCs w:val="19"/>
          <w:shd w:fill="auto" w:val="clear"/>
          <w:lang w:val="pt-BR" w:eastAsia="zh-CN" w:bidi="ar-SA"/>
        </w:rPr>
        <w:t xml:space="preserve">→ realizar login → marcar a modalidade de licitação desejada → escolher a opção “Enviar/Alterar Proposta e Documentação", localizado no quadro “Minhas Atividades” → selecionar o item desejado → anexar a Proposta Comercial → digitar o valor proposto → clicar no botão </w:t>
      </w:r>
      <w:r>
        <w:rPr>
          <w:rFonts w:eastAsia="Times New Roman" w:cs="Verdana" w:ascii="Arial" w:hAnsi="Arial"/>
          <w:b w:val="false"/>
          <w:bCs w:val="false"/>
          <w:i/>
          <w:color w:val="000000"/>
          <w:sz w:val="19"/>
          <w:szCs w:val="19"/>
          <w:shd w:fill="auto" w:val="clear"/>
          <w:lang w:val="pt-BR" w:eastAsia="zh-CN" w:bidi="ar-SA"/>
        </w:rPr>
        <w:t>“Enviar Proposta”</w:t>
      </w:r>
      <w:r>
        <w:rPr>
          <w:rFonts w:eastAsia="Times New Roman" w:cs="Verdana" w:ascii="Arial" w:hAnsi="Arial"/>
          <w:b w:val="false"/>
          <w:bCs w:val="false"/>
          <w:i w:val="false"/>
          <w:color w:val="000000"/>
          <w:sz w:val="19"/>
          <w:szCs w:val="19"/>
          <w:shd w:fill="auto" w:val="clear"/>
          <w:lang w:val="pt-BR" w:eastAsia="zh-CN" w:bidi="ar-SA"/>
        </w:rPr>
        <w:t>.</w:t>
      </w:r>
    </w:p>
    <w:p>
      <w:pPr>
        <w:pStyle w:val="Normal"/>
        <w:numPr>
          <w:ilvl w:val="2"/>
          <w:numId w:val="3"/>
        </w:numPr>
        <w:overflowPunct w:val="false"/>
        <w:spacing w:lineRule="auto" w:line="240" w:before="31" w:after="62"/>
        <w:jc w:val="both"/>
        <w:textAlignment w:val="baseline"/>
        <w:rPr>
          <w:rFonts w:ascii="Arial" w:hAnsi="Arial" w:eastAsia="Times New Roman" w:cs="Verdana"/>
          <w:b/>
          <w:bCs/>
          <w:i w:val="false"/>
          <w:i w:val="false"/>
          <w:color w:val="auto"/>
          <w:sz w:val="19"/>
          <w:szCs w:val="19"/>
          <w:shd w:fill="auto" w:val="clear"/>
          <w:lang w:val="pt-BR" w:eastAsia="zh-CN" w:bidi="ar-SA"/>
        </w:rPr>
      </w:pPr>
      <w:r>
        <w:rPr>
          <w:rFonts w:eastAsia="Times New Roman" w:cs="Verdana" w:ascii="Arial" w:hAnsi="Arial"/>
          <w:b/>
          <w:bCs/>
          <w:i w:val="false"/>
          <w:color w:val="000000"/>
          <w:sz w:val="19"/>
          <w:szCs w:val="19"/>
          <w:shd w:fill="auto" w:val="clear"/>
          <w:lang w:val="pt-BR" w:eastAsia="zh-CN" w:bidi="ar-SA"/>
        </w:rPr>
        <w:t>ENVIO DAS DOCUMENTAÇÕES DE HABILITAÇÃO:</w:t>
      </w:r>
    </w:p>
    <w:p>
      <w:pPr>
        <w:pStyle w:val="Normal"/>
        <w:numPr>
          <w:ilvl w:val="3"/>
          <w:numId w:val="3"/>
        </w:numPr>
        <w:overflowPunct w:val="false"/>
        <w:spacing w:lineRule="auto" w:line="240" w:before="31" w:after="62"/>
        <w:jc w:val="both"/>
        <w:textAlignment w:val="baseline"/>
        <w:rPr>
          <w:shd w:fill="auto" w:val="clear"/>
        </w:rPr>
      </w:pPr>
      <w:r>
        <w:rPr>
          <w:rFonts w:eastAsia="Times New Roman" w:cs="Verdana" w:ascii="Arial" w:hAnsi="Arial"/>
          <w:b w:val="false"/>
          <w:bCs w:val="false"/>
          <w:i w:val="false"/>
          <w:color w:val="000000"/>
          <w:sz w:val="19"/>
          <w:szCs w:val="19"/>
          <w:shd w:fill="auto" w:val="clear"/>
          <w:lang w:val="pt-BR" w:eastAsia="zh-CN" w:bidi="ar-SA"/>
        </w:rPr>
        <w:t xml:space="preserve">Toda a </w:t>
      </w:r>
      <w:r>
        <w:rPr>
          <w:rFonts w:eastAsia="Times New Roman" w:cs="Verdana" w:ascii="Arial" w:hAnsi="Arial"/>
          <w:b/>
          <w:bCs/>
          <w:i w:val="false"/>
          <w:color w:val="000000"/>
          <w:sz w:val="19"/>
          <w:szCs w:val="19"/>
          <w:shd w:fill="auto" w:val="clear"/>
          <w:lang w:val="pt-BR" w:eastAsia="zh-CN" w:bidi="ar-SA"/>
        </w:rPr>
        <w:t>HABILITAÇÃO</w:t>
      </w:r>
      <w:r>
        <w:rPr>
          <w:rFonts w:eastAsia="Times New Roman" w:cs="Verdana" w:ascii="Arial" w:hAnsi="Arial"/>
          <w:b w:val="false"/>
          <w:bCs w:val="false"/>
          <w:i w:val="false"/>
          <w:color w:val="000000"/>
          <w:sz w:val="19"/>
          <w:szCs w:val="19"/>
          <w:shd w:fill="auto" w:val="clear"/>
          <w:lang w:val="pt-BR" w:eastAsia="zh-CN" w:bidi="ar-SA"/>
        </w:rPr>
        <w:t xml:space="preserve"> também deverá ser enviada, impreterivelmente, no mesmo momento do envio das propostas comerciais. Para tanto, a documentação deverá ser vinculada ao certame, pelo ícone ENVIAR/ALTERAR PROPOSTA PREÇO/VINCULAR DOCUMENTAÇÃO, localizado na área logada do fornecedor.</w:t>
      </w:r>
    </w:p>
    <w:p>
      <w:pPr>
        <w:pStyle w:val="Normal"/>
        <w:numPr>
          <w:ilvl w:val="3"/>
          <w:numId w:val="3"/>
        </w:numPr>
        <w:overflowPunct w:val="false"/>
        <w:spacing w:lineRule="auto" w:line="240" w:before="31" w:after="62"/>
        <w:jc w:val="both"/>
        <w:textAlignment w:val="baseline"/>
        <w:rPr>
          <w:rFonts w:ascii="Arial" w:hAnsi="Arial" w:eastAsia="Times New Roman" w:cs="Verdana"/>
          <w:b w:val="false"/>
          <w:bCs w:val="false"/>
          <w:i w:val="false"/>
          <w:i w:val="false"/>
          <w:color w:val="auto"/>
          <w:sz w:val="19"/>
          <w:szCs w:val="19"/>
          <w:shd w:fill="auto" w:val="clear"/>
          <w:lang w:val="pt-BR" w:eastAsia="zh-CN" w:bidi="ar-SA"/>
        </w:rPr>
      </w:pPr>
      <w:r>
        <w:rPr>
          <w:rFonts w:eastAsia="Times New Roman" w:cs="Verdana" w:ascii="Arial" w:hAnsi="Arial"/>
          <w:b w:val="false"/>
          <w:bCs w:val="false"/>
          <w:i w:val="false"/>
          <w:color w:val="000000"/>
          <w:sz w:val="19"/>
          <w:szCs w:val="19"/>
          <w:shd w:fill="auto" w:val="clear"/>
          <w:lang w:val="pt-BR" w:eastAsia="zh-CN" w:bidi="ar-SA"/>
        </w:rPr>
        <w:t>Para participação nos certames da CAIXA, a documentação de habilitação deverá ser mantida no repositório de documentos, localizado no cadastro do licitante na área logada do Portal de Licitações CAIXA.</w:t>
      </w:r>
    </w:p>
    <w:p>
      <w:pPr>
        <w:pStyle w:val="Normal"/>
        <w:numPr>
          <w:ilvl w:val="3"/>
          <w:numId w:val="3"/>
        </w:numPr>
        <w:overflowPunct w:val="false"/>
        <w:spacing w:lineRule="auto" w:line="240" w:before="31" w:after="62"/>
        <w:jc w:val="both"/>
        <w:textAlignment w:val="baseline"/>
        <w:rPr>
          <w:rFonts w:ascii="Arial" w:hAnsi="Arial" w:eastAsia="Times New Roman" w:cs="Verdana"/>
          <w:b w:val="false"/>
          <w:bCs w:val="false"/>
          <w:i w:val="false"/>
          <w:i w:val="false"/>
          <w:color w:val="auto"/>
          <w:sz w:val="19"/>
          <w:szCs w:val="19"/>
          <w:shd w:fill="auto" w:val="clear"/>
          <w:lang w:val="pt-BR" w:eastAsia="zh-CN" w:bidi="ar-SA"/>
        </w:rPr>
      </w:pPr>
      <w:r>
        <w:rPr>
          <w:rFonts w:eastAsia="Times New Roman" w:cs="Verdana" w:ascii="Arial" w:hAnsi="Arial"/>
          <w:b w:val="false"/>
          <w:bCs w:val="false"/>
          <w:i w:val="false"/>
          <w:color w:val="000000"/>
          <w:sz w:val="19"/>
          <w:szCs w:val="19"/>
          <w:shd w:fill="auto" w:val="clear"/>
          <w:lang w:val="pt-BR" w:eastAsia="zh-CN" w:bidi="ar-SA"/>
        </w:rPr>
        <w:t>A inserção da documentação de habilitação no REPOSITÓRIO DE DOCUMENTOS poderá ser anexada a qualquer tempo acessando o ícone MEU CADASTRO na área logada do fornecedor, entretanto a vinculação dos documentos de habilitação ao certame de interesse deverá ser realizada até o dia e a hora indicados no preâmbulo do edital.</w:t>
      </w:r>
    </w:p>
    <w:p>
      <w:pPr>
        <w:pStyle w:val="Normal"/>
        <w:numPr>
          <w:ilvl w:val="3"/>
          <w:numId w:val="3"/>
        </w:numPr>
        <w:overflowPunct w:val="false"/>
        <w:spacing w:lineRule="auto" w:line="240" w:before="31" w:after="62"/>
        <w:jc w:val="both"/>
        <w:textAlignment w:val="baseline"/>
        <w:rPr>
          <w:rFonts w:ascii="Arial" w:hAnsi="Arial" w:eastAsia="Times New Roman" w:cs="Verdana"/>
          <w:b w:val="false"/>
          <w:bCs w:val="false"/>
          <w:i w:val="false"/>
          <w:i w:val="false"/>
          <w:color w:val="auto"/>
          <w:sz w:val="19"/>
          <w:szCs w:val="19"/>
          <w:shd w:fill="auto" w:val="clear"/>
          <w:lang w:val="pt-BR" w:eastAsia="zh-CN" w:bidi="ar-SA"/>
        </w:rPr>
      </w:pPr>
      <w:r>
        <w:rPr>
          <w:rFonts w:eastAsia="Times New Roman" w:cs="Verdana" w:ascii="Arial" w:hAnsi="Arial"/>
          <w:b w:val="false"/>
          <w:bCs w:val="false"/>
          <w:i w:val="false"/>
          <w:color w:val="000000"/>
          <w:sz w:val="19"/>
          <w:szCs w:val="19"/>
          <w:shd w:fill="auto" w:val="clear"/>
          <w:lang w:val="pt-BR" w:eastAsia="zh-CN" w:bidi="ar-SA"/>
        </w:rPr>
        <w:t xml:space="preserve">As documentações de habilitação deverão ficar armazenadas no repositório de documentos localizado no Cadastro do Licitante. As instruções constam do “Manual do fornecedor guarda da documentação de habilitação” que pode ser obtido na plataforma do usuário, no Portal de Licitações CAIXA ou na área pública do Portal em FAQ e TUTORIAIS. </w:t>
      </w:r>
      <w:r>
        <w:rPr>
          <w:rFonts w:eastAsia="Times New Roman" w:cs="Verdana" w:ascii="Arial" w:hAnsi="Arial"/>
          <w:b/>
          <w:bCs/>
          <w:i w:val="false"/>
          <w:color w:val="000000"/>
          <w:sz w:val="19"/>
          <w:szCs w:val="19"/>
          <w:shd w:fill="auto" w:val="clear"/>
          <w:lang w:val="pt-BR" w:eastAsia="zh-CN" w:bidi="ar-SA"/>
        </w:rPr>
        <w:t>Toda a gestão da documentação no repositório é de plena responsabilidade do licitante, que deve se atentar para a conferência das possíveis validades e documentos necessários para a participação no certame.</w:t>
      </w:r>
    </w:p>
    <w:p>
      <w:pPr>
        <w:pStyle w:val="Normal"/>
        <w:numPr>
          <w:ilvl w:val="3"/>
          <w:numId w:val="3"/>
        </w:numPr>
        <w:overflowPunct w:val="false"/>
        <w:spacing w:lineRule="auto" w:line="240" w:before="31" w:after="62"/>
        <w:jc w:val="both"/>
        <w:textAlignment w:val="baseline"/>
        <w:rPr>
          <w:rFonts w:ascii="Arial" w:hAnsi="Arial" w:eastAsia="Times New Roman" w:cs="Verdana"/>
          <w:b w:val="false"/>
          <w:bCs w:val="false"/>
          <w:i w:val="false"/>
          <w:i w:val="false"/>
          <w:color w:val="auto"/>
          <w:sz w:val="19"/>
          <w:szCs w:val="19"/>
          <w:shd w:fill="auto" w:val="clear"/>
          <w:lang w:val="pt-BR" w:eastAsia="zh-CN" w:bidi="ar-SA"/>
        </w:rPr>
      </w:pPr>
      <w:r>
        <w:rPr>
          <w:rFonts w:eastAsia="Times New Roman" w:cs="Verdana" w:ascii="Arial" w:hAnsi="Arial"/>
          <w:b w:val="false"/>
          <w:bCs w:val="false"/>
          <w:i w:val="false"/>
          <w:color w:val="000000"/>
          <w:sz w:val="19"/>
          <w:szCs w:val="19"/>
          <w:shd w:fill="auto" w:val="clear"/>
          <w:lang w:val="pt-BR" w:eastAsia="zh-CN" w:bidi="ar-SA"/>
        </w:rPr>
        <w:t>A proposta e a documentação vinculada ficam disponíveis na coluna PROPOSTA/DOCUMENTAÇÃO, após vincular toda a documentação exigida, confira e, para confirmar a participação no item, acione o botão CONCLUIR/ENVIAR.</w:t>
      </w:r>
    </w:p>
    <w:p>
      <w:pPr>
        <w:pStyle w:val="BodyText"/>
        <w:numPr>
          <w:ilvl w:val="1"/>
          <w:numId w:val="3"/>
        </w:numPr>
        <w:spacing w:lineRule="auto" w:line="240" w:before="31" w:after="62"/>
        <w:jc w:val="both"/>
        <w:rPr>
          <w:rFonts w:ascii="Arial" w:hAnsi="Arial"/>
          <w:sz w:val="19"/>
          <w:szCs w:val="19"/>
        </w:rPr>
      </w:pPr>
      <w:r>
        <w:rPr>
          <w:sz w:val="19"/>
          <w:szCs w:val="19"/>
        </w:rPr>
        <w:t>Findo o período de recebimento das propostas, a partir do horário previsto no sistema, terá início à fase de abertura das propostas, momento no qual o pregoeiro avaliará a aceitabilidade de cada uma delas, classificando as que atendam as exigências do Edital e desclassificadas aquelas que não atendam.</w:t>
      </w:r>
    </w:p>
    <w:p>
      <w:pPr>
        <w:pStyle w:val="BodyText"/>
        <w:numPr>
          <w:ilvl w:val="1"/>
          <w:numId w:val="3"/>
        </w:numPr>
        <w:spacing w:lineRule="auto" w:line="240" w:before="31" w:after="62"/>
        <w:jc w:val="both"/>
        <w:rPr>
          <w:rFonts w:ascii="Arial" w:hAnsi="Arial"/>
          <w:sz w:val="19"/>
          <w:szCs w:val="19"/>
        </w:rPr>
      </w:pPr>
      <w:r>
        <w:rPr>
          <w:sz w:val="19"/>
          <w:szCs w:val="19"/>
        </w:rPr>
        <w:t>O pregoeiro desclassificará, fundamentalmente, as propostas que não atenderem às exigências do Edital, ou aquelas que forem manifestadamente inexequíveis, comparadas aos preços constantes nesse Edital.</w:t>
      </w:r>
    </w:p>
    <w:p>
      <w:pPr>
        <w:pStyle w:val="BodyText"/>
        <w:numPr>
          <w:ilvl w:val="1"/>
          <w:numId w:val="3"/>
        </w:numPr>
        <w:spacing w:lineRule="auto" w:line="240" w:before="31" w:after="62"/>
        <w:jc w:val="both"/>
        <w:rPr>
          <w:rFonts w:ascii="Arial" w:hAnsi="Arial"/>
          <w:sz w:val="19"/>
          <w:szCs w:val="19"/>
        </w:rPr>
      </w:pPr>
      <w:r>
        <w:rPr>
          <w:sz w:val="19"/>
          <w:szCs w:val="19"/>
        </w:rPr>
        <w:t>Os licitantes cujas propostas estiverem em desacordo com esse edital serão comunicados da sua desclassificação, ficando desta forma impedidos de participar da sessão de lances. Tais licitantes poderão fazer sua manifestação de intenção de recurso depois de divulgado o vencedor do certame no link intenção de recurso.</w:t>
      </w:r>
    </w:p>
    <w:p>
      <w:pPr>
        <w:pStyle w:val="BodyText"/>
        <w:numPr>
          <w:ilvl w:val="1"/>
          <w:numId w:val="3"/>
        </w:numPr>
        <w:spacing w:lineRule="auto" w:line="240" w:before="31" w:after="62"/>
        <w:jc w:val="both"/>
        <w:rPr>
          <w:rFonts w:ascii="Arial" w:hAnsi="Arial"/>
          <w:sz w:val="19"/>
          <w:szCs w:val="19"/>
        </w:rPr>
      </w:pPr>
      <w:r>
        <w:rPr>
          <w:sz w:val="19"/>
          <w:szCs w:val="19"/>
        </w:rPr>
        <w:t xml:space="preserve">Após a fase de “classificação das propostas”, o pregoeiro dará sequência ao processo de pregão, passando para a fase da “sessão pública”, da qual só poderão participar os licitantes que tiveram suas propostas classificadas, sendo vencedor aquele que oferecer o </w:t>
      </w:r>
      <w:r>
        <w:rPr>
          <w:b/>
          <w:bCs/>
          <w:color w:val="C9211E"/>
          <w:sz w:val="19"/>
          <w:szCs w:val="19"/>
        </w:rPr>
        <w:t>Menor Preço por Item</w:t>
      </w:r>
      <w:r>
        <w:rPr>
          <w:sz w:val="19"/>
          <w:szCs w:val="19"/>
        </w:rPr>
        <w:t>. Os lances serão aceitos tendo como teto o menor valor apresentado na proposta inicial oferecida pelos concorrentes do pregão eletrônico.</w:t>
      </w:r>
    </w:p>
    <w:p>
      <w:pPr>
        <w:pStyle w:val="BodyText"/>
        <w:numPr>
          <w:ilvl w:val="1"/>
          <w:numId w:val="3"/>
        </w:numPr>
        <w:spacing w:lineRule="auto" w:line="240" w:before="31" w:after="62"/>
        <w:jc w:val="both"/>
        <w:rPr>
          <w:rFonts w:ascii="Arial" w:hAnsi="Arial"/>
          <w:sz w:val="19"/>
          <w:szCs w:val="19"/>
        </w:rPr>
      </w:pPr>
      <w:r>
        <w:rPr>
          <w:rFonts w:cs="Arial"/>
          <w:i w:val="false"/>
          <w:iCs w:val="false"/>
          <w:sz w:val="19"/>
          <w:szCs w:val="19"/>
        </w:rPr>
        <w:t>Será adotado para o envio de lances no pregão eletrônico o modo de disputa</w:t>
      </w:r>
      <w:r>
        <w:rPr>
          <w:rFonts w:cs="Arial"/>
          <w:b/>
          <w:bCs/>
          <w:i w:val="false"/>
          <w:iCs w:val="false"/>
          <w:sz w:val="19"/>
          <w:szCs w:val="19"/>
        </w:rPr>
        <w:t xml:space="preserve"> “aberto”</w:t>
      </w:r>
      <w:r>
        <w:rPr>
          <w:rFonts w:cs="Arial"/>
          <w:i w:val="false"/>
          <w:iCs w:val="false"/>
          <w:sz w:val="19"/>
          <w:szCs w:val="19"/>
        </w:rPr>
        <w:t>, em que os licitantes apresentarão lances públicos e sucessivos, com prorrogações.</w:t>
      </w:r>
    </w:p>
    <w:p>
      <w:pPr>
        <w:pStyle w:val="BodyText"/>
        <w:numPr>
          <w:ilvl w:val="1"/>
          <w:numId w:val="3"/>
        </w:numPr>
        <w:spacing w:lineRule="auto" w:line="240" w:before="31" w:after="62"/>
        <w:jc w:val="both"/>
        <w:rPr>
          <w:rFonts w:ascii="Arial" w:hAnsi="Arial"/>
          <w:sz w:val="19"/>
          <w:szCs w:val="19"/>
        </w:rPr>
      </w:pPr>
      <w:r>
        <w:rPr>
          <w:sz w:val="19"/>
          <w:szCs w:val="19"/>
        </w:rPr>
        <w:t>Assim que o lance for confirmado com sucesso, será apresentado o número do registro, que também será enviado no e-mail de confirmação do lance e servirá como comprovante de que o lance foi registrado, devendo ser utilizado, obrigatoriamente, em eventuais recursos e/ou questionamentos.</w:t>
      </w:r>
    </w:p>
    <w:p>
      <w:pPr>
        <w:pStyle w:val="BodyText"/>
        <w:numPr>
          <w:ilvl w:val="1"/>
          <w:numId w:val="3"/>
        </w:numPr>
        <w:spacing w:lineRule="auto" w:line="240" w:before="31" w:after="62"/>
        <w:jc w:val="both"/>
        <w:rPr>
          <w:rFonts w:ascii="Arial" w:hAnsi="Arial"/>
          <w:sz w:val="19"/>
          <w:szCs w:val="19"/>
        </w:rPr>
      </w:pPr>
      <w:r>
        <w:rPr>
          <w:sz w:val="19"/>
          <w:szCs w:val="19"/>
        </w:rPr>
        <w:t>Sendo aberta a etapa competitiva, os licitantes classificados poderão encaminhar lances exclusivamente por meio do sistema eletrônico, sendo o licitante imediatamente informado do recebimento do seu lance e respectivo horário de registro e valor.</w:t>
      </w:r>
    </w:p>
    <w:p>
      <w:pPr>
        <w:pStyle w:val="BodyText"/>
        <w:numPr>
          <w:ilvl w:val="1"/>
          <w:numId w:val="3"/>
        </w:numPr>
        <w:spacing w:lineRule="auto" w:line="240" w:before="31" w:after="62"/>
        <w:jc w:val="both"/>
        <w:rPr>
          <w:rFonts w:ascii="Arial" w:hAnsi="Arial"/>
          <w:sz w:val="19"/>
          <w:szCs w:val="19"/>
        </w:rPr>
      </w:pPr>
      <w:r>
        <w:rPr>
          <w:sz w:val="19"/>
          <w:szCs w:val="19"/>
        </w:rPr>
        <w:t>Não poderá haver desistência dos lances ofertados, sujeitando-se a licitante desistente às penalidades fixadas em lei.</w:t>
      </w:r>
    </w:p>
    <w:p>
      <w:pPr>
        <w:pStyle w:val="BodyText"/>
        <w:numPr>
          <w:ilvl w:val="1"/>
          <w:numId w:val="3"/>
        </w:numPr>
        <w:spacing w:lineRule="auto" w:line="240" w:before="31" w:after="62"/>
        <w:jc w:val="both"/>
        <w:rPr>
          <w:rFonts w:ascii="Arial" w:hAnsi="Arial"/>
          <w:sz w:val="19"/>
          <w:szCs w:val="19"/>
        </w:rPr>
      </w:pPr>
      <w:r>
        <w:rPr>
          <w:sz w:val="19"/>
          <w:szCs w:val="19"/>
        </w:rPr>
        <w:t>Os licitantes poderão oferecer lances sucessivos, observando o horário fixado e as seguintes condições:</w:t>
      </w:r>
    </w:p>
    <w:p>
      <w:pPr>
        <w:pStyle w:val="BodyText"/>
        <w:numPr>
          <w:ilvl w:val="5"/>
          <w:numId w:val="3"/>
        </w:numPr>
        <w:spacing w:lineRule="auto" w:line="240" w:before="31" w:after="62"/>
        <w:jc w:val="both"/>
        <w:rPr>
          <w:rFonts w:ascii="Arial" w:hAnsi="Arial"/>
          <w:sz w:val="19"/>
          <w:szCs w:val="19"/>
        </w:rPr>
      </w:pPr>
      <w:r>
        <w:rPr>
          <w:sz w:val="19"/>
          <w:szCs w:val="19"/>
        </w:rPr>
        <w:t>No intuito de obter uma melhor ordem de classificação, as licitantes poderão realizar lances independentemente do menor lance já realizado.</w:t>
      </w:r>
    </w:p>
    <w:p>
      <w:pPr>
        <w:pStyle w:val="BodyText"/>
        <w:numPr>
          <w:ilvl w:val="5"/>
          <w:numId w:val="3"/>
        </w:numPr>
        <w:spacing w:lineRule="auto" w:line="240" w:before="31" w:after="62"/>
        <w:jc w:val="both"/>
        <w:rPr>
          <w:rFonts w:ascii="Arial" w:hAnsi="Arial"/>
          <w:sz w:val="19"/>
          <w:szCs w:val="19"/>
        </w:rPr>
      </w:pPr>
      <w:r>
        <w:rPr>
          <w:sz w:val="19"/>
          <w:szCs w:val="19"/>
        </w:rPr>
        <w:t>Não serão aceitos dois ou mais lances de mesmo valor, prevalecendo aquele que for recebido e registrado em primeiro lugar.</w:t>
      </w:r>
    </w:p>
    <w:p>
      <w:pPr>
        <w:pStyle w:val="BodyText"/>
        <w:numPr>
          <w:ilvl w:val="5"/>
          <w:numId w:val="3"/>
        </w:numPr>
        <w:spacing w:lineRule="auto" w:line="240" w:before="31" w:after="62"/>
        <w:jc w:val="both"/>
        <w:rPr>
          <w:rFonts w:ascii="Arial" w:hAnsi="Arial"/>
          <w:sz w:val="19"/>
          <w:szCs w:val="19"/>
        </w:rPr>
      </w:pPr>
      <w:r>
        <w:rPr>
          <w:sz w:val="19"/>
          <w:szCs w:val="19"/>
        </w:rPr>
        <w:t>Durante o transcurso da sessão pública, os participantes serão informados, em tempo real, do valor do menor lance registrado. O sistema não identificará o autor dos lances aos demais participantes.</w:t>
      </w:r>
    </w:p>
    <w:p>
      <w:pPr>
        <w:pStyle w:val="BodyText"/>
        <w:numPr>
          <w:ilvl w:val="5"/>
          <w:numId w:val="3"/>
        </w:numPr>
        <w:spacing w:lineRule="auto" w:line="240" w:before="31" w:after="62"/>
        <w:jc w:val="both"/>
        <w:rPr>
          <w:rFonts w:ascii="Arial" w:hAnsi="Arial"/>
          <w:sz w:val="19"/>
          <w:szCs w:val="19"/>
        </w:rPr>
      </w:pPr>
      <w:r>
        <w:rPr>
          <w:sz w:val="19"/>
          <w:szCs w:val="19"/>
        </w:rPr>
        <w:t>O sistema informará a proposta de menor preço imediatamente após o encerramento da etapa de lances ou, quando for o caso, após negociação e decisão pelo pregoeiro, acerca da aceitação do lance de menor valor.</w:t>
      </w:r>
    </w:p>
    <w:p>
      <w:pPr>
        <w:pStyle w:val="BodyText"/>
        <w:numPr>
          <w:ilvl w:val="5"/>
          <w:numId w:val="3"/>
        </w:numPr>
        <w:spacing w:lineRule="auto" w:line="240" w:before="31" w:after="62"/>
        <w:jc w:val="both"/>
        <w:rPr>
          <w:rFonts w:ascii="Arial" w:hAnsi="Arial"/>
          <w:sz w:val="19"/>
          <w:szCs w:val="19"/>
        </w:rPr>
      </w:pPr>
      <w:r>
        <w:rPr>
          <w:sz w:val="19"/>
          <w:szCs w:val="19"/>
        </w:rPr>
        <w:t>Casos não se realizem lances serão verificados a conformidade da proposta inicial de menor preço e o valor estimado para a contratação, hipótese em que o pregoeiro poderá negociar diretamente com o proponente para que seja obtido preço melhor.</w:t>
      </w:r>
    </w:p>
    <w:p>
      <w:pPr>
        <w:pStyle w:val="BodyText"/>
        <w:numPr>
          <w:ilvl w:val="1"/>
          <w:numId w:val="3"/>
        </w:numPr>
        <w:spacing w:lineRule="auto" w:line="240" w:before="31" w:after="62"/>
        <w:jc w:val="both"/>
        <w:rPr>
          <w:rFonts w:ascii="Arial" w:hAnsi="Arial"/>
          <w:sz w:val="19"/>
          <w:szCs w:val="19"/>
        </w:rPr>
      </w:pPr>
      <w:r>
        <w:rPr>
          <w:sz w:val="19"/>
          <w:szCs w:val="19"/>
        </w:rPr>
        <w:t>Ao final da fase de lances, no caso de o menor valor obtido ser de empresa sediada fora do âmbito local de acordo com o Decreto Municipal nº 125/2016, e havendo ME/EPP/MEI sediada localmente em que o valor final de seu lance ou proposta estiver dentro da margem de preferência de 10% (dez por cento) em relação àquele, será considerado empate ficto.</w:t>
      </w:r>
    </w:p>
    <w:p>
      <w:pPr>
        <w:pStyle w:val="BodyText"/>
        <w:numPr>
          <w:ilvl w:val="1"/>
          <w:numId w:val="3"/>
        </w:numPr>
        <w:spacing w:lineRule="auto" w:line="240" w:before="31" w:after="62"/>
        <w:jc w:val="both"/>
        <w:rPr>
          <w:rFonts w:ascii="Arial" w:hAnsi="Arial"/>
          <w:sz w:val="19"/>
          <w:szCs w:val="19"/>
        </w:rPr>
      </w:pPr>
      <w:r>
        <w:rPr>
          <w:sz w:val="19"/>
          <w:szCs w:val="19"/>
        </w:rPr>
        <w:t>Diante da ocorrência da situação do item anterior, haverá a possibilidade da ME/EPP/MEI sediada localmente exercer direito mediante apresentação de nova proposta com valor inferior àquele considerado como vencedor, e, caso não exerça, serão convocadas as remanescentes que porventura se enquadrem na situação de empate ficto, na ordem classificatória, para o exercício do mesmo direito.</w:t>
      </w:r>
    </w:p>
    <w:p>
      <w:pPr>
        <w:pStyle w:val="Normal"/>
        <w:numPr>
          <w:ilvl w:val="1"/>
          <w:numId w:val="3"/>
        </w:numPr>
        <w:overflowPunct w:val="false"/>
        <w:spacing w:lineRule="auto" w:line="240" w:before="31" w:after="62"/>
        <w:ind w:hanging="0" w:left="0" w:right="0"/>
        <w:jc w:val="both"/>
        <w:textAlignment w:val="baseline"/>
        <w:rPr>
          <w:rFonts w:ascii="Arial" w:hAnsi="Arial" w:cs="ArialMT"/>
          <w:b w:val="false"/>
          <w:bCs w:val="false"/>
          <w:color w:val="000000"/>
          <w:sz w:val="19"/>
          <w:szCs w:val="19"/>
          <w:u w:val="none"/>
          <w:shd w:fill="auto" w:val="clear"/>
        </w:rPr>
      </w:pPr>
      <w:r>
        <w:rPr>
          <w:rFonts w:cs="ArialMT" w:ascii="Arial" w:hAnsi="Arial"/>
          <w:b w:val="false"/>
          <w:bCs w:val="false"/>
          <w:color w:val="000000"/>
          <w:sz w:val="19"/>
          <w:szCs w:val="19"/>
          <w:u w:val="none"/>
          <w:shd w:fill="auto" w:val="clear"/>
        </w:rPr>
        <w:t>Aplicados os benefícios da LC 123/2006, caso haja empate entre duas ou mais propostas, os licitantes empatados poderão apresentar nova proposta em ato contínuo à classificação.</w:t>
      </w:r>
    </w:p>
    <w:p>
      <w:pPr>
        <w:pStyle w:val="Normal"/>
        <w:numPr>
          <w:ilvl w:val="1"/>
          <w:numId w:val="3"/>
        </w:numPr>
        <w:overflowPunct w:val="false"/>
        <w:spacing w:lineRule="auto" w:line="240" w:before="31" w:after="62"/>
        <w:ind w:hanging="0" w:left="0" w:right="0"/>
        <w:jc w:val="both"/>
        <w:textAlignment w:val="baseline"/>
        <w:rPr>
          <w:rFonts w:ascii="Arial" w:hAnsi="Arial" w:cs="ArialMT"/>
          <w:b w:val="false"/>
          <w:bCs w:val="false"/>
          <w:color w:val="000000"/>
          <w:sz w:val="19"/>
          <w:szCs w:val="19"/>
          <w:u w:val="none"/>
          <w:shd w:fill="auto" w:val="clear"/>
        </w:rPr>
      </w:pPr>
      <w:r>
        <w:rPr>
          <w:rFonts w:cs="ArialMT" w:ascii="Arial" w:hAnsi="Arial"/>
          <w:b w:val="false"/>
          <w:bCs w:val="false"/>
          <w:color w:val="000000"/>
          <w:sz w:val="19"/>
          <w:szCs w:val="19"/>
          <w:u w:val="none"/>
          <w:shd w:fill="auto" w:val="clear"/>
        </w:rPr>
        <w:t>Caso não haja desempate, será assegurada preferência, sucessivamente, aos bens e serviços produzidos ou prestados por:</w:t>
      </w:r>
    </w:p>
    <w:p>
      <w:pPr>
        <w:pStyle w:val="Normal"/>
        <w:numPr>
          <w:ilvl w:val="2"/>
          <w:numId w:val="3"/>
        </w:numPr>
        <w:tabs>
          <w:tab w:val="clear" w:pos="709"/>
          <w:tab w:val="left" w:pos="0" w:leader="none"/>
        </w:tabs>
        <w:overflowPunct w:val="false"/>
        <w:spacing w:lineRule="auto" w:line="240" w:before="31" w:after="62"/>
        <w:ind w:hanging="0" w:left="283" w:right="0"/>
        <w:jc w:val="left"/>
        <w:textAlignment w:val="baseline"/>
        <w:rPr>
          <w:rFonts w:ascii="Arial" w:hAnsi="Arial" w:cs="ArialMT"/>
          <w:b w:val="false"/>
          <w:bCs w:val="false"/>
          <w:color w:val="000000"/>
          <w:sz w:val="19"/>
          <w:szCs w:val="19"/>
          <w:u w:val="none"/>
          <w:shd w:fill="auto" w:val="clear"/>
        </w:rPr>
      </w:pPr>
      <w:r>
        <w:rPr>
          <w:rFonts w:cs="ArialMT" w:ascii="Arial;sans-serif" w:hAnsi="Arial;sans-serif"/>
          <w:b w:val="false"/>
          <w:bCs w:val="false"/>
          <w:i w:val="false"/>
          <w:caps w:val="false"/>
          <w:smallCaps w:val="false"/>
          <w:color w:val="000000"/>
          <w:spacing w:val="0"/>
          <w:sz w:val="20"/>
          <w:szCs w:val="19"/>
          <w:u w:val="none"/>
          <w:shd w:fill="auto" w:val="clear"/>
        </w:rPr>
        <w:t>Empresas estabelecidas no território do Estado</w:t>
      </w:r>
      <w:r>
        <w:rPr>
          <w:rFonts w:cs="ArialMT" w:ascii="Arial" w:hAnsi="Arial"/>
          <w:b w:val="false"/>
          <w:bCs w:val="false"/>
          <w:color w:val="000000"/>
          <w:sz w:val="19"/>
          <w:szCs w:val="19"/>
          <w:u w:val="none"/>
          <w:shd w:fill="auto" w:val="clear"/>
        </w:rPr>
        <w:t xml:space="preserve"> do Paraná.</w:t>
      </w:r>
    </w:p>
    <w:p>
      <w:pPr>
        <w:pStyle w:val="Normal"/>
        <w:numPr>
          <w:ilvl w:val="2"/>
          <w:numId w:val="3"/>
        </w:numPr>
        <w:tabs>
          <w:tab w:val="clear" w:pos="709"/>
          <w:tab w:val="left" w:pos="0" w:leader="none"/>
        </w:tabs>
        <w:overflowPunct w:val="false"/>
        <w:spacing w:lineRule="auto" w:line="240" w:before="31" w:after="62"/>
        <w:ind w:hanging="0" w:left="283" w:right="0"/>
        <w:jc w:val="left"/>
        <w:textAlignment w:val="baseline"/>
        <w:rPr>
          <w:rFonts w:ascii="Arial" w:hAnsi="Arial" w:cs="ArialMT"/>
          <w:b w:val="false"/>
          <w:bCs w:val="false"/>
          <w:color w:val="000000"/>
          <w:sz w:val="19"/>
          <w:szCs w:val="19"/>
          <w:u w:val="none"/>
          <w:shd w:fill="auto" w:val="clear"/>
        </w:rPr>
      </w:pPr>
      <w:r>
        <w:rPr>
          <w:rFonts w:cs="ArialMT" w:ascii="Arial" w:hAnsi="Arial"/>
          <w:b w:val="false"/>
          <w:bCs w:val="false"/>
          <w:color w:val="000000"/>
          <w:sz w:val="19"/>
          <w:szCs w:val="19"/>
          <w:u w:val="none"/>
          <w:shd w:fill="auto" w:val="clear"/>
        </w:rPr>
        <w:t>Empresas brasileiras;</w:t>
      </w:r>
    </w:p>
    <w:p>
      <w:pPr>
        <w:pStyle w:val="Normal"/>
        <w:numPr>
          <w:ilvl w:val="2"/>
          <w:numId w:val="3"/>
        </w:numPr>
        <w:tabs>
          <w:tab w:val="clear" w:pos="709"/>
          <w:tab w:val="left" w:pos="0" w:leader="none"/>
        </w:tabs>
        <w:overflowPunct w:val="false"/>
        <w:spacing w:lineRule="auto" w:line="240" w:before="31" w:after="62"/>
        <w:ind w:hanging="0" w:left="283" w:right="0"/>
        <w:jc w:val="left"/>
        <w:textAlignment w:val="baseline"/>
        <w:rPr>
          <w:rFonts w:ascii="Arial" w:hAnsi="Arial" w:cs="ArialMT"/>
          <w:b w:val="false"/>
          <w:bCs w:val="false"/>
          <w:color w:val="000000"/>
          <w:sz w:val="19"/>
          <w:szCs w:val="19"/>
          <w:u w:val="none"/>
          <w:shd w:fill="auto" w:val="clear"/>
        </w:rPr>
      </w:pPr>
      <w:r>
        <w:rPr>
          <w:rFonts w:cs="ArialMT" w:ascii="Arial" w:hAnsi="Arial"/>
          <w:b w:val="false"/>
          <w:bCs w:val="false"/>
          <w:color w:val="000000"/>
          <w:sz w:val="19"/>
          <w:szCs w:val="19"/>
          <w:u w:val="none"/>
          <w:shd w:fill="auto" w:val="clear"/>
        </w:rPr>
        <w:t>Empresas que invistam em pesquisa e no desenvolvimento de tecnologia no País;</w:t>
      </w:r>
    </w:p>
    <w:p>
      <w:pPr>
        <w:pStyle w:val="Normal"/>
        <w:numPr>
          <w:ilvl w:val="2"/>
          <w:numId w:val="3"/>
        </w:numPr>
        <w:tabs>
          <w:tab w:val="clear" w:pos="709"/>
          <w:tab w:val="left" w:pos="0" w:leader="none"/>
        </w:tabs>
        <w:overflowPunct w:val="false"/>
        <w:spacing w:lineRule="auto" w:line="240" w:before="31" w:after="62"/>
        <w:ind w:hanging="0" w:left="283" w:right="0"/>
        <w:jc w:val="left"/>
        <w:textAlignment w:val="baseline"/>
        <w:rPr>
          <w:rFonts w:ascii="Arial" w:hAnsi="Arial" w:cs="ArialMT"/>
          <w:b w:val="false"/>
          <w:bCs w:val="false"/>
          <w:color w:val="000000"/>
          <w:sz w:val="19"/>
          <w:szCs w:val="19"/>
          <w:u w:val="none"/>
          <w:shd w:fill="auto" w:val="clear"/>
        </w:rPr>
      </w:pPr>
      <w:r>
        <w:rPr>
          <w:rFonts w:cs="ArialMT" w:ascii="Arial" w:hAnsi="Arial"/>
          <w:b w:val="false"/>
          <w:bCs w:val="false"/>
          <w:color w:val="000000"/>
          <w:sz w:val="19"/>
          <w:szCs w:val="19"/>
          <w:u w:val="none"/>
          <w:shd w:fill="auto" w:val="clear"/>
        </w:rPr>
        <w:t>Empresas que comprovem a prática de mitigação, nos termos da Lei nº 12.187, de 29 de dezembro de 2009.</w:t>
      </w:r>
    </w:p>
    <w:p>
      <w:pPr>
        <w:pStyle w:val="Normal"/>
        <w:numPr>
          <w:ilvl w:val="1"/>
          <w:numId w:val="3"/>
        </w:numPr>
        <w:spacing w:lineRule="auto" w:line="240" w:before="31" w:after="62"/>
        <w:jc w:val="both"/>
        <w:rPr>
          <w:rFonts w:ascii="Arial" w:hAnsi="Arial"/>
          <w:sz w:val="19"/>
          <w:szCs w:val="19"/>
        </w:rPr>
      </w:pPr>
      <w:r>
        <w:rPr>
          <w:rFonts w:ascii="Arial" w:hAnsi="Arial"/>
          <w:sz w:val="19"/>
          <w:szCs w:val="19"/>
        </w:rPr>
        <w:t>O pregoeiro poderá encaminhar, por meio do sistema eletrônico, contraproposta ao licitante que apresentou o lance mais vantajoso, com o fim de negociar a obtenção de melhor preço.</w:t>
      </w:r>
    </w:p>
    <w:p>
      <w:pPr>
        <w:pStyle w:val="Normal"/>
        <w:numPr>
          <w:ilvl w:val="1"/>
          <w:numId w:val="3"/>
        </w:numPr>
        <w:spacing w:lineRule="auto" w:line="240" w:before="31" w:after="62"/>
        <w:jc w:val="both"/>
        <w:rPr>
          <w:rFonts w:ascii="Arial" w:hAnsi="Arial"/>
          <w:sz w:val="19"/>
          <w:szCs w:val="19"/>
        </w:rPr>
      </w:pPr>
      <w:r>
        <w:rPr>
          <w:rFonts w:ascii="Arial" w:hAnsi="Arial"/>
          <w:sz w:val="19"/>
          <w:szCs w:val="19"/>
        </w:rPr>
        <w:t>Também nas hipóteses em que o Pregoeiro não aceitar a proposta e passar à subsequente, poderá negociar com o licitante para que seja obtido preço melhor.</w:t>
      </w:r>
    </w:p>
    <w:p>
      <w:pPr>
        <w:pStyle w:val="Normal"/>
        <w:numPr>
          <w:ilvl w:val="1"/>
          <w:numId w:val="3"/>
        </w:numPr>
        <w:overflowPunct w:val="true"/>
        <w:spacing w:lineRule="auto" w:line="240" w:before="31" w:after="62"/>
        <w:ind w:firstLine="22" w:left="0" w:right="0"/>
        <w:jc w:val="both"/>
        <w:textAlignment w:val="baseline"/>
        <w:rPr>
          <w:rFonts w:ascii="Arial" w:hAnsi="Arial" w:eastAsia="Times New Roman" w:cs="Times New Roman"/>
          <w:sz w:val="19"/>
          <w:szCs w:val="19"/>
        </w:rPr>
      </w:pPr>
      <w:r>
        <w:rPr>
          <w:rFonts w:eastAsia="Times New Roman" w:cs="Arial-BoldMT" w:ascii="Arial" w:hAnsi="Arial"/>
          <w:b w:val="false"/>
          <w:bCs/>
          <w:sz w:val="19"/>
          <w:szCs w:val="19"/>
        </w:rPr>
        <w:t xml:space="preserve"> </w:t>
      </w:r>
      <w:r>
        <w:rPr>
          <w:rFonts w:eastAsia="Times New Roman" w:cs="Arial-BoldMT" w:ascii="Arial" w:hAnsi="Arial"/>
          <w:b w:val="false"/>
          <w:bCs/>
          <w:sz w:val="19"/>
          <w:szCs w:val="19"/>
        </w:rPr>
        <w:t>As negociaç</w:t>
      </w:r>
      <w:r>
        <w:rPr>
          <w:rFonts w:eastAsia="Calibri" w:cs="Arial-BoldMT" w:ascii="Arial" w:hAnsi="Arial"/>
          <w:b w:val="false"/>
          <w:bCs/>
          <w:color w:val="auto"/>
          <w:kern w:val="0"/>
          <w:sz w:val="19"/>
          <w:szCs w:val="19"/>
          <w:lang w:val="pt-BR" w:eastAsia="en-US" w:bidi="ar-SA"/>
        </w:rPr>
        <w:t>ões</w:t>
      </w:r>
      <w:r>
        <w:rPr>
          <w:rFonts w:eastAsia="Times New Roman" w:cs="Arial-BoldMT" w:ascii="Arial" w:hAnsi="Arial"/>
          <w:b w:val="false"/>
          <w:bCs/>
          <w:sz w:val="19"/>
          <w:szCs w:val="19"/>
        </w:rPr>
        <w:t xml:space="preserve"> ser</w:t>
      </w:r>
      <w:r>
        <w:rPr>
          <w:rFonts w:eastAsia="Calibri" w:cs="Arial-BoldMT" w:ascii="Arial" w:hAnsi="Arial"/>
          <w:b w:val="false"/>
          <w:bCs/>
          <w:color w:val="auto"/>
          <w:kern w:val="0"/>
          <w:sz w:val="19"/>
          <w:szCs w:val="19"/>
          <w:lang w:val="pt-BR" w:eastAsia="en-US" w:bidi="ar-SA"/>
        </w:rPr>
        <w:t>ão r</w:t>
      </w:r>
      <w:r>
        <w:rPr>
          <w:rFonts w:eastAsia="Times New Roman" w:cs="Arial-BoldMT" w:ascii="Arial" w:hAnsi="Arial"/>
          <w:b w:val="false"/>
          <w:bCs/>
          <w:sz w:val="19"/>
          <w:szCs w:val="19"/>
        </w:rPr>
        <w:t>ealizadas por meio do sistema.</w:t>
      </w:r>
    </w:p>
    <w:p>
      <w:pPr>
        <w:pStyle w:val="Normal"/>
        <w:numPr>
          <w:ilvl w:val="0"/>
          <w:numId w:val="0"/>
        </w:numPr>
        <w:overflowPunct w:val="true"/>
        <w:spacing w:lineRule="auto" w:line="240" w:before="31" w:after="62"/>
        <w:ind w:hanging="0" w:left="0" w:right="0"/>
        <w:jc w:val="both"/>
        <w:textAlignment w:val="baseline"/>
        <w:rPr>
          <w:rFonts w:ascii="Arial" w:hAnsi="Arial" w:eastAsia="Times New Roman" w:cs="Arial-BoldMT"/>
          <w:b w:val="false"/>
          <w:bCs/>
          <w:sz w:val="19"/>
          <w:szCs w:val="19"/>
        </w:rPr>
      </w:pPr>
      <w:r>
        <w:rPr>
          <w:rFonts w:eastAsia="Times New Roman" w:cs="Arial-BoldMT" w:ascii="Arial" w:hAnsi="Arial"/>
          <w:b w:val="false"/>
          <w:bCs/>
          <w:sz w:val="19"/>
          <w:szCs w:val="19"/>
        </w:rPr>
      </w:r>
    </w:p>
    <w:p>
      <w:pPr>
        <w:pStyle w:val="Heading1"/>
        <w:numPr>
          <w:ilvl w:val="0"/>
          <w:numId w:val="3"/>
        </w:numPr>
        <w:spacing w:lineRule="auto" w:line="240" w:before="31" w:after="62"/>
        <w:jc w:val="center"/>
        <w:rPr/>
      </w:pPr>
      <w:r>
        <w:rPr/>
        <w:t>DAS PROPOSTAS</w:t>
        <w:tab/>
      </w:r>
    </w:p>
    <w:p>
      <w:pPr>
        <w:pStyle w:val="BodyText"/>
        <w:numPr>
          <w:ilvl w:val="1"/>
          <w:numId w:val="3"/>
        </w:numPr>
        <w:spacing w:lineRule="auto" w:line="240" w:before="31" w:after="62"/>
        <w:jc w:val="both"/>
        <w:rPr/>
      </w:pPr>
      <w:r>
        <w:rPr/>
        <w:t xml:space="preserve">As propostas apresentadas no sistema deverão indicar a validade da proposta, que não poderá ser inferior a 60 (sessenta) dias consecutivos da data da sessão de abertura desta licitação. A anexação da proposta (na forma do modelo do </w:t>
      </w:r>
      <w:r>
        <w:rPr>
          <w:rFonts w:cs="Verdana"/>
          <w:color w:val="000000"/>
          <w:sz w:val="19"/>
          <w:szCs w:val="19"/>
          <w:shd w:fill="auto" w:val="clear"/>
        </w:rPr>
        <w:fldChar w:fldCharType="begin"/>
      </w:r>
      <w:r>
        <w:rPr>
          <w:sz w:val="19"/>
          <w:shd w:fill="auto" w:val="clear"/>
          <w:szCs w:val="19"/>
          <w:rFonts w:cs="Verdana"/>
          <w:color w:val="000000"/>
        </w:rPr>
        <w:instrText xml:space="preserve"> REF __RefHeading___Toc33410_3041975443 \h </w:instrText>
      </w:r>
      <w:r>
        <w:rPr>
          <w:sz w:val="19"/>
          <w:shd w:fill="auto" w:val="clear"/>
          <w:szCs w:val="19"/>
          <w:rFonts w:cs="Verdana"/>
          <w:color w:val="000000"/>
        </w:rPr>
        <w:fldChar w:fldCharType="separate"/>
      </w:r>
      <w:r>
        <w:rPr>
          <w:sz w:val="19"/>
          <w:shd w:fill="auto" w:val="clear"/>
          <w:szCs w:val="19"/>
          <w:rFonts w:cs="Verdana"/>
          <w:color w:val="000000"/>
        </w:rPr>
        <w:t>ANEXO III</w:t>
      </w:r>
      <w:r>
        <w:rPr>
          <w:sz w:val="19"/>
          <w:shd w:fill="auto" w:val="clear"/>
          <w:szCs w:val="19"/>
          <w:rFonts w:cs="Verdana"/>
          <w:color w:val="000000"/>
        </w:rPr>
        <w:fldChar w:fldCharType="end"/>
      </w:r>
      <w:r>
        <w:rPr/>
        <w:t xml:space="preserve">) na plataforma da Caixa é condição obrigatória entre os licitantes, sob pena de desclassificação da empresa. </w:t>
      </w:r>
    </w:p>
    <w:p>
      <w:pPr>
        <w:pStyle w:val="BodyText"/>
        <w:numPr>
          <w:ilvl w:val="1"/>
          <w:numId w:val="3"/>
        </w:numPr>
        <w:spacing w:lineRule="auto" w:line="240" w:before="31" w:after="62"/>
        <w:jc w:val="both"/>
        <w:rPr/>
      </w:pPr>
      <w:r>
        <w:rPr/>
        <w:t xml:space="preserve">Não havendo a indicação do solicitado acima, ficará entendida a aceitação das condições previstas neste </w:t>
      </w:r>
      <w:r>
        <w:rPr>
          <w:shd w:fill="auto" w:val="clear"/>
        </w:rPr>
        <w:t>Edital.</w:t>
      </w:r>
    </w:p>
    <w:p>
      <w:pPr>
        <w:pStyle w:val="BodyText"/>
        <w:numPr>
          <w:ilvl w:val="1"/>
          <w:numId w:val="3"/>
        </w:numPr>
        <w:spacing w:lineRule="auto" w:line="240" w:before="31" w:after="62"/>
        <w:jc w:val="both"/>
        <w:rPr>
          <w:highlight w:val="none"/>
          <w:shd w:fill="auto" w:val="clear"/>
        </w:rPr>
      </w:pPr>
      <w:r>
        <w:rPr>
          <w:shd w:fill="auto" w:val="clear"/>
        </w:rPr>
        <w:t xml:space="preserve">A licitante deverá oferecer proposta considerando o quantitativo total por itens a serem licitados especificados no </w:t>
      </w:r>
      <w:r>
        <w:rPr>
          <w:rFonts w:cs="Verdana"/>
          <w:color w:val="000000"/>
          <w:sz w:val="19"/>
          <w:szCs w:val="19"/>
          <w:shd w:fill="auto" w:val="clear"/>
        </w:rPr>
        <w:fldChar w:fldCharType="begin"/>
      </w:r>
      <w:r>
        <w:rPr>
          <w:sz w:val="19"/>
          <w:shd w:fill="auto" w:val="clear"/>
          <w:szCs w:val="19"/>
          <w:rFonts w:cs="Verdana"/>
          <w:color w:val="000000"/>
        </w:rPr>
        <w:instrText xml:space="preserve"> REF __RefHeading___Toc33410_3041975443 \h </w:instrText>
      </w:r>
      <w:r>
        <w:rPr>
          <w:sz w:val="19"/>
          <w:shd w:fill="auto" w:val="clear"/>
          <w:szCs w:val="19"/>
          <w:rFonts w:cs="Verdana"/>
          <w:color w:val="000000"/>
        </w:rPr>
        <w:fldChar w:fldCharType="separate"/>
      </w:r>
      <w:r>
        <w:rPr>
          <w:sz w:val="19"/>
          <w:shd w:fill="auto" w:val="clear"/>
          <w:szCs w:val="19"/>
          <w:rFonts w:cs="Verdana"/>
          <w:color w:val="000000"/>
        </w:rPr>
        <w:t>ANEXO III</w:t>
      </w:r>
      <w:r>
        <w:rPr>
          <w:sz w:val="19"/>
          <w:shd w:fill="auto" w:val="clear"/>
          <w:szCs w:val="19"/>
          <w:rFonts w:cs="Verdana"/>
          <w:color w:val="000000"/>
        </w:rPr>
        <w:fldChar w:fldCharType="end"/>
      </w:r>
      <w:r>
        <w:rPr>
          <w:rFonts w:cs="Verdana"/>
          <w:color w:val="000000"/>
          <w:sz w:val="19"/>
          <w:szCs w:val="19"/>
          <w:shd w:fill="auto" w:val="clear"/>
        </w:rPr>
        <w:t xml:space="preserve">, sendo vedada a apresentação de proposta em quantitativo inferior ao máximo previsto para cada item no ANEXO III. </w:t>
      </w:r>
    </w:p>
    <w:p>
      <w:pPr>
        <w:pStyle w:val="BodyText"/>
        <w:numPr>
          <w:ilvl w:val="1"/>
          <w:numId w:val="3"/>
        </w:numPr>
        <w:spacing w:lineRule="auto" w:line="240" w:before="31" w:after="62"/>
        <w:jc w:val="both"/>
        <w:rPr/>
      </w:pPr>
      <w:r>
        <w:rPr>
          <w:rFonts w:cs="Verdana"/>
          <w:color w:val="000000"/>
          <w:sz w:val="19"/>
          <w:szCs w:val="19"/>
          <w:shd w:fill="auto" w:val="clear"/>
        </w:rPr>
        <w:t>Considerando que os itens/lotes que compõem a Proposta de Preços (ANEXO III) não demandam entrega diferenciada, tampouco quaisquer outros aspectos que possam interferir no preço final, na formulação da proposta de preços o licitante deverá apresentar preço único para cada item.</w:t>
      </w:r>
      <w:r>
        <w:rPr>
          <w:rFonts w:cs="Verdana"/>
          <w:b w:val="false"/>
          <w:bCs w:val="false"/>
          <w:color w:val="000000"/>
          <w:sz w:val="19"/>
          <w:szCs w:val="19"/>
          <w:shd w:fill="FFFF00" w:val="clear"/>
        </w:rPr>
        <w:t xml:space="preserve"> </w:t>
      </w:r>
    </w:p>
    <w:p>
      <w:pPr>
        <w:pStyle w:val="BodyText"/>
        <w:numPr>
          <w:ilvl w:val="1"/>
          <w:numId w:val="3"/>
        </w:numPr>
        <w:spacing w:lineRule="auto" w:line="240" w:before="31" w:after="62"/>
        <w:jc w:val="both"/>
        <w:rPr/>
      </w:pPr>
      <w:r>
        <w:rPr/>
        <w:t>A proposta apresentada e os lances formulados deverão incluir todas e quaisquer despesas necessárias para o objeto desta licitação, tais como: tributos, fretes, seguros e demais despesas inerentes, devendo o prazo ofertado corresponder, rigorosamente, às especificações do objeto licitado.</w:t>
      </w:r>
    </w:p>
    <w:p>
      <w:pPr>
        <w:pStyle w:val="BodyText"/>
        <w:numPr>
          <w:ilvl w:val="1"/>
          <w:numId w:val="3"/>
        </w:numPr>
        <w:spacing w:lineRule="auto" w:line="240" w:before="31" w:after="62"/>
        <w:jc w:val="both"/>
        <w:rPr/>
      </w:pPr>
      <w:r>
        <w:rPr/>
        <w:t>Os licitantes declaram haver levado em conta, na apresentação da proposta, os custos, emolumentos, encargos, inclusive sociais, contribuições fiscais e para-fiscais, bem como, os tributos incidentes, não cabendo quaisquer reivindicações devidas a erros nessa avaliação, para efeito de solicitar revisão de preços por recolhimentos determinados pela autoridade competente.</w:t>
      </w:r>
    </w:p>
    <w:p>
      <w:pPr>
        <w:pStyle w:val="BodyText"/>
        <w:numPr>
          <w:ilvl w:val="1"/>
          <w:numId w:val="3"/>
        </w:numPr>
        <w:spacing w:lineRule="auto" w:line="240" w:before="31" w:after="62"/>
        <w:jc w:val="both"/>
        <w:rPr/>
      </w:pPr>
      <w:r>
        <w:rPr/>
        <w:t xml:space="preserve">Não será admitido no preço unitário o fracionamento de centavo que ultrapassar duas casas decimais, desprezando-se sumariamente a fração remanescente. </w:t>
      </w:r>
    </w:p>
    <w:p>
      <w:pPr>
        <w:pStyle w:val="BodyText"/>
        <w:numPr>
          <w:ilvl w:val="1"/>
          <w:numId w:val="3"/>
        </w:numPr>
        <w:spacing w:lineRule="auto" w:line="240" w:before="31" w:after="62"/>
        <w:jc w:val="both"/>
        <w:rPr/>
      </w:pPr>
      <w:r>
        <w:rPr/>
        <w:t xml:space="preserve">Será(ão) desclassificada(s) a(s) proposta(s) com preço manifestamente inexequível ou superior aos praticados no mercado, </w:t>
      </w:r>
    </w:p>
    <w:p>
      <w:pPr>
        <w:pStyle w:val="BodyText"/>
        <w:numPr>
          <w:ilvl w:val="1"/>
          <w:numId w:val="3"/>
        </w:numPr>
        <w:spacing w:lineRule="auto" w:line="240" w:before="31" w:after="62"/>
        <w:jc w:val="both"/>
        <w:rPr/>
      </w:pPr>
      <w:r>
        <w:rPr/>
        <w:t>O valor da proposta não poderá ser superior ao especificado no anexo III, sob pena de desclassificação do mesmo.</w:t>
      </w:r>
    </w:p>
    <w:p>
      <w:pPr>
        <w:pStyle w:val="BodyText"/>
        <w:numPr>
          <w:ilvl w:val="1"/>
          <w:numId w:val="3"/>
        </w:numPr>
        <w:spacing w:lineRule="auto" w:line="240" w:before="31" w:after="62"/>
        <w:jc w:val="both"/>
        <w:rPr/>
      </w:pPr>
      <w:r>
        <w:rPr/>
        <w:t>No caso da licitante apresentar a proposta de preço em formulário próprio, deverá obedecer ao descritivo do objeto, quanto às quantidades e características do mesmo, devendo constar todas as informações relativ</w:t>
      </w:r>
      <w:r>
        <w:rPr>
          <w:shd w:fill="auto" w:val="clear"/>
        </w:rPr>
        <w:t xml:space="preserve">as a empresa, expressas no </w:t>
      </w:r>
      <w:r>
        <w:rPr>
          <w:rFonts w:cs="Verdana"/>
          <w:b/>
          <w:bCs/>
          <w:color w:val="000000"/>
          <w:sz w:val="19"/>
          <w:szCs w:val="19"/>
          <w:shd w:fill="auto" w:val="clear"/>
        </w:rPr>
        <w:fldChar w:fldCharType="begin"/>
      </w:r>
      <w:r>
        <w:rPr>
          <w:sz w:val="19"/>
          <w:b/>
          <w:shd w:fill="auto" w:val="clear"/>
          <w:szCs w:val="19"/>
          <w:bCs/>
          <w:rFonts w:cs="Verdana"/>
          <w:color w:val="000000"/>
        </w:rPr>
        <w:instrText xml:space="preserve"> REF __RefHeading___Toc33410_3041975443 \h </w:instrText>
      </w:r>
      <w:r>
        <w:rPr>
          <w:sz w:val="19"/>
          <w:b/>
          <w:shd w:fill="auto" w:val="clear"/>
          <w:szCs w:val="19"/>
          <w:bCs/>
          <w:rFonts w:cs="Verdana"/>
          <w:color w:val="000000"/>
        </w:rPr>
        <w:fldChar w:fldCharType="separate"/>
      </w:r>
      <w:r>
        <w:rPr>
          <w:sz w:val="19"/>
          <w:b/>
          <w:shd w:fill="auto" w:val="clear"/>
          <w:szCs w:val="19"/>
          <w:bCs/>
          <w:rFonts w:cs="Verdana"/>
          <w:color w:val="000000"/>
        </w:rPr>
        <w:t>ANEXO III</w:t>
      </w:r>
      <w:r>
        <w:rPr>
          <w:sz w:val="19"/>
          <w:b/>
          <w:shd w:fill="auto" w:val="clear"/>
          <w:szCs w:val="19"/>
          <w:bCs/>
          <w:rFonts w:cs="Verdana"/>
          <w:color w:val="000000"/>
        </w:rPr>
        <w:fldChar w:fldCharType="end"/>
      </w:r>
      <w:r>
        <w:rPr>
          <w:shd w:fill="auto" w:val="clear"/>
        </w:rPr>
        <w:t xml:space="preserve"> e assinatura em todas as vias, sob pena de desclassificação dos </w:t>
      </w:r>
      <w:r>
        <w:rPr>
          <w:sz w:val="19"/>
          <w:szCs w:val="19"/>
          <w:shd w:fill="auto" w:val="clear"/>
        </w:rPr>
        <w:t>itens</w:t>
      </w:r>
      <w:r>
        <w:rPr/>
        <w:t xml:space="preserve"> alterados.</w:t>
      </w:r>
    </w:p>
    <w:p>
      <w:pPr>
        <w:pStyle w:val="BodyText"/>
        <w:numPr>
          <w:ilvl w:val="1"/>
          <w:numId w:val="3"/>
        </w:numPr>
        <w:spacing w:lineRule="auto" w:line="240" w:before="31" w:after="62"/>
        <w:jc w:val="both"/>
        <w:rPr/>
      </w:pPr>
      <w:r>
        <w:rPr/>
        <w:t>Em ocorrendo divergência nos preços da proposta na versão impressa e na versão digital lançada no sistema da caixa, prevalecerá a de menor preço.</w:t>
      </w:r>
    </w:p>
    <w:p>
      <w:pPr>
        <w:pStyle w:val="BodyText"/>
        <w:numPr>
          <w:ilvl w:val="1"/>
          <w:numId w:val="3"/>
        </w:numPr>
        <w:spacing w:lineRule="auto" w:line="240" w:before="31" w:after="62"/>
        <w:jc w:val="both"/>
        <w:rPr/>
      </w:pPr>
      <w:r>
        <w:rPr/>
        <w:t>Os preços propostos serão considerados completos e suficientes para a aquisição dos materiais/prestação de serviços objeto desta licitação, sendo desconsiderada qualquer reivindicação de pagamento adicional devido a erro ou má interpretação de parte da licitante.</w:t>
      </w:r>
    </w:p>
    <w:p>
      <w:pPr>
        <w:pStyle w:val="BodyText"/>
        <w:numPr>
          <w:ilvl w:val="1"/>
          <w:numId w:val="3"/>
        </w:numPr>
        <w:spacing w:lineRule="auto" w:line="240" w:before="31" w:after="62"/>
        <w:jc w:val="both"/>
        <w:rPr/>
      </w:pPr>
      <w:r>
        <w:rPr/>
        <w:t>A licitante deverá, se for o caso, mencionar em sua proposta impressa, a MARCA para o produto ofertado, e ainda, descrever a MARCA na proposta eletrônica se o sistema assim permitir.</w:t>
      </w:r>
    </w:p>
    <w:p>
      <w:pPr>
        <w:pStyle w:val="BodyText"/>
        <w:numPr>
          <w:ilvl w:val="1"/>
          <w:numId w:val="3"/>
        </w:numPr>
        <w:spacing w:lineRule="auto" w:line="240" w:before="31" w:after="62"/>
        <w:jc w:val="both"/>
        <w:rPr/>
      </w:pPr>
      <w:r>
        <w:rPr/>
        <w:t>Não serão aceitos na entrega, materiais de marca diferentes daquelas constantes na proposta vencedora. No caso de propostas que apresentarem mais de uma marca para um único item, ou, se for o caso, Fabricante, o Município reserva-se o direito de escolher a que melhor lhe convier.</w:t>
      </w:r>
    </w:p>
    <w:p>
      <w:pPr>
        <w:pStyle w:val="BodyText"/>
        <w:numPr>
          <w:ilvl w:val="1"/>
          <w:numId w:val="3"/>
        </w:numPr>
        <w:spacing w:lineRule="auto" w:line="240" w:before="31" w:after="62"/>
        <w:jc w:val="both"/>
        <w:rPr/>
      </w:pPr>
      <w:r>
        <w:rPr/>
        <w:t>Não serão levadas em consideração quaisquer vantagens não previstas neste Edital.</w:t>
      </w:r>
    </w:p>
    <w:p>
      <w:pPr>
        <w:pStyle w:val="BodyText"/>
        <w:numPr>
          <w:ilvl w:val="1"/>
          <w:numId w:val="3"/>
        </w:numPr>
        <w:spacing w:lineRule="auto" w:line="240" w:before="31" w:after="62"/>
        <w:jc w:val="both"/>
        <w:rPr/>
      </w:pPr>
      <w:r>
        <w:rPr/>
        <w:t>Nos preços propostos não haverá alteração em razão de encargos ou por qualquer outra despesa advinda do fornecimento dos materiais.</w:t>
      </w:r>
    </w:p>
    <w:p>
      <w:pPr>
        <w:pStyle w:val="BodyText"/>
        <w:numPr>
          <w:ilvl w:val="1"/>
          <w:numId w:val="3"/>
        </w:numPr>
        <w:spacing w:lineRule="auto" w:line="240" w:before="31" w:after="62"/>
        <w:jc w:val="both"/>
        <w:rPr/>
      </w:pPr>
      <w:r>
        <w:rPr/>
        <w:t>Entendem-se por encargos, referentes à proposta, o tributo (impostos, taxas), contribuições fiscais e para-fiscais, emolumentos, fornecimento de mão-de-obra especializada, os instituídos por leis sociais, administração, lucros, impressos e ferramental, transporte de material, de pessoal, estadia, hospedagem, alimentação e qualquer despesa, acessória e/ou necessária, não especificada neste edital.</w:t>
      </w:r>
    </w:p>
    <w:p>
      <w:pPr>
        <w:pStyle w:val="BodyText"/>
        <w:numPr>
          <w:ilvl w:val="1"/>
          <w:numId w:val="3"/>
        </w:numPr>
        <w:spacing w:lineRule="auto" w:line="240" w:before="31" w:after="62"/>
        <w:jc w:val="both"/>
        <w:rPr/>
      </w:pPr>
      <w:r>
        <w:rPr/>
        <w:t>Eventuais falhas, omissões ou outras irregularidades formais nos documentos da proposta, poderá ser ajustado pelo licitante no prazo indicado pelo pregoeiro, desde que não haja majoração dos valores propostos.</w:t>
      </w:r>
    </w:p>
    <w:p>
      <w:pPr>
        <w:pStyle w:val="BodyText"/>
        <w:numPr>
          <w:ilvl w:val="0"/>
          <w:numId w:val="0"/>
        </w:numPr>
        <w:spacing w:lineRule="auto" w:line="240" w:before="31" w:after="62"/>
        <w:ind w:hanging="0" w:left="113"/>
        <w:jc w:val="both"/>
        <w:rPr/>
      </w:pPr>
      <w:r>
        <w:rPr/>
      </w:r>
    </w:p>
    <w:p>
      <w:pPr>
        <w:pStyle w:val="Heading1"/>
        <w:numPr>
          <w:ilvl w:val="0"/>
          <w:numId w:val="3"/>
        </w:numPr>
        <w:spacing w:lineRule="auto" w:line="240" w:before="31" w:after="62"/>
        <w:jc w:val="center"/>
        <w:rPr/>
      </w:pPr>
      <w:r>
        <w:rPr/>
        <w:t>DA HABILITAÇÃO</w:t>
      </w:r>
    </w:p>
    <w:p>
      <w:pPr>
        <w:pStyle w:val="BodyText"/>
        <w:numPr>
          <w:ilvl w:val="1"/>
          <w:numId w:val="3"/>
        </w:numPr>
        <w:spacing w:lineRule="auto" w:line="240" w:before="31" w:after="62"/>
        <w:jc w:val="both"/>
        <w:rPr/>
      </w:pPr>
      <w:r>
        <w:rPr/>
        <w:t xml:space="preserve">Compreende condição para HABILITAÇÃO a anexação conforme item </w:t>
      </w:r>
      <w:r>
        <w:rPr>
          <w:color w:val="FF0000"/>
          <w:shd w:fill="auto" w:val="clear"/>
        </w:rPr>
        <w:t>7</w:t>
      </w:r>
      <w:r>
        <w:rPr/>
        <w:t xml:space="preserve"> deste edital na plataforma da CAIXA dos seguintes documentos:</w:t>
      </w:r>
    </w:p>
    <w:p>
      <w:pPr>
        <w:pStyle w:val="BodyText"/>
        <w:numPr>
          <w:ilvl w:val="2"/>
          <w:numId w:val="3"/>
        </w:numPr>
        <w:spacing w:lineRule="auto" w:line="240" w:before="31" w:after="62"/>
        <w:jc w:val="both"/>
        <w:rPr>
          <w:b/>
          <w:bCs/>
          <w:u w:val="single"/>
        </w:rPr>
      </w:pPr>
      <w:r>
        <w:rPr>
          <w:b/>
          <w:bCs/>
          <w:u w:val="single"/>
        </w:rPr>
        <w:t>Habilitação Jurídica:</w:t>
      </w:r>
    </w:p>
    <w:p>
      <w:pPr>
        <w:pStyle w:val="BodyText"/>
        <w:numPr>
          <w:ilvl w:val="5"/>
          <w:numId w:val="3"/>
        </w:numPr>
        <w:spacing w:lineRule="auto" w:line="240" w:before="31" w:after="62"/>
        <w:jc w:val="both"/>
        <w:rPr/>
      </w:pPr>
      <w:r>
        <w:rPr>
          <w:b/>
          <w:bCs/>
          <w:shd w:fill="auto" w:val="clear"/>
        </w:rPr>
        <w:t>Ato Constitutivo, Estatuto ou Contrato Social</w:t>
      </w:r>
      <w:r>
        <w:rPr>
          <w:shd w:fill="auto" w:val="clear"/>
        </w:rPr>
        <w:t xml:space="preserve">, devidamente acompanhados de todas as alterações que foram feitas no respectivo documento. Caso haja “Consolidação”, </w:t>
      </w:r>
      <w:r>
        <w:rPr/>
        <w:t xml:space="preserve">poderá ser apresentada somente a Consolidação e as alterações posteriores. Para microempreendedores individuais (MEI) apresentar o </w:t>
      </w:r>
      <w:r>
        <w:rPr>
          <w:b/>
          <w:bCs/>
        </w:rPr>
        <w:t>Certificado de Condição de Microempreendedor Individual</w:t>
      </w:r>
      <w:r>
        <w:rPr/>
        <w:t xml:space="preserve"> com validade de até 180 dias </w:t>
      </w:r>
      <w:r>
        <w:rPr>
          <w:shd w:fill="auto" w:val="clear"/>
        </w:rPr>
        <w:t>contados da data de emissão.</w:t>
      </w:r>
    </w:p>
    <w:p>
      <w:pPr>
        <w:pStyle w:val="BodyText"/>
        <w:numPr>
          <w:ilvl w:val="2"/>
          <w:numId w:val="3"/>
        </w:numPr>
        <w:spacing w:lineRule="auto" w:line="240" w:before="57" w:after="62"/>
        <w:jc w:val="both"/>
        <w:rPr>
          <w:b/>
          <w:bCs/>
          <w:u w:val="single"/>
        </w:rPr>
      </w:pPr>
      <w:r>
        <w:rPr>
          <w:b/>
          <w:bCs/>
          <w:u w:val="single"/>
        </w:rPr>
        <w:t>Qualificação Econômico-Financeira:</w:t>
      </w:r>
    </w:p>
    <w:p>
      <w:pPr>
        <w:pStyle w:val="BodyText"/>
        <w:numPr>
          <w:ilvl w:val="5"/>
          <w:numId w:val="3"/>
        </w:numPr>
        <w:spacing w:lineRule="auto" w:line="240" w:before="31" w:after="62"/>
        <w:jc w:val="both"/>
        <w:rPr/>
      </w:pPr>
      <w:r>
        <w:rPr>
          <w:b/>
          <w:bCs/>
        </w:rPr>
        <w:t>Certidão Negativa de Falência e Concordata ou Recuperação Judicial</w:t>
      </w:r>
      <w:r>
        <w:rPr/>
        <w:t>, expedida pelo Cartório Distribuidor, da matriz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pPr>
        <w:pStyle w:val="BodyText"/>
        <w:numPr>
          <w:ilvl w:val="2"/>
          <w:numId w:val="3"/>
        </w:numPr>
        <w:spacing w:lineRule="auto" w:line="240" w:before="31" w:after="62"/>
        <w:jc w:val="both"/>
        <w:rPr>
          <w:b/>
          <w:bCs/>
          <w:u w:val="single"/>
        </w:rPr>
      </w:pPr>
      <w:r>
        <w:rPr>
          <w:b/>
          <w:bCs/>
          <w:u w:val="single"/>
        </w:rPr>
        <w:t>Habilitação Fiscal, Social e Trabalhista:</w:t>
      </w:r>
    </w:p>
    <w:p>
      <w:pPr>
        <w:pStyle w:val="BodyText"/>
        <w:numPr>
          <w:ilvl w:val="5"/>
          <w:numId w:val="3"/>
        </w:numPr>
        <w:spacing w:lineRule="auto" w:line="240" w:before="31" w:after="62"/>
        <w:jc w:val="both"/>
        <w:rPr/>
      </w:pPr>
      <w:r>
        <w:rPr>
          <w:b/>
          <w:bCs/>
        </w:rPr>
        <w:t>Situação perante o Cadastro Nacional de Pessoas Jurídicas</w:t>
      </w:r>
      <w:r>
        <w:rPr/>
        <w:t xml:space="preserve"> do Ministério da Fazenda (Cartão CNPJ),  emitida até 180 dias antes da data de seu recebimento. </w:t>
      </w:r>
    </w:p>
    <w:p>
      <w:pPr>
        <w:pStyle w:val="BodyText"/>
        <w:numPr>
          <w:ilvl w:val="5"/>
          <w:numId w:val="3"/>
        </w:numPr>
        <w:spacing w:lineRule="auto" w:line="240" w:before="31" w:after="62"/>
        <w:jc w:val="both"/>
        <w:rPr/>
      </w:pPr>
      <w:r>
        <w:rPr>
          <w:b/>
          <w:bCs/>
        </w:rPr>
        <w:t xml:space="preserve">Prova de regularidade relativo aos Tributos Federais e à Dívida Ativa da União </w:t>
      </w:r>
      <w:r>
        <w:rPr>
          <w:b w:val="false"/>
          <w:bCs w:val="false"/>
        </w:rPr>
        <w:t>do domicílio da empresa</w:t>
      </w:r>
      <w:r>
        <w:rPr>
          <w:b/>
          <w:bCs/>
        </w:rPr>
        <w:t>.</w:t>
      </w:r>
    </w:p>
    <w:p>
      <w:pPr>
        <w:pStyle w:val="BodyText"/>
        <w:numPr>
          <w:ilvl w:val="5"/>
          <w:numId w:val="3"/>
        </w:numPr>
        <w:spacing w:lineRule="auto" w:line="240" w:before="31" w:after="62"/>
        <w:jc w:val="both"/>
        <w:rPr/>
      </w:pPr>
      <w:r>
        <w:rPr>
          <w:b/>
          <w:bCs/>
        </w:rPr>
        <w:t>Prova de regularidade relativo aos Débitos da Fazenda Estadual</w:t>
      </w:r>
      <w:r>
        <w:rPr/>
        <w:t xml:space="preserve"> do domicílio da empresa.</w:t>
      </w:r>
    </w:p>
    <w:p>
      <w:pPr>
        <w:pStyle w:val="BodyText"/>
        <w:numPr>
          <w:ilvl w:val="5"/>
          <w:numId w:val="3"/>
        </w:numPr>
        <w:spacing w:lineRule="auto" w:line="240" w:before="31" w:after="62"/>
        <w:jc w:val="both"/>
        <w:rPr/>
      </w:pPr>
      <w:r>
        <w:rPr>
          <w:b/>
          <w:bCs/>
        </w:rPr>
        <w:t>Prova de regularidade relativo aos Débitos Municipais</w:t>
      </w:r>
      <w:r>
        <w:rPr/>
        <w:t>, do domicílio da empresa e caso exista filial no Município de Cianorte a prova de regularidade desta também deverá ser apresentada.</w:t>
      </w:r>
    </w:p>
    <w:p>
      <w:pPr>
        <w:pStyle w:val="BodyText"/>
        <w:numPr>
          <w:ilvl w:val="5"/>
          <w:numId w:val="3"/>
        </w:numPr>
        <w:spacing w:lineRule="auto" w:line="240" w:before="31" w:after="62"/>
        <w:jc w:val="both"/>
        <w:rPr/>
      </w:pPr>
      <w:r>
        <w:rPr>
          <w:b/>
          <w:bCs/>
        </w:rPr>
        <w:t>Prova de regularidade junto ao Fundo de Garantia por Tempo de Serviço</w:t>
      </w:r>
      <w:r>
        <w:rPr/>
        <w:t>, FGTS, em vigor, demonstrando a situação regular ao cumprimento dos encargos sociais instituídos por lei.</w:t>
      </w:r>
    </w:p>
    <w:p>
      <w:pPr>
        <w:pStyle w:val="BodyText"/>
        <w:numPr>
          <w:ilvl w:val="5"/>
          <w:numId w:val="3"/>
        </w:numPr>
        <w:spacing w:lineRule="auto" w:line="240" w:before="31" w:after="62"/>
        <w:jc w:val="both"/>
        <w:rPr/>
      </w:pPr>
      <w:r>
        <w:rPr>
          <w:b/>
          <w:bCs/>
        </w:rPr>
        <w:t xml:space="preserve">Prova de regularidade de Débitos Trabalhistas (CNDT) </w:t>
      </w:r>
      <w:r>
        <w:rPr>
          <w:b w:val="false"/>
          <w:bCs w:val="false"/>
        </w:rPr>
        <w:t>com data de emissão não anterior a 180 (cento e oitenta) dias da data de abertura e julgamento, conforme Lei 12.440 de 07 de julho de 2011.</w:t>
      </w:r>
      <w:bookmarkStart w:id="1" w:name="__DdeLink__89062_1124057193_Copia_1"/>
      <w:bookmarkEnd w:id="1"/>
    </w:p>
    <w:p>
      <w:pPr>
        <w:pStyle w:val="BodyText"/>
        <w:numPr>
          <w:ilvl w:val="5"/>
          <w:numId w:val="3"/>
        </w:numPr>
        <w:spacing w:lineRule="auto" w:line="240" w:before="31" w:after="62"/>
        <w:jc w:val="both"/>
        <w:rPr/>
      </w:pPr>
      <w:bookmarkStart w:id="2" w:name="__DdeLink__89062_1124057193_Copia_1_Copi"/>
      <w:r>
        <w:rPr>
          <w:b/>
          <w:bCs/>
        </w:rPr>
        <w:t>Comprovante de Inscrição Cadastral – CICAD</w:t>
      </w:r>
      <w:r>
        <w:rPr/>
        <w:t xml:space="preserve">, ou </w:t>
      </w:r>
      <w:r>
        <w:rPr>
          <w:b/>
          <w:bCs/>
        </w:rPr>
        <w:t>Cadastro de Inscrição Estadual</w:t>
      </w:r>
      <w:r>
        <w:rPr/>
        <w:t>, referente à inscrição da empresa junto a Receita Estadual (Documento dispensado para MEI).</w:t>
      </w:r>
      <w:bookmarkEnd w:id="2"/>
    </w:p>
    <w:p>
      <w:pPr>
        <w:pStyle w:val="BodyText"/>
        <w:numPr>
          <w:ilvl w:val="2"/>
          <w:numId w:val="3"/>
        </w:numPr>
        <w:spacing w:lineRule="auto" w:line="240" w:before="31" w:after="62"/>
        <w:jc w:val="both"/>
        <w:rPr>
          <w:rFonts w:ascii="Arial" w:hAnsi="Arial"/>
          <w:b/>
          <w:bCs/>
          <w:sz w:val="19"/>
          <w:szCs w:val="19"/>
          <w:u w:val="single"/>
          <w:shd w:fill="auto" w:val="clear"/>
        </w:rPr>
      </w:pPr>
      <w:r>
        <w:rPr>
          <w:b/>
          <w:bCs/>
          <w:sz w:val="19"/>
          <w:szCs w:val="19"/>
          <w:u w:val="single"/>
          <w:shd w:fill="auto" w:val="clear"/>
        </w:rPr>
        <w:t>Qualificação técnico-profissional e técnico operacional:</w:t>
      </w:r>
    </w:p>
    <w:p>
      <w:pPr>
        <w:pStyle w:val="Normal"/>
        <w:widowControl w:val="false"/>
        <w:numPr>
          <w:ilvl w:val="5"/>
          <w:numId w:val="3"/>
        </w:numPr>
        <w:overflowPunct w:val="true"/>
        <w:spacing w:lineRule="auto" w:line="240" w:before="57" w:after="57"/>
        <w:ind w:hanging="0" w:left="454" w:right="0"/>
        <w:jc w:val="both"/>
        <w:textAlignment w:val="baseline"/>
        <w:rPr>
          <w:rFonts w:ascii="Arial" w:hAnsi="Arial" w:eastAsia="Times New Roman" w:cs="Arial"/>
          <w:b/>
          <w:bCs/>
          <w:i w:val="false"/>
          <w:i w:val="false"/>
          <w:iCs w:val="false"/>
          <w:color w:val="000000"/>
          <w:kern w:val="0"/>
          <w:sz w:val="19"/>
          <w:szCs w:val="19"/>
          <w:u w:val="none"/>
          <w:shd w:fill="auto" w:val="clear"/>
          <w:lang w:val="pt-BR" w:eastAsia="ja-JP" w:bidi="ar-SA"/>
        </w:rPr>
      </w:pPr>
      <w:r>
        <w:rPr>
          <w:rFonts w:eastAsia="Times New Roman" w:cs="Arial" w:ascii="Arial" w:hAnsi="Arial"/>
          <w:b/>
          <w:bCs/>
          <w:i w:val="false"/>
          <w:iCs w:val="false"/>
          <w:color w:val="000000"/>
          <w:kern w:val="0"/>
          <w:sz w:val="19"/>
          <w:szCs w:val="19"/>
          <w:u w:val="none"/>
          <w:shd w:fill="auto" w:val="clear"/>
          <w:lang w:val="pt-BR" w:eastAsia="ja-JP" w:bidi="ar-SA"/>
        </w:rPr>
        <w:t>Cópia da Licença Sanitária para funcionamento ou Dispensa de licença (se aplicável) emitida pelo Serviço de Vigilância Sanitária da Secretaria da Saúde Estadual ou Municipal da Sede do Licitante, Vigente;</w:t>
      </w:r>
    </w:p>
    <w:p>
      <w:pPr>
        <w:pStyle w:val="Normal"/>
        <w:widowControl w:val="false"/>
        <w:numPr>
          <w:ilvl w:val="5"/>
          <w:numId w:val="3"/>
        </w:numPr>
        <w:overflowPunct w:val="true"/>
        <w:spacing w:lineRule="auto" w:line="240" w:before="57" w:after="57"/>
        <w:ind w:hanging="0" w:left="454" w:right="0"/>
        <w:jc w:val="both"/>
        <w:textAlignment w:val="baseline"/>
        <w:rPr>
          <w:rFonts w:ascii="Arial" w:hAnsi="Arial" w:eastAsia="Times New Roman" w:cs="Arial"/>
          <w:b w:val="false"/>
          <w:bCs w:val="false"/>
          <w:i w:val="false"/>
          <w:i w:val="false"/>
          <w:iCs w:val="false"/>
          <w:color w:val="000000"/>
          <w:kern w:val="0"/>
          <w:sz w:val="19"/>
          <w:szCs w:val="19"/>
          <w:u w:val="none"/>
          <w:shd w:fill="auto" w:val="clear"/>
          <w:lang w:val="pt-BR" w:eastAsia="ja-JP" w:bidi="ar-SA"/>
        </w:rPr>
      </w:pPr>
      <w:r>
        <w:rPr>
          <w:rFonts w:eastAsia="Times New Roman" w:cs="Arial" w:ascii="Arial" w:hAnsi="Arial"/>
          <w:b w:val="false"/>
          <w:bCs w:val="false"/>
          <w:i w:val="false"/>
          <w:iCs w:val="false"/>
          <w:color w:val="000000"/>
          <w:kern w:val="0"/>
          <w:sz w:val="19"/>
          <w:szCs w:val="19"/>
          <w:u w:val="none"/>
          <w:shd w:fill="auto" w:val="clear"/>
          <w:lang w:val="pt-BR" w:eastAsia="ja-JP" w:bidi="ar-SA"/>
        </w:rPr>
        <w:t xml:space="preserve">Para poder ofertar os itens, os licitantes devem apresentar OBRIGATORIAMENTE o </w:t>
      </w:r>
      <w:r>
        <w:rPr>
          <w:rFonts w:eastAsia="Times New Roman" w:cs="Arial" w:ascii="Arial" w:hAnsi="Arial"/>
          <w:b/>
          <w:bCs/>
          <w:i w:val="false"/>
          <w:iCs w:val="false"/>
          <w:color w:val="000000"/>
          <w:kern w:val="0"/>
          <w:sz w:val="19"/>
          <w:szCs w:val="19"/>
          <w:u w:val="none"/>
          <w:shd w:fill="auto" w:val="clear"/>
          <w:lang w:val="pt-BR" w:eastAsia="ja-JP" w:bidi="ar-SA"/>
        </w:rPr>
        <w:t>registro do produto concedido pela ANVISA</w:t>
      </w:r>
      <w:r>
        <w:rPr>
          <w:rFonts w:eastAsia="Times New Roman" w:cs="Arial" w:ascii="Arial" w:hAnsi="Arial"/>
          <w:b w:val="false"/>
          <w:bCs w:val="false"/>
          <w:i w:val="false"/>
          <w:iCs w:val="false"/>
          <w:color w:val="000000"/>
          <w:kern w:val="0"/>
          <w:sz w:val="19"/>
          <w:szCs w:val="19"/>
          <w:u w:val="none"/>
          <w:shd w:fill="auto" w:val="clear"/>
          <w:lang w:val="pt-BR" w:eastAsia="ja-JP" w:bidi="ar-SA"/>
        </w:rPr>
        <w:t xml:space="preserve">, indicando o número do item a que se refere. Estando o registro vencido, a licitante deverá anexar também cópia da petição de sua revalidação. O fabricante que constar no registro obrigatoriamente deve ser o mesmo fabricante que consta na oferta, Caso não apresente o registro, a licitante será desclassificada. </w:t>
      </w:r>
    </w:p>
    <w:p>
      <w:pPr>
        <w:pStyle w:val="BodyText"/>
        <w:numPr>
          <w:ilvl w:val="2"/>
          <w:numId w:val="3"/>
        </w:numPr>
        <w:spacing w:lineRule="auto" w:line="240" w:before="31" w:after="62"/>
        <w:jc w:val="both"/>
        <w:rPr>
          <w:rFonts w:ascii="Arial" w:hAnsi="Arial"/>
          <w:b/>
          <w:bCs/>
          <w:sz w:val="19"/>
          <w:szCs w:val="19"/>
          <w:u w:val="single"/>
          <w:shd w:fill="auto" w:val="clear"/>
        </w:rPr>
      </w:pPr>
      <w:r>
        <w:rPr>
          <w:b/>
          <w:bCs/>
          <w:sz w:val="19"/>
          <w:szCs w:val="19"/>
          <w:u w:val="single"/>
          <w:shd w:fill="auto" w:val="clear"/>
        </w:rPr>
        <w:t>Outras declarações</w:t>
      </w:r>
    </w:p>
    <w:p>
      <w:pPr>
        <w:pStyle w:val="Normal"/>
        <w:widowControl w:val="false"/>
        <w:numPr>
          <w:ilvl w:val="5"/>
          <w:numId w:val="3"/>
        </w:numPr>
        <w:overflowPunct w:val="true"/>
        <w:spacing w:lineRule="auto" w:line="240" w:before="57" w:after="57"/>
        <w:ind w:hanging="0" w:left="454" w:right="0"/>
        <w:jc w:val="both"/>
        <w:textAlignment w:val="baseline"/>
        <w:rPr>
          <w:rFonts w:ascii="Arial" w:hAnsi="Arial"/>
          <w:b/>
          <w:bCs/>
          <w:color w:val="000000"/>
          <w:sz w:val="19"/>
          <w:szCs w:val="19"/>
          <w:u w:val="single"/>
          <w:shd w:fill="auto" w:val="clear"/>
        </w:rPr>
      </w:pPr>
      <w:r>
        <w:rPr>
          <w:rFonts w:ascii="Arial" w:hAnsi="Arial"/>
          <w:b/>
          <w:bCs/>
          <w:color w:val="000000"/>
          <w:sz w:val="19"/>
          <w:szCs w:val="19"/>
          <w:u w:val="single"/>
          <w:shd w:fill="auto" w:val="clear"/>
        </w:rPr>
        <w:t>Declaração da licitante conforme modelo ANEXO IV, de:</w:t>
      </w:r>
    </w:p>
    <w:p>
      <w:pPr>
        <w:pStyle w:val="BodyText"/>
        <w:numPr>
          <w:ilvl w:val="0"/>
          <w:numId w:val="0"/>
        </w:numPr>
        <w:spacing w:lineRule="auto" w:line="240" w:before="0" w:after="0"/>
        <w:ind w:hanging="0" w:left="851" w:right="0"/>
        <w:jc w:val="both"/>
        <w:rPr>
          <w:b w:val="false"/>
          <w:bCs w:val="false"/>
          <w:shd w:fill="auto" w:val="clear"/>
        </w:rPr>
      </w:pPr>
      <w:r>
        <w:rPr>
          <w:rFonts w:eastAsia="Times New Roman" w:cs="ArialMT"/>
          <w:b w:val="false"/>
          <w:bCs w:val="false"/>
          <w:color w:val="000000"/>
          <w:sz w:val="19"/>
          <w:szCs w:val="19"/>
          <w:shd w:fill="auto" w:val="clear"/>
          <w:lang w:val="pt-BR" w:eastAsia="zh-CN" w:bidi="ar-SA"/>
        </w:rPr>
        <w:t>a-1) I</w:t>
      </w:r>
      <w:r>
        <w:rPr>
          <w:b w:val="false"/>
          <w:bCs w:val="false"/>
          <w:shd w:fill="auto" w:val="clear"/>
        </w:rPr>
        <w:t>doneidade e inexistência de superveniente impeditivo de licitação.</w:t>
      </w:r>
    </w:p>
    <w:p>
      <w:pPr>
        <w:pStyle w:val="BodyText"/>
        <w:numPr>
          <w:ilvl w:val="0"/>
          <w:numId w:val="0"/>
        </w:numPr>
        <w:spacing w:lineRule="auto" w:line="240" w:before="0" w:after="0"/>
        <w:ind w:hanging="0" w:left="851" w:right="0"/>
        <w:jc w:val="both"/>
        <w:rPr>
          <w:b w:val="false"/>
          <w:bCs w:val="false"/>
          <w:shd w:fill="auto" w:val="clear"/>
        </w:rPr>
      </w:pPr>
      <w:r>
        <w:rPr>
          <w:b w:val="false"/>
          <w:bCs w:val="false"/>
          <w:shd w:fill="auto" w:val="clear"/>
        </w:rPr>
        <w:t>a-2) Atendimento aos requisitos de habilitação.</w:t>
      </w:r>
    </w:p>
    <w:p>
      <w:pPr>
        <w:pStyle w:val="BodyText"/>
        <w:numPr>
          <w:ilvl w:val="0"/>
          <w:numId w:val="0"/>
        </w:numPr>
        <w:spacing w:lineRule="auto" w:line="240" w:before="0" w:after="0"/>
        <w:ind w:hanging="0" w:left="851" w:right="0"/>
        <w:jc w:val="both"/>
        <w:rPr>
          <w:b w:val="false"/>
          <w:bCs w:val="false"/>
          <w:shd w:fill="auto" w:val="clear"/>
        </w:rPr>
      </w:pPr>
      <w:r>
        <w:rPr>
          <w:rFonts w:eastAsia="Times New Roman" w:cs="ArialMT"/>
          <w:b w:val="false"/>
          <w:bCs w:val="false"/>
          <w:color w:val="000000"/>
          <w:sz w:val="19"/>
          <w:szCs w:val="19"/>
          <w:shd w:fill="auto" w:val="clear"/>
          <w:lang w:val="pt-BR" w:eastAsia="zh-CN" w:bidi="ar-SA"/>
        </w:rPr>
        <w:t>a-3) Reserva de cargos.</w:t>
      </w:r>
    </w:p>
    <w:p>
      <w:pPr>
        <w:pStyle w:val="BodyText"/>
        <w:numPr>
          <w:ilvl w:val="0"/>
          <w:numId w:val="0"/>
        </w:numPr>
        <w:spacing w:lineRule="auto" w:line="240" w:before="0" w:after="0"/>
        <w:ind w:hanging="0" w:left="851" w:right="0"/>
        <w:jc w:val="both"/>
        <w:rPr>
          <w:rFonts w:ascii="Arial" w:hAnsi="Arial" w:eastAsia="Times New Roman" w:cs="ArialMT"/>
          <w:b w:val="false"/>
          <w:bCs w:val="false"/>
          <w:color w:val="000000"/>
          <w:sz w:val="19"/>
          <w:szCs w:val="19"/>
          <w:shd w:fill="auto" w:val="clear"/>
          <w:lang w:val="pt-BR" w:eastAsia="zh-CN" w:bidi="ar-SA"/>
        </w:rPr>
      </w:pPr>
      <w:r>
        <w:rPr>
          <w:rFonts w:eastAsia="Times New Roman" w:cs="ArialMT"/>
          <w:b w:val="false"/>
          <w:bCs w:val="false"/>
          <w:color w:val="000000"/>
          <w:sz w:val="19"/>
          <w:szCs w:val="19"/>
          <w:shd w:fill="auto" w:val="clear"/>
          <w:lang w:val="pt-BR" w:eastAsia="zh-CN" w:bidi="ar-SA"/>
        </w:rPr>
        <w:t>a-4) Art. 7º, inc. XXXIII da Constituição Federal.</w:t>
      </w:r>
    </w:p>
    <w:p>
      <w:pPr>
        <w:pStyle w:val="BodyText"/>
        <w:numPr>
          <w:ilvl w:val="0"/>
          <w:numId w:val="0"/>
        </w:numPr>
        <w:spacing w:lineRule="auto" w:line="240" w:before="0" w:after="0"/>
        <w:ind w:hanging="0" w:left="851" w:right="0"/>
        <w:jc w:val="both"/>
        <w:rPr>
          <w:b w:val="false"/>
          <w:bCs w:val="false"/>
          <w:shd w:fill="auto" w:val="clear"/>
        </w:rPr>
      </w:pPr>
      <w:r>
        <w:rPr>
          <w:rFonts w:eastAsia="Times New Roman" w:cs="ArialMT"/>
          <w:b w:val="false"/>
          <w:bCs w:val="false"/>
          <w:color w:val="000000"/>
          <w:shd w:fill="auto" w:val="clear"/>
          <w:lang w:eastAsia="zh-CN"/>
        </w:rPr>
        <w:t>a-5) Atendimento dos direitos trabalhistas.</w:t>
      </w:r>
    </w:p>
    <w:p>
      <w:pPr>
        <w:pStyle w:val="BodyText"/>
        <w:numPr>
          <w:ilvl w:val="0"/>
          <w:numId w:val="0"/>
        </w:numPr>
        <w:spacing w:lineRule="auto" w:line="240" w:before="0" w:after="0"/>
        <w:ind w:hanging="0" w:left="851" w:right="0"/>
        <w:jc w:val="both"/>
        <w:rPr>
          <w:rFonts w:eastAsia="Times New Roman" w:cs="ArialMT"/>
          <w:b w:val="false"/>
          <w:bCs w:val="false"/>
          <w:color w:val="auto"/>
          <w:shd w:fill="auto" w:val="clear"/>
          <w:lang w:eastAsia="zh-CN"/>
        </w:rPr>
      </w:pPr>
      <w:r>
        <w:rPr>
          <w:rFonts w:eastAsia="Times New Roman" w:cs="ArialMT"/>
          <w:b w:val="false"/>
          <w:bCs w:val="false"/>
          <w:color w:val="000000"/>
          <w:shd w:fill="auto" w:val="clear"/>
          <w:lang w:eastAsia="zh-CN"/>
        </w:rPr>
        <w:t>a-6)Enquadramento da empresa como ME/EPP/MEI.</w:t>
      </w:r>
    </w:p>
    <w:p>
      <w:pPr>
        <w:pStyle w:val="BodyText"/>
        <w:numPr>
          <w:ilvl w:val="0"/>
          <w:numId w:val="0"/>
        </w:numPr>
        <w:spacing w:lineRule="auto" w:line="240" w:before="0" w:after="0"/>
        <w:ind w:hanging="0" w:left="1077" w:right="0"/>
        <w:jc w:val="both"/>
        <w:rPr>
          <w:rFonts w:ascii="Arial" w:hAnsi="Arial" w:eastAsia="Times New Roman" w:cs="ArialMT"/>
          <w:b w:val="false"/>
          <w:bCs w:val="false"/>
          <w:i/>
          <w:i/>
          <w:iCs/>
          <w:color w:val="auto"/>
          <w:sz w:val="19"/>
          <w:szCs w:val="19"/>
          <w:u w:val="single"/>
          <w:shd w:fill="auto" w:val="clear"/>
          <w:lang w:eastAsia="zh-CN"/>
        </w:rPr>
      </w:pPr>
      <w:r>
        <w:rPr>
          <w:rFonts w:eastAsia="Times New Roman" w:cs="ArialMT"/>
          <w:b w:val="false"/>
          <w:bCs w:val="false"/>
          <w:i/>
          <w:iCs/>
          <w:color w:val="000000"/>
          <w:sz w:val="19"/>
          <w:szCs w:val="19"/>
          <w:u w:val="single"/>
          <w:shd w:fill="auto" w:val="clear"/>
          <w:lang w:eastAsia="zh-CN"/>
        </w:rPr>
      </w:r>
    </w:p>
    <w:p>
      <w:pPr>
        <w:pStyle w:val="Heading1"/>
        <w:numPr>
          <w:ilvl w:val="0"/>
          <w:numId w:val="3"/>
        </w:numPr>
        <w:spacing w:lineRule="auto" w:line="240" w:before="31" w:after="62"/>
        <w:jc w:val="center"/>
        <w:rPr>
          <w:rFonts w:ascii="Arial" w:hAnsi="Arial"/>
          <w:sz w:val="19"/>
          <w:szCs w:val="19"/>
          <w:shd w:fill="auto" w:val="clear"/>
        </w:rPr>
      </w:pPr>
      <w:r>
        <w:rPr>
          <w:sz w:val="19"/>
          <w:szCs w:val="19"/>
          <w:shd w:fill="auto" w:val="clear"/>
        </w:rPr>
        <w:t>DOS CRITÉRIOS DE JULGAMENTO</w:t>
      </w:r>
    </w:p>
    <w:p>
      <w:pPr>
        <w:pStyle w:val="Normal"/>
        <w:numPr>
          <w:ilvl w:val="1"/>
          <w:numId w:val="3"/>
        </w:numPr>
        <w:overflowPunct w:val="false"/>
        <w:spacing w:lineRule="auto" w:line="240" w:before="31" w:after="62"/>
        <w:jc w:val="both"/>
        <w:textAlignment w:val="baseline"/>
        <w:rPr>
          <w:rFonts w:ascii="Arial" w:hAnsi="Arial"/>
          <w:sz w:val="19"/>
          <w:szCs w:val="19"/>
        </w:rPr>
      </w:pPr>
      <w:r>
        <w:rPr>
          <w:rFonts w:cs="Verdana" w:ascii="Arial" w:hAnsi="Arial"/>
          <w:sz w:val="19"/>
          <w:szCs w:val="19"/>
        </w:rPr>
        <w:t xml:space="preserve">Para julgamento será adotado o critério de </w:t>
      </w:r>
      <w:r>
        <w:rPr>
          <w:rFonts w:cs="Verdana" w:ascii="Arial" w:hAnsi="Arial"/>
          <w:b/>
          <w:color w:val="FF0000"/>
          <w:sz w:val="19"/>
          <w:szCs w:val="19"/>
        </w:rPr>
        <w:t>Menor Preço por Item</w:t>
      </w:r>
      <w:r>
        <w:rPr>
          <w:rFonts w:cs="Verdana" w:ascii="Arial" w:hAnsi="Arial"/>
          <w:sz w:val="19"/>
          <w:szCs w:val="19"/>
        </w:rPr>
        <w:t>, observadas as especificações definidas nesse Edital.</w:t>
      </w:r>
    </w:p>
    <w:p>
      <w:pPr>
        <w:pStyle w:val="Normal"/>
        <w:overflowPunct w:val="false"/>
        <w:spacing w:lineRule="auto" w:line="240" w:before="31" w:after="62"/>
        <w:jc w:val="both"/>
        <w:textAlignment w:val="baseline"/>
        <w:rPr>
          <w:rFonts w:ascii="Arial" w:hAnsi="Arial"/>
          <w:sz w:val="19"/>
          <w:szCs w:val="19"/>
        </w:rPr>
      </w:pPr>
      <w:r>
        <w:rPr>
          <w:rFonts w:ascii="Arial" w:hAnsi="Arial"/>
          <w:sz w:val="19"/>
          <w:szCs w:val="19"/>
        </w:rPr>
      </w:r>
    </w:p>
    <w:p>
      <w:pPr>
        <w:pStyle w:val="Heading1"/>
        <w:numPr>
          <w:ilvl w:val="0"/>
          <w:numId w:val="3"/>
        </w:numPr>
        <w:spacing w:lineRule="auto" w:line="240" w:before="31" w:after="62"/>
        <w:jc w:val="center"/>
        <w:rPr>
          <w:rFonts w:ascii="Arial" w:hAnsi="Arial"/>
          <w:sz w:val="19"/>
          <w:szCs w:val="19"/>
          <w:shd w:fill="auto" w:val="clear"/>
        </w:rPr>
      </w:pPr>
      <w:r>
        <w:rPr>
          <w:sz w:val="19"/>
          <w:szCs w:val="19"/>
          <w:shd w:fill="auto" w:val="clear"/>
        </w:rPr>
        <w:t>DAS IMPUGNAÇÕES, PEDIDOS DE ESCLARECIMENTOS E RECURSOS</w:t>
      </w:r>
    </w:p>
    <w:p>
      <w:pPr>
        <w:pStyle w:val="Normal"/>
        <w:numPr>
          <w:ilvl w:val="1"/>
          <w:numId w:val="3"/>
        </w:numPr>
        <w:overflowPunct w:val="false"/>
        <w:spacing w:lineRule="auto" w:line="240" w:before="31" w:after="62"/>
        <w:jc w:val="both"/>
        <w:textAlignment w:val="baseline"/>
        <w:rPr>
          <w:rFonts w:ascii="Arial" w:hAnsi="Arial" w:cs="Verdana"/>
          <w:b/>
          <w:bCs/>
          <w:sz w:val="19"/>
          <w:szCs w:val="19"/>
          <w:shd w:fill="auto" w:val="clear"/>
        </w:rPr>
      </w:pPr>
      <w:r>
        <w:rPr>
          <w:rFonts w:cs="Verdana" w:ascii="Arial" w:hAnsi="Arial"/>
          <w:b/>
          <w:bCs/>
          <w:sz w:val="19"/>
          <w:szCs w:val="19"/>
          <w:shd w:fill="auto" w:val="clear"/>
        </w:rPr>
        <w:t>DAS IMPUGNAÇÕES E PEDIDOS DE ESCLARECIMENTOS</w:t>
      </w:r>
    </w:p>
    <w:p>
      <w:pPr>
        <w:pStyle w:val="Normal"/>
        <w:numPr>
          <w:ilvl w:val="2"/>
          <w:numId w:val="3"/>
        </w:numPr>
        <w:overflowPunct w:val="false"/>
        <w:spacing w:lineRule="auto" w:line="240" w:before="31" w:after="62"/>
        <w:jc w:val="both"/>
        <w:textAlignment w:val="baseline"/>
        <w:rPr/>
      </w:pPr>
      <w:r>
        <w:rPr>
          <w:rFonts w:cs="Verdana" w:ascii="Arial" w:hAnsi="Arial"/>
          <w:sz w:val="19"/>
          <w:szCs w:val="19"/>
          <w:shd w:fill="auto" w:val="clear"/>
        </w:rPr>
        <w:t xml:space="preserve">Qualquer pessoa é parte legítima para impugnar edital de licitação por irregularidade na aplicação da Lei 14.133/2021 ou para solicitar esclarecimento sobre os seus termos, devendo encaminhar o pedido até </w:t>
      </w:r>
      <w:r>
        <w:rPr>
          <w:rFonts w:cs="Verdana" w:ascii="Arial" w:hAnsi="Arial"/>
          <w:b/>
          <w:bCs/>
          <w:sz w:val="19"/>
          <w:szCs w:val="19"/>
          <w:shd w:fill="auto" w:val="clear"/>
        </w:rPr>
        <w:t>3 (três) dias úteis</w:t>
      </w:r>
      <w:r>
        <w:rPr>
          <w:rFonts w:cs="Verdana" w:ascii="Arial" w:hAnsi="Arial"/>
          <w:sz w:val="19"/>
          <w:szCs w:val="19"/>
          <w:shd w:fill="auto" w:val="clear"/>
        </w:rPr>
        <w:t xml:space="preserve"> antes da data de abertura do certame. O pedido  deverá ser protocolado no setor de protocolos do Município de Cianorte ou encaminhado através do e-mail  </w:t>
      </w:r>
      <w:hyperlink r:id="rId5">
        <w:r>
          <w:rPr>
            <w:rStyle w:val="Style6"/>
            <w:rFonts w:cs="Verdana" w:ascii="Arial" w:hAnsi="Arial"/>
            <w:color w:val="000080"/>
            <w:sz w:val="19"/>
            <w:szCs w:val="19"/>
            <w:u w:val="single"/>
            <w:shd w:fill="auto" w:val="clear"/>
            <w:lang w:val="zxx" w:eastAsia="zxx" w:bidi="zxx"/>
          </w:rPr>
          <w:t>pregaoeletronico@cianorte.pr.gov.br</w:t>
        </w:r>
      </w:hyperlink>
      <w:r>
        <w:rPr>
          <w:rFonts w:cs="Verdana" w:ascii="Arial" w:hAnsi="Arial"/>
          <w:sz w:val="19"/>
          <w:szCs w:val="19"/>
          <w:shd w:fill="auto" w:val="clear"/>
        </w:rPr>
        <w:t>.</w:t>
      </w:r>
    </w:p>
    <w:p>
      <w:pPr>
        <w:pStyle w:val="Normal"/>
        <w:numPr>
          <w:ilvl w:val="2"/>
          <w:numId w:val="3"/>
        </w:numPr>
        <w:overflowPunct w:val="false"/>
        <w:spacing w:lineRule="auto" w:line="240" w:before="31" w:after="62"/>
        <w:jc w:val="both"/>
        <w:textAlignment w:val="baseline"/>
        <w:rPr>
          <w:rFonts w:ascii="Arial" w:hAnsi="Arial" w:cs="Verdana"/>
          <w:b w:val="false"/>
          <w:i w:val="false"/>
          <w:i w:val="false"/>
          <w:caps w:val="false"/>
          <w:smallCaps w:val="false"/>
          <w:color w:val="000000"/>
          <w:spacing w:val="0"/>
          <w:sz w:val="19"/>
          <w:szCs w:val="19"/>
          <w:shd w:fill="auto" w:val="clear"/>
        </w:rPr>
      </w:pPr>
      <w:r>
        <w:rPr>
          <w:rFonts w:cs="Verdana" w:ascii="Arial" w:hAnsi="Arial"/>
          <w:b w:val="false"/>
          <w:i w:val="false"/>
          <w:caps w:val="false"/>
          <w:smallCaps w:val="false"/>
          <w:color w:val="000000"/>
          <w:spacing w:val="0"/>
          <w:sz w:val="19"/>
          <w:szCs w:val="19"/>
          <w:shd w:fill="auto" w:val="clear"/>
        </w:rPr>
        <w:t xml:space="preserve"> </w:t>
      </w:r>
      <w:r>
        <w:rPr>
          <w:rFonts w:cs="Verdana" w:ascii="Arial" w:hAnsi="Arial"/>
          <w:b w:val="false"/>
          <w:i w:val="false"/>
          <w:caps w:val="false"/>
          <w:smallCaps w:val="false"/>
          <w:color w:val="000000"/>
          <w:spacing w:val="0"/>
          <w:sz w:val="19"/>
          <w:szCs w:val="19"/>
          <w:shd w:fill="auto" w:val="clear"/>
        </w:rPr>
        <w:t>A resposta à impugnação ou ao pedido de esclarecimento será divulgada em sítio eletrônico oficial no prazo de até 3 (três) dias úteis, limitado ao último dia útil anterior à data da abertura do certame.</w:t>
      </w:r>
    </w:p>
    <w:p>
      <w:pPr>
        <w:pStyle w:val="Normal"/>
        <w:numPr>
          <w:ilvl w:val="1"/>
          <w:numId w:val="3"/>
        </w:numPr>
        <w:overflowPunct w:val="false"/>
        <w:spacing w:lineRule="auto" w:line="240" w:before="31" w:after="62"/>
        <w:jc w:val="both"/>
        <w:textAlignment w:val="baseline"/>
        <w:rPr>
          <w:rFonts w:ascii="Arial" w:hAnsi="Arial" w:cs="Verdana"/>
          <w:b/>
          <w:bCs/>
          <w:sz w:val="19"/>
          <w:szCs w:val="19"/>
          <w:shd w:fill="auto" w:val="clear"/>
        </w:rPr>
      </w:pPr>
      <w:r>
        <w:rPr>
          <w:rFonts w:cs="Verdana" w:ascii="Arial" w:hAnsi="Arial"/>
          <w:b/>
          <w:bCs/>
          <w:sz w:val="19"/>
          <w:szCs w:val="19"/>
          <w:shd w:fill="auto" w:val="clear"/>
        </w:rPr>
        <w:t>DOS RECURSOS</w:t>
      </w:r>
    </w:p>
    <w:p>
      <w:pPr>
        <w:pStyle w:val="Normal"/>
        <w:numPr>
          <w:ilvl w:val="2"/>
          <w:numId w:val="3"/>
        </w:numPr>
        <w:overflowPunct w:val="false"/>
        <w:spacing w:lineRule="auto" w:line="240" w:before="31" w:after="62"/>
        <w:jc w:val="both"/>
        <w:textAlignment w:val="baseline"/>
        <w:rPr>
          <w:shd w:fill="auto" w:val="clear"/>
        </w:rPr>
      </w:pPr>
      <w:r>
        <w:rPr>
          <w:rFonts w:cs="Verdana" w:ascii="Arial" w:hAnsi="Arial"/>
          <w:sz w:val="19"/>
          <w:szCs w:val="19"/>
          <w:shd w:fill="auto" w:val="clear"/>
        </w:rPr>
        <w:t xml:space="preserve">Findo o prazo para habilitação e após a divulgação do vencedor do pregão, na forma eletrônica, qualquer licitante poderá manifestar imediata e motivadamente a intenção de recorrer, desde que devidamente registrada a síntese de suas razões através do e-mail ou </w:t>
      </w:r>
      <w:hyperlink r:id="rId6">
        <w:r>
          <w:rPr>
            <w:rStyle w:val="Style6"/>
            <w:rFonts w:cs="Verdana" w:ascii="Arial" w:hAnsi="Arial"/>
            <w:color w:val="000080"/>
            <w:sz w:val="19"/>
            <w:szCs w:val="19"/>
            <w:u w:val="single"/>
            <w:shd w:fill="auto" w:val="clear"/>
            <w:lang w:val="zxx" w:eastAsia="zxx" w:bidi="zxx"/>
          </w:rPr>
          <w:t>pregaoeletronico@cianorte.pr.gov.br</w:t>
        </w:r>
      </w:hyperlink>
      <w:r>
        <w:rPr>
          <w:rFonts w:cs="Verdana" w:ascii="Arial" w:hAnsi="Arial"/>
          <w:sz w:val="19"/>
          <w:szCs w:val="19"/>
          <w:shd w:fill="auto" w:val="clear"/>
        </w:rPr>
        <w:t xml:space="preserve">, ou ainda no formulário eletrônico disponibilizado no endereço site da </w:t>
      </w:r>
      <w:hyperlink r:id="rId7">
        <w:r>
          <w:rPr>
            <w:rStyle w:val="Style6"/>
            <w:rFonts w:cs="Verdana" w:ascii="Arial" w:hAnsi="Arial"/>
            <w:color w:val="000080"/>
            <w:sz w:val="19"/>
            <w:szCs w:val="19"/>
            <w:u w:val="single"/>
            <w:shd w:fill="auto" w:val="clear"/>
            <w:lang w:val="zxx" w:eastAsia="zxx" w:bidi="zxx"/>
          </w:rPr>
          <w:t>www.licitacoes.caixa.gov.br</w:t>
        </w:r>
      </w:hyperlink>
      <w:r>
        <w:rPr>
          <w:rFonts w:cs="Verdana" w:ascii="Arial" w:hAnsi="Arial"/>
          <w:sz w:val="19"/>
          <w:szCs w:val="19"/>
          <w:shd w:fill="auto" w:val="clear"/>
        </w:rPr>
        <w:t>.</w:t>
      </w:r>
    </w:p>
    <w:p>
      <w:pPr>
        <w:pStyle w:val="Normal"/>
        <w:numPr>
          <w:ilvl w:val="2"/>
          <w:numId w:val="3"/>
        </w:numPr>
        <w:overflowPunct w:val="false"/>
        <w:spacing w:lineRule="auto" w:line="240" w:before="31" w:after="62"/>
        <w:jc w:val="both"/>
        <w:textAlignment w:val="baseline"/>
        <w:rPr>
          <w:rFonts w:ascii="Arial" w:hAnsi="Arial"/>
          <w:sz w:val="19"/>
          <w:szCs w:val="19"/>
        </w:rPr>
      </w:pPr>
      <w:r>
        <w:rPr>
          <w:rFonts w:cs="Verdana" w:ascii="Arial" w:hAnsi="Arial"/>
          <w:sz w:val="19"/>
          <w:szCs w:val="19"/>
          <w:shd w:fill="auto" w:val="clear"/>
        </w:rPr>
        <w:t xml:space="preserve">Caso haja licitante com intenção de interpor recurso nas condições do item anterior, ser-lhe-á concedido o </w:t>
      </w:r>
      <w:r>
        <w:rPr>
          <w:rFonts w:cs="Verdana" w:ascii="Arial" w:hAnsi="Arial"/>
          <w:color w:val="000000"/>
          <w:sz w:val="19"/>
          <w:szCs w:val="19"/>
          <w:shd w:fill="auto" w:val="clear"/>
        </w:rPr>
        <w:t>prazo de 03 (três) dias úteis para apresentar memorial de recurso,</w:t>
      </w:r>
      <w:r>
        <w:rPr>
          <w:rFonts w:cs="Verdana" w:ascii="Arial" w:hAnsi="Arial"/>
          <w:b w:val="false"/>
          <w:i w:val="false"/>
          <w:caps w:val="false"/>
          <w:smallCaps w:val="false"/>
          <w:color w:val="000000"/>
          <w:spacing w:val="0"/>
          <w:sz w:val="19"/>
          <w:szCs w:val="19"/>
          <w:shd w:fill="auto" w:val="clear"/>
        </w:rPr>
        <w:t xml:space="preserve"> contado da data de intimação ou de lavratura da ata, </w:t>
      </w:r>
      <w:r>
        <w:rPr>
          <w:rFonts w:cs="Verdana" w:ascii="Arial" w:hAnsi="Arial"/>
          <w:color w:val="000000"/>
          <w:sz w:val="19"/>
          <w:szCs w:val="19"/>
          <w:shd w:fill="auto" w:val="clear"/>
        </w:rPr>
        <w:t xml:space="preserve">facultando-se aos demais proponentes a oportunidade de apresentar contrarrazões em igual número de dias, que começarão a correr imediatamente após o término do prazo do recorrente, sendo-lhes assegurada vista imediata dos autos, sendo que os recursos e contrarrazões poderão ser encaminhados por meio eletrônico ou físico, devendo ser anexados e enviados através do e-mail </w:t>
      </w:r>
      <w:hyperlink r:id="rId8">
        <w:r>
          <w:rPr>
            <w:rStyle w:val="Style6"/>
            <w:rFonts w:ascii="Arial" w:hAnsi="Arial"/>
            <w:color w:val="000080"/>
            <w:sz w:val="19"/>
            <w:szCs w:val="19"/>
            <w:u w:val="single"/>
            <w:shd w:fill="auto" w:val="clear"/>
            <w:lang w:val="zxx" w:eastAsia="zxx" w:bidi="zxx"/>
          </w:rPr>
          <w:t>pregaoeletronico@cianorte.pr.gov.br</w:t>
        </w:r>
      </w:hyperlink>
      <w:r>
        <w:rPr>
          <w:rFonts w:cs="Verdana" w:ascii="Arial" w:hAnsi="Arial"/>
          <w:color w:val="000000"/>
          <w:sz w:val="19"/>
          <w:szCs w:val="19"/>
          <w:shd w:fill="auto" w:val="clear"/>
        </w:rPr>
        <w:t>.</w:t>
      </w:r>
    </w:p>
    <w:p>
      <w:pPr>
        <w:pStyle w:val="Normal"/>
        <w:numPr>
          <w:ilvl w:val="3"/>
          <w:numId w:val="3"/>
        </w:numPr>
        <w:overflowPunct w:val="false"/>
        <w:spacing w:lineRule="auto" w:line="240" w:before="31" w:after="62"/>
        <w:jc w:val="both"/>
        <w:textAlignment w:val="baseline"/>
        <w:rPr>
          <w:rFonts w:ascii="Arial" w:hAnsi="Arial"/>
          <w:b w:val="false"/>
          <w:i w:val="false"/>
          <w:i w:val="false"/>
          <w:strike w:val="false"/>
          <w:dstrike w:val="false"/>
          <w:outline w:val="false"/>
          <w:shadow w:val="false"/>
          <w:color w:val="auto"/>
          <w:spacing w:val="0"/>
          <w:kern w:val="2"/>
          <w:sz w:val="20"/>
          <w:szCs w:val="19"/>
          <w:u w:val="none"/>
          <w:em w:val="none"/>
        </w:rPr>
      </w:pPr>
      <w:r>
        <w:rPr>
          <w:rFonts w:ascii="Arial" w:hAnsi="Arial"/>
          <w:b w:val="false"/>
          <w:i w:val="false"/>
          <w:strike w:val="false"/>
          <w:dstrike w:val="false"/>
          <w:outline w:val="false"/>
          <w:shadow w:val="false"/>
          <w:color w:val="auto"/>
          <w:spacing w:val="0"/>
          <w:kern w:val="2"/>
          <w:sz w:val="20"/>
          <w:szCs w:val="19"/>
          <w:u w:val="none"/>
          <w:em w:val="none"/>
        </w:rPr>
        <w:t>O prazo para apresentação de contrarrazões será o mesmo do recurso e terá início na data de intimação pessoal ou de divulgação da interposição do recurso.</w:t>
      </w:r>
    </w:p>
    <w:p>
      <w:pPr>
        <w:pStyle w:val="Normal"/>
        <w:numPr>
          <w:ilvl w:val="2"/>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O acolhimento de recurso importará na invalidação apenas dos atos insuscetíveis de aproveitamento.</w:t>
      </w:r>
    </w:p>
    <w:p>
      <w:pPr>
        <w:pStyle w:val="Normal"/>
        <w:numPr>
          <w:ilvl w:val="0"/>
          <w:numId w:val="0"/>
        </w:numPr>
        <w:overflowPunct w:val="false"/>
        <w:spacing w:lineRule="auto" w:line="240" w:before="31" w:after="62"/>
        <w:ind w:hanging="0" w:left="113"/>
        <w:jc w:val="both"/>
        <w:textAlignment w:val="baseline"/>
        <w:rPr>
          <w:rFonts w:ascii="Arial" w:hAnsi="Arial" w:cs="Verdana"/>
          <w:sz w:val="19"/>
          <w:szCs w:val="19"/>
        </w:rPr>
      </w:pPr>
      <w:r>
        <w:rPr>
          <w:rFonts w:cs="Verdana" w:ascii="Arial" w:hAnsi="Arial"/>
          <w:sz w:val="19"/>
          <w:szCs w:val="19"/>
        </w:rPr>
      </w:r>
    </w:p>
    <w:p>
      <w:pPr>
        <w:pStyle w:val="Heading1"/>
        <w:numPr>
          <w:ilvl w:val="0"/>
          <w:numId w:val="3"/>
        </w:numPr>
        <w:spacing w:lineRule="auto" w:line="240" w:before="31" w:after="62"/>
        <w:jc w:val="center"/>
        <w:rPr>
          <w:rFonts w:ascii="Arial" w:hAnsi="Arial"/>
          <w:sz w:val="19"/>
          <w:szCs w:val="19"/>
          <w:shd w:fill="auto" w:val="clear"/>
        </w:rPr>
      </w:pPr>
      <w:r>
        <w:rPr>
          <w:sz w:val="19"/>
          <w:szCs w:val="19"/>
          <w:shd w:fill="auto" w:val="clear"/>
        </w:rPr>
        <w:t>DA ANÁLISE DA PROPOSTA E DA DOCUMENTAÇÃO DE HABILITAÇÃO</w:t>
      </w:r>
    </w:p>
    <w:p>
      <w:pPr>
        <w:pStyle w:val="Normal"/>
        <w:numPr>
          <w:ilvl w:val="1"/>
          <w:numId w:val="3"/>
        </w:numPr>
        <w:overflowPunct w:val="false"/>
        <w:spacing w:lineRule="auto" w:line="240" w:before="31" w:after="62"/>
        <w:jc w:val="both"/>
        <w:textAlignment w:val="baseline"/>
        <w:rPr>
          <w:rFonts w:ascii="Arial" w:hAnsi="Arial"/>
          <w:b/>
          <w:bCs/>
          <w:sz w:val="19"/>
          <w:szCs w:val="19"/>
          <w:shd w:fill="auto" w:val="clear"/>
        </w:rPr>
      </w:pPr>
      <w:r>
        <w:rPr>
          <w:rFonts w:ascii="Arial" w:hAnsi="Arial"/>
          <w:b/>
          <w:bCs/>
          <w:sz w:val="19"/>
          <w:szCs w:val="19"/>
          <w:shd w:fill="auto" w:val="clear"/>
        </w:rPr>
        <w:t>DA PROPOSTA:</w:t>
      </w:r>
    </w:p>
    <w:p>
      <w:pPr>
        <w:pStyle w:val="Normal"/>
        <w:numPr>
          <w:ilvl w:val="2"/>
          <w:numId w:val="3"/>
        </w:numPr>
        <w:overflowPunct w:val="false"/>
        <w:spacing w:lineRule="auto" w:line="240" w:before="31" w:after="62"/>
        <w:jc w:val="both"/>
        <w:textAlignment w:val="baseline"/>
        <w:rPr>
          <w:rFonts w:ascii="Arial" w:hAnsi="Arial"/>
          <w:sz w:val="19"/>
          <w:szCs w:val="19"/>
        </w:rPr>
      </w:pPr>
      <w:r>
        <w:rPr>
          <w:rFonts w:ascii="Arial" w:hAnsi="Arial"/>
          <w:sz w:val="19"/>
          <w:szCs w:val="19"/>
        </w:rPr>
        <w:t>Serão desclassificadas as propostas que:</w:t>
      </w:r>
    </w:p>
    <w:p>
      <w:pPr>
        <w:pStyle w:val="Normal"/>
        <w:numPr>
          <w:ilvl w:val="4"/>
          <w:numId w:val="3"/>
        </w:numPr>
        <w:overflowPunct w:val="false"/>
        <w:spacing w:lineRule="auto" w:line="240" w:before="31" w:after="62"/>
        <w:jc w:val="both"/>
        <w:textAlignment w:val="baseline"/>
        <w:rPr>
          <w:rFonts w:ascii="Arial" w:hAnsi="Arial"/>
          <w:sz w:val="19"/>
          <w:szCs w:val="19"/>
        </w:rPr>
      </w:pPr>
      <w:r>
        <w:rPr>
          <w:rFonts w:ascii="Arial" w:hAnsi="Arial"/>
          <w:sz w:val="19"/>
          <w:szCs w:val="19"/>
        </w:rPr>
        <w:t>Contiverem vícios insanáveis;</w:t>
      </w:r>
    </w:p>
    <w:p>
      <w:pPr>
        <w:pStyle w:val="Normal"/>
        <w:numPr>
          <w:ilvl w:val="4"/>
          <w:numId w:val="3"/>
        </w:numPr>
        <w:overflowPunct w:val="false"/>
        <w:spacing w:lineRule="auto" w:line="240" w:before="31" w:after="62"/>
        <w:jc w:val="both"/>
        <w:textAlignment w:val="baseline"/>
        <w:rPr>
          <w:rFonts w:ascii="Arial" w:hAnsi="Arial"/>
          <w:sz w:val="19"/>
          <w:szCs w:val="19"/>
        </w:rPr>
      </w:pPr>
      <w:r>
        <w:rPr>
          <w:rFonts w:ascii="Arial" w:hAnsi="Arial"/>
          <w:sz w:val="19"/>
          <w:szCs w:val="19"/>
        </w:rPr>
        <w:t>Não obedecerem às especificações técnicas pormenorizadas no edital;</w:t>
      </w:r>
    </w:p>
    <w:p>
      <w:pPr>
        <w:pStyle w:val="Normal"/>
        <w:numPr>
          <w:ilvl w:val="4"/>
          <w:numId w:val="3"/>
        </w:numPr>
        <w:overflowPunct w:val="false"/>
        <w:spacing w:lineRule="auto" w:line="240" w:before="31" w:after="62"/>
        <w:jc w:val="both"/>
        <w:textAlignment w:val="baseline"/>
        <w:rPr>
          <w:rFonts w:ascii="Arial" w:hAnsi="Arial"/>
          <w:sz w:val="19"/>
          <w:szCs w:val="19"/>
        </w:rPr>
      </w:pPr>
      <w:r>
        <w:rPr>
          <w:rFonts w:ascii="Arial" w:hAnsi="Arial"/>
          <w:sz w:val="19"/>
          <w:szCs w:val="19"/>
        </w:rPr>
        <w:t>Apresentarem preços inexequíveis ou permanecerem acima do orçamento estimado para a contratação;</w:t>
      </w:r>
    </w:p>
    <w:p>
      <w:pPr>
        <w:pStyle w:val="Normal"/>
        <w:numPr>
          <w:ilvl w:val="4"/>
          <w:numId w:val="3"/>
        </w:numPr>
        <w:overflowPunct w:val="false"/>
        <w:spacing w:lineRule="auto" w:line="240" w:before="31" w:after="62"/>
        <w:jc w:val="both"/>
        <w:textAlignment w:val="baseline"/>
        <w:rPr>
          <w:rFonts w:ascii="Arial" w:hAnsi="Arial"/>
          <w:sz w:val="19"/>
          <w:szCs w:val="19"/>
        </w:rPr>
      </w:pPr>
      <w:r>
        <w:rPr>
          <w:rFonts w:ascii="Arial" w:hAnsi="Arial"/>
          <w:sz w:val="19"/>
          <w:szCs w:val="19"/>
        </w:rPr>
        <w:t>Não tiverem sua exequibilidade demonstrada, quando exigido pela Administração;</w:t>
      </w:r>
    </w:p>
    <w:p>
      <w:pPr>
        <w:pStyle w:val="Normal"/>
        <w:numPr>
          <w:ilvl w:val="4"/>
          <w:numId w:val="3"/>
        </w:numPr>
        <w:overflowPunct w:val="false"/>
        <w:spacing w:lineRule="auto" w:line="240" w:before="31" w:after="62"/>
        <w:jc w:val="both"/>
        <w:textAlignment w:val="baseline"/>
        <w:rPr>
          <w:rFonts w:ascii="Arial" w:hAnsi="Arial"/>
          <w:sz w:val="19"/>
          <w:szCs w:val="19"/>
        </w:rPr>
      </w:pPr>
      <w:r>
        <w:rPr>
          <w:rFonts w:ascii="Arial" w:hAnsi="Arial"/>
          <w:sz w:val="19"/>
          <w:szCs w:val="19"/>
        </w:rPr>
        <w:t>Apresentarem desconformidade com quaisquer outras exigências do edital, desde que insanável.</w:t>
      </w:r>
    </w:p>
    <w:p>
      <w:pPr>
        <w:pStyle w:val="Normal"/>
        <w:numPr>
          <w:ilvl w:val="2"/>
          <w:numId w:val="3"/>
        </w:numPr>
        <w:overflowPunct w:val="false"/>
        <w:spacing w:lineRule="auto" w:line="240" w:before="62" w:after="62"/>
        <w:jc w:val="both"/>
        <w:textAlignment w:val="baseline"/>
        <w:rPr>
          <w:rFonts w:ascii="Arial" w:hAnsi="Arial"/>
          <w:sz w:val="19"/>
          <w:szCs w:val="19"/>
        </w:rPr>
      </w:pPr>
      <w:r>
        <w:rPr>
          <w:rFonts w:cs="Verdana" w:ascii="Arial" w:hAnsi="Arial"/>
          <w:b w:val="false"/>
          <w:i w:val="false"/>
          <w:caps w:val="false"/>
          <w:smallCaps w:val="false"/>
          <w:color w:val="000000"/>
          <w:spacing w:val="0"/>
          <w:sz w:val="19"/>
          <w:szCs w:val="19"/>
        </w:rPr>
        <w:t>Se a proposta ou o lance de menor valor não for aceitável, ou se o licitante desatender às exigências da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pPr>
        <w:pStyle w:val="BodyText"/>
        <w:numPr>
          <w:ilvl w:val="2"/>
          <w:numId w:val="3"/>
        </w:numPr>
        <w:spacing w:lineRule="auto" w:line="240" w:before="31" w:after="62"/>
        <w:jc w:val="both"/>
        <w:rPr/>
      </w:pPr>
      <w:r>
        <w:rPr>
          <w:b w:val="false"/>
          <w:i w:val="false"/>
          <w:caps w:val="false"/>
          <w:smallCaps w:val="false"/>
          <w:color w:val="000000"/>
          <w:spacing w:val="0"/>
          <w:sz w:val="19"/>
          <w:szCs w:val="19"/>
        </w:rPr>
        <w:t xml:space="preserve">A Administração poderá realizar diligências para aferir a exequibilidade das propostas ou exigir dos licitantes que ela seja demonstrada, conforme disposto no art. 59 </w:t>
      </w:r>
      <w:r>
        <w:rPr>
          <w:b w:val="false"/>
          <w:i w:val="false"/>
          <w:caps w:val="false"/>
          <w:smallCaps w:val="false"/>
          <w:color w:val="000000"/>
          <w:spacing w:val="0"/>
          <w:sz w:val="19"/>
          <w:szCs w:val="19"/>
          <w:shd w:fill="auto" w:val="clear"/>
        </w:rPr>
        <w:t>da Lei n.º 14.133/2021,</w:t>
      </w:r>
      <w:r>
        <w:rPr>
          <w:b w:val="false"/>
          <w:i w:val="false"/>
          <w:caps w:val="false"/>
          <w:smallCaps w:val="false"/>
          <w:color w:val="000000"/>
          <w:spacing w:val="0"/>
          <w:sz w:val="19"/>
          <w:szCs w:val="19"/>
        </w:rPr>
        <w:t xml:space="preserve"> </w:t>
      </w:r>
      <w:r>
        <w:rPr/>
        <w:t>podendo-se adotar, dentre outros, quaisquer dos seguintes procedimentos:</w:t>
      </w:r>
    </w:p>
    <w:p>
      <w:pPr>
        <w:pStyle w:val="BodyText"/>
        <w:numPr>
          <w:ilvl w:val="3"/>
          <w:numId w:val="3"/>
        </w:numPr>
        <w:spacing w:lineRule="auto" w:line="240" w:before="31" w:after="62"/>
        <w:jc w:val="both"/>
        <w:rPr/>
      </w:pPr>
      <w:r>
        <w:rPr/>
        <w:t xml:space="preserve">Questionamentos junto ao proponente para a apresentação de justificativas e comprovações em relação aos custos com indícios de inexequibilidade; </w:t>
      </w:r>
    </w:p>
    <w:p>
      <w:pPr>
        <w:pStyle w:val="BodyText"/>
        <w:numPr>
          <w:ilvl w:val="3"/>
          <w:numId w:val="3"/>
        </w:numPr>
        <w:spacing w:lineRule="auto" w:line="240" w:before="31" w:after="62"/>
        <w:jc w:val="both"/>
        <w:rPr/>
      </w:pPr>
      <w:r>
        <w:rPr/>
        <w:t>Pesquisas em órgãos públicos ou empresas privadas;</w:t>
      </w:r>
    </w:p>
    <w:p>
      <w:pPr>
        <w:pStyle w:val="BodyText"/>
        <w:numPr>
          <w:ilvl w:val="3"/>
          <w:numId w:val="3"/>
        </w:numPr>
        <w:spacing w:lineRule="auto" w:line="240" w:before="31" w:after="62"/>
        <w:jc w:val="both"/>
        <w:rPr/>
      </w:pPr>
      <w:r>
        <w:rPr/>
        <w:t>Verificação de outros contratos que o proponente mantenha com a Administração ou com a iniciativa privada;</w:t>
      </w:r>
    </w:p>
    <w:p>
      <w:pPr>
        <w:pStyle w:val="BodyText"/>
        <w:numPr>
          <w:ilvl w:val="3"/>
          <w:numId w:val="3"/>
        </w:numPr>
        <w:spacing w:lineRule="auto" w:line="240" w:before="31" w:after="62"/>
        <w:jc w:val="both"/>
        <w:rPr/>
      </w:pPr>
      <w:r>
        <w:rPr/>
        <w:t>Verificação de notas fiscais dos produtos adquiridos pelo proponente;</w:t>
      </w:r>
    </w:p>
    <w:p>
      <w:pPr>
        <w:pStyle w:val="BodyText"/>
        <w:numPr>
          <w:ilvl w:val="3"/>
          <w:numId w:val="3"/>
        </w:numPr>
        <w:spacing w:lineRule="auto" w:line="240" w:before="31" w:after="62"/>
        <w:jc w:val="both"/>
        <w:rPr/>
      </w:pPr>
      <w:r>
        <w:rPr/>
        <w:t>Consultas às Secretarias de Fazenda Federal, Distrital, Estadual ou Municipal;</w:t>
      </w:r>
    </w:p>
    <w:p>
      <w:pPr>
        <w:pStyle w:val="BodyText"/>
        <w:numPr>
          <w:ilvl w:val="3"/>
          <w:numId w:val="3"/>
        </w:numPr>
        <w:spacing w:lineRule="auto" w:line="240" w:before="31" w:after="62"/>
        <w:jc w:val="both"/>
        <w:rPr/>
      </w:pPr>
      <w:r>
        <w:rPr/>
        <w:t>Verificação de acordos coletivos, convenções coletivas ou sentenças normativas em dissídios coletivos de trabalho;</w:t>
      </w:r>
    </w:p>
    <w:p>
      <w:pPr>
        <w:pStyle w:val="BodyText"/>
        <w:numPr>
          <w:ilvl w:val="3"/>
          <w:numId w:val="3"/>
        </w:numPr>
        <w:spacing w:lineRule="auto" w:line="240" w:before="31" w:after="62"/>
        <w:jc w:val="both"/>
        <w:rPr/>
      </w:pPr>
      <w:r>
        <w:rPr/>
        <w:t xml:space="preserve">Levantamento de informações junto ao Ministério do Trabalho e Emprego, e junto ao Ministério da Previdência Social; </w:t>
      </w:r>
    </w:p>
    <w:p>
      <w:pPr>
        <w:pStyle w:val="BodyText"/>
        <w:numPr>
          <w:ilvl w:val="3"/>
          <w:numId w:val="3"/>
        </w:numPr>
        <w:spacing w:lineRule="auto" w:line="240" w:before="31" w:after="62"/>
        <w:jc w:val="both"/>
        <w:rPr/>
      </w:pPr>
      <w:r>
        <w:rPr/>
        <w:t>Consultas a entidades ou conselhos de classe, sindicatos ou similares;</w:t>
      </w:r>
    </w:p>
    <w:p>
      <w:pPr>
        <w:pStyle w:val="BodyText"/>
        <w:numPr>
          <w:ilvl w:val="3"/>
          <w:numId w:val="3"/>
        </w:numPr>
        <w:spacing w:lineRule="auto" w:line="240" w:before="31" w:after="62"/>
        <w:jc w:val="both"/>
        <w:rPr/>
      </w:pPr>
      <w:r>
        <w:rPr/>
        <w:t>Pesquisa de preço com fornecedores dos insumos utilizados, tais como: atacadistas, lojas de suprimentos, supermercados e fabricantes;</w:t>
      </w:r>
    </w:p>
    <w:p>
      <w:pPr>
        <w:pStyle w:val="BodyText"/>
        <w:numPr>
          <w:ilvl w:val="3"/>
          <w:numId w:val="3"/>
        </w:numPr>
        <w:spacing w:lineRule="auto" w:line="240" w:before="31" w:after="62"/>
        <w:jc w:val="both"/>
        <w:rPr/>
      </w:pPr>
      <w:r>
        <w:rPr/>
        <w:t>Levantamento de indicadores salariais ou trabalhistas publicados por órgãos de pesquisa;</w:t>
      </w:r>
    </w:p>
    <w:p>
      <w:pPr>
        <w:pStyle w:val="BodyText"/>
        <w:numPr>
          <w:ilvl w:val="3"/>
          <w:numId w:val="3"/>
        </w:numPr>
        <w:spacing w:lineRule="auto" w:line="240" w:before="31" w:after="62"/>
        <w:jc w:val="both"/>
        <w:rPr/>
      </w:pPr>
      <w:r>
        <w:rPr/>
        <w:t>Estudos setoriais;</w:t>
      </w:r>
    </w:p>
    <w:p>
      <w:pPr>
        <w:pStyle w:val="BodyText"/>
        <w:numPr>
          <w:ilvl w:val="3"/>
          <w:numId w:val="3"/>
        </w:numPr>
        <w:spacing w:lineRule="auto" w:line="240" w:before="31" w:after="62"/>
        <w:jc w:val="both"/>
        <w:rPr/>
      </w:pPr>
      <w:r>
        <w:rPr/>
        <w:t>Análise de soluções técnicas escolhidas e/ou condições excepcionalmente favoráveis que o proponente disponha para a prestação dos equipamentos.</w:t>
      </w:r>
    </w:p>
    <w:p>
      <w:pPr>
        <w:pStyle w:val="BodyText"/>
        <w:numPr>
          <w:ilvl w:val="3"/>
          <w:numId w:val="3"/>
        </w:numPr>
        <w:spacing w:lineRule="auto" w:line="240" w:before="31" w:after="62"/>
        <w:jc w:val="both"/>
        <w:rPr/>
      </w:pPr>
      <w:r>
        <w:rPr/>
        <w:t>Demais verificações que porventura se fizerem necessárias.</w:t>
      </w:r>
    </w:p>
    <w:p>
      <w:pPr>
        <w:pStyle w:val="Normal"/>
        <w:numPr>
          <w:ilvl w:val="1"/>
          <w:numId w:val="3"/>
        </w:numPr>
        <w:overflowPunct w:val="false"/>
        <w:spacing w:lineRule="auto" w:line="240" w:before="31" w:after="62"/>
        <w:jc w:val="both"/>
        <w:textAlignment w:val="baseline"/>
        <w:rPr>
          <w:rFonts w:ascii="Arial" w:hAnsi="Arial"/>
          <w:b/>
          <w:bCs/>
          <w:sz w:val="19"/>
          <w:szCs w:val="19"/>
        </w:rPr>
      </w:pPr>
      <w:r>
        <w:rPr>
          <w:rFonts w:ascii="Arial" w:hAnsi="Arial"/>
          <w:b/>
          <w:bCs/>
          <w:sz w:val="19"/>
          <w:szCs w:val="19"/>
        </w:rPr>
        <w:t>DA HABILITAÇÃO:</w:t>
      </w:r>
    </w:p>
    <w:p>
      <w:pPr>
        <w:pStyle w:val="Normal"/>
        <w:numPr>
          <w:ilvl w:val="2"/>
          <w:numId w:val="3"/>
        </w:numPr>
        <w:overflowPunct w:val="false"/>
        <w:spacing w:lineRule="auto" w:line="240" w:before="31" w:after="62"/>
        <w:jc w:val="both"/>
        <w:textAlignment w:val="baseline"/>
        <w:rPr>
          <w:rFonts w:ascii="Arial" w:hAnsi="Arial"/>
          <w:color w:val="000000"/>
          <w:sz w:val="19"/>
          <w:szCs w:val="19"/>
          <w:shd w:fill="auto" w:val="clear"/>
        </w:rPr>
      </w:pPr>
      <w:r>
        <w:rPr>
          <w:rFonts w:ascii="Arial" w:hAnsi="Arial"/>
          <w:color w:val="000000"/>
          <w:sz w:val="19"/>
          <w:szCs w:val="19"/>
          <w:shd w:fill="auto" w:val="clear"/>
        </w:rPr>
        <w:t xml:space="preserve">Na fase de habilitação das licitações serão observadas o atendimento aos requisitos de habilitação previstos no item </w:t>
      </w:r>
      <w:r>
        <w:rPr>
          <w:rFonts w:ascii="Arial" w:hAnsi="Arial"/>
          <w:color w:val="FF0000"/>
          <w:sz w:val="19"/>
          <w:szCs w:val="19"/>
          <w:shd w:fill="auto" w:val="clear"/>
        </w:rPr>
        <w:t>9</w:t>
      </w:r>
      <w:r>
        <w:rPr>
          <w:rFonts w:ascii="Arial" w:hAnsi="Arial"/>
          <w:color w:val="000000"/>
          <w:sz w:val="19"/>
          <w:szCs w:val="19"/>
          <w:shd w:fill="auto" w:val="clear"/>
        </w:rPr>
        <w:t xml:space="preserve"> deste edital, sendo que a ausência de qualquer documento implicará a inabilitação do licitante.</w:t>
      </w:r>
    </w:p>
    <w:p>
      <w:pPr>
        <w:pStyle w:val="BodyText"/>
        <w:numPr>
          <w:ilvl w:val="2"/>
          <w:numId w:val="3"/>
        </w:numPr>
        <w:spacing w:lineRule="auto" w:line="240" w:before="31" w:after="62"/>
        <w:jc w:val="both"/>
        <w:rPr>
          <w:rFonts w:ascii="Arial" w:hAnsi="Arial"/>
          <w:sz w:val="19"/>
          <w:szCs w:val="19"/>
        </w:rPr>
      </w:pPr>
      <w:r>
        <w:rPr>
          <w:sz w:val="19"/>
          <w:szCs w:val="19"/>
        </w:rPr>
        <w:t>As empresas convocadas que não apresentarem a documentação estarão sujeitas às penalidades previstas neste Edital.</w:t>
      </w:r>
    </w:p>
    <w:p>
      <w:pPr>
        <w:pStyle w:val="BodyText"/>
        <w:numPr>
          <w:ilvl w:val="2"/>
          <w:numId w:val="3"/>
        </w:numPr>
        <w:spacing w:lineRule="auto" w:line="240" w:before="31" w:after="62"/>
        <w:jc w:val="both"/>
        <w:rPr>
          <w:rFonts w:ascii="Arial" w:hAnsi="Arial"/>
          <w:sz w:val="19"/>
          <w:szCs w:val="19"/>
        </w:rPr>
      </w:pPr>
      <w:r>
        <w:rPr>
          <w:sz w:val="19"/>
          <w:szCs w:val="19"/>
        </w:rPr>
        <w:t xml:space="preserve">As </w:t>
      </w:r>
      <w:r>
        <w:rPr>
          <w:b/>
          <w:bCs/>
          <w:sz w:val="19"/>
          <w:szCs w:val="19"/>
        </w:rPr>
        <w:t>microempresas, empresas de pequeno porte ou microempreendedor individual</w:t>
      </w:r>
      <w:r>
        <w:rPr>
          <w:sz w:val="19"/>
          <w:szCs w:val="19"/>
        </w:rPr>
        <w:t xml:space="preserve"> poderão sanear defeitos constatados na </w:t>
      </w:r>
      <w:r>
        <w:rPr>
          <w:b/>
          <w:bCs/>
          <w:sz w:val="19"/>
          <w:szCs w:val="19"/>
        </w:rPr>
        <w:t>habilitação fiscal, social ou trabalhista</w:t>
      </w:r>
      <w:r>
        <w:rPr>
          <w:sz w:val="19"/>
          <w:szCs w:val="19"/>
        </w:rPr>
        <w:t xml:space="preserve"> apenas se apresentarem na sessão todos os documentos previstos neste capítulo, mesmo que contenham algum vício. A ausência de qualquer documento implicará a inabilitação do licitante.</w:t>
      </w:r>
    </w:p>
    <w:p>
      <w:pPr>
        <w:pStyle w:val="BodyText"/>
        <w:numPr>
          <w:ilvl w:val="3"/>
          <w:numId w:val="3"/>
        </w:numPr>
        <w:spacing w:lineRule="auto" w:line="240" w:before="31" w:after="62"/>
        <w:jc w:val="both"/>
        <w:rPr>
          <w:rFonts w:ascii="Arial" w:hAnsi="Arial"/>
          <w:sz w:val="19"/>
          <w:szCs w:val="19"/>
        </w:rPr>
      </w:pPr>
      <w:r>
        <w:rPr>
          <w:sz w:val="19"/>
          <w:szCs w:val="19"/>
        </w:rPr>
        <w:t xml:space="preserve">Constatado algum vício na documentação fiscal, social ou trabalhista apresentada por </w:t>
      </w:r>
      <w:r>
        <w:rPr>
          <w:b/>
          <w:bCs/>
          <w:sz w:val="19"/>
          <w:szCs w:val="19"/>
        </w:rPr>
        <w:t>microempresa, empresa de pequeno porte ou microempreendedor individual</w:t>
      </w:r>
      <w:r>
        <w:rPr>
          <w:sz w:val="19"/>
          <w:szCs w:val="19"/>
        </w:rPr>
        <w:t>, será concedido para a licitante sanear os defeitos na documentação no prazo de 05 (cinco) dias úteis, ficando imediatamente agendada a continuação da sessão neste mesmo prazo. O prazo poderá ser prorrogado por igual período.</w:t>
      </w:r>
    </w:p>
    <w:p>
      <w:pPr>
        <w:pStyle w:val="BodyText"/>
        <w:numPr>
          <w:ilvl w:val="3"/>
          <w:numId w:val="3"/>
        </w:numPr>
        <w:spacing w:lineRule="auto" w:line="240" w:before="31" w:after="62"/>
        <w:jc w:val="both"/>
        <w:rPr>
          <w:rFonts w:ascii="Arial" w:hAnsi="Arial"/>
          <w:sz w:val="19"/>
          <w:szCs w:val="19"/>
        </w:rPr>
      </w:pPr>
      <w:r>
        <w:rPr>
          <w:sz w:val="19"/>
          <w:szCs w:val="19"/>
        </w:rPr>
        <w:t>Permanecendo vicio na documentação, a Comissão declarará a empresa inabilitada e procederá a reclassificação das demais empresas obedecendo à ordem de classificação.</w:t>
      </w:r>
    </w:p>
    <w:p>
      <w:pPr>
        <w:pStyle w:val="BodyText"/>
        <w:numPr>
          <w:ilvl w:val="2"/>
          <w:numId w:val="3"/>
        </w:numPr>
        <w:spacing w:lineRule="auto" w:line="240" w:before="31" w:after="62"/>
        <w:jc w:val="both"/>
        <w:rPr>
          <w:rFonts w:ascii="Arial" w:hAnsi="Arial"/>
          <w:sz w:val="19"/>
          <w:szCs w:val="19"/>
        </w:rPr>
      </w:pPr>
      <w:r>
        <w:rPr>
          <w:sz w:val="19"/>
          <w:szCs w:val="19"/>
        </w:rPr>
        <w:t xml:space="preserve">A verificação será certificada pelo Pregoeiro e </w:t>
      </w:r>
      <w:r>
        <w:rPr>
          <w:b w:val="false"/>
          <w:i w:val="false"/>
          <w:caps w:val="false"/>
          <w:smallCaps w:val="false"/>
          <w:color w:val="000000"/>
          <w:spacing w:val="0"/>
          <w:sz w:val="19"/>
          <w:szCs w:val="19"/>
        </w:rPr>
        <w:t>serão observadas as seguintes disposições:</w:t>
      </w:r>
    </w:p>
    <w:p>
      <w:pPr>
        <w:pStyle w:val="Normal"/>
        <w:numPr>
          <w:ilvl w:val="4"/>
          <w:numId w:val="3"/>
        </w:numPr>
        <w:overflowPunct w:val="false"/>
        <w:spacing w:lineRule="auto" w:line="240" w:before="31" w:after="62"/>
        <w:jc w:val="both"/>
        <w:textAlignment w:val="baseline"/>
        <w:rPr>
          <w:rFonts w:ascii="Arial" w:hAnsi="Arial"/>
          <w:color w:val="000000"/>
          <w:sz w:val="19"/>
          <w:szCs w:val="19"/>
          <w:shd w:fill="auto" w:val="clear"/>
        </w:rPr>
      </w:pPr>
      <w:r>
        <w:rPr>
          <w:rFonts w:ascii="Arial" w:hAnsi="Arial"/>
          <w:color w:val="000000"/>
          <w:sz w:val="19"/>
          <w:szCs w:val="19"/>
          <w:shd w:fill="auto" w:val="clear"/>
        </w:rPr>
        <w:t>Apresentação da declaração de que atendem aos requisitos de habilitação, e o declarante responderá pela veracidade das informações prestadas, na forma da lei;</w:t>
      </w:r>
    </w:p>
    <w:p>
      <w:pPr>
        <w:pStyle w:val="Normal"/>
        <w:numPr>
          <w:ilvl w:val="4"/>
          <w:numId w:val="3"/>
        </w:numPr>
        <w:overflowPunct w:val="false"/>
        <w:spacing w:lineRule="auto" w:line="240" w:before="31" w:after="62"/>
        <w:jc w:val="both"/>
        <w:textAlignment w:val="baseline"/>
        <w:rPr>
          <w:rFonts w:ascii="Arial" w:hAnsi="Arial"/>
          <w:color w:val="000000"/>
          <w:sz w:val="19"/>
          <w:szCs w:val="19"/>
          <w:shd w:fill="auto" w:val="clear"/>
        </w:rPr>
      </w:pPr>
      <w:r>
        <w:rPr>
          <w:rFonts w:ascii="Arial" w:hAnsi="Arial"/>
          <w:color w:val="000000"/>
          <w:sz w:val="19"/>
          <w:szCs w:val="19"/>
          <w:shd w:fill="auto" w:val="clear"/>
        </w:rPr>
        <w:t>Apresentação dos documentos de habilitação apenas pelo licitante vencedor, exceto quando a fase de habilitação anteceder a de julgamento;</w:t>
      </w:r>
    </w:p>
    <w:p>
      <w:pPr>
        <w:pStyle w:val="Normal"/>
        <w:numPr>
          <w:ilvl w:val="4"/>
          <w:numId w:val="3"/>
        </w:numPr>
        <w:overflowPunct w:val="false"/>
        <w:spacing w:lineRule="auto" w:line="240" w:before="31" w:after="62"/>
        <w:jc w:val="both"/>
        <w:textAlignment w:val="baseline"/>
        <w:rPr>
          <w:rFonts w:ascii="Arial" w:hAnsi="Arial"/>
          <w:color w:val="000000"/>
          <w:sz w:val="19"/>
          <w:szCs w:val="19"/>
          <w:shd w:fill="auto" w:val="clear"/>
        </w:rPr>
      </w:pPr>
      <w:r>
        <w:rPr>
          <w:rFonts w:ascii="Arial" w:hAnsi="Arial"/>
          <w:color w:val="000000"/>
          <w:sz w:val="19"/>
          <w:szCs w:val="19"/>
          <w:shd w:fill="auto" w:val="clear"/>
        </w:rPr>
        <w:t>Serão exigidos os documentos relativos à regularidade fiscal, em qualquer caso, somente em momento posterior ao julgamento das propostas, e apenas do licitante mais bem classificado;</w:t>
      </w:r>
    </w:p>
    <w:p>
      <w:pPr>
        <w:pStyle w:val="Normal"/>
        <w:numPr>
          <w:ilvl w:val="4"/>
          <w:numId w:val="3"/>
        </w:numPr>
        <w:overflowPunct w:val="false"/>
        <w:spacing w:lineRule="auto" w:line="240" w:before="31" w:after="62"/>
        <w:jc w:val="both"/>
        <w:textAlignment w:val="baseline"/>
        <w:rPr>
          <w:rFonts w:ascii="Arial" w:hAnsi="Arial"/>
          <w:color w:val="000000"/>
          <w:sz w:val="19"/>
          <w:szCs w:val="19"/>
          <w:shd w:fill="auto" w:val="clear"/>
        </w:rPr>
      </w:pPr>
      <w:r>
        <w:rPr>
          <w:rFonts w:ascii="Arial" w:hAnsi="Arial"/>
          <w:color w:val="000000"/>
          <w:sz w:val="19"/>
          <w:szCs w:val="19"/>
          <w:shd w:fill="auto" w:val="clear"/>
        </w:rPr>
        <w:t>Será exigida do licitante declaração de que cumpre as exigências de reserva de cargos para pessoa com deficiência e para reabilitado da Previdência Social, previstas em lei e em outras normas específicas.</w:t>
      </w:r>
    </w:p>
    <w:p>
      <w:pPr>
        <w:pStyle w:val="BodyText"/>
        <w:numPr>
          <w:ilvl w:val="1"/>
          <w:numId w:val="3"/>
        </w:numPr>
        <w:spacing w:lineRule="auto" w:line="240" w:before="31" w:after="62"/>
        <w:jc w:val="both"/>
        <w:rPr>
          <w:rFonts w:ascii="Arial" w:hAnsi="Arial"/>
          <w:sz w:val="19"/>
          <w:szCs w:val="19"/>
        </w:rPr>
      </w:pPr>
      <w:r>
        <w:rPr>
          <w:sz w:val="19"/>
          <w:szCs w:val="19"/>
        </w:rPr>
        <w:t>Caso recaia suspeitas ou haja provocação por terceiros sobre eventual impedimento de licitar pelos licitantes vencedores, a qualquer tempo o Pregoeiro; os Membros da Comissão; ou a Procuradoria Jurídica; poderão sanear as dúvidas mediante a consulta aos seguintes Cadastros:</w:t>
      </w:r>
    </w:p>
    <w:p>
      <w:pPr>
        <w:pStyle w:val="BodyText"/>
        <w:numPr>
          <w:ilvl w:val="4"/>
          <w:numId w:val="3"/>
        </w:numPr>
        <w:spacing w:lineRule="auto" w:line="240" w:before="31" w:after="62"/>
        <w:jc w:val="both"/>
        <w:rPr>
          <w:rFonts w:ascii="Arial" w:hAnsi="Arial"/>
          <w:sz w:val="19"/>
          <w:szCs w:val="19"/>
        </w:rPr>
      </w:pPr>
      <w:r>
        <w:rPr>
          <w:sz w:val="19"/>
          <w:szCs w:val="19"/>
        </w:rPr>
        <w:t xml:space="preserve">Cadastro de Impedidos de Licitar do TCE/PR; </w:t>
      </w:r>
    </w:p>
    <w:p>
      <w:pPr>
        <w:pStyle w:val="BodyText"/>
        <w:numPr>
          <w:ilvl w:val="4"/>
          <w:numId w:val="3"/>
        </w:numPr>
        <w:spacing w:lineRule="auto" w:line="240" w:before="31" w:after="62"/>
        <w:jc w:val="both"/>
        <w:rPr>
          <w:rFonts w:ascii="Arial" w:hAnsi="Arial"/>
          <w:sz w:val="19"/>
          <w:szCs w:val="19"/>
        </w:rPr>
      </w:pPr>
      <w:r>
        <w:rPr>
          <w:sz w:val="19"/>
          <w:szCs w:val="19"/>
        </w:rPr>
        <w:t>Cadastro Nacional de Empresas Inidôneas e Suspensas – CEIS, mantido pela Controladoria Geral da União;</w:t>
      </w:r>
    </w:p>
    <w:p>
      <w:pPr>
        <w:pStyle w:val="BodyText"/>
        <w:numPr>
          <w:ilvl w:val="4"/>
          <w:numId w:val="3"/>
        </w:numPr>
        <w:spacing w:lineRule="auto" w:line="240" w:before="31" w:after="62"/>
        <w:jc w:val="both"/>
        <w:rPr>
          <w:rFonts w:ascii="Arial" w:hAnsi="Arial"/>
          <w:sz w:val="19"/>
          <w:szCs w:val="19"/>
        </w:rPr>
      </w:pPr>
      <w:r>
        <w:rPr>
          <w:sz w:val="19"/>
          <w:szCs w:val="19"/>
        </w:rPr>
        <w:t>Cadastro Nacional de Condenações Cíveis por Atos de Improbidade Administrativa, mantido pelo Conselho Nacional de Justiça, – entre outras consultas a órgãos pertinentes. 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pPr>
        <w:pStyle w:val="BodyText"/>
        <w:numPr>
          <w:ilvl w:val="1"/>
          <w:numId w:val="3"/>
        </w:numPr>
        <w:spacing w:lineRule="auto" w:line="240" w:before="31" w:after="62"/>
        <w:jc w:val="both"/>
        <w:rPr>
          <w:rFonts w:ascii="Arial" w:hAnsi="Arial"/>
          <w:sz w:val="19"/>
          <w:szCs w:val="19"/>
        </w:rPr>
      </w:pPr>
      <w:r>
        <w:rPr>
          <w:sz w:val="19"/>
          <w:szCs w:val="19"/>
        </w:rPr>
        <w:t>O documento apresentado que não expressar o prazo de validade deverá ter data de expedição não superior a 180 (cento e oitenta) dias sob pena de inabilitação da proponente, ressalvada às condições para ME/EPP/MEI previstas na Lei Complementar nº 123/2006 ou outra lei específica que determine o prazo de validade.</w:t>
      </w:r>
    </w:p>
    <w:p>
      <w:pPr>
        <w:pStyle w:val="BodyText"/>
        <w:numPr>
          <w:ilvl w:val="1"/>
          <w:numId w:val="3"/>
        </w:numPr>
        <w:spacing w:lineRule="auto" w:line="240" w:before="31" w:after="62"/>
        <w:jc w:val="both"/>
        <w:rPr>
          <w:rFonts w:ascii="Arial" w:hAnsi="Arial"/>
          <w:sz w:val="19"/>
          <w:szCs w:val="19"/>
        </w:rPr>
      </w:pPr>
      <w:r>
        <w:rPr>
          <w:sz w:val="19"/>
          <w:szCs w:val="19"/>
        </w:rPr>
        <w:t>O pregoeiro a seu critério no caso de eventuais divergências ou suspeitas nas documentações para fins de habilitação juntadas no site da CAIXA, poderá requisitar os respectivos originais ou cópias autenticadas para suprir a dúvida de autenticidade. Ainda, no caso da declaração de enquadramento como ME/EPP, a mesma poderá ser confrontada com as disposições da legislação vigente, em especial, a Lei 123/2006, sendo que a comissão poderá realizar diligência em prazo a ser estabelecido para apurar a veracidade dos termos declarados.</w:t>
      </w:r>
    </w:p>
    <w:p>
      <w:pPr>
        <w:pStyle w:val="BodyText"/>
        <w:numPr>
          <w:ilvl w:val="1"/>
          <w:numId w:val="3"/>
        </w:numPr>
        <w:spacing w:lineRule="auto" w:line="240" w:before="31" w:after="62"/>
        <w:jc w:val="both"/>
        <w:rPr>
          <w:rFonts w:ascii="Arial" w:hAnsi="Arial"/>
          <w:sz w:val="19"/>
          <w:szCs w:val="19"/>
        </w:rPr>
      </w:pPr>
      <w:r>
        <w:rPr>
          <w:sz w:val="19"/>
          <w:szCs w:val="19"/>
        </w:rPr>
        <w:t>Quando a empresa for representada por diretor, sócio ou gerente, a capacidade de representação será verificada em face do próprio contrato ou estatuto social.</w:t>
      </w:r>
    </w:p>
    <w:p>
      <w:pPr>
        <w:pStyle w:val="BodyText"/>
        <w:numPr>
          <w:ilvl w:val="1"/>
          <w:numId w:val="3"/>
        </w:numPr>
        <w:spacing w:lineRule="auto" w:line="240" w:before="31" w:after="62"/>
        <w:jc w:val="both"/>
        <w:rPr>
          <w:rFonts w:ascii="Arial" w:hAnsi="Arial"/>
          <w:sz w:val="19"/>
          <w:szCs w:val="19"/>
        </w:rPr>
      </w:pPr>
      <w:r>
        <w:rPr>
          <w:sz w:val="19"/>
          <w:szCs w:val="19"/>
        </w:rPr>
        <w:t>As empresas convocadas que não apresentarem a documentação estarão sujeitas às penalidades previstas neste Edital.</w:t>
      </w:r>
    </w:p>
    <w:p>
      <w:pPr>
        <w:pStyle w:val="BodyText"/>
        <w:numPr>
          <w:ilvl w:val="1"/>
          <w:numId w:val="3"/>
        </w:numPr>
        <w:spacing w:lineRule="auto" w:line="240" w:before="31" w:after="62"/>
        <w:jc w:val="both"/>
        <w:rPr>
          <w:rFonts w:ascii="Arial" w:hAnsi="Arial"/>
          <w:sz w:val="19"/>
          <w:szCs w:val="19"/>
        </w:rPr>
      </w:pPr>
      <w:r>
        <w:rPr>
          <w:sz w:val="19"/>
          <w:szCs w:val="19"/>
        </w:rPr>
        <w:t>Eventuais falhas, omissões ou outras irregularidades formais nos documentos de habilitação, poderão ser saneadas na sessão pública de processamento do Pregão, até a decisão sobre a habilitação, inclusive mediante verificação efetuada por meio eletrônico hábil de informações.</w:t>
      </w:r>
    </w:p>
    <w:p>
      <w:pPr>
        <w:pStyle w:val="BodyText"/>
        <w:numPr>
          <w:ilvl w:val="1"/>
          <w:numId w:val="3"/>
        </w:numPr>
        <w:spacing w:lineRule="auto" w:line="240" w:before="31" w:after="62"/>
        <w:jc w:val="both"/>
        <w:rPr>
          <w:rFonts w:ascii="Arial" w:hAnsi="Arial"/>
          <w:sz w:val="19"/>
          <w:szCs w:val="19"/>
        </w:rPr>
      </w:pPr>
      <w:r>
        <w:rPr>
          <w:sz w:val="19"/>
          <w:szCs w:val="19"/>
        </w:rPr>
        <w:t>A verificação será certificada pelo Pregoeiro e deverão ser anexados aos autos os documentos passíveis de obtenção por meio eletrônico, salvo impossibilidade devidamente justificada.</w:t>
      </w:r>
    </w:p>
    <w:p>
      <w:pPr>
        <w:pStyle w:val="BodyText"/>
        <w:numPr>
          <w:ilvl w:val="1"/>
          <w:numId w:val="3"/>
        </w:numPr>
        <w:spacing w:lineRule="auto" w:line="240" w:before="31" w:after="62"/>
        <w:jc w:val="both"/>
        <w:rPr>
          <w:rFonts w:ascii="Arial" w:hAnsi="Arial" w:eastAsia="Times New Roman" w:cs="Verdana"/>
          <w:b w:val="false"/>
          <w:i w:val="false"/>
          <w:i w:val="false"/>
          <w:caps w:val="false"/>
          <w:smallCaps w:val="false"/>
          <w:strike w:val="false"/>
          <w:dstrike w:val="false"/>
          <w:color w:val="auto"/>
          <w:spacing w:val="0"/>
          <w:sz w:val="19"/>
          <w:szCs w:val="19"/>
          <w:lang w:val="pt-BR" w:eastAsia="zh-CN" w:bidi="ar-SA"/>
        </w:rPr>
      </w:pPr>
      <w:r>
        <w:rPr>
          <w:rFonts w:eastAsia="Times New Roman" w:cs="Verdana"/>
          <w:b w:val="false"/>
          <w:i w:val="false"/>
          <w:caps w:val="false"/>
          <w:smallCaps w:val="false"/>
          <w:strike w:val="false"/>
          <w:dstrike w:val="false"/>
          <w:color w:val="auto"/>
          <w:spacing w:val="0"/>
          <w:sz w:val="19"/>
          <w:szCs w:val="19"/>
          <w:lang w:val="pt-BR" w:eastAsia="zh-CN" w:bidi="ar-SA"/>
        </w:rPr>
        <w:t>Após o fim da fase se lances/negociação, o Pregoeiro realizará o agendamento para que as licitantes anexem obrigatoriamente a proposta ajustada dos itens classificados em seu favor no site da Caixa.</w:t>
      </w:r>
    </w:p>
    <w:p>
      <w:pPr>
        <w:pStyle w:val="Normal"/>
        <w:numPr>
          <w:ilvl w:val="0"/>
          <w:numId w:val="0"/>
        </w:numPr>
        <w:spacing w:lineRule="auto" w:line="240" w:before="31" w:after="62"/>
        <w:ind w:hanging="0" w:left="0"/>
        <w:jc w:val="both"/>
        <w:rPr>
          <w:rFonts w:ascii="Arial" w:hAnsi="Arial" w:eastAsia="Times New Roman" w:cs="Arial-BoldMT"/>
          <w:b w:val="false"/>
          <w:bCs/>
          <w:sz w:val="19"/>
          <w:szCs w:val="19"/>
        </w:rPr>
      </w:pPr>
      <w:r>
        <w:rPr>
          <w:rFonts w:eastAsia="Times New Roman" w:cs="Arial-BoldMT" w:ascii="Arial" w:hAnsi="Arial"/>
          <w:b w:val="false"/>
          <w:bCs/>
          <w:sz w:val="19"/>
          <w:szCs w:val="19"/>
        </w:rPr>
      </w:r>
    </w:p>
    <w:p>
      <w:pPr>
        <w:pStyle w:val="Heading1"/>
        <w:numPr>
          <w:ilvl w:val="0"/>
          <w:numId w:val="3"/>
        </w:numPr>
        <w:overflowPunct w:val="false"/>
        <w:spacing w:lineRule="auto" w:line="240" w:before="31" w:after="62"/>
        <w:jc w:val="center"/>
        <w:textAlignment w:val="baseline"/>
        <w:rPr>
          <w:rFonts w:ascii="Arial" w:hAnsi="Arial" w:eastAsia="MS Mincho;ＭＳ 明朝" w:cs="ArialMT"/>
          <w:b/>
          <w:color w:val="000000"/>
          <w:sz w:val="19"/>
          <w:szCs w:val="19"/>
          <w:lang w:val="pt-BR" w:bidi="ar-SA"/>
        </w:rPr>
      </w:pPr>
      <w:r>
        <w:rPr>
          <w:rFonts w:eastAsia="MS Mincho;ＭＳ 明朝" w:cs="ArialMT"/>
          <w:b/>
          <w:color w:val="000000"/>
          <w:sz w:val="19"/>
          <w:szCs w:val="19"/>
          <w:lang w:val="pt-BR" w:bidi="ar-SA"/>
        </w:rPr>
        <w:t>DA ADJUDICAÇÃO E HOMOLOGAÇÃO</w:t>
      </w:r>
    </w:p>
    <w:p>
      <w:pPr>
        <w:pStyle w:val="Normal"/>
        <w:numPr>
          <w:ilvl w:val="1"/>
          <w:numId w:val="3"/>
        </w:numPr>
        <w:overflowPunct w:val="false"/>
        <w:spacing w:lineRule="auto" w:line="240" w:before="62" w:after="62"/>
        <w:jc w:val="both"/>
        <w:textAlignment w:val="baseline"/>
        <w:rPr>
          <w:rFonts w:ascii="Arial" w:hAnsi="Arial"/>
          <w:sz w:val="19"/>
          <w:szCs w:val="19"/>
        </w:rPr>
      </w:pPr>
      <w:r>
        <w:rPr>
          <w:rFonts w:cs="Verdana" w:ascii="Arial" w:hAnsi="Arial"/>
          <w:sz w:val="19"/>
          <w:szCs w:val="19"/>
        </w:rPr>
        <w:t>Constatando o atendimento das exigências fixadas neste Edital e e</w:t>
      </w:r>
      <w:r>
        <w:rPr>
          <w:rFonts w:eastAsia="MS Mincho;ＭＳ 明朝" w:cs="ArialMT" w:ascii="Arial" w:hAnsi="Arial"/>
          <w:b w:val="false"/>
          <w:bCs w:val="false"/>
          <w:color w:val="000000"/>
          <w:sz w:val="19"/>
          <w:szCs w:val="19"/>
          <w:lang w:val="pt-BR" w:bidi="ar-SA"/>
        </w:rPr>
        <w:t>ncerradas as fases de julgamento e habilitação</w:t>
      </w:r>
      <w:r>
        <w:rPr>
          <w:rFonts w:cs="Verdana" w:ascii="Arial" w:hAnsi="Arial"/>
          <w:sz w:val="19"/>
          <w:szCs w:val="19"/>
        </w:rPr>
        <w:t xml:space="preserve"> o objeto será adjudicado ao autor da proposta ou lance de menor preço. </w:t>
      </w:r>
      <w:r>
        <w:rPr>
          <w:rFonts w:eastAsia="MS Mincho;ＭＳ 明朝" w:cs="ArialMT" w:ascii="Arial" w:hAnsi="Arial"/>
          <w:b w:val="false"/>
          <w:bCs w:val="false"/>
          <w:color w:val="000000"/>
          <w:sz w:val="19"/>
          <w:szCs w:val="19"/>
          <w:lang w:val="pt-BR" w:bidi="ar-SA"/>
        </w:rPr>
        <w:t>Exauridos os recursos administrativos, o processo licitatório será encaminhado à autoridade superior, que após constatação da regularidade dos atos praticados efetuará a adjudicação e homologação da licitação.</w:t>
      </w:r>
    </w:p>
    <w:p>
      <w:pPr>
        <w:pStyle w:val="BodyText"/>
        <w:numPr>
          <w:ilvl w:val="0"/>
          <w:numId w:val="0"/>
        </w:numPr>
        <w:overflowPunct w:val="false"/>
        <w:spacing w:lineRule="auto" w:line="240" w:before="31" w:after="62"/>
        <w:ind w:hanging="0" w:left="0"/>
        <w:jc w:val="both"/>
        <w:textAlignment w:val="baseline"/>
        <w:rPr>
          <w:rFonts w:ascii="Arial" w:hAnsi="Arial" w:eastAsia="MS Mincho;ＭＳ 明朝" w:cs="ArialMT"/>
          <w:b/>
          <w:color w:val="000000"/>
          <w:sz w:val="19"/>
          <w:szCs w:val="19"/>
          <w:lang w:val="pt-BR" w:bidi="ar-SA"/>
        </w:rPr>
      </w:pPr>
      <w:r>
        <w:rPr>
          <w:rFonts w:eastAsia="MS Mincho;ＭＳ 明朝" w:cs="ArialMT"/>
          <w:b/>
          <w:color w:val="000000"/>
          <w:sz w:val="19"/>
          <w:szCs w:val="19"/>
          <w:lang w:val="pt-BR" w:bidi="ar-SA"/>
        </w:rPr>
      </w:r>
    </w:p>
    <w:p>
      <w:pPr>
        <w:pStyle w:val="Heading1"/>
        <w:numPr>
          <w:ilvl w:val="0"/>
          <w:numId w:val="3"/>
        </w:numPr>
        <w:spacing w:lineRule="auto" w:line="240" w:before="31" w:after="62"/>
        <w:jc w:val="center"/>
        <w:rPr/>
      </w:pPr>
      <w:r>
        <w:rPr>
          <w:sz w:val="19"/>
          <w:szCs w:val="19"/>
          <w:shd w:fill="auto" w:val="clear"/>
        </w:rPr>
        <w:t xml:space="preserve">DA FORMALIZAÇÃO DA </w:t>
      </w:r>
      <w:r>
        <w:rPr>
          <w:rFonts w:eastAsia="Microsoft YaHei" w:cs="Mangal"/>
          <w:b/>
          <w:bCs/>
          <w:sz w:val="19"/>
          <w:szCs w:val="19"/>
          <w:shd w:fill="auto" w:val="clear"/>
        </w:rPr>
        <w:t>ATA DE REGISTRO DE PREÇOS</w:t>
      </w:r>
    </w:p>
    <w:p>
      <w:pPr>
        <w:pStyle w:val="BodyText"/>
        <w:numPr>
          <w:ilvl w:val="1"/>
          <w:numId w:val="3"/>
        </w:numPr>
        <w:spacing w:lineRule="auto" w:line="240" w:before="31" w:after="62"/>
        <w:jc w:val="both"/>
        <w:rPr>
          <w:rFonts w:ascii="Arial" w:hAnsi="Arial"/>
          <w:color w:val="000000"/>
          <w:sz w:val="19"/>
          <w:szCs w:val="19"/>
        </w:rPr>
      </w:pPr>
      <w:r>
        <w:rPr>
          <w:color w:val="000000"/>
          <w:sz w:val="19"/>
          <w:szCs w:val="19"/>
        </w:rPr>
        <w:t>Homologada a licitação, será formalizada a Ata de Registro de Preços, documento vinculativo obrigacional, com características de compromisso para a futura contratação, com o fornecedor primeiro classificado e, se for o caso, com os demais classificados que aceitar prestar o serviço pelo preço do primeiro, obedecida à ordem de classificação e os quantitativos propostos.</w:t>
      </w:r>
    </w:p>
    <w:p>
      <w:pPr>
        <w:pStyle w:val="BodyText"/>
        <w:numPr>
          <w:ilvl w:val="1"/>
          <w:numId w:val="3"/>
        </w:numPr>
        <w:spacing w:lineRule="auto" w:line="240" w:before="31" w:after="62"/>
        <w:jc w:val="both"/>
        <w:rPr>
          <w:rFonts w:ascii="Arial" w:hAnsi="Arial"/>
          <w:color w:val="000000"/>
          <w:sz w:val="19"/>
          <w:szCs w:val="19"/>
        </w:rPr>
      </w:pPr>
      <w:r>
        <w:rPr>
          <w:color w:val="000000"/>
          <w:sz w:val="19"/>
          <w:szCs w:val="19"/>
        </w:rPr>
        <w:t>A Proponente vencedora será convocada a assinar a Ata de Registro de Preço em até 05 (cinco) dias após a homologação e adjudicação do objeto da licitação feita pelo Prefeito. O não comparecimento, sem justo motivo, implicará em aplicação de multa de 5% (cinco por cento) sobre o valor do objeto licitado, bem como, poderá ser suspensa do direito de participar de licitações do Município de Cianorte por até 05 anos.</w:t>
      </w:r>
    </w:p>
    <w:p>
      <w:pPr>
        <w:pStyle w:val="BodyText"/>
        <w:numPr>
          <w:ilvl w:val="1"/>
          <w:numId w:val="3"/>
        </w:numPr>
        <w:spacing w:lineRule="auto" w:line="240" w:before="31" w:after="62"/>
        <w:jc w:val="both"/>
        <w:rPr>
          <w:rFonts w:ascii="Arial" w:hAnsi="Arial"/>
          <w:color w:val="000000"/>
          <w:sz w:val="19"/>
          <w:szCs w:val="19"/>
        </w:rPr>
      </w:pPr>
      <w:r>
        <w:rPr>
          <w:color w:val="000000"/>
          <w:sz w:val="19"/>
          <w:szCs w:val="19"/>
        </w:rPr>
        <w:t xml:space="preserve"> </w:t>
      </w:r>
      <w:r>
        <w:rPr>
          <w:color w:val="000000"/>
          <w:sz w:val="19"/>
          <w:szCs w:val="19"/>
        </w:rPr>
        <w:t>A execução do objeto da presente licitação dar-se-á no período de vigência da respectiva ata.</w:t>
      </w:r>
    </w:p>
    <w:p>
      <w:pPr>
        <w:pStyle w:val="BodyText"/>
        <w:numPr>
          <w:ilvl w:val="1"/>
          <w:numId w:val="3"/>
        </w:numPr>
        <w:spacing w:lineRule="auto" w:line="240" w:before="31" w:after="62"/>
        <w:jc w:val="both"/>
        <w:rPr>
          <w:rFonts w:ascii="Arial" w:hAnsi="Arial"/>
          <w:color w:val="000000"/>
          <w:sz w:val="19"/>
          <w:szCs w:val="19"/>
        </w:rPr>
      </w:pPr>
      <w:r>
        <w:rPr>
          <w:color w:val="000000"/>
          <w:sz w:val="19"/>
          <w:szCs w:val="19"/>
        </w:rPr>
        <w:t>A ciência da empresa para a assinatura da ata poderá se valer por qualquer meio, tais como telefone, e-mail, correspondência, jornal, entre outros.</w:t>
      </w:r>
    </w:p>
    <w:p>
      <w:pPr>
        <w:pStyle w:val="BodyText"/>
        <w:numPr>
          <w:ilvl w:val="1"/>
          <w:numId w:val="3"/>
        </w:numPr>
        <w:spacing w:lineRule="auto" w:line="240" w:before="31" w:after="62"/>
        <w:jc w:val="both"/>
        <w:rPr>
          <w:rFonts w:ascii="Arial" w:hAnsi="Arial"/>
          <w:b/>
          <w:bCs/>
          <w:color w:val="000000"/>
          <w:sz w:val="19"/>
          <w:szCs w:val="19"/>
          <w:shd w:fill="auto" w:val="clear"/>
        </w:rPr>
      </w:pPr>
      <w:r>
        <w:rPr>
          <w:b/>
          <w:bCs/>
          <w:color w:val="000000"/>
          <w:sz w:val="19"/>
          <w:szCs w:val="19"/>
          <w:shd w:fill="auto" w:val="clear"/>
        </w:rPr>
        <w:t>Da formação do Cadastro de Reserva:</w:t>
      </w:r>
    </w:p>
    <w:p>
      <w:pPr>
        <w:pStyle w:val="BodyText"/>
        <w:numPr>
          <w:ilvl w:val="2"/>
          <w:numId w:val="3"/>
        </w:numPr>
        <w:spacing w:lineRule="auto" w:line="240" w:before="31" w:after="62"/>
        <w:jc w:val="both"/>
        <w:rPr>
          <w:color w:val="000000"/>
          <w:shd w:fill="auto" w:val="clear"/>
        </w:rPr>
      </w:pPr>
      <w:r>
        <w:rPr>
          <w:b w:val="false"/>
          <w:bCs w:val="false"/>
          <w:color w:val="000000"/>
          <w:sz w:val="19"/>
          <w:szCs w:val="19"/>
          <w:shd w:fill="auto" w:val="clear"/>
        </w:rPr>
        <w:t>Após a homologação da licitação, será incluído na ata, na forma de anexo, o registro: i) dos licitantes que aceitarem cotar o objeto com preço igual ao do adjudicatário, observada a classificação na licitação e; ii) dos licitantes que mantiverem sua proposta original.</w:t>
      </w:r>
    </w:p>
    <w:p>
      <w:pPr>
        <w:pStyle w:val="BodyText"/>
        <w:numPr>
          <w:ilvl w:val="2"/>
          <w:numId w:val="3"/>
        </w:numPr>
        <w:spacing w:lineRule="auto" w:line="240" w:before="31" w:after="62"/>
        <w:jc w:val="both"/>
        <w:rPr>
          <w:rFonts w:ascii="Arial" w:hAnsi="Arial"/>
          <w:b w:val="false"/>
          <w:bCs w:val="false"/>
          <w:color w:val="000000"/>
          <w:sz w:val="19"/>
          <w:szCs w:val="19"/>
          <w:shd w:fill="auto" w:val="clear"/>
        </w:rPr>
      </w:pPr>
      <w:r>
        <w:rPr>
          <w:b w:val="false"/>
          <w:bCs w:val="false"/>
          <w:color w:val="000000"/>
          <w:sz w:val="19"/>
          <w:szCs w:val="19"/>
          <w:shd w:fill="auto" w:val="clear"/>
        </w:rPr>
        <w:t>Será respeitada, nas contratações, a ordem de classificação dos licitantes ou fornecedores registrados na Ata.</w:t>
      </w:r>
    </w:p>
    <w:p>
      <w:pPr>
        <w:pStyle w:val="BodyText"/>
        <w:numPr>
          <w:ilvl w:val="2"/>
          <w:numId w:val="3"/>
        </w:numPr>
        <w:spacing w:lineRule="auto" w:line="240" w:before="31" w:after="62"/>
        <w:jc w:val="both"/>
        <w:rPr>
          <w:rFonts w:ascii="Arial" w:hAnsi="Arial"/>
          <w:b w:val="false"/>
          <w:bCs w:val="false"/>
          <w:color w:val="000000"/>
          <w:sz w:val="19"/>
          <w:szCs w:val="19"/>
          <w:shd w:fill="auto" w:val="clear"/>
        </w:rPr>
      </w:pPr>
      <w:r>
        <w:rPr>
          <w:b w:val="false"/>
          <w:bCs w:val="false"/>
          <w:color w:val="000000"/>
          <w:sz w:val="19"/>
          <w:szCs w:val="19"/>
          <w:shd w:fill="auto" w:val="clear"/>
        </w:rPr>
        <w:t>A apresentação de novas propostas na forma deste item não prejudicará o resultado do certame em relação ao licitante mais bem classificado.</w:t>
      </w:r>
    </w:p>
    <w:p>
      <w:pPr>
        <w:pStyle w:val="BodyText"/>
        <w:numPr>
          <w:ilvl w:val="2"/>
          <w:numId w:val="3"/>
        </w:numPr>
        <w:spacing w:lineRule="auto" w:line="240" w:before="31" w:after="62"/>
        <w:jc w:val="both"/>
        <w:rPr>
          <w:rFonts w:ascii="Arial" w:hAnsi="Arial"/>
          <w:b w:val="false"/>
          <w:bCs w:val="false"/>
          <w:color w:val="000000"/>
          <w:sz w:val="19"/>
          <w:szCs w:val="19"/>
          <w:shd w:fill="auto" w:val="clear"/>
        </w:rPr>
      </w:pPr>
      <w:r>
        <w:rPr>
          <w:b w:val="false"/>
          <w:bCs w:val="false"/>
          <w:color w:val="000000"/>
          <w:sz w:val="19"/>
          <w:szCs w:val="19"/>
          <w:shd w:fill="auto" w:val="clear"/>
        </w:rPr>
        <w:t>Para fins da ordem de classificação, os licitantes ou fornecedores que aceitarem cotar o objeto com preço igual ao do adjudicatário antecederão aqueles que mantiverem sua proposta original.</w:t>
      </w:r>
    </w:p>
    <w:p>
      <w:pPr>
        <w:pStyle w:val="BodyText"/>
        <w:numPr>
          <w:ilvl w:val="2"/>
          <w:numId w:val="3"/>
        </w:numPr>
        <w:spacing w:lineRule="auto" w:line="240" w:before="31" w:after="62"/>
        <w:jc w:val="both"/>
        <w:rPr>
          <w:color w:val="000000"/>
          <w:shd w:fill="auto" w:val="clear"/>
        </w:rPr>
      </w:pPr>
      <w:r>
        <w:rPr>
          <w:b w:val="false"/>
          <w:bCs w:val="false"/>
          <w:color w:val="000000"/>
          <w:sz w:val="19"/>
          <w:szCs w:val="19"/>
          <w:shd w:fill="auto" w:val="clear"/>
        </w:rPr>
        <w:t xml:space="preserve">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ii) quando houver o cancelamento do registro do fornecedor ou do registro de preços, nas hipóteses previstas nos artigos 160 e 161 do Decreto Municipal nº 31/2023. </w:t>
      </w:r>
    </w:p>
    <w:p>
      <w:pPr>
        <w:pStyle w:val="BodyText"/>
        <w:numPr>
          <w:ilvl w:val="2"/>
          <w:numId w:val="3"/>
        </w:numPr>
        <w:spacing w:lineRule="auto" w:line="240" w:before="31" w:after="62"/>
        <w:jc w:val="both"/>
        <w:rPr>
          <w:rFonts w:ascii="Arial" w:hAnsi="Arial"/>
          <w:b w:val="false"/>
          <w:bCs w:val="false"/>
          <w:color w:val="000000"/>
          <w:sz w:val="19"/>
          <w:szCs w:val="19"/>
          <w:shd w:fill="auto" w:val="clear"/>
        </w:rPr>
      </w:pPr>
      <w:r>
        <w:rPr>
          <w:b w:val="false"/>
          <w:bCs w:val="false"/>
          <w:color w:val="000000"/>
          <w:sz w:val="19"/>
          <w:szCs w:val="19"/>
          <w:shd w:fill="auto" w:val="clear"/>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BodyText"/>
        <w:numPr>
          <w:ilvl w:val="5"/>
          <w:numId w:val="3"/>
        </w:numPr>
        <w:spacing w:lineRule="auto" w:line="240" w:before="31" w:after="62"/>
        <w:jc w:val="both"/>
        <w:rPr>
          <w:rFonts w:ascii="Arial" w:hAnsi="Arial"/>
          <w:b w:val="false"/>
          <w:bCs w:val="false"/>
          <w:color w:val="000000"/>
          <w:sz w:val="19"/>
          <w:szCs w:val="19"/>
          <w:shd w:fill="auto" w:val="clear"/>
        </w:rPr>
      </w:pPr>
      <w:r>
        <w:rPr>
          <w:b w:val="false"/>
          <w:bCs w:val="false"/>
          <w:color w:val="000000"/>
          <w:sz w:val="19"/>
          <w:szCs w:val="19"/>
          <w:shd w:fill="auto" w:val="clear"/>
        </w:rPr>
        <w:t>convocar os licitantes que mantiveram sua proposta original para negociação, na ordem de classificação, com vistas à obtenção de preço melhor, mesmo que acima do preço do adjudicatário; ou</w:t>
      </w:r>
    </w:p>
    <w:p>
      <w:pPr>
        <w:pStyle w:val="BodyText"/>
        <w:numPr>
          <w:ilvl w:val="5"/>
          <w:numId w:val="3"/>
        </w:numPr>
        <w:spacing w:lineRule="auto" w:line="240" w:before="31" w:after="62"/>
        <w:jc w:val="both"/>
        <w:rPr>
          <w:rFonts w:ascii="Arial" w:hAnsi="Arial"/>
          <w:b w:val="false"/>
          <w:bCs w:val="false"/>
          <w:color w:val="000000"/>
          <w:sz w:val="19"/>
          <w:szCs w:val="19"/>
          <w:shd w:fill="auto" w:val="clear"/>
        </w:rPr>
      </w:pPr>
      <w:r>
        <w:rPr>
          <w:b w:val="false"/>
          <w:bCs w:val="false"/>
          <w:color w:val="000000"/>
          <w:sz w:val="19"/>
          <w:szCs w:val="19"/>
          <w:shd w:fill="auto" w:val="clear"/>
        </w:rPr>
        <w:t>adjudicar e firmar o contrato nas condições ofertadas pelos licitantes remanescentes, observada a ordem de classificação, quando frustrada a negociação de melhor condição.</w:t>
      </w:r>
    </w:p>
    <w:p>
      <w:pPr>
        <w:pStyle w:val="Normal"/>
        <w:numPr>
          <w:ilvl w:val="1"/>
          <w:numId w:val="3"/>
        </w:numPr>
        <w:overflowPunct w:val="true"/>
        <w:spacing w:before="31" w:after="62"/>
        <w:jc w:val="both"/>
        <w:textAlignment w:val="baseline"/>
        <w:rPr>
          <w:highlight w:val="none"/>
          <w:shd w:fill="auto" w:val="clear"/>
        </w:rPr>
      </w:pPr>
      <w:r>
        <w:rPr>
          <w:rFonts w:cs="Verdana" w:ascii="Arial" w:hAnsi="Arial"/>
          <w:color w:val="000000"/>
          <w:sz w:val="19"/>
          <w:szCs w:val="19"/>
          <w:shd w:fill="auto" w:val="clear"/>
        </w:rPr>
        <w:t>A Administração Pública Municipal poderá promover a atualização dos preços registrados, nos termos  do que dispõe o artigo 156 e 157 do Decreto Municipal n.º 31/2023.</w:t>
      </w:r>
    </w:p>
    <w:p>
      <w:pPr>
        <w:pStyle w:val="Normal"/>
        <w:numPr>
          <w:ilvl w:val="2"/>
          <w:numId w:val="3"/>
        </w:numPr>
        <w:overflowPunct w:val="true"/>
        <w:spacing w:before="31" w:after="62"/>
        <w:jc w:val="both"/>
        <w:textAlignment w:val="baseline"/>
        <w:rPr>
          <w:highlight w:val="none"/>
          <w:shd w:fill="auto" w:val="clear"/>
        </w:rPr>
      </w:pPr>
      <w:r>
        <w:rPr>
          <w:rFonts w:cs="Verdana" w:ascii="Arial" w:hAnsi="Arial"/>
          <w:color w:val="000000"/>
          <w:sz w:val="19"/>
          <w:szCs w:val="19"/>
          <w:shd w:fill="auto" w:val="clear"/>
        </w:rPr>
        <w:t>Para ser mantido o equilíbrio econômico-financeiro dos preços registrados, poderá ser solicitada pelo fornecedor/prestador, antes do fornecimento dos itens, a atualização dos respectivos preços devendo ser observado para tanto o que dispõe o artigo 158 do Decreto Municipal n.º 31/2023.</w:t>
      </w:r>
    </w:p>
    <w:p>
      <w:pPr>
        <w:pStyle w:val="Normal"/>
        <w:numPr>
          <w:ilvl w:val="1"/>
          <w:numId w:val="3"/>
        </w:numPr>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DO CANCELAMENTO DA ATA OU PREÇO REGISTRADO</w:t>
      </w:r>
    </w:p>
    <w:p>
      <w:pPr>
        <w:pStyle w:val="Normal"/>
        <w:numPr>
          <w:ilvl w:val="2"/>
          <w:numId w:val="3"/>
        </w:numPr>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O registro do preço do fornecedor será cancelado pelo órgão gerenciador quando o fornecedor:</w:t>
      </w:r>
    </w:p>
    <w:p>
      <w:pPr>
        <w:pStyle w:val="Normal"/>
        <w:overflowPunct w:val="false"/>
        <w:spacing w:lineRule="auto" w:line="240" w:before="31" w:after="62"/>
        <w:ind w:hanging="0" w:left="567"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I. For liberado;</w:t>
      </w:r>
    </w:p>
    <w:p>
      <w:pPr>
        <w:pStyle w:val="Normal"/>
        <w:overflowPunct w:val="false"/>
        <w:spacing w:lineRule="auto" w:line="240" w:before="31" w:after="62"/>
        <w:ind w:hanging="0" w:left="567"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II. Descumprir as condições da Ata de Registro de Preços, sem justificativa aceitável;</w:t>
      </w:r>
    </w:p>
    <w:p>
      <w:pPr>
        <w:pStyle w:val="Normal"/>
        <w:overflowPunct w:val="false"/>
        <w:spacing w:lineRule="auto" w:line="240" w:before="31" w:after="62"/>
        <w:ind w:hanging="0" w:left="567"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III. Não aceitar reduzir o seu preço registrado, na hipótese deste se tornar superior àqueles praticados no mercado;</w:t>
      </w:r>
    </w:p>
    <w:p>
      <w:pPr>
        <w:pStyle w:val="Normal"/>
        <w:overflowPunct w:val="false"/>
        <w:spacing w:lineRule="auto" w:line="240" w:before="31" w:after="62"/>
        <w:ind w:hanging="0" w:left="567"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IV. Sofrer sanção prevista nos incisos III e IV do artigo 156 da Lei Federal n.º 14.133/21;</w:t>
      </w:r>
    </w:p>
    <w:p>
      <w:pPr>
        <w:pStyle w:val="Normal"/>
        <w:overflowPunct w:val="false"/>
        <w:spacing w:lineRule="auto" w:line="240" w:before="31" w:after="62"/>
        <w:ind w:hanging="0" w:left="567"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V. Praticar ato inidôneo superveniente ou comportamento irregular;</w:t>
      </w:r>
    </w:p>
    <w:p>
      <w:pPr>
        <w:pStyle w:val="Normal"/>
        <w:overflowPunct w:val="false"/>
        <w:spacing w:lineRule="auto" w:line="240" w:before="31" w:after="62"/>
        <w:ind w:hanging="0" w:left="567"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VI. Não aceitar o preço revisado pela Administração.</w:t>
      </w:r>
    </w:p>
    <w:p>
      <w:pPr>
        <w:pStyle w:val="Normal"/>
        <w:overflowPunct w:val="false"/>
        <w:spacing w:lineRule="auto" w:line="240" w:before="31" w:after="62"/>
        <w:ind w:hanging="0" w:left="567"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VII. Houver substancial alteração das condições do mercado.</w:t>
      </w:r>
    </w:p>
    <w:p>
      <w:pPr>
        <w:pStyle w:val="Normal"/>
        <w:numPr>
          <w:ilvl w:val="2"/>
          <w:numId w:val="3"/>
        </w:numPr>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A Ata de Registro de Preços será cancelada, total ou parcialmente, pelo órgão gerenciador:</w:t>
      </w:r>
    </w:p>
    <w:p>
      <w:pPr>
        <w:pStyle w:val="Normal"/>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I. Pelo decurso do prazo de vigência;</w:t>
      </w:r>
    </w:p>
    <w:p>
      <w:pPr>
        <w:pStyle w:val="Normal"/>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II. Pelo cancelamento de todos os preços registrados;</w:t>
      </w:r>
    </w:p>
    <w:p>
      <w:pPr>
        <w:pStyle w:val="Normal"/>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 xml:space="preserve">III. Por fato superveniente, decorrente caso de força maior, caso fortuito ou fato do príncipe ou em decorrência de fatos imprevisíveis ou previsíveis de consequências incalculáveis, que inviabilizem a execução das obrigações previstas na ata, devidamente demonstrado; </w:t>
      </w:r>
    </w:p>
    <w:p>
      <w:pPr>
        <w:pStyle w:val="Normal"/>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IV. Por razões de interesse público, devidamente justificadas.</w:t>
      </w:r>
    </w:p>
    <w:p>
      <w:pPr>
        <w:pStyle w:val="Normal"/>
        <w:numPr>
          <w:ilvl w:val="2"/>
          <w:numId w:val="3"/>
        </w:numPr>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No caso de cancelamento da ata ou do registro do preço por iniciativa da Administração, será assegurado o contraditório e a ampla defesa.</w:t>
      </w:r>
    </w:p>
    <w:p>
      <w:pPr>
        <w:pStyle w:val="Normal"/>
        <w:numPr>
          <w:ilvl w:val="2"/>
          <w:numId w:val="3"/>
        </w:numPr>
        <w:overflowPunct w:val="false"/>
        <w:spacing w:lineRule="auto" w:line="240" w:before="31" w:after="62"/>
        <w:ind w:hanging="0" w:left="283" w:right="0"/>
        <w:jc w:val="both"/>
        <w:textAlignment w:val="baseline"/>
        <w:rPr>
          <w:rFonts w:ascii="Arial" w:hAnsi="Arial" w:cs="Verdana"/>
          <w:b w:val="false"/>
          <w:bCs w:val="false"/>
          <w:color w:val="000000"/>
          <w:sz w:val="19"/>
          <w:szCs w:val="19"/>
          <w:shd w:fill="auto" w:val="clear"/>
        </w:rPr>
      </w:pPr>
      <w:r>
        <w:rPr>
          <w:rFonts w:cs="Verdana" w:ascii="Arial" w:hAnsi="Arial"/>
          <w:b w:val="false"/>
          <w:bCs w:val="false"/>
          <w:color w:val="000000"/>
          <w:sz w:val="19"/>
          <w:szCs w:val="19"/>
          <w:shd w:fill="auto" w:val="clear"/>
        </w:rPr>
        <w:t>O fornecedor ou prestador será notificado por meio eletrônico para apresentar defesa no prazo de 5 (cinco) dias, a contar do recebimento da comunicação.</w:t>
      </w:r>
    </w:p>
    <w:p>
      <w:pPr>
        <w:pStyle w:val="BodyText"/>
        <w:spacing w:lineRule="auto" w:line="240" w:before="31" w:after="62"/>
        <w:jc w:val="both"/>
        <w:rPr>
          <w:rFonts w:ascii="Arial" w:hAnsi="Arial"/>
          <w:color w:val="C9211E"/>
          <w:sz w:val="19"/>
          <w:szCs w:val="19"/>
          <w:shd w:fill="FFFF00" w:val="clear"/>
        </w:rPr>
      </w:pPr>
      <w:r>
        <w:rPr>
          <w:color w:val="C9211E"/>
          <w:sz w:val="19"/>
          <w:szCs w:val="19"/>
          <w:shd w:fill="FFFF00" w:val="clear"/>
        </w:rPr>
      </w:r>
    </w:p>
    <w:p>
      <w:pPr>
        <w:pStyle w:val="Heading1"/>
        <w:numPr>
          <w:ilvl w:val="0"/>
          <w:numId w:val="3"/>
        </w:numPr>
        <w:spacing w:lineRule="auto" w:line="240" w:before="31" w:after="62"/>
        <w:jc w:val="center"/>
        <w:rPr>
          <w:rFonts w:ascii="Arial" w:hAnsi="Arial"/>
          <w:sz w:val="19"/>
          <w:szCs w:val="19"/>
        </w:rPr>
      </w:pPr>
      <w:r>
        <w:rPr>
          <w:rFonts w:cs="Arial-ItalicMT"/>
          <w:iCs/>
          <w:sz w:val="19"/>
          <w:szCs w:val="19"/>
          <w:shd w:fill="auto" w:val="clear"/>
        </w:rPr>
        <w:t>DA GESTÃO DO CONTRATO</w:t>
      </w:r>
    </w:p>
    <w:p>
      <w:pPr>
        <w:pStyle w:val="Normal"/>
        <w:numPr>
          <w:ilvl w:val="1"/>
          <w:numId w:val="3"/>
        </w:numPr>
        <w:overflowPunct w:val="false"/>
        <w:spacing w:lineRule="auto" w:line="240" w:before="31" w:after="62"/>
        <w:ind w:hanging="0" w:left="0" w:right="0"/>
        <w:jc w:val="both"/>
        <w:textAlignment w:val="baseline"/>
        <w:rPr>
          <w:rFonts w:ascii="Arial" w:hAnsi="Arial" w:cs="ArialMT"/>
          <w:b w:val="false"/>
          <w:bCs w:val="false"/>
          <w:color w:val="000000"/>
          <w:sz w:val="19"/>
          <w:szCs w:val="19"/>
          <w:u w:val="none"/>
          <w:shd w:fill="auto" w:val="clear"/>
        </w:rPr>
      </w:pPr>
      <w:r>
        <w:rPr>
          <w:rFonts w:cs="ArialMT" w:ascii="Arial" w:hAnsi="Arial"/>
          <w:b w:val="false"/>
          <w:bCs w:val="false"/>
          <w:color w:val="000000"/>
          <w:sz w:val="19"/>
          <w:szCs w:val="19"/>
          <w:u w:val="none"/>
          <w:shd w:fill="auto" w:val="clear"/>
        </w:rPr>
        <w:t>DA FISCALIZAÇÃO</w:t>
      </w:r>
    </w:p>
    <w:p>
      <w:pPr>
        <w:pStyle w:val="Normal"/>
        <w:numPr>
          <w:ilvl w:val="2"/>
          <w:numId w:val="3"/>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cs="Arial-ItalicMT" w:ascii="Arial" w:hAnsi="Arial"/>
          <w:iCs/>
          <w:color w:val="000000"/>
          <w:sz w:val="19"/>
          <w:szCs w:val="19"/>
          <w:shd w:fill="auto" w:val="clear"/>
        </w:rPr>
        <w:t>O acompanhamento e fiscalização do fornecimento de bens e materiais do presente contrato e demais atribuições descritas nos art. 8º e 9º do Decreto Municipal n.º 31/2023 serão realizados pela seguinte fiscal de contrato</w:t>
      </w:r>
      <w:r>
        <w:rPr>
          <w:rFonts w:cs="Verdana" w:ascii="Arial" w:hAnsi="Arial"/>
          <w:iCs/>
          <w:color w:val="000000"/>
          <w:sz w:val="19"/>
          <w:szCs w:val="19"/>
          <w:shd w:fill="auto" w:val="clear"/>
        </w:rPr>
        <w:t>: Patrícia Freire da Silva.</w:t>
      </w:r>
    </w:p>
    <w:p>
      <w:pPr>
        <w:pStyle w:val="Normal"/>
        <w:numPr>
          <w:ilvl w:val="2"/>
          <w:numId w:val="3"/>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cs="Arial-ItalicMT" w:ascii="Arial" w:hAnsi="Arial"/>
          <w:iCs/>
          <w:color w:val="000000"/>
          <w:sz w:val="19"/>
          <w:szCs w:val="19"/>
          <w:shd w:fill="auto" w:val="clear"/>
        </w:rPr>
        <w:t>As atribuições administrativas do presente contrato, especialmente as descritas no art. 7º do Decreto Municipal n.º 31/2023 serão realizadas pela seguinte gestora de contrato</w:t>
      </w:r>
      <w:r>
        <w:rPr>
          <w:rFonts w:cs="Verdana" w:ascii="Arial" w:hAnsi="Arial"/>
          <w:iCs/>
          <w:color w:val="000000"/>
          <w:sz w:val="19"/>
          <w:szCs w:val="19"/>
          <w:shd w:fill="auto" w:val="clear"/>
        </w:rPr>
        <w:t>: Danielle Regina Alberti.</w:t>
      </w:r>
    </w:p>
    <w:p>
      <w:pPr>
        <w:pStyle w:val="Normal"/>
        <w:numPr>
          <w:ilvl w:val="1"/>
          <w:numId w:val="3"/>
        </w:numPr>
        <w:overflowPunct w:val="false"/>
        <w:spacing w:lineRule="auto" w:line="240" w:before="31" w:after="62"/>
        <w:ind w:hanging="0" w:left="0" w:right="0"/>
        <w:jc w:val="both"/>
        <w:textAlignment w:val="baseline"/>
        <w:rPr>
          <w:rFonts w:ascii="Arial" w:hAnsi="Arial"/>
          <w:b w:val="false"/>
          <w:bCs w:val="false"/>
          <w:color w:val="000000"/>
          <w:sz w:val="19"/>
          <w:szCs w:val="19"/>
          <w:shd w:fill="auto" w:val="clear"/>
        </w:rPr>
      </w:pPr>
      <w:r>
        <w:rPr>
          <w:rFonts w:cs="Verdana" w:ascii="Arial" w:hAnsi="Arial"/>
          <w:b w:val="false"/>
          <w:bCs w:val="false"/>
          <w:iCs/>
          <w:color w:val="000000"/>
          <w:sz w:val="19"/>
          <w:szCs w:val="19"/>
          <w:shd w:fill="auto" w:val="clear"/>
        </w:rPr>
        <w:t>DA FORMA DE PAGAMENTO</w:t>
      </w:r>
    </w:p>
    <w:p>
      <w:pPr>
        <w:pStyle w:val="BodyText"/>
        <w:numPr>
          <w:ilvl w:val="2"/>
          <w:numId w:val="3"/>
        </w:numPr>
        <w:spacing w:lineRule="auto" w:line="240" w:before="31" w:after="62"/>
        <w:jc w:val="both"/>
        <w:rPr/>
      </w:pPr>
      <w:bookmarkStart w:id="3" w:name="forma_de_pagamento"/>
      <w:r>
        <w:rPr/>
        <w:t xml:space="preserve">O pagamento será efetuado em </w:t>
      </w:r>
      <w:bookmarkEnd w:id="3"/>
      <w:r>
        <w:rPr>
          <w:color w:val="FF0000"/>
        </w:rPr>
        <w:t>até 10 dias úteis após a entrega da Nota Fiscal</w:t>
      </w:r>
      <w:r>
        <w:rPr/>
        <w:t xml:space="preserve">, após conferência quantitativa e qualitativa pela Divisão responsável pelo recebimento, com base nos preços unitários apresentados na proposta/lance e mediante a verificação de regularidade ou apresentação dos seguintes documentos: </w:t>
      </w:r>
    </w:p>
    <w:p>
      <w:pPr>
        <w:pStyle w:val="BodyText"/>
        <w:numPr>
          <w:ilvl w:val="5"/>
          <w:numId w:val="3"/>
        </w:numPr>
        <w:spacing w:lineRule="auto" w:line="240" w:before="31" w:after="62"/>
        <w:jc w:val="both"/>
        <w:rPr/>
      </w:pPr>
      <w:r>
        <w:rPr>
          <w:b w:val="false"/>
          <w:bCs w:val="false"/>
        </w:rPr>
        <w:t>Prova de regularidade relativo aos</w:t>
      </w:r>
      <w:r>
        <w:rPr/>
        <w:t xml:space="preserve"> Débitos Relativos aos Tributos Federais e à Dívida Ativa da União;</w:t>
      </w:r>
    </w:p>
    <w:p>
      <w:pPr>
        <w:pStyle w:val="BodyText"/>
        <w:numPr>
          <w:ilvl w:val="5"/>
          <w:numId w:val="3"/>
        </w:numPr>
        <w:spacing w:lineRule="auto" w:line="240" w:before="31" w:after="62"/>
        <w:jc w:val="both"/>
        <w:rPr/>
      </w:pPr>
      <w:r>
        <w:rPr>
          <w:b w:val="false"/>
          <w:bCs w:val="false"/>
        </w:rPr>
        <w:t>Prova de regularidade relativo aos</w:t>
      </w:r>
      <w:r>
        <w:rPr/>
        <w:t xml:space="preserve"> Débitos da Fazenda Estadual do domicílio da empresa;</w:t>
      </w:r>
    </w:p>
    <w:p>
      <w:pPr>
        <w:pStyle w:val="BodyText"/>
        <w:numPr>
          <w:ilvl w:val="5"/>
          <w:numId w:val="3"/>
        </w:numPr>
        <w:spacing w:lineRule="auto" w:line="240" w:before="31" w:after="62"/>
        <w:jc w:val="both"/>
        <w:rPr/>
      </w:pPr>
      <w:r>
        <w:rPr>
          <w:b w:val="false"/>
          <w:bCs w:val="false"/>
        </w:rPr>
        <w:t xml:space="preserve">Prova de regularidade relativo aos </w:t>
      </w:r>
      <w:r>
        <w:rPr/>
        <w:t>Débitos Municipais, e caso exista filial no Município de Cianorte a Prova de regularidade desta também deverá ser apresentada;</w:t>
      </w:r>
    </w:p>
    <w:p>
      <w:pPr>
        <w:pStyle w:val="BodyText"/>
        <w:numPr>
          <w:ilvl w:val="5"/>
          <w:numId w:val="3"/>
        </w:numPr>
        <w:spacing w:lineRule="auto" w:line="240" w:before="31" w:after="62"/>
        <w:jc w:val="both"/>
        <w:rPr/>
      </w:pPr>
      <w:r>
        <w:rPr>
          <w:b w:val="false"/>
          <w:bCs w:val="false"/>
        </w:rPr>
        <w:t xml:space="preserve">Prova de regularidade relativo </w:t>
      </w:r>
      <w:r>
        <w:rPr/>
        <w:t xml:space="preserve">de FGTS; </w:t>
      </w:r>
    </w:p>
    <w:p>
      <w:pPr>
        <w:pStyle w:val="BodyText"/>
        <w:numPr>
          <w:ilvl w:val="5"/>
          <w:numId w:val="3"/>
        </w:numPr>
        <w:spacing w:lineRule="auto" w:line="240" w:before="31" w:after="62"/>
        <w:jc w:val="both"/>
        <w:rPr/>
      </w:pPr>
      <w:r>
        <w:rPr>
          <w:b w:val="false"/>
          <w:bCs w:val="false"/>
        </w:rPr>
        <w:t>Prova de regularidade relativo aos</w:t>
      </w:r>
      <w:r>
        <w:rPr/>
        <w:t xml:space="preserve"> Débitos Trabalhistas (CNDT); </w:t>
      </w:r>
    </w:p>
    <w:p>
      <w:pPr>
        <w:pStyle w:val="BodyText"/>
        <w:numPr>
          <w:ilvl w:val="5"/>
          <w:numId w:val="3"/>
        </w:numPr>
        <w:spacing w:lineRule="auto" w:line="240" w:before="31" w:after="62"/>
        <w:jc w:val="both"/>
        <w:rPr/>
      </w:pPr>
      <w:r>
        <w:rPr/>
        <w:t>Situação perante o Cadastro Nacional de Pessoas Jurídicas do Ministério da Fazenda (Cartão CNPJ).</w:t>
      </w:r>
    </w:p>
    <w:p>
      <w:pPr>
        <w:pStyle w:val="BodyText"/>
        <w:numPr>
          <w:ilvl w:val="2"/>
          <w:numId w:val="3"/>
        </w:numPr>
        <w:spacing w:lineRule="auto" w:line="240" w:before="31" w:after="62"/>
        <w:jc w:val="both"/>
        <w:rPr/>
      </w:pPr>
      <w:r>
        <w:rPr/>
        <w:t>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pPr>
        <w:pStyle w:val="BodyText"/>
        <w:numPr>
          <w:ilvl w:val="2"/>
          <w:numId w:val="3"/>
        </w:numPr>
        <w:spacing w:lineRule="auto" w:line="240" w:before="31" w:after="62"/>
        <w:jc w:val="both"/>
        <w:rPr>
          <w:rFonts w:ascii="Arial" w:hAnsi="Arial" w:cs="Arial-ItalicMT"/>
          <w:iCs/>
          <w:sz w:val="19"/>
          <w:szCs w:val="19"/>
        </w:rPr>
      </w:pPr>
      <w:r>
        <w:rPr>
          <w:rFonts w:cs="Arial-ItalicMT"/>
          <w:iCs/>
          <w:sz w:val="19"/>
          <w:szCs w:val="19"/>
        </w:rPr>
        <w:t>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(TX/100)/365; TX = Percentual da taxa anual do IPCA – Índice de Preços ao Consumidor Ampliado, do IBGE.</w:t>
      </w:r>
    </w:p>
    <w:p>
      <w:pPr>
        <w:pStyle w:val="BodyText"/>
        <w:numPr>
          <w:ilvl w:val="1"/>
          <w:numId w:val="3"/>
        </w:numPr>
        <w:spacing w:lineRule="auto" w:line="240" w:before="31" w:after="62"/>
        <w:jc w:val="both"/>
        <w:rPr>
          <w:sz w:val="19"/>
          <w:szCs w:val="19"/>
          <w:shd w:fill="auto" w:val="clear"/>
        </w:rPr>
      </w:pPr>
      <w:r>
        <w:rPr>
          <w:rFonts w:cs="Arial-ItalicMT"/>
          <w:iCs/>
          <w:sz w:val="19"/>
          <w:szCs w:val="19"/>
          <w:shd w:fill="auto" w:val="clear"/>
        </w:rPr>
        <w:t>A Licitante contratada deverá m</w:t>
      </w:r>
      <w:r>
        <w:rPr>
          <w:rFonts w:eastAsia="Arial" w:cs="Arial"/>
          <w:b w:val="false"/>
          <w:bCs w:val="false"/>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t>anter durante a execução do contrato/atas todas as condições de habilitação exigidas na licitação que deu origem ao presente instrumento (inciso XVI, art. 92 da Lei Federal nº 14.133/2021 e suas alterações).</w:t>
      </w:r>
    </w:p>
    <w:p>
      <w:pPr>
        <w:pStyle w:val="BodyText"/>
        <w:numPr>
          <w:ilvl w:val="1"/>
          <w:numId w:val="3"/>
        </w:numPr>
        <w:spacing w:lineRule="auto" w:line="240" w:before="31" w:after="62"/>
        <w:jc w:val="both"/>
        <w:rPr>
          <w:rFonts w:ascii="Arial" w:hAnsi="Arial" w:eastAsia="Arial" w:cs="Arial"/>
          <w:b w:val="false"/>
          <w:bCs w:val="false"/>
          <w:i w:val="false"/>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pPr>
      <w:r>
        <w:rPr>
          <w:rFonts w:eastAsia="Arial" w:cs="Arial"/>
          <w:b w:val="false"/>
          <w:bCs w:val="false"/>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t>DAS CONDIÇÕES DE RECEBIMENTO DO OBJETO</w:t>
      </w:r>
    </w:p>
    <w:p>
      <w:pPr>
        <w:pStyle w:val="BodyText"/>
        <w:numPr>
          <w:ilvl w:val="2"/>
          <w:numId w:val="3"/>
        </w:numPr>
        <w:spacing w:lineRule="auto" w:line="240" w:before="31" w:after="62"/>
        <w:jc w:val="both"/>
        <w:rPr>
          <w:rFonts w:ascii="Arial" w:hAnsi="Arial" w:eastAsia="Arial" w:cs="ArialMT"/>
          <w:b/>
          <w:bCs/>
          <w:i w:val="false"/>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pPr>
      <w:r>
        <w:rPr>
          <w:rFonts w:eastAsia="Arial" w:cs="ArialMT"/>
          <w:b/>
          <w:bCs/>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t xml:space="preserve">A empresa contratada deverá entregar os produtos no prazo de 10 dias úteis, na Secretaria Municipal de Assistência Social, Praça Olímpica Marcos Danilo Padilha, 235, Cianorte, CEP 87.210-054. </w:t>
      </w:r>
    </w:p>
    <w:p>
      <w:pPr>
        <w:pStyle w:val="BodyText"/>
        <w:numPr>
          <w:ilvl w:val="2"/>
          <w:numId w:val="3"/>
        </w:numPr>
        <w:spacing w:lineRule="auto" w:line="240" w:before="31" w:after="62"/>
        <w:jc w:val="both"/>
        <w:rPr>
          <w:rFonts w:ascii="Arial" w:hAnsi="Arial"/>
          <w:color w:val="000000"/>
          <w:sz w:val="19"/>
          <w:szCs w:val="19"/>
          <w:shd w:fill="auto" w:val="clear"/>
        </w:rPr>
      </w:pPr>
      <w:r>
        <w:rPr>
          <w:color w:val="000000"/>
          <w:sz w:val="19"/>
          <w:szCs w:val="19"/>
          <w:shd w:fill="auto" w:val="clear"/>
        </w:rPr>
        <w:t>O Recebimento do objeto será realizado:</w:t>
      </w:r>
    </w:p>
    <w:p>
      <w:pPr>
        <w:pStyle w:val="BodyText"/>
        <w:numPr>
          <w:ilvl w:val="5"/>
          <w:numId w:val="3"/>
        </w:numPr>
        <w:spacing w:lineRule="auto" w:line="240" w:before="31" w:after="62"/>
        <w:jc w:val="both"/>
        <w:rPr>
          <w:highlight w:val="none"/>
          <w:shd w:fill="auto" w:val="clear"/>
        </w:rPr>
      </w:pPr>
      <w:r>
        <w:rPr>
          <w:color w:val="000000"/>
          <w:sz w:val="19"/>
          <w:szCs w:val="19"/>
          <w:shd w:fill="auto" w:val="clear"/>
        </w:rPr>
        <w:t>Provisoriamente, de forma sumária, pelo fiscal de contrato ou servidor designado pelo Chefe imediato/Secretário Municipal, com verificação posterior da conformidade do material com as exigências contratuais;</w:t>
      </w:r>
    </w:p>
    <w:p>
      <w:pPr>
        <w:pStyle w:val="BodyText"/>
        <w:numPr>
          <w:ilvl w:val="5"/>
          <w:numId w:val="3"/>
        </w:numPr>
        <w:spacing w:lineRule="auto" w:line="240" w:before="31" w:after="62"/>
        <w:jc w:val="both"/>
        <w:rPr>
          <w:highlight w:val="none"/>
          <w:shd w:fill="auto" w:val="clear"/>
        </w:rPr>
      </w:pPr>
      <w:r>
        <w:rPr>
          <w:color w:val="000000"/>
          <w:sz w:val="19"/>
          <w:szCs w:val="19"/>
          <w:shd w:fill="auto" w:val="clear"/>
        </w:rPr>
        <w:t>Definitivamente, pelo fiscal de contrato ou servidor designado pelo Chefe imediato/Secretário Municipal, mediante termo detalhado que comprove o atendimento das exigências contratuais;</w:t>
      </w:r>
    </w:p>
    <w:p>
      <w:pPr>
        <w:pStyle w:val="BodyText"/>
        <w:numPr>
          <w:ilvl w:val="2"/>
          <w:numId w:val="3"/>
        </w:numPr>
        <w:spacing w:lineRule="auto" w:line="240" w:before="31" w:after="62"/>
        <w:jc w:val="both"/>
        <w:rPr>
          <w:rFonts w:ascii="Arial" w:hAnsi="Arial"/>
          <w:sz w:val="19"/>
          <w:szCs w:val="19"/>
          <w:shd w:fill="auto" w:val="clear"/>
        </w:rPr>
      </w:pPr>
      <w:r>
        <w:rPr>
          <w:b w:val="false"/>
          <w:bCs w:val="false"/>
          <w:color w:val="000000"/>
          <w:sz w:val="19"/>
          <w:szCs w:val="19"/>
          <w:shd w:fill="auto" w:val="clear"/>
        </w:rPr>
        <w:t>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pPr>
        <w:pStyle w:val="BodyText"/>
        <w:numPr>
          <w:ilvl w:val="2"/>
          <w:numId w:val="3"/>
        </w:numPr>
        <w:spacing w:lineRule="auto" w:line="240" w:before="31" w:after="62"/>
        <w:jc w:val="both"/>
        <w:rPr>
          <w:rFonts w:ascii="Arial" w:hAnsi="Arial"/>
          <w:sz w:val="19"/>
          <w:szCs w:val="19"/>
          <w:shd w:fill="auto" w:val="clear"/>
        </w:rPr>
      </w:pPr>
      <w:r>
        <w:rPr>
          <w:rFonts w:cs="ArialMT"/>
          <w:b w:val="false"/>
          <w:bCs w:val="false"/>
          <w:color w:val="000000"/>
          <w:sz w:val="19"/>
          <w:szCs w:val="19"/>
          <w:shd w:fill="auto" w:val="clear"/>
        </w:rPr>
        <w:t>A Divisão de Licitação será o órgão responsável pelos atos de controle e administração da Ata de Registro de Preços decorrentes desta licitação e indicará, sempre que solicitados pelos órgãos usuários, respeitada a ordem de registro e os quantitativos a serem adquiridos, os fornecedores para os quais serão emitidos os pedidos.</w:t>
      </w:r>
    </w:p>
    <w:p>
      <w:pPr>
        <w:pStyle w:val="Normal"/>
        <w:numPr>
          <w:ilvl w:val="2"/>
          <w:numId w:val="3"/>
        </w:numPr>
        <w:overflowPunct w:val="false"/>
        <w:spacing w:lineRule="auto" w:line="240" w:before="0" w:after="120"/>
        <w:jc w:val="both"/>
        <w:textAlignment w:val="baseline"/>
        <w:rPr>
          <w:rFonts w:ascii="Arial" w:hAnsi="Arial"/>
          <w:color w:val="000000"/>
          <w:sz w:val="19"/>
          <w:szCs w:val="19"/>
          <w:shd w:fill="auto" w:val="clear"/>
        </w:rPr>
      </w:pPr>
      <w:r>
        <w:rPr>
          <w:rFonts w:cs="Arial-BoldMT" w:ascii="Arial" w:hAnsi="Arial"/>
          <w:b w:val="false"/>
          <w:bCs w:val="false"/>
          <w:color w:val="000000"/>
          <w:sz w:val="19"/>
          <w:szCs w:val="19"/>
          <w:shd w:fill="auto" w:val="clear"/>
        </w:rPr>
        <w:t>Fazendo-se a opção pelo recebimento provisório, que terá prazo de 5 dias, o recebimento definitivo será feito após a verificação da qualidade dos mesmos, e consequentemente aceito, no prazo de 10 dias a contar do término do recebimento provisório.</w:t>
      </w:r>
    </w:p>
    <w:p>
      <w:pPr>
        <w:pStyle w:val="Normal"/>
        <w:numPr>
          <w:ilvl w:val="2"/>
          <w:numId w:val="3"/>
        </w:numPr>
        <w:overflowPunct w:val="false"/>
        <w:spacing w:lineRule="auto" w:line="240" w:before="0" w:after="120"/>
        <w:jc w:val="both"/>
        <w:textAlignment w:val="baseline"/>
        <w:rPr>
          <w:rFonts w:ascii="Arial" w:hAnsi="Arial" w:cs="ArialMT"/>
          <w:color w:val="000000"/>
          <w:sz w:val="19"/>
          <w:szCs w:val="19"/>
          <w:shd w:fill="auto" w:val="clear"/>
        </w:rPr>
      </w:pPr>
      <w:r>
        <w:rPr>
          <w:rFonts w:cs="ArialMT" w:ascii="Arial" w:hAnsi="Arial"/>
          <w:color w:val="000000"/>
          <w:sz w:val="19"/>
          <w:szCs w:val="19"/>
          <w:shd w:fill="auto" w:val="clear"/>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pPr>
        <w:pStyle w:val="Normal"/>
        <w:numPr>
          <w:ilvl w:val="2"/>
          <w:numId w:val="3"/>
        </w:numPr>
        <w:overflowPunct w:val="false"/>
        <w:spacing w:lineRule="auto" w:line="240" w:before="0" w:after="120"/>
        <w:jc w:val="both"/>
        <w:textAlignment w:val="baseline"/>
        <w:rPr>
          <w:rFonts w:ascii="Arial" w:hAnsi="Arial" w:cs="ArialMT"/>
          <w:color w:val="000000"/>
          <w:sz w:val="19"/>
          <w:szCs w:val="19"/>
          <w:shd w:fill="auto" w:val="clear"/>
        </w:rPr>
      </w:pPr>
      <w:r>
        <w:rPr>
          <w:rFonts w:cs="ArialMT" w:ascii="Arial" w:hAnsi="Arial"/>
          <w:color w:val="000000"/>
          <w:sz w:val="19"/>
          <w:szCs w:val="19"/>
          <w:shd w:fill="auto" w:val="clear"/>
        </w:rPr>
        <w:t>A convocação dos fornecedores pela Divisão de Licitações será formalizada e conterá o endereço e o prazo máximo em que deverão comparecer para retirar o respectivo pedido.</w:t>
      </w:r>
    </w:p>
    <w:p>
      <w:pPr>
        <w:pStyle w:val="Normal"/>
        <w:numPr>
          <w:ilvl w:val="2"/>
          <w:numId w:val="3"/>
        </w:numPr>
        <w:overflowPunct w:val="false"/>
        <w:spacing w:lineRule="auto" w:line="240" w:before="0" w:after="120"/>
        <w:jc w:val="both"/>
        <w:textAlignment w:val="baseline"/>
        <w:rPr>
          <w:rFonts w:ascii="Arial" w:hAnsi="Arial" w:cs="ArialMT"/>
          <w:color w:val="000000"/>
          <w:sz w:val="19"/>
          <w:szCs w:val="19"/>
          <w:shd w:fill="auto" w:val="clear"/>
        </w:rPr>
      </w:pPr>
      <w:r>
        <w:rPr>
          <w:rFonts w:cs="ArialMT" w:ascii="Arial" w:hAnsi="Arial"/>
          <w:color w:val="000000"/>
          <w:sz w:val="19"/>
          <w:szCs w:val="19"/>
          <w:shd w:fill="auto" w:val="clear"/>
        </w:rPr>
        <w:t>O fornecedor convocado na forma do subitem anterior que não comparecer, não retirar o pedido no prazo estipulado ou não cumprir as obrigações estabelecidas na Ata de Registro de Preços, estará sujeito às sanções previstas neste Edital.</w:t>
      </w:r>
    </w:p>
    <w:p>
      <w:pPr>
        <w:pStyle w:val="BodyText"/>
        <w:numPr>
          <w:ilvl w:val="2"/>
          <w:numId w:val="3"/>
        </w:numPr>
        <w:spacing w:lineRule="auto" w:line="240" w:before="31" w:after="62"/>
        <w:jc w:val="both"/>
        <w:rPr>
          <w:rFonts w:ascii="Arial" w:hAnsi="Arial" w:eastAsia="Arial" w:cs="Arial"/>
          <w:b w:val="false"/>
          <w:bCs w:val="false"/>
          <w:i w:val="false"/>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pPr>
      <w:r>
        <w:rPr>
          <w:rFonts w:eastAsia="Arial" w:cs="Arial"/>
          <w:b w:val="false"/>
          <w:bCs w:val="false"/>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t>Quando comprovada uma dessas hipóteses, a Divisão de Licitações poderá indicar o próximo fornecedor a ser destinado o pedido, sem prejuízo da abertura de processo administrativo para aplicação de penalidades.</w:t>
      </w:r>
    </w:p>
    <w:p>
      <w:pPr>
        <w:pStyle w:val="BodyText"/>
        <w:numPr>
          <w:ilvl w:val="2"/>
          <w:numId w:val="3"/>
        </w:numPr>
        <w:spacing w:lineRule="auto" w:line="240" w:before="31" w:after="62"/>
        <w:jc w:val="both"/>
        <w:rPr>
          <w:rFonts w:ascii="Arial" w:hAnsi="Arial" w:eastAsia="Arial" w:cs="Arial"/>
          <w:b w:val="false"/>
          <w:bCs w:val="false"/>
          <w:i w:val="false"/>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pPr>
      <w:r>
        <w:rPr>
          <w:rFonts w:eastAsia="Arial" w:cs="Arial"/>
          <w:b w:val="false"/>
          <w:bCs w:val="false"/>
          <w:i w:val="false"/>
          <w:iCs w:val="false"/>
          <w:caps w:val="false"/>
          <w:smallCaps w:val="false"/>
          <w:strike w:val="false"/>
          <w:dstrike w:val="false"/>
          <w:outline w:val="false"/>
          <w:shadow w:val="false"/>
          <w:color w:val="000000"/>
          <w:spacing w:val="0"/>
          <w:kern w:val="2"/>
          <w:position w:val="0"/>
          <w:sz w:val="19"/>
          <w:sz w:val="19"/>
          <w:szCs w:val="19"/>
          <w:u w:val="none"/>
          <w:shd w:fill="auto" w:val="clear"/>
          <w:vertAlign w:val="baseline"/>
          <w:em w:val="none"/>
        </w:rPr>
        <w:t>Deverá ser observada a garantia previstas nos termos do Código de Defesa do Consumidor ou o prazo apontado pelas Secretarias interessadas no descritivo de cada item/lote.</w:t>
      </w:r>
    </w:p>
    <w:p>
      <w:pPr>
        <w:pStyle w:val="BodyText"/>
        <w:numPr>
          <w:ilvl w:val="1"/>
          <w:numId w:val="3"/>
        </w:numPr>
        <w:spacing w:lineRule="auto" w:line="240" w:before="31" w:after="62"/>
        <w:jc w:val="both"/>
        <w:rPr>
          <w:rFonts w:ascii="Arial" w:hAnsi="Arial"/>
          <w:b w:val="false"/>
          <w:bCs w:val="false"/>
          <w:color w:val="000000"/>
          <w:sz w:val="19"/>
          <w:szCs w:val="19"/>
          <w:shd w:fill="auto" w:val="clear"/>
        </w:rPr>
      </w:pPr>
      <w:r>
        <w:rPr>
          <w:b w:val="false"/>
          <w:bCs w:val="false"/>
          <w:i w:val="false"/>
          <w:caps w:val="false"/>
          <w:smallCaps w:val="false"/>
          <w:color w:val="000000"/>
          <w:spacing w:val="0"/>
          <w:sz w:val="19"/>
          <w:szCs w:val="19"/>
          <w:shd w:fill="auto" w:val="clear"/>
        </w:rPr>
        <w:t>DAS INFRAÇÕES E SANÇÕES ADMINISTRATIVAS</w:t>
      </w:r>
    </w:p>
    <w:p>
      <w:pPr>
        <w:pStyle w:val="Normal"/>
        <w:widowControl/>
        <w:numPr>
          <w:ilvl w:val="2"/>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O licitante ou o contratado será responsabilizado administrativamente pelas seguintes infrações previstas no art. 155 da Lei n.º 14.133/2021:</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Dar causa à inexecução parcial do contrato;</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Dar causa à inexecução parcial do contrato que cause grave dano à Administração, ao funcionamento dos serviços públicos ou ao interesse coletivo;</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Dar causa à inexecução total do contrato;</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Deixar de entregar a documentação exigida para o certame;</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Não manter a proposta, salvo em decorrência de fato superveniente devidamente justificado;</w:t>
      </w:r>
    </w:p>
    <w:p>
      <w:pPr>
        <w:pStyle w:val="BodyText"/>
        <w:widowControl/>
        <w:numPr>
          <w:ilvl w:val="4"/>
          <w:numId w:val="4"/>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Não assinar a ata de registro de preços ou o contrato nos prazos estabelecidos neste edital ou não entregar a documentação exigida para a contratação, quando convocado dentro do prazo de validade de sua proposta;</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Ensejar o retardamento da execução ou da entrega do objeto da licitação sem motivo justificado;</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Apresentar declaração ou documentação falsa exigida para o certame ou prestar declaração falsa durante a licitação ou a execução do contrato;</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Fraudar a licitação ou praticar ato fraudulento na execução do contrato;</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Comportar-se de modo inidôneo ou cometer fraude de qualquer natureza;</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Praticar atos ilícitos com vistas a frustrar os objetivos da licitação;</w:t>
      </w:r>
    </w:p>
    <w:p>
      <w:pPr>
        <w:pStyle w:val="BodyText"/>
        <w:widowControl/>
        <w:numPr>
          <w:ilvl w:val="4"/>
          <w:numId w:val="3"/>
        </w:numPr>
        <w:spacing w:lineRule="auto" w:line="240" w:before="31" w:after="62"/>
        <w:rPr/>
      </w:pPr>
      <w:r>
        <w:rPr>
          <w:b w:val="false"/>
          <w:i w:val="false"/>
          <w:caps w:val="false"/>
          <w:smallCaps w:val="false"/>
          <w:color w:val="000000"/>
          <w:spacing w:val="0"/>
          <w:shd w:fill="auto" w:val="clear"/>
        </w:rPr>
        <w:t>Praticar ato lesivo previsto no </w:t>
      </w:r>
      <w:r>
        <w:fldChar w:fldCharType="begin"/>
      </w:r>
      <w:r>
        <w:rPr>
          <w:rStyle w:val="Style6"/>
          <w:u w:val="single"/>
          <w:shd w:fill="auto" w:val="clear"/>
          <w:color w:val="000000"/>
          <w:lang w:val="zxx" w:eastAsia="zxx" w:bidi="zxx"/>
        </w:rPr>
        <w:instrText xml:space="preserve"> HYPERLINK "http://www.planalto.gov.br/ccivil_03/_Ato2011-2014/2013/Lei/L12846.htm" \l "art5"</w:instrText>
      </w:r>
      <w:r>
        <w:rPr>
          <w:rStyle w:val="Style6"/>
          <w:u w:val="single"/>
          <w:shd w:fill="auto" w:val="clear"/>
          <w:color w:val="000000"/>
          <w:lang w:val="zxx" w:eastAsia="zxx" w:bidi="zxx"/>
        </w:rPr>
        <w:fldChar w:fldCharType="separate"/>
      </w:r>
      <w:r>
        <w:rPr>
          <w:rStyle w:val="Style6"/>
          <w:color w:val="000000"/>
          <w:u w:val="single"/>
          <w:shd w:fill="auto" w:val="clear"/>
          <w:lang w:val="zxx" w:eastAsia="zxx" w:bidi="zxx"/>
        </w:rPr>
        <w:t>art. 5º da Lei nº 12.846, de 1º de agosto de 2013.</w:t>
      </w:r>
      <w:r>
        <w:rPr>
          <w:rStyle w:val="Style6"/>
          <w:u w:val="single"/>
          <w:shd w:fill="auto" w:val="clear"/>
          <w:color w:val="000000"/>
          <w:lang w:val="zxx" w:eastAsia="zxx" w:bidi="zxx"/>
        </w:rPr>
        <w:fldChar w:fldCharType="end"/>
      </w:r>
    </w:p>
    <w:p>
      <w:pPr>
        <w:pStyle w:val="BodyText"/>
        <w:numPr>
          <w:ilvl w:val="2"/>
          <w:numId w:val="3"/>
        </w:numPr>
        <w:spacing w:lineRule="auto" w:line="240" w:before="31" w:after="62"/>
        <w:jc w:val="both"/>
        <w:rPr>
          <w:rFonts w:ascii="Arial" w:hAnsi="Arial"/>
          <w:sz w:val="19"/>
          <w:szCs w:val="19"/>
          <w:shd w:fill="auto" w:val="clear"/>
        </w:rPr>
      </w:pPr>
      <w:r>
        <w:rPr>
          <w:sz w:val="19"/>
          <w:szCs w:val="19"/>
          <w:shd w:fill="auto" w:val="clear"/>
        </w:rPr>
        <w:t xml:space="preserve"> </w:t>
      </w:r>
      <w:r>
        <w:rPr>
          <w:b w:val="false"/>
          <w:i w:val="false"/>
          <w:caps w:val="false"/>
          <w:smallCaps w:val="false"/>
          <w:color w:val="000000"/>
          <w:spacing w:val="0"/>
          <w:sz w:val="19"/>
          <w:szCs w:val="19"/>
          <w:shd w:fill="auto" w:val="clear"/>
        </w:rPr>
        <w:t>Serão aplicadas ao responsável pelas infrações administrativas previstas no art. 155 da Lei n.º 14.133/2021 as seguintes sanções:</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Advertência:</w:t>
      </w:r>
      <w:r>
        <w:rPr>
          <w:b w:val="false"/>
          <w:i w:val="false"/>
          <w:caps w:val="false"/>
          <w:smallCaps w:val="false"/>
          <w:color w:val="000000"/>
          <w:spacing w:val="0"/>
          <w:sz w:val="19"/>
          <w:szCs w:val="19"/>
          <w:shd w:fill="auto" w:val="clear"/>
        </w:rPr>
        <w:t xml:space="preserve"> </w:t>
      </w:r>
    </w:p>
    <w:p>
      <w:pPr>
        <w:pStyle w:val="BodyText"/>
        <w:widowControl/>
        <w:numPr>
          <w:ilvl w:val="0"/>
          <w:numId w:val="0"/>
        </w:numPr>
        <w:spacing w:lineRule="auto" w:line="240" w:before="31" w:after="62"/>
        <w:ind w:hanging="0" w:left="1191"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 Aplicada exclusivamente pela infração administrativa prevista no inciso I do caput do art. 155 da Lei n.º 14.133/2021, quando não se justificar a imposição de penalidade mais grave.</w:t>
      </w:r>
    </w:p>
    <w:p>
      <w:pPr>
        <w:pStyle w:val="BodyText"/>
        <w:widowControl/>
        <w:numPr>
          <w:ilvl w:val="4"/>
          <w:numId w:val="3"/>
        </w:numPr>
        <w:spacing w:lineRule="auto" w:line="240" w:before="31" w:after="62"/>
        <w:rPr>
          <w:rFonts w:ascii="Arial" w:hAnsi="Arial"/>
          <w:b w:val="false"/>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Multa</w:t>
      </w:r>
      <w:r>
        <w:rPr>
          <w:b w:val="false"/>
          <w:i w:val="false"/>
          <w:caps w:val="false"/>
          <w:smallCaps w:val="false"/>
          <w:color w:val="000000"/>
          <w:spacing w:val="0"/>
          <w:sz w:val="19"/>
          <w:szCs w:val="19"/>
          <w:shd w:fill="auto" w:val="clear"/>
        </w:rPr>
        <w:t>, sendo:</w:t>
      </w:r>
    </w:p>
    <w:p>
      <w:pPr>
        <w:pStyle w:val="Normal"/>
        <w:widowControl/>
        <w:numPr>
          <w:ilvl w:val="0"/>
          <w:numId w:val="0"/>
        </w:numPr>
        <w:spacing w:lineRule="auto" w:line="240" w:before="31" w:after="62"/>
        <w:ind w:hanging="0" w:left="1191" w:right="0"/>
        <w:jc w:val="both"/>
        <w:rPr>
          <w:rFonts w:ascii="Arial" w:hAnsi="Arial"/>
          <w:b w:val="false"/>
          <w:bCs w:val="false"/>
          <w:i w:val="false"/>
          <w:i w:val="false"/>
          <w:caps w:val="false"/>
          <w:smallCaps w:val="false"/>
          <w:color w:val="000000"/>
          <w:spacing w:val="0"/>
          <w:sz w:val="19"/>
          <w:szCs w:val="19"/>
          <w:shd w:fill="auto" w:val="clear"/>
        </w:rPr>
      </w:pPr>
      <w:r>
        <w:rPr>
          <w:rFonts w:ascii="Arial" w:hAnsi="Arial"/>
          <w:b w:val="false"/>
          <w:bCs w:val="false"/>
          <w:i w:val="false"/>
          <w:caps w:val="false"/>
          <w:smallCaps w:val="false"/>
          <w:color w:val="000000"/>
          <w:spacing w:val="0"/>
          <w:sz w:val="19"/>
          <w:szCs w:val="19"/>
          <w:shd w:fill="auto" w:val="clear"/>
        </w:rPr>
        <w:t>- Compensatória de 20% sobre o valor total do contrato, no caso de inexecução total do objeto.</w:t>
      </w:r>
    </w:p>
    <w:p>
      <w:pPr>
        <w:pStyle w:val="BodyText"/>
        <w:widowControl/>
        <w:numPr>
          <w:ilvl w:val="0"/>
          <w:numId w:val="0"/>
        </w:numPr>
        <w:spacing w:lineRule="auto" w:line="240" w:before="31" w:after="62"/>
        <w:ind w:hanging="0" w:left="1191" w:right="0"/>
        <w:jc w:val="both"/>
        <w:rPr>
          <w:rFonts w:ascii="Arial" w:hAnsi="Arial"/>
          <w:b w:val="false"/>
          <w:bCs w:val="false"/>
          <w:i w:val="false"/>
          <w:i w:val="false"/>
          <w:caps w:val="false"/>
          <w:smallCaps w:val="false"/>
          <w:color w:val="000000"/>
          <w:spacing w:val="0"/>
          <w:sz w:val="19"/>
          <w:szCs w:val="19"/>
          <w:shd w:fill="auto" w:val="clear"/>
        </w:rPr>
      </w:pPr>
      <w:r>
        <w:rPr>
          <w:b w:val="false"/>
          <w:bCs w:val="false"/>
          <w:i w:val="false"/>
          <w:caps w:val="false"/>
          <w:smallCaps w:val="false"/>
          <w:color w:val="000000"/>
          <w:spacing w:val="0"/>
          <w:sz w:val="19"/>
          <w:szCs w:val="19"/>
          <w:shd w:fill="auto" w:val="clear"/>
        </w:rPr>
        <w:t>- Compensatória de 10% sobre o valor total do contrato, no caso de inexecução parcial do objeto.</w:t>
      </w:r>
    </w:p>
    <w:p>
      <w:pPr>
        <w:pStyle w:val="BodyText"/>
        <w:widowControl/>
        <w:numPr>
          <w:ilvl w:val="0"/>
          <w:numId w:val="0"/>
        </w:numPr>
        <w:tabs>
          <w:tab w:val="clear" w:pos="709"/>
          <w:tab w:val="left" w:pos="230" w:leader="none"/>
        </w:tabs>
        <w:spacing w:lineRule="auto" w:line="240" w:before="31" w:after="62"/>
        <w:ind w:hanging="0" w:left="1191" w:right="0"/>
        <w:jc w:val="both"/>
        <w:rPr>
          <w:rFonts w:ascii="Arial" w:hAnsi="Arial"/>
          <w:b w:val="false"/>
          <w:bCs w:val="false"/>
          <w:i w:val="false"/>
          <w:i w:val="false"/>
          <w:caps w:val="false"/>
          <w:smallCaps w:val="false"/>
          <w:color w:val="000000"/>
          <w:spacing w:val="0"/>
          <w:sz w:val="19"/>
          <w:szCs w:val="19"/>
          <w:shd w:fill="auto" w:val="clear"/>
        </w:rPr>
      </w:pPr>
      <w:r>
        <w:rPr>
          <w:b w:val="false"/>
          <w:bCs w:val="false"/>
          <w:i w:val="false"/>
          <w:caps w:val="false"/>
          <w:smallCaps w:val="false"/>
          <w:color w:val="000000"/>
          <w:spacing w:val="0"/>
          <w:sz w:val="19"/>
          <w:szCs w:val="19"/>
          <w:shd w:fill="auto" w:val="clear"/>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pPr>
        <w:pStyle w:val="BodyText"/>
        <w:widowControl/>
        <w:numPr>
          <w:ilvl w:val="4"/>
          <w:numId w:val="3"/>
        </w:numPr>
        <w:spacing w:lineRule="auto" w:line="240" w:before="31" w:after="62"/>
        <w:rPr>
          <w:rFonts w:ascii="Arial" w:hAnsi="Arial"/>
          <w:b/>
          <w:bCs/>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Impedimento de licitar e contratar:</w:t>
      </w:r>
    </w:p>
    <w:p>
      <w:pPr>
        <w:pStyle w:val="BodyText"/>
        <w:widowControl/>
        <w:numPr>
          <w:ilvl w:val="0"/>
          <w:numId w:val="0"/>
        </w:numPr>
        <w:spacing w:lineRule="auto" w:line="240" w:before="31" w:after="62"/>
        <w:ind w:hanging="0" w:left="1191" w:right="0"/>
        <w:jc w:val="both"/>
        <w:rPr>
          <w:rFonts w:ascii="Arial" w:hAnsi="Arial"/>
          <w:b w:val="false"/>
          <w:bCs w:val="false"/>
          <w:i w:val="false"/>
          <w:i w:val="false"/>
          <w:caps w:val="false"/>
          <w:smallCaps w:val="false"/>
          <w:color w:val="000000"/>
          <w:spacing w:val="0"/>
          <w:sz w:val="19"/>
          <w:szCs w:val="19"/>
          <w:shd w:fill="auto" w:val="clear"/>
        </w:rPr>
      </w:pPr>
      <w:r>
        <w:rPr>
          <w:rFonts w:cs="ArialMT"/>
          <w:b/>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pPr>
        <w:pStyle w:val="BodyText"/>
        <w:widowControl/>
        <w:numPr>
          <w:ilvl w:val="4"/>
          <w:numId w:val="3"/>
        </w:numPr>
        <w:spacing w:lineRule="auto" w:line="240" w:before="31" w:after="62"/>
        <w:rPr>
          <w:rFonts w:ascii="Arial" w:hAnsi="Arial"/>
          <w:b/>
          <w:bCs/>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Declaração de inidoneidade para licitar ou contratar:</w:t>
      </w:r>
    </w:p>
    <w:p>
      <w:pPr>
        <w:pStyle w:val="BodyText"/>
        <w:widowControl/>
        <w:numPr>
          <w:ilvl w:val="0"/>
          <w:numId w:val="0"/>
        </w:numPr>
        <w:spacing w:lineRule="auto" w:line="240" w:before="31" w:after="62"/>
        <w:ind w:hanging="0" w:left="1191" w:right="0"/>
        <w:jc w:val="both"/>
        <w:rPr>
          <w:rFonts w:ascii="Arial" w:hAnsi="Arial"/>
          <w:color w:val="000000"/>
          <w:sz w:val="19"/>
          <w:szCs w:val="19"/>
          <w:shd w:fill="auto" w:val="clear"/>
        </w:rPr>
      </w:pPr>
      <w:r>
        <w:rPr>
          <w:rFonts w:cs="ArialMT"/>
          <w:b/>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disposto no item “</w:t>
      </w:r>
      <w:r>
        <w:rPr>
          <w:rFonts w:cs="ArialMT"/>
          <w:b w:val="false"/>
          <w:bCs/>
          <w:i w:val="false"/>
          <w:caps w:val="false"/>
          <w:smallCaps w:val="false"/>
          <w:color w:val="FF0000"/>
          <w:spacing w:val="0"/>
          <w:sz w:val="19"/>
          <w:szCs w:val="19"/>
          <w:shd w:fill="auto" w:val="clear"/>
        </w:rPr>
        <w:t>15.5.2, inciso III</w:t>
      </w:r>
      <w:r>
        <w:rPr>
          <w:rFonts w:cs="ArialMT"/>
          <w:b w:val="false"/>
          <w:bCs/>
          <w:i w:val="false"/>
          <w:caps w:val="false"/>
          <w:smallCaps w:val="false"/>
          <w:color w:val="000000"/>
          <w:spacing w:val="0"/>
          <w:sz w:val="19"/>
          <w:szCs w:val="19"/>
          <w:shd w:fill="auto" w:val="clear"/>
        </w:rPr>
        <w:t>” e impedirá o responsável de licitar ou contratar no âmbito da Administração Pública direta e indireta de todos os entes federativos, pelo prazo mínimo de 3 (três) anos e máximo de 6 (seis) anos</w:t>
      </w:r>
      <w:r>
        <w:rPr>
          <w:b w:val="false"/>
          <w:bCs w:val="false"/>
          <w:i w:val="false"/>
          <w:caps w:val="false"/>
          <w:smallCaps w:val="false"/>
          <w:color w:val="000000"/>
          <w:spacing w:val="0"/>
          <w:sz w:val="19"/>
          <w:szCs w:val="19"/>
          <w:shd w:fill="auto" w:val="clear"/>
        </w:rPr>
        <w:t xml:space="preserve">. </w:t>
      </w:r>
    </w:p>
    <w:p>
      <w:pPr>
        <w:pStyle w:val="BodyText"/>
        <w:widowControl/>
        <w:numPr>
          <w:ilvl w:val="2"/>
          <w:numId w:val="3"/>
        </w:numPr>
        <w:spacing w:lineRule="auto" w:line="240" w:before="3"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 xml:space="preserve">As sanções previstas nos “incisos I, III e IV do </w:t>
      </w:r>
      <w:r>
        <w:rPr>
          <w:rFonts w:cs="ArialMT"/>
          <w:b w:val="false"/>
          <w:bCs/>
          <w:i w:val="false"/>
          <w:caps w:val="false"/>
          <w:smallCaps w:val="false"/>
          <w:color w:val="000000"/>
          <w:spacing w:val="0"/>
          <w:sz w:val="19"/>
          <w:szCs w:val="19"/>
          <w:shd w:fill="auto" w:val="clear"/>
        </w:rPr>
        <w:t>caput do art. 156 da Lei n.º 14.133/2021,</w:t>
      </w:r>
      <w:r>
        <w:rPr>
          <w:b w:val="false"/>
          <w:i w:val="false"/>
          <w:caps w:val="false"/>
          <w:smallCaps w:val="false"/>
          <w:color w:val="000000"/>
          <w:spacing w:val="0"/>
          <w:sz w:val="19"/>
          <w:szCs w:val="19"/>
          <w:shd w:fill="auto" w:val="clear"/>
        </w:rPr>
        <w:t xml:space="preserve"> poderão ser aplicadas cumulativamente com as multas previstas no inciso II do mesmo artigo.</w:t>
      </w:r>
    </w:p>
    <w:p>
      <w:pPr>
        <w:pStyle w:val="BodyText"/>
        <w:widowControl/>
        <w:numPr>
          <w:ilvl w:val="2"/>
          <w:numId w:val="3"/>
        </w:numPr>
        <w:spacing w:lineRule="auto" w:line="240" w:before="3" w:after="62"/>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BodyText"/>
        <w:widowControl/>
        <w:numPr>
          <w:ilvl w:val="2"/>
          <w:numId w:val="3"/>
        </w:numPr>
        <w:spacing w:lineRule="auto" w:line="240" w:before="3" w:after="62"/>
        <w:rPr>
          <w:rFonts w:ascii="Arial" w:hAnsi="Arial"/>
          <w:b w:val="false"/>
          <w:i w:val="false"/>
          <w:i w:val="false"/>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 xml:space="preserve"> </w:t>
      </w:r>
      <w:r>
        <w:rPr>
          <w:rFonts w:cs="Arial-ItalicMT"/>
          <w:b w:val="false"/>
          <w:i w:val="false"/>
          <w:iCs/>
          <w:caps w:val="false"/>
          <w:smallCaps w:val="false"/>
          <w:color w:val="000000"/>
          <w:spacing w:val="0"/>
          <w:sz w:val="19"/>
          <w:szCs w:val="19"/>
          <w:shd w:fill="auto" w:val="clear"/>
        </w:rPr>
        <w:t>A aplicação das sanções previstas neste item não exclui, em hipótese alguma, a obrigação de reparação integral do dano causado à Administração Pública.</w:t>
      </w:r>
    </w:p>
    <w:p>
      <w:pPr>
        <w:pStyle w:val="BodyText"/>
        <w:widowControl/>
        <w:numPr>
          <w:ilvl w:val="1"/>
          <w:numId w:val="3"/>
        </w:numPr>
        <w:spacing w:lineRule="auto" w:line="240" w:before="3" w:after="62"/>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DA EXTINÇÃO CONTRATUAL</w:t>
      </w:r>
    </w:p>
    <w:p>
      <w:pPr>
        <w:pStyle w:val="BodyText"/>
        <w:widowControl/>
        <w:numPr>
          <w:ilvl w:val="2"/>
          <w:numId w:val="3"/>
        </w:numPr>
        <w:spacing w:lineRule="auto" w:line="240" w:before="3" w:after="62"/>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 xml:space="preserve"> </w:t>
      </w:r>
      <w:r>
        <w:rPr>
          <w:rFonts w:cs="Arial-ItalicMT"/>
          <w:b w:val="false"/>
          <w:i w:val="false"/>
          <w:iCs/>
          <w:caps w:val="false"/>
          <w:smallCaps w:val="false"/>
          <w:color w:val="000000"/>
          <w:spacing w:val="0"/>
          <w:sz w:val="19"/>
          <w:szCs w:val="19"/>
          <w:shd w:fill="auto" w:val="clear"/>
        </w:rPr>
        <w:t>Constituirão motivos para extinção do contrato, a qual deverá ser formalmente motivada nos autos do processo, assegurados o contraditório e a ampla defesa, as seguintes situações:</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 Não cumprimento ou cumprimento irregular de normas editalícias ou de cláusulas contratuais, de especificações, de projetos ou de prazos;</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II. Desatendimento das determinações regulares emitidas pela autoridade designada para acompanhar e fiscalizar sua execução ou por autoridade superior;</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III. Alteração social ou modificação da finalidade ou da estrutura da empresa que restrinja sua capacidade de concluir o contrato;</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IV. Decretação de falência ou de insolvência civil, dissolução da sociedade ou falecimento do contratado;</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V. Caso fortuito ou força maior, regularmente comprovados, impeditivos da execução do contrato;</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VI. Atraso na obtenção da licença ambiental, ou impossibilidade de obtê-la, ou alteração substancial do anteprojeto que dela resultar, ainda que obtida no prazo previsto;</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VII. Atraso na liberação das áreas sujeitas a desapropriação, a desocupação ou a servidão administrativa, ou impossibilidade de liberação dessas áreas;</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VIII. Razões de interesse público, justificadas pela autoridade máxima do órgão ou da entidade contratante;</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IX. Não cumprimento das obrigações relativas à reserva de cargos prevista em lei, bem como em outras normas específicas, para pessoa com deficiência, para reabilitado da Previdência Social ou para aprendiz.</w:t>
      </w:r>
    </w:p>
    <w:p>
      <w:pPr>
        <w:pStyle w:val="BodyText"/>
        <w:widowControl/>
        <w:numPr>
          <w:ilvl w:val="2"/>
          <w:numId w:val="3"/>
        </w:numPr>
        <w:spacing w:lineRule="auto" w:line="240" w:before="3" w:after="62"/>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A análise dos critérios para verificação de ocorrência dos motivos para extinção contratual previstos observarão o Decreto Municipal n.º 31/2023, bem como as disposições contidas no Decreto Municipal nº 141/2020.</w:t>
      </w:r>
    </w:p>
    <w:p>
      <w:pPr>
        <w:pStyle w:val="BodyText"/>
        <w:widowControl/>
        <w:numPr>
          <w:ilvl w:val="2"/>
          <w:numId w:val="3"/>
        </w:numPr>
        <w:spacing w:lineRule="auto" w:line="240" w:before="3" w:after="62"/>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O contratado terá direito à extinção do contrato nas seguintes hipóteses:</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 Supressão, por parte da Administração, de obras, serviços ou compras que acarrete modificação do valor inicial do contrato além do limite permitido no art. 125 desta Lei;</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II. Suspensão de execução do contrato, por ordem escrita da Administração, por prazo superior a 3 (três) meses;</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III. Repetidas suspensões que totalizem 90 (noventa) dias úteis, independentemente do pagamento obrigatório de indenização pelas sucessivas e contratualmente imprevistas desmobilizações e mobilizações e outras previstas;</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IV. Atraso superior a 2 (dois) meses, contado da emissão da nota fiscal, dos pagamentos ou de parcelas de pagamentos devidos pela Administração por despesas de obras, serviços ou fornecimentos;</w:t>
      </w:r>
    </w:p>
    <w:p>
      <w:pPr>
        <w:pStyle w:val="BodyText"/>
        <w:widowControl/>
        <w:spacing w:lineRule="auto" w:line="240" w:before="3" w:after="62"/>
        <w:ind w:hanging="0" w:left="567" w:right="0"/>
        <w:jc w:val="both"/>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V.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BodyText"/>
        <w:widowControl/>
        <w:numPr>
          <w:ilvl w:val="2"/>
          <w:numId w:val="3"/>
        </w:numPr>
        <w:spacing w:lineRule="auto" w:line="240" w:before="3" w:after="62"/>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pPr>
        <w:pStyle w:val="BodyText"/>
        <w:widowControl/>
        <w:numPr>
          <w:ilvl w:val="2"/>
          <w:numId w:val="3"/>
        </w:numPr>
        <w:spacing w:lineRule="auto" w:line="240" w:before="3" w:after="62"/>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A extinção do Contrato, quando motivada por qualquer dos itens acima relacionados, implicará a apuração de perdas e danos, sem embargos da aplicação das demais penalidades legais cabíveis.</w:t>
      </w:r>
    </w:p>
    <w:p>
      <w:pPr>
        <w:pStyle w:val="BodyText"/>
        <w:widowControl/>
        <w:numPr>
          <w:ilvl w:val="2"/>
          <w:numId w:val="3"/>
        </w:numPr>
        <w:spacing w:lineRule="auto" w:line="240" w:before="3" w:after="62"/>
        <w:rPr>
          <w:rFonts w:ascii="Arial" w:hAnsi="Arial" w:cs="Arial-ItalicMT"/>
          <w:b w:val="false"/>
          <w:i w:val="false"/>
          <w:i w:val="false"/>
          <w:iCs/>
          <w:caps w:val="false"/>
          <w:smallCaps w:val="false"/>
          <w:color w:val="000000"/>
          <w:spacing w:val="0"/>
          <w:sz w:val="19"/>
          <w:szCs w:val="19"/>
          <w:shd w:fill="auto" w:val="clear"/>
        </w:rPr>
      </w:pPr>
      <w:r>
        <w:rPr>
          <w:rFonts w:cs="Arial-ItalicMT"/>
          <w:b w:val="false"/>
          <w:i w:val="false"/>
          <w:iCs/>
          <w:caps w:val="false"/>
          <w:smallCaps w:val="false"/>
          <w:color w:val="000000"/>
          <w:spacing w:val="0"/>
          <w:sz w:val="19"/>
          <w:szCs w:val="19"/>
          <w:shd w:fill="auto" w:val="clear"/>
        </w:rPr>
        <w:t>Declarada a extinção do Contrato, que vigorará a partir da data da sua declaração, a CONTRATADA se obriga, expressamente, como ora o faz, a entregar os serviços já concluídos, não criando dificuldades de qualquer natureza.</w:t>
      </w:r>
    </w:p>
    <w:p>
      <w:pPr>
        <w:pStyle w:val="Normal"/>
        <w:overflowPunct w:val="false"/>
        <w:spacing w:lineRule="auto" w:line="240" w:before="0" w:after="120"/>
        <w:textAlignment w:val="baseline"/>
        <w:rPr>
          <w:rFonts w:ascii="Arial" w:hAnsi="Arial"/>
          <w:color w:val="C9211E"/>
          <w:sz w:val="19"/>
          <w:szCs w:val="19"/>
        </w:rPr>
      </w:pPr>
      <w:r>
        <w:rPr>
          <w:rFonts w:ascii="Arial" w:hAnsi="Arial"/>
          <w:color w:val="C9211E"/>
          <w:sz w:val="19"/>
          <w:szCs w:val="19"/>
        </w:rPr>
      </w:r>
    </w:p>
    <w:p>
      <w:pPr>
        <w:pStyle w:val="Heading1"/>
        <w:numPr>
          <w:ilvl w:val="0"/>
          <w:numId w:val="3"/>
        </w:numPr>
        <w:overflowPunct w:val="false"/>
        <w:spacing w:lineRule="auto" w:line="240" w:before="31" w:after="62"/>
        <w:jc w:val="center"/>
        <w:textAlignment w:val="baseline"/>
        <w:rPr>
          <w:rFonts w:ascii="Arial" w:hAnsi="Arial"/>
          <w:color w:val="000000"/>
          <w:sz w:val="19"/>
          <w:szCs w:val="19"/>
          <w:shd w:fill="auto" w:val="clear"/>
        </w:rPr>
      </w:pPr>
      <w:r>
        <w:rPr>
          <w:rFonts w:cs="ArialMT"/>
          <w:color w:val="000000"/>
          <w:sz w:val="19"/>
          <w:szCs w:val="19"/>
          <w:shd w:fill="auto" w:val="clear"/>
        </w:rPr>
        <w:t xml:space="preserve">DA </w:t>
      </w:r>
      <w:r>
        <w:rPr>
          <w:rFonts w:eastAsia="MS Mincho;ＭＳ 明朝" w:cs="ArialMT"/>
          <w:b/>
          <w:color w:val="000000"/>
          <w:sz w:val="19"/>
          <w:szCs w:val="19"/>
          <w:shd w:fill="auto" w:val="clear"/>
          <w:lang w:val="pt-BR" w:bidi="ar-SA"/>
        </w:rPr>
        <w:t>FRAUDE E CORRUPÇÃO</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Caso a licitante, em qualquer das fases da licitação e/ou durante a vigência da Ata de Registro de Preços ou execução de contrato firmado com este ente público, praticar qualquer ato lesivo à Administração Pública elencado no art. 5º da Lei Federal 12.846/2013 e Decreto Federal 11.129/2022 ficará submetido à responsabilização objetiva administrativa regida pelo Decreto Municipal 141/2020 e sanções descritas no art. 6º da Lei Federal 12.846/2013, sem prejuízo da responsabilidade penal. Para o disposto neste item, definem-se as seguintes práticas:</w:t>
      </w:r>
    </w:p>
    <w:p>
      <w:pPr>
        <w:pStyle w:val="BodyText"/>
        <w:numPr>
          <w:ilvl w:val="5"/>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 xml:space="preserve">Prática corrupta: oferecer, dar, receber ou solicitar, direta ou indiretamente, qualquer vantagem com o objetivo de influenciar a ação de servidor público no processo de licitação ou na execução de contrato; </w:t>
      </w:r>
    </w:p>
    <w:p>
      <w:pPr>
        <w:pStyle w:val="BodyText"/>
        <w:numPr>
          <w:ilvl w:val="5"/>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 xml:space="preserve">Prática fraudulenta: a falsificação ou omissão dos fatos, com o objetivo de influenciar o processo de licitação ou de execução de contrato; </w:t>
      </w:r>
    </w:p>
    <w:p>
      <w:pPr>
        <w:pStyle w:val="BodyText"/>
        <w:numPr>
          <w:ilvl w:val="5"/>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 xml:space="preserve">Prática colusiva: esquematizar ou estabelecer um acordo entre dois ou mais licitantes, com ou sem o conhecimento de representantes ou prepostos do órgão licitador, visando estabelecer preços em níveis artificiais e não-competitivos; </w:t>
      </w:r>
    </w:p>
    <w:p>
      <w:pPr>
        <w:pStyle w:val="BodyText"/>
        <w:numPr>
          <w:ilvl w:val="5"/>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Prática coercitiva: causar dano ou ameaçar causar dano, direta ou indiretamente, às pessoas ou sua propriedade, visando influenciar sua participação em um processo licitatório ou afetar a execução do contrato;</w:t>
      </w:r>
    </w:p>
    <w:p>
      <w:pPr>
        <w:pStyle w:val="BodyText"/>
        <w:numPr>
          <w:ilvl w:val="5"/>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Se os atos previstos como infrações administrativas à Lei de Licitações n.º 14.133/2021 ou a outras normas de licitações e contratos da Administração Pública forem tipificados como atos lesivos na forma da Lei Federal 12.846/13, poderão ser apurados e julgados conjuntamente, no mesmo processo aplicando-se o rito procedimental do Decreto Municipal 141/2020.</w:t>
      </w:r>
    </w:p>
    <w:p>
      <w:pPr>
        <w:pStyle w:val="BodyText"/>
        <w:numPr>
          <w:ilvl w:val="0"/>
          <w:numId w:val="0"/>
        </w:numPr>
        <w:overflowPunct w:val="false"/>
        <w:spacing w:lineRule="auto" w:line="240" w:before="31" w:after="62"/>
        <w:ind w:hanging="0" w:left="0"/>
        <w:jc w:val="both"/>
        <w:textAlignment w:val="baseline"/>
        <w:rPr>
          <w:rFonts w:ascii="Arial" w:hAnsi="Arial" w:eastAsia="MS Mincho;ＭＳ 明朝" w:cs="ArialMT"/>
          <w:b w:val="false"/>
          <w:bCs w:val="false"/>
          <w:color w:val="C9211E"/>
          <w:sz w:val="19"/>
          <w:szCs w:val="19"/>
          <w:shd w:fill="FFFF00" w:val="clear"/>
          <w:lang w:val="pt-BR" w:bidi="ar-SA"/>
        </w:rPr>
      </w:pPr>
      <w:r>
        <w:rPr>
          <w:rFonts w:eastAsia="MS Mincho;ＭＳ 明朝" w:cs="ArialMT"/>
          <w:b w:val="false"/>
          <w:bCs w:val="false"/>
          <w:color w:val="C9211E"/>
          <w:sz w:val="19"/>
          <w:szCs w:val="19"/>
          <w:shd w:fill="FFFF00" w:val="clear"/>
          <w:lang w:val="pt-BR" w:bidi="ar-SA"/>
        </w:rPr>
      </w:r>
    </w:p>
    <w:p>
      <w:pPr>
        <w:pStyle w:val="Heading1"/>
        <w:numPr>
          <w:ilvl w:val="0"/>
          <w:numId w:val="3"/>
        </w:numPr>
        <w:overflowPunct w:val="false"/>
        <w:spacing w:lineRule="auto" w:line="240" w:before="31" w:after="62"/>
        <w:jc w:val="center"/>
        <w:textAlignment w:val="baseline"/>
        <w:rPr>
          <w:rFonts w:ascii="Arial" w:hAnsi="Arial" w:eastAsia="MS Mincho;ＭＳ 明朝" w:cs="ArialMT"/>
          <w:b/>
          <w:color w:val="000000"/>
          <w:sz w:val="19"/>
          <w:szCs w:val="19"/>
          <w:lang w:val="pt-BR" w:bidi="ar-SA"/>
        </w:rPr>
      </w:pPr>
      <w:r>
        <w:rPr>
          <w:rFonts w:eastAsia="MS Mincho;ＭＳ 明朝" w:cs="ArialMT"/>
          <w:b/>
          <w:color w:val="000000"/>
          <w:sz w:val="19"/>
          <w:szCs w:val="19"/>
          <w:lang w:val="pt-BR" w:bidi="ar-SA"/>
        </w:rPr>
        <w:t>DAS DISPOSIÇÕES FINAIS</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O proponente é responsável pela fidelidade e legitimidade das informações prestadas e dos documentos apresentados em qualquer fase da licitação. A falsidade de qualquer documento apresentado ou a inverdade das informações nele contidas implicará na imediata desclassificação do proponente que o tiver apresentado, ou, caso tenha sido o vencedor, no cancelamento da Ata de Registro de Preços ou do pedido de compra, sem prejuízo das demais sanções cabíveis.</w:t>
      </w:r>
    </w:p>
    <w:p>
      <w:pPr>
        <w:pStyle w:val="Normal"/>
        <w:numPr>
          <w:ilvl w:val="1"/>
          <w:numId w:val="3"/>
        </w:numPr>
        <w:overflowPunct w:val="false"/>
        <w:spacing w:lineRule="auto" w:line="240" w:before="31" w:after="62"/>
        <w:jc w:val="both"/>
        <w:textAlignment w:val="baseline"/>
        <w:rPr>
          <w:rFonts w:ascii="Arial" w:hAnsi="Arial"/>
          <w:sz w:val="19"/>
          <w:szCs w:val="19"/>
        </w:rPr>
      </w:pPr>
      <w:r>
        <w:rPr>
          <w:rFonts w:cs="Verdana" w:ascii="Arial" w:hAnsi="Arial"/>
          <w:sz w:val="19"/>
          <w:szCs w:val="19"/>
        </w:rPr>
        <w:t xml:space="preserve">É facultado ao pregoeiro ou à autoridade a ele superior, em qualquer fase da licitação, promover diligências com vistas a esclarecer ou a complementar a instrução do processo, assim como, submeter documentos que considerar de caráter técnico a análise do corpo técnico da divisão responsável. </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Quaisquer informações, esclarecimentos ou dados fornecidos verbalmente por servidores do Município, inclusive membros da Comissão Especial do Pregão, não serão considerados nem aceitos como argumentos para impugnações, reclamações, reivindicações, etc, por parte dos proponentes. Qualquer informação ou esclarecimento deverá ser solicitado por escrito através do endereço constante no preâmbulo deste Edital.</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A apresentação da proposta pela licitante, implica aceitação deste edital, bem como das normas legais que regem a matéria e, se porventura a licitante for declarada vencedora, ao cumprimento de todas as disposições contidas nesta licitação.</w:t>
      </w:r>
    </w:p>
    <w:p>
      <w:pPr>
        <w:pStyle w:val="Normal"/>
        <w:numPr>
          <w:ilvl w:val="1"/>
          <w:numId w:val="3"/>
        </w:numPr>
        <w:overflowPunct w:val="false"/>
        <w:spacing w:lineRule="auto" w:line="240" w:before="31" w:after="62"/>
        <w:jc w:val="both"/>
        <w:textAlignment w:val="baseline"/>
        <w:rPr>
          <w:rFonts w:ascii="Arial" w:hAnsi="Arial" w:cs="Verdana"/>
          <w:sz w:val="19"/>
          <w:szCs w:val="19"/>
        </w:rPr>
      </w:pPr>
      <w:r>
        <w:rPr>
          <w:rFonts w:cs="Verdana" w:ascii="Arial" w:hAnsi="Arial"/>
          <w:sz w:val="19"/>
          <w:szCs w:val="19"/>
        </w:rPr>
        <w:t>O pregoeiro poderá solicitar Parecer Técnico da área requisitante, sobre a Proposta de Preços apresentada pela licitante classificada, em relação à conformidade com as condições definidas no edital e seus anexos. Assim como para sanar dúvidas, erros ou falhas quanto ao julgamento das propostas e na verificação da documentação de habilitação, de maneira que não altere a substância das propostas, dos documentos e sua validade jurídica, mediante despacho fundamentado, registrado em ata específica e acessível a todos, atribuindo-lhes validade e eficácia para fins de classificação e habilitação.</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lang w:val="pt-BR" w:bidi="ar-SA"/>
        </w:rPr>
      </w:pPr>
      <w:r>
        <w:rPr>
          <w:rFonts w:eastAsia="MS Mincho;ＭＳ 明朝" w:cs="ArialMT"/>
          <w:b w:val="false"/>
          <w:bCs w:val="false"/>
          <w:color w:val="000000"/>
          <w:sz w:val="19"/>
          <w:szCs w:val="19"/>
          <w:lang w:val="pt-BR" w:bidi="ar-SA"/>
        </w:rPr>
        <w:t>Será divulgada ata da sessão pública no sistema eletrônico.</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lang w:val="pt-BR" w:bidi="ar-SA"/>
        </w:rPr>
      </w:pPr>
      <w:r>
        <w:rPr>
          <w:rFonts w:eastAsia="MS Mincho;ＭＳ 明朝" w:cs="ArialMT"/>
          <w:b w:val="false"/>
          <w:bCs w:val="false"/>
          <w:color w:val="000000"/>
          <w:sz w:val="19"/>
          <w:szCs w:val="19"/>
          <w:lang w:val="pt-BR" w:bidi="ar-S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lang w:val="pt-BR" w:bidi="ar-SA"/>
        </w:rPr>
      </w:pPr>
      <w:r>
        <w:rPr>
          <w:rFonts w:eastAsia="MS Mincho;ＭＳ 明朝" w:cs="ArialMT"/>
          <w:b w:val="false"/>
          <w:bCs w:val="false"/>
          <w:color w:val="000000"/>
          <w:sz w:val="19"/>
          <w:szCs w:val="19"/>
          <w:lang w:val="pt-BR" w:bidi="ar-S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lang w:val="pt-BR" w:bidi="ar-SA"/>
        </w:rPr>
      </w:pPr>
      <w:r>
        <w:rPr>
          <w:rFonts w:eastAsia="MS Mincho;ＭＳ 明朝" w:cs="ArialMT"/>
          <w:b w:val="false"/>
          <w:bCs w:val="false"/>
          <w:color w:val="000000"/>
          <w:sz w:val="19"/>
          <w:szCs w:val="19"/>
          <w:lang w:val="pt-BR" w:bidi="ar-SA"/>
        </w:rPr>
        <w:t>Os licitantes assumem todos os custos de preparação e apresentação de suas propostas e a Administração não será, em nenhum caso, responsável por esses custos, independentemente da condução ou do resultado do processo licitatório.</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lang w:val="pt-BR" w:bidi="ar-SA"/>
        </w:rPr>
      </w:pPr>
      <w:r>
        <w:rPr>
          <w:rFonts w:eastAsia="MS Mincho;ＭＳ 明朝" w:cs="ArialMT"/>
          <w:b w:val="false"/>
          <w:bCs w:val="false"/>
          <w:color w:val="000000"/>
          <w:sz w:val="19"/>
          <w:szCs w:val="19"/>
          <w:lang w:val="pt-BR" w:bidi="ar-SA"/>
        </w:rPr>
        <w:t>Na contagem dos prazos estabelecidos neste Edital e seus Anexos, excluir-se-á o dia do início e incluir-se-á o do vencimento. Só se iniciam e vencem os prazos em dias de expediente na Administração.</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lang w:val="pt-BR" w:bidi="ar-SA"/>
        </w:rPr>
      </w:pPr>
      <w:r>
        <w:rPr>
          <w:rFonts w:eastAsia="MS Mincho;ＭＳ 明朝" w:cs="ArialMT"/>
          <w:b w:val="false"/>
          <w:bCs w:val="false"/>
          <w:color w:val="000000"/>
          <w:sz w:val="19"/>
          <w:szCs w:val="19"/>
          <w:lang w:val="pt-BR" w:bidi="ar-SA"/>
        </w:rPr>
        <w:t>O desatendimento de exigências formais não essenciais não importará o afastamento do licitante, desde que seja possível o aproveitamento do ato, observados os princípios da isonomia e do interesse público.</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lang w:val="pt-BR" w:bidi="ar-SA"/>
        </w:rPr>
      </w:pPr>
      <w:r>
        <w:rPr>
          <w:rFonts w:eastAsia="MS Mincho;ＭＳ 明朝" w:cs="ArialMT"/>
          <w:b w:val="false"/>
          <w:bCs w:val="false"/>
          <w:color w:val="000000"/>
          <w:sz w:val="19"/>
          <w:szCs w:val="19"/>
          <w:lang w:val="pt-BR" w:bidi="ar-SA"/>
        </w:rPr>
        <w:t>Em caso de divergência entre disposições deste Edital e de seus anexos ou demais peças que compõem o processo, prevalecerá as deste Edital.</w:t>
      </w:r>
    </w:p>
    <w:p>
      <w:pPr>
        <w:pStyle w:val="Normal"/>
        <w:numPr>
          <w:ilvl w:val="1"/>
          <w:numId w:val="3"/>
        </w:numPr>
        <w:overflowPunct w:val="false"/>
        <w:spacing w:lineRule="auto" w:line="240" w:before="31" w:after="62"/>
        <w:ind w:hanging="0" w:left="0" w:right="0"/>
        <w:jc w:val="both"/>
        <w:textAlignment w:val="baseline"/>
        <w:rPr>
          <w:rFonts w:ascii="Arial" w:hAnsi="Arial" w:cs="Verdana"/>
          <w:i w:val="false"/>
          <w:i w:val="false"/>
          <w:caps w:val="false"/>
          <w:smallCaps w:val="false"/>
          <w:color w:val="000000"/>
          <w:spacing w:val="0"/>
          <w:sz w:val="19"/>
          <w:szCs w:val="19"/>
        </w:rPr>
      </w:pPr>
      <w:r>
        <w:rPr>
          <w:rFonts w:cs="Verdana" w:ascii="Arial" w:hAnsi="Arial"/>
          <w:i w:val="false"/>
          <w:caps w:val="false"/>
          <w:smallCaps w:val="false"/>
          <w:color w:val="000000"/>
          <w:spacing w:val="0"/>
          <w:sz w:val="19"/>
          <w:szCs w:val="19"/>
        </w:rPr>
        <w:t>Caso o edital seja retificado/alterado com a necessidade de remarcação de datas, as propostas devem ser lançadas novamente na plataforma da Caixa.</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lang w:val="pt-BR" w:bidi="ar-SA"/>
        </w:rPr>
      </w:pPr>
      <w:r>
        <w:rPr>
          <w:rFonts w:eastAsia="MS Mincho;ＭＳ 明朝" w:cs="Verdana"/>
          <w:b w:val="false"/>
          <w:bCs w:val="false"/>
          <w:i w:val="false"/>
          <w:caps w:val="false"/>
          <w:smallCaps w:val="false"/>
          <w:color w:val="000000"/>
          <w:spacing w:val="0"/>
          <w:sz w:val="19"/>
          <w:szCs w:val="19"/>
          <w:lang w:val="pt-BR" w:bidi="ar-SA"/>
        </w:rPr>
        <w:t xml:space="preserve">O Edital e seus anexos estão disponíveis, na íntegra, no Portal Nacional de Contratações Públicas (PNCP) e endereço eletrônico </w:t>
      </w:r>
      <w:hyperlink r:id="rId9">
        <w:r>
          <w:rPr>
            <w:rStyle w:val="Style6"/>
            <w:rFonts w:eastAsia="MS Mincho;ＭＳ 明朝" w:cs="Verdana"/>
            <w:b w:val="false"/>
            <w:bCs w:val="false"/>
            <w:i w:val="false"/>
            <w:caps w:val="false"/>
            <w:smallCaps w:val="false"/>
            <w:color w:val="000000"/>
            <w:spacing w:val="0"/>
            <w:sz w:val="19"/>
            <w:szCs w:val="19"/>
            <w:u w:val="single"/>
            <w:lang w:val="pt-BR" w:eastAsia="zxx" w:bidi="ar-SA"/>
          </w:rPr>
          <w:t>http://ip.cianorte.pr.gov.br:8082/portaltransparencia/licitacoes</w:t>
        </w:r>
      </w:hyperlink>
      <w:r>
        <w:rPr>
          <w:rFonts w:eastAsia="MS Mincho;ＭＳ 明朝" w:cs="Verdana"/>
          <w:b w:val="false"/>
          <w:bCs w:val="false"/>
          <w:i w:val="false"/>
          <w:caps w:val="false"/>
          <w:smallCaps w:val="false"/>
          <w:color w:val="000000"/>
          <w:spacing w:val="0"/>
          <w:sz w:val="19"/>
          <w:szCs w:val="19"/>
          <w:lang w:val="pt-BR" w:bidi="ar-SA"/>
        </w:rPr>
        <w:t>, ou a</w:t>
      </w:r>
      <w:r>
        <w:rPr>
          <w:rFonts w:eastAsia="MS Mincho;ＭＳ 明朝" w:cs="Verdana"/>
          <w:b w:val="false"/>
          <w:bCs/>
          <w:i w:val="false"/>
          <w:caps w:val="false"/>
          <w:smallCaps w:val="false"/>
          <w:color w:val="000000"/>
          <w:spacing w:val="0"/>
          <w:sz w:val="19"/>
          <w:szCs w:val="19"/>
          <w:lang w:val="pt-BR" w:bidi="ar-SA"/>
        </w:rPr>
        <w:t xml:space="preserve"> disposição dos interessados na Divisão de Licitações do Município de Cianorte, no horário das 09h00 às 17h00, de segunda a sexta-feira, quando dias úteis.</w:t>
      </w:r>
    </w:p>
    <w:p>
      <w:pPr>
        <w:pStyle w:val="Normal"/>
        <w:numPr>
          <w:ilvl w:val="1"/>
          <w:numId w:val="3"/>
        </w:numPr>
        <w:overflowPunct w:val="false"/>
        <w:spacing w:lineRule="auto" w:line="240" w:before="31" w:after="62"/>
        <w:ind w:hanging="0" w:left="0" w:right="0"/>
        <w:jc w:val="both"/>
        <w:textAlignment w:val="baseline"/>
        <w:rPr>
          <w:rFonts w:ascii="Arial" w:hAnsi="Arial" w:cs="Verdana"/>
          <w:i w:val="false"/>
          <w:i w:val="false"/>
          <w:caps w:val="false"/>
          <w:smallCaps w:val="false"/>
          <w:color w:val="000000"/>
          <w:spacing w:val="0"/>
          <w:sz w:val="19"/>
          <w:szCs w:val="19"/>
        </w:rPr>
      </w:pPr>
      <w:r>
        <w:rPr>
          <w:rFonts w:cs="Verdana" w:ascii="Arial" w:hAnsi="Arial"/>
          <w:i w:val="false"/>
          <w:caps w:val="false"/>
          <w:smallCaps w:val="false"/>
          <w:color w:val="000000"/>
          <w:spacing w:val="0"/>
          <w:sz w:val="19"/>
          <w:szCs w:val="19"/>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pPr>
        <w:pStyle w:val="Normal"/>
        <w:numPr>
          <w:ilvl w:val="1"/>
          <w:numId w:val="3"/>
        </w:numPr>
        <w:overflowPunct w:val="false"/>
        <w:spacing w:lineRule="auto" w:line="240" w:before="31" w:after="62"/>
        <w:ind w:hanging="0" w:left="0" w:right="0"/>
        <w:jc w:val="both"/>
        <w:textAlignment w:val="baseline"/>
        <w:rPr>
          <w:rFonts w:ascii="Arial" w:hAnsi="Arial" w:cs="Verdana"/>
          <w:i w:val="false"/>
          <w:i w:val="false"/>
          <w:caps w:val="false"/>
          <w:smallCaps w:val="false"/>
          <w:color w:val="000000"/>
          <w:spacing w:val="0"/>
          <w:sz w:val="19"/>
          <w:szCs w:val="19"/>
        </w:rPr>
      </w:pPr>
      <w:r>
        <w:rPr>
          <w:rFonts w:cs="Verdana" w:ascii="Arial" w:hAnsi="Arial"/>
          <w:b w:val="false"/>
          <w:bCs w:val="false"/>
          <w:i w:val="false"/>
          <w:caps w:val="false"/>
          <w:smallCaps w:val="false"/>
          <w:color w:val="000000"/>
          <w:spacing w:val="0"/>
          <w:sz w:val="19"/>
          <w:szCs w:val="19"/>
        </w:rPr>
        <w:t>Ao Município de Cianorte fica assegurado o direito de revogar ou anular a presente licitação, em parte ou no todo, em decisão justificada por razões de interesse público derivado de fato superveniente comprovado ou anulá-la por ilegalidade, de ofício ou por provocação mediante ato escrito e fundamentado disponibilizado no sistema para conhecimento dos participantes da licitação. Em caso de revogação ou anulação parcial do certame, o MUNICÍPIO poderá aproveitar as propostas nos termos não atingidos pela revogação ou anulação e na estrita observância aos critérios de julgamento previstos neste edital, nas Leis nº. 14.133/21 e suas alterações. O Município poderá ainda prorrogar, a qualquer tempo, os prazos para recebimento das propostas ou para sua abertura.</w:t>
      </w:r>
    </w:p>
    <w:p>
      <w:pPr>
        <w:pStyle w:val="BodyText"/>
        <w:numPr>
          <w:ilvl w:val="1"/>
          <w:numId w:val="3"/>
        </w:numPr>
        <w:overflowPunct w:val="false"/>
        <w:spacing w:lineRule="auto" w:line="240" w:before="31" w:after="62"/>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Integram este Edital, para todos os fins e efeitos, os seguintes anexos:</w:t>
      </w:r>
    </w:p>
    <w:p>
      <w:pPr>
        <w:pStyle w:val="BodyText"/>
        <w:numPr>
          <w:ilvl w:val="0"/>
          <w:numId w:val="5"/>
        </w:numPr>
        <w:overflowPunct w:val="false"/>
        <w:spacing w:lineRule="auto" w:line="240" w:before="0" w:after="0"/>
        <w:ind w:hanging="0" w:left="227" w:right="0"/>
        <w:jc w:val="both"/>
        <w:textAlignment w:val="baseline"/>
        <w:rPr>
          <w:rFonts w:ascii="Arial" w:hAnsi="Arial" w:eastAsia="MS Mincho;ＭＳ 明朝" w:cs="Verdana"/>
          <w:b w:val="false"/>
          <w:bCs w:val="false"/>
          <w:i w:val="false"/>
          <w:i w:val="false"/>
          <w:caps w:val="false"/>
          <w:smallCaps w:val="false"/>
          <w:color w:val="000000"/>
          <w:spacing w:val="0"/>
          <w:sz w:val="16"/>
          <w:szCs w:val="16"/>
          <w:shd w:fill="auto" w:val="clear"/>
          <w:lang w:val="pt-BR" w:bidi="ar-SA"/>
        </w:rPr>
      </w:pPr>
      <w:r>
        <w:rPr>
          <w:rFonts w:eastAsia="MS Mincho;ＭＳ 明朝" w:cs="Verdana"/>
          <w:b w:val="false"/>
          <w:bCs w:val="false"/>
          <w:i w:val="false"/>
          <w:caps w:val="false"/>
          <w:smallCaps w:val="false"/>
          <w:color w:val="000000"/>
          <w:spacing w:val="0"/>
          <w:sz w:val="16"/>
          <w:szCs w:val="16"/>
          <w:shd w:fill="auto" w:val="clear"/>
          <w:lang w:val="pt-BR" w:bidi="ar-SA"/>
        </w:rPr>
        <w:t>ANEXO I – MINUTA DE ATA;</w:t>
      </w:r>
    </w:p>
    <w:p>
      <w:pPr>
        <w:pStyle w:val="BodyText"/>
        <w:numPr>
          <w:ilvl w:val="0"/>
          <w:numId w:val="5"/>
        </w:numPr>
        <w:overflowPunct w:val="false"/>
        <w:spacing w:lineRule="auto" w:line="240" w:before="0" w:after="0"/>
        <w:ind w:hanging="0" w:left="227" w:right="0"/>
        <w:jc w:val="both"/>
        <w:textAlignment w:val="baseline"/>
        <w:rPr>
          <w:rFonts w:ascii="Arial" w:hAnsi="Arial" w:eastAsia="MS Mincho;ＭＳ 明朝" w:cs="Verdana"/>
          <w:b w:val="false"/>
          <w:bCs w:val="false"/>
          <w:i w:val="false"/>
          <w:i w:val="false"/>
          <w:caps w:val="false"/>
          <w:smallCaps w:val="false"/>
          <w:color w:val="000000"/>
          <w:spacing w:val="0"/>
          <w:sz w:val="16"/>
          <w:szCs w:val="16"/>
          <w:shd w:fill="auto" w:val="clear"/>
          <w:lang w:val="pt-BR" w:bidi="ar-SA"/>
        </w:rPr>
      </w:pPr>
      <w:r>
        <w:rPr>
          <w:rFonts w:eastAsia="MS Mincho;ＭＳ 明朝" w:cs="Verdana"/>
          <w:b w:val="false"/>
          <w:bCs w:val="false"/>
          <w:i w:val="false"/>
          <w:caps w:val="false"/>
          <w:smallCaps w:val="false"/>
          <w:color w:val="000000"/>
          <w:spacing w:val="0"/>
          <w:sz w:val="16"/>
          <w:szCs w:val="16"/>
          <w:shd w:fill="auto" w:val="clear"/>
          <w:lang w:val="pt-BR" w:bidi="ar-SA"/>
        </w:rPr>
        <w:t>ANEXO II – MINUTA DE CONTRATO;</w:t>
      </w:r>
    </w:p>
    <w:p>
      <w:pPr>
        <w:pStyle w:val="BodyText"/>
        <w:numPr>
          <w:ilvl w:val="0"/>
          <w:numId w:val="5"/>
        </w:numPr>
        <w:overflowPunct w:val="false"/>
        <w:spacing w:lineRule="auto" w:line="240" w:before="0" w:after="0"/>
        <w:ind w:hanging="0" w:left="227" w:right="0"/>
        <w:jc w:val="both"/>
        <w:textAlignment w:val="baseline"/>
        <w:rPr>
          <w:rFonts w:ascii="Arial" w:hAnsi="Arial" w:eastAsia="MS Mincho;ＭＳ 明朝" w:cs="Verdana"/>
          <w:b w:val="false"/>
          <w:bCs w:val="false"/>
          <w:i w:val="false"/>
          <w:i w:val="false"/>
          <w:caps w:val="false"/>
          <w:smallCaps w:val="false"/>
          <w:color w:val="000000"/>
          <w:spacing w:val="0"/>
          <w:sz w:val="16"/>
          <w:szCs w:val="16"/>
          <w:shd w:fill="auto" w:val="clear"/>
          <w:lang w:val="pt-BR" w:bidi="ar-SA"/>
        </w:rPr>
      </w:pPr>
      <w:r>
        <w:rPr>
          <w:rFonts w:eastAsia="MS Mincho;ＭＳ 明朝" w:cs="Verdana"/>
          <w:b w:val="false"/>
          <w:bCs w:val="false"/>
          <w:i w:val="false"/>
          <w:caps w:val="false"/>
          <w:smallCaps w:val="false"/>
          <w:color w:val="000000"/>
          <w:spacing w:val="0"/>
          <w:sz w:val="16"/>
          <w:szCs w:val="16"/>
          <w:shd w:fill="auto" w:val="clear"/>
          <w:lang w:val="pt-BR" w:bidi="ar-SA"/>
        </w:rPr>
        <w:t>ANEXO III – MODELO DE PROPOSTA DE PREÇOS;</w:t>
      </w:r>
    </w:p>
    <w:p>
      <w:pPr>
        <w:pStyle w:val="BodyText"/>
        <w:numPr>
          <w:ilvl w:val="0"/>
          <w:numId w:val="5"/>
        </w:numPr>
        <w:overflowPunct w:val="false"/>
        <w:spacing w:lineRule="auto" w:line="240" w:before="0" w:after="0"/>
        <w:ind w:hanging="0" w:left="227" w:right="0"/>
        <w:jc w:val="both"/>
        <w:textAlignment w:val="baseline"/>
        <w:rPr>
          <w:rFonts w:ascii="Arial" w:hAnsi="Arial" w:eastAsia="MS Mincho;ＭＳ 明朝" w:cs="Verdana"/>
          <w:b w:val="false"/>
          <w:bCs w:val="false"/>
          <w:i w:val="false"/>
          <w:i w:val="false"/>
          <w:caps w:val="false"/>
          <w:smallCaps w:val="false"/>
          <w:color w:val="000000"/>
          <w:spacing w:val="0"/>
          <w:sz w:val="16"/>
          <w:szCs w:val="16"/>
          <w:shd w:fill="auto" w:val="clear"/>
          <w:lang w:val="pt-BR" w:bidi="ar-SA"/>
        </w:rPr>
      </w:pPr>
      <w:r>
        <w:rPr>
          <w:rFonts w:eastAsia="MS Mincho;ＭＳ 明朝" w:cs="Verdana"/>
          <w:b w:val="false"/>
          <w:bCs w:val="false"/>
          <w:i w:val="false"/>
          <w:caps w:val="false"/>
          <w:smallCaps w:val="false"/>
          <w:color w:val="000000"/>
          <w:spacing w:val="0"/>
          <w:sz w:val="16"/>
          <w:szCs w:val="16"/>
          <w:shd w:fill="auto" w:val="clear"/>
          <w:lang w:val="pt-BR" w:bidi="ar-SA"/>
        </w:rPr>
        <w:t>ANEXO IV – MODELO DE DECLARAÇÃO DE INIDONEIDADE, ATENDIMENTO AOS REQUISITOS DE HABILITAÇÃO E CIÊNCIA DA VERACIDADE DAS INFORMAÇÕES PRESTADAS, CUMPRIMENTO COM AS EXIGÊNCIAS DA RESERVA DE CARGOS PARA PESSOA COM DEFICIÊNCIA E PARA REABILITADO DA PREVIDÊNCIA SOCIAL, CUMPRIMENTO DO INCISO XXXIII DO ART. 7º DA CONSTITUIÇÃO FEDERAL, VALOR DA PROPOSTA COMPREENDENDO A INTEGRALIDADE DOS CUSTOS PARA ATENDIMENTO DOS DIREITOS TRABALHISTAS E NÃO IMPEDIMENTO E ENQUADRAMENTO DA EMPRESA;</w:t>
      </w:r>
    </w:p>
    <w:p>
      <w:pPr>
        <w:pStyle w:val="BodyText"/>
        <w:numPr>
          <w:ilvl w:val="0"/>
          <w:numId w:val="5"/>
        </w:numPr>
        <w:overflowPunct w:val="false"/>
        <w:spacing w:lineRule="auto" w:line="240" w:before="0" w:after="0"/>
        <w:ind w:hanging="0" w:left="227" w:right="0"/>
        <w:jc w:val="both"/>
        <w:textAlignment w:val="baseline"/>
        <w:rPr>
          <w:rFonts w:ascii="Arial" w:hAnsi="Arial" w:eastAsia="MS Mincho;ＭＳ 明朝" w:cs="Verdana"/>
          <w:b w:val="false"/>
          <w:bCs w:val="false"/>
          <w:i w:val="false"/>
          <w:i w:val="false"/>
          <w:caps w:val="false"/>
          <w:smallCaps w:val="false"/>
          <w:color w:val="000000"/>
          <w:spacing w:val="0"/>
          <w:sz w:val="16"/>
          <w:szCs w:val="16"/>
          <w:shd w:fill="auto" w:val="clear"/>
          <w:lang w:val="pt-BR" w:bidi="ar-SA"/>
        </w:rPr>
      </w:pPr>
      <w:r>
        <w:rPr>
          <w:rFonts w:eastAsia="MS Mincho;ＭＳ 明朝" w:cs="Verdana"/>
          <w:b w:val="false"/>
          <w:bCs w:val="false"/>
          <w:i w:val="false"/>
          <w:caps w:val="false"/>
          <w:smallCaps w:val="false"/>
          <w:color w:val="000000"/>
          <w:spacing w:val="0"/>
          <w:sz w:val="16"/>
          <w:szCs w:val="16"/>
          <w:shd w:fill="auto" w:val="clear"/>
          <w:lang w:val="pt-BR" w:bidi="ar-SA"/>
        </w:rPr>
        <w:t>ANEXO V – INFORMAÇÕES COMPLEMENTARES.</w:t>
      </w:r>
    </w:p>
    <w:p>
      <w:pPr>
        <w:pStyle w:val="BodyText"/>
        <w:overflowPunct w:val="false"/>
        <w:spacing w:lineRule="auto" w:line="240" w:before="0" w:after="0"/>
        <w:jc w:val="both"/>
        <w:textAlignment w:val="baseline"/>
        <w:rPr>
          <w:rFonts w:ascii="Arial" w:hAnsi="Arial" w:eastAsia="MS Mincho;ＭＳ 明朝" w:cs="Verdana"/>
          <w:b w:val="false"/>
          <w:bCs w:val="false"/>
          <w:i w:val="false"/>
          <w:i w:val="false"/>
          <w:caps w:val="false"/>
          <w:smallCaps w:val="false"/>
          <w:color w:val="000000"/>
          <w:spacing w:val="0"/>
          <w:sz w:val="16"/>
          <w:szCs w:val="16"/>
          <w:shd w:fill="auto" w:val="clear"/>
          <w:lang w:val="pt-BR" w:bidi="ar-SA"/>
        </w:rPr>
      </w:pPr>
      <w:r>
        <w:rPr>
          <w:rFonts w:eastAsia="MS Mincho;ＭＳ 明朝" w:cs="Verdana"/>
          <w:b w:val="false"/>
          <w:bCs w:val="false"/>
          <w:i w:val="false"/>
          <w:caps w:val="false"/>
          <w:smallCaps w:val="false"/>
          <w:color w:val="000000"/>
          <w:spacing w:val="0"/>
          <w:sz w:val="16"/>
          <w:szCs w:val="16"/>
          <w:shd w:fill="auto" w:val="clear"/>
          <w:lang w:val="pt-BR" w:bidi="ar-SA"/>
        </w:rPr>
      </w:r>
    </w:p>
    <w:p>
      <w:pPr>
        <w:pStyle w:val="Normal"/>
        <w:overflowPunct w:val="false"/>
        <w:spacing w:lineRule="auto" w:line="240" w:before="0" w:after="120"/>
        <w:jc w:val="both"/>
        <w:textAlignment w:val="baseline"/>
        <w:rPr>
          <w:rFonts w:ascii="Arial" w:hAnsi="Arial"/>
          <w:sz w:val="19"/>
          <w:szCs w:val="19"/>
        </w:rPr>
      </w:pPr>
      <w:r>
        <w:rPr>
          <w:rFonts w:cs="ArialMT" w:ascii="Arial" w:hAnsi="Arial"/>
          <w:sz w:val="19"/>
          <w:szCs w:val="19"/>
        </w:rPr>
        <w:t xml:space="preserve">Paço Municipal Wilson Ferreira Varella, em </w:t>
      </w:r>
      <w:r>
        <w:rPr>
          <w:rFonts w:cs="ArialMT" w:ascii="Arial" w:hAnsi="Arial"/>
          <w:sz w:val="19"/>
          <w:szCs w:val="19"/>
        </w:rPr>
        <w:t>17 de Setembro de 2025.</w:t>
      </w:r>
      <w:r>
        <w:rPr>
          <w:rFonts w:cs="ArialMT" w:ascii="Arial" w:hAnsi="Arial"/>
          <w:sz w:val="19"/>
          <w:szCs w:val="19"/>
        </w:rPr>
        <w:t xml:space="preserve"> </w:t>
      </w:r>
    </w:p>
    <w:p>
      <w:pPr>
        <w:pStyle w:val="Normal"/>
        <w:tabs>
          <w:tab w:val="clear" w:pos="709"/>
          <w:tab w:val="center" w:pos="2552" w:leader="none"/>
          <w:tab w:val="center" w:pos="7655" w:leader="none"/>
        </w:tabs>
        <w:overflowPunct w:val="false"/>
        <w:spacing w:lineRule="auto" w:line="240" w:before="0" w:after="6"/>
        <w:jc w:val="center"/>
        <w:textAlignment w:val="baseline"/>
        <w:rPr>
          <w:rFonts w:ascii="Arial" w:hAnsi="Arial"/>
          <w:sz w:val="19"/>
          <w:szCs w:val="19"/>
        </w:rPr>
      </w:pPr>
      <w:r>
        <w:rPr>
          <w:rFonts w:eastAsia="Times New Roman" w:cs="Verdana" w:ascii="Arial" w:hAnsi="Arial"/>
          <w:b/>
          <w:color w:val="auto"/>
          <w:sz w:val="19"/>
          <w:szCs w:val="19"/>
          <w:lang w:val="pt-BR" w:bidi="ar-SA"/>
        </w:rPr>
        <w:t>__________________________</w:t>
      </w:r>
    </w:p>
    <w:p>
      <w:pPr>
        <w:pStyle w:val="Normal"/>
        <w:tabs>
          <w:tab w:val="clear" w:pos="709"/>
          <w:tab w:val="center" w:pos="2552" w:leader="none"/>
          <w:tab w:val="center" w:pos="7655" w:leader="none"/>
        </w:tabs>
        <w:overflowPunct w:val="false"/>
        <w:spacing w:lineRule="auto" w:line="240" w:before="0" w:after="6"/>
        <w:jc w:val="center"/>
        <w:textAlignment w:val="baseline"/>
        <w:rPr>
          <w:rFonts w:ascii="Arial" w:hAnsi="Arial" w:eastAsia="Times New Roman" w:cs="Verdana"/>
          <w:b/>
          <w:color w:val="auto"/>
          <w:sz w:val="19"/>
          <w:szCs w:val="19"/>
          <w:lang w:val="pt-BR" w:bidi="ar-SA"/>
        </w:rPr>
      </w:pPr>
      <w:r>
        <w:rPr>
          <w:rFonts w:eastAsia="Times New Roman" w:cs="Verdana" w:ascii="Arial" w:hAnsi="Arial"/>
          <w:b/>
          <w:color w:val="auto"/>
          <w:sz w:val="19"/>
          <w:szCs w:val="19"/>
          <w:lang w:val="pt-BR" w:eastAsia="zh-CN" w:bidi="ar-SA"/>
        </w:rPr>
        <w:t>Daniele Lima Simão</w:t>
      </w:r>
    </w:p>
    <w:p>
      <w:pPr>
        <w:pStyle w:val="Normal"/>
        <w:tabs>
          <w:tab w:val="clear" w:pos="709"/>
          <w:tab w:val="center" w:pos="2552" w:leader="none"/>
          <w:tab w:val="center" w:pos="7655" w:leader="none"/>
        </w:tabs>
        <w:overflowPunct w:val="false"/>
        <w:spacing w:lineRule="auto" w:line="240" w:before="0" w:after="6"/>
        <w:jc w:val="center"/>
        <w:textAlignment w:val="baseline"/>
        <w:rPr>
          <w:rFonts w:ascii="Arial" w:hAnsi="Arial" w:eastAsia="MS Mincho;ＭＳ 明朝" w:cs="Verdana"/>
          <w:b/>
          <w:sz w:val="19"/>
          <w:szCs w:val="19"/>
        </w:rPr>
      </w:pPr>
      <w:r>
        <w:rPr>
          <w:rFonts w:eastAsia="MS Mincho;ＭＳ 明朝" w:cs="Verdana" w:ascii="Arial" w:hAnsi="Arial"/>
          <w:b/>
          <w:sz w:val="19"/>
          <w:szCs w:val="19"/>
        </w:rPr>
        <w:t>Secretária Municipal de Administração</w:t>
      </w:r>
      <w:r>
        <w:br w:type="page"/>
      </w:r>
    </w:p>
    <w:p>
      <w:pPr>
        <w:pStyle w:val="Heading2"/>
        <w:numPr>
          <w:ilvl w:val="1"/>
          <w:numId w:val="1"/>
        </w:numPr>
        <w:spacing w:lineRule="auto" w:line="240" w:before="0" w:after="62"/>
        <w:jc w:val="center"/>
        <w:rPr>
          <w:rFonts w:ascii="Arial" w:hAnsi="Arial"/>
          <w:sz w:val="19"/>
          <w:szCs w:val="19"/>
        </w:rPr>
      </w:pPr>
      <w:bookmarkStart w:id="4" w:name="__RefHeading___Toc34713_3041975443"/>
      <w:bookmarkEnd w:id="4"/>
      <w:r>
        <w:rPr>
          <w:sz w:val="19"/>
          <w:szCs w:val="19"/>
        </w:rPr>
        <w:t>ANEXO I</w:t>
      </w:r>
    </w:p>
    <w:p>
      <w:pPr>
        <w:pStyle w:val="Heading3"/>
        <w:numPr>
          <w:ilvl w:val="0"/>
          <w:numId w:val="0"/>
        </w:numPr>
        <w:spacing w:lineRule="auto" w:line="240" w:before="31" w:after="62"/>
        <w:ind w:hanging="0" w:left="0"/>
        <w:jc w:val="center"/>
        <w:rPr>
          <w:rFonts w:ascii="Arial" w:hAnsi="Arial"/>
          <w:sz w:val="19"/>
          <w:szCs w:val="19"/>
          <w:u w:val="none"/>
        </w:rPr>
      </w:pPr>
      <w:r>
        <w:rPr>
          <w:b/>
          <w:bCs/>
          <w:sz w:val="19"/>
          <w:szCs w:val="19"/>
          <w:u w:val="none"/>
        </w:rPr>
        <w:t xml:space="preserve">MINUTA DA Ata de Registro de Preços </w:t>
      </w:r>
      <w:r>
        <w:rPr>
          <w:rFonts w:cs="Arial"/>
          <w:b/>
          <w:bCs/>
          <w:sz w:val="19"/>
          <w:szCs w:val="19"/>
          <w:u w:val="none"/>
        </w:rPr>
        <w:t xml:space="preserve">Nº </w:t>
      </w:r>
      <w:r>
        <w:rPr>
          <w:rFonts w:eastAsia="MS Mincho;ＭＳ 明朝" w:cs="Arial"/>
          <w:b/>
          <w:bCs/>
          <w:color w:val="000000"/>
          <w:sz w:val="19"/>
          <w:szCs w:val="19"/>
          <w:u w:val="none"/>
          <w:lang w:eastAsia="pt-BR"/>
        </w:rPr>
        <w:t>&lt;Número_Contrato&gt;/&lt;Ano_Contrato&gt; – LCT/PMC</w:t>
      </w:r>
    </w:p>
    <w:p>
      <w:pPr>
        <w:pStyle w:val="BodyText"/>
        <w:jc w:val="center"/>
        <w:rPr/>
      </w:pPr>
      <w:r>
        <w:rPr>
          <w:rFonts w:cs="Arial"/>
          <w:b/>
          <w:bCs/>
        </w:rPr>
        <w:t>PREGÃO</w:t>
      </w:r>
      <w:r>
        <w:rPr>
          <w:rFonts w:eastAsia="MS Mincho;ＭＳ 明朝" w:cs="Arial"/>
          <w:b/>
          <w:lang w:eastAsia="pt-BR"/>
        </w:rPr>
        <w:t xml:space="preserve"> ELETRÔNICO N</w:t>
      </w:r>
      <w:r>
        <w:rPr>
          <w:rFonts w:eastAsia="MS Mincho;ＭＳ 明朝" w:cs="Arial"/>
          <w:b/>
          <w:bCs/>
          <w:lang w:eastAsia="pt-BR"/>
        </w:rPr>
        <w:t xml:space="preserve">º. </w:t>
      </w:r>
      <w:r>
        <w:rPr>
          <w:rFonts w:cs="Verdana"/>
          <w:b/>
          <w:bCs/>
        </w:rPr>
        <w:t>&lt;Número_Licitação&gt;/&lt;Ano_Licitação&gt;</w:t>
      </w:r>
      <w:r>
        <w:rPr>
          <w:rFonts w:eastAsia="MS Mincho;ＭＳ 明朝" w:cs="Verdana"/>
          <w:b/>
          <w:bCs/>
          <w:i w:val="false"/>
          <w:caps w:val="false"/>
          <w:smallCaps w:val="false"/>
          <w:color w:val="000000"/>
          <w:spacing w:val="0"/>
          <w:sz w:val="16"/>
          <w:szCs w:val="16"/>
          <w:shd w:fill="auto" w:val="clear"/>
          <w:lang w:val="pt-BR" w:eastAsia="pt-BR" w:bidi="ar-SA"/>
        </w:rPr>
        <w:t xml:space="preserve"> – </w:t>
      </w:r>
      <w:r>
        <w:rPr>
          <w:rFonts w:eastAsia="MS Mincho;ＭＳ 明朝" w:cs="Arial"/>
          <w:b/>
          <w:lang w:eastAsia="pt-BR"/>
        </w:rPr>
        <w:t>REGISTRO DE PREÇOS</w:t>
      </w:r>
    </w:p>
    <w:p>
      <w:pPr>
        <w:pStyle w:val="Normal"/>
        <w:overflowPunct w:val="false"/>
        <w:spacing w:lineRule="auto" w:line="240" w:before="31" w:after="62"/>
        <w:jc w:val="center"/>
        <w:textAlignment w:val="baseline"/>
        <w:rPr>
          <w:rFonts w:ascii="Arial" w:hAnsi="Arial" w:cs="Arial"/>
          <w:b/>
          <w:bCs/>
          <w:sz w:val="19"/>
          <w:szCs w:val="19"/>
          <w:u w:val="none"/>
        </w:rPr>
      </w:pPr>
      <w:r>
        <w:rPr>
          <w:rFonts w:cs="Arial" w:ascii="Arial" w:hAnsi="Arial"/>
          <w:b/>
          <w:bCs/>
          <w:sz w:val="19"/>
          <w:szCs w:val="19"/>
          <w:u w:val="none"/>
        </w:rPr>
        <w:t>VALIDADE: 12 meses</w:t>
      </w:r>
    </w:p>
    <w:p>
      <w:pPr>
        <w:pStyle w:val="Normal"/>
        <w:overflowPunct w:val="false"/>
        <w:spacing w:lineRule="auto" w:line="240" w:before="31" w:after="62"/>
        <w:jc w:val="both"/>
        <w:textAlignment w:val="baseline"/>
        <w:rPr>
          <w:rFonts w:ascii="Arial" w:hAnsi="Arial"/>
          <w:sz w:val="19"/>
          <w:szCs w:val="19"/>
        </w:rPr>
      </w:pPr>
      <w:r>
        <w:rPr>
          <w:rFonts w:eastAsia="MS Mincho;ＭＳ 明朝" w:cs="Arial" w:ascii="Arial" w:hAnsi="Arial"/>
          <w:b/>
          <w:sz w:val="19"/>
          <w:szCs w:val="19"/>
          <w:lang w:eastAsia="pt-BR"/>
        </w:rPr>
        <w:t>O MUNICÍPIO DE CIANORTE</w:t>
      </w:r>
      <w:r>
        <w:rPr>
          <w:rFonts w:eastAsia="MS Mincho;ＭＳ 明朝" w:cs="Arial" w:ascii="Arial" w:hAnsi="Arial"/>
          <w:sz w:val="19"/>
          <w:szCs w:val="19"/>
          <w:lang w:eastAsia="pt-BR"/>
        </w:rPr>
        <w:t xml:space="preserve">, pessoa jurídica de direito público interno, inscrita no </w:t>
      </w:r>
      <w:r>
        <w:rPr>
          <w:rFonts w:eastAsia="MS Mincho;ＭＳ 明朝" w:cs="Arial" w:ascii="Arial" w:hAnsi="Arial"/>
          <w:b/>
          <w:bCs/>
          <w:sz w:val="19"/>
          <w:szCs w:val="19"/>
          <w:lang w:eastAsia="pt-BR"/>
        </w:rPr>
        <w:t>CNPJ nº. 76.309.806/0001-28,</w:t>
      </w:r>
      <w:r>
        <w:rPr>
          <w:rFonts w:eastAsia="MS Mincho;ＭＳ 明朝" w:cs="Arial" w:ascii="Arial" w:hAnsi="Arial"/>
          <w:sz w:val="19"/>
          <w:szCs w:val="19"/>
          <w:lang w:eastAsia="pt-BR"/>
        </w:rPr>
        <w:t xml:space="preserve"> com sede no Centro Cívico Edno Guimarães, 100, nesta cidade de Cianorte – Paraná, neste ato representado pelo seu Prefeito, </w:t>
      </w:r>
      <w:r>
        <w:rPr>
          <w:rFonts w:eastAsia="MS Mincho;ＭＳ 明朝" w:cs="Arial" w:ascii="Arial" w:hAnsi="Arial"/>
          <w:b/>
          <w:sz w:val="19"/>
          <w:szCs w:val="19"/>
          <w:lang w:eastAsia="pt-BR"/>
        </w:rPr>
        <w:t>Marco Antonio Franzato</w:t>
      </w:r>
      <w:r>
        <w:rPr>
          <w:rFonts w:eastAsia="MS Mincho;ＭＳ 明朝" w:cs="Arial" w:ascii="Arial" w:hAnsi="Arial"/>
          <w:sz w:val="19"/>
          <w:szCs w:val="19"/>
          <w:lang w:eastAsia="pt-BR"/>
        </w:rPr>
        <w:t>, portador da Cédula de Identidade RG n</w:t>
      </w:r>
      <w:r>
        <w:rPr>
          <w:rFonts w:eastAsia="MS Mincho;ＭＳ 明朝" w:cs="Arial" w:ascii="Arial" w:hAnsi="Arial"/>
          <w:sz w:val="19"/>
          <w:szCs w:val="19"/>
          <w:u w:val="single"/>
          <w:vertAlign w:val="superscript"/>
          <w:lang w:eastAsia="pt-BR"/>
        </w:rPr>
        <w:t>o</w:t>
      </w:r>
      <w:r>
        <w:rPr>
          <w:rFonts w:eastAsia="MS Mincho;ＭＳ 明朝" w:cs="Arial" w:ascii="Arial" w:hAnsi="Arial"/>
          <w:sz w:val="19"/>
          <w:szCs w:val="19"/>
          <w:lang w:eastAsia="pt-BR"/>
        </w:rPr>
        <w:t xml:space="preserve"> 3.037.024-4/SSP-PR, inscrito no CPF sob o n.º 306.800.859-04, considerando o julgamento da licitação modalidade Pregão nº </w:t>
      </w:r>
      <w:r>
        <w:rPr>
          <w:rFonts w:cs="Verdana" w:ascii="Arial" w:hAnsi="Arial"/>
          <w:b/>
          <w:color w:val="FF0000"/>
          <w:sz w:val="19"/>
          <w:szCs w:val="19"/>
        </w:rPr>
        <w:t>&lt;Número_Licitação&gt;/&lt;Ano_Licitação&gt;</w:t>
      </w:r>
      <w:r>
        <w:rPr>
          <w:rFonts w:eastAsia="MS Mincho;ＭＳ 明朝" w:cs="Arial" w:ascii="Arial" w:hAnsi="Arial"/>
          <w:sz w:val="19"/>
          <w:szCs w:val="19"/>
          <w:lang w:eastAsia="pt-BR"/>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Pr>
          <w:rFonts w:eastAsia="MS Mincho;ＭＳ 明朝" w:cs="Verdana" w:ascii="Arial" w:hAnsi="Arial"/>
          <w:color w:val="C9211E"/>
          <w:sz w:val="19"/>
          <w:szCs w:val="19"/>
          <w:lang w:eastAsia="pt-BR"/>
        </w:rPr>
        <w:t>Lei Federal nº 14.133/2021</w:t>
      </w:r>
      <w:r>
        <w:rPr>
          <w:rFonts w:eastAsia="MS Mincho;ＭＳ 明朝" w:cs="Verdana" w:ascii="Arial" w:hAnsi="Arial"/>
          <w:color w:val="000000"/>
          <w:sz w:val="19"/>
          <w:szCs w:val="19"/>
          <w:lang w:eastAsia="pt-BR"/>
        </w:rPr>
        <w:t xml:space="preserve">, </w:t>
      </w:r>
      <w:r>
        <w:rPr>
          <w:rFonts w:eastAsia="MS Mincho;ＭＳ 明朝" w:cs="Arial-ItalicMT" w:ascii="Arial" w:hAnsi="Arial"/>
          <w:iCs/>
          <w:color w:val="000000"/>
          <w:sz w:val="19"/>
          <w:szCs w:val="19"/>
          <w:lang w:eastAsia="pt-BR"/>
        </w:rPr>
        <w:t>Decreto Municipal n.º 31/2023</w:t>
      </w:r>
      <w:r>
        <w:rPr>
          <w:rFonts w:eastAsia="MS Mincho;ＭＳ 明朝" w:cs="Verdana" w:ascii="Arial" w:hAnsi="Arial"/>
          <w:color w:val="000000"/>
          <w:sz w:val="19"/>
          <w:szCs w:val="19"/>
          <w:lang w:eastAsia="pt-BR"/>
        </w:rPr>
        <w:t xml:space="preserve"> e demais legislações aplicáveis.</w:t>
      </w:r>
    </w:p>
    <w:p>
      <w:pPr>
        <w:pStyle w:val="Normal"/>
        <w:overflowPunct w:val="false"/>
        <w:spacing w:lineRule="auto" w:line="240" w:before="31" w:after="62"/>
        <w:jc w:val="both"/>
        <w:textAlignment w:val="baseline"/>
        <w:rPr>
          <w:rFonts w:ascii="Arial" w:hAnsi="Arial" w:eastAsia="MS Mincho;ＭＳ 明朝" w:cs="Verdana"/>
          <w:color w:val="000000"/>
          <w:sz w:val="19"/>
          <w:szCs w:val="19"/>
          <w:lang w:eastAsia="pt-BR"/>
        </w:rPr>
      </w:pPr>
      <w:r>
        <w:rPr>
          <w:rFonts w:eastAsia="MS Mincho;ＭＳ 明朝" w:cs="Verdana" w:ascii="Arial" w:hAnsi="Arial"/>
          <w:color w:val="000000"/>
          <w:sz w:val="19"/>
          <w:szCs w:val="19"/>
          <w:lang w:eastAsia="pt-BR"/>
        </w:rPr>
      </w:r>
    </w:p>
    <w:p>
      <w:pPr>
        <w:pStyle w:val="Normal"/>
        <w:numPr>
          <w:ilvl w:val="0"/>
          <w:numId w:val="6"/>
        </w:numPr>
        <w:overflowPunct w:val="false"/>
        <w:spacing w:lineRule="auto" w:line="240" w:before="31" w:after="62"/>
        <w:ind w:hanging="0" w:left="0" w:right="0"/>
        <w:jc w:val="both"/>
        <w:textAlignment w:val="baseline"/>
        <w:rPr>
          <w:rFonts w:ascii="Arial" w:hAnsi="Arial" w:eastAsia="MS Mincho;ＭＳ 明朝" w:cs="Arial"/>
          <w:b/>
          <w:bCs/>
          <w:sz w:val="19"/>
          <w:szCs w:val="19"/>
          <w:lang w:eastAsia="pt-BR"/>
        </w:rPr>
      </w:pPr>
      <w:r>
        <w:rPr>
          <w:rFonts w:eastAsia="MS Mincho;ＭＳ 明朝" w:cs="Arial" w:ascii="Arial" w:hAnsi="Arial"/>
          <w:b/>
          <w:bCs/>
          <w:sz w:val="19"/>
          <w:szCs w:val="19"/>
          <w:lang w:eastAsia="pt-BR"/>
        </w:rPr>
        <w:t>DO OBJETO</w:t>
      </w:r>
    </w:p>
    <w:p>
      <w:pPr>
        <w:pStyle w:val="Normal"/>
        <w:numPr>
          <w:ilvl w:val="1"/>
          <w:numId w:val="6"/>
        </w:numPr>
        <w:overflowPunct w:val="false"/>
        <w:spacing w:lineRule="auto" w:line="240" w:before="31" w:after="62"/>
        <w:ind w:hanging="0" w:left="0" w:right="0"/>
        <w:jc w:val="both"/>
        <w:textAlignment w:val="baseline"/>
        <w:rPr/>
      </w:pPr>
      <w:r>
        <w:rPr>
          <w:rFonts w:eastAsia="MS Mincho;ＭＳ 明朝" w:cs="Arial" w:ascii="Arial" w:hAnsi="Arial"/>
          <w:bCs/>
          <w:sz w:val="19"/>
          <w:szCs w:val="19"/>
          <w:lang w:eastAsia="pt-BR"/>
        </w:rPr>
        <w:t xml:space="preserve">A presente Ata tem por objeto o Registro de Preços visando à </w:t>
      </w:r>
      <w:r>
        <w:rPr>
          <w:rFonts w:eastAsia="MS Mincho;ＭＳ 明朝" w:cs="Verdana" w:ascii="Arial" w:hAnsi="Arial"/>
          <w:b/>
          <w:bCs/>
          <w:color w:val="FF0000"/>
          <w:sz w:val="19"/>
          <w:szCs w:val="19"/>
          <w:lang w:eastAsia="pt-BR"/>
        </w:rPr>
        <w:t>Aquisição de fraldas com recursos da Deliberação nº 78/2022 – CEDCA/PR e recursos livres, para a Secretaria Municipal de Assistência Social</w:t>
      </w:r>
      <w:r>
        <w:rPr>
          <w:rFonts w:eastAsia="MS Mincho;ＭＳ 明朝" w:cs="Arial" w:ascii="Arial" w:hAnsi="Arial"/>
          <w:bCs/>
          <w:sz w:val="19"/>
          <w:szCs w:val="19"/>
          <w:lang w:eastAsia="pt-BR"/>
        </w:rPr>
        <w:t xml:space="preserve">, conforme especificações contidas no edital de </w:t>
      </w:r>
      <w:r>
        <w:rPr>
          <w:rFonts w:eastAsia="MS Mincho;ＭＳ 明朝" w:cs="Arial" w:ascii="Arial" w:hAnsi="Arial"/>
          <w:b/>
          <w:bCs/>
          <w:sz w:val="19"/>
          <w:szCs w:val="19"/>
          <w:lang w:eastAsia="pt-BR"/>
        </w:rPr>
        <w:t>Pregão nº</w:t>
      </w:r>
      <w:r>
        <w:rPr>
          <w:rFonts w:eastAsia="MS Mincho;ＭＳ 明朝" w:cs="Arial" w:ascii="Arial" w:hAnsi="Arial"/>
          <w:bCs/>
          <w:sz w:val="19"/>
          <w:szCs w:val="19"/>
          <w:lang w:eastAsia="pt-BR"/>
        </w:rPr>
        <w:t xml:space="preserve"> </w:t>
      </w:r>
      <w:r>
        <w:rPr>
          <w:rFonts w:cs="Verdana" w:ascii="Arial" w:hAnsi="Arial"/>
          <w:b/>
          <w:color w:val="FF0000"/>
          <w:sz w:val="19"/>
          <w:szCs w:val="19"/>
        </w:rPr>
        <w:t>&lt;Número_Licitação&gt;/&lt;Ano_Licitação&gt;</w:t>
      </w:r>
      <w:r>
        <w:rPr>
          <w:rFonts w:eastAsia="MS Mincho;ＭＳ 明朝" w:cs="Arial" w:ascii="Arial" w:hAnsi="Arial"/>
          <w:bCs/>
          <w:sz w:val="19"/>
          <w:szCs w:val="19"/>
          <w:lang w:eastAsia="pt-BR"/>
        </w:rPr>
        <w:t>, que é parte integrante desta Ata, assim como a proposta vencedora, independentemente de transcrição.</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 xml:space="preserve">Órgão participante do presente procedimento: </w:t>
      </w:r>
    </w:p>
    <w:tbl>
      <w:tblPr>
        <w:tblW w:w="9450" w:type="dxa"/>
        <w:jc w:val="left"/>
        <w:tblInd w:w="195" w:type="dxa"/>
        <w:tblLayout w:type="fixed"/>
        <w:tblCellMar>
          <w:top w:w="0" w:type="dxa"/>
          <w:left w:w="108" w:type="dxa"/>
          <w:bottom w:w="0" w:type="dxa"/>
          <w:right w:w="108" w:type="dxa"/>
        </w:tblCellMar>
      </w:tblPr>
      <w:tblGrid>
        <w:gridCol w:w="4628"/>
        <w:gridCol w:w="4821"/>
      </w:tblGrid>
      <w:tr>
        <w:trPr/>
        <w:tc>
          <w:tcPr>
            <w:tcW w:w="4628"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CENTRO DE CUSTO</w:t>
            </w:r>
          </w:p>
        </w:tc>
        <w:tc>
          <w:tcPr>
            <w:tcW w:w="4821"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CÓDIGO</w:t>
            </w:r>
          </w:p>
        </w:tc>
      </w:tr>
      <w:tr>
        <w:trPr/>
        <w:tc>
          <w:tcPr>
            <w:tcW w:w="4628"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SECRETARIA DE ASSISTÊNCIA SOCIAL</w:t>
            </w:r>
          </w:p>
        </w:tc>
        <w:tc>
          <w:tcPr>
            <w:tcW w:w="4821"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w:t>
            </w:r>
          </w:p>
        </w:tc>
      </w:tr>
    </w:tbl>
    <w:p>
      <w:pPr>
        <w:pStyle w:val="Normal"/>
        <w:numPr>
          <w:ilvl w:val="0"/>
          <w:numId w:val="0"/>
        </w:numPr>
        <w:overflowPunct w:val="false"/>
        <w:spacing w:lineRule="auto" w:line="240" w:before="31" w:after="62"/>
        <w:ind w:hanging="0" w:left="1196"/>
        <w:jc w:val="both"/>
        <w:textAlignment w:val="baseline"/>
        <w:rPr>
          <w:rFonts w:ascii="Arial" w:hAnsi="Arial" w:eastAsia="MS Mincho;ＭＳ 明朝" w:cs="Verdana"/>
          <w:bCs/>
          <w:color w:val="FF0000"/>
          <w:sz w:val="19"/>
          <w:szCs w:val="19"/>
          <w:shd w:fill="auto" w:val="clear"/>
          <w:lang w:eastAsia="pt-BR"/>
        </w:rPr>
      </w:pPr>
      <w:r>
        <w:rPr>
          <w:rFonts w:eastAsia="MS Mincho;ＭＳ 明朝" w:cs="Verdana" w:ascii="Arial" w:hAnsi="Arial"/>
          <w:bCs/>
          <w:color w:val="FF0000"/>
          <w:sz w:val="19"/>
          <w:szCs w:val="19"/>
          <w:shd w:fill="auto" w:val="clear"/>
          <w:lang w:eastAsia="pt-BR"/>
        </w:rPr>
      </w:r>
    </w:p>
    <w:p>
      <w:pPr>
        <w:pStyle w:val="Normal"/>
        <w:numPr>
          <w:ilvl w:val="0"/>
          <w:numId w:val="6"/>
        </w:numPr>
        <w:overflowPunct w:val="false"/>
        <w:spacing w:lineRule="auto" w:line="240" w:before="31" w:after="62"/>
        <w:ind w:hanging="0" w:left="0" w:right="0"/>
        <w:jc w:val="both"/>
        <w:textAlignment w:val="baseline"/>
        <w:rPr>
          <w:rFonts w:ascii="Arial" w:hAnsi="Arial" w:eastAsia="MS Mincho;ＭＳ 明朝" w:cs="Arial"/>
          <w:b/>
          <w:bCs/>
          <w:sz w:val="19"/>
          <w:szCs w:val="19"/>
          <w:lang w:eastAsia="pt-BR"/>
        </w:rPr>
      </w:pPr>
      <w:r>
        <w:rPr>
          <w:rFonts w:eastAsia="MS Mincho;ＭＳ 明朝" w:cs="Arial" w:ascii="Arial" w:hAnsi="Arial"/>
          <w:b/>
          <w:bCs/>
          <w:sz w:val="19"/>
          <w:szCs w:val="19"/>
          <w:lang w:eastAsia="pt-BR"/>
        </w:rPr>
        <w:t>DO PREÇO REGISTRADO</w:t>
      </w:r>
    </w:p>
    <w:p>
      <w:pPr>
        <w:pStyle w:val="Normal"/>
        <w:numPr>
          <w:ilvl w:val="1"/>
          <w:numId w:val="6"/>
        </w:numPr>
        <w:overflowPunct w:val="false"/>
        <w:spacing w:lineRule="auto" w:line="240" w:before="31" w:after="62"/>
        <w:ind w:hanging="0" w:left="0" w:right="0"/>
        <w:jc w:val="both"/>
        <w:textAlignment w:val="baseline"/>
        <w:rPr>
          <w:rFonts w:ascii="Arial" w:hAnsi="Arial" w:eastAsia="MS Mincho;ＭＳ 明朝" w:cs="Arial"/>
          <w:b w:val="false"/>
          <w:bCs w:val="false"/>
          <w:sz w:val="19"/>
          <w:szCs w:val="19"/>
          <w:lang w:eastAsia="pt-BR"/>
        </w:rPr>
      </w:pPr>
      <w:r>
        <w:rPr>
          <w:rFonts w:eastAsia="MS Mincho;ＭＳ 明朝" w:cs="Arial" w:ascii="Arial" w:hAnsi="Arial"/>
          <w:b w:val="false"/>
          <w:bCs w:val="false"/>
          <w:sz w:val="19"/>
          <w:szCs w:val="19"/>
          <w:lang w:eastAsia="pt-BR"/>
        </w:rPr>
        <w:t>Ficam registrados os preços, observada a ordem de classificação, da empresa &lt;Nome_Fornecedor&gt;, pessoa jurídica de direito privado, com sede à &lt;Endereço_Fornecedor&gt;, &lt;Bairro_Fornecedor&gt;, CEP &lt;Cep_Fornecedor&gt;, na cidade de &lt;Cidade_Fornecedor&gt;-&lt;Estado_Sigla_Fornecedor&gt;, inscrita no CNPJ/MF sob nº &lt;CNPJ_CPF_Fornecedor&gt;, telefone &lt;Fone_Fornecedor&gt;, Email: &lt;Email_Fornecedor_Contato&gt;,  neste ato representada pelo seu sócio administrador, o Sr. &lt;Nome_Representante&gt;, portador da Cédula de Identidade &lt;RG_Representante&gt;/&lt;Órgão_Emissor_Representante&gt; e do CPF &lt;CPF_Representante&gt;, residente e domiciliado em &lt;Cidade_Fornecedor&gt;-&lt;Estado_Sigla_Fornecedor&gt;, ao final assinado, conforme os seguintes preços dos</w:t>
      </w:r>
      <w:r>
        <w:rPr>
          <w:rFonts w:eastAsia="MS Mincho;ＭＳ 明朝" w:cs="Arial" w:ascii="Arial" w:hAnsi="Arial"/>
          <w:b w:val="false"/>
          <w:bCs w:val="false"/>
          <w:sz w:val="19"/>
          <w:szCs w:val="19"/>
          <w:shd w:fill="auto" w:val="clear"/>
          <w:lang w:eastAsia="pt-BR"/>
        </w:rPr>
        <w:t xml:space="preserve"> itens </w:t>
      </w:r>
      <w:r>
        <w:rPr>
          <w:rFonts w:eastAsia="MS Mincho;ＭＳ 明朝" w:cs="Arial" w:ascii="Arial" w:hAnsi="Arial"/>
          <w:b w:val="false"/>
          <w:bCs w:val="false"/>
          <w:sz w:val="19"/>
          <w:szCs w:val="19"/>
          <w:lang w:eastAsia="pt-BR"/>
        </w:rPr>
        <w:t>abaixo relacionados:</w:t>
      </w:r>
    </w:p>
    <w:p>
      <w:pPr>
        <w:pStyle w:val="Normal"/>
        <w:numPr>
          <w:ilvl w:val="0"/>
          <w:numId w:val="0"/>
        </w:numPr>
        <w:overflowPunct w:val="false"/>
        <w:spacing w:lineRule="auto" w:line="240" w:before="31" w:after="62"/>
        <w:ind w:hanging="0" w:left="0" w:right="0"/>
        <w:jc w:val="center"/>
        <w:textAlignment w:val="baseline"/>
        <w:rPr>
          <w:rFonts w:ascii="Arial" w:hAnsi="Arial" w:eastAsia="MS Mincho;ＭＳ 明朝" w:cs="Arial"/>
          <w:b w:val="false"/>
          <w:bCs w:val="false"/>
          <w:sz w:val="16"/>
          <w:szCs w:val="16"/>
          <w:lang w:eastAsia="pt-BR"/>
        </w:rPr>
      </w:pPr>
      <w:r>
        <w:rPr>
          <w:rFonts w:eastAsia="MS Mincho;ＭＳ 明朝" w:cs="Arial" w:ascii="Arial" w:hAnsi="Arial"/>
          <w:b w:val="false"/>
          <w:bCs w:val="false"/>
          <w:sz w:val="16"/>
          <w:szCs w:val="16"/>
          <w:lang w:eastAsia="pt-BR"/>
        </w:rPr>
        <w:t>&lt;Itens_Contrato&gt;</w:t>
      </w:r>
    </w:p>
    <w:p>
      <w:pPr>
        <w:pStyle w:val="Normal"/>
        <w:numPr>
          <w:ilvl w:val="0"/>
          <w:numId w:val="6"/>
        </w:numPr>
        <w:overflowPunct w:val="false"/>
        <w:spacing w:lineRule="auto" w:line="240" w:before="31" w:after="62"/>
        <w:ind w:hanging="0" w:left="0" w:right="0"/>
        <w:jc w:val="both"/>
        <w:textAlignment w:val="baseline"/>
        <w:rPr>
          <w:rFonts w:ascii="Arial" w:hAnsi="Arial"/>
          <w:sz w:val="19"/>
          <w:szCs w:val="19"/>
        </w:rPr>
      </w:pPr>
      <w:r>
        <w:rPr>
          <w:rFonts w:eastAsia="MS Mincho;ＭＳ 明朝" w:cs="Arial" w:ascii="Arial" w:hAnsi="Arial"/>
          <w:b/>
          <w:bCs/>
          <w:sz w:val="19"/>
          <w:szCs w:val="19"/>
          <w:lang w:eastAsia="pt-BR"/>
        </w:rPr>
        <w:t xml:space="preserve">DA </w:t>
      </w:r>
      <w:r>
        <w:rPr>
          <w:rFonts w:cs="Arial" w:ascii="Arial" w:hAnsi="Arial"/>
          <w:b/>
          <w:sz w:val="19"/>
          <w:szCs w:val="19"/>
        </w:rPr>
        <w:t>EXPECTATIVA</w:t>
      </w:r>
      <w:r>
        <w:rPr>
          <w:rFonts w:eastAsia="MS Mincho;ＭＳ 明朝" w:cs="Arial" w:ascii="Arial" w:hAnsi="Arial"/>
          <w:b/>
          <w:bCs/>
          <w:sz w:val="19"/>
          <w:szCs w:val="19"/>
          <w:lang w:eastAsia="pt-BR"/>
        </w:rPr>
        <w:t xml:space="preserve"> DE FORNECIMENTO</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O fornecimento do produto registrado nesta ata será requisitado através das Secretarias Municipais interessadas, mediante a elaboraçã</w:t>
      </w:r>
      <w:r>
        <w:rPr>
          <w:rFonts w:cs="Verdana" w:ascii="Arial" w:hAnsi="Arial"/>
          <w:sz w:val="19"/>
          <w:szCs w:val="19"/>
          <w:shd w:fill="auto" w:val="clear"/>
        </w:rPr>
        <w:t xml:space="preserve">o de contrato ou nas hipóteses previstas no art. 95 da </w:t>
      </w:r>
      <w:r>
        <w:rPr>
          <w:rFonts w:cs="Verdana" w:ascii="Arial" w:hAnsi="Arial"/>
          <w:color w:val="C9211E"/>
          <w:sz w:val="19"/>
          <w:szCs w:val="19"/>
          <w:shd w:fill="auto" w:val="clear"/>
        </w:rPr>
        <w:t xml:space="preserve">Lei Federal nº 14.133/2021 poderá ser requisitado </w:t>
      </w:r>
      <w:r>
        <w:rPr>
          <w:rFonts w:cs="Verdana" w:ascii="Arial" w:hAnsi="Arial"/>
          <w:sz w:val="19"/>
          <w:szCs w:val="19"/>
          <w:shd w:fill="auto" w:val="clear"/>
        </w:rPr>
        <w:t xml:space="preserve">por </w:t>
      </w:r>
      <w:r>
        <w:rPr>
          <w:rFonts w:cs="Verdana" w:ascii="Arial" w:hAnsi="Arial"/>
          <w:b w:val="false"/>
          <w:i w:val="false"/>
          <w:caps w:val="false"/>
          <w:smallCaps w:val="false"/>
          <w:color w:val="000000"/>
          <w:spacing w:val="0"/>
          <w:sz w:val="19"/>
          <w:szCs w:val="19"/>
          <w:shd w:fill="auto" w:val="clear"/>
        </w:rPr>
        <w:t>carta-contrato, nota de empenho de despesa ou autorização de compra.</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Cada nota de empenho conterá no mínimo:</w:t>
      </w:r>
    </w:p>
    <w:p>
      <w:pPr>
        <w:pStyle w:val="Normal"/>
        <w:numPr>
          <w:ilvl w:val="4"/>
          <w:numId w:val="6"/>
        </w:numPr>
        <w:overflowPunct w:val="true"/>
        <w:spacing w:lineRule="auto" w:line="240" w:before="31" w:after="62"/>
        <w:ind w:hanging="0" w:left="737" w:right="0"/>
        <w:jc w:val="both"/>
        <w:textAlignment w:val="baseline"/>
        <w:rPr>
          <w:rFonts w:ascii="Arial" w:hAnsi="Arial" w:cs="Verdana"/>
          <w:sz w:val="19"/>
          <w:szCs w:val="19"/>
        </w:rPr>
      </w:pPr>
      <w:r>
        <w:rPr>
          <w:rFonts w:cs="Verdana" w:ascii="Arial" w:hAnsi="Arial"/>
          <w:sz w:val="19"/>
          <w:szCs w:val="19"/>
        </w:rPr>
        <w:t>Número da Ata;</w:t>
      </w:r>
    </w:p>
    <w:p>
      <w:pPr>
        <w:pStyle w:val="Normal"/>
        <w:numPr>
          <w:ilvl w:val="4"/>
          <w:numId w:val="6"/>
        </w:numPr>
        <w:overflowPunct w:val="true"/>
        <w:spacing w:lineRule="auto" w:line="240" w:before="31" w:after="62"/>
        <w:ind w:hanging="0" w:left="737" w:right="0"/>
        <w:jc w:val="both"/>
        <w:textAlignment w:val="baseline"/>
        <w:rPr>
          <w:rFonts w:ascii="Arial" w:hAnsi="Arial" w:cs="Verdana"/>
          <w:sz w:val="19"/>
          <w:szCs w:val="19"/>
        </w:rPr>
      </w:pPr>
      <w:r>
        <w:rPr>
          <w:rFonts w:cs="Verdana" w:ascii="Arial" w:hAnsi="Arial"/>
          <w:sz w:val="19"/>
          <w:szCs w:val="19"/>
        </w:rPr>
        <w:t>Quantidade do produto;</w:t>
      </w:r>
    </w:p>
    <w:p>
      <w:pPr>
        <w:pStyle w:val="Normal"/>
        <w:numPr>
          <w:ilvl w:val="4"/>
          <w:numId w:val="6"/>
        </w:numPr>
        <w:overflowPunct w:val="true"/>
        <w:spacing w:lineRule="auto" w:line="240" w:before="31" w:after="62"/>
        <w:ind w:hanging="0" w:left="737" w:right="0"/>
        <w:jc w:val="both"/>
        <w:textAlignment w:val="baseline"/>
        <w:rPr>
          <w:rFonts w:ascii="Arial" w:hAnsi="Arial" w:cs="Verdana"/>
          <w:sz w:val="19"/>
          <w:szCs w:val="19"/>
        </w:rPr>
      </w:pPr>
      <w:r>
        <w:rPr>
          <w:rFonts w:cs="Verdana" w:ascii="Arial" w:hAnsi="Arial"/>
          <w:sz w:val="19"/>
          <w:szCs w:val="19"/>
        </w:rPr>
        <w:t>Descrição do produto;</w:t>
      </w:r>
    </w:p>
    <w:p>
      <w:pPr>
        <w:pStyle w:val="Normal"/>
        <w:numPr>
          <w:ilvl w:val="4"/>
          <w:numId w:val="6"/>
        </w:numPr>
        <w:overflowPunct w:val="true"/>
        <w:spacing w:lineRule="auto" w:line="240" w:before="31" w:after="62"/>
        <w:ind w:hanging="0" w:left="737" w:right="0"/>
        <w:jc w:val="both"/>
        <w:textAlignment w:val="baseline"/>
        <w:rPr>
          <w:rFonts w:ascii="Arial" w:hAnsi="Arial" w:cs="Verdana"/>
          <w:sz w:val="19"/>
          <w:szCs w:val="19"/>
        </w:rPr>
      </w:pPr>
      <w:r>
        <w:rPr>
          <w:rFonts w:cs="Verdana" w:ascii="Arial" w:hAnsi="Arial"/>
          <w:sz w:val="19"/>
          <w:szCs w:val="19"/>
        </w:rPr>
        <w:t>Local de entrega;</w:t>
      </w:r>
    </w:p>
    <w:p>
      <w:pPr>
        <w:pStyle w:val="Normal"/>
        <w:numPr>
          <w:ilvl w:val="4"/>
          <w:numId w:val="6"/>
        </w:numPr>
        <w:overflowPunct w:val="true"/>
        <w:spacing w:lineRule="auto" w:line="240" w:before="31" w:after="62"/>
        <w:ind w:hanging="0" w:left="737" w:right="0"/>
        <w:jc w:val="both"/>
        <w:textAlignment w:val="baseline"/>
        <w:rPr>
          <w:rFonts w:ascii="Arial" w:hAnsi="Arial" w:cs="Verdana"/>
          <w:sz w:val="19"/>
          <w:szCs w:val="19"/>
        </w:rPr>
      </w:pPr>
      <w:r>
        <w:rPr>
          <w:rFonts w:cs="Verdana" w:ascii="Arial" w:hAnsi="Arial"/>
          <w:sz w:val="19"/>
          <w:szCs w:val="19"/>
        </w:rPr>
        <w:t>Dotação orçamentária onerada;</w:t>
      </w:r>
    </w:p>
    <w:p>
      <w:pPr>
        <w:pStyle w:val="Normal"/>
        <w:numPr>
          <w:ilvl w:val="4"/>
          <w:numId w:val="6"/>
        </w:numPr>
        <w:overflowPunct w:val="true"/>
        <w:spacing w:lineRule="auto" w:line="240" w:before="31" w:after="62"/>
        <w:ind w:hanging="0" w:left="737" w:right="0"/>
        <w:jc w:val="both"/>
        <w:textAlignment w:val="baseline"/>
        <w:rPr>
          <w:rFonts w:ascii="Arial" w:hAnsi="Arial" w:cs="Verdana"/>
          <w:sz w:val="19"/>
          <w:szCs w:val="19"/>
        </w:rPr>
      </w:pPr>
      <w:r>
        <w:rPr>
          <w:rFonts w:cs="Verdana" w:ascii="Arial" w:hAnsi="Arial"/>
          <w:sz w:val="19"/>
          <w:szCs w:val="19"/>
        </w:rPr>
        <w:t>Valor.</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O fornecedor registrado, dentro dos quantitativos estimados, fica obrigado a atender todos os pedidos efetuados durante a validade desta Ata de Registro de Preços.</w:t>
      </w:r>
    </w:p>
    <w:p>
      <w:pPr>
        <w:pStyle w:val="Normal"/>
        <w:numPr>
          <w:ilvl w:val="0"/>
          <w:numId w:val="0"/>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r>
    </w:p>
    <w:p>
      <w:pPr>
        <w:pStyle w:val="Normal"/>
        <w:numPr>
          <w:ilvl w:val="0"/>
          <w:numId w:val="6"/>
        </w:numPr>
        <w:overflowPunct w:val="false"/>
        <w:spacing w:lineRule="auto" w:line="240" w:before="31" w:after="62"/>
        <w:ind w:hanging="0" w:left="0" w:right="0"/>
        <w:jc w:val="both"/>
        <w:textAlignment w:val="baseline"/>
        <w:rPr>
          <w:rFonts w:ascii="Arial" w:hAnsi="Arial" w:cs="Verdana"/>
          <w:b/>
          <w:sz w:val="19"/>
          <w:szCs w:val="19"/>
        </w:rPr>
      </w:pPr>
      <w:r>
        <w:rPr>
          <w:rFonts w:cs="Verdana" w:ascii="Arial" w:hAnsi="Arial"/>
          <w:b/>
          <w:sz w:val="19"/>
          <w:szCs w:val="19"/>
        </w:rPr>
        <w:t>DO CONTROLE DOS PREÇOS REGISTRADOS</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O Município de Cianorte adotará todos os atos necessários ao controle e administração da presente Ata.</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Os preços registrados e a indicação dos respectivos fornecedores detentores da Ata serão divulgados através do Órgão Oficial Eletrônico do Município de Cianorte.</w:t>
      </w:r>
    </w:p>
    <w:p>
      <w:pPr>
        <w:pStyle w:val="Normal"/>
        <w:numPr>
          <w:ilvl w:val="0"/>
          <w:numId w:val="0"/>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r>
    </w:p>
    <w:p>
      <w:pPr>
        <w:pStyle w:val="Normal"/>
        <w:numPr>
          <w:ilvl w:val="0"/>
          <w:numId w:val="6"/>
        </w:numPr>
        <w:overflowPunct w:val="false"/>
        <w:spacing w:lineRule="auto" w:line="240" w:before="31" w:after="62"/>
        <w:ind w:hanging="0" w:left="0" w:right="0"/>
        <w:jc w:val="both"/>
        <w:textAlignment w:val="baseline"/>
        <w:rPr>
          <w:rFonts w:ascii="Arial" w:hAnsi="Arial" w:cs="Verdana"/>
          <w:b/>
          <w:sz w:val="19"/>
          <w:szCs w:val="19"/>
        </w:rPr>
      </w:pPr>
      <w:r>
        <w:rPr>
          <w:rFonts w:cs="Verdana" w:ascii="Arial" w:hAnsi="Arial"/>
          <w:b/>
          <w:sz w:val="19"/>
          <w:szCs w:val="19"/>
        </w:rPr>
        <w:t>DA VALIDADE DA ATA DE REGISTRO DE PREÇOS</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O prazo de vigência da Ata de Registro de Preços, contado a partir da data de sua assinatura, será de 1 (um) ano, e poderá ser prorrogado, por igual período, desde que comprovado que as condições e o preço permanecem vantajosos.</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shd w:fill="auto" w:val="clear"/>
        </w:rPr>
      </w:pPr>
      <w:r>
        <w:rPr>
          <w:rFonts w:cs="Verdana" w:ascii="Arial" w:hAnsi="Arial"/>
          <w:sz w:val="19"/>
          <w:szCs w:val="19"/>
          <w:shd w:fill="auto" w:val="clear"/>
        </w:rPr>
        <w:t>Caso seja prorrogado conforme estabelecido na cláusula anterior, as partes poderão reajustar o valor registrado de acordo com o índice IPCA - (Índice Nacional De Preços ao Consumidor Amplo), ou na falta deste, por outro índice de preços oficial ou não, que reflita a variação dos preços, no período do reajuste. No ato de prorrogação da vigência da Ata de Registro de Preços poderá haver a renovação dos quantitativos registrados, até o limite do quantitativo original.</w:t>
      </w:r>
    </w:p>
    <w:p>
      <w:pPr>
        <w:pStyle w:val="Normal"/>
        <w:numPr>
          <w:ilvl w:val="0"/>
          <w:numId w:val="0"/>
        </w:numPr>
        <w:overflowPunct w:val="false"/>
        <w:spacing w:lineRule="auto" w:line="240" w:before="31" w:after="62"/>
        <w:ind w:hanging="0" w:left="0" w:right="0"/>
        <w:jc w:val="both"/>
        <w:textAlignment w:val="baseline"/>
        <w:rPr>
          <w:rFonts w:ascii="Arial" w:hAnsi="Arial" w:cs="Verdana"/>
          <w:sz w:val="19"/>
          <w:szCs w:val="19"/>
          <w:shd w:fill="auto" w:val="clear"/>
        </w:rPr>
      </w:pPr>
      <w:r>
        <w:rPr>
          <w:rFonts w:cs="Verdana" w:ascii="Arial" w:hAnsi="Arial"/>
          <w:sz w:val="19"/>
          <w:szCs w:val="19"/>
          <w:shd w:fill="auto" w:val="clear"/>
        </w:rPr>
      </w:r>
    </w:p>
    <w:p>
      <w:pPr>
        <w:pStyle w:val="Normal"/>
        <w:numPr>
          <w:ilvl w:val="0"/>
          <w:numId w:val="6"/>
        </w:numPr>
        <w:overflowPunct w:val="false"/>
        <w:spacing w:lineRule="auto" w:line="240" w:before="31" w:after="62"/>
        <w:ind w:hanging="0" w:left="0" w:right="0"/>
        <w:jc w:val="both"/>
        <w:textAlignment w:val="baseline"/>
        <w:rPr>
          <w:rFonts w:ascii="Arial" w:hAnsi="Arial" w:cs="ArialMT"/>
          <w:sz w:val="19"/>
          <w:szCs w:val="19"/>
        </w:rPr>
      </w:pPr>
      <w:r>
        <w:rPr>
          <w:rFonts w:cs="ArialMT" w:ascii="Arial" w:hAnsi="Arial"/>
          <w:b/>
          <w:bCs/>
          <w:color w:val="000000"/>
          <w:sz w:val="19"/>
          <w:szCs w:val="19"/>
        </w:rPr>
        <w:t>DA FISCALIZAÇÃO E GESTÃO DA ATA DE REGISTRO DE PREÇOS</w:t>
      </w:r>
      <w:r>
        <w:rPr>
          <w:rFonts w:cs="ArialMT" w:ascii="Arial" w:hAnsi="Arial"/>
          <w:b/>
          <w:bCs/>
          <w:color w:val="C9211E"/>
          <w:sz w:val="19"/>
          <w:szCs w:val="19"/>
          <w:shd w:fill="auto" w:val="clear"/>
        </w:rPr>
        <w:t xml:space="preserve"> </w:t>
      </w:r>
      <w:r>
        <w:rPr>
          <w:rFonts w:cs="ArialMT" w:ascii="Arial" w:hAnsi="Arial"/>
          <w:b/>
          <w:bCs/>
          <w:color w:val="000000"/>
          <w:sz w:val="19"/>
          <w:szCs w:val="19"/>
          <w:shd w:fill="auto" w:val="clear"/>
        </w:rPr>
        <w:t>E DOS CONTRATOS DELA DECORRENTES:</w:t>
      </w:r>
    </w:p>
    <w:p>
      <w:pPr>
        <w:pStyle w:val="Normal"/>
        <w:numPr>
          <w:ilvl w:val="1"/>
          <w:numId w:val="6"/>
        </w:numPr>
        <w:overflowPunct w:val="false"/>
        <w:spacing w:lineRule="auto" w:line="240" w:before="31" w:after="62"/>
        <w:ind w:hanging="0" w:left="0" w:right="0"/>
        <w:jc w:val="both"/>
        <w:textAlignment w:val="baseline"/>
        <w:rPr>
          <w:shd w:fill="auto" w:val="clear"/>
        </w:rPr>
      </w:pPr>
      <w:r>
        <w:rPr>
          <w:rFonts w:cs="Arial-ItalicMT" w:ascii="Arial" w:hAnsi="Arial"/>
          <w:iCs/>
          <w:color w:val="000000"/>
          <w:sz w:val="19"/>
          <w:szCs w:val="19"/>
          <w:shd w:fill="auto" w:val="clear"/>
        </w:rPr>
        <w:t>O acompanhamento e fiscalização do fornecimento de bens e materiais da</w:t>
      </w:r>
      <w:r>
        <w:rPr>
          <w:rFonts w:cs="Arial-ItalicMT" w:ascii="Arial" w:hAnsi="Arial"/>
          <w:iCs/>
          <w:color w:val="C9211E"/>
          <w:sz w:val="19"/>
          <w:szCs w:val="19"/>
          <w:shd w:fill="auto" w:val="clear"/>
        </w:rPr>
        <w:t xml:space="preserve"> Ata de Registro de Preços e dos Contratos dela decorrentes</w:t>
      </w:r>
      <w:r>
        <w:rPr>
          <w:rFonts w:cs="Arial-ItalicMT" w:ascii="Arial" w:hAnsi="Arial"/>
          <w:iCs/>
          <w:color w:val="000000"/>
          <w:sz w:val="19"/>
          <w:szCs w:val="19"/>
          <w:shd w:fill="auto" w:val="clear"/>
        </w:rPr>
        <w:t xml:space="preserve"> e demais atribuições descritas nos art. 8º e 9º do Decreto Municipal n.º 31/2023 serão realizados pela seguinte fiscal de contrato: </w:t>
      </w:r>
      <w:r>
        <w:rPr>
          <w:rFonts w:cs="Verdana" w:ascii="Arial" w:hAnsi="Arial"/>
          <w:iCs/>
          <w:color w:val="000000"/>
          <w:sz w:val="19"/>
          <w:szCs w:val="19"/>
          <w:shd w:fill="auto" w:val="clear"/>
        </w:rPr>
        <w:t>Patrícia Freire da Silva.</w:t>
      </w:r>
    </w:p>
    <w:p>
      <w:pPr>
        <w:pStyle w:val="Normal"/>
        <w:numPr>
          <w:ilvl w:val="1"/>
          <w:numId w:val="6"/>
        </w:numPr>
        <w:overflowPunct w:val="false"/>
        <w:spacing w:lineRule="auto" w:line="240" w:before="31" w:after="62"/>
        <w:ind w:hanging="0" w:left="0" w:right="0"/>
        <w:jc w:val="both"/>
        <w:textAlignment w:val="baseline"/>
        <w:rPr/>
      </w:pPr>
      <w:r>
        <w:rPr>
          <w:rFonts w:cs="Arial-ItalicMT" w:ascii="Arial" w:hAnsi="Arial"/>
          <w:iCs/>
          <w:color w:val="000000"/>
          <w:sz w:val="19"/>
          <w:szCs w:val="19"/>
          <w:shd w:fill="auto" w:val="clear"/>
        </w:rPr>
        <w:t xml:space="preserve">As atribuições administrativas da </w:t>
      </w:r>
      <w:r>
        <w:rPr>
          <w:rFonts w:cs="Arial-ItalicMT" w:ascii="Arial" w:hAnsi="Arial"/>
          <w:iCs/>
          <w:color w:val="C9211E"/>
          <w:sz w:val="19"/>
          <w:szCs w:val="19"/>
          <w:shd w:fill="auto" w:val="clear"/>
        </w:rPr>
        <w:t>Ata de Registro de Preços e dos Contratos dela decorrentes</w:t>
      </w:r>
      <w:r>
        <w:rPr>
          <w:rFonts w:cs="Arial-ItalicMT" w:ascii="Arial" w:hAnsi="Arial"/>
          <w:iCs/>
          <w:color w:val="000000"/>
          <w:sz w:val="19"/>
          <w:szCs w:val="19"/>
          <w:shd w:fill="auto" w:val="clear"/>
        </w:rPr>
        <w:t>, esp</w:t>
      </w:r>
      <w:r>
        <w:rPr>
          <w:rFonts w:cs="Arial-ItalicMT" w:ascii="Arial" w:hAnsi="Arial"/>
          <w:iCs/>
          <w:color w:val="000000"/>
          <w:sz w:val="19"/>
          <w:szCs w:val="19"/>
        </w:rPr>
        <w:t xml:space="preserve">ecialmente as descritas no art. 7º do Decreto Municipal n.º 31/2023 serão realizadas pela seguinte gestora de contrato: </w:t>
      </w:r>
      <w:r>
        <w:rPr>
          <w:rFonts w:cs="Verdana" w:ascii="Arial" w:hAnsi="Arial"/>
          <w:iCs/>
          <w:color w:val="000000"/>
          <w:sz w:val="19"/>
          <w:szCs w:val="19"/>
          <w:shd w:fill="auto" w:val="clear"/>
        </w:rPr>
        <w:t>Danielle Regina Alberti.</w:t>
      </w:r>
    </w:p>
    <w:p>
      <w:pPr>
        <w:pStyle w:val="Normal"/>
        <w:numPr>
          <w:ilvl w:val="0"/>
          <w:numId w:val="0"/>
        </w:numPr>
        <w:overflowPunct w:val="false"/>
        <w:spacing w:lineRule="auto" w:line="240" w:before="31" w:after="62"/>
        <w:ind w:hanging="0" w:left="0" w:right="0"/>
        <w:jc w:val="both"/>
        <w:textAlignment w:val="baseline"/>
        <w:rPr/>
      </w:pPr>
      <w:r>
        <w:rPr/>
      </w:r>
    </w:p>
    <w:p>
      <w:pPr>
        <w:pStyle w:val="Normal"/>
        <w:numPr>
          <w:ilvl w:val="0"/>
          <w:numId w:val="6"/>
        </w:numPr>
        <w:overflowPunct w:val="false"/>
        <w:spacing w:lineRule="auto" w:line="240" w:before="31" w:after="62"/>
        <w:ind w:hanging="0" w:left="0" w:right="0"/>
        <w:jc w:val="both"/>
        <w:textAlignment w:val="baseline"/>
        <w:rPr>
          <w:highlight w:val="none"/>
          <w:shd w:fill="auto" w:val="clear"/>
        </w:rPr>
      </w:pPr>
      <w:r>
        <w:rPr>
          <w:rFonts w:cs="Verdana" w:ascii="Arial" w:hAnsi="Arial"/>
          <w:b/>
          <w:sz w:val="19"/>
          <w:szCs w:val="19"/>
          <w:shd w:fill="auto" w:val="clear"/>
        </w:rPr>
        <w:t xml:space="preserve">DAS </w:t>
      </w:r>
      <w:r>
        <w:rPr>
          <w:rFonts w:cs="Verdana" w:ascii="Arial" w:hAnsi="Arial"/>
          <w:b/>
          <w:color w:val="000000"/>
          <w:sz w:val="19"/>
          <w:szCs w:val="19"/>
          <w:shd w:fill="auto" w:val="clear"/>
        </w:rPr>
        <w:t>CONDIÇÕES PARA ALTERAÇÃO DOS PREÇOS REGISTRADOS</w:t>
      </w:r>
    </w:p>
    <w:p>
      <w:pPr>
        <w:pStyle w:val="Normal"/>
        <w:numPr>
          <w:ilvl w:val="1"/>
          <w:numId w:val="6"/>
        </w:numPr>
        <w:overflowPunct w:val="true"/>
        <w:spacing w:before="31" w:after="62"/>
        <w:ind w:hanging="0" w:left="0" w:right="0"/>
        <w:jc w:val="both"/>
        <w:textAlignment w:val="baseline"/>
        <w:rPr>
          <w:highlight w:val="none"/>
          <w:shd w:fill="auto" w:val="clear"/>
        </w:rPr>
      </w:pPr>
      <w:r>
        <w:rPr>
          <w:rFonts w:cs="Verdana" w:ascii="Arial" w:hAnsi="Arial"/>
          <w:color w:val="000000"/>
          <w:sz w:val="19"/>
          <w:szCs w:val="19"/>
          <w:shd w:fill="auto" w:val="clear"/>
        </w:rPr>
        <w:t>A Administração Pública Municipal poderá promover a atualização dos preços registrados, nos termos  do que dispõe o artigo 156 e 157 do Decreto Municipal n.º 31/2023.</w:t>
      </w:r>
    </w:p>
    <w:p>
      <w:pPr>
        <w:pStyle w:val="Normal"/>
        <w:numPr>
          <w:ilvl w:val="1"/>
          <w:numId w:val="6"/>
        </w:numPr>
        <w:overflowPunct w:val="true"/>
        <w:spacing w:before="31" w:after="62"/>
        <w:ind w:hanging="0" w:left="0" w:right="0"/>
        <w:jc w:val="both"/>
        <w:textAlignment w:val="baseline"/>
        <w:rPr>
          <w:highlight w:val="none"/>
          <w:shd w:fill="auto" w:val="clear"/>
        </w:rPr>
      </w:pPr>
      <w:r>
        <w:rPr>
          <w:rFonts w:cs="Verdana" w:ascii="Arial" w:hAnsi="Arial"/>
          <w:color w:val="000000"/>
          <w:sz w:val="19"/>
          <w:szCs w:val="19"/>
          <w:shd w:fill="auto" w:val="clear"/>
        </w:rPr>
        <w:t>Para ser mantido o equilíbrio econômico-financeiro dos preços registrados, poderá ser solicitada pelo fornecedor/prestador, antes do fornecimento dos itens, a atualização dos respectivos preços devendo ser observado para tanto o que dispõe o artigo 158 do Decreto Municipal n.º 31/2023.</w:t>
      </w:r>
    </w:p>
    <w:p>
      <w:pPr>
        <w:pStyle w:val="Normal"/>
        <w:numPr>
          <w:ilvl w:val="0"/>
          <w:numId w:val="0"/>
        </w:numPr>
        <w:overflowPunct w:val="false"/>
        <w:spacing w:lineRule="auto" w:line="240" w:before="31" w:after="62"/>
        <w:ind w:hanging="0" w:left="283" w:right="0"/>
        <w:jc w:val="both"/>
        <w:textAlignment w:val="baseline"/>
        <w:rPr>
          <w:rFonts w:ascii="Arial" w:hAnsi="Arial" w:cs="Verdana"/>
          <w:color w:val="000000"/>
          <w:sz w:val="19"/>
          <w:szCs w:val="19"/>
          <w:shd w:fill="auto" w:val="clear"/>
        </w:rPr>
      </w:pPr>
      <w:r>
        <w:rPr>
          <w:rFonts w:cs="Verdana" w:ascii="Arial" w:hAnsi="Arial"/>
          <w:color w:val="000000"/>
          <w:sz w:val="19"/>
          <w:szCs w:val="19"/>
          <w:shd w:fill="auto" w:val="clear"/>
        </w:rPr>
      </w:r>
    </w:p>
    <w:p>
      <w:pPr>
        <w:pStyle w:val="Normal"/>
        <w:numPr>
          <w:ilvl w:val="0"/>
          <w:numId w:val="6"/>
        </w:numPr>
        <w:overflowPunct w:val="false"/>
        <w:spacing w:lineRule="auto" w:line="240" w:before="31" w:after="62"/>
        <w:ind w:hanging="0" w:left="0" w:right="0"/>
        <w:jc w:val="both"/>
        <w:textAlignment w:val="baseline"/>
        <w:rPr>
          <w:rFonts w:ascii="Arial" w:hAnsi="Arial"/>
          <w:color w:val="000000"/>
          <w:sz w:val="19"/>
          <w:szCs w:val="19"/>
        </w:rPr>
      </w:pPr>
      <w:r>
        <w:rPr>
          <w:rFonts w:cs="Verdana" w:ascii="Arial" w:hAnsi="Arial"/>
          <w:b/>
          <w:color w:val="000000"/>
          <w:sz w:val="19"/>
          <w:szCs w:val="19"/>
        </w:rPr>
        <w:t>DO CANCELAMENTO DA ATA OU PREÇO REGISTRADO</w:t>
      </w:r>
    </w:p>
    <w:p>
      <w:pPr>
        <w:pStyle w:val="Normal"/>
        <w:numPr>
          <w:ilvl w:val="1"/>
          <w:numId w:val="6"/>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O registro do preço do fornecedor será cancelado pelo órgão gerenciador quando o fornecedor:</w:t>
      </w:r>
    </w:p>
    <w:p>
      <w:pPr>
        <w:pStyle w:val="Normal"/>
        <w:numPr>
          <w:ilvl w:val="4"/>
          <w:numId w:val="6"/>
        </w:numPr>
        <w:tabs>
          <w:tab w:val="clear" w:pos="709"/>
          <w:tab w:val="left" w:pos="0" w:leader="none"/>
        </w:tabs>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For liberado;</w:t>
      </w:r>
    </w:p>
    <w:p>
      <w:pPr>
        <w:pStyle w:val="Normal"/>
        <w:numPr>
          <w:ilvl w:val="4"/>
          <w:numId w:val="6"/>
        </w:numPr>
        <w:tabs>
          <w:tab w:val="clear" w:pos="709"/>
          <w:tab w:val="left" w:pos="0" w:leader="none"/>
        </w:tabs>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Descumprir as condições da Ata de Registro de Preços, sem justificativa aceitável;</w:t>
      </w:r>
    </w:p>
    <w:p>
      <w:pPr>
        <w:pStyle w:val="Normal"/>
        <w:numPr>
          <w:ilvl w:val="4"/>
          <w:numId w:val="6"/>
        </w:numPr>
        <w:tabs>
          <w:tab w:val="clear" w:pos="709"/>
          <w:tab w:val="left" w:pos="0" w:leader="none"/>
        </w:tabs>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Não aceitar reduzir o seu preço registrado, na hipótese deste se tornar superior àqueles praticados no mercado;</w:t>
      </w:r>
    </w:p>
    <w:p>
      <w:pPr>
        <w:pStyle w:val="Normal"/>
        <w:numPr>
          <w:ilvl w:val="4"/>
          <w:numId w:val="6"/>
        </w:numPr>
        <w:tabs>
          <w:tab w:val="clear" w:pos="709"/>
          <w:tab w:val="left" w:pos="0" w:leader="none"/>
        </w:tabs>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Sofrer sanção prevista nos incisos III e IV do artigo 156 da Lei Federal n.º 14.133/21;</w:t>
      </w:r>
    </w:p>
    <w:p>
      <w:pPr>
        <w:pStyle w:val="Normal"/>
        <w:numPr>
          <w:ilvl w:val="4"/>
          <w:numId w:val="6"/>
        </w:numPr>
        <w:tabs>
          <w:tab w:val="clear" w:pos="709"/>
          <w:tab w:val="left" w:pos="0" w:leader="none"/>
        </w:tabs>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Praticar ato inidôneo superveniente ou comportamento irregular;</w:t>
      </w:r>
    </w:p>
    <w:p>
      <w:pPr>
        <w:pStyle w:val="Normal"/>
        <w:numPr>
          <w:ilvl w:val="4"/>
          <w:numId w:val="6"/>
        </w:numPr>
        <w:tabs>
          <w:tab w:val="clear" w:pos="709"/>
          <w:tab w:val="left" w:pos="0" w:leader="none"/>
        </w:tabs>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Não aceitar o preço revisado pela Administração.</w:t>
      </w:r>
    </w:p>
    <w:p>
      <w:pPr>
        <w:pStyle w:val="Normal"/>
        <w:numPr>
          <w:ilvl w:val="4"/>
          <w:numId w:val="6"/>
        </w:numPr>
        <w:tabs>
          <w:tab w:val="clear" w:pos="709"/>
          <w:tab w:val="left" w:pos="0" w:leader="none"/>
        </w:tabs>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Houver substancial alteração das condições do mercado.</w:t>
      </w:r>
    </w:p>
    <w:p>
      <w:pPr>
        <w:pStyle w:val="Normal"/>
        <w:numPr>
          <w:ilvl w:val="1"/>
          <w:numId w:val="6"/>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A Ata de Registro de Preços será cancelada, total ou parcialmente, pelo órgão gerenciador:</w:t>
      </w:r>
    </w:p>
    <w:p>
      <w:pPr>
        <w:pStyle w:val="Normal"/>
        <w:numPr>
          <w:ilvl w:val="4"/>
          <w:numId w:val="6"/>
        </w:numPr>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Pelo decurso do prazo de vigência;</w:t>
      </w:r>
    </w:p>
    <w:p>
      <w:pPr>
        <w:pStyle w:val="Normal"/>
        <w:numPr>
          <w:ilvl w:val="4"/>
          <w:numId w:val="6"/>
        </w:numPr>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Pelo cancelamento de todos os preços registrados;</w:t>
      </w:r>
    </w:p>
    <w:p>
      <w:pPr>
        <w:pStyle w:val="Normal"/>
        <w:numPr>
          <w:ilvl w:val="4"/>
          <w:numId w:val="6"/>
        </w:numPr>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 xml:space="preserve">Por fato superveniente, decorrente caso de força maior, caso fortuito ou fato do príncipe ou em decorrência de fatos imprevisíveis ou previsíveis de consequências incalculáveis, que inviabilizem a execução das obrigações previstas na ata, devidamente demonstrado; </w:t>
      </w:r>
    </w:p>
    <w:p>
      <w:pPr>
        <w:pStyle w:val="Normal"/>
        <w:numPr>
          <w:ilvl w:val="4"/>
          <w:numId w:val="6"/>
        </w:numPr>
        <w:overflowPunct w:val="false"/>
        <w:spacing w:lineRule="auto" w:line="240" w:before="31" w:after="62"/>
        <w:ind w:hanging="0" w:left="680" w:right="0"/>
        <w:jc w:val="both"/>
        <w:textAlignment w:val="baseline"/>
        <w:rPr>
          <w:rFonts w:ascii="Arial" w:hAnsi="Arial" w:cs="Verdana"/>
          <w:color w:val="000000"/>
          <w:sz w:val="19"/>
          <w:szCs w:val="19"/>
        </w:rPr>
      </w:pPr>
      <w:r>
        <w:rPr>
          <w:rFonts w:cs="Verdana" w:ascii="Arial" w:hAnsi="Arial"/>
          <w:color w:val="000000"/>
          <w:sz w:val="19"/>
          <w:szCs w:val="19"/>
        </w:rPr>
        <w:t>Por razões de interesse público, devidamente justificadas.</w:t>
      </w:r>
    </w:p>
    <w:p>
      <w:pPr>
        <w:pStyle w:val="Normal"/>
        <w:numPr>
          <w:ilvl w:val="1"/>
          <w:numId w:val="6"/>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No caso de cancelamento da ata ou do registro do preço por iniciativa da Administração, será assegurado o contraditório e a ampla defesa.</w:t>
      </w:r>
    </w:p>
    <w:p>
      <w:pPr>
        <w:pStyle w:val="Normal"/>
        <w:numPr>
          <w:ilvl w:val="1"/>
          <w:numId w:val="6"/>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O fornecedor ou prestador será notificado por meio eletrônico para apresentar defesa no prazo de 5 (cinco) dias, a contar do recebimento da comunicação.</w:t>
      </w:r>
    </w:p>
    <w:p>
      <w:pPr>
        <w:pStyle w:val="Normal"/>
        <w:numPr>
          <w:ilvl w:val="0"/>
          <w:numId w:val="0"/>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r>
    </w:p>
    <w:p>
      <w:pPr>
        <w:pStyle w:val="Normal"/>
        <w:numPr>
          <w:ilvl w:val="0"/>
          <w:numId w:val="6"/>
        </w:numPr>
        <w:overflowPunct w:val="false"/>
        <w:spacing w:lineRule="auto" w:line="240" w:before="31" w:after="62"/>
        <w:ind w:hanging="0" w:left="0" w:right="0"/>
        <w:jc w:val="both"/>
        <w:textAlignment w:val="baseline"/>
        <w:rPr>
          <w:rFonts w:ascii="Arial" w:hAnsi="Arial" w:cs="Arial"/>
          <w:b/>
          <w:sz w:val="19"/>
          <w:szCs w:val="19"/>
        </w:rPr>
      </w:pPr>
      <w:r>
        <w:rPr>
          <w:rFonts w:cs="Arial" w:ascii="Arial" w:hAnsi="Arial"/>
          <w:b/>
          <w:sz w:val="19"/>
          <w:szCs w:val="19"/>
        </w:rPr>
        <w:t>DAS RESPONSABILIDADES</w:t>
      </w:r>
    </w:p>
    <w:p>
      <w:pPr>
        <w:pStyle w:val="Normal"/>
        <w:numPr>
          <w:ilvl w:val="1"/>
          <w:numId w:val="6"/>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FORNECEDOR:</w:t>
      </w:r>
    </w:p>
    <w:p>
      <w:pPr>
        <w:pStyle w:val="Normal"/>
        <w:numPr>
          <w:ilvl w:val="2"/>
          <w:numId w:val="6"/>
        </w:numPr>
        <w:overflowPunct w:val="false"/>
        <w:spacing w:lineRule="auto" w:line="240" w:before="31" w:after="62"/>
        <w:ind w:hanging="0" w:left="0" w:right="0"/>
        <w:jc w:val="both"/>
        <w:textAlignment w:val="baseline"/>
        <w:rPr>
          <w:rFonts w:ascii="Arial" w:hAnsi="Arial"/>
          <w:sz w:val="19"/>
          <w:szCs w:val="19"/>
        </w:rPr>
      </w:pPr>
      <w:r>
        <w:rPr>
          <w:rFonts w:cs="Verdana" w:ascii="Arial" w:hAnsi="Arial"/>
          <w:sz w:val="19"/>
          <w:szCs w:val="19"/>
        </w:rPr>
        <w:t>O fornecimento de pessoal técnico e materiais necessários à fiel execução desta ata.</w:t>
      </w:r>
    </w:p>
    <w:p>
      <w:pPr>
        <w:pStyle w:val="Normal"/>
        <w:numPr>
          <w:ilvl w:val="2"/>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color w:val="000000"/>
          <w:sz w:val="19"/>
          <w:szCs w:val="19"/>
        </w:rPr>
        <w:t>Assumir integralmente a responsabilidade pelos danos que causar a este Município ou a terceiros, por si ou por seus sucessores e representantes na execução do objeto desta licitação, isentando o Município de qualquer reclamação que possa surgir em decorrência do mesmo.</w:t>
      </w:r>
    </w:p>
    <w:p>
      <w:pPr>
        <w:pStyle w:val="Normal"/>
        <w:numPr>
          <w:ilvl w:val="2"/>
          <w:numId w:val="6"/>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A</w:t>
      </w:r>
      <w:r>
        <w:rPr>
          <w:rFonts w:cs="Verdana" w:ascii="Arial" w:hAnsi="Arial"/>
          <w:color w:val="000000"/>
          <w:sz w:val="19"/>
          <w:szCs w:val="19"/>
          <w:shd w:fill="auto" w:val="clear"/>
        </w:rPr>
        <w:t>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pPr>
        <w:pStyle w:val="Normal"/>
        <w:numPr>
          <w:ilvl w:val="3"/>
          <w:numId w:val="6"/>
        </w:numPr>
        <w:overflowPunct w:val="false"/>
        <w:spacing w:lineRule="auto" w:line="240" w:before="31" w:after="62"/>
        <w:ind w:hanging="0" w:left="283" w:right="0"/>
        <w:jc w:val="both"/>
        <w:textAlignment w:val="baseline"/>
        <w:rPr>
          <w:rFonts w:ascii="Arial" w:hAnsi="Arial" w:cs="Verdana"/>
          <w:color w:val="000000"/>
          <w:sz w:val="19"/>
          <w:szCs w:val="19"/>
        </w:rPr>
      </w:pPr>
      <w:r>
        <w:rPr>
          <w:rFonts w:cs="Verdana" w:ascii="Arial" w:hAnsi="Arial"/>
          <w:color w:val="000000"/>
          <w:sz w:val="19"/>
          <w:szCs w:val="19"/>
          <w:shd w:fill="auto" w:val="clear"/>
        </w:rPr>
        <w:t>A inadimplência do Fornecedor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pPr>
        <w:pStyle w:val="Normal"/>
        <w:numPr>
          <w:ilvl w:val="2"/>
          <w:numId w:val="6"/>
        </w:numPr>
        <w:overflowPunct w:val="false"/>
        <w:spacing w:lineRule="auto" w:line="240" w:before="31" w:after="62"/>
        <w:ind w:hanging="0" w:left="0" w:right="0"/>
        <w:jc w:val="both"/>
        <w:textAlignment w:val="baseline"/>
        <w:rPr>
          <w:shd w:fill="auto" w:val="clear"/>
        </w:rPr>
      </w:pPr>
      <w:r>
        <w:rPr>
          <w:rFonts w:cs="Verdana" w:ascii="Arial" w:hAnsi="Arial"/>
          <w:color w:val="000000"/>
          <w:sz w:val="19"/>
          <w:szCs w:val="19"/>
          <w:shd w:fill="auto" w:val="clear"/>
        </w:rPr>
        <w:t>Cumprir as exigências de reserva de cargos prevista em lei, bem como em outras normas específicas, para pessoa com deficiência, para reabilitado da Previdência Social e para aprendiz.</w:t>
      </w:r>
    </w:p>
    <w:p>
      <w:pPr>
        <w:pStyle w:val="Normal"/>
        <w:numPr>
          <w:ilvl w:val="2"/>
          <w:numId w:val="6"/>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Manter durante a execução do contrato todas as condições de habilitação exigidas na licitação que deu origem ao presente instrumento (inciso XVI, art. 92 da Lei Federal nº 14.133/2021 e suas alterações)</w:t>
      </w:r>
      <w:r>
        <w:rPr>
          <w:rFonts w:ascii="Arial" w:hAnsi="Arial"/>
          <w:b w:val="false"/>
          <w:i w:val="false"/>
          <w:caps w:val="false"/>
          <w:smallCaps w:val="false"/>
          <w:color w:val="000000"/>
          <w:spacing w:val="0"/>
          <w:sz w:val="19"/>
          <w:szCs w:val="19"/>
          <w:shd w:fill="auto" w:val="clear"/>
        </w:rPr>
        <w:t>.</w:t>
      </w:r>
    </w:p>
    <w:p>
      <w:pPr>
        <w:pStyle w:val="Normal"/>
        <w:numPr>
          <w:ilvl w:val="2"/>
          <w:numId w:val="6"/>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cs="Verdana" w:ascii="Arial" w:hAnsi="Arial"/>
          <w:color w:val="000000"/>
          <w:sz w:val="19"/>
          <w:szCs w:val="19"/>
          <w:shd w:fill="auto" w:val="clear"/>
        </w:rPr>
        <w:t>Apresentar ao fiscal do contrato, sempre que esse solicitar, quaisquer documentos para fins de comprovação das condições do presente instrumento.</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cs="Verdana" w:ascii="Arial" w:hAnsi="Arial"/>
          <w:color w:val="000000"/>
          <w:sz w:val="19"/>
          <w:szCs w:val="19"/>
          <w:shd w:fill="auto" w:val="clear"/>
        </w:rPr>
        <w:t>O fornecedor deverá, obrigatoriamente, emitir nota fiscal eletrônica (NF-e), conforme Norma de Procedimento Fiscal nº 095/2009 e alterações posteriores.</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Na oportunidade da emissão da nota fiscal, deverá ser observada na própria nota (ou em relatório avulso anexo); as informações obrigatórias sobre o item/lote, identificando expressamente, quando for possível:</w:t>
      </w:r>
    </w:p>
    <w:p>
      <w:pPr>
        <w:pStyle w:val="Normal"/>
        <w:numPr>
          <w:ilvl w:val="0"/>
          <w:numId w:val="9"/>
        </w:numPr>
        <w:overflowPunct w:val="true"/>
        <w:spacing w:lineRule="auto" w:line="240" w:before="0" w:after="0"/>
        <w:jc w:val="both"/>
        <w:textAlignment w:val="baseline"/>
        <w:rPr/>
      </w:pPr>
      <w:r>
        <w:rPr>
          <w:rFonts w:ascii="Arial" w:hAnsi="Arial"/>
          <w:i/>
          <w:iCs/>
          <w:color w:val="000000"/>
          <w:sz w:val="19"/>
          <w:szCs w:val="19"/>
          <w:shd w:fill="auto" w:val="clear"/>
        </w:rPr>
        <w:t>Descrição completa do item, conforme descrito em contrato.</w:t>
      </w:r>
    </w:p>
    <w:p>
      <w:pPr>
        <w:pStyle w:val="Normal"/>
        <w:numPr>
          <w:ilvl w:val="0"/>
          <w:numId w:val="9"/>
        </w:numPr>
        <w:overflowPunct w:val="true"/>
        <w:spacing w:lineRule="auto" w:line="240" w:before="0" w:after="0"/>
        <w:jc w:val="both"/>
        <w:textAlignment w:val="baseline"/>
        <w:rPr/>
      </w:pPr>
      <w:r>
        <w:rPr>
          <w:rFonts w:ascii="Arial" w:hAnsi="Arial"/>
          <w:i/>
          <w:iCs/>
          <w:color w:val="000000"/>
          <w:sz w:val="19"/>
          <w:szCs w:val="19"/>
          <w:shd w:fill="auto" w:val="clear"/>
        </w:rPr>
        <w:t>Nome do Local, endereço e data de entrega.</w:t>
      </w:r>
    </w:p>
    <w:p>
      <w:pPr>
        <w:pStyle w:val="Normal"/>
        <w:numPr>
          <w:ilvl w:val="0"/>
          <w:numId w:val="9"/>
        </w:numPr>
        <w:overflowPunct w:val="true"/>
        <w:spacing w:lineRule="auto" w:line="240" w:before="0" w:after="0"/>
        <w:jc w:val="both"/>
        <w:textAlignment w:val="baseline"/>
        <w:rPr>
          <w:rFonts w:ascii="Arial" w:hAnsi="Arial"/>
          <w:i/>
          <w:i/>
          <w:iCs/>
          <w:color w:val="000000"/>
          <w:sz w:val="19"/>
          <w:szCs w:val="19"/>
          <w:shd w:fill="auto" w:val="clear"/>
        </w:rPr>
      </w:pPr>
      <w:r>
        <w:rPr>
          <w:rFonts w:ascii="Arial" w:hAnsi="Arial"/>
          <w:i/>
          <w:iCs/>
          <w:color w:val="000000"/>
          <w:sz w:val="19"/>
          <w:szCs w:val="19"/>
          <w:shd w:fill="auto" w:val="clear"/>
        </w:rPr>
        <w:t>Número do Pregão e respectivo contrato.</w:t>
      </w:r>
    </w:p>
    <w:p>
      <w:pPr>
        <w:pStyle w:val="Normal"/>
        <w:numPr>
          <w:ilvl w:val="0"/>
          <w:numId w:val="9"/>
        </w:numPr>
        <w:overflowPunct w:val="true"/>
        <w:spacing w:lineRule="auto" w:line="240" w:before="0" w:after="0"/>
        <w:jc w:val="both"/>
        <w:textAlignment w:val="baseline"/>
        <w:rPr>
          <w:rFonts w:ascii="Arial" w:hAnsi="Arial" w:cs="Verdana"/>
          <w:i/>
          <w:i/>
          <w:iCs/>
          <w:color w:val="000000"/>
          <w:sz w:val="19"/>
          <w:szCs w:val="19"/>
          <w:shd w:fill="auto" w:val="clear"/>
        </w:rPr>
      </w:pPr>
      <w:r>
        <w:rPr>
          <w:rFonts w:cs="Verdana" w:ascii="Arial" w:hAnsi="Arial"/>
          <w:i/>
          <w:iCs/>
          <w:color w:val="000000"/>
          <w:sz w:val="19"/>
          <w:szCs w:val="19"/>
          <w:shd w:fill="auto" w:val="clear"/>
        </w:rPr>
        <w:t>Número do empenho.</w:t>
      </w:r>
    </w:p>
    <w:p>
      <w:pPr>
        <w:pStyle w:val="Normal"/>
        <w:numPr>
          <w:ilvl w:val="1"/>
          <w:numId w:val="6"/>
        </w:numPr>
        <w:overflowPunct w:val="false"/>
        <w:spacing w:lineRule="auto" w:line="240" w:before="57" w:after="57"/>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MUNICÍPIO:</w:t>
      </w:r>
    </w:p>
    <w:p>
      <w:pPr>
        <w:pStyle w:val="Normal"/>
        <w:numPr>
          <w:ilvl w:val="2"/>
          <w:numId w:val="6"/>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Esclarecer prontamente as dúvidas administrativas e técnicas e divergências surgidas na execução do objeto contratado;</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Expedir, através de notificações e/ou relatório de vistoria, as ocorrências e fazer as determinações e comunicações necessárias à perfeita entrega de bens contratados;</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Adotar as medidas preventivas de controle dos contratos, inclusive manifestar-se, de forma isolada ou conjunta com o Gestor do Contrato, a respeito da suspensão da entrega de bens.</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Conferir e certificar as faturas relativas às aquisições;</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Proceder as avaliações dos materiais entregues pela contratada;</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Determinar por todos os meios adequados a observância das normas técnicas e legais, especificações exigíveis para a perfeita execução do objeto;</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Receber designação e manter contato com o preposto da contratada, e se for necessário, promover reuniões periódicas ou especiais para a resolução de problemas na entrega dos bens.</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Dar parecer técnico nos pedidos de alterações contratuais;</w:t>
      </w:r>
    </w:p>
    <w:p>
      <w:pPr>
        <w:pStyle w:val="Normal"/>
        <w:numPr>
          <w:ilvl w:val="2"/>
          <w:numId w:val="6"/>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Verificar a correta aplicação dos materiais, quando aplicável;</w:t>
      </w:r>
    </w:p>
    <w:p>
      <w:pPr>
        <w:pStyle w:val="Normal"/>
        <w:numPr>
          <w:ilvl w:val="2"/>
          <w:numId w:val="6"/>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Requerer das empresas testes, exames e ensaios quando necessários, no sentido de promoção de controle de qualidade dos bens a serem adquiridos;</w:t>
      </w:r>
    </w:p>
    <w:p>
      <w:pPr>
        <w:pStyle w:val="Normal"/>
        <w:numPr>
          <w:ilvl w:val="0"/>
          <w:numId w:val="0"/>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r>
    </w:p>
    <w:p>
      <w:pPr>
        <w:pStyle w:val="Normal"/>
        <w:numPr>
          <w:ilvl w:val="0"/>
          <w:numId w:val="6"/>
        </w:numPr>
        <w:overflowPunct w:val="false"/>
        <w:spacing w:lineRule="auto" w:line="240" w:before="31" w:after="62"/>
        <w:ind w:hanging="0" w:left="0" w:right="0"/>
        <w:jc w:val="both"/>
        <w:textAlignment w:val="baseline"/>
        <w:rPr>
          <w:rFonts w:ascii="Arial" w:hAnsi="Arial"/>
          <w:b/>
          <w:bCs/>
          <w:color w:val="000000"/>
          <w:sz w:val="19"/>
          <w:szCs w:val="19"/>
          <w:u w:val="none"/>
        </w:rPr>
      </w:pPr>
      <w:r>
        <w:rPr>
          <w:rFonts w:ascii="Arial" w:hAnsi="Arial"/>
          <w:b/>
          <w:bCs/>
          <w:color w:val="000000"/>
          <w:sz w:val="19"/>
          <w:szCs w:val="19"/>
          <w:u w:val="none"/>
        </w:rPr>
        <w:t>DA ENTREGA:</w:t>
      </w:r>
    </w:p>
    <w:p>
      <w:pPr>
        <w:pStyle w:val="Normal"/>
        <w:numPr>
          <w:ilvl w:val="1"/>
          <w:numId w:val="6"/>
        </w:numPr>
        <w:overflowPunct w:val="false"/>
        <w:spacing w:lineRule="auto" w:line="240" w:before="31" w:after="62"/>
        <w:ind w:hanging="0" w:left="0" w:right="0"/>
        <w:jc w:val="both"/>
        <w:textAlignment w:val="baseline"/>
        <w:rPr>
          <w:rFonts w:ascii="Arial" w:hAnsi="Arial"/>
          <w:color w:val="000000"/>
          <w:sz w:val="19"/>
          <w:szCs w:val="19"/>
        </w:rPr>
      </w:pPr>
      <w:r>
        <w:rPr>
          <w:rFonts w:cs="Arial-BoldMT" w:ascii="Arial" w:hAnsi="Arial"/>
          <w:b/>
          <w:bCs/>
          <w:color w:val="000000"/>
          <w:sz w:val="19"/>
          <w:szCs w:val="19"/>
        </w:rPr>
        <w:t xml:space="preserve">A empresa contratada deverá entregar os produtos no prazo de 10 dias úteis, na Secretaria Municipal de Assistência Social, Praça Olímpica Marcos Danilo Padilha, 235, Cianorte, CEP 87.210-054. </w:t>
      </w:r>
    </w:p>
    <w:p>
      <w:pPr>
        <w:pStyle w:val="Normal"/>
        <w:numPr>
          <w:ilvl w:val="1"/>
          <w:numId w:val="6"/>
        </w:numPr>
        <w:overflowPunct w:val="false"/>
        <w:spacing w:lineRule="auto" w:line="240" w:before="31" w:after="62"/>
        <w:ind w:hanging="0" w:left="0" w:right="0"/>
        <w:jc w:val="both"/>
        <w:textAlignment w:val="baseline"/>
        <w:rPr>
          <w:rFonts w:ascii="Arial" w:hAnsi="Arial"/>
          <w:color w:val="000000"/>
          <w:sz w:val="19"/>
          <w:szCs w:val="19"/>
        </w:rPr>
      </w:pPr>
      <w:r>
        <w:rPr>
          <w:rFonts w:ascii="Arial" w:hAnsi="Arial"/>
          <w:color w:val="000000"/>
          <w:sz w:val="19"/>
          <w:szCs w:val="19"/>
        </w:rPr>
        <w:t>O Recebimento do objeto será realizado:</w:t>
      </w:r>
    </w:p>
    <w:p>
      <w:pPr>
        <w:pStyle w:val="Normal"/>
        <w:numPr>
          <w:ilvl w:val="5"/>
          <w:numId w:val="6"/>
        </w:numPr>
        <w:overflowPunct w:val="false"/>
        <w:spacing w:lineRule="auto" w:line="240" w:before="31" w:after="62"/>
        <w:ind w:hanging="0" w:left="680" w:right="0"/>
        <w:jc w:val="both"/>
        <w:textAlignment w:val="baseline"/>
        <w:rPr>
          <w:rFonts w:ascii="Arial" w:hAnsi="Arial"/>
          <w:color w:val="000000"/>
          <w:sz w:val="19"/>
          <w:szCs w:val="19"/>
        </w:rPr>
      </w:pPr>
      <w:r>
        <w:rPr>
          <w:rFonts w:ascii="Arial" w:hAnsi="Arial"/>
          <w:color w:val="000000"/>
          <w:sz w:val="19"/>
          <w:szCs w:val="19"/>
        </w:rPr>
        <w:t>Provisoriamente, de forma sumária, pelo fiscal de contrato ou servidor designado pelo Chefe imediato/Secretário Municipal, com verificação posterior da conformidade do material com as exigências contratuais;</w:t>
      </w:r>
    </w:p>
    <w:p>
      <w:pPr>
        <w:pStyle w:val="Normal"/>
        <w:numPr>
          <w:ilvl w:val="5"/>
          <w:numId w:val="6"/>
        </w:numPr>
        <w:overflowPunct w:val="false"/>
        <w:spacing w:lineRule="auto" w:line="240" w:before="31" w:after="62"/>
        <w:ind w:hanging="0" w:left="680" w:right="0"/>
        <w:jc w:val="both"/>
        <w:textAlignment w:val="baseline"/>
        <w:rPr>
          <w:rFonts w:ascii="Arial" w:hAnsi="Arial"/>
          <w:color w:val="000000"/>
          <w:sz w:val="19"/>
          <w:szCs w:val="19"/>
        </w:rPr>
      </w:pPr>
      <w:r>
        <w:rPr>
          <w:rFonts w:ascii="Arial" w:hAnsi="Arial"/>
          <w:color w:val="000000"/>
          <w:sz w:val="19"/>
          <w:szCs w:val="19"/>
        </w:rPr>
        <w:t>Definitivamente, pelo fiscal de contrato ou servidor designado pelo Chefe imediato/Secretário Municipal, mediante termo detalhado que comprove o atendimento das exigências contratuais.</w:t>
      </w:r>
    </w:p>
    <w:p>
      <w:pPr>
        <w:pStyle w:val="Normal"/>
        <w:numPr>
          <w:ilvl w:val="1"/>
          <w:numId w:val="6"/>
        </w:numPr>
        <w:overflowPunct w:val="false"/>
        <w:spacing w:lineRule="auto" w:line="240" w:before="31" w:after="62"/>
        <w:ind w:hanging="0" w:left="0" w:right="0"/>
        <w:jc w:val="both"/>
        <w:textAlignment w:val="baseline"/>
        <w:rPr>
          <w:rFonts w:ascii="Arial" w:hAnsi="Arial"/>
          <w:color w:val="000000"/>
          <w:sz w:val="19"/>
          <w:szCs w:val="19"/>
        </w:rPr>
      </w:pPr>
      <w:r>
        <w:rPr>
          <w:rFonts w:ascii="Arial" w:hAnsi="Arial"/>
          <w:color w:val="000000"/>
          <w:sz w:val="19"/>
          <w:szCs w:val="19"/>
        </w:rPr>
        <w:t xml:space="preserve">O objeto desta ata poderá ser rejeitado, no todo ou em parte, quando estiver em desacordo com as especificações constantes </w:t>
      </w:r>
      <w:r>
        <w:rPr>
          <w:rFonts w:ascii="Arial" w:hAnsi="Arial"/>
          <w:b w:val="false"/>
          <w:bCs w:val="false"/>
          <w:color w:val="000000"/>
          <w:sz w:val="19"/>
          <w:szCs w:val="19"/>
          <w:shd w:fill="auto" w:val="clear"/>
        </w:rPr>
        <w:t>do Edital, da proposta, do contrato ou demais anexos,</w:t>
      </w:r>
      <w:r>
        <w:rPr>
          <w:rFonts w:ascii="Arial" w:hAnsi="Arial"/>
          <w:color w:val="000000"/>
          <w:sz w:val="19"/>
          <w:szCs w:val="19"/>
        </w:rPr>
        <w:t xml:space="preserve"> podendo ser fixado pelo fiscal do contrato, avaliado o caso concreto, um prazo para a substituição do bem, às custas do contratado, e sem prejuízo da aplicação das penalidades.</w:t>
      </w:r>
    </w:p>
    <w:p>
      <w:pPr>
        <w:pStyle w:val="Normal"/>
        <w:numPr>
          <w:ilvl w:val="1"/>
          <w:numId w:val="6"/>
        </w:numPr>
        <w:overflowPunct w:val="false"/>
        <w:spacing w:lineRule="auto" w:line="240" w:before="31" w:after="62"/>
        <w:ind w:hanging="0" w:left="0" w:right="0"/>
        <w:jc w:val="both"/>
        <w:textAlignment w:val="baseline"/>
        <w:rPr>
          <w:rFonts w:ascii="Arial" w:hAnsi="Arial"/>
          <w:color w:val="000000"/>
          <w:sz w:val="19"/>
          <w:szCs w:val="19"/>
        </w:rPr>
      </w:pPr>
      <w:r>
        <w:rPr>
          <w:rFonts w:cs="Arial-BoldMT" w:ascii="Arial" w:hAnsi="Arial"/>
          <w:b w:val="false"/>
          <w:bCs w:val="false"/>
          <w:color w:val="000000"/>
          <w:sz w:val="19"/>
          <w:szCs w:val="19"/>
          <w:shd w:fill="auto" w:val="clear"/>
        </w:rPr>
        <w:t>Fazendo-se a opção pelo recebimento provisório, que terá prazo de 5 dias, o recebimento definitivo será feito após a verificação da qualidade dos mesmos, e consequentemente aceito, no prazo de 10 dias a contar do término do recebimento provisório.</w:t>
      </w:r>
    </w:p>
    <w:p>
      <w:pPr>
        <w:pStyle w:val="Normal"/>
        <w:numPr>
          <w:ilvl w:val="0"/>
          <w:numId w:val="0"/>
        </w:numPr>
        <w:overflowPunct w:val="false"/>
        <w:spacing w:lineRule="auto" w:line="240" w:before="31" w:after="62"/>
        <w:ind w:hanging="0" w:left="0" w:right="0"/>
        <w:jc w:val="both"/>
        <w:textAlignment w:val="baseline"/>
        <w:rPr>
          <w:rFonts w:ascii="Arial" w:hAnsi="Arial" w:cs="Arial-BoldMT"/>
          <w:bCs/>
          <w:color w:val="000000"/>
          <w:sz w:val="19"/>
          <w:szCs w:val="19"/>
        </w:rPr>
      </w:pPr>
      <w:r>
        <w:rPr>
          <w:rFonts w:cs="Arial-BoldMT" w:ascii="Arial" w:hAnsi="Arial"/>
          <w:bCs/>
          <w:color w:val="000000"/>
          <w:sz w:val="19"/>
          <w:szCs w:val="19"/>
        </w:rPr>
      </w:r>
    </w:p>
    <w:p>
      <w:pPr>
        <w:pStyle w:val="Normal"/>
        <w:numPr>
          <w:ilvl w:val="0"/>
          <w:numId w:val="6"/>
        </w:numPr>
        <w:overflowPunct w:val="false"/>
        <w:spacing w:lineRule="auto" w:line="240" w:before="31" w:after="62"/>
        <w:ind w:hanging="0" w:left="0" w:right="0"/>
        <w:jc w:val="both"/>
        <w:textAlignment w:val="baseline"/>
        <w:rPr>
          <w:rFonts w:ascii="Arial" w:hAnsi="Arial"/>
          <w:sz w:val="19"/>
          <w:szCs w:val="19"/>
          <w:shd w:fill="auto" w:val="clear"/>
        </w:rPr>
      </w:pPr>
      <w:r>
        <w:rPr>
          <w:rFonts w:eastAsia="MS Mincho;ＭＳ 明朝" w:cs="Verdana" w:ascii="Arial" w:hAnsi="Arial"/>
          <w:b/>
          <w:sz w:val="19"/>
          <w:szCs w:val="19"/>
          <w:shd w:fill="auto" w:val="clear"/>
          <w:lang w:eastAsia="pt-BR"/>
        </w:rPr>
        <w:t xml:space="preserve">DAS </w:t>
      </w:r>
      <w:r>
        <w:rPr>
          <w:rFonts w:cs="Arial" w:ascii="Arial" w:hAnsi="Arial"/>
          <w:b/>
          <w:sz w:val="19"/>
          <w:szCs w:val="19"/>
          <w:shd w:fill="auto" w:val="clear"/>
        </w:rPr>
        <w:t>CONDIÇÕES</w:t>
      </w:r>
      <w:r>
        <w:rPr>
          <w:rFonts w:eastAsia="MS Mincho;ＭＳ 明朝" w:cs="Verdana" w:ascii="Arial" w:hAnsi="Arial"/>
          <w:b/>
          <w:sz w:val="19"/>
          <w:szCs w:val="19"/>
          <w:shd w:fill="auto" w:val="clear"/>
          <w:lang w:eastAsia="pt-BR"/>
        </w:rPr>
        <w:t xml:space="preserve"> DE PAGAMENTO</w:t>
      </w:r>
    </w:p>
    <w:p>
      <w:pPr>
        <w:pStyle w:val="Normal"/>
        <w:numPr>
          <w:ilvl w:val="1"/>
          <w:numId w:val="6"/>
        </w:numPr>
        <w:spacing w:lineRule="auto" w:line="240" w:before="31" w:after="62"/>
        <w:ind w:hanging="0" w:left="0" w:right="0"/>
        <w:jc w:val="both"/>
        <w:rPr>
          <w:rFonts w:ascii="Arial" w:hAnsi="Arial"/>
          <w:sz w:val="19"/>
          <w:szCs w:val="19"/>
          <w:shd w:fill="auto" w:val="clear"/>
        </w:rPr>
      </w:pPr>
      <w:r>
        <w:rPr>
          <w:rFonts w:cs="Verdana" w:ascii="Arial" w:hAnsi="Arial"/>
          <w:color w:val="FF0000"/>
          <w:sz w:val="19"/>
          <w:szCs w:val="19"/>
          <w:shd w:fill="auto" w:val="clear"/>
        </w:rPr>
        <w:t>O pagamento será efetuado em até 10 dias úteis após a entrega da Nota Fiscal</w:t>
      </w:r>
      <w:r>
        <w:rPr>
          <w:rFonts w:cs="Verdana" w:ascii="Arial" w:hAnsi="Arial"/>
          <w:sz w:val="19"/>
          <w:szCs w:val="19"/>
          <w:shd w:fill="auto" w:val="clear"/>
        </w:rPr>
        <w:t xml:space="preserve">, após conferência quantitativa e qualitativa pela Divisão responsável pelo recebimento, com base nos preços unitários apresentados na proposta/lance e mediante a verificação de regularidade ou apresentação dos seguintes documentos: </w:t>
      </w:r>
    </w:p>
    <w:p>
      <w:pPr>
        <w:pStyle w:val="Normal"/>
        <w:numPr>
          <w:ilvl w:val="5"/>
          <w:numId w:val="6"/>
        </w:numPr>
        <w:spacing w:lineRule="auto" w:line="240" w:before="31" w:after="62"/>
        <w:ind w:hanging="0" w:left="680" w:right="0"/>
        <w:jc w:val="both"/>
        <w:rPr>
          <w:rFonts w:ascii="Arial" w:hAnsi="Arial"/>
          <w:sz w:val="19"/>
          <w:szCs w:val="19"/>
          <w:shd w:fill="auto" w:val="clear"/>
        </w:rPr>
      </w:pPr>
      <w:r>
        <w:rPr>
          <w:rFonts w:ascii="Arial" w:hAnsi="Arial"/>
          <w:sz w:val="19"/>
          <w:szCs w:val="19"/>
          <w:shd w:fill="auto" w:val="clear"/>
        </w:rPr>
        <w:t>Prova de regularidade relativo aos Débitos Relativos aos Tributos Federais e à Dívida Ativa da União;</w:t>
      </w:r>
    </w:p>
    <w:p>
      <w:pPr>
        <w:pStyle w:val="Normal"/>
        <w:numPr>
          <w:ilvl w:val="5"/>
          <w:numId w:val="6"/>
        </w:numPr>
        <w:spacing w:lineRule="auto" w:line="240" w:before="31" w:after="62"/>
        <w:ind w:hanging="0" w:left="680" w:right="0"/>
        <w:jc w:val="both"/>
        <w:rPr>
          <w:rFonts w:ascii="Arial" w:hAnsi="Arial"/>
          <w:sz w:val="19"/>
          <w:szCs w:val="19"/>
          <w:shd w:fill="auto" w:val="clear"/>
        </w:rPr>
      </w:pPr>
      <w:r>
        <w:rPr>
          <w:rFonts w:ascii="Arial" w:hAnsi="Arial"/>
          <w:sz w:val="19"/>
          <w:szCs w:val="19"/>
          <w:shd w:fill="auto" w:val="clear"/>
        </w:rPr>
        <w:t>Prova de regularidade relativo aos Débitos da Fazenda Estadual do domicílio da empresa;</w:t>
      </w:r>
    </w:p>
    <w:p>
      <w:pPr>
        <w:pStyle w:val="Normal"/>
        <w:numPr>
          <w:ilvl w:val="5"/>
          <w:numId w:val="6"/>
        </w:numPr>
        <w:spacing w:lineRule="auto" w:line="240" w:before="31" w:after="62"/>
        <w:ind w:hanging="0" w:left="680" w:right="0"/>
        <w:jc w:val="both"/>
        <w:rPr>
          <w:rFonts w:ascii="Arial" w:hAnsi="Arial"/>
          <w:sz w:val="19"/>
          <w:szCs w:val="19"/>
          <w:shd w:fill="auto" w:val="clear"/>
        </w:rPr>
      </w:pPr>
      <w:r>
        <w:rPr>
          <w:rFonts w:ascii="Arial" w:hAnsi="Arial"/>
          <w:sz w:val="19"/>
          <w:szCs w:val="19"/>
          <w:shd w:fill="auto" w:val="clear"/>
        </w:rPr>
        <w:t>Prova de regularidade relativo aos Débitos Municipais, e caso exista filial no Município de Cianorte a Cianorte a Prova de regularidade desta também deverá ser apresentada;</w:t>
      </w:r>
    </w:p>
    <w:p>
      <w:pPr>
        <w:pStyle w:val="Normal"/>
        <w:numPr>
          <w:ilvl w:val="5"/>
          <w:numId w:val="6"/>
        </w:numPr>
        <w:spacing w:lineRule="auto" w:line="240" w:before="31" w:after="62"/>
        <w:ind w:hanging="0" w:left="680" w:right="0"/>
        <w:jc w:val="both"/>
        <w:rPr>
          <w:rFonts w:ascii="Arial" w:hAnsi="Arial"/>
          <w:sz w:val="19"/>
          <w:szCs w:val="19"/>
          <w:shd w:fill="auto" w:val="clear"/>
        </w:rPr>
      </w:pPr>
      <w:r>
        <w:rPr>
          <w:rFonts w:ascii="Arial" w:hAnsi="Arial"/>
          <w:sz w:val="19"/>
          <w:szCs w:val="19"/>
          <w:shd w:fill="auto" w:val="clear"/>
        </w:rPr>
        <w:t xml:space="preserve">Prova de regularidade relativo de FGTS; </w:t>
      </w:r>
    </w:p>
    <w:p>
      <w:pPr>
        <w:pStyle w:val="Normal"/>
        <w:numPr>
          <w:ilvl w:val="5"/>
          <w:numId w:val="6"/>
        </w:numPr>
        <w:spacing w:lineRule="auto" w:line="240" w:before="31" w:after="62"/>
        <w:ind w:hanging="0" w:left="680" w:right="0"/>
        <w:jc w:val="both"/>
        <w:rPr>
          <w:rFonts w:ascii="Arial" w:hAnsi="Arial"/>
          <w:sz w:val="19"/>
          <w:szCs w:val="19"/>
          <w:shd w:fill="auto" w:val="clear"/>
        </w:rPr>
      </w:pPr>
      <w:r>
        <w:rPr>
          <w:rFonts w:ascii="Arial" w:hAnsi="Arial"/>
          <w:sz w:val="19"/>
          <w:szCs w:val="19"/>
          <w:shd w:fill="auto" w:val="clear"/>
        </w:rPr>
        <w:t xml:space="preserve">Prova de regularidade relativo aos Débitos Trabalhistas (CNDT); </w:t>
      </w:r>
    </w:p>
    <w:p>
      <w:pPr>
        <w:pStyle w:val="Normal"/>
        <w:numPr>
          <w:ilvl w:val="5"/>
          <w:numId w:val="6"/>
        </w:numPr>
        <w:spacing w:lineRule="auto" w:line="240" w:before="31" w:after="62"/>
        <w:ind w:hanging="0" w:left="680" w:right="0"/>
        <w:jc w:val="both"/>
        <w:rPr>
          <w:rFonts w:ascii="Arial" w:hAnsi="Arial"/>
          <w:sz w:val="19"/>
          <w:szCs w:val="19"/>
          <w:shd w:fill="auto" w:val="clear"/>
        </w:rPr>
      </w:pPr>
      <w:r>
        <w:rPr>
          <w:rFonts w:ascii="Arial" w:hAnsi="Arial"/>
          <w:sz w:val="19"/>
          <w:szCs w:val="19"/>
          <w:shd w:fill="auto" w:val="clear"/>
        </w:rPr>
        <w:t>Situação perante o Cadastro Nacional de Pessoas Jurídicas do Ministério da Fazenda (Cartão CNPJ).</w:t>
      </w:r>
    </w:p>
    <w:p>
      <w:pPr>
        <w:pStyle w:val="PargrafodaLista"/>
        <w:widowControl w:val="false"/>
        <w:numPr>
          <w:ilvl w:val="1"/>
          <w:numId w:val="6"/>
        </w:numPr>
        <w:tabs>
          <w:tab w:val="clear" w:pos="709"/>
          <w:tab w:val="left" w:pos="2371" w:leader="none"/>
        </w:tabs>
        <w:spacing w:lineRule="auto" w:line="240" w:before="31" w:after="62"/>
        <w:ind w:hanging="0" w:left="0" w:right="104"/>
        <w:contextualSpacing w:val="false"/>
        <w:jc w:val="both"/>
        <w:rPr>
          <w:rFonts w:ascii="Arial" w:hAnsi="Arial"/>
          <w:sz w:val="19"/>
          <w:szCs w:val="19"/>
          <w:shd w:fill="auto" w:val="clear"/>
        </w:rPr>
      </w:pPr>
      <w:r>
        <w:rPr>
          <w:rFonts w:cs="Verdana" w:ascii="Arial" w:hAnsi="Arial"/>
          <w:sz w:val="19"/>
          <w:szCs w:val="19"/>
          <w:shd w:fill="auto" w:val="clear"/>
        </w:rPr>
        <w:t>A compensação financeira é admitida nos casos de eventuais atrasos de pagamento pela Administração, desde que o fornecedor não tenha concorrido de alguma forma para o atraso. É devida desde a data limite fixada na ata para o pagamento até a data correspondente ao efetivo pagamento da</w:t>
      </w:r>
      <w:r>
        <w:rPr>
          <w:rFonts w:cs="Verdana" w:ascii="Arial" w:hAnsi="Arial"/>
          <w:spacing w:val="-13"/>
          <w:sz w:val="19"/>
          <w:szCs w:val="19"/>
          <w:shd w:fill="auto" w:val="clear"/>
        </w:rPr>
        <w:t xml:space="preserve"> </w:t>
      </w:r>
      <w:r>
        <w:rPr>
          <w:rFonts w:cs="Verdana" w:ascii="Arial" w:hAnsi="Arial"/>
          <w:sz w:val="19"/>
          <w:szCs w:val="19"/>
          <w:shd w:fill="auto" w:val="clear"/>
        </w:rPr>
        <w:t>parcela.</w:t>
      </w:r>
    </w:p>
    <w:p>
      <w:pPr>
        <w:pStyle w:val="Normal"/>
        <w:numPr>
          <w:ilvl w:val="1"/>
          <w:numId w:val="6"/>
        </w:numPr>
        <w:spacing w:lineRule="auto" w:line="240" w:before="31" w:after="62"/>
        <w:ind w:hanging="0" w:left="0" w:right="0"/>
        <w:jc w:val="both"/>
        <w:rPr>
          <w:rFonts w:ascii="Arial" w:hAnsi="Arial"/>
          <w:sz w:val="19"/>
          <w:szCs w:val="19"/>
          <w:shd w:fill="auto" w:val="clear"/>
        </w:rPr>
      </w:pPr>
      <w:r>
        <w:rPr>
          <w:rFonts w:cs="Verdana" w:ascii="Arial" w:hAnsi="Arial"/>
          <w:sz w:val="19"/>
          <w:szCs w:val="19"/>
          <w:shd w:fill="auto" w:val="clear"/>
        </w:rPr>
        <w:t>Os encargos moratórios devidos em razão do atraso no pagamento poderão ser calculados com utilização da seguinte</w:t>
      </w:r>
      <w:r>
        <w:rPr>
          <w:rFonts w:cs="Verdana" w:ascii="Arial" w:hAnsi="Arial"/>
          <w:spacing w:val="-15"/>
          <w:sz w:val="19"/>
          <w:szCs w:val="19"/>
          <w:shd w:fill="auto" w:val="clear"/>
        </w:rPr>
        <w:t xml:space="preserve"> </w:t>
      </w:r>
      <w:r>
        <w:rPr>
          <w:rFonts w:cs="Verdana" w:ascii="Arial" w:hAnsi="Arial"/>
          <w:sz w:val="19"/>
          <w:szCs w:val="19"/>
          <w:shd w:fill="auto" w:val="clear"/>
        </w:rPr>
        <w:t>fórmula: EM = N x VP x I, Onde: EM = Encargos moratórios; N = Número de dias entre a data prevista para o pagamento e a do efetivo pagamento; VP = Valor da parcela a ser paga; I = Índice de compensação financeira, assim apurado: I = (TX/100)/365; TX = Percentual da taxa anual do IPCA – Índice de Preços ao Consumidor Ampliado, do IBGE.</w:t>
      </w:r>
    </w:p>
    <w:p>
      <w:pPr>
        <w:pStyle w:val="Normal"/>
        <w:numPr>
          <w:ilvl w:val="0"/>
          <w:numId w:val="0"/>
        </w:numPr>
        <w:spacing w:lineRule="auto" w:line="240" w:before="31" w:after="62"/>
        <w:ind w:hanging="0" w:left="0" w:right="0"/>
        <w:jc w:val="both"/>
        <w:rPr>
          <w:rFonts w:ascii="Arial" w:hAnsi="Arial"/>
          <w:sz w:val="19"/>
          <w:szCs w:val="19"/>
          <w:shd w:fill="auto" w:val="clear"/>
        </w:rPr>
      </w:pPr>
      <w:r>
        <w:rPr>
          <w:rFonts w:ascii="Arial" w:hAnsi="Arial"/>
          <w:sz w:val="19"/>
          <w:szCs w:val="19"/>
          <w:shd w:fill="auto" w:val="clear"/>
        </w:rPr>
      </w:r>
    </w:p>
    <w:p>
      <w:pPr>
        <w:pStyle w:val="Normal"/>
        <w:numPr>
          <w:ilvl w:val="0"/>
          <w:numId w:val="6"/>
        </w:numPr>
        <w:overflowPunct w:val="false"/>
        <w:spacing w:lineRule="auto" w:line="240" w:before="31" w:after="62"/>
        <w:ind w:hanging="0" w:left="0" w:right="0"/>
        <w:jc w:val="both"/>
        <w:textAlignment w:val="baseline"/>
        <w:rPr>
          <w:rFonts w:ascii="Arial" w:hAnsi="Arial" w:cs="Verdana"/>
          <w:b/>
          <w:color w:val="000000"/>
          <w:sz w:val="19"/>
          <w:szCs w:val="19"/>
          <w:u w:val="none"/>
          <w:shd w:fill="auto" w:val="clear"/>
        </w:rPr>
      </w:pPr>
      <w:r>
        <w:rPr>
          <w:rFonts w:cs="Verdana" w:ascii="Arial" w:hAnsi="Arial"/>
          <w:b/>
          <w:color w:val="000000"/>
          <w:sz w:val="19"/>
          <w:szCs w:val="19"/>
          <w:u w:val="none"/>
          <w:shd w:fill="auto" w:val="clear"/>
        </w:rPr>
        <w:t>DAS INFRAÇÕES E PENALIDADES</w:t>
      </w:r>
    </w:p>
    <w:p>
      <w:pPr>
        <w:pStyle w:val="Normal"/>
        <w:widowControl/>
        <w:numPr>
          <w:ilvl w:val="1"/>
          <w:numId w:val="6"/>
        </w:numPr>
        <w:tabs>
          <w:tab w:val="clear" w:pos="709"/>
          <w:tab w:val="left" w:pos="-60" w:leader="none"/>
        </w:tabs>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O Fornecedor signatário da presente Ata será responsabilizado administrativamente pelas seguintes infrações previstas no art. 155 da Lei n.º 14.133/2021:</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Dar causa à inexecução parcial do contrato;</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Dar causa à inexecução parcial do contrato que cause grave dano à Administração, ao funcionamento dos serviços públicos ou ao interesse coletivo;</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Dar causa à inexecução total do contrato;</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Deixar de entregar a documentação exigida para o certame;</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Não manter a proposta, salvo em decorrência de fato superveniente devidamente justificado;</w:t>
      </w:r>
    </w:p>
    <w:p>
      <w:pPr>
        <w:pStyle w:val="BodyText"/>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Não assinar a ata de registro de preços ou o contrato nos prazos estabelecidos neste edital ou não entregar a documentação exigida para a contratação, quando convocado dentro do prazo de validade de sua proposta;</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Ensejar o retardamento da execução ou da entrega do objeto da licitação sem motivo justificado;</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Apresentar declaração ou documentação falsa exigida para o certame ou prestar declaração falsa durante a licitação ou a execução do contrato;</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Fraudar a licitação ou praticar ato fraudulento na execução do contrato;</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Comportar-se de modo inidôneo ou cometer fraude de qualquer natureza;</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Praticar atos ilícitos com vistas a frustrar os objetivos da licitação;</w:t>
      </w:r>
    </w:p>
    <w:p>
      <w:pPr>
        <w:pStyle w:val="Normal"/>
        <w:widowControl/>
        <w:numPr>
          <w:ilvl w:val="4"/>
          <w:numId w:val="6"/>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Praticar ato lesivo previsto no art. 5º da Lei nº 12.846, de 1º de agosto de 2013.</w:t>
      </w:r>
    </w:p>
    <w:p>
      <w:pPr>
        <w:pStyle w:val="BodyText"/>
        <w:numPr>
          <w:ilvl w:val="1"/>
          <w:numId w:val="6"/>
        </w:numPr>
        <w:spacing w:lineRule="auto" w:line="240" w:before="31" w:after="62"/>
        <w:ind w:hanging="0" w:left="0" w:right="0"/>
        <w:jc w:val="both"/>
        <w:rPr>
          <w:shd w:fill="auto" w:val="clear"/>
        </w:rPr>
      </w:pPr>
      <w:r>
        <w:rPr>
          <w:sz w:val="19"/>
          <w:szCs w:val="19"/>
          <w:shd w:fill="auto" w:val="clear"/>
        </w:rPr>
        <w:t xml:space="preserve"> </w:t>
      </w:r>
      <w:r>
        <w:rPr>
          <w:b w:val="false"/>
          <w:i w:val="false"/>
          <w:caps w:val="false"/>
          <w:smallCaps w:val="false"/>
          <w:color w:val="000000"/>
          <w:spacing w:val="0"/>
          <w:sz w:val="19"/>
          <w:szCs w:val="19"/>
          <w:shd w:fill="auto" w:val="clear"/>
        </w:rPr>
        <w:t>Serão aplicadas ao responsável pelas infrações administrativas previstas nesta Lei as seguintes sanções:</w:t>
      </w:r>
    </w:p>
    <w:p>
      <w:pPr>
        <w:pStyle w:val="BodyText"/>
        <w:widowControl/>
        <w:numPr>
          <w:ilvl w:val="4"/>
          <w:numId w:val="6"/>
        </w:numPr>
        <w:spacing w:lineRule="auto" w:line="240" w:before="31" w:after="62"/>
        <w:ind w:hanging="0" w:left="680" w:right="0"/>
        <w:jc w:val="both"/>
        <w:rPr>
          <w:rFonts w:ascii="Arial" w:hAnsi="Arial"/>
          <w:b w:val="false"/>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Advertência:</w:t>
      </w:r>
      <w:r>
        <w:rPr>
          <w:b w:val="false"/>
          <w:i w:val="false"/>
          <w:caps w:val="false"/>
          <w:smallCaps w:val="false"/>
          <w:color w:val="000000"/>
          <w:spacing w:val="0"/>
          <w:sz w:val="19"/>
          <w:szCs w:val="19"/>
          <w:shd w:fill="auto" w:val="clear"/>
        </w:rPr>
        <w:t xml:space="preserve"> </w:t>
      </w:r>
    </w:p>
    <w:p>
      <w:pPr>
        <w:pStyle w:val="BodyText"/>
        <w:widowControl/>
        <w:numPr>
          <w:ilvl w:val="0"/>
          <w:numId w:val="0"/>
        </w:numPr>
        <w:spacing w:lineRule="auto" w:line="240" w:before="31" w:after="62"/>
        <w:ind w:hanging="0" w:left="907" w:right="0"/>
        <w:jc w:val="both"/>
        <w:rPr>
          <w:rFonts w:ascii="Arial" w:hAnsi="Arial"/>
          <w:b w:val="false"/>
          <w:i w:val="false"/>
          <w:i w:val="false"/>
          <w:caps w:val="false"/>
          <w:smallCaps w:val="false"/>
          <w:color w:val="000000"/>
          <w:spacing w:val="0"/>
          <w:sz w:val="19"/>
          <w:szCs w:val="19"/>
          <w:shd w:fill="auto" w:val="clear"/>
        </w:rPr>
      </w:pPr>
      <w:r>
        <w:rPr>
          <w:rFonts w:cs="ArialMT"/>
          <w:b/>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 xml:space="preserve">– </w:t>
      </w:r>
      <w:r>
        <w:rPr>
          <w:b w:val="false"/>
          <w:i w:val="false"/>
          <w:caps w:val="false"/>
          <w:smallCaps w:val="false"/>
          <w:color w:val="000000"/>
          <w:spacing w:val="0"/>
          <w:sz w:val="19"/>
          <w:szCs w:val="19"/>
          <w:shd w:fill="auto" w:val="clear"/>
        </w:rPr>
        <w:t>Aplicada exclusivamente pela infração administrativa prevista no inciso I do caput do art. 155 da Lei n.º 14.133/2021, quando não se justificar a imposição de penalidade mais grave.</w:t>
      </w:r>
    </w:p>
    <w:p>
      <w:pPr>
        <w:pStyle w:val="BodyText"/>
        <w:widowControl/>
        <w:numPr>
          <w:ilvl w:val="4"/>
          <w:numId w:val="6"/>
        </w:numPr>
        <w:spacing w:lineRule="auto" w:line="240" w:before="31" w:after="62"/>
        <w:ind w:hanging="0" w:left="680" w:right="0"/>
        <w:jc w:val="both"/>
        <w:rPr>
          <w:rFonts w:ascii="Arial" w:hAnsi="Arial"/>
          <w:b/>
          <w:bCs/>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Multa:</w:t>
      </w:r>
    </w:p>
    <w:p>
      <w:pPr>
        <w:pStyle w:val="Normal"/>
        <w:widowControl/>
        <w:numPr>
          <w:ilvl w:val="0"/>
          <w:numId w:val="0"/>
        </w:numPr>
        <w:spacing w:lineRule="auto" w:line="240" w:before="31" w:after="62"/>
        <w:ind w:hanging="0" w:left="851" w:right="0"/>
        <w:jc w:val="both"/>
        <w:rPr>
          <w:rFonts w:ascii="Arial" w:hAnsi="Arial"/>
          <w:b w:val="false"/>
          <w:bCs w:val="false"/>
          <w:i w:val="false"/>
          <w:i w:val="false"/>
          <w:caps w:val="false"/>
          <w:smallCaps w:val="false"/>
          <w:color w:val="000000"/>
          <w:spacing w:val="0"/>
          <w:sz w:val="19"/>
          <w:szCs w:val="19"/>
          <w:shd w:fill="auto" w:val="clear"/>
        </w:rPr>
      </w:pPr>
      <w:r>
        <w:rPr>
          <w:rFonts w:ascii="Arial" w:hAnsi="Arial"/>
          <w:b w:val="false"/>
          <w:bCs w:val="false"/>
          <w:i w:val="false"/>
          <w:caps w:val="false"/>
          <w:smallCaps w:val="false"/>
          <w:color w:val="000000"/>
          <w:spacing w:val="0"/>
          <w:sz w:val="19"/>
          <w:szCs w:val="19"/>
          <w:shd w:fill="auto" w:val="clear"/>
        </w:rPr>
        <w:t>- Compensatória de 20% sobre o valor total do contrato, no caso de inexecução total do objeto.</w:t>
      </w:r>
    </w:p>
    <w:p>
      <w:pPr>
        <w:pStyle w:val="BodyText"/>
        <w:widowControl/>
        <w:numPr>
          <w:ilvl w:val="0"/>
          <w:numId w:val="0"/>
        </w:numPr>
        <w:spacing w:lineRule="auto" w:line="240" w:before="31" w:after="62"/>
        <w:ind w:hanging="0" w:left="851" w:right="0"/>
        <w:jc w:val="both"/>
        <w:rPr>
          <w:rFonts w:ascii="Arial" w:hAnsi="Arial"/>
          <w:b w:val="false"/>
          <w:bCs w:val="false"/>
          <w:i w:val="false"/>
          <w:i w:val="false"/>
          <w:caps w:val="false"/>
          <w:smallCaps w:val="false"/>
          <w:color w:val="000000"/>
          <w:spacing w:val="0"/>
          <w:sz w:val="19"/>
          <w:szCs w:val="19"/>
          <w:shd w:fill="auto" w:val="clear"/>
        </w:rPr>
      </w:pPr>
      <w:r>
        <w:rPr>
          <w:b w:val="false"/>
          <w:bCs w:val="false"/>
          <w:i w:val="false"/>
          <w:caps w:val="false"/>
          <w:smallCaps w:val="false"/>
          <w:color w:val="000000"/>
          <w:spacing w:val="0"/>
          <w:sz w:val="19"/>
          <w:szCs w:val="19"/>
          <w:shd w:fill="auto" w:val="clear"/>
        </w:rPr>
        <w:t>- Compensatória de 10% sobre o valor total do contrato, no caso de inexecução parcial do objeto.</w:t>
      </w:r>
    </w:p>
    <w:p>
      <w:pPr>
        <w:pStyle w:val="BodyText"/>
        <w:widowControl/>
        <w:numPr>
          <w:ilvl w:val="0"/>
          <w:numId w:val="0"/>
        </w:numPr>
        <w:tabs>
          <w:tab w:val="clear" w:pos="709"/>
          <w:tab w:val="left" w:pos="230" w:leader="none"/>
        </w:tabs>
        <w:spacing w:lineRule="auto" w:line="240" w:before="31" w:after="62"/>
        <w:ind w:hanging="0" w:left="851" w:right="0"/>
        <w:jc w:val="both"/>
        <w:rPr>
          <w:rFonts w:ascii="Arial" w:hAnsi="Arial"/>
          <w:b w:val="false"/>
          <w:bCs w:val="false"/>
          <w:i w:val="false"/>
          <w:i w:val="false"/>
          <w:caps w:val="false"/>
          <w:smallCaps w:val="false"/>
          <w:color w:val="000000"/>
          <w:spacing w:val="0"/>
          <w:sz w:val="19"/>
          <w:szCs w:val="19"/>
          <w:shd w:fill="auto" w:val="clear"/>
        </w:rPr>
      </w:pPr>
      <w:r>
        <w:rPr>
          <w:b w:val="false"/>
          <w:bCs w:val="false"/>
          <w:i w:val="false"/>
          <w:caps w:val="false"/>
          <w:smallCaps w:val="false"/>
          <w:color w:val="000000"/>
          <w:spacing w:val="0"/>
          <w:sz w:val="19"/>
          <w:szCs w:val="19"/>
          <w:shd w:fill="auto" w:val="clear"/>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pPr>
        <w:pStyle w:val="BodyText"/>
        <w:widowControl/>
        <w:numPr>
          <w:ilvl w:val="4"/>
          <w:numId w:val="6"/>
        </w:numPr>
        <w:spacing w:lineRule="auto" w:line="240" w:before="31" w:after="62"/>
        <w:ind w:hanging="0" w:left="737" w:right="0"/>
        <w:jc w:val="both"/>
        <w:rPr>
          <w:rFonts w:ascii="Arial" w:hAnsi="Arial"/>
          <w:b/>
          <w:bCs/>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Impedimento de licitar e contratar:</w:t>
      </w:r>
    </w:p>
    <w:p>
      <w:pPr>
        <w:pStyle w:val="BodyText"/>
        <w:widowControl/>
        <w:numPr>
          <w:ilvl w:val="0"/>
          <w:numId w:val="0"/>
        </w:numPr>
        <w:spacing w:lineRule="auto" w:line="240" w:before="31" w:after="62"/>
        <w:ind w:hanging="0" w:left="907" w:right="0"/>
        <w:jc w:val="both"/>
        <w:rPr>
          <w:rFonts w:ascii="Arial" w:hAnsi="Arial"/>
          <w:b w:val="false"/>
          <w:bCs w:val="false"/>
          <w:i w:val="false"/>
          <w:i w:val="false"/>
          <w:caps w:val="false"/>
          <w:smallCaps w:val="false"/>
          <w:color w:val="000000"/>
          <w:spacing w:val="0"/>
          <w:sz w:val="19"/>
          <w:szCs w:val="19"/>
          <w:shd w:fill="auto" w:val="clear"/>
        </w:rPr>
      </w:pPr>
      <w:r>
        <w:rPr>
          <w:rFonts w:cs="ArialMT"/>
          <w:b/>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pPr>
        <w:pStyle w:val="BodyText"/>
        <w:widowControl/>
        <w:numPr>
          <w:ilvl w:val="4"/>
          <w:numId w:val="6"/>
        </w:numPr>
        <w:spacing w:lineRule="auto" w:line="240" w:before="31" w:after="62"/>
        <w:ind w:hanging="0" w:left="680" w:right="0"/>
        <w:jc w:val="both"/>
        <w:rPr>
          <w:rFonts w:ascii="Arial" w:hAnsi="Arial"/>
          <w:b/>
          <w:bCs/>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Declaração de inidoneidade para licitar ou contratar:</w:t>
      </w:r>
    </w:p>
    <w:p>
      <w:pPr>
        <w:pStyle w:val="BodyText"/>
        <w:widowControl/>
        <w:numPr>
          <w:ilvl w:val="0"/>
          <w:numId w:val="0"/>
        </w:numPr>
        <w:spacing w:lineRule="auto" w:line="240" w:before="31" w:after="62"/>
        <w:ind w:hanging="0" w:left="907" w:right="0"/>
        <w:jc w:val="both"/>
        <w:rPr>
          <w:rFonts w:ascii="Arial" w:hAnsi="Arial"/>
          <w:color w:val="000000"/>
          <w:sz w:val="19"/>
          <w:szCs w:val="19"/>
          <w:shd w:fill="auto" w:val="clear"/>
        </w:rPr>
      </w:pPr>
      <w:r>
        <w:rPr>
          <w:rFonts w:cs="ArialMT"/>
          <w:b/>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disposto no item “</w:t>
      </w:r>
      <w:r>
        <w:rPr>
          <w:rFonts w:cs="ArialMT"/>
          <w:b w:val="false"/>
          <w:bCs/>
          <w:i w:val="false"/>
          <w:caps w:val="false"/>
          <w:smallCaps w:val="false"/>
          <w:color w:val="FF0000"/>
          <w:spacing w:val="0"/>
          <w:sz w:val="19"/>
          <w:szCs w:val="19"/>
          <w:shd w:fill="auto" w:val="clear"/>
        </w:rPr>
        <w:t>12.2, inciso III</w:t>
      </w:r>
      <w:r>
        <w:rPr>
          <w:rFonts w:cs="ArialMT"/>
          <w:b w:val="false"/>
          <w:bCs/>
          <w:i w:val="false"/>
          <w:caps w:val="false"/>
          <w:smallCaps w:val="false"/>
          <w:color w:val="000000"/>
          <w:spacing w:val="0"/>
          <w:sz w:val="19"/>
          <w:szCs w:val="19"/>
          <w:shd w:fill="auto" w:val="clear"/>
        </w:rPr>
        <w:t>” e impedirá o responsável de licitar ou contratar no âmbito da Administração Pública direta e indireta de todos os entes federativos, pelo prazo mínimo de 3 (três) anos e máximo de 6 (seis) anos</w:t>
      </w:r>
      <w:r>
        <w:rPr>
          <w:b w:val="false"/>
          <w:bCs w:val="false"/>
          <w:i w:val="false"/>
          <w:caps w:val="false"/>
          <w:smallCaps w:val="false"/>
          <w:color w:val="000000"/>
          <w:spacing w:val="0"/>
          <w:sz w:val="19"/>
          <w:szCs w:val="19"/>
          <w:shd w:fill="auto" w:val="clear"/>
        </w:rPr>
        <w:t xml:space="preserve">. </w:t>
      </w:r>
    </w:p>
    <w:p>
      <w:pPr>
        <w:pStyle w:val="BodyText"/>
        <w:widowControl/>
        <w:numPr>
          <w:ilvl w:val="1"/>
          <w:numId w:val="6"/>
        </w:numPr>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 xml:space="preserve">As sanções previstas nos “incisos I, III e IV do </w:t>
      </w:r>
      <w:r>
        <w:rPr>
          <w:rFonts w:cs="ArialMT"/>
          <w:b w:val="false"/>
          <w:bCs/>
          <w:i w:val="false"/>
          <w:caps w:val="false"/>
          <w:smallCaps w:val="false"/>
          <w:color w:val="000000"/>
          <w:spacing w:val="0"/>
          <w:sz w:val="19"/>
          <w:szCs w:val="19"/>
          <w:shd w:fill="auto" w:val="clear"/>
        </w:rPr>
        <w:t>caput do art. 156 da Lei n.º 14.133/2021,</w:t>
      </w:r>
      <w:r>
        <w:rPr>
          <w:b w:val="false"/>
          <w:i w:val="false"/>
          <w:caps w:val="false"/>
          <w:smallCaps w:val="false"/>
          <w:color w:val="000000"/>
          <w:spacing w:val="0"/>
          <w:sz w:val="19"/>
          <w:szCs w:val="19"/>
          <w:shd w:fill="auto" w:val="clear"/>
        </w:rPr>
        <w:t xml:space="preserve"> poderão ser aplicadas cumulativamente com as multas previstas no inciso II do mesmo artigo.</w:t>
      </w:r>
    </w:p>
    <w:p>
      <w:pPr>
        <w:pStyle w:val="BodyText"/>
        <w:widowControl/>
        <w:numPr>
          <w:ilvl w:val="1"/>
          <w:numId w:val="6"/>
        </w:numPr>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BodyText"/>
        <w:widowControl/>
        <w:numPr>
          <w:ilvl w:val="1"/>
          <w:numId w:val="6"/>
        </w:numPr>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 xml:space="preserve"> </w:t>
      </w:r>
      <w:r>
        <w:rPr>
          <w:b w:val="false"/>
          <w:i w:val="false"/>
          <w:caps w:val="false"/>
          <w:smallCaps w:val="false"/>
          <w:color w:val="000000"/>
          <w:spacing w:val="0"/>
          <w:sz w:val="19"/>
          <w:szCs w:val="19"/>
          <w:shd w:fill="auto" w:val="clear"/>
        </w:rPr>
        <w:t>A aplicação das sanções previstas neste item não exclui, em hipótese alguma, a obrigação de reparação integral do dano causado à Administração Pública.</w:t>
      </w:r>
    </w:p>
    <w:p>
      <w:pPr>
        <w:pStyle w:val="BodyText"/>
        <w:widowControl/>
        <w:numPr>
          <w:ilvl w:val="1"/>
          <w:numId w:val="6"/>
        </w:numPr>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Na eventual aplicação de alguma penalidade, poderá haver o registro no Cadastro do TCE de acordo com a Instrução Normativa nº 37/2009 do TCE/PR.</w:t>
      </w:r>
    </w:p>
    <w:p>
      <w:pPr>
        <w:pStyle w:val="BodyText"/>
        <w:widowControl/>
        <w:numPr>
          <w:ilvl w:val="0"/>
          <w:numId w:val="0"/>
        </w:numPr>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r>
    </w:p>
    <w:p>
      <w:pPr>
        <w:pStyle w:val="Normal"/>
        <w:numPr>
          <w:ilvl w:val="0"/>
          <w:numId w:val="6"/>
        </w:numPr>
        <w:overflowPunct w:val="false"/>
        <w:spacing w:lineRule="auto" w:line="240" w:before="31" w:after="62"/>
        <w:ind w:hanging="0" w:left="0" w:right="0"/>
        <w:jc w:val="both"/>
        <w:textAlignment w:val="baseline"/>
        <w:rPr>
          <w:rFonts w:ascii="Arial" w:hAnsi="Arial"/>
          <w:sz w:val="19"/>
          <w:szCs w:val="19"/>
          <w:shd w:fill="auto" w:val="clear"/>
        </w:rPr>
      </w:pPr>
      <w:r>
        <w:rPr>
          <w:rFonts w:eastAsia="MS Mincho;ＭＳ 明朝" w:cs="ArialMT" w:ascii="Arial" w:hAnsi="Arial"/>
          <w:b/>
          <w:sz w:val="19"/>
          <w:szCs w:val="19"/>
          <w:shd w:fill="auto" w:val="clear"/>
          <w:lang w:eastAsia="pt-BR"/>
        </w:rPr>
        <w:t>DA FRAUDE E CORRUPÇÃO</w:t>
      </w:r>
    </w:p>
    <w:p>
      <w:pPr>
        <w:pStyle w:val="Normal"/>
        <w:widowControl/>
        <w:numPr>
          <w:ilvl w:val="1"/>
          <w:numId w:val="6"/>
        </w:numPr>
        <w:overflowPunct w:val="false"/>
        <w:spacing w:lineRule="auto" w:line="240" w:before="31" w:after="62"/>
        <w:ind w:hanging="0" w:left="0" w:right="0"/>
        <w:jc w:val="both"/>
        <w:textAlignment w:val="baseline"/>
        <w:rPr>
          <w:rFonts w:ascii="Arial" w:hAnsi="Arial" w:eastAsia="MS Mincho;ＭＳ 明朝" w:cs="Verdana"/>
          <w:b/>
          <w:sz w:val="19"/>
          <w:szCs w:val="19"/>
          <w:lang w:eastAsia="pt-BR"/>
        </w:rPr>
      </w:pPr>
      <w:r>
        <w:rPr>
          <w:rFonts w:eastAsia="MS Mincho;ＭＳ 明朝" w:cs="Verdana" w:ascii="Arial" w:hAnsi="Arial"/>
          <w:b w:val="false"/>
          <w:bCs w:val="false"/>
          <w:sz w:val="19"/>
          <w:szCs w:val="19"/>
          <w:lang w:eastAsia="pt-BR"/>
        </w:rPr>
        <w:t>Caso o fornecedor, praticar qualquer ato lesivo à Administração Pública elencado no art. 5º da Lei Federal 12.846/2013 e Decreto Federal 8420/2015 ficará submetido à responsabilização objetiva administrativa regida pelo Decreto Municipal 141/2020 e sanções descritas no art. 6º da Lei Federal 12.846/2013, sem prejuízo da responsabilidade penal. Para o disposto neste item, definem-se as seguintes práticas:</w:t>
      </w:r>
    </w:p>
    <w:p>
      <w:pPr>
        <w:pStyle w:val="Normal"/>
        <w:numPr>
          <w:ilvl w:val="0"/>
          <w:numId w:val="0"/>
        </w:numPr>
        <w:overflowPunct w:val="false"/>
        <w:spacing w:lineRule="auto" w:line="240" w:before="31" w:after="62"/>
        <w:ind w:hanging="0" w:left="720"/>
        <w:jc w:val="both"/>
        <w:textAlignment w:val="baseline"/>
        <w:rPr>
          <w:rFonts w:ascii="Arial" w:hAnsi="Arial"/>
          <w:sz w:val="19"/>
          <w:szCs w:val="19"/>
        </w:rPr>
      </w:pPr>
      <w:r>
        <w:rPr>
          <w:rFonts w:ascii="Arial" w:hAnsi="Arial"/>
          <w:sz w:val="19"/>
          <w:szCs w:val="19"/>
        </w:rPr>
        <w:t>a)</w:t>
      </w:r>
      <w:r>
        <w:rPr>
          <w:rFonts w:ascii="Arial" w:hAnsi="Arial"/>
          <w:b/>
          <w:bCs/>
          <w:sz w:val="19"/>
          <w:szCs w:val="19"/>
        </w:rPr>
        <w:t xml:space="preserve"> Prática corrupta:</w:t>
      </w:r>
      <w:r>
        <w:rPr>
          <w:rFonts w:ascii="Arial" w:hAnsi="Arial"/>
          <w:sz w:val="19"/>
          <w:szCs w:val="19"/>
        </w:rPr>
        <w:t xml:space="preserve"> oferecer, dar, receber ou solicitar, direta ou indiretamente, qualquer vantagem com o objetivo de influenciar a ação de servidor público no processo de licitação ou na execução de contrato; </w:t>
      </w:r>
    </w:p>
    <w:p>
      <w:pPr>
        <w:pStyle w:val="Normal"/>
        <w:numPr>
          <w:ilvl w:val="0"/>
          <w:numId w:val="0"/>
        </w:numPr>
        <w:overflowPunct w:val="false"/>
        <w:spacing w:lineRule="auto" w:line="240" w:before="31" w:after="62"/>
        <w:ind w:hanging="0" w:left="720"/>
        <w:jc w:val="both"/>
        <w:textAlignment w:val="baseline"/>
        <w:rPr>
          <w:rFonts w:ascii="Arial" w:hAnsi="Arial"/>
          <w:sz w:val="19"/>
          <w:szCs w:val="19"/>
        </w:rPr>
      </w:pPr>
      <w:r>
        <w:rPr>
          <w:rFonts w:ascii="Arial" w:hAnsi="Arial"/>
          <w:sz w:val="19"/>
          <w:szCs w:val="19"/>
        </w:rPr>
        <w:t xml:space="preserve">b) </w:t>
      </w:r>
      <w:r>
        <w:rPr>
          <w:rFonts w:eastAsia="Times New Roman" w:cs="Times New Roman" w:ascii="Arial" w:hAnsi="Arial"/>
          <w:b/>
          <w:bCs/>
          <w:color w:val="auto"/>
          <w:sz w:val="19"/>
          <w:szCs w:val="19"/>
          <w:lang w:val="pt-BR" w:eastAsia="zh-CN" w:bidi="ar-SA"/>
        </w:rPr>
        <w:t>P</w:t>
      </w:r>
      <w:r>
        <w:rPr>
          <w:rFonts w:ascii="Arial" w:hAnsi="Arial"/>
          <w:b/>
          <w:bCs/>
          <w:sz w:val="19"/>
          <w:szCs w:val="19"/>
        </w:rPr>
        <w:t xml:space="preserve">rática fraudulenta: </w:t>
      </w:r>
      <w:r>
        <w:rPr>
          <w:rFonts w:ascii="Arial" w:hAnsi="Arial"/>
          <w:sz w:val="19"/>
          <w:szCs w:val="19"/>
        </w:rPr>
        <w:t xml:space="preserve">a falsificação ou omissão dos fatos, com o objetivo de influenciar o processo de licitação ou de execução de contrato; </w:t>
      </w:r>
    </w:p>
    <w:p>
      <w:pPr>
        <w:pStyle w:val="Normal"/>
        <w:numPr>
          <w:ilvl w:val="0"/>
          <w:numId w:val="0"/>
        </w:numPr>
        <w:overflowPunct w:val="false"/>
        <w:spacing w:lineRule="auto" w:line="240" w:before="31" w:after="62"/>
        <w:ind w:hanging="0" w:left="720"/>
        <w:jc w:val="both"/>
        <w:textAlignment w:val="baseline"/>
        <w:rPr>
          <w:rFonts w:ascii="Arial" w:hAnsi="Arial"/>
          <w:sz w:val="19"/>
          <w:szCs w:val="19"/>
        </w:rPr>
      </w:pPr>
      <w:r>
        <w:rPr>
          <w:rFonts w:ascii="Arial" w:hAnsi="Arial"/>
          <w:sz w:val="19"/>
          <w:szCs w:val="19"/>
        </w:rPr>
        <w:t xml:space="preserve">c) </w:t>
      </w:r>
      <w:r>
        <w:rPr>
          <w:rFonts w:ascii="Arial" w:hAnsi="Arial"/>
          <w:b/>
          <w:bCs/>
          <w:sz w:val="19"/>
          <w:szCs w:val="19"/>
        </w:rPr>
        <w:t>Prática colusiva:</w:t>
      </w:r>
      <w:r>
        <w:rPr>
          <w:rFonts w:ascii="Arial" w:hAnsi="Arial"/>
          <w:sz w:val="19"/>
          <w:szCs w:val="19"/>
        </w:rPr>
        <w:t xml:space="preserve"> esquematizar ou estabelecer um acordo entre dois ou mais licitantes, com ou sem o conhecimento de representantes ou prepostos do órgão licitador, visando estabelecer preços em níveis artificiais e não-competitivos; </w:t>
      </w:r>
    </w:p>
    <w:p>
      <w:pPr>
        <w:pStyle w:val="Normal"/>
        <w:numPr>
          <w:ilvl w:val="0"/>
          <w:numId w:val="0"/>
        </w:numPr>
        <w:overflowPunct w:val="false"/>
        <w:spacing w:lineRule="auto" w:line="240" w:before="31" w:after="62"/>
        <w:ind w:hanging="0" w:left="720"/>
        <w:jc w:val="both"/>
        <w:textAlignment w:val="baseline"/>
        <w:rPr>
          <w:rFonts w:ascii="Arial" w:hAnsi="Arial"/>
          <w:sz w:val="19"/>
          <w:szCs w:val="19"/>
        </w:rPr>
      </w:pPr>
      <w:r>
        <w:rPr>
          <w:rFonts w:ascii="Arial" w:hAnsi="Arial"/>
          <w:sz w:val="19"/>
          <w:szCs w:val="19"/>
        </w:rPr>
        <w:t xml:space="preserve">d) </w:t>
      </w:r>
      <w:r>
        <w:rPr>
          <w:rFonts w:ascii="Arial" w:hAnsi="Arial"/>
          <w:b/>
          <w:bCs/>
          <w:sz w:val="19"/>
          <w:szCs w:val="19"/>
        </w:rPr>
        <w:t>Prática coercitiva</w:t>
      </w:r>
      <w:r>
        <w:rPr>
          <w:rFonts w:ascii="Arial" w:hAnsi="Arial"/>
          <w:sz w:val="19"/>
          <w:szCs w:val="19"/>
        </w:rPr>
        <w:t>: causar dano ou ameaçar causar dano, direta ou indiretamente, às pessoas ou sua propriedade, visando influenciar sua participação em um processo licitatório ou afetar a execução do contrato;</w:t>
      </w:r>
    </w:p>
    <w:p>
      <w:pPr>
        <w:pStyle w:val="Normal"/>
        <w:numPr>
          <w:ilvl w:val="0"/>
          <w:numId w:val="0"/>
        </w:numPr>
        <w:overflowPunct w:val="false"/>
        <w:spacing w:lineRule="auto" w:line="240" w:before="31" w:after="62"/>
        <w:ind w:hanging="0" w:left="720"/>
        <w:jc w:val="both"/>
        <w:textAlignment w:val="baseline"/>
        <w:rPr>
          <w:rFonts w:ascii="Arial" w:hAnsi="Arial"/>
          <w:sz w:val="19"/>
          <w:szCs w:val="19"/>
        </w:rPr>
      </w:pPr>
      <w:r>
        <w:rPr>
          <w:rFonts w:ascii="Arial" w:hAnsi="Arial"/>
          <w:sz w:val="19"/>
          <w:szCs w:val="19"/>
        </w:rPr>
        <w:t xml:space="preserve">e) </w:t>
      </w:r>
      <w:r>
        <w:rPr>
          <w:rFonts w:ascii="Arial" w:hAnsi="Arial"/>
          <w:b/>
          <w:bCs/>
          <w:sz w:val="19"/>
          <w:szCs w:val="19"/>
        </w:rPr>
        <w:t>Prática obstrutiva</w:t>
      </w:r>
      <w:r>
        <w:rPr>
          <w:rFonts w:ascii="Arial" w:hAnsi="Arial"/>
          <w:sz w:val="19"/>
          <w:szCs w:val="19"/>
        </w:rPr>
        <w:t>: destruir, falsificar, alterar ou ocultar provas em inspeções ou fazer declarações falsas aos representantes do organismo financeiro multilateral, com o objetivo de impedir materialmente a apuração de alegações de prática prevista, deste Edital.</w:t>
      </w:r>
    </w:p>
    <w:p>
      <w:pPr>
        <w:pStyle w:val="BodyText"/>
        <w:numPr>
          <w:ilvl w:val="1"/>
          <w:numId w:val="6"/>
        </w:numPr>
        <w:overflowPunct w:val="false"/>
        <w:spacing w:lineRule="auto" w:line="240" w:before="31" w:after="62"/>
        <w:ind w:hanging="0" w:left="0" w:right="0"/>
        <w:jc w:val="both"/>
        <w:textAlignment w:val="baseline"/>
        <w:rPr>
          <w:rFonts w:ascii="Arial" w:hAnsi="Arial"/>
          <w:sz w:val="19"/>
          <w:szCs w:val="19"/>
        </w:rPr>
      </w:pPr>
      <w:r>
        <w:rPr>
          <w:rFonts w:eastAsia="MS Mincho;ＭＳ 明朝" w:cs="Verdana"/>
          <w:b w:val="false"/>
          <w:bCs w:val="false"/>
          <w:color w:val="000000"/>
          <w:sz w:val="19"/>
          <w:szCs w:val="19"/>
          <w:shd w:fill="auto" w:val="clear"/>
          <w:lang w:val="pt-BR" w:eastAsia="pt-BR" w:bidi="ar-SA"/>
        </w:rPr>
        <w:t>Se os atos previstos como infrações administrativas à Lei de Licitações n.º</w:t>
      </w:r>
      <w:r>
        <w:rPr>
          <w:rFonts w:eastAsia="MS Mincho;ＭＳ 明朝" w:cs="Verdana"/>
          <w:b w:val="false"/>
          <w:bCs w:val="false"/>
          <w:color w:val="C9211E"/>
          <w:sz w:val="19"/>
          <w:szCs w:val="19"/>
          <w:shd w:fill="auto" w:val="clear"/>
          <w:lang w:val="pt-BR" w:eastAsia="pt-BR" w:bidi="ar-SA"/>
        </w:rPr>
        <w:t xml:space="preserve"> </w:t>
      </w:r>
      <w:r>
        <w:rPr>
          <w:rFonts w:eastAsia="MS Mincho;ＭＳ 明朝" w:cs="Verdana"/>
          <w:b w:val="false"/>
          <w:bCs w:val="false"/>
          <w:color w:val="000000"/>
          <w:sz w:val="19"/>
          <w:szCs w:val="19"/>
          <w:shd w:fill="auto" w:val="clear"/>
          <w:lang w:val="pt-BR" w:eastAsia="pt-BR" w:bidi="ar-SA"/>
        </w:rPr>
        <w:t>14.133/2021 ou a outras normas de licitações e contratos da Administração Pública forem tipificados como atos lesivos na forma da Lei Federal 12.846/13, poderão ser apurados e julgados conjuntamente, no mesmo processo aplicando-se o rito procedimental do Decreto Municipal 141/2020.</w:t>
      </w:r>
    </w:p>
    <w:p>
      <w:pPr>
        <w:pStyle w:val="BodyText"/>
        <w:numPr>
          <w:ilvl w:val="0"/>
          <w:numId w:val="0"/>
        </w:numPr>
        <w:overflowPunct w:val="false"/>
        <w:spacing w:lineRule="auto" w:line="240" w:before="31" w:after="62"/>
        <w:ind w:hanging="0" w:left="0" w:right="0"/>
        <w:jc w:val="both"/>
        <w:textAlignment w:val="baseline"/>
        <w:rPr>
          <w:rFonts w:ascii="Arial" w:hAnsi="Arial" w:eastAsia="MS Mincho;ＭＳ 明朝" w:cs="Verdana"/>
          <w:b w:val="false"/>
          <w:bCs w:val="false"/>
          <w:color w:val="000000"/>
          <w:sz w:val="19"/>
          <w:szCs w:val="19"/>
          <w:shd w:fill="auto" w:val="clear"/>
          <w:lang w:val="pt-BR" w:eastAsia="pt-BR" w:bidi="ar-SA"/>
        </w:rPr>
      </w:pPr>
      <w:r>
        <w:rPr>
          <w:rFonts w:eastAsia="MS Mincho;ＭＳ 明朝" w:cs="Verdana"/>
          <w:b w:val="false"/>
          <w:bCs w:val="false"/>
          <w:color w:val="000000"/>
          <w:sz w:val="19"/>
          <w:szCs w:val="19"/>
          <w:shd w:fill="auto" w:val="clear"/>
          <w:lang w:val="pt-BR" w:eastAsia="pt-BR" w:bidi="ar-SA"/>
        </w:rPr>
      </w:r>
    </w:p>
    <w:p>
      <w:pPr>
        <w:pStyle w:val="BodyText"/>
        <w:numPr>
          <w:ilvl w:val="0"/>
          <w:numId w:val="6"/>
        </w:numPr>
        <w:overflowPunct w:val="false"/>
        <w:spacing w:lineRule="auto" w:line="240" w:before="31" w:after="62"/>
        <w:ind w:hanging="0" w:left="0" w:right="0"/>
        <w:jc w:val="both"/>
        <w:textAlignment w:val="baseline"/>
        <w:rPr>
          <w:rFonts w:ascii="Arial" w:hAnsi="Arial" w:eastAsia="MS Mincho;ＭＳ 明朝" w:cs="ArialMT"/>
          <w:b/>
          <w:color w:val="auto"/>
          <w:sz w:val="19"/>
          <w:szCs w:val="19"/>
          <w:lang w:val="pt-BR" w:eastAsia="pt-BR" w:bidi="ar-SA"/>
        </w:rPr>
      </w:pPr>
      <w:r>
        <w:rPr>
          <w:rFonts w:eastAsia="MS Mincho;ＭＳ 明朝" w:cs="ArialMT"/>
          <w:b/>
          <w:color w:val="auto"/>
          <w:sz w:val="19"/>
          <w:szCs w:val="19"/>
          <w:lang w:val="pt-BR" w:eastAsia="pt-BR" w:bidi="ar-SA"/>
        </w:rPr>
        <w:t>DAS DISPOSIÇÕES FINAIS</w:t>
      </w:r>
    </w:p>
    <w:p>
      <w:pPr>
        <w:pStyle w:val="Normal"/>
        <w:numPr>
          <w:ilvl w:val="1"/>
          <w:numId w:val="6"/>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As alterações, prorrogações, extinções, penalidades e multas, obedecerão Lei Federal nº 14.133/2021, e s</w:t>
      </w:r>
      <w:r>
        <w:rPr>
          <w:rFonts w:cs="Verdana" w:ascii="Arial" w:hAnsi="Arial"/>
          <w:color w:val="000000"/>
          <w:sz w:val="19"/>
          <w:szCs w:val="19"/>
          <w:shd w:fill="auto" w:val="clear"/>
        </w:rPr>
        <w:t>eguindo as seguintes considerações:</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shd w:fill="auto" w:val="clear"/>
        </w:rPr>
      </w:pPr>
      <w:r>
        <w:rPr>
          <w:rFonts w:cs="Verdana" w:ascii="Arial" w:hAnsi="Arial"/>
          <w:sz w:val="19"/>
          <w:szCs w:val="19"/>
          <w:shd w:fill="auto" w:val="clear"/>
        </w:rPr>
        <w:t>O fornecedor declara ter pleno conhecimento das condições contratuais, pelo que reconhece ser perfeitamente viável o cumprimento integral e pontual dos encargos assumidos.</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shd w:fill="auto" w:val="clear"/>
        </w:rPr>
      </w:pPr>
      <w:r>
        <w:rPr>
          <w:rFonts w:cs="Verdana" w:ascii="Arial" w:hAnsi="Arial"/>
          <w:sz w:val="19"/>
          <w:szCs w:val="19"/>
          <w:shd w:fill="auto" w:val="clear"/>
        </w:rPr>
        <w:t>Se qualquer das partes, em benefício da outra, permitir, mesmo por omissão, a inobservância, no todo ou em parte, de qualquer das cláusulas e condições da presente ata e/ou seus anexos, tal fato não poderá ser considerado como modificativo das condições da presente ata, as quais permanecerão inalteradas, como se nenhuma tolerância houvesse ocorrido.</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shd w:fill="auto" w:val="clear"/>
        </w:rPr>
      </w:pPr>
      <w:r>
        <w:rPr>
          <w:rFonts w:cs="Verdana" w:ascii="Arial" w:hAnsi="Arial"/>
          <w:sz w:val="19"/>
          <w:szCs w:val="19"/>
          <w:shd w:fill="auto" w:val="clear"/>
        </w:rPr>
        <w:t xml:space="preserve">O Município de Cianorte se reserva no direito de paralisar ou suspender a qualquer tempo a execução do objeto registrado, desde que haja conveniência administrativa para este Município, devidamente autorizada e fundamentada. Se isso vier a ocorrer, o fornecedor terá o direito aos </w:t>
      </w:r>
      <w:r>
        <w:rPr>
          <w:rFonts w:cs="Verdana" w:ascii="Arial" w:hAnsi="Arial"/>
          <w:color w:val="000000"/>
          <w:sz w:val="19"/>
          <w:szCs w:val="19"/>
          <w:shd w:fill="auto" w:val="clear"/>
        </w:rPr>
        <w:t>ressarcimentos garantidos e previstos na Lei Federal nº 14.133/2021</w:t>
      </w:r>
      <w:r>
        <w:rPr>
          <w:rFonts w:cs="Verdana" w:ascii="Arial" w:hAnsi="Arial"/>
          <w:color w:val="C9211E"/>
          <w:sz w:val="19"/>
          <w:szCs w:val="19"/>
          <w:shd w:fill="auto" w:val="clear"/>
        </w:rPr>
        <w:t>.</w:t>
      </w:r>
    </w:p>
    <w:p>
      <w:pPr>
        <w:pStyle w:val="Normal"/>
        <w:numPr>
          <w:ilvl w:val="1"/>
          <w:numId w:val="6"/>
        </w:numPr>
        <w:overflowPunct w:val="false"/>
        <w:spacing w:lineRule="auto" w:line="240" w:before="31" w:after="62"/>
        <w:ind w:hanging="0" w:left="0" w:right="0"/>
        <w:jc w:val="both"/>
        <w:textAlignment w:val="baseline"/>
        <w:rPr/>
      </w:pPr>
      <w:r>
        <w:rPr>
          <w:rFonts w:cs="Verdana" w:ascii="Arial" w:hAnsi="Arial"/>
          <w:color w:val="000000"/>
          <w:sz w:val="19"/>
          <w:szCs w:val="19"/>
          <w:shd w:fill="auto" w:val="clear"/>
        </w:rPr>
        <w:t xml:space="preserve">Pela própria essência desta ata, </w:t>
      </w:r>
      <w:r>
        <w:rPr>
          <w:rFonts w:cs="Verdana" w:ascii="Arial" w:hAnsi="Arial"/>
          <w:b w:val="false"/>
          <w:bCs w:val="false"/>
          <w:color w:val="000000"/>
          <w:sz w:val="19"/>
          <w:szCs w:val="19"/>
          <w:shd w:fill="auto" w:val="clear"/>
        </w:rPr>
        <w:t xml:space="preserve">a mesma </w:t>
      </w:r>
      <w:r>
        <w:rPr>
          <w:rFonts w:cs="Verdana" w:ascii="Arial" w:hAnsi="Arial"/>
          <w:color w:val="000000"/>
          <w:sz w:val="19"/>
          <w:szCs w:val="19"/>
          <w:shd w:fill="auto" w:val="clear"/>
        </w:rPr>
        <w:t>não ge</w:t>
      </w:r>
      <w:r>
        <w:rPr>
          <w:rFonts w:cs="Verdana" w:ascii="Arial" w:hAnsi="Arial"/>
          <w:sz w:val="19"/>
          <w:szCs w:val="19"/>
          <w:shd w:fill="auto" w:val="clear"/>
        </w:rPr>
        <w:t>ra, em nenhuma hipótese, qualquer vínculo de origem trabalhista.</w:t>
      </w:r>
    </w:p>
    <w:p>
      <w:pPr>
        <w:pStyle w:val="Normal"/>
        <w:numPr>
          <w:ilvl w:val="1"/>
          <w:numId w:val="6"/>
        </w:numPr>
        <w:overflowPunct w:val="false"/>
        <w:spacing w:lineRule="auto" w:line="240" w:before="31" w:after="62"/>
        <w:ind w:hanging="0" w:left="0" w:right="0"/>
        <w:jc w:val="both"/>
        <w:textAlignment w:val="baseline"/>
        <w:rPr>
          <w:rFonts w:ascii="Arial" w:hAnsi="Arial"/>
          <w:sz w:val="19"/>
          <w:szCs w:val="19"/>
        </w:rPr>
      </w:pPr>
      <w:r>
        <w:rPr>
          <w:rFonts w:cs="Verdana" w:ascii="Arial" w:hAnsi="Arial"/>
          <w:sz w:val="19"/>
          <w:szCs w:val="19"/>
        </w:rPr>
        <w:t>O Município de Cianorte</w:t>
      </w:r>
      <w:r>
        <w:rPr>
          <w:rFonts w:cs="Verdana" w:ascii="Arial" w:hAnsi="Arial"/>
          <w:b/>
          <w:sz w:val="19"/>
          <w:szCs w:val="19"/>
        </w:rPr>
        <w:t xml:space="preserve"> </w:t>
      </w:r>
      <w:r>
        <w:rPr>
          <w:rFonts w:cs="Verdana" w:ascii="Arial" w:hAnsi="Arial"/>
          <w:sz w:val="19"/>
          <w:szCs w:val="19"/>
        </w:rPr>
        <w:t>se reserva, ainda, o direito de recusar todo e qualquer material que não atender as especificações contidas no Pregão descrito na cláusula 1.1, ou que sejam consideradas inadequadas pela fiscalização competente.</w:t>
      </w:r>
    </w:p>
    <w:p>
      <w:pPr>
        <w:pStyle w:val="Normal"/>
        <w:numPr>
          <w:ilvl w:val="1"/>
          <w:numId w:val="6"/>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O fornecedor assumirá integralmente a responsabilidade pelos danos que causar a este Município ou a terceiros, por si ou por seus sucessores e representantes na execução do objeto desta licitação, isentando o Município de qualquer reclamação que possa surgir em decorrência do mesmo.</w:t>
      </w:r>
    </w:p>
    <w:p>
      <w:pPr>
        <w:pStyle w:val="Normal"/>
        <w:numPr>
          <w:ilvl w:val="1"/>
          <w:numId w:val="6"/>
        </w:numPr>
        <w:overflowPunct w:val="false"/>
        <w:spacing w:lineRule="auto" w:line="240" w:before="31" w:after="62"/>
        <w:ind w:hanging="0" w:left="0" w:right="0"/>
        <w:jc w:val="both"/>
        <w:textAlignment w:val="baseline"/>
        <w:rPr>
          <w:rFonts w:ascii="Arial" w:hAnsi="Arial" w:cs="Verdana"/>
          <w:b w:val="false"/>
          <w:i w:val="false"/>
          <w:i w:val="false"/>
          <w:caps w:val="false"/>
          <w:smallCaps w:val="false"/>
          <w:color w:val="000000"/>
          <w:spacing w:val="0"/>
          <w:sz w:val="19"/>
          <w:szCs w:val="19"/>
        </w:rPr>
      </w:pPr>
      <w:r>
        <w:rPr>
          <w:rFonts w:cs="Verdana" w:ascii="Arial" w:hAnsi="Arial"/>
          <w:b w:val="false"/>
          <w:i w:val="false"/>
          <w:caps w:val="false"/>
          <w:smallCaps w:val="false"/>
          <w:color w:val="000000"/>
          <w:spacing w:val="0"/>
          <w:sz w:val="19"/>
          <w:szCs w:val="19"/>
          <w:shd w:fill="auto" w:val="clear"/>
        </w:rPr>
        <w:t>Os casos omissos serão decididos pela Administração, segundo as disposições contidas na Lei nº 14.133, de 2021, e demais normas federais aplicáveis e, subsidiariamente, segundo as disposições contidas na Lei nº 8.078, de 1990 – C</w:t>
      </w:r>
      <w:r>
        <w:rPr>
          <w:rFonts w:cs="Verdana" w:ascii="Arial" w:hAnsi="Arial"/>
          <w:b w:val="false"/>
          <w:i w:val="false"/>
          <w:caps w:val="false"/>
          <w:smallCaps w:val="false"/>
          <w:color w:val="000000"/>
          <w:spacing w:val="0"/>
          <w:sz w:val="19"/>
          <w:szCs w:val="19"/>
        </w:rPr>
        <w:t>ódigo de Defesa do Consumidor – e normas e princípios gera</w:t>
      </w:r>
      <w:r>
        <w:rPr>
          <w:rFonts w:cs="Verdana" w:ascii="Arial" w:hAnsi="Arial"/>
          <w:b w:val="false"/>
          <w:i w:val="false"/>
          <w:caps w:val="false"/>
          <w:smallCaps w:val="false"/>
          <w:color w:val="000000"/>
          <w:spacing w:val="0"/>
          <w:sz w:val="19"/>
          <w:szCs w:val="19"/>
          <w:shd w:fill="auto" w:val="clear"/>
        </w:rPr>
        <w:t>is dos contratos.</w:t>
      </w:r>
    </w:p>
    <w:p>
      <w:pPr>
        <w:pStyle w:val="Normal"/>
        <w:numPr>
          <w:ilvl w:val="1"/>
          <w:numId w:val="6"/>
        </w:numPr>
        <w:overflowPunct w:val="false"/>
        <w:spacing w:lineRule="auto" w:line="240" w:before="31" w:after="62"/>
        <w:ind w:hanging="0" w:left="0" w:right="0"/>
        <w:jc w:val="both"/>
        <w:textAlignment w:val="baseline"/>
        <w:rPr>
          <w:rFonts w:ascii="Arial" w:hAnsi="Arial" w:cs="Verdana"/>
          <w:color w:val="auto"/>
          <w:sz w:val="19"/>
          <w:szCs w:val="19"/>
          <w:shd w:fill="auto" w:val="clear"/>
        </w:rPr>
      </w:pPr>
      <w:r>
        <w:rPr>
          <w:rFonts w:cs="Verdana" w:ascii="Arial" w:hAnsi="Arial"/>
          <w:color w:val="000000"/>
          <w:sz w:val="19"/>
          <w:szCs w:val="19"/>
          <w:shd w:fill="auto" w:val="clear"/>
        </w:rPr>
        <w:t>O presente instrumento está vinculado obrigatoriamente ao Edital de licitação e seus anexos.</w:t>
      </w:r>
    </w:p>
    <w:p>
      <w:pPr>
        <w:pStyle w:val="Normal"/>
        <w:numPr>
          <w:ilvl w:val="0"/>
          <w:numId w:val="0"/>
        </w:numPr>
        <w:overflowPunct w:val="false"/>
        <w:spacing w:lineRule="auto" w:line="240" w:before="31" w:after="62"/>
        <w:ind w:hanging="0" w:left="0" w:right="0"/>
        <w:jc w:val="both"/>
        <w:textAlignment w:val="baseline"/>
        <w:rPr>
          <w:rFonts w:ascii="Arial" w:hAnsi="Arial" w:cs="Verdana"/>
          <w:sz w:val="19"/>
          <w:szCs w:val="19"/>
          <w:shd w:fill="auto" w:val="clear"/>
        </w:rPr>
      </w:pPr>
      <w:r>
        <w:rPr>
          <w:rFonts w:cs="Verdana" w:ascii="Arial" w:hAnsi="Arial"/>
          <w:sz w:val="19"/>
          <w:szCs w:val="19"/>
          <w:shd w:fill="auto" w:val="clear"/>
        </w:rPr>
        <w:t>Fica eleito o Foro da Comarca de Cianorte, Estado do Paraná, para dirimir quaisquer dúvidas que possam surgir com referência a presente Ata.</w:t>
      </w:r>
    </w:p>
    <w:p>
      <w:pPr>
        <w:pStyle w:val="Normal"/>
        <w:numPr>
          <w:ilvl w:val="0"/>
          <w:numId w:val="0"/>
        </w:numPr>
        <w:overflowPunct w:val="false"/>
        <w:spacing w:lineRule="auto" w:line="240" w:before="31" w:after="62"/>
        <w:ind w:hanging="0" w:left="0" w:right="0"/>
        <w:jc w:val="both"/>
        <w:textAlignment w:val="baseline"/>
        <w:rPr>
          <w:rFonts w:ascii="Arial" w:hAnsi="Arial" w:cs="Verdana"/>
          <w:bCs/>
          <w:sz w:val="19"/>
          <w:szCs w:val="19"/>
        </w:rPr>
      </w:pPr>
      <w:r>
        <w:rPr>
          <w:rFonts w:cs="Verdana" w:ascii="Arial" w:hAnsi="Arial"/>
          <w:bCs/>
          <w:sz w:val="19"/>
          <w:szCs w:val="19"/>
        </w:rPr>
        <w:t>Para firmeza e validade do pactuado, a presente Ata foi lavrada em 02 (duas) vias de igual teor, que, depois de lida e achada em ordem, vai assinada pelas partes.</w:t>
      </w:r>
    </w:p>
    <w:p>
      <w:pPr>
        <w:pStyle w:val="Normal"/>
        <w:numPr>
          <w:ilvl w:val="0"/>
          <w:numId w:val="0"/>
        </w:numPr>
        <w:overflowPunct w:val="false"/>
        <w:spacing w:lineRule="auto" w:line="240" w:before="31" w:after="62"/>
        <w:ind w:hanging="0" w:left="0" w:right="0"/>
        <w:jc w:val="both"/>
        <w:textAlignment w:val="baseline"/>
        <w:rPr>
          <w:rFonts w:ascii="Arial" w:hAnsi="Arial" w:cs="Verdana"/>
          <w:color w:val="000000"/>
          <w:sz w:val="19"/>
          <w:szCs w:val="19"/>
        </w:rPr>
      </w:pPr>
      <w:r>
        <w:rPr>
          <w:rFonts w:cs="ArialMT" w:ascii="Arial" w:hAnsi="Arial"/>
          <w:color w:val="000000"/>
          <w:sz w:val="19"/>
          <w:szCs w:val="19"/>
        </w:rPr>
        <w:t>Paço Municipal Prefeito Wilson Ferreira Varella</w:t>
      </w:r>
      <w:r>
        <w:rPr>
          <w:rFonts w:cs="Verdana" w:ascii="Arial" w:hAnsi="Arial"/>
          <w:color w:val="000000"/>
          <w:sz w:val="19"/>
          <w:szCs w:val="19"/>
        </w:rPr>
        <w:t>, em</w:t>
      </w:r>
      <w:r>
        <w:rPr>
          <w:rFonts w:cs="Verdana" w:ascii="Arial" w:hAnsi="Arial"/>
          <w:color w:val="FF0000"/>
          <w:sz w:val="19"/>
          <w:szCs w:val="19"/>
        </w:rPr>
        <w:t xml:space="preserve"> </w:t>
      </w:r>
      <w:r>
        <w:rPr>
          <w:rFonts w:cs="Verdana" w:ascii="Arial" w:hAnsi="Arial"/>
          <w:color w:val="000000"/>
          <w:sz w:val="19"/>
          <w:szCs w:val="19"/>
        </w:rPr>
        <w:t>&lt;Data_Assinatura&gt;.</w:t>
      </w:r>
    </w:p>
    <w:p>
      <w:pPr>
        <w:pStyle w:val="Normal"/>
        <w:overflowPunct w:val="false"/>
        <w:spacing w:lineRule="auto" w:line="240" w:before="31" w:after="62"/>
        <w:jc w:val="both"/>
        <w:textAlignment w:val="baseline"/>
        <w:rPr>
          <w:rFonts w:ascii="Arial" w:hAnsi="Arial" w:cs="Arial"/>
          <w:sz w:val="19"/>
          <w:szCs w:val="19"/>
        </w:rPr>
      </w:pPr>
      <w:r>
        <w:rPr>
          <w:rFonts w:cs="Arial" w:ascii="Arial" w:hAnsi="Arial"/>
          <w:sz w:val="19"/>
          <w:szCs w:val="19"/>
        </w:rPr>
      </w:r>
    </w:p>
    <w:tbl>
      <w:tblPr>
        <w:tblW w:w="5000" w:type="pct"/>
        <w:jc w:val="left"/>
        <w:tblInd w:w="-109" w:type="dxa"/>
        <w:tblLayout w:type="fixed"/>
        <w:tblCellMar>
          <w:top w:w="55" w:type="dxa"/>
          <w:left w:w="108" w:type="dxa"/>
          <w:bottom w:w="55" w:type="dxa"/>
          <w:right w:w="108" w:type="dxa"/>
        </w:tblCellMar>
      </w:tblPr>
      <w:tblGrid>
        <w:gridCol w:w="4470"/>
        <w:gridCol w:w="693"/>
        <w:gridCol w:w="4475"/>
      </w:tblGrid>
      <w:tr>
        <w:trPr>
          <w:trHeight w:val="283" w:hRule="atLeast"/>
        </w:trPr>
        <w:tc>
          <w:tcPr>
            <w:tcW w:w="4470" w:type="dxa"/>
            <w:tcBorders>
              <w:top w:val="single" w:sz="4" w:space="0" w:color="000000"/>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&lt;Nome_Representante&gt;</w:t>
            </w:r>
          </w:p>
        </w:tc>
        <w:tc>
          <w:tcPr>
            <w:tcW w:w="693" w:type="dxa"/>
            <w:tcBorders/>
          </w:tcPr>
          <w:p>
            <w:pPr>
              <w:pStyle w:val="Normal"/>
              <w:widowControl w:val="false"/>
              <w:tabs>
                <w:tab w:val="clear" w:pos="709"/>
                <w:tab w:val="center" w:pos="1985" w:leader="none"/>
                <w:tab w:val="center" w:pos="7655" w:leader="none"/>
              </w:tabs>
              <w:overflowPunct w:val="false"/>
              <w:snapToGrid w:val="false"/>
              <w:spacing w:lineRule="auto" w:line="240" w:before="0" w:after="0"/>
              <w:jc w:val="both"/>
              <w:textAlignment w:val="baseline"/>
              <w:rPr>
                <w:rFonts w:ascii="Arial" w:hAnsi="Arial" w:cs="Verdana"/>
                <w:b/>
                <w:bCs/>
                <w:sz w:val="19"/>
                <w:szCs w:val="19"/>
                <w:lang w:eastAsia="pt-BR"/>
              </w:rPr>
            </w:pPr>
            <w:r>
              <w:rPr>
                <w:rFonts w:cs="Verdana" w:ascii="Arial" w:hAnsi="Arial"/>
                <w:b/>
                <w:bCs/>
                <w:sz w:val="19"/>
                <w:szCs w:val="19"/>
                <w:lang w:eastAsia="pt-BR"/>
              </w:rPr>
            </w:r>
          </w:p>
        </w:tc>
        <w:tc>
          <w:tcPr>
            <w:tcW w:w="4475" w:type="dxa"/>
            <w:tcBorders>
              <w:top w:val="single" w:sz="4" w:space="0" w:color="000000"/>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Marco Antonio Franzato</w:t>
            </w:r>
          </w:p>
        </w:tc>
      </w:tr>
      <w:tr>
        <w:trPr>
          <w:trHeight w:val="283" w:hRule="atLeast"/>
        </w:trPr>
        <w:tc>
          <w:tcPr>
            <w:tcW w:w="4470" w:type="dxa"/>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&lt;Nome_Fornecedor&gt;</w:t>
            </w:r>
          </w:p>
        </w:tc>
        <w:tc>
          <w:tcPr>
            <w:tcW w:w="693" w:type="dxa"/>
            <w:tcBorders/>
          </w:tcPr>
          <w:p>
            <w:pPr>
              <w:pStyle w:val="Normal"/>
              <w:widowControl w:val="false"/>
              <w:tabs>
                <w:tab w:val="clear" w:pos="709"/>
                <w:tab w:val="center" w:pos="1985" w:leader="none"/>
                <w:tab w:val="center" w:pos="7655" w:leader="none"/>
              </w:tabs>
              <w:overflowPunct w:val="false"/>
              <w:snapToGrid w:val="false"/>
              <w:spacing w:lineRule="auto" w:line="240" w:before="0" w:after="0"/>
              <w:jc w:val="both"/>
              <w:textAlignment w:val="baseline"/>
              <w:rPr>
                <w:rFonts w:ascii="Arial" w:hAnsi="Arial" w:cs="Verdana"/>
                <w:b/>
                <w:bCs/>
                <w:sz w:val="19"/>
                <w:szCs w:val="19"/>
                <w:lang w:eastAsia="pt-BR"/>
              </w:rPr>
            </w:pPr>
            <w:r>
              <w:rPr>
                <w:rFonts w:cs="Verdana" w:ascii="Arial" w:hAnsi="Arial"/>
                <w:b/>
                <w:bCs/>
                <w:sz w:val="19"/>
                <w:szCs w:val="19"/>
                <w:lang w:eastAsia="pt-BR"/>
              </w:rPr>
            </w:r>
          </w:p>
        </w:tc>
        <w:tc>
          <w:tcPr>
            <w:tcW w:w="4475" w:type="dxa"/>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Prefeito</w:t>
            </w:r>
          </w:p>
        </w:tc>
      </w:tr>
      <w:tr>
        <w:trPr>
          <w:trHeight w:val="283" w:hRule="atLeast"/>
        </w:trPr>
        <w:tc>
          <w:tcPr>
            <w:tcW w:w="9638" w:type="dxa"/>
            <w:gridSpan w:val="3"/>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Arial"/>
                <w:b/>
                <w:sz w:val="19"/>
                <w:szCs w:val="19"/>
                <w:lang w:eastAsia="pt-BR"/>
              </w:rPr>
            </w:pPr>
            <w:r>
              <w:rPr>
                <w:rFonts w:cs="Arial" w:ascii="Arial" w:hAnsi="Arial"/>
                <w:b/>
                <w:sz w:val="19"/>
                <w:szCs w:val="19"/>
                <w:lang w:eastAsia="pt-BR"/>
              </w:rPr>
            </w:r>
          </w:p>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Arial"/>
                <w:b/>
                <w:sz w:val="19"/>
                <w:szCs w:val="19"/>
                <w:lang w:eastAsia="pt-BR"/>
              </w:rPr>
            </w:pPr>
            <w:r>
              <w:rPr>
                <w:rFonts w:cs="Arial" w:ascii="Arial" w:hAnsi="Arial"/>
                <w:b/>
                <w:sz w:val="19"/>
                <w:szCs w:val="19"/>
                <w:lang w:eastAsia="pt-BR"/>
              </w:rPr>
              <w:t>TESTEMUNHAS</w:t>
            </w:r>
          </w:p>
        </w:tc>
      </w:tr>
      <w:tr>
        <w:trPr>
          <w:trHeight w:val="283" w:hRule="atLeast"/>
        </w:trPr>
        <w:tc>
          <w:tcPr>
            <w:tcW w:w="4470" w:type="dxa"/>
            <w:tcBorders>
              <w:top w:val="single" w:sz="4" w:space="0" w:color="000000"/>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r>
          </w:p>
        </w:tc>
        <w:tc>
          <w:tcPr>
            <w:tcW w:w="693" w:type="dxa"/>
            <w:tcBorders/>
          </w:tcPr>
          <w:p>
            <w:pPr>
              <w:pStyle w:val="Normal"/>
              <w:widowControl w:val="false"/>
              <w:tabs>
                <w:tab w:val="clear" w:pos="709"/>
                <w:tab w:val="center" w:pos="1985" w:leader="none"/>
                <w:tab w:val="center" w:pos="7655" w:leader="none"/>
              </w:tabs>
              <w:overflowPunct w:val="false"/>
              <w:snapToGrid w:val="false"/>
              <w:spacing w:lineRule="auto" w:line="240" w:before="0" w:after="0"/>
              <w:jc w:val="both"/>
              <w:textAlignment w:val="baseline"/>
              <w:rPr>
                <w:rFonts w:ascii="Arial" w:hAnsi="Arial" w:cs="Verdana"/>
                <w:b/>
                <w:bCs/>
                <w:sz w:val="19"/>
                <w:szCs w:val="19"/>
                <w:lang w:eastAsia="pt-BR"/>
              </w:rPr>
            </w:pPr>
            <w:r>
              <w:rPr>
                <w:rFonts w:cs="Verdana" w:ascii="Arial" w:hAnsi="Arial"/>
                <w:b/>
                <w:bCs/>
                <w:sz w:val="19"/>
                <w:szCs w:val="19"/>
                <w:lang w:eastAsia="pt-BR"/>
              </w:rPr>
            </w:r>
          </w:p>
        </w:tc>
        <w:tc>
          <w:tcPr>
            <w:tcW w:w="4475" w:type="dxa"/>
            <w:tcBorders>
              <w:top w:val="single" w:sz="4" w:space="0" w:color="000000"/>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r>
          </w:p>
        </w:tc>
      </w:tr>
    </w:tbl>
    <w:p>
      <w:pPr>
        <w:pStyle w:val="BodyText"/>
        <w:rPr/>
      </w:pPr>
      <w:r>
        <w:rPr/>
      </w:r>
      <w:r>
        <w:br w:type="page"/>
      </w:r>
    </w:p>
    <w:p>
      <w:pPr>
        <w:pStyle w:val="Heading2"/>
        <w:numPr>
          <w:ilvl w:val="1"/>
          <w:numId w:val="1"/>
        </w:numPr>
        <w:spacing w:lineRule="auto" w:line="240" w:before="0" w:after="62"/>
        <w:jc w:val="center"/>
        <w:rPr>
          <w:rFonts w:ascii="Arial" w:hAnsi="Arial"/>
          <w:sz w:val="19"/>
          <w:szCs w:val="19"/>
        </w:rPr>
      </w:pPr>
      <w:bookmarkStart w:id="5" w:name="__RefHeading___Toc34717_3041975443"/>
      <w:bookmarkEnd w:id="5"/>
      <w:r>
        <w:rPr>
          <w:sz w:val="19"/>
          <w:szCs w:val="19"/>
        </w:rPr>
        <w:t>ANEXO II</w:t>
      </w:r>
    </w:p>
    <w:p>
      <w:pPr>
        <w:pStyle w:val="Heading3"/>
        <w:numPr>
          <w:ilvl w:val="2"/>
          <w:numId w:val="1"/>
        </w:numPr>
        <w:spacing w:lineRule="auto" w:line="240" w:before="31" w:after="62"/>
        <w:rPr>
          <w:color w:val="000000"/>
        </w:rPr>
      </w:pPr>
      <w:bookmarkStart w:id="6" w:name="__RefHeading___Toc34719_3041975443"/>
      <w:bookmarkEnd w:id="6"/>
      <w:r>
        <w:rPr>
          <w:color w:val="000000"/>
        </w:rPr>
        <w:t>MINUTA DE CONTRATO</w:t>
      </w:r>
    </w:p>
    <w:p>
      <w:pPr>
        <w:pStyle w:val="Normal"/>
        <w:spacing w:lineRule="auto" w:line="240" w:before="31" w:after="62"/>
        <w:jc w:val="center"/>
        <w:rPr>
          <w:rFonts w:ascii="Arial" w:hAnsi="Arial"/>
          <w:color w:val="000000"/>
          <w:sz w:val="19"/>
          <w:szCs w:val="19"/>
        </w:rPr>
      </w:pPr>
      <w:r>
        <w:rPr>
          <w:rFonts w:eastAsia="MS Mincho;ＭＳ 明朝" w:cs="Verdana" w:ascii="Arial" w:hAnsi="Arial"/>
          <w:b/>
          <w:color w:val="000000"/>
          <w:sz w:val="19"/>
          <w:szCs w:val="19"/>
          <w:lang w:eastAsia="pt-BR"/>
        </w:rPr>
        <w:t xml:space="preserve">MINUTA – </w:t>
      </w:r>
      <w:r>
        <w:rPr>
          <w:rFonts w:eastAsia="MS Mincho;ＭＳ 明朝" w:cs="Verdana" w:ascii="Arial" w:hAnsi="Arial"/>
          <w:b/>
          <w:iCs/>
          <w:color w:val="000000"/>
          <w:sz w:val="19"/>
          <w:szCs w:val="19"/>
          <w:lang w:eastAsia="pt-BR"/>
        </w:rPr>
        <w:t>CONTRATO</w:t>
      </w:r>
      <w:r>
        <w:rPr>
          <w:rFonts w:eastAsia="MS Mincho;ＭＳ 明朝" w:cs="Verdana" w:ascii="Arial" w:hAnsi="Arial"/>
          <w:b/>
          <w:color w:val="000000"/>
          <w:sz w:val="19"/>
          <w:szCs w:val="19"/>
          <w:lang w:eastAsia="pt-BR"/>
        </w:rPr>
        <w:t xml:space="preserve"> Nº &lt;Número_Contrato&gt;/&lt;Ano_Contrato&gt; – LCT/PMC</w:t>
      </w:r>
    </w:p>
    <w:p>
      <w:pPr>
        <w:pStyle w:val="Normal"/>
        <w:overflowPunct w:val="false"/>
        <w:spacing w:lineRule="auto" w:line="240" w:before="31" w:after="62"/>
        <w:jc w:val="both"/>
        <w:textAlignment w:val="baseline"/>
        <w:rPr>
          <w:rFonts w:ascii="Arial" w:hAnsi="Arial"/>
          <w:color w:val="000000"/>
          <w:sz w:val="19"/>
          <w:szCs w:val="19"/>
        </w:rPr>
      </w:pPr>
      <w:r>
        <w:rPr>
          <w:rFonts w:eastAsia="MS Mincho;ＭＳ 明朝" w:cs="Verdana" w:ascii="Arial" w:hAnsi="Arial"/>
          <w:color w:val="000000"/>
          <w:sz w:val="19"/>
          <w:szCs w:val="19"/>
          <w:lang w:eastAsia="pt-BR"/>
        </w:rPr>
        <w:t xml:space="preserve">TERMO DE CONTRATO QUE ENTRE SI CELEBRAM O </w:t>
      </w:r>
      <w:r>
        <w:rPr>
          <w:rFonts w:eastAsia="MS Mincho;ＭＳ 明朝" w:cs="Verdana" w:ascii="Arial" w:hAnsi="Arial"/>
          <w:b/>
          <w:color w:val="000000"/>
          <w:sz w:val="19"/>
          <w:szCs w:val="19"/>
          <w:lang w:eastAsia="pt-BR"/>
        </w:rPr>
        <w:t xml:space="preserve">MUNICÍPIO DE CIANORTE – </w:t>
      </w:r>
      <w:r>
        <w:rPr>
          <w:rFonts w:eastAsia="MS Mincho;ＭＳ 明朝" w:cs="Verdana" w:ascii="Arial" w:hAnsi="Arial"/>
          <w:color w:val="000000"/>
          <w:sz w:val="19"/>
          <w:szCs w:val="19"/>
          <w:lang w:eastAsia="pt-BR"/>
        </w:rPr>
        <w:t xml:space="preserve">ESTADO DO PARANÁ E A EMPRESA </w:t>
      </w:r>
      <w:r>
        <w:rPr>
          <w:rFonts w:cs="Verdana" w:ascii="Arial" w:hAnsi="Arial"/>
          <w:color w:val="000000"/>
          <w:sz w:val="19"/>
          <w:szCs w:val="19"/>
        </w:rPr>
        <w:t>&lt;Nome_Fornecedor&gt;</w:t>
      </w:r>
      <w:r>
        <w:rPr>
          <w:rFonts w:eastAsia="MS Mincho;ＭＳ 明朝" w:cs="Verdana" w:ascii="Arial" w:hAnsi="Arial"/>
          <w:color w:val="000000"/>
          <w:sz w:val="19"/>
          <w:szCs w:val="19"/>
          <w:lang w:eastAsia="pt-BR"/>
        </w:rPr>
        <w:t xml:space="preserve"> PA</w:t>
      </w:r>
      <w:r>
        <w:rPr>
          <w:rFonts w:eastAsia="MS Mincho;ＭＳ 明朝" w:cs="Verdana" w:ascii="Arial" w:hAnsi="Arial"/>
          <w:color w:val="000000"/>
          <w:sz w:val="19"/>
          <w:szCs w:val="19"/>
          <w:shd w:fill="auto" w:val="clear"/>
          <w:lang w:eastAsia="pt-BR"/>
        </w:rPr>
        <w:t xml:space="preserve">RA </w:t>
      </w:r>
      <w:r>
        <w:rPr>
          <w:rFonts w:eastAsia="MS Mincho;ＭＳ 明朝" w:cs="Verdana" w:ascii="Arial" w:hAnsi="Arial"/>
          <w:b/>
          <w:bCs/>
          <w:color w:val="FF0000"/>
          <w:sz w:val="19"/>
          <w:szCs w:val="19"/>
          <w:shd w:fill="auto" w:val="clear"/>
          <w:lang w:eastAsia="pt-BR"/>
        </w:rPr>
        <w:t>Aquisição de fraldas com recursos da Deliberação nº 78/2022 – CEDCA/PR e recursos livres, para a Secretaria Municipal de Assistência Social.</w:t>
      </w:r>
    </w:p>
    <w:p>
      <w:pPr>
        <w:pStyle w:val="Normal"/>
        <w:overflowPunct w:val="false"/>
        <w:spacing w:lineRule="auto" w:line="240" w:before="31" w:after="62"/>
        <w:jc w:val="both"/>
        <w:textAlignment w:val="baseline"/>
        <w:rPr>
          <w:rFonts w:ascii="Arial" w:hAnsi="Arial" w:cs="Verdana"/>
          <w:b/>
          <w:color w:val="000000"/>
          <w:sz w:val="19"/>
          <w:szCs w:val="19"/>
          <w:u w:val="single"/>
          <w:shd w:fill="auto" w:val="clear"/>
        </w:rPr>
      </w:pPr>
      <w:r>
        <w:rPr>
          <w:rFonts w:cs="Verdana" w:ascii="Arial" w:hAnsi="Arial"/>
          <w:b/>
          <w:color w:val="000000"/>
          <w:sz w:val="19"/>
          <w:szCs w:val="19"/>
          <w:u w:val="single"/>
          <w:shd w:fill="auto" w:val="clear"/>
        </w:rPr>
        <w:t>CONTRATANTE:</w:t>
      </w:r>
    </w:p>
    <w:p>
      <w:pPr>
        <w:pStyle w:val="Normal"/>
        <w:overflowPunct w:val="false"/>
        <w:spacing w:lineRule="auto" w:line="240" w:before="31" w:after="62"/>
        <w:jc w:val="both"/>
        <w:textAlignment w:val="baseline"/>
        <w:rPr>
          <w:rFonts w:ascii="Arial" w:hAnsi="Arial"/>
          <w:color w:val="000000"/>
          <w:sz w:val="19"/>
          <w:szCs w:val="19"/>
        </w:rPr>
      </w:pPr>
      <w:r>
        <w:rPr>
          <w:rFonts w:cs="Verdana" w:ascii="Arial" w:hAnsi="Arial"/>
          <w:b/>
          <w:color w:val="000000"/>
          <w:sz w:val="19"/>
          <w:szCs w:val="19"/>
        </w:rPr>
        <w:t>MUNICÍPIO DE CIANORTE</w:t>
      </w:r>
      <w:r>
        <w:rPr>
          <w:rFonts w:cs="Verdana" w:ascii="Arial" w:hAnsi="Arial"/>
          <w:color w:val="000000"/>
          <w:sz w:val="19"/>
          <w:szCs w:val="19"/>
        </w:rPr>
        <w:t>, Estado do Paraná, Pessoa Jurídica de direito Público com sede no Centro Cívico Edno Guimarães, n.º 100, inscrita no</w:t>
      </w:r>
      <w:r>
        <w:rPr>
          <w:rFonts w:cs="Verdana" w:ascii="Arial" w:hAnsi="Arial"/>
          <w:b/>
          <w:bCs/>
          <w:color w:val="000000"/>
          <w:sz w:val="19"/>
          <w:szCs w:val="19"/>
        </w:rPr>
        <w:t xml:space="preserve"> CNPJ/MF n</w:t>
      </w:r>
      <w:r>
        <w:rPr>
          <w:rFonts w:cs="Verdana" w:ascii="Arial" w:hAnsi="Arial"/>
          <w:b/>
          <w:bCs/>
          <w:color w:val="000000"/>
          <w:sz w:val="19"/>
          <w:szCs w:val="19"/>
          <w:u w:val="single"/>
          <w:vertAlign w:val="superscript"/>
        </w:rPr>
        <w:t>o</w:t>
      </w:r>
      <w:r>
        <w:rPr>
          <w:rFonts w:cs="Verdana" w:ascii="Arial" w:hAnsi="Arial"/>
          <w:b/>
          <w:bCs/>
          <w:color w:val="000000"/>
          <w:sz w:val="19"/>
          <w:szCs w:val="19"/>
        </w:rPr>
        <w:t xml:space="preserve"> 76.309.806/0001-28</w:t>
      </w:r>
      <w:r>
        <w:rPr>
          <w:rFonts w:cs="Verdana" w:ascii="Arial" w:hAnsi="Arial"/>
          <w:color w:val="000000"/>
          <w:sz w:val="19"/>
          <w:szCs w:val="19"/>
        </w:rPr>
        <w:t xml:space="preserve">, neste ato representada pelo seu Prefeito, </w:t>
      </w:r>
      <w:r>
        <w:rPr>
          <w:rFonts w:cs="Verdana" w:ascii="Arial" w:hAnsi="Arial"/>
          <w:b/>
          <w:color w:val="000000"/>
          <w:sz w:val="19"/>
          <w:szCs w:val="19"/>
        </w:rPr>
        <w:t xml:space="preserve">Sr. Marco Antonio Franzato, </w:t>
      </w:r>
      <w:r>
        <w:rPr>
          <w:rFonts w:cs="Verdana" w:ascii="Arial" w:hAnsi="Arial"/>
          <w:color w:val="000000"/>
          <w:sz w:val="19"/>
          <w:szCs w:val="19"/>
        </w:rPr>
        <w:t>Portador da Cédula de Identidade RG n</w:t>
      </w:r>
      <w:r>
        <w:rPr>
          <w:rFonts w:cs="Verdana" w:ascii="Arial" w:hAnsi="Arial"/>
          <w:color w:val="000000"/>
          <w:sz w:val="19"/>
          <w:szCs w:val="19"/>
          <w:u w:val="single"/>
          <w:vertAlign w:val="superscript"/>
        </w:rPr>
        <w:t>o</w:t>
      </w:r>
      <w:r>
        <w:rPr>
          <w:rFonts w:cs="Verdana" w:ascii="Arial" w:hAnsi="Arial"/>
          <w:color w:val="000000"/>
          <w:sz w:val="19"/>
          <w:szCs w:val="19"/>
        </w:rPr>
        <w:t xml:space="preserve"> 3.037.024-4 SSP/PR, e do CPF n</w:t>
      </w:r>
      <w:r>
        <w:rPr>
          <w:rFonts w:cs="Verdana" w:ascii="Arial" w:hAnsi="Arial"/>
          <w:color w:val="000000"/>
          <w:sz w:val="19"/>
          <w:szCs w:val="19"/>
          <w:u w:val="single"/>
          <w:vertAlign w:val="superscript"/>
        </w:rPr>
        <w:t>o</w:t>
      </w:r>
      <w:r>
        <w:rPr>
          <w:rFonts w:cs="Verdana" w:ascii="Arial" w:hAnsi="Arial"/>
          <w:color w:val="000000"/>
          <w:sz w:val="19"/>
          <w:szCs w:val="19"/>
        </w:rPr>
        <w:t xml:space="preserve"> 306.800.859-04 e</w:t>
      </w:r>
    </w:p>
    <w:p>
      <w:pPr>
        <w:pStyle w:val="Normal"/>
        <w:overflowPunct w:val="false"/>
        <w:spacing w:lineRule="auto" w:line="240" w:before="31" w:after="62"/>
        <w:jc w:val="both"/>
        <w:textAlignment w:val="baseline"/>
        <w:rPr>
          <w:rFonts w:ascii="Arial" w:hAnsi="Arial" w:cs="Verdana"/>
          <w:b/>
          <w:color w:val="000000"/>
          <w:sz w:val="19"/>
          <w:szCs w:val="19"/>
          <w:u w:val="single"/>
        </w:rPr>
      </w:pPr>
      <w:r>
        <w:rPr>
          <w:rFonts w:cs="Verdana" w:ascii="Arial" w:hAnsi="Arial"/>
          <w:b/>
          <w:color w:val="000000"/>
          <w:sz w:val="19"/>
          <w:szCs w:val="19"/>
          <w:u w:val="single"/>
        </w:rPr>
        <w:t>CONTRATADA:</w:t>
      </w:r>
    </w:p>
    <w:p>
      <w:pPr>
        <w:pStyle w:val="Normal"/>
        <w:tabs>
          <w:tab w:val="clear" w:pos="709"/>
          <w:tab w:val="left" w:pos="2268" w:leader="none"/>
        </w:tabs>
        <w:overflowPunct w:val="false"/>
        <w:spacing w:lineRule="auto" w:line="240" w:before="31" w:after="62"/>
        <w:jc w:val="both"/>
        <w:textAlignment w:val="baseline"/>
        <w:rPr>
          <w:rFonts w:ascii="Arial" w:hAnsi="Arial"/>
          <w:color w:val="000000"/>
          <w:sz w:val="19"/>
          <w:szCs w:val="19"/>
        </w:rPr>
      </w:pPr>
      <w:r>
        <w:rPr>
          <w:rFonts w:cs="Verdana" w:ascii="Arial" w:hAnsi="Arial"/>
          <w:b/>
          <w:bCs/>
          <w:color w:val="000000"/>
          <w:sz w:val="19"/>
          <w:szCs w:val="19"/>
        </w:rPr>
        <w:t>&lt;Nome_Fornecedor&gt;</w:t>
      </w:r>
      <w:r>
        <w:rPr>
          <w:rFonts w:cs="Verdana" w:ascii="Arial" w:hAnsi="Arial"/>
          <w:color w:val="000000"/>
          <w:sz w:val="19"/>
          <w:szCs w:val="19"/>
        </w:rPr>
        <w:t>, pessoa jurídica de direito privado, com sede à &lt;Endereço_Fornecedor&gt;</w:t>
      </w:r>
      <w:r>
        <w:rPr>
          <w:rFonts w:cs="Arial" w:ascii="Arial" w:hAnsi="Arial"/>
          <w:color w:val="000000"/>
          <w:sz w:val="19"/>
          <w:szCs w:val="19"/>
        </w:rPr>
        <w:t xml:space="preserve">, </w:t>
      </w:r>
      <w:r>
        <w:rPr>
          <w:rFonts w:cs="Verdana" w:ascii="Arial" w:hAnsi="Arial"/>
          <w:color w:val="000000"/>
          <w:sz w:val="19"/>
          <w:szCs w:val="19"/>
        </w:rPr>
        <w:t>&lt;Bairro_Fornecedor&gt;</w:t>
      </w:r>
      <w:r>
        <w:rPr>
          <w:rFonts w:cs="Arial" w:ascii="Arial" w:hAnsi="Arial"/>
          <w:color w:val="000000"/>
          <w:sz w:val="19"/>
          <w:szCs w:val="19"/>
        </w:rPr>
        <w:t xml:space="preserve">, CEP </w:t>
      </w:r>
      <w:r>
        <w:rPr>
          <w:rFonts w:cs="Arial" w:ascii="Arial" w:hAnsi="Arial"/>
          <w:b w:val="false"/>
          <w:bCs w:val="false"/>
          <w:color w:val="000000"/>
          <w:sz w:val="19"/>
          <w:szCs w:val="19"/>
        </w:rPr>
        <w:t>&lt;Cep_Fornecedor&gt;,</w:t>
      </w:r>
      <w:r>
        <w:rPr>
          <w:rFonts w:cs="Arial" w:ascii="Arial" w:hAnsi="Arial"/>
          <w:color w:val="000000"/>
          <w:sz w:val="19"/>
          <w:szCs w:val="19"/>
        </w:rPr>
        <w:t xml:space="preserve"> </w:t>
      </w:r>
      <w:r>
        <w:rPr>
          <w:rFonts w:cs="Verdana" w:ascii="Arial" w:hAnsi="Arial"/>
          <w:color w:val="000000"/>
          <w:sz w:val="19"/>
          <w:szCs w:val="19"/>
        </w:rPr>
        <w:t xml:space="preserve">na cidade de &lt;Cidade_Fornecedor&gt;&lt;Estado_Sigla_Fornecedor&gt;, inscrita no </w:t>
      </w:r>
      <w:r>
        <w:rPr>
          <w:rFonts w:cs="Verdana" w:ascii="Arial" w:hAnsi="Arial"/>
          <w:b/>
          <w:color w:val="000000"/>
          <w:sz w:val="19"/>
          <w:szCs w:val="19"/>
        </w:rPr>
        <w:t xml:space="preserve">CNPJ/MF sob nº </w:t>
      </w:r>
      <w:r>
        <w:rPr>
          <w:rFonts w:cs="Verdana" w:ascii="Arial" w:hAnsi="Arial"/>
          <w:b/>
          <w:bCs/>
          <w:color w:val="000000"/>
          <w:sz w:val="19"/>
          <w:szCs w:val="19"/>
        </w:rPr>
        <w:t>&lt;CNPJ_CPF_Fornecedor&gt;</w:t>
      </w:r>
      <w:r>
        <w:rPr>
          <w:rFonts w:cs="Verdana" w:ascii="Arial" w:hAnsi="Arial"/>
          <w:color w:val="000000"/>
          <w:sz w:val="19"/>
          <w:szCs w:val="19"/>
        </w:rPr>
        <w:t xml:space="preserve">, </w:t>
      </w:r>
      <w:r>
        <w:rPr>
          <w:rFonts w:cs="Arial" w:ascii="Arial" w:hAnsi="Arial"/>
          <w:color w:val="000000"/>
          <w:sz w:val="19"/>
          <w:szCs w:val="19"/>
        </w:rPr>
        <w:t xml:space="preserve">telefone </w:t>
      </w:r>
      <w:r>
        <w:rPr>
          <w:rFonts w:cs="Verdana" w:ascii="Arial" w:hAnsi="Arial"/>
          <w:color w:val="000000"/>
          <w:sz w:val="19"/>
          <w:szCs w:val="19"/>
        </w:rPr>
        <w:t>&lt;Fone_Fornecedor&gt;</w:t>
      </w:r>
      <w:r>
        <w:rPr>
          <w:rFonts w:cs="Arial" w:ascii="Arial" w:hAnsi="Arial"/>
          <w:color w:val="000000"/>
          <w:sz w:val="19"/>
          <w:szCs w:val="19"/>
        </w:rPr>
        <w:t xml:space="preserve">, Email: </w:t>
      </w:r>
      <w:r>
        <w:rPr>
          <w:rFonts w:cs="Verdana" w:ascii="Arial" w:hAnsi="Arial"/>
          <w:color w:val="000000"/>
          <w:sz w:val="19"/>
          <w:szCs w:val="19"/>
        </w:rPr>
        <w:t>&lt;Email_Fornecedor&gt;</w:t>
      </w:r>
      <w:r>
        <w:rPr>
          <w:rFonts w:cs="Arial" w:ascii="Arial" w:hAnsi="Arial"/>
          <w:color w:val="000000"/>
          <w:sz w:val="19"/>
          <w:szCs w:val="19"/>
        </w:rPr>
        <w:t xml:space="preserve">, </w:t>
      </w:r>
      <w:r>
        <w:rPr>
          <w:rFonts w:cs="Verdana" w:ascii="Arial" w:hAnsi="Arial"/>
          <w:color w:val="000000"/>
          <w:sz w:val="19"/>
          <w:szCs w:val="19"/>
        </w:rPr>
        <w:t xml:space="preserve">neste ato representada pelo seu sócio administrador, o </w:t>
      </w:r>
      <w:r>
        <w:rPr>
          <w:rFonts w:cs="Verdana" w:ascii="Arial" w:hAnsi="Arial"/>
          <w:b/>
          <w:color w:val="000000"/>
          <w:sz w:val="19"/>
          <w:szCs w:val="19"/>
        </w:rPr>
        <w:t>Sr.</w:t>
      </w:r>
      <w:r>
        <w:rPr>
          <w:rFonts w:cs="Verdana" w:ascii="Arial" w:hAnsi="Arial"/>
          <w:b/>
          <w:bCs/>
          <w:color w:val="000000"/>
          <w:sz w:val="19"/>
          <w:szCs w:val="19"/>
        </w:rPr>
        <w:t xml:space="preserve"> &lt;Nome_Representante&gt;</w:t>
      </w:r>
      <w:r>
        <w:rPr>
          <w:rFonts w:cs="Arial" w:ascii="Arial" w:hAnsi="Arial"/>
          <w:b/>
          <w:color w:val="000000"/>
          <w:sz w:val="19"/>
          <w:szCs w:val="19"/>
        </w:rPr>
        <w:t>,</w:t>
      </w:r>
      <w:r>
        <w:rPr>
          <w:rFonts w:cs="Arial" w:ascii="Arial" w:hAnsi="Arial"/>
          <w:color w:val="000000"/>
          <w:sz w:val="19"/>
          <w:szCs w:val="19"/>
        </w:rPr>
        <w:t xml:space="preserve"> portador da Cédula de Identidade </w:t>
      </w:r>
      <w:r>
        <w:rPr>
          <w:rFonts w:cs="Verdana" w:ascii="Arial" w:hAnsi="Arial"/>
          <w:color w:val="000000"/>
          <w:sz w:val="19"/>
          <w:szCs w:val="19"/>
        </w:rPr>
        <w:t>&lt;RG_Representante&gt;</w:t>
      </w:r>
      <w:r>
        <w:rPr>
          <w:rFonts w:cs="Arial" w:ascii="Arial" w:hAnsi="Arial"/>
          <w:color w:val="000000"/>
          <w:sz w:val="19"/>
          <w:szCs w:val="19"/>
        </w:rPr>
        <w:t>/</w:t>
      </w:r>
      <w:r>
        <w:rPr>
          <w:rFonts w:cs="Verdana" w:ascii="Arial" w:hAnsi="Arial"/>
          <w:color w:val="000000"/>
          <w:sz w:val="19"/>
          <w:szCs w:val="19"/>
        </w:rPr>
        <w:t>&lt;Órgão_Emissor_Representante&gt;</w:t>
      </w:r>
      <w:r>
        <w:rPr>
          <w:rFonts w:cs="Arial" w:ascii="Arial" w:hAnsi="Arial"/>
          <w:color w:val="000000"/>
          <w:sz w:val="19"/>
          <w:szCs w:val="19"/>
        </w:rPr>
        <w:t xml:space="preserve"> e do CPF </w:t>
      </w:r>
      <w:r>
        <w:rPr>
          <w:rFonts w:cs="Verdana" w:ascii="Arial" w:hAnsi="Arial"/>
          <w:color w:val="000000"/>
          <w:sz w:val="19"/>
          <w:szCs w:val="19"/>
        </w:rPr>
        <w:t>&lt;CPF_Representante&gt;, residente e domiciliado em &lt;Cidade_Fornecedor&gt;/&lt;Estado_Sigla_Fornecedor&gt;.</w:t>
      </w:r>
    </w:p>
    <w:p>
      <w:pPr>
        <w:pStyle w:val="Normal"/>
        <w:tabs>
          <w:tab w:val="clear" w:pos="709"/>
          <w:tab w:val="left" w:pos="2268" w:leader="none"/>
        </w:tabs>
        <w:overflowPunct w:val="false"/>
        <w:spacing w:lineRule="auto" w:line="240" w:before="31" w:after="62"/>
        <w:jc w:val="both"/>
        <w:textAlignment w:val="baseline"/>
        <w:rPr>
          <w:rFonts w:ascii="Arial" w:hAnsi="Arial" w:cs="Verdana"/>
          <w:color w:val="000000"/>
          <w:sz w:val="19"/>
          <w:szCs w:val="19"/>
        </w:rPr>
      </w:pPr>
      <w:r>
        <w:rPr>
          <w:rFonts w:cs="Verdana" w:ascii="Arial" w:hAnsi="Arial"/>
          <w:color w:val="000000"/>
          <w:sz w:val="19"/>
          <w:szCs w:val="19"/>
        </w:rPr>
        <w:t>Por este instrumento e na melhor forma de direito, tem entre si, sujeitando-se aos termos da Lei Federal nº 14.133/2021 e às seguintes cláusulas e condições que reciprocamente outorgam e aceitam:</w:t>
      </w:r>
    </w:p>
    <w:p>
      <w:pPr>
        <w:pStyle w:val="Normal"/>
        <w:tabs>
          <w:tab w:val="clear" w:pos="709"/>
          <w:tab w:val="left" w:pos="2268" w:leader="none"/>
        </w:tabs>
        <w:overflowPunct w:val="false"/>
        <w:spacing w:lineRule="auto" w:line="240" w:before="31" w:after="62"/>
        <w:jc w:val="both"/>
        <w:textAlignment w:val="baseline"/>
        <w:rPr>
          <w:rFonts w:ascii="Arial" w:hAnsi="Arial" w:cs="Verdana"/>
          <w:color w:val="000000"/>
          <w:sz w:val="19"/>
          <w:szCs w:val="19"/>
        </w:rPr>
      </w:pPr>
      <w:r>
        <w:rPr>
          <w:rFonts w:cs="Verdana" w:ascii="Arial" w:hAnsi="Arial"/>
          <w:color w:val="000000"/>
          <w:sz w:val="19"/>
          <w:szCs w:val="19"/>
        </w:rPr>
      </w:r>
    </w:p>
    <w:p>
      <w:pPr>
        <w:pStyle w:val="Normal"/>
        <w:numPr>
          <w:ilvl w:val="0"/>
          <w:numId w:val="7"/>
        </w:numPr>
        <w:overflowPunct w:val="false"/>
        <w:spacing w:lineRule="auto" w:line="240" w:before="31" w:after="62"/>
        <w:ind w:hanging="0" w:left="0" w:right="0"/>
        <w:jc w:val="both"/>
        <w:textAlignment w:val="baseline"/>
        <w:rPr>
          <w:rFonts w:ascii="Arial" w:hAnsi="Arial" w:eastAsia="MS Mincho;ＭＳ 明朝" w:cs="Verdana"/>
          <w:b/>
          <w:iCs/>
          <w:color w:val="000000"/>
          <w:sz w:val="19"/>
          <w:szCs w:val="19"/>
          <w:u w:val="single"/>
          <w:lang w:eastAsia="pt-BR"/>
        </w:rPr>
      </w:pPr>
      <w:r>
        <w:rPr>
          <w:rFonts w:eastAsia="MS Mincho;ＭＳ 明朝" w:cs="Verdana" w:ascii="Arial" w:hAnsi="Arial"/>
          <w:b/>
          <w:iCs/>
          <w:color w:val="000000"/>
          <w:sz w:val="19"/>
          <w:szCs w:val="19"/>
          <w:u w:val="single"/>
          <w:lang w:eastAsia="pt-BR"/>
        </w:rPr>
        <w:t>DO FUNDAMENTO LEGAL</w:t>
      </w:r>
    </w:p>
    <w:p>
      <w:pPr>
        <w:pStyle w:val="Normal"/>
        <w:numPr>
          <w:ilvl w:val="1"/>
          <w:numId w:val="7"/>
        </w:numPr>
        <w:overflowPunct w:val="false"/>
        <w:spacing w:lineRule="auto" w:line="240" w:before="31" w:after="62"/>
        <w:ind w:hanging="0" w:left="0" w:right="0"/>
        <w:jc w:val="both"/>
        <w:textAlignment w:val="baseline"/>
        <w:rPr/>
      </w:pPr>
      <w:r>
        <w:rPr>
          <w:rFonts w:cs="Verdana" w:ascii="Arial" w:hAnsi="Arial"/>
          <w:color w:val="000000"/>
          <w:sz w:val="19"/>
          <w:szCs w:val="19"/>
        </w:rPr>
        <w:t xml:space="preserve">Este contrato decorre do processo licitatório realizado pelo Contratante na modalidade de </w:t>
      </w:r>
      <w:r>
        <w:rPr>
          <w:rFonts w:cs="Verdana" w:ascii="Arial" w:hAnsi="Arial"/>
          <w:b/>
          <w:bCs/>
          <w:color w:val="000000"/>
          <w:sz w:val="19"/>
          <w:szCs w:val="19"/>
        </w:rPr>
        <w:t xml:space="preserve">Pregão </w:t>
      </w:r>
      <w:r>
        <w:rPr>
          <w:rFonts w:eastAsia="Times New Roman" w:cs="Verdana" w:ascii="Arial" w:hAnsi="Arial"/>
          <w:b/>
          <w:bCs/>
          <w:color w:val="000000"/>
          <w:sz w:val="19"/>
          <w:szCs w:val="19"/>
          <w:lang w:val="pt-BR" w:eastAsia="zh-CN" w:bidi="ar-SA"/>
        </w:rPr>
        <w:t>Eletrônico</w:t>
      </w:r>
      <w:r>
        <w:rPr>
          <w:rFonts w:cs="Verdana" w:ascii="Arial" w:hAnsi="Arial"/>
          <w:b/>
          <w:bCs/>
          <w:color w:val="000000"/>
          <w:sz w:val="19"/>
          <w:szCs w:val="19"/>
        </w:rPr>
        <w:t xml:space="preserve"> nº </w:t>
      </w:r>
      <w:r>
        <w:rPr>
          <w:rFonts w:cs="Verdana" w:ascii="Arial" w:hAnsi="Arial"/>
          <w:b/>
          <w:color w:val="000000"/>
          <w:sz w:val="19"/>
          <w:szCs w:val="19"/>
        </w:rPr>
        <w:t>&lt;Número_Licitação&gt;/&lt;Ano_Licitação&gt;</w:t>
      </w:r>
      <w:r>
        <w:rPr>
          <w:rFonts w:cs="Verdana" w:ascii="Arial" w:hAnsi="Arial"/>
          <w:color w:val="000000"/>
          <w:sz w:val="19"/>
          <w:szCs w:val="19"/>
        </w:rPr>
        <w:t xml:space="preserve">, do tipo </w:t>
      </w:r>
      <w:r>
        <w:rPr>
          <w:rFonts w:cs="Verdana" w:ascii="Arial" w:hAnsi="Arial"/>
          <w:b/>
          <w:color w:val="000000"/>
          <w:sz w:val="19"/>
          <w:szCs w:val="19"/>
        </w:rPr>
        <w:t>Menor Preço por Item</w:t>
      </w:r>
      <w:r>
        <w:rPr>
          <w:rFonts w:cs="Verdana" w:ascii="Arial" w:hAnsi="Arial"/>
          <w:color w:val="000000"/>
          <w:sz w:val="19"/>
          <w:szCs w:val="19"/>
        </w:rPr>
        <w:t xml:space="preserve">, para formação de Registro de Preços, com base nas disposições aplicáveis da Lei Federal nº 14.133/2021, </w:t>
      </w:r>
      <w:r>
        <w:rPr>
          <w:rFonts w:cs="Arial-ItalicMT" w:ascii="Arial" w:hAnsi="Arial"/>
          <w:iCs/>
          <w:color w:val="000000"/>
          <w:sz w:val="19"/>
          <w:szCs w:val="19"/>
        </w:rPr>
        <w:t>Decreto Municipal n.º 31/2023</w:t>
      </w:r>
      <w:r>
        <w:rPr>
          <w:rFonts w:eastAsia="MS Mincho;ＭＳ 明朝" w:cs="Verdana" w:ascii="Arial" w:hAnsi="Arial"/>
          <w:color w:val="C9211E"/>
          <w:sz w:val="19"/>
          <w:szCs w:val="19"/>
          <w:lang w:eastAsia="pt-BR"/>
        </w:rPr>
        <w:t xml:space="preserve"> e demais legislações aplicáveis</w:t>
      </w:r>
      <w:r>
        <w:rPr>
          <w:rFonts w:eastAsia="MS Mincho;ＭＳ 明朝" w:cs="Arial" w:ascii="Arial" w:hAnsi="Arial"/>
          <w:color w:val="C9211E"/>
          <w:sz w:val="19"/>
          <w:szCs w:val="19"/>
          <w:lang w:eastAsia="pt-BR"/>
        </w:rPr>
        <w:t>:</w:t>
      </w:r>
    </w:p>
    <w:p>
      <w:pPr>
        <w:pStyle w:val="Normal"/>
        <w:numPr>
          <w:ilvl w:val="0"/>
          <w:numId w:val="0"/>
        </w:numPr>
        <w:overflowPunct w:val="false"/>
        <w:spacing w:lineRule="auto" w:line="240" w:before="31" w:after="62"/>
        <w:ind w:hanging="0" w:left="0" w:right="0"/>
        <w:jc w:val="both"/>
        <w:textAlignment w:val="baseline"/>
        <w:rPr>
          <w:rFonts w:ascii="Arial" w:hAnsi="Arial" w:eastAsia="MS Mincho;ＭＳ 明朝" w:cs="Arial"/>
          <w:color w:val="C9211E"/>
          <w:sz w:val="19"/>
          <w:szCs w:val="19"/>
          <w:lang w:eastAsia="pt-BR"/>
        </w:rPr>
      </w:pPr>
      <w:r>
        <w:rPr>
          <w:rFonts w:eastAsia="MS Mincho;ＭＳ 明朝" w:cs="Arial" w:ascii="Arial" w:hAnsi="Arial"/>
          <w:color w:val="C9211E"/>
          <w:sz w:val="19"/>
          <w:szCs w:val="19"/>
          <w:lang w:eastAsia="pt-BR"/>
        </w:rPr>
      </w:r>
    </w:p>
    <w:p>
      <w:pPr>
        <w:pStyle w:val="Normal"/>
        <w:numPr>
          <w:ilvl w:val="0"/>
          <w:numId w:val="7"/>
        </w:numPr>
        <w:overflowPunct w:val="false"/>
        <w:spacing w:lineRule="auto" w:line="240" w:before="31" w:after="62"/>
        <w:ind w:hanging="0" w:left="0" w:right="0"/>
        <w:jc w:val="both"/>
        <w:textAlignment w:val="baseline"/>
        <w:rPr>
          <w:rFonts w:ascii="Arial" w:hAnsi="Arial" w:cs="Verdana"/>
          <w:b/>
          <w:color w:val="000000"/>
          <w:sz w:val="19"/>
          <w:szCs w:val="19"/>
          <w:u w:val="single"/>
        </w:rPr>
      </w:pPr>
      <w:r>
        <w:rPr>
          <w:rFonts w:cs="Verdana" w:ascii="Arial" w:hAnsi="Arial"/>
          <w:b/>
          <w:color w:val="000000"/>
          <w:sz w:val="19"/>
          <w:szCs w:val="19"/>
          <w:u w:val="single"/>
        </w:rPr>
        <w:t>OBJETO</w:t>
      </w:r>
    </w:p>
    <w:p>
      <w:pPr>
        <w:pStyle w:val="Normal"/>
        <w:numPr>
          <w:ilvl w:val="1"/>
          <w:numId w:val="7"/>
        </w:numPr>
        <w:overflowPunct w:val="false"/>
        <w:spacing w:lineRule="auto" w:line="240" w:before="31" w:after="62"/>
        <w:ind w:hanging="0" w:left="0" w:right="0"/>
        <w:jc w:val="both"/>
        <w:textAlignment w:val="baseline"/>
        <w:rPr>
          <w:rFonts w:ascii="Arial" w:hAnsi="Arial"/>
          <w:color w:val="000000"/>
          <w:sz w:val="19"/>
          <w:szCs w:val="19"/>
        </w:rPr>
      </w:pPr>
      <w:r>
        <w:rPr>
          <w:rFonts w:cs="Verdana" w:ascii="Arial" w:hAnsi="Arial"/>
          <w:color w:val="000000"/>
          <w:sz w:val="19"/>
          <w:szCs w:val="19"/>
        </w:rPr>
        <w:t xml:space="preserve">O objeto do presente termo é a </w:t>
      </w:r>
      <w:r>
        <w:rPr>
          <w:rFonts w:cs="Verdana" w:ascii="Arial" w:hAnsi="Arial"/>
          <w:b/>
          <w:bCs/>
          <w:color w:val="FF0000"/>
          <w:sz w:val="19"/>
          <w:szCs w:val="19"/>
        </w:rPr>
        <w:t>Aquisição de fraldas com recursos da Deliberação nº 78/2022 – CEDCA/PR e recursos livres, para a Secretaria Municipal de Assistência Social.</w:t>
      </w:r>
    </w:p>
    <w:p>
      <w:pPr>
        <w:pStyle w:val="Normal"/>
        <w:numPr>
          <w:ilvl w:val="1"/>
          <w:numId w:val="7"/>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sz w:val="19"/>
          <w:szCs w:val="19"/>
        </w:rPr>
        <w:t xml:space="preserve">Órgão participante do presente procedimento: </w:t>
      </w:r>
    </w:p>
    <w:tbl>
      <w:tblPr>
        <w:tblW w:w="9450" w:type="dxa"/>
        <w:jc w:val="left"/>
        <w:tblInd w:w="195" w:type="dxa"/>
        <w:tblLayout w:type="fixed"/>
        <w:tblCellMar>
          <w:top w:w="0" w:type="dxa"/>
          <w:left w:w="108" w:type="dxa"/>
          <w:bottom w:w="0" w:type="dxa"/>
          <w:right w:w="108" w:type="dxa"/>
        </w:tblCellMar>
      </w:tblPr>
      <w:tblGrid>
        <w:gridCol w:w="4628"/>
        <w:gridCol w:w="4821"/>
      </w:tblGrid>
      <w:tr>
        <w:trPr/>
        <w:tc>
          <w:tcPr>
            <w:tcW w:w="4628"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CENTRO DE CUSTO</w:t>
            </w:r>
          </w:p>
        </w:tc>
        <w:tc>
          <w:tcPr>
            <w:tcW w:w="4821"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CÓDIGO</w:t>
            </w:r>
          </w:p>
        </w:tc>
      </w:tr>
      <w:tr>
        <w:trPr/>
        <w:tc>
          <w:tcPr>
            <w:tcW w:w="4628"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SECRETARIA DE ASSISTÊNCIA SOCIAL</w:t>
            </w:r>
          </w:p>
        </w:tc>
        <w:tc>
          <w:tcPr>
            <w:tcW w:w="4821"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w:t>
            </w:r>
          </w:p>
        </w:tc>
      </w:tr>
    </w:tbl>
    <w:p>
      <w:pPr>
        <w:pStyle w:val="Normal"/>
        <w:numPr>
          <w:ilvl w:val="0"/>
          <w:numId w:val="0"/>
        </w:numPr>
        <w:overflowPunct w:val="false"/>
        <w:spacing w:lineRule="auto" w:line="240" w:before="57" w:after="0"/>
        <w:ind w:hanging="0" w:left="0" w:right="0"/>
        <w:jc w:val="both"/>
        <w:textAlignment w:val="baseline"/>
        <w:rPr>
          <w:rFonts w:ascii="Arial" w:hAnsi="Arial" w:cs="Verdana"/>
          <w:b/>
          <w:bCs/>
          <w:color w:val="FF0000"/>
          <w:sz w:val="19"/>
          <w:szCs w:val="19"/>
          <w:shd w:fill="auto" w:val="clear"/>
        </w:rPr>
      </w:pPr>
      <w:r>
        <w:rPr>
          <w:rFonts w:cs="Verdana" w:ascii="Arial" w:hAnsi="Arial"/>
          <w:b/>
          <w:bCs/>
          <w:color w:val="FF0000"/>
          <w:sz w:val="19"/>
          <w:szCs w:val="19"/>
          <w:shd w:fill="auto" w:val="clear"/>
        </w:rPr>
        <w:t>&lt;Itens_Contrato_Ata3&gt;</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Fazem parte integralmente do presente termo, as demais peças e documentos relevantes contidos no processo citado acima, independentemente de transcrição.</w:t>
      </w:r>
    </w:p>
    <w:p>
      <w:pPr>
        <w:pStyle w:val="Normal"/>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r>
    </w:p>
    <w:p>
      <w:pPr>
        <w:pStyle w:val="Normal"/>
        <w:numPr>
          <w:ilvl w:val="0"/>
          <w:numId w:val="7"/>
        </w:numPr>
        <w:overflowPunct w:val="false"/>
        <w:spacing w:lineRule="auto" w:line="240" w:before="31" w:after="62"/>
        <w:ind w:hanging="0" w:left="0" w:right="0"/>
        <w:jc w:val="both"/>
        <w:textAlignment w:val="baseline"/>
        <w:rPr>
          <w:shd w:fill="auto" w:val="clear"/>
        </w:rPr>
      </w:pPr>
      <w:r>
        <w:rPr>
          <w:rFonts w:cs="Verdana" w:ascii="Arial" w:hAnsi="Arial"/>
          <w:b/>
          <w:color w:val="000000"/>
          <w:sz w:val="19"/>
          <w:szCs w:val="19"/>
          <w:u w:val="single"/>
          <w:shd w:fill="auto" w:val="clear"/>
        </w:rPr>
        <w:t>DOS DIREITOS E RESPONSABILIDADES DAS PARTES</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000000"/>
          <w:sz w:val="19"/>
          <w:szCs w:val="19"/>
          <w:shd w:fill="auto" w:val="clear"/>
        </w:rPr>
      </w:pPr>
      <w:r>
        <w:rPr>
          <w:rFonts w:cs="Verdana" w:ascii="Arial" w:hAnsi="Arial"/>
          <w:color w:val="000000"/>
          <w:sz w:val="19"/>
          <w:szCs w:val="19"/>
          <w:shd w:fill="auto" w:val="clear"/>
        </w:rPr>
        <w:t>CONTRATADA:</w:t>
      </w:r>
    </w:p>
    <w:p>
      <w:pPr>
        <w:pStyle w:val="Normal"/>
        <w:numPr>
          <w:ilvl w:val="2"/>
          <w:numId w:val="7"/>
        </w:numPr>
        <w:overflowPunct w:val="false"/>
        <w:spacing w:lineRule="auto" w:line="240" w:before="31" w:after="62"/>
        <w:ind w:hanging="0" w:left="0" w:right="0"/>
        <w:jc w:val="both"/>
        <w:textAlignment w:val="baseline"/>
        <w:rPr>
          <w:rFonts w:ascii="Arial" w:hAnsi="Arial"/>
          <w:sz w:val="19"/>
          <w:szCs w:val="19"/>
        </w:rPr>
      </w:pPr>
      <w:r>
        <w:rPr>
          <w:rFonts w:cs="Verdana" w:ascii="Arial" w:hAnsi="Arial"/>
          <w:sz w:val="19"/>
          <w:szCs w:val="19"/>
        </w:rPr>
        <w:t>O fornecimento de pessoal técnico e materiais necessários à fiel execução deste contrato.</w:t>
      </w:r>
    </w:p>
    <w:p>
      <w:pPr>
        <w:pStyle w:val="Normal"/>
        <w:numPr>
          <w:ilvl w:val="2"/>
          <w:numId w:val="7"/>
        </w:numPr>
        <w:overflowPunct w:val="false"/>
        <w:spacing w:lineRule="auto" w:line="240" w:before="31" w:after="62"/>
        <w:ind w:hanging="0" w:left="0" w:right="0"/>
        <w:jc w:val="both"/>
        <w:textAlignment w:val="baseline"/>
        <w:rPr>
          <w:rFonts w:ascii="Arial" w:hAnsi="Arial" w:cs="Verdana"/>
          <w:sz w:val="19"/>
          <w:szCs w:val="19"/>
        </w:rPr>
      </w:pPr>
      <w:r>
        <w:rPr>
          <w:rFonts w:cs="Verdana" w:ascii="Arial" w:hAnsi="Arial"/>
          <w:color w:val="000000"/>
          <w:sz w:val="19"/>
          <w:szCs w:val="19"/>
        </w:rPr>
        <w:t>Assumir integralmente a responsabilidade pelos danos que causar a este Município ou a terceiros, por si ou por seus sucessores e representantes na execução do objeto desta licitação, isentando o Município de qualquer reclamação que possa surgir em decorrência do mesmo.</w:t>
      </w:r>
    </w:p>
    <w:p>
      <w:pPr>
        <w:pStyle w:val="Normal"/>
        <w:numPr>
          <w:ilvl w:val="2"/>
          <w:numId w:val="7"/>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A</w:t>
      </w:r>
      <w:r>
        <w:rPr>
          <w:rFonts w:cs="Verdana" w:ascii="Arial" w:hAnsi="Arial"/>
          <w:color w:val="000000"/>
          <w:sz w:val="19"/>
          <w:szCs w:val="19"/>
          <w:shd w:fill="auto" w:val="clear"/>
        </w:rPr>
        <w:t>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pPr>
        <w:pStyle w:val="Normal"/>
        <w:numPr>
          <w:ilvl w:val="3"/>
          <w:numId w:val="7"/>
        </w:numPr>
        <w:overflowPunct w:val="false"/>
        <w:spacing w:lineRule="auto" w:line="240" w:before="31" w:after="62"/>
        <w:ind w:hanging="0" w:left="283" w:right="0"/>
        <w:jc w:val="both"/>
        <w:textAlignment w:val="baseline"/>
        <w:rPr>
          <w:shd w:fill="auto" w:val="clear"/>
        </w:rPr>
      </w:pPr>
      <w:r>
        <w:rPr>
          <w:rFonts w:ascii="Arial" w:hAnsi="Arial"/>
          <w:color w:val="000000"/>
          <w:sz w:val="19"/>
          <w:szCs w:val="19"/>
          <w:shd w:fill="auto" w:val="clear"/>
        </w:rPr>
        <w:t xml:space="preserve">A inadimplência do </w:t>
      </w:r>
      <w:r>
        <w:rPr>
          <w:rFonts w:ascii="Arial" w:hAnsi="Arial"/>
          <w:b/>
          <w:color w:val="000000"/>
          <w:sz w:val="19"/>
          <w:szCs w:val="19"/>
          <w:shd w:fill="auto" w:val="clear"/>
        </w:rPr>
        <w:t>Contratado</w:t>
      </w:r>
      <w:r>
        <w:rPr>
          <w:rFonts w:ascii="Arial" w:hAnsi="Arial"/>
          <w:color w:val="000000"/>
          <w:sz w:val="19"/>
          <w:szCs w:val="19"/>
          <w:shd w:fill="auto" w:val="clear"/>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pPr>
        <w:pStyle w:val="Normal"/>
        <w:numPr>
          <w:ilvl w:val="2"/>
          <w:numId w:val="7"/>
        </w:numPr>
        <w:overflowPunct w:val="false"/>
        <w:spacing w:lineRule="auto" w:line="240" w:before="31" w:after="62"/>
        <w:ind w:hanging="0" w:left="0" w:right="0"/>
        <w:jc w:val="both"/>
        <w:textAlignment w:val="baseline"/>
        <w:rPr>
          <w:rFonts w:ascii="Arial" w:hAnsi="Arial" w:cs="Verdana"/>
          <w:color w:val="000000"/>
          <w:sz w:val="19"/>
          <w:szCs w:val="19"/>
          <w:shd w:fill="auto" w:val="clear"/>
        </w:rPr>
      </w:pPr>
      <w:r>
        <w:rPr>
          <w:rFonts w:cs="Verdana" w:ascii="Arial" w:hAnsi="Arial"/>
          <w:color w:val="000000"/>
          <w:sz w:val="19"/>
          <w:szCs w:val="19"/>
          <w:shd w:fill="auto" w:val="clear"/>
        </w:rPr>
        <w:t>Cumprir as exigências de reserva de cargos prevista em lei, bem como em outras normas específicas, para pessoa com deficiência, para reabilitado da Previdência Social e para aprendiz.</w:t>
      </w:r>
    </w:p>
    <w:p>
      <w:pPr>
        <w:pStyle w:val="Normal"/>
        <w:numPr>
          <w:ilvl w:val="2"/>
          <w:numId w:val="7"/>
        </w:numPr>
        <w:overflowPunct w:val="false"/>
        <w:spacing w:lineRule="auto" w:line="240" w:before="31" w:after="62"/>
        <w:ind w:hanging="0" w:left="0" w:right="0"/>
        <w:jc w:val="both"/>
        <w:textAlignment w:val="baseline"/>
        <w:rPr>
          <w:rFonts w:ascii="Arial" w:hAnsi="Arial" w:cs="Verdana"/>
          <w:i w:val="false"/>
          <w:i w:val="false"/>
          <w:iCs w:val="false"/>
          <w:color w:val="000000"/>
          <w:sz w:val="19"/>
          <w:szCs w:val="19"/>
          <w:shd w:fill="auto" w:val="clear"/>
        </w:rPr>
      </w:pPr>
      <w:r>
        <w:rPr>
          <w:rFonts w:cs="Verdana" w:ascii="Arial" w:hAnsi="Arial"/>
          <w:i w:val="false"/>
          <w:iCs w:val="false"/>
          <w:color w:val="000000"/>
          <w:sz w:val="19"/>
          <w:szCs w:val="19"/>
          <w:shd w:fill="auto" w:val="clear"/>
        </w:rPr>
        <w:t>O fornecedor deverá, obrigatoriamente, emitir nota fiscal eletrônica (NF-e), conforme Norma de Procedimento Fiscal nº 095/2009 e alterações posteriores.</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Na oportunidade da emissão da nota fiscal, deverá ser observada na própria nota (ou em relatório avulso anexo); as informações obrigatórias a entrega do item/lote identificando expressamente, quando for possível:</w:t>
      </w:r>
    </w:p>
    <w:p>
      <w:pPr>
        <w:pStyle w:val="Normal"/>
        <w:numPr>
          <w:ilvl w:val="0"/>
          <w:numId w:val="10"/>
        </w:numPr>
        <w:overflowPunct w:val="true"/>
        <w:spacing w:lineRule="auto" w:line="240" w:before="0" w:after="0"/>
        <w:jc w:val="both"/>
        <w:textAlignment w:val="baseline"/>
        <w:rPr/>
      </w:pPr>
      <w:r>
        <w:rPr>
          <w:rFonts w:ascii="Arial" w:hAnsi="Arial"/>
          <w:i/>
          <w:iCs/>
          <w:color w:val="000000"/>
          <w:sz w:val="19"/>
          <w:szCs w:val="19"/>
          <w:shd w:fill="auto" w:val="clear"/>
        </w:rPr>
        <w:t>Descrição completa do item, conforme descrito em contrato.</w:t>
      </w:r>
    </w:p>
    <w:p>
      <w:pPr>
        <w:pStyle w:val="Normal"/>
        <w:numPr>
          <w:ilvl w:val="0"/>
          <w:numId w:val="10"/>
        </w:numPr>
        <w:overflowPunct w:val="true"/>
        <w:spacing w:lineRule="auto" w:line="240" w:before="0" w:after="0"/>
        <w:jc w:val="both"/>
        <w:textAlignment w:val="baseline"/>
        <w:rPr/>
      </w:pPr>
      <w:r>
        <w:rPr>
          <w:rFonts w:ascii="Arial" w:hAnsi="Arial"/>
          <w:i/>
          <w:iCs/>
          <w:color w:val="000000"/>
          <w:sz w:val="19"/>
          <w:szCs w:val="19"/>
          <w:shd w:fill="auto" w:val="clear"/>
        </w:rPr>
        <w:t>Nome do Local, endereço e data de entrega.</w:t>
      </w:r>
    </w:p>
    <w:p>
      <w:pPr>
        <w:pStyle w:val="Normal"/>
        <w:numPr>
          <w:ilvl w:val="0"/>
          <w:numId w:val="10"/>
        </w:numPr>
        <w:overflowPunct w:val="true"/>
        <w:spacing w:lineRule="auto" w:line="240" w:before="0" w:after="0"/>
        <w:jc w:val="both"/>
        <w:textAlignment w:val="baseline"/>
        <w:rPr>
          <w:rFonts w:ascii="Arial" w:hAnsi="Arial"/>
          <w:i/>
          <w:i/>
          <w:iCs/>
          <w:color w:val="000000"/>
          <w:sz w:val="19"/>
          <w:szCs w:val="19"/>
          <w:shd w:fill="auto" w:val="clear"/>
        </w:rPr>
      </w:pPr>
      <w:r>
        <w:rPr>
          <w:rFonts w:ascii="Arial" w:hAnsi="Arial"/>
          <w:i/>
          <w:iCs/>
          <w:color w:val="000000"/>
          <w:sz w:val="19"/>
          <w:szCs w:val="19"/>
          <w:shd w:fill="auto" w:val="clear"/>
        </w:rPr>
        <w:t>Número do Pregão e respectivo contrato.</w:t>
      </w:r>
    </w:p>
    <w:p>
      <w:pPr>
        <w:pStyle w:val="Normal"/>
        <w:numPr>
          <w:ilvl w:val="0"/>
          <w:numId w:val="10"/>
        </w:numPr>
        <w:overflowPunct w:val="true"/>
        <w:spacing w:lineRule="auto" w:line="240" w:before="0" w:after="0"/>
        <w:jc w:val="both"/>
        <w:textAlignment w:val="baseline"/>
        <w:rPr>
          <w:rFonts w:ascii="Arial" w:hAnsi="Arial" w:cs="Verdana"/>
          <w:i/>
          <w:i/>
          <w:iCs/>
          <w:color w:val="000000"/>
          <w:sz w:val="19"/>
          <w:szCs w:val="19"/>
          <w:shd w:fill="auto" w:val="clear"/>
        </w:rPr>
      </w:pPr>
      <w:r>
        <w:rPr>
          <w:rFonts w:cs="Verdana" w:ascii="Arial" w:hAnsi="Arial"/>
          <w:i/>
          <w:iCs/>
          <w:color w:val="000000"/>
          <w:sz w:val="19"/>
          <w:szCs w:val="19"/>
          <w:shd w:fill="auto" w:val="clear"/>
        </w:rPr>
        <w:t>Número do empenho.</w:t>
      </w:r>
    </w:p>
    <w:p>
      <w:pPr>
        <w:pStyle w:val="Normal"/>
        <w:numPr>
          <w:ilvl w:val="1"/>
          <w:numId w:val="7"/>
        </w:numPr>
        <w:overflowPunct w:val="false"/>
        <w:spacing w:lineRule="auto" w:line="240" w:before="57" w:after="57"/>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CONTRATANTE</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Esclarecer prontamente as dúvidas administrativas e técnicas e divergências surgidas na execução do objeto contratado;</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Expedir, através de notificações e/ou relatório de vistoria, as ocorrências e fazer as determinações e comunicações necessárias à perfeita entrega de bens contratados;</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Adotar as medidas preventivas de controle dos contratos, inclusive manifestar-se, de forma isolada ou conjunta com o Gestor do Contrato, a respeito da suspensão da entrega de bens.</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Conferir e certificar as faturas relativas às aquisições;</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Proceder as avaliações dos materiais entregues pela contratada;</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Determinar por todos os meios adequados a observância das normas técnicas e legais, especificações exigíveis para a perfeita execução do objeto;</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Receber designação e manter contato com o preposto da contratada, e se for necessário, promover reuniões periódicas ou especiais para a resolução de problemas na entrega dos bens.</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Dar parecer técnico nos pedidos de alterações contratuais;</w:t>
      </w:r>
    </w:p>
    <w:p>
      <w:pPr>
        <w:pStyle w:val="Normal"/>
        <w:numPr>
          <w:ilvl w:val="2"/>
          <w:numId w:val="7"/>
        </w:numPr>
        <w:overflowPunct w:val="tru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Verificar a correta aplicação dos materiais, quando aplicável;</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Requerer das empresas testes, exames e ensaios quando necessários, no sentido de promoção de controle de qualidade dos bens a serem adquiridos;</w:t>
      </w:r>
    </w:p>
    <w:p>
      <w:pPr>
        <w:pStyle w:val="Normal"/>
        <w:numPr>
          <w:ilvl w:val="0"/>
          <w:numId w:val="0"/>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r>
    </w:p>
    <w:p>
      <w:pPr>
        <w:pStyle w:val="Normal"/>
        <w:numPr>
          <w:ilvl w:val="0"/>
          <w:numId w:val="7"/>
        </w:numPr>
        <w:overflowPunct w:val="false"/>
        <w:spacing w:lineRule="auto" w:line="240" w:before="31" w:after="62"/>
        <w:ind w:hanging="0" w:left="0" w:right="0"/>
        <w:jc w:val="both"/>
        <w:textAlignment w:val="baseline"/>
        <w:rPr>
          <w:rFonts w:ascii="Arial" w:hAnsi="Arial" w:cs="ArialMT"/>
          <w:b/>
          <w:bCs/>
          <w:color w:val="000000"/>
          <w:sz w:val="19"/>
          <w:szCs w:val="19"/>
          <w:u w:val="single"/>
          <w:shd w:fill="auto" w:val="clear"/>
        </w:rPr>
      </w:pPr>
      <w:r>
        <w:rPr>
          <w:rFonts w:cs="ArialMT" w:ascii="Arial" w:hAnsi="Arial"/>
          <w:b/>
          <w:bCs/>
          <w:color w:val="000000"/>
          <w:sz w:val="19"/>
          <w:szCs w:val="19"/>
          <w:u w:val="single"/>
          <w:shd w:fill="auto" w:val="clear"/>
        </w:rPr>
        <w:t>DA GESTÃO DO CONTRATO E MATRIZ DE RISCO</w:t>
      </w:r>
    </w:p>
    <w:p>
      <w:pPr>
        <w:pStyle w:val="Normal"/>
        <w:numPr>
          <w:ilvl w:val="1"/>
          <w:numId w:val="7"/>
        </w:numPr>
        <w:overflowPunct w:val="false"/>
        <w:spacing w:lineRule="auto" w:line="240" w:before="31" w:after="62"/>
        <w:ind w:hanging="0" w:left="0" w:right="0"/>
        <w:jc w:val="both"/>
        <w:textAlignment w:val="baseline"/>
        <w:rPr>
          <w:rFonts w:ascii="Arial" w:hAnsi="Arial" w:cs="ArialMT"/>
          <w:b w:val="false"/>
          <w:bCs w:val="false"/>
          <w:color w:val="000000"/>
          <w:sz w:val="19"/>
          <w:szCs w:val="19"/>
          <w:u w:val="none"/>
          <w:shd w:fill="auto" w:val="clear"/>
        </w:rPr>
      </w:pPr>
      <w:r>
        <w:rPr>
          <w:rFonts w:cs="ArialMT" w:ascii="Arial" w:hAnsi="Arial"/>
          <w:b w:val="false"/>
          <w:bCs w:val="false"/>
          <w:color w:val="000000"/>
          <w:sz w:val="19"/>
          <w:szCs w:val="19"/>
          <w:u w:val="none"/>
          <w:shd w:fill="auto" w:val="clear"/>
        </w:rPr>
        <w:t>DA FISCALIZAÇÃO</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cs="Arial-ItalicMT" w:ascii="Arial" w:hAnsi="Arial"/>
          <w:iCs/>
          <w:color w:val="000000"/>
          <w:sz w:val="19"/>
          <w:szCs w:val="19"/>
          <w:shd w:fill="auto" w:val="clear"/>
        </w:rPr>
        <w:t>O acompanhamento e fiscalização do fornecimento de bens e materiais do presente contrato e demais atribuições descritas nos art. 8º e 9º do Decreto Municipal n.º 31/2023 serão realizados pela seguinte fiscal de contrato</w:t>
      </w:r>
      <w:r>
        <w:rPr>
          <w:rFonts w:cs="Verdana" w:ascii="Arial" w:hAnsi="Arial"/>
          <w:iCs/>
          <w:color w:val="000000"/>
          <w:sz w:val="19"/>
          <w:szCs w:val="19"/>
          <w:shd w:fill="auto" w:val="clear"/>
        </w:rPr>
        <w:t>: Patrícia Freire da Silva.</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cs="Arial-ItalicMT" w:ascii="Arial" w:hAnsi="Arial"/>
          <w:iCs/>
          <w:color w:val="000000"/>
          <w:sz w:val="19"/>
          <w:szCs w:val="19"/>
          <w:shd w:fill="auto" w:val="clear"/>
        </w:rPr>
        <w:t>As atribuições administrativas do presente contrato, especialmente as descritas no art. 7º do Decreto Municipal n.º 31/2023 serão realizadas pela seguinte gestora de contrato</w:t>
      </w:r>
      <w:r>
        <w:rPr>
          <w:rFonts w:cs="Verdana" w:ascii="Arial" w:hAnsi="Arial"/>
          <w:iCs/>
          <w:color w:val="000000"/>
          <w:sz w:val="19"/>
          <w:szCs w:val="19"/>
          <w:shd w:fill="auto" w:val="clear"/>
        </w:rPr>
        <w:t>: Danielle Regina Alberti.</w:t>
      </w:r>
    </w:p>
    <w:p>
      <w:pPr>
        <w:pStyle w:val="Normal"/>
        <w:numPr>
          <w:ilvl w:val="1"/>
          <w:numId w:val="7"/>
        </w:numPr>
        <w:overflowPunct w:val="false"/>
        <w:spacing w:lineRule="auto" w:line="240" w:before="31" w:after="62"/>
        <w:ind w:hanging="0" w:left="0" w:right="0"/>
        <w:jc w:val="both"/>
        <w:textAlignment w:val="baseline"/>
        <w:rPr>
          <w:rFonts w:ascii="Arial" w:hAnsi="Arial"/>
          <w:b w:val="false"/>
          <w:bCs w:val="false"/>
          <w:color w:val="000000"/>
          <w:sz w:val="19"/>
          <w:szCs w:val="19"/>
          <w:shd w:fill="auto" w:val="clear"/>
        </w:rPr>
      </w:pPr>
      <w:r>
        <w:rPr>
          <w:rFonts w:ascii="Arial" w:hAnsi="Arial"/>
          <w:b w:val="false"/>
          <w:bCs w:val="false"/>
          <w:color w:val="000000"/>
          <w:sz w:val="19"/>
          <w:szCs w:val="19"/>
          <w:shd w:fill="auto" w:val="clear"/>
        </w:rPr>
        <w:t>DAS CONDIÇÕES DE PAGAMENTO</w:t>
      </w:r>
    </w:p>
    <w:p>
      <w:pPr>
        <w:pStyle w:val="Normal"/>
        <w:numPr>
          <w:ilvl w:val="2"/>
          <w:numId w:val="7"/>
        </w:numPr>
        <w:spacing w:lineRule="auto" w:line="240" w:before="31" w:after="62"/>
        <w:ind w:hanging="0" w:left="0" w:right="0"/>
        <w:jc w:val="both"/>
        <w:rPr>
          <w:rFonts w:ascii="Arial" w:hAnsi="Arial" w:cs="Verdana"/>
          <w:color w:val="000000"/>
          <w:sz w:val="19"/>
          <w:szCs w:val="19"/>
        </w:rPr>
      </w:pPr>
      <w:r>
        <w:rPr>
          <w:rFonts w:cs="Verdana" w:ascii="Arial" w:hAnsi="Arial"/>
          <w:color w:val="000000"/>
          <w:sz w:val="19"/>
          <w:szCs w:val="19"/>
        </w:rPr>
        <w:t xml:space="preserve">O pagamento será efetuado em até </w:t>
      </w:r>
      <w:r>
        <w:rPr>
          <w:rFonts w:cs="Verdana" w:ascii="Arial" w:hAnsi="Arial"/>
          <w:b/>
          <w:bCs/>
          <w:color w:val="000000"/>
          <w:sz w:val="19"/>
          <w:szCs w:val="19"/>
        </w:rPr>
        <w:t>10 dias úteis após a entrega da Nota Fiscal</w:t>
      </w:r>
      <w:r>
        <w:rPr>
          <w:rFonts w:cs="Verdana" w:ascii="Arial" w:hAnsi="Arial"/>
          <w:color w:val="000000"/>
          <w:sz w:val="19"/>
          <w:szCs w:val="19"/>
        </w:rPr>
        <w:t xml:space="preserve">, após conferência quantitativa e qualitativa pela Divisão responsável pelo recebimento, com base nos preços unitários apresentados na proposta/lance e mediante a verificação de regularidade ou apresentação dos seguintes documentos: </w:t>
      </w:r>
    </w:p>
    <w:p>
      <w:pPr>
        <w:pStyle w:val="Normal"/>
        <w:numPr>
          <w:ilvl w:val="5"/>
          <w:numId w:val="7"/>
        </w:numPr>
        <w:spacing w:lineRule="auto" w:line="240" w:before="31" w:after="62"/>
        <w:ind w:hanging="0" w:left="737" w:right="0"/>
        <w:jc w:val="both"/>
        <w:rPr>
          <w:rFonts w:ascii="Arial" w:hAnsi="Arial"/>
          <w:color w:val="000000"/>
          <w:sz w:val="19"/>
          <w:szCs w:val="19"/>
        </w:rPr>
      </w:pPr>
      <w:r>
        <w:rPr>
          <w:rFonts w:ascii="Arial" w:hAnsi="Arial"/>
          <w:color w:val="000000"/>
          <w:sz w:val="19"/>
          <w:szCs w:val="19"/>
        </w:rPr>
        <w:t>Prova de regularidade relativo aos Débitos Relativos aos Tributos Federais e à Dívida Ativa da União;</w:t>
      </w:r>
    </w:p>
    <w:p>
      <w:pPr>
        <w:pStyle w:val="Normal"/>
        <w:numPr>
          <w:ilvl w:val="5"/>
          <w:numId w:val="7"/>
        </w:numPr>
        <w:spacing w:lineRule="auto" w:line="240" w:before="31" w:after="62"/>
        <w:ind w:hanging="0" w:left="737" w:right="0"/>
        <w:jc w:val="both"/>
        <w:rPr>
          <w:rFonts w:ascii="Arial" w:hAnsi="Arial"/>
          <w:color w:val="000000"/>
          <w:sz w:val="19"/>
          <w:szCs w:val="19"/>
        </w:rPr>
      </w:pPr>
      <w:r>
        <w:rPr>
          <w:rFonts w:ascii="Arial" w:hAnsi="Arial"/>
          <w:color w:val="000000"/>
          <w:sz w:val="19"/>
          <w:szCs w:val="19"/>
        </w:rPr>
        <w:t>Prova de regularidade relativo aos Débitos da Fazenda Estadual do domicílio da empresa;</w:t>
      </w:r>
    </w:p>
    <w:p>
      <w:pPr>
        <w:pStyle w:val="Normal"/>
        <w:numPr>
          <w:ilvl w:val="5"/>
          <w:numId w:val="7"/>
        </w:numPr>
        <w:spacing w:lineRule="auto" w:line="240" w:before="31" w:after="62"/>
        <w:ind w:hanging="0" w:left="737" w:right="0"/>
        <w:jc w:val="both"/>
        <w:rPr>
          <w:rFonts w:ascii="Arial" w:hAnsi="Arial"/>
          <w:color w:val="000000"/>
          <w:sz w:val="19"/>
          <w:szCs w:val="19"/>
        </w:rPr>
      </w:pPr>
      <w:r>
        <w:rPr>
          <w:rFonts w:ascii="Arial" w:hAnsi="Arial"/>
          <w:color w:val="000000"/>
          <w:sz w:val="19"/>
          <w:szCs w:val="19"/>
        </w:rPr>
        <w:t>Prova de regularidade relativo aos Débitos Municipais, e caso exista filial no Município de Cianorte a Certidão Negativa desta também deverá ser apresentada;</w:t>
      </w:r>
    </w:p>
    <w:p>
      <w:pPr>
        <w:pStyle w:val="Normal"/>
        <w:numPr>
          <w:ilvl w:val="5"/>
          <w:numId w:val="7"/>
        </w:numPr>
        <w:spacing w:lineRule="auto" w:line="240" w:before="31" w:after="62"/>
        <w:ind w:hanging="0" w:left="737" w:right="0"/>
        <w:jc w:val="both"/>
        <w:rPr>
          <w:rFonts w:ascii="Arial" w:hAnsi="Arial"/>
          <w:color w:val="000000"/>
          <w:sz w:val="19"/>
          <w:szCs w:val="19"/>
        </w:rPr>
      </w:pPr>
      <w:r>
        <w:rPr>
          <w:rFonts w:ascii="Arial" w:hAnsi="Arial"/>
          <w:color w:val="000000"/>
          <w:sz w:val="19"/>
          <w:szCs w:val="19"/>
        </w:rPr>
        <w:t xml:space="preserve">Prova de regularidade relativo de FGTS; </w:t>
      </w:r>
    </w:p>
    <w:p>
      <w:pPr>
        <w:pStyle w:val="Normal"/>
        <w:numPr>
          <w:ilvl w:val="5"/>
          <w:numId w:val="7"/>
        </w:numPr>
        <w:spacing w:lineRule="auto" w:line="240" w:before="31" w:after="62"/>
        <w:ind w:hanging="0" w:left="737" w:right="0"/>
        <w:jc w:val="both"/>
        <w:rPr>
          <w:rFonts w:ascii="Arial" w:hAnsi="Arial"/>
          <w:color w:val="000000"/>
          <w:sz w:val="19"/>
          <w:szCs w:val="19"/>
        </w:rPr>
      </w:pPr>
      <w:r>
        <w:rPr>
          <w:rFonts w:ascii="Arial" w:hAnsi="Arial"/>
          <w:color w:val="000000"/>
          <w:sz w:val="19"/>
          <w:szCs w:val="19"/>
        </w:rPr>
        <w:t xml:space="preserve">Prova de regularidade relativo aos Débitos Trabalhistas (CNDT); </w:t>
      </w:r>
    </w:p>
    <w:p>
      <w:pPr>
        <w:pStyle w:val="Normal"/>
        <w:numPr>
          <w:ilvl w:val="5"/>
          <w:numId w:val="7"/>
        </w:numPr>
        <w:spacing w:lineRule="auto" w:line="240" w:before="31" w:after="62"/>
        <w:ind w:hanging="0" w:left="737" w:right="0"/>
        <w:jc w:val="both"/>
        <w:rPr>
          <w:rFonts w:ascii="Arial" w:hAnsi="Arial"/>
          <w:color w:val="000000"/>
          <w:sz w:val="19"/>
          <w:szCs w:val="19"/>
        </w:rPr>
      </w:pPr>
      <w:r>
        <w:rPr>
          <w:rFonts w:ascii="Arial" w:hAnsi="Arial"/>
          <w:color w:val="000000"/>
          <w:sz w:val="19"/>
          <w:szCs w:val="19"/>
        </w:rPr>
        <w:t>Situação perante o Cadastro Nacional de Pessoas Jurídicas do Ministério da Fazenda (Cartão CNPJ).</w:t>
      </w:r>
    </w:p>
    <w:p>
      <w:pPr>
        <w:pStyle w:val="Normal"/>
        <w:numPr>
          <w:ilvl w:val="2"/>
          <w:numId w:val="7"/>
        </w:numPr>
        <w:spacing w:lineRule="auto" w:line="240" w:before="31" w:after="62"/>
        <w:ind w:hanging="0" w:left="0" w:right="0"/>
        <w:jc w:val="both"/>
        <w:rPr>
          <w:rFonts w:ascii="Arial" w:hAnsi="Arial"/>
          <w:color w:val="000000"/>
          <w:sz w:val="19"/>
          <w:szCs w:val="19"/>
        </w:rPr>
      </w:pPr>
      <w:r>
        <w:rPr>
          <w:rFonts w:ascii="Arial" w:hAnsi="Arial"/>
          <w:color w:val="000000"/>
          <w:sz w:val="19"/>
          <w:szCs w:val="19"/>
        </w:rPr>
        <w:t>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pPr>
        <w:pStyle w:val="Normal"/>
        <w:numPr>
          <w:ilvl w:val="2"/>
          <w:numId w:val="7"/>
        </w:numPr>
        <w:spacing w:lineRule="auto" w:line="240" w:before="31" w:after="62"/>
        <w:ind w:hanging="0" w:left="0" w:right="0"/>
        <w:jc w:val="both"/>
        <w:rPr>
          <w:rFonts w:ascii="Arial" w:hAnsi="Arial"/>
          <w:color w:val="000000"/>
          <w:sz w:val="19"/>
          <w:szCs w:val="19"/>
        </w:rPr>
      </w:pPr>
      <w:r>
        <w:rPr>
          <w:rFonts w:ascii="Arial" w:hAnsi="Arial"/>
          <w:color w:val="000000"/>
          <w:sz w:val="19"/>
          <w:szCs w:val="19"/>
        </w:rPr>
        <w:t>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(TX/100)/365; TX = Percentual da taxa anual do IPCA – Índice de Preços ao Consumidor Ampliado, do IBGE</w:t>
      </w:r>
    </w:p>
    <w:p>
      <w:pPr>
        <w:pStyle w:val="Normal"/>
        <w:numPr>
          <w:ilvl w:val="1"/>
          <w:numId w:val="7"/>
        </w:numPr>
        <w:spacing w:lineRule="auto" w:line="240" w:before="31" w:after="62"/>
        <w:ind w:hanging="0" w:left="0" w:right="0"/>
        <w:jc w:val="both"/>
        <w:rPr>
          <w:rFonts w:ascii="Arial" w:hAnsi="Arial"/>
          <w:color w:val="000000"/>
          <w:sz w:val="19"/>
          <w:szCs w:val="19"/>
        </w:rPr>
      </w:pPr>
      <w:r>
        <w:rPr>
          <w:rFonts w:ascii="Arial" w:hAnsi="Arial"/>
          <w:color w:val="000000"/>
          <w:sz w:val="19"/>
          <w:szCs w:val="19"/>
        </w:rPr>
        <w:t>A Contratada deverá manter durante a execução do contrato/atas todas as condições de habilitação exigidas na licitação que deu origem ao presente instrumento (inciso XVI, art. 92 da Lei Federal nº 14.133/2021 e suas alterações).</w:t>
      </w:r>
    </w:p>
    <w:p>
      <w:pPr>
        <w:pStyle w:val="Normal"/>
        <w:numPr>
          <w:ilvl w:val="1"/>
          <w:numId w:val="7"/>
        </w:numPr>
        <w:overflowPunct w:val="false"/>
        <w:spacing w:lineRule="auto" w:line="240" w:before="31" w:after="62"/>
        <w:ind w:hanging="0" w:left="0" w:right="0"/>
        <w:jc w:val="both"/>
        <w:textAlignment w:val="baseline"/>
        <w:rPr>
          <w:rFonts w:ascii="Arial" w:hAnsi="Arial"/>
          <w:b w:val="false"/>
          <w:bCs w:val="false"/>
          <w:color w:val="000000"/>
          <w:sz w:val="19"/>
          <w:szCs w:val="19"/>
          <w:u w:val="none"/>
        </w:rPr>
      </w:pPr>
      <w:r>
        <w:rPr>
          <w:rFonts w:ascii="Arial" w:hAnsi="Arial"/>
          <w:b w:val="false"/>
          <w:bCs w:val="false"/>
          <w:color w:val="000000"/>
          <w:sz w:val="19"/>
          <w:szCs w:val="19"/>
          <w:u w:val="none"/>
        </w:rPr>
        <w:t xml:space="preserve">FORMA DE FORNECIMENTO </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rPr>
      </w:pPr>
      <w:r>
        <w:rPr>
          <w:rFonts w:cs="Arial-BoldMT" w:ascii="Arial" w:hAnsi="Arial"/>
          <w:b/>
          <w:bCs/>
          <w:color w:val="000000"/>
          <w:sz w:val="19"/>
          <w:szCs w:val="19"/>
        </w:rPr>
        <w:t xml:space="preserve">A empresa contratada deverá entregar os produtos no prazo de 10 dias úteis, na Secretaria Municipal de Assistência Social, Praça Olímpica Marcos Danilo Padilha, 235, Cianorte, CEP 87.210-054. </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rPr>
      </w:pPr>
      <w:r>
        <w:rPr>
          <w:rFonts w:ascii="Arial" w:hAnsi="Arial"/>
          <w:color w:val="000000"/>
          <w:sz w:val="19"/>
          <w:szCs w:val="19"/>
        </w:rPr>
        <w:t>O objeto será recebido:</w:t>
      </w:r>
    </w:p>
    <w:p>
      <w:pPr>
        <w:pStyle w:val="Normal"/>
        <w:numPr>
          <w:ilvl w:val="5"/>
          <w:numId w:val="7"/>
        </w:numPr>
        <w:overflowPunct w:val="false"/>
        <w:spacing w:lineRule="auto" w:line="240" w:before="31" w:after="62"/>
        <w:ind w:hanging="0" w:left="680" w:right="0"/>
        <w:jc w:val="both"/>
        <w:textAlignment w:val="baseline"/>
        <w:rPr>
          <w:rFonts w:ascii="Arial" w:hAnsi="Arial"/>
          <w:color w:val="000000"/>
          <w:sz w:val="19"/>
          <w:szCs w:val="19"/>
        </w:rPr>
      </w:pPr>
      <w:r>
        <w:rPr>
          <w:rFonts w:ascii="Arial" w:hAnsi="Arial"/>
          <w:color w:val="000000"/>
          <w:sz w:val="19"/>
          <w:szCs w:val="19"/>
        </w:rPr>
        <w:t>Provisoriamente, de forma sumária, pelo fiscal de contrato ou servidor designado pelo Chefe imediato/Secretário Municipal, com verificação posterior da conformidade do material com as exigências contratuais;</w:t>
      </w:r>
    </w:p>
    <w:p>
      <w:pPr>
        <w:pStyle w:val="Normal"/>
        <w:numPr>
          <w:ilvl w:val="5"/>
          <w:numId w:val="7"/>
        </w:numPr>
        <w:overflowPunct w:val="false"/>
        <w:spacing w:lineRule="auto" w:line="240" w:before="31" w:after="62"/>
        <w:ind w:hanging="0" w:left="680" w:right="0"/>
        <w:jc w:val="both"/>
        <w:textAlignment w:val="baseline"/>
        <w:rPr>
          <w:rFonts w:ascii="Arial" w:hAnsi="Arial"/>
          <w:color w:val="000000"/>
          <w:sz w:val="19"/>
          <w:szCs w:val="19"/>
        </w:rPr>
      </w:pPr>
      <w:r>
        <w:rPr>
          <w:rFonts w:ascii="Arial" w:hAnsi="Arial"/>
          <w:color w:val="000000"/>
          <w:sz w:val="19"/>
          <w:szCs w:val="19"/>
        </w:rPr>
        <w:t>Definitivamente, pelo fiscal de contrato ou servidor designado pelo Chefe imediato/Secretário Municipal, mediante termo detalhado que comprove o atendimento das exigências contratuais.</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rPr>
      </w:pPr>
      <w:r>
        <w:rPr>
          <w:rFonts w:ascii="Arial" w:hAnsi="Arial"/>
          <w:color w:val="000000"/>
          <w:sz w:val="19"/>
          <w:szCs w:val="19"/>
        </w:rPr>
        <w:t>O recebimento provisório ou definitivo não excluirá a responsabilidade civil pela solidez e pela segurança do material nem a responsabilidade ético-profissional pela perfeita execução do contrato, nos limites estabelecidos pela lei ou pelo contrato.</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rPr>
      </w:pPr>
      <w:r>
        <w:rPr>
          <w:rFonts w:ascii="Arial" w:hAnsi="Arial"/>
          <w:color w:val="000000"/>
          <w:sz w:val="19"/>
          <w:szCs w:val="19"/>
        </w:rPr>
        <w:t>O objeto do contrato poderá ser rejeitado, no todo ou em parte, quando estiver em desacordo com as especificações constantes do Termo de Referência, do Edital, da proposta ou do contrato, podendo ser fixado pelo fiscal do contrato, avaliado o caso concreto, um prazo para a substituição do bem, às custas do contratado, e sem prejuízo da aplicação das penalidades.</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rPr>
      </w:pPr>
      <w:r>
        <w:rPr>
          <w:rFonts w:cs="Arial-BoldMT" w:ascii="Arial" w:hAnsi="Arial"/>
          <w:b w:val="false"/>
          <w:bCs w:val="false"/>
          <w:color w:val="000000"/>
          <w:sz w:val="19"/>
          <w:szCs w:val="19"/>
          <w:shd w:fill="auto" w:val="clear"/>
        </w:rPr>
        <w:t>Fazendo-se a opção pelo recebimento provisório, que terá prazo de 5 dias, o recebimento definitivo será feito após a verificação da qualidade dos mesmos, e consequentemente aceito, no prazo de 10 dias a contar do término do recebimento provisório.</w:t>
      </w:r>
    </w:p>
    <w:p>
      <w:pPr>
        <w:pStyle w:val="Normal"/>
        <w:numPr>
          <w:ilvl w:val="2"/>
          <w:numId w:val="7"/>
        </w:numPr>
        <w:overflowPunct w:val="false"/>
        <w:spacing w:lineRule="auto" w:line="240" w:before="31" w:after="62"/>
        <w:ind w:hanging="0" w:left="0" w:right="0"/>
        <w:jc w:val="both"/>
        <w:textAlignment w:val="baseline"/>
        <w:rPr>
          <w:rFonts w:ascii="Arial" w:hAnsi="Arial"/>
          <w:color w:val="000000"/>
          <w:sz w:val="19"/>
          <w:szCs w:val="19"/>
          <w:shd w:fill="auto" w:val="clear"/>
        </w:rPr>
      </w:pPr>
      <w:r>
        <w:rPr>
          <w:rFonts w:ascii="Arial" w:hAnsi="Arial"/>
          <w:color w:val="000000"/>
          <w:sz w:val="19"/>
          <w:szCs w:val="19"/>
          <w:shd w:fill="auto" w:val="clear"/>
        </w:rPr>
        <w:t>Deverá ser observada a garantia previstas nos termos do Código de Defesa do Consumidor ou o prazo apontado pelas Secretarias interessadas no descritivo de cada item/lote.</w:t>
      </w:r>
    </w:p>
    <w:p>
      <w:pPr>
        <w:pStyle w:val="Normal"/>
        <w:numPr>
          <w:ilvl w:val="1"/>
          <w:numId w:val="7"/>
        </w:numPr>
        <w:overflowPunct w:val="false"/>
        <w:spacing w:lineRule="auto" w:line="240" w:before="31" w:after="62"/>
        <w:ind w:hanging="0" w:left="0" w:right="0"/>
        <w:jc w:val="both"/>
        <w:textAlignment w:val="baseline"/>
        <w:rPr>
          <w:rFonts w:ascii="Arial" w:hAnsi="Arial" w:cs="Verdana"/>
          <w:b w:val="false"/>
          <w:bCs w:val="false"/>
          <w:color w:val="000000"/>
          <w:sz w:val="19"/>
          <w:szCs w:val="19"/>
          <w:u w:val="none"/>
        </w:rPr>
      </w:pPr>
      <w:r>
        <w:rPr>
          <w:rFonts w:cs="Verdana" w:ascii="Arial" w:hAnsi="Arial"/>
          <w:b w:val="false"/>
          <w:bCs w:val="false"/>
          <w:color w:val="000000"/>
          <w:sz w:val="19"/>
          <w:szCs w:val="19"/>
          <w:u w:val="none"/>
        </w:rPr>
        <w:t>DAS INFRAÇÕES E PENALIDADES</w:t>
      </w:r>
    </w:p>
    <w:p>
      <w:pPr>
        <w:pStyle w:val="Normal"/>
        <w:widowControl/>
        <w:numPr>
          <w:ilvl w:val="2"/>
          <w:numId w:val="7"/>
        </w:numPr>
        <w:tabs>
          <w:tab w:val="clear" w:pos="709"/>
          <w:tab w:val="left" w:pos="-60" w:leader="none"/>
        </w:tabs>
        <w:spacing w:lineRule="auto" w:line="240" w:before="31" w:after="62"/>
        <w:ind w:hanging="0" w:left="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O licitante ou o contratado será responsabilizado administrativamente pelas seguintes infrações previstas no art. 155 da Lei n.º 14.133/2021:</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Dar causa à inexecução parcial do contrato;</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Dar causa à inexecução parcial do contrato que cause grave dano à Administração, ao funcionamento dos serviços públicos ou ao interesse coletivo;</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Dar causa à inexecução total do contrato;</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Deixar de entregar a documentação exigida para o certame;</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Não manter a proposta, salvo em decorrência de fato superveniente devidamente justificado;</w:t>
      </w:r>
    </w:p>
    <w:p>
      <w:pPr>
        <w:pStyle w:val="BodyText"/>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Não assinar a ata de registro de preços ou o contrato nos prazos estabelecidos neste edital ou não entregar a documentação exigida para a contratação, quando convocado dentro do prazo de validade de sua proposta;</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Ensejar o retardamento da execução ou da entrega do objeto da licitação sem motivo justificado;</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Apresentar declaração ou documentação falsa exigida para o certame ou prestar declaração falsa durante a licitação ou a execução do contrato;</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Fraudar a licitação ou praticar ato fraudulento na execução do contrato;</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Comportar-se de modo inidôneo ou cometer fraude de qualquer natureza;</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Praticar atos ilícitos com vistas a frustrar os objetivos da licitação;</w:t>
      </w:r>
    </w:p>
    <w:p>
      <w:pPr>
        <w:pStyle w:val="Normal"/>
        <w:widowControl/>
        <w:numPr>
          <w:ilvl w:val="4"/>
          <w:numId w:val="7"/>
        </w:numPr>
        <w:tabs>
          <w:tab w:val="clear" w:pos="709"/>
        </w:tabs>
        <w:spacing w:lineRule="auto" w:line="240" w:before="31" w:after="62"/>
        <w:ind w:hanging="0" w:left="680" w:right="0"/>
        <w:rPr>
          <w:rFonts w:ascii="Arial" w:hAnsi="Arial"/>
          <w:b w:val="false"/>
          <w:i w:val="false"/>
          <w:i w:val="false"/>
          <w:caps w:val="false"/>
          <w:smallCaps w:val="false"/>
          <w:color w:val="000000"/>
          <w:spacing w:val="0"/>
          <w:sz w:val="19"/>
          <w:szCs w:val="19"/>
          <w:shd w:fill="auto" w:val="clear"/>
        </w:rPr>
      </w:pPr>
      <w:r>
        <w:rPr>
          <w:rFonts w:ascii="Arial" w:hAnsi="Arial"/>
          <w:b w:val="false"/>
          <w:i w:val="false"/>
          <w:caps w:val="false"/>
          <w:smallCaps w:val="false"/>
          <w:color w:val="000000"/>
          <w:spacing w:val="0"/>
          <w:sz w:val="19"/>
          <w:szCs w:val="19"/>
          <w:shd w:fill="auto" w:val="clear"/>
        </w:rPr>
        <w:t>Praticar ato lesivo previsto no art. 5º da Lei nº 12.846, de 1º de agosto de 2013.</w:t>
      </w:r>
    </w:p>
    <w:p>
      <w:pPr>
        <w:pStyle w:val="BodyText"/>
        <w:numPr>
          <w:ilvl w:val="2"/>
          <w:numId w:val="7"/>
        </w:numPr>
        <w:spacing w:lineRule="auto" w:line="240" w:before="31" w:after="62"/>
        <w:ind w:hanging="0" w:left="0" w:right="0"/>
        <w:jc w:val="both"/>
        <w:rPr>
          <w:shd w:fill="auto" w:val="clear"/>
        </w:rPr>
      </w:pPr>
      <w:r>
        <w:rPr>
          <w:sz w:val="19"/>
          <w:szCs w:val="19"/>
          <w:shd w:fill="auto" w:val="clear"/>
        </w:rPr>
        <w:t xml:space="preserve"> </w:t>
      </w:r>
      <w:r>
        <w:rPr>
          <w:b w:val="false"/>
          <w:i w:val="false"/>
          <w:caps w:val="false"/>
          <w:smallCaps w:val="false"/>
          <w:color w:val="000000"/>
          <w:spacing w:val="0"/>
          <w:sz w:val="19"/>
          <w:szCs w:val="19"/>
          <w:shd w:fill="auto" w:val="clear"/>
        </w:rPr>
        <w:t>Serão aplicadas ao responsável pelas infrações administrativas previstas nesta Lei as seguintes sanções:</w:t>
      </w:r>
    </w:p>
    <w:p>
      <w:pPr>
        <w:pStyle w:val="BodyText"/>
        <w:widowControl/>
        <w:numPr>
          <w:ilvl w:val="4"/>
          <w:numId w:val="7"/>
        </w:numPr>
        <w:spacing w:lineRule="auto" w:line="240" w:before="31" w:after="62"/>
        <w:ind w:hanging="0" w:left="680" w:right="0"/>
        <w:jc w:val="both"/>
        <w:rPr>
          <w:rFonts w:ascii="Arial" w:hAnsi="Arial"/>
          <w:b w:val="false"/>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Advertência:</w:t>
      </w:r>
      <w:r>
        <w:rPr>
          <w:b w:val="false"/>
          <w:i w:val="false"/>
          <w:caps w:val="false"/>
          <w:smallCaps w:val="false"/>
          <w:color w:val="000000"/>
          <w:spacing w:val="0"/>
          <w:sz w:val="19"/>
          <w:szCs w:val="19"/>
          <w:shd w:fill="auto" w:val="clear"/>
        </w:rPr>
        <w:t xml:space="preserve"> </w:t>
      </w:r>
    </w:p>
    <w:p>
      <w:pPr>
        <w:pStyle w:val="BodyText"/>
        <w:widowControl/>
        <w:numPr>
          <w:ilvl w:val="0"/>
          <w:numId w:val="0"/>
        </w:numPr>
        <w:spacing w:lineRule="auto" w:line="240" w:before="31" w:after="62"/>
        <w:ind w:hanging="0" w:left="907" w:right="0"/>
        <w:jc w:val="both"/>
        <w:rPr>
          <w:rFonts w:ascii="Arial" w:hAnsi="Arial"/>
          <w:b w:val="false"/>
          <w:i w:val="false"/>
          <w:i w:val="false"/>
          <w:caps w:val="false"/>
          <w:smallCaps w:val="false"/>
          <w:color w:val="000000"/>
          <w:spacing w:val="0"/>
          <w:sz w:val="19"/>
          <w:szCs w:val="19"/>
          <w:shd w:fill="auto" w:val="clear"/>
        </w:rPr>
      </w:pPr>
      <w:r>
        <w:rPr>
          <w:rFonts w:cs="ArialMT"/>
          <w:b w:val="false"/>
          <w:bCs/>
          <w:i w:val="false"/>
          <w:caps w:val="false"/>
          <w:smallCaps w:val="false"/>
          <w:color w:val="000000"/>
          <w:spacing w:val="0"/>
          <w:sz w:val="19"/>
          <w:szCs w:val="19"/>
          <w:shd w:fill="auto" w:val="clear"/>
        </w:rPr>
        <w:t xml:space="preserve">– </w:t>
      </w:r>
      <w:r>
        <w:rPr>
          <w:b w:val="false"/>
          <w:i w:val="false"/>
          <w:caps w:val="false"/>
          <w:smallCaps w:val="false"/>
          <w:color w:val="000000"/>
          <w:spacing w:val="0"/>
          <w:sz w:val="19"/>
          <w:szCs w:val="19"/>
          <w:shd w:fill="auto" w:val="clear"/>
        </w:rPr>
        <w:t>Aplicada exclusivamente pela infração administrativa prevista no inciso I do caput do art. 155 da Lei n.º 14.133/2021, quando não se justificar a imposição de penalidade mais grave.</w:t>
      </w:r>
    </w:p>
    <w:p>
      <w:pPr>
        <w:pStyle w:val="BodyText"/>
        <w:widowControl/>
        <w:numPr>
          <w:ilvl w:val="4"/>
          <w:numId w:val="7"/>
        </w:numPr>
        <w:spacing w:lineRule="auto" w:line="240" w:before="31" w:after="62"/>
        <w:ind w:hanging="0" w:left="680" w:right="0"/>
        <w:jc w:val="both"/>
        <w:rPr>
          <w:rFonts w:ascii="Arial" w:hAnsi="Arial"/>
          <w:b/>
          <w:bCs/>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Multa:</w:t>
      </w:r>
    </w:p>
    <w:p>
      <w:pPr>
        <w:pStyle w:val="Normal"/>
        <w:widowControl/>
        <w:numPr>
          <w:ilvl w:val="0"/>
          <w:numId w:val="0"/>
        </w:numPr>
        <w:spacing w:lineRule="auto" w:line="240" w:before="31" w:after="62"/>
        <w:ind w:hanging="0" w:left="851" w:right="0"/>
        <w:jc w:val="both"/>
        <w:rPr>
          <w:rFonts w:ascii="Arial" w:hAnsi="Arial"/>
          <w:b w:val="false"/>
          <w:bCs w:val="false"/>
          <w:i w:val="false"/>
          <w:i w:val="false"/>
          <w:caps w:val="false"/>
          <w:smallCaps w:val="false"/>
          <w:color w:val="000000"/>
          <w:spacing w:val="0"/>
          <w:sz w:val="19"/>
          <w:szCs w:val="19"/>
          <w:shd w:fill="auto" w:val="clear"/>
        </w:rPr>
      </w:pPr>
      <w:r>
        <w:rPr>
          <w:rFonts w:ascii="Arial" w:hAnsi="Arial"/>
          <w:b w:val="false"/>
          <w:bCs w:val="false"/>
          <w:i w:val="false"/>
          <w:caps w:val="false"/>
          <w:smallCaps w:val="false"/>
          <w:color w:val="000000"/>
          <w:spacing w:val="0"/>
          <w:sz w:val="19"/>
          <w:szCs w:val="19"/>
          <w:shd w:fill="auto" w:val="clear"/>
        </w:rPr>
        <w:t>- Compensatória de 20% sobre o valor total do contrato, no caso de inexecução total do objeto.</w:t>
      </w:r>
    </w:p>
    <w:p>
      <w:pPr>
        <w:pStyle w:val="BodyText"/>
        <w:widowControl/>
        <w:numPr>
          <w:ilvl w:val="0"/>
          <w:numId w:val="0"/>
        </w:numPr>
        <w:spacing w:lineRule="auto" w:line="240" w:before="31" w:after="62"/>
        <w:ind w:hanging="0" w:left="851" w:right="0"/>
        <w:jc w:val="both"/>
        <w:rPr>
          <w:rFonts w:ascii="Arial" w:hAnsi="Arial"/>
          <w:b w:val="false"/>
          <w:bCs w:val="false"/>
          <w:i w:val="false"/>
          <w:i w:val="false"/>
          <w:caps w:val="false"/>
          <w:smallCaps w:val="false"/>
          <w:color w:val="000000"/>
          <w:spacing w:val="0"/>
          <w:sz w:val="19"/>
          <w:szCs w:val="19"/>
          <w:shd w:fill="auto" w:val="clear"/>
        </w:rPr>
      </w:pPr>
      <w:r>
        <w:rPr>
          <w:b w:val="false"/>
          <w:bCs w:val="false"/>
          <w:i w:val="false"/>
          <w:caps w:val="false"/>
          <w:smallCaps w:val="false"/>
          <w:color w:val="000000"/>
          <w:spacing w:val="0"/>
          <w:sz w:val="19"/>
          <w:szCs w:val="19"/>
          <w:shd w:fill="auto" w:val="clear"/>
        </w:rPr>
        <w:t>- Compensatória de 10% sobre o valor total do contrato, no caso de inexecução parcial do objeto.</w:t>
      </w:r>
    </w:p>
    <w:p>
      <w:pPr>
        <w:pStyle w:val="BodyText"/>
        <w:widowControl/>
        <w:numPr>
          <w:ilvl w:val="0"/>
          <w:numId w:val="0"/>
        </w:numPr>
        <w:tabs>
          <w:tab w:val="clear" w:pos="709"/>
          <w:tab w:val="left" w:pos="230" w:leader="none"/>
        </w:tabs>
        <w:spacing w:lineRule="auto" w:line="240" w:before="31" w:after="62"/>
        <w:ind w:hanging="0" w:left="851" w:right="0"/>
        <w:jc w:val="both"/>
        <w:rPr>
          <w:rFonts w:ascii="Arial" w:hAnsi="Arial"/>
          <w:b w:val="false"/>
          <w:bCs w:val="false"/>
          <w:i w:val="false"/>
          <w:i w:val="false"/>
          <w:caps w:val="false"/>
          <w:smallCaps w:val="false"/>
          <w:color w:val="000000"/>
          <w:spacing w:val="0"/>
          <w:sz w:val="19"/>
          <w:szCs w:val="19"/>
          <w:shd w:fill="auto" w:val="clear"/>
        </w:rPr>
      </w:pPr>
      <w:r>
        <w:rPr>
          <w:b w:val="false"/>
          <w:bCs w:val="false"/>
          <w:i w:val="false"/>
          <w:caps w:val="false"/>
          <w:smallCaps w:val="false"/>
          <w:color w:val="000000"/>
          <w:spacing w:val="0"/>
          <w:sz w:val="19"/>
          <w:szCs w:val="19"/>
          <w:shd w:fill="auto" w:val="clear"/>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pPr>
        <w:pStyle w:val="BodyText"/>
        <w:widowControl/>
        <w:numPr>
          <w:ilvl w:val="4"/>
          <w:numId w:val="7"/>
        </w:numPr>
        <w:spacing w:lineRule="auto" w:line="240" w:before="31" w:after="62"/>
        <w:ind w:hanging="0" w:left="737" w:right="0"/>
        <w:jc w:val="both"/>
        <w:rPr>
          <w:rFonts w:ascii="Arial" w:hAnsi="Arial"/>
          <w:b/>
          <w:bCs/>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Impedimento de licitar e contratar:</w:t>
      </w:r>
    </w:p>
    <w:p>
      <w:pPr>
        <w:pStyle w:val="BodyText"/>
        <w:widowControl/>
        <w:numPr>
          <w:ilvl w:val="0"/>
          <w:numId w:val="0"/>
        </w:numPr>
        <w:spacing w:lineRule="auto" w:line="240" w:before="31" w:after="62"/>
        <w:ind w:hanging="0" w:left="907" w:right="0"/>
        <w:jc w:val="both"/>
        <w:rPr>
          <w:rFonts w:ascii="Arial" w:hAnsi="Arial"/>
          <w:b w:val="false"/>
          <w:bCs w:val="false"/>
          <w:i w:val="false"/>
          <w:i w:val="false"/>
          <w:caps w:val="false"/>
          <w:smallCaps w:val="false"/>
          <w:color w:val="000000"/>
          <w:spacing w:val="0"/>
          <w:sz w:val="19"/>
          <w:szCs w:val="19"/>
          <w:shd w:fill="auto" w:val="clear"/>
        </w:rPr>
      </w:pPr>
      <w:r>
        <w:rPr>
          <w:rFonts w:cs="ArialMT"/>
          <w:b w:val="false"/>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pPr>
        <w:pStyle w:val="BodyText"/>
        <w:widowControl/>
        <w:numPr>
          <w:ilvl w:val="4"/>
          <w:numId w:val="7"/>
        </w:numPr>
        <w:spacing w:lineRule="auto" w:line="240" w:before="31" w:after="62"/>
        <w:ind w:hanging="0" w:left="680" w:right="0"/>
        <w:jc w:val="both"/>
        <w:rPr>
          <w:rFonts w:ascii="Arial" w:hAnsi="Arial"/>
          <w:b/>
          <w:bCs/>
          <w:i w:val="false"/>
          <w:i w:val="false"/>
          <w:caps w:val="false"/>
          <w:smallCaps w:val="false"/>
          <w:color w:val="000000"/>
          <w:spacing w:val="0"/>
          <w:sz w:val="19"/>
          <w:szCs w:val="19"/>
          <w:shd w:fill="auto" w:val="clear"/>
        </w:rPr>
      </w:pPr>
      <w:r>
        <w:rPr>
          <w:b/>
          <w:bCs/>
          <w:i w:val="false"/>
          <w:caps w:val="false"/>
          <w:smallCaps w:val="false"/>
          <w:color w:val="000000"/>
          <w:spacing w:val="0"/>
          <w:sz w:val="19"/>
          <w:szCs w:val="19"/>
          <w:shd w:fill="auto" w:val="clear"/>
        </w:rPr>
        <w:t>Declaração de inidoneidade para licitar ou contratar:</w:t>
      </w:r>
    </w:p>
    <w:p>
      <w:pPr>
        <w:pStyle w:val="BodyText"/>
        <w:widowControl/>
        <w:numPr>
          <w:ilvl w:val="0"/>
          <w:numId w:val="0"/>
        </w:numPr>
        <w:spacing w:lineRule="auto" w:line="240" w:before="31" w:after="62"/>
        <w:ind w:hanging="0" w:left="907" w:right="0"/>
        <w:jc w:val="both"/>
        <w:rPr>
          <w:rFonts w:ascii="Arial" w:hAnsi="Arial"/>
          <w:color w:val="000000"/>
          <w:sz w:val="19"/>
          <w:szCs w:val="19"/>
          <w:shd w:fill="auto" w:val="clear"/>
        </w:rPr>
      </w:pPr>
      <w:r>
        <w:rPr>
          <w:rFonts w:cs="ArialMT"/>
          <w:b/>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 xml:space="preserve">– </w:t>
      </w:r>
      <w:r>
        <w:rPr>
          <w:rFonts w:cs="ArialMT"/>
          <w:b w:val="false"/>
          <w:bCs/>
          <w:i w:val="false"/>
          <w:caps w:val="false"/>
          <w:smallCaps w:val="false"/>
          <w:color w:val="000000"/>
          <w:spacing w:val="0"/>
          <w:sz w:val="19"/>
          <w:szCs w:val="19"/>
          <w:shd w:fill="auto" w:val="clear"/>
        </w:rPr>
        <w:t>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disposto no item “</w:t>
      </w:r>
      <w:r>
        <w:rPr>
          <w:rFonts w:cs="ArialMT"/>
          <w:b w:val="false"/>
          <w:bCs/>
          <w:i w:val="false"/>
          <w:caps w:val="false"/>
          <w:smallCaps w:val="false"/>
          <w:color w:val="FF0000"/>
          <w:spacing w:val="0"/>
          <w:sz w:val="19"/>
          <w:szCs w:val="19"/>
          <w:shd w:fill="auto" w:val="clear"/>
        </w:rPr>
        <w:t>4.5.2, inciso III</w:t>
      </w:r>
      <w:r>
        <w:rPr>
          <w:rFonts w:cs="ArialMT"/>
          <w:b w:val="false"/>
          <w:bCs/>
          <w:i w:val="false"/>
          <w:caps w:val="false"/>
          <w:smallCaps w:val="false"/>
          <w:color w:val="000000"/>
          <w:spacing w:val="0"/>
          <w:sz w:val="19"/>
          <w:szCs w:val="19"/>
          <w:shd w:fill="auto" w:val="clear"/>
        </w:rPr>
        <w:t>” e impedirá o responsável de licitar ou contratar no âmbito da Administração Pública direta e indireta de todos os entes federativos, pelo prazo mínimo de 3 (três) anos e máximo de 6 (seis) anos</w:t>
      </w:r>
      <w:r>
        <w:rPr>
          <w:b w:val="false"/>
          <w:bCs w:val="false"/>
          <w:i w:val="false"/>
          <w:caps w:val="false"/>
          <w:smallCaps w:val="false"/>
          <w:color w:val="000000"/>
          <w:spacing w:val="0"/>
          <w:sz w:val="19"/>
          <w:szCs w:val="19"/>
          <w:shd w:fill="auto" w:val="clear"/>
        </w:rPr>
        <w:t xml:space="preserve">. </w:t>
      </w:r>
    </w:p>
    <w:p>
      <w:pPr>
        <w:pStyle w:val="BodyText"/>
        <w:widowControl/>
        <w:numPr>
          <w:ilvl w:val="2"/>
          <w:numId w:val="7"/>
        </w:numPr>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 xml:space="preserve">As sanções previstas nos “incisos I, III e IV do </w:t>
      </w:r>
      <w:r>
        <w:rPr>
          <w:rFonts w:cs="ArialMT"/>
          <w:b w:val="false"/>
          <w:bCs/>
          <w:i w:val="false"/>
          <w:caps w:val="false"/>
          <w:smallCaps w:val="false"/>
          <w:color w:val="000000"/>
          <w:spacing w:val="0"/>
          <w:sz w:val="19"/>
          <w:szCs w:val="19"/>
          <w:shd w:fill="auto" w:val="clear"/>
        </w:rPr>
        <w:t>caput do art. 156 da Lei n.º 14.133/2021,</w:t>
      </w:r>
      <w:r>
        <w:rPr>
          <w:b w:val="false"/>
          <w:i w:val="false"/>
          <w:caps w:val="false"/>
          <w:smallCaps w:val="false"/>
          <w:color w:val="000000"/>
          <w:spacing w:val="0"/>
          <w:sz w:val="19"/>
          <w:szCs w:val="19"/>
          <w:shd w:fill="auto" w:val="clear"/>
        </w:rPr>
        <w:t xml:space="preserve"> poderão ser aplicadas cumulativamente com as multas previstas no inciso II do mesmo artigo.</w:t>
      </w:r>
    </w:p>
    <w:p>
      <w:pPr>
        <w:pStyle w:val="BodyText"/>
        <w:widowControl/>
        <w:numPr>
          <w:ilvl w:val="2"/>
          <w:numId w:val="7"/>
        </w:numPr>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BodyText"/>
        <w:widowControl/>
        <w:numPr>
          <w:ilvl w:val="2"/>
          <w:numId w:val="7"/>
        </w:numPr>
        <w:spacing w:lineRule="auto" w:line="240" w:before="31" w:after="62"/>
        <w:ind w:hanging="0" w:left="0" w:right="0"/>
        <w:jc w:val="both"/>
        <w:rPr>
          <w:rFonts w:ascii="Arial" w:hAnsi="Arial"/>
          <w:b w:val="false"/>
          <w:i w:val="false"/>
          <w:i w:val="false"/>
          <w:caps w:val="false"/>
          <w:smallCaps w:val="false"/>
          <w:color w:val="000000"/>
          <w:spacing w:val="0"/>
          <w:sz w:val="19"/>
          <w:szCs w:val="19"/>
          <w:shd w:fill="auto" w:val="clear"/>
        </w:rPr>
      </w:pPr>
      <w:r>
        <w:rPr>
          <w:b w:val="false"/>
          <w:i w:val="false"/>
          <w:caps w:val="false"/>
          <w:smallCaps w:val="false"/>
          <w:color w:val="000000"/>
          <w:spacing w:val="0"/>
          <w:sz w:val="19"/>
          <w:szCs w:val="19"/>
          <w:shd w:fill="auto" w:val="clear"/>
        </w:rPr>
        <w:t xml:space="preserve"> </w:t>
      </w:r>
      <w:r>
        <w:rPr>
          <w:b w:val="false"/>
          <w:i w:val="false"/>
          <w:caps w:val="false"/>
          <w:smallCaps w:val="false"/>
          <w:color w:val="000000"/>
          <w:spacing w:val="0"/>
          <w:sz w:val="19"/>
          <w:szCs w:val="19"/>
          <w:shd w:fill="auto" w:val="clear"/>
        </w:rPr>
        <w:t>A aplicação das sanções previstas neste item não exclui, em hipótese alguma, a obrigação de reparação integral do dano causado à Administração Pública.</w:t>
      </w:r>
    </w:p>
    <w:p>
      <w:pPr>
        <w:pStyle w:val="BodyText"/>
        <w:numPr>
          <w:ilvl w:val="1"/>
          <w:numId w:val="7"/>
        </w:numPr>
        <w:overflowPunct w:val="false"/>
        <w:spacing w:lineRule="auto" w:line="240" w:before="31" w:after="62"/>
        <w:ind w:hanging="0" w:left="0" w:right="0"/>
        <w:jc w:val="both"/>
        <w:textAlignment w:val="baseline"/>
        <w:rPr>
          <w:rFonts w:ascii="Arial" w:hAnsi="Arial" w:eastAsia="MS Mincho;ＭＳ 明朝" w:cs="Verdana"/>
          <w:b w:val="false"/>
          <w:bCs w:val="false"/>
          <w:color w:val="000000"/>
          <w:sz w:val="19"/>
          <w:szCs w:val="19"/>
          <w:u w:val="none"/>
          <w:shd w:fill="auto" w:val="clear"/>
          <w:lang w:val="pt-BR" w:bidi="ar-SA"/>
        </w:rPr>
      </w:pPr>
      <w:r>
        <w:rPr>
          <w:rFonts w:eastAsia="MS Mincho;ＭＳ 明朝" w:cs="Verdana"/>
          <w:b w:val="false"/>
          <w:bCs w:val="false"/>
          <w:color w:val="000000"/>
          <w:sz w:val="19"/>
          <w:szCs w:val="19"/>
          <w:u w:val="none"/>
          <w:shd w:fill="auto" w:val="clear"/>
          <w:lang w:val="pt-BR" w:bidi="ar-SA"/>
        </w:rPr>
        <w:t>DA EXTINÇÃO CONTRATUAL</w:t>
      </w:r>
    </w:p>
    <w:p>
      <w:pPr>
        <w:pStyle w:val="BodyText"/>
        <w:numPr>
          <w:ilvl w:val="2"/>
          <w:numId w:val="7"/>
        </w:numPr>
        <w:overflowPunct w:val="false"/>
        <w:spacing w:lineRule="auto" w:line="240" w:before="31" w:after="62"/>
        <w:ind w:hanging="0" w:left="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i w:val="false"/>
          <w:caps w:val="false"/>
          <w:smallCaps w:val="false"/>
          <w:color w:val="000000"/>
          <w:spacing w:val="0"/>
          <w:sz w:val="19"/>
          <w:szCs w:val="19"/>
          <w:shd w:fill="auto" w:val="clear"/>
          <w:lang w:val="pt-BR" w:bidi="ar-SA"/>
        </w:rPr>
        <w:t>Constituirão motivos para extinção do contrato</w:t>
      </w:r>
      <w:r>
        <w:rPr>
          <w:rFonts w:eastAsia="MS Mincho;ＭＳ 明朝" w:cs="Verdana"/>
          <w:b w:val="false"/>
          <w:bCs w:val="false"/>
          <w:color w:val="000000"/>
          <w:sz w:val="19"/>
          <w:szCs w:val="19"/>
          <w:shd w:fill="auto" w:val="clear"/>
          <w:lang w:val="pt-BR" w:bidi="ar-SA"/>
        </w:rPr>
        <w:t>, a qual deverá ser formalmente motivada nos autos do processo, assegurados o contraditório e a ampla defesa, as seguintes situações:</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Não cumprimento ou cumprimento irregular de normas editalícias ou de cláusulas contratuais, de especificações, de projetos ou de prazos;</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Desatendimento das determinações regulares emitidas pela autoridade designada para acompanhar e fiscalizar sua execução ou por autoridade superior;</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Alteração social ou modificação da finalidade ou da estrutura da empresa que restrinja sua capacidade de concluir o contrato;</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Decretação de falência ou de insolvência civil, dissolução da sociedade ou falecimento do contratado;</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Caso fortuito ou força maior, regularmente comprovados, impeditivos da execução do contrato;</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Atraso na obtenção da licença ambiental, ou impossibilidade de obtê-la, ou alteração substancial do anteprojeto que dela resultar, ainda que obtida no prazo previsto;</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Atraso na liberação das áreas sujeitas a desapropriação, a desocupação ou a servidão administrativa, ou impossibilidade de liberação dessas áreas;</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Razões de interesse público, justificadas pela autoridade máxima do órgão ou da entidade contratante;</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Não cumprimento das obrigações relativas à reserva de cargos prevista em lei, bem como em outras normas específicas, para pessoa com deficiência, para reabilitado da Previdência Social ou para aprendiz.</w:t>
      </w:r>
    </w:p>
    <w:p>
      <w:pPr>
        <w:pStyle w:val="BodyText"/>
        <w:numPr>
          <w:ilvl w:val="2"/>
          <w:numId w:val="7"/>
        </w:numPr>
        <w:overflowPunct w:val="false"/>
        <w:spacing w:lineRule="auto" w:line="240" w:before="31" w:after="62"/>
        <w:ind w:hanging="0" w:left="0" w:right="0"/>
        <w:jc w:val="both"/>
        <w:textAlignment w:val="baseline"/>
        <w:rPr/>
      </w:pPr>
      <w:r>
        <w:rPr>
          <w:rFonts w:eastAsia="MS Mincho;ＭＳ 明朝" w:cs="Verdana"/>
          <w:b w:val="false"/>
          <w:bCs w:val="false"/>
          <w:color w:val="000000"/>
          <w:sz w:val="19"/>
          <w:szCs w:val="19"/>
          <w:shd w:fill="auto" w:val="clear"/>
          <w:lang w:val="pt-BR" w:bidi="ar-SA"/>
        </w:rPr>
        <w:t xml:space="preserve">A análise dos critérios para verificação de ocorrência dos motivos para extinção contratual previstos observarão o </w:t>
      </w:r>
      <w:r>
        <w:rPr>
          <w:rFonts w:eastAsia="MS Mincho;ＭＳ 明朝" w:cs="Arial-ItalicMT"/>
          <w:b w:val="false"/>
          <w:bCs w:val="false"/>
          <w:iCs/>
          <w:color w:val="000000"/>
          <w:sz w:val="19"/>
          <w:szCs w:val="19"/>
          <w:shd w:fill="auto" w:val="clear"/>
          <w:lang w:val="pt-BR" w:bidi="ar-SA"/>
        </w:rPr>
        <w:t>Decreto Municipal n.º 31/2023</w:t>
      </w:r>
      <w:r>
        <w:rPr>
          <w:rFonts w:eastAsia="MS Mincho;ＭＳ 明朝" w:cs="Verdana"/>
          <w:b w:val="false"/>
          <w:bCs w:val="false"/>
          <w:iCs/>
          <w:color w:val="000000"/>
          <w:sz w:val="19"/>
          <w:szCs w:val="19"/>
          <w:shd w:fill="auto" w:val="clear"/>
          <w:lang w:val="pt-BR" w:bidi="ar-SA"/>
        </w:rPr>
        <w:t>, bem como as disposi</w:t>
      </w:r>
      <w:r>
        <w:rPr>
          <w:rFonts w:eastAsia="MS Mincho;ＭＳ 明朝" w:cs="Verdana"/>
          <w:b w:val="false"/>
          <w:bCs w:val="false"/>
          <w:color w:val="000000"/>
          <w:sz w:val="19"/>
          <w:szCs w:val="19"/>
          <w:shd w:fill="auto" w:val="clear"/>
          <w:lang w:val="pt-BR" w:bidi="ar-SA"/>
        </w:rPr>
        <w:t>ções contidas no Decreto Municipal nº 141/2020.</w:t>
      </w:r>
    </w:p>
    <w:p>
      <w:pPr>
        <w:pStyle w:val="BodyText"/>
        <w:numPr>
          <w:ilvl w:val="2"/>
          <w:numId w:val="7"/>
        </w:numPr>
        <w:overflowPunct w:val="false"/>
        <w:spacing w:lineRule="auto" w:line="240" w:before="31" w:after="62"/>
        <w:ind w:hanging="0" w:left="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bCs/>
          <w:color w:val="000000"/>
          <w:sz w:val="19"/>
          <w:szCs w:val="19"/>
          <w:shd w:fill="auto" w:val="clear"/>
          <w:lang w:val="pt-BR" w:bidi="ar-SA"/>
        </w:rPr>
        <w:t>O contratado</w:t>
      </w:r>
      <w:r>
        <w:rPr>
          <w:rFonts w:eastAsia="MS Mincho;ＭＳ 明朝" w:cs="Verdana"/>
          <w:b w:val="false"/>
          <w:bCs w:val="false"/>
          <w:color w:val="000000"/>
          <w:sz w:val="19"/>
          <w:szCs w:val="19"/>
          <w:shd w:fill="auto" w:val="clear"/>
          <w:lang w:val="pt-BR" w:bidi="ar-SA"/>
        </w:rPr>
        <w:t xml:space="preserve"> terá direito à extinção do contrato nas seguintes hipóteses:</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Supressão, por parte da Administração, de obras, serviços ou compras que acarrete modificação do valor inicial do contrato além do limite permitido no art. 125 desta Lei;</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Suspensão de execução do contrato, por ordem escrita da Administração, por prazo superior a 3 (três) meses;</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Repetidas suspensões que totalizem 90 (noventa) dias úteis, independentemente do pagamento obrigatório de indenização pelas sucessivas e contratualmente imprevistas desmobilizações e mobilizações e outras previstas;</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Atraso superior a 2 (dois) meses, contado da emissão da nota fiscal, dos pagamentos ou de parcelas de pagamentos devidos pela Administração por despesas de obras, serviços ou fornecimentos;</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BodyText"/>
        <w:numPr>
          <w:ilvl w:val="2"/>
          <w:numId w:val="7"/>
        </w:numPr>
        <w:overflowPunct w:val="false"/>
        <w:spacing w:lineRule="auto" w:line="240" w:before="31" w:after="62"/>
        <w:ind w:hanging="0" w:left="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pPr>
        <w:pStyle w:val="BodyText"/>
        <w:numPr>
          <w:ilvl w:val="2"/>
          <w:numId w:val="7"/>
        </w:numPr>
        <w:overflowPunct w:val="false"/>
        <w:spacing w:lineRule="auto" w:line="240" w:before="31" w:after="62"/>
        <w:ind w:hanging="0" w:left="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A extinção do Contrato, quando motivada por qualquer dos itens acima relacionados, implicará a apuração de perdas e danos, sem embargos da aplicação das demais penalidades legais cabíveis.</w:t>
      </w:r>
    </w:p>
    <w:p>
      <w:pPr>
        <w:pStyle w:val="BodyText"/>
        <w:numPr>
          <w:ilvl w:val="2"/>
          <w:numId w:val="7"/>
        </w:numPr>
        <w:overflowPunct w:val="false"/>
        <w:spacing w:lineRule="auto" w:line="240" w:before="31" w:after="62"/>
        <w:ind w:hanging="0" w:left="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Declarada a extinção do Contrato, que vigorará a partir da data da sua declaração, a CONTRATADA se obriga, expressamente, como ora o faz, a entregar os serviços já concluídos, não criando dificuldades de qualquer natureza.</w:t>
      </w:r>
    </w:p>
    <w:p>
      <w:pPr>
        <w:pStyle w:val="BodyText"/>
        <w:numPr>
          <w:ilvl w:val="1"/>
          <w:numId w:val="7"/>
        </w:numPr>
        <w:overflowPunct w:val="false"/>
        <w:spacing w:lineRule="auto" w:line="240" w:before="31" w:after="62"/>
        <w:ind w:hanging="0" w:left="0" w:right="0"/>
        <w:jc w:val="both"/>
        <w:textAlignment w:val="baseline"/>
        <w:rPr>
          <w:rFonts w:ascii="Arial" w:hAnsi="Arial" w:eastAsia="MS Mincho;ＭＳ 明朝" w:cs="Arial-ItalicMT"/>
          <w:b w:val="false"/>
          <w:bCs w:val="false"/>
          <w:iCs/>
          <w:color w:val="000000"/>
          <w:sz w:val="19"/>
          <w:szCs w:val="19"/>
          <w:shd w:fill="auto" w:val="clear"/>
          <w:lang w:val="pt-BR" w:bidi="ar-SA"/>
        </w:rPr>
      </w:pPr>
      <w:r>
        <w:rPr>
          <w:rFonts w:eastAsia="MS Mincho;ＭＳ 明朝" w:cs="Arial-ItalicMT"/>
          <w:b w:val="false"/>
          <w:bCs w:val="false"/>
          <w:iCs/>
          <w:color w:val="000000"/>
          <w:sz w:val="19"/>
          <w:szCs w:val="19"/>
          <w:shd w:fill="auto" w:val="clear"/>
          <w:lang w:val="pt-BR" w:bidi="ar-SA"/>
        </w:rPr>
        <w:t>Tendo em vista que o certame não se enquadra nos casos obrigatórios de elaboração de matriz de alocação de riscos entre o contratante e o contratado, conforme §3º, do artigo 22 da Lei Federal nº 14.133/2021, deverá ser observada a análise simplificada dos riscos da contratação, conforme documento intitulado “Mapa de Riscos”, constante do procedimento.</w:t>
      </w:r>
    </w:p>
    <w:p>
      <w:pPr>
        <w:pStyle w:val="Normal"/>
        <w:numPr>
          <w:ilvl w:val="0"/>
          <w:numId w:val="7"/>
        </w:numPr>
        <w:overflowPunct w:val="false"/>
        <w:spacing w:lineRule="auto" w:line="240" w:before="31" w:after="62"/>
        <w:ind w:hanging="0" w:left="0" w:right="0"/>
        <w:jc w:val="both"/>
        <w:textAlignment w:val="baseline"/>
        <w:rPr>
          <w:rFonts w:ascii="Arial" w:hAnsi="Arial" w:eastAsia="MS Mincho;ＭＳ 明朝" w:cs="Verdana"/>
          <w:b/>
          <w:color w:val="000000"/>
          <w:sz w:val="19"/>
          <w:szCs w:val="19"/>
          <w:u w:val="single"/>
          <w:lang w:eastAsia="pt-BR"/>
        </w:rPr>
      </w:pPr>
      <w:r>
        <w:rPr>
          <w:rFonts w:eastAsia="MS Mincho;ＭＳ 明朝" w:cs="Verdana" w:ascii="Arial" w:hAnsi="Arial"/>
          <w:b/>
          <w:color w:val="000000"/>
          <w:sz w:val="19"/>
          <w:szCs w:val="19"/>
          <w:u w:val="single"/>
          <w:lang w:eastAsia="pt-BR"/>
        </w:rPr>
        <w:t>DO VALOR</w:t>
      </w:r>
    </w:p>
    <w:p>
      <w:pPr>
        <w:pStyle w:val="Normal"/>
        <w:numPr>
          <w:ilvl w:val="1"/>
          <w:numId w:val="7"/>
        </w:numPr>
        <w:overflowPunct w:val="false"/>
        <w:spacing w:lineRule="auto" w:line="240" w:before="31" w:after="62"/>
        <w:ind w:hanging="0" w:left="0" w:right="0"/>
        <w:jc w:val="both"/>
        <w:textAlignment w:val="baseline"/>
        <w:rPr>
          <w:rFonts w:ascii="Arial" w:hAnsi="Arial"/>
          <w:color w:val="000000"/>
          <w:sz w:val="19"/>
          <w:szCs w:val="19"/>
        </w:rPr>
      </w:pPr>
      <w:r>
        <w:rPr>
          <w:rFonts w:cs="Verdana" w:ascii="Arial" w:hAnsi="Arial"/>
          <w:color w:val="000000"/>
          <w:sz w:val="19"/>
          <w:szCs w:val="19"/>
        </w:rPr>
        <w:t xml:space="preserve">O valor a ser pago para a execução do objeto é de </w:t>
      </w:r>
      <w:r>
        <w:rPr>
          <w:rFonts w:cs="Verdana" w:ascii="Arial" w:hAnsi="Arial"/>
          <w:b/>
          <w:bCs/>
          <w:color w:val="000000"/>
          <w:sz w:val="19"/>
          <w:szCs w:val="19"/>
        </w:rPr>
        <w:t>R$ &lt;Valor_Contratado&gt;.</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No valor acima estão incluídos todas as despesas ordinárias diretas e indiretas decorrentes da execução contratual, inclusive tributos e/ou impostos, encargos trabalhistas, previdenciários, fiscais, comerciais, inclusive no que diz respeito às normas de segurança no trabalho, taxa de administração, frete, seguro e outros necessários ao cumprimento integral do objeto da contratação.</w:t>
      </w:r>
    </w:p>
    <w:p>
      <w:pPr>
        <w:pStyle w:val="Normal"/>
        <w:numPr>
          <w:ilvl w:val="1"/>
          <w:numId w:val="7"/>
        </w:numPr>
        <w:overflowPunct w:val="false"/>
        <w:spacing w:lineRule="auto" w:line="240" w:before="31" w:after="62"/>
        <w:ind w:hanging="0" w:left="0" w:right="0"/>
        <w:jc w:val="both"/>
        <w:textAlignment w:val="baseline"/>
        <w:rPr>
          <w:rFonts w:ascii="Arial" w:hAnsi="Arial" w:cs="ArialMT"/>
          <w:color w:val="000000"/>
          <w:sz w:val="19"/>
          <w:szCs w:val="19"/>
        </w:rPr>
      </w:pPr>
      <w:r>
        <w:rPr>
          <w:rFonts w:cs="ArialMT" w:ascii="Arial" w:hAnsi="Arial"/>
          <w:color w:val="000000"/>
          <w:sz w:val="19"/>
          <w:szCs w:val="19"/>
        </w:rPr>
        <w:t>Durante a vigência do Contrato, os preços serão fixos e irreajustáveis, exceto nas hipóteses, devidamente comprovadas, de ocorrência de situação prevista nas alíneas “c” e “d” do inciso II do art.124 da da Lei Federal nº 14.133/2021 ou de redução dos preços praticados no mercado.</w:t>
      </w:r>
    </w:p>
    <w:p>
      <w:pPr>
        <w:pStyle w:val="Normal"/>
        <w:numPr>
          <w:ilvl w:val="0"/>
          <w:numId w:val="0"/>
        </w:numPr>
        <w:overflowPunct w:val="false"/>
        <w:spacing w:lineRule="auto" w:line="240" w:before="31" w:after="62"/>
        <w:ind w:hanging="0" w:left="0" w:right="0"/>
        <w:jc w:val="both"/>
        <w:textAlignment w:val="baseline"/>
        <w:rPr>
          <w:rFonts w:ascii="Arial" w:hAnsi="Arial" w:cs="ArialMT"/>
          <w:b/>
          <w:bCs/>
          <w:color w:val="000000"/>
          <w:sz w:val="19"/>
          <w:szCs w:val="19"/>
          <w:shd w:fill="auto" w:val="clear"/>
        </w:rPr>
      </w:pPr>
      <w:r>
        <w:rPr>
          <w:rFonts w:cs="ArialMT" w:ascii="Arial" w:hAnsi="Arial"/>
          <w:b/>
          <w:bCs/>
          <w:color w:val="000000"/>
          <w:sz w:val="19"/>
          <w:szCs w:val="19"/>
          <w:shd w:fill="auto" w:val="clear"/>
        </w:rPr>
        <w:t>5.3.1.</w:t>
      </w:r>
      <w:r>
        <w:rPr>
          <w:rFonts w:cs="ArialMT" w:ascii="Arial" w:hAnsi="Arial"/>
          <w:b w:val="false"/>
          <w:bCs w:val="false"/>
          <w:color w:val="000000"/>
          <w:sz w:val="19"/>
          <w:szCs w:val="19"/>
          <w:shd w:fill="auto" w:val="clear"/>
        </w:rPr>
        <w:t xml:space="preserve"> A Administração responderá ao pedido de restabelecimento do equilíbrio econômico-financeiro em até 15 dias da apresentação do protocolo pelo Contratado.</w:t>
      </w:r>
    </w:p>
    <w:p>
      <w:pPr>
        <w:pStyle w:val="BodyText"/>
        <w:numPr>
          <w:ilvl w:val="0"/>
          <w:numId w:val="0"/>
        </w:numPr>
        <w:overflowPunct w:val="false"/>
        <w:spacing w:lineRule="auto" w:line="240" w:before="31" w:after="62"/>
        <w:ind w:hanging="0" w:left="0" w:right="0"/>
        <w:jc w:val="both"/>
        <w:textAlignment w:val="baseline"/>
        <w:rPr>
          <w:color w:val="000000"/>
          <w:shd w:fill="auto" w:val="clear"/>
        </w:rPr>
      </w:pPr>
      <w:r>
        <w:rPr>
          <w:rFonts w:eastAsia="MS Mincho;ＭＳ 明朝" w:cs="Verdana"/>
          <w:b/>
          <w:bCs/>
          <w:color w:val="000000"/>
          <w:sz w:val="19"/>
          <w:szCs w:val="19"/>
          <w:shd w:fill="auto" w:val="clear"/>
          <w:lang w:val="pt-BR" w:bidi="ar-SA"/>
        </w:rPr>
        <w:t xml:space="preserve">5.3.2. </w:t>
      </w:r>
      <w:r>
        <w:rPr>
          <w:rFonts w:eastAsia="MS Mincho;ＭＳ 明朝" w:cs="Verdana"/>
          <w:b w:val="false"/>
          <w:bCs w:val="false"/>
          <w:color w:val="000000"/>
          <w:sz w:val="19"/>
          <w:szCs w:val="19"/>
          <w:shd w:fill="auto" w:val="clear"/>
          <w:lang w:val="pt-BR" w:bidi="ar-SA"/>
        </w:rPr>
        <w:t>O presente contrato não envolve prestação de garantia contratual.</w:t>
      </w:r>
    </w:p>
    <w:p>
      <w:pPr>
        <w:pStyle w:val="Normal"/>
        <w:numPr>
          <w:ilvl w:val="0"/>
          <w:numId w:val="7"/>
        </w:numPr>
        <w:overflowPunct w:val="false"/>
        <w:spacing w:lineRule="auto" w:line="240" w:before="31" w:after="62"/>
        <w:ind w:hanging="0" w:left="0" w:right="0"/>
        <w:jc w:val="both"/>
        <w:textAlignment w:val="baseline"/>
        <w:rPr>
          <w:rFonts w:ascii="Arial" w:hAnsi="Arial" w:cs="Verdana"/>
          <w:b/>
          <w:color w:val="000000"/>
          <w:sz w:val="19"/>
          <w:szCs w:val="19"/>
          <w:u w:val="single"/>
        </w:rPr>
      </w:pPr>
      <w:r>
        <w:rPr>
          <w:rFonts w:cs="Verdana" w:ascii="Arial" w:hAnsi="Arial"/>
          <w:b/>
          <w:color w:val="000000"/>
          <w:sz w:val="19"/>
          <w:szCs w:val="19"/>
          <w:u w:val="single"/>
        </w:rPr>
        <w:t>DA VIGÊNCIA E EXECUÇÃO</w:t>
      </w:r>
    </w:p>
    <w:p>
      <w:pPr>
        <w:pStyle w:val="Normal"/>
        <w:numPr>
          <w:ilvl w:val="1"/>
          <w:numId w:val="7"/>
        </w:numPr>
        <w:overflowPunct w:val="false"/>
        <w:spacing w:lineRule="auto" w:line="240" w:before="31" w:after="62"/>
        <w:ind w:hanging="0" w:left="0" w:right="0"/>
        <w:jc w:val="both"/>
        <w:textAlignment w:val="baseline"/>
        <w:rPr>
          <w:rFonts w:ascii="Arial" w:hAnsi="Arial"/>
          <w:color w:val="000000"/>
          <w:sz w:val="19"/>
          <w:szCs w:val="19"/>
        </w:rPr>
      </w:pPr>
      <w:r>
        <w:rPr>
          <w:rFonts w:cs="Verdana" w:ascii="Arial" w:hAnsi="Arial"/>
          <w:color w:val="000000"/>
          <w:sz w:val="19"/>
          <w:szCs w:val="19"/>
        </w:rPr>
        <w:t xml:space="preserve">O presente contrato terá prazo de </w:t>
      </w:r>
      <w:r>
        <w:rPr>
          <w:rFonts w:cs="Verdana" w:ascii="Arial" w:hAnsi="Arial"/>
          <w:b/>
          <w:bCs/>
          <w:color w:val="000000"/>
          <w:sz w:val="19"/>
          <w:szCs w:val="19"/>
        </w:rPr>
        <w:t>execução</w:t>
      </w:r>
      <w:r>
        <w:rPr>
          <w:rFonts w:cs="Verdana" w:ascii="Arial" w:hAnsi="Arial"/>
          <w:color w:val="000000"/>
          <w:sz w:val="19"/>
          <w:szCs w:val="19"/>
        </w:rPr>
        <w:t xml:space="preserve"> </w:t>
      </w:r>
      <w:r>
        <w:rPr>
          <w:rFonts w:cs="Verdana" w:ascii="Arial" w:hAnsi="Arial"/>
          <w:b/>
          <w:color w:val="000000"/>
          <w:sz w:val="19"/>
          <w:szCs w:val="19"/>
        </w:rPr>
        <w:t xml:space="preserve">até </w:t>
      </w:r>
      <w:r>
        <w:rPr>
          <w:rFonts w:eastAsia="Times New Roman" w:cs="Verdana" w:ascii="Arial" w:hAnsi="Arial"/>
          <w:b/>
          <w:color w:val="000000"/>
          <w:sz w:val="19"/>
          <w:szCs w:val="19"/>
          <w:lang w:val="pt-BR" w:eastAsia="zh-CN" w:bidi="ar-SA"/>
        </w:rPr>
        <w:t>xx/xx/xx</w:t>
      </w:r>
      <w:r>
        <w:rPr>
          <w:rFonts w:cs="Verdana" w:ascii="Arial" w:hAnsi="Arial"/>
          <w:color w:val="000000"/>
          <w:sz w:val="19"/>
          <w:szCs w:val="19"/>
        </w:rPr>
        <w:t>, com início na data de assinatura deste contrato.</w:t>
      </w:r>
    </w:p>
    <w:p>
      <w:pPr>
        <w:pStyle w:val="Normal"/>
        <w:numPr>
          <w:ilvl w:val="1"/>
          <w:numId w:val="7"/>
        </w:numPr>
        <w:overflowPunct w:val="false"/>
        <w:spacing w:lineRule="auto" w:line="240" w:before="31" w:after="62"/>
        <w:ind w:hanging="0" w:left="0" w:right="0"/>
        <w:jc w:val="both"/>
        <w:textAlignment w:val="baseline"/>
        <w:rPr>
          <w:rFonts w:ascii="Arial" w:hAnsi="Arial"/>
          <w:color w:val="000000"/>
          <w:sz w:val="19"/>
          <w:szCs w:val="19"/>
        </w:rPr>
      </w:pPr>
      <w:r>
        <w:rPr>
          <w:rFonts w:cs="Verdana" w:ascii="Arial" w:hAnsi="Arial"/>
          <w:color w:val="000000"/>
          <w:sz w:val="19"/>
          <w:szCs w:val="19"/>
        </w:rPr>
        <w:t xml:space="preserve">O presente contrato terá prazo de </w:t>
      </w:r>
      <w:r>
        <w:rPr>
          <w:rFonts w:cs="Verdana" w:ascii="Arial" w:hAnsi="Arial"/>
          <w:b/>
          <w:bCs/>
          <w:color w:val="000000"/>
          <w:sz w:val="19"/>
          <w:szCs w:val="19"/>
        </w:rPr>
        <w:t>vigência até</w:t>
      </w:r>
      <w:r>
        <w:rPr>
          <w:rFonts w:cs="Verdana" w:ascii="Arial" w:hAnsi="Arial"/>
          <w:b/>
          <w:color w:val="000000"/>
          <w:sz w:val="19"/>
          <w:szCs w:val="19"/>
        </w:rPr>
        <w:t xml:space="preserve"> </w:t>
      </w:r>
      <w:r>
        <w:rPr>
          <w:rFonts w:eastAsia="Times New Roman" w:cs="Verdana" w:ascii="Arial" w:hAnsi="Arial"/>
          <w:b/>
          <w:color w:val="000000"/>
          <w:sz w:val="19"/>
          <w:szCs w:val="19"/>
          <w:lang w:val="pt-BR" w:eastAsia="zh-CN" w:bidi="ar-SA"/>
        </w:rPr>
        <w:t>xx/xx/xx</w:t>
      </w:r>
      <w:r>
        <w:rPr>
          <w:rFonts w:cs="Verdana" w:ascii="Arial" w:hAnsi="Arial"/>
          <w:color w:val="000000"/>
          <w:sz w:val="19"/>
          <w:szCs w:val="19"/>
        </w:rPr>
        <w:t>, com início na data de assinatura deste contrato.</w:t>
      </w:r>
    </w:p>
    <w:p>
      <w:pPr>
        <w:pStyle w:val="Normal"/>
        <w:numPr>
          <w:ilvl w:val="0"/>
          <w:numId w:val="0"/>
        </w:numPr>
        <w:overflowPunct w:val="false"/>
        <w:spacing w:lineRule="auto" w:line="240" w:before="31" w:after="62"/>
        <w:ind w:hanging="0" w:left="0" w:right="0"/>
        <w:jc w:val="both"/>
        <w:textAlignment w:val="baseline"/>
        <w:rPr>
          <w:rFonts w:ascii="Arial" w:hAnsi="Arial"/>
          <w:color w:val="000000"/>
          <w:sz w:val="19"/>
          <w:szCs w:val="19"/>
        </w:rPr>
      </w:pPr>
      <w:r>
        <w:rPr>
          <w:rFonts w:ascii="Arial" w:hAnsi="Arial"/>
          <w:color w:val="000000"/>
          <w:sz w:val="19"/>
          <w:szCs w:val="19"/>
        </w:rPr>
      </w:r>
    </w:p>
    <w:p>
      <w:pPr>
        <w:pStyle w:val="Normal"/>
        <w:numPr>
          <w:ilvl w:val="0"/>
          <w:numId w:val="7"/>
        </w:numPr>
        <w:overflowPunct w:val="false"/>
        <w:spacing w:lineRule="auto" w:line="240" w:before="31" w:after="62"/>
        <w:ind w:hanging="0" w:left="0" w:right="0"/>
        <w:textAlignment w:val="baseline"/>
        <w:rPr>
          <w:rFonts w:ascii="Arial" w:hAnsi="Arial" w:eastAsia="Times New Roman" w:cs="ArialMT"/>
          <w:b/>
          <w:color w:val="000000"/>
          <w:sz w:val="19"/>
          <w:szCs w:val="19"/>
          <w:u w:val="single"/>
          <w:shd w:fill="auto" w:val="clear"/>
          <w:lang w:val="pt-BR" w:bidi="ar-SA"/>
        </w:rPr>
      </w:pPr>
      <w:r>
        <w:rPr>
          <w:rFonts w:eastAsia="Times New Roman" w:cs="ArialMT" w:ascii="Arial" w:hAnsi="Arial"/>
          <w:b/>
          <w:color w:val="000000"/>
          <w:sz w:val="19"/>
          <w:szCs w:val="19"/>
          <w:u w:val="single"/>
          <w:shd w:fill="auto" w:val="clear"/>
          <w:lang w:val="pt-BR" w:bidi="ar-SA"/>
        </w:rPr>
        <w:t>DA FRAUDE E CORRUPÇÃO</w:t>
      </w:r>
    </w:p>
    <w:p>
      <w:pPr>
        <w:pStyle w:val="BodyText"/>
        <w:numPr>
          <w:ilvl w:val="1"/>
          <w:numId w:val="7"/>
        </w:numPr>
        <w:overflowPunct w:val="false"/>
        <w:spacing w:lineRule="auto" w:line="240" w:before="31" w:after="62"/>
        <w:ind w:hanging="0" w:left="0" w:right="0"/>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Caso a licitante, em qualquer das fases da licitação e/ou durante a vigência e execução de contrato firmado com este ente público, praticar qualquer ato lesivo à Administração Pública elencado no art. 5º da Lei Federal 12.846/2013 e Decreto Federal 11.129/2022 ficará submetido à responsabilização objetiva administrativa regida pelo Decreto Municipal 141/2020 e sanções descritas no art. 6º da Lei Federal 12.846/2013, sem prejuízo da responsabilidade penal. Para o disposto neste item, definem-se as seguintes práticas:</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 xml:space="preserve">Prática corrupta: oferecer, dar, receber ou solicitar, direta ou indiretamente, qualquer vantagem com o objetivo de influenciar a ação de servidor público no processo de licitação ou na execução de contrato; </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 xml:space="preserve">Prática fraudulenta: a falsificação ou omissão dos fatos, com o objetivo de influenciar o processo de licitação ou de execução de contrato; </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 xml:space="preserve">Prática colusiva: esquematizar ou estabelecer um acordo entre dois ou mais licitantes, com ou sem o conhecimento de representantes ou prepostos do órgão licitador, visando estabelecer preços em níveis artificiais e não-competitivos; </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Prática coercitiva: causar dano ou ameaçar causar dano, direta ou indiretamente, às pessoas ou sua propriedade, visando influenciar sua participação em um processo licitatório ou afetar a execução do contrato;</w:t>
      </w:r>
    </w:p>
    <w:p>
      <w:pPr>
        <w:pStyle w:val="BodyText"/>
        <w:numPr>
          <w:ilvl w:val="4"/>
          <w:numId w:val="7"/>
        </w:numPr>
        <w:overflowPunct w:val="false"/>
        <w:spacing w:lineRule="auto" w:line="240" w:before="31" w:after="62"/>
        <w:ind w:hanging="0" w:left="680" w:right="0"/>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ArialMT"/>
          <w:b w:val="false"/>
          <w:bCs w:val="false"/>
          <w:color w:val="000000"/>
          <w:sz w:val="19"/>
          <w:szCs w:val="19"/>
          <w:shd w:fill="auto" w:val="clear"/>
          <w:lang w:val="pt-BR" w:bidi="ar-SA"/>
        </w:rPr>
        <w:t>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pPr>
        <w:pStyle w:val="BodyText"/>
        <w:numPr>
          <w:ilvl w:val="1"/>
          <w:numId w:val="7"/>
        </w:numPr>
        <w:overflowPunct w:val="false"/>
        <w:spacing w:lineRule="auto" w:line="240" w:before="31" w:after="62"/>
        <w:ind w:hanging="0" w:left="0" w:right="0"/>
        <w:jc w:val="both"/>
        <w:textAlignment w:val="baseline"/>
        <w:rPr>
          <w:rFonts w:ascii="Arial" w:hAnsi="Arial" w:eastAsia="MS Mincho;ＭＳ 明朝" w:cs="ArialMT"/>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t>Se os atos previstos como infrações administrativas à Lei de Licitações n.º</w:t>
      </w:r>
      <w:r>
        <w:rPr>
          <w:rFonts w:eastAsia="MS Mincho;ＭＳ 明朝" w:cs="Verdana"/>
          <w:b w:val="false"/>
          <w:bCs w:val="false"/>
          <w:color w:val="C9211E"/>
          <w:sz w:val="19"/>
          <w:szCs w:val="19"/>
          <w:shd w:fill="auto" w:val="clear"/>
          <w:lang w:val="pt-BR" w:bidi="ar-SA"/>
        </w:rPr>
        <w:t xml:space="preserve"> </w:t>
      </w:r>
      <w:r>
        <w:rPr>
          <w:rFonts w:eastAsia="MS Mincho;ＭＳ 明朝" w:cs="Verdana"/>
          <w:b w:val="false"/>
          <w:bCs w:val="false"/>
          <w:color w:val="000000"/>
          <w:sz w:val="19"/>
          <w:szCs w:val="19"/>
          <w:shd w:fill="auto" w:val="clear"/>
          <w:lang w:val="pt-BR" w:bidi="ar-SA"/>
        </w:rPr>
        <w:t>14.133/2021 ou a outras normas de licitações e contratos da Administração Pública forem tipificados como atos lesivos na forma da Lei Federal 12.846/13, poderão ser apurados e julgados conjuntamente, no mesmo processo aplicando-se o rito procedimental do Decreto Municipal 141/2020.</w:t>
      </w:r>
    </w:p>
    <w:p>
      <w:pPr>
        <w:pStyle w:val="BodyText"/>
        <w:numPr>
          <w:ilvl w:val="0"/>
          <w:numId w:val="0"/>
        </w:numPr>
        <w:overflowPunct w:val="false"/>
        <w:spacing w:lineRule="auto" w:line="240" w:before="31" w:after="62"/>
        <w:ind w:hanging="0" w:left="0" w:right="0"/>
        <w:jc w:val="both"/>
        <w:textAlignment w:val="baseline"/>
        <w:rPr>
          <w:rFonts w:ascii="Arial" w:hAnsi="Arial" w:eastAsia="MS Mincho;ＭＳ 明朝" w:cs="Verdana"/>
          <w:b w:val="false"/>
          <w:bCs w:val="false"/>
          <w:color w:val="000000"/>
          <w:sz w:val="19"/>
          <w:szCs w:val="19"/>
          <w:shd w:fill="auto" w:val="clear"/>
          <w:lang w:val="pt-BR" w:bidi="ar-SA"/>
        </w:rPr>
      </w:pPr>
      <w:r>
        <w:rPr>
          <w:rFonts w:eastAsia="MS Mincho;ＭＳ 明朝" w:cs="Verdana"/>
          <w:b w:val="false"/>
          <w:bCs w:val="false"/>
          <w:color w:val="000000"/>
          <w:sz w:val="19"/>
          <w:szCs w:val="19"/>
          <w:shd w:fill="auto" w:val="clear"/>
          <w:lang w:val="pt-BR" w:bidi="ar-SA"/>
        </w:rPr>
      </w:r>
    </w:p>
    <w:p>
      <w:pPr>
        <w:pStyle w:val="Normal"/>
        <w:numPr>
          <w:ilvl w:val="0"/>
          <w:numId w:val="7"/>
        </w:numPr>
        <w:overflowPunct w:val="false"/>
        <w:spacing w:lineRule="auto" w:line="240" w:before="31" w:after="62"/>
        <w:ind w:hanging="0" w:left="0" w:right="0"/>
        <w:jc w:val="both"/>
        <w:textAlignment w:val="baseline"/>
        <w:rPr>
          <w:rFonts w:ascii="Arial" w:hAnsi="Arial" w:cs="Verdana"/>
          <w:b/>
          <w:color w:val="000000"/>
          <w:sz w:val="19"/>
          <w:szCs w:val="19"/>
          <w:shd w:fill="auto" w:val="clear"/>
        </w:rPr>
      </w:pPr>
      <w:r>
        <w:rPr>
          <w:rFonts w:cs="Verdana" w:ascii="Arial" w:hAnsi="Arial"/>
          <w:b/>
          <w:color w:val="000000"/>
          <w:sz w:val="19"/>
          <w:szCs w:val="19"/>
          <w:u w:val="single"/>
          <w:shd w:fill="auto" w:val="clear"/>
        </w:rPr>
        <w:t>DOS RECURSOS FINANCEIROS</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As despesas oriundas da execução do presente contrato serão cobertas com receitas provenientes das seguintes dotações orçamentárias:</w:t>
      </w:r>
    </w:p>
    <w:tbl>
      <w:tblPr>
        <w:tblW w:w="9557" w:type="dxa"/>
        <w:jc w:val="left"/>
        <w:tblInd w:w="88" w:type="dxa"/>
        <w:tblLayout w:type="fixed"/>
        <w:tblCellMar>
          <w:top w:w="0" w:type="dxa"/>
          <w:left w:w="108" w:type="dxa"/>
          <w:bottom w:w="0" w:type="dxa"/>
          <w:right w:w="108" w:type="dxa"/>
        </w:tblCellMar>
      </w:tblPr>
      <w:tblGrid>
        <w:gridCol w:w="2325"/>
        <w:gridCol w:w="2411"/>
        <w:gridCol w:w="2409"/>
        <w:gridCol w:w="2411"/>
      </w:tblGrid>
      <w:tr>
        <w:trPr/>
        <w:tc>
          <w:tcPr>
            <w:tcW w:w="2325"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REDUZIDO</w:t>
            </w:r>
          </w:p>
        </w:tc>
        <w:tc>
          <w:tcPr>
            <w:tcW w:w="2411"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PROGRAMÁTICA</w:t>
            </w:r>
          </w:p>
        </w:tc>
        <w:tc>
          <w:tcPr>
            <w:tcW w:w="2409"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DESCRIÇÃO</w:t>
            </w:r>
          </w:p>
        </w:tc>
        <w:tc>
          <w:tcPr>
            <w:tcW w:w="2411" w:type="dxa"/>
            <w:tcBorders>
              <w:top w:val="single" w:sz="6" w:space="0" w:color="000000"/>
              <w:left w:val="single" w:sz="6" w:space="0" w:color="000000"/>
              <w:bottom w:val="single" w:sz="6" w:space="0" w:color="000000"/>
              <w:right w:val="single" w:sz="6" w:space="0" w:color="000000"/>
            </w:tcBorders>
            <w:shd w:fill="EEEEEE" w:val="clear"/>
          </w:tcPr>
          <w:p>
            <w:pPr>
              <w:pStyle w:val="Normal"/>
              <w:jc w:val="center"/>
              <w:rPr>
                <w:rFonts w:ascii="Arial" w:hAnsi="Arial"/>
                <w:sz w:val="14"/>
                <w:szCs w:val="14"/>
              </w:rPr>
            </w:pPr>
            <w:r>
              <w:rPr>
                <w:rFonts w:ascii="Arial" w:hAnsi="Arial"/>
                <w:sz w:val="14"/>
                <w:szCs w:val="14"/>
              </w:rPr>
              <w:t>FONTE DE RECURSO</w:t>
            </w:r>
          </w:p>
        </w:tc>
      </w:tr>
      <w:tr>
        <w:trPr/>
        <w:tc>
          <w:tcPr>
            <w:tcW w:w="2325"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636</w:t>
            </w:r>
          </w:p>
        </w:tc>
        <w:tc>
          <w:tcPr>
            <w:tcW w:w="2411"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1300208245001921023390300000</w:t>
            </w:r>
          </w:p>
        </w:tc>
        <w:tc>
          <w:tcPr>
            <w:tcW w:w="2409"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MATERIAL DE CONSUMO</w:t>
            </w:r>
          </w:p>
        </w:tc>
        <w:tc>
          <w:tcPr>
            <w:tcW w:w="2411"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1000</w:t>
            </w:r>
          </w:p>
        </w:tc>
      </w:tr>
      <w:tr>
        <w:trPr/>
        <w:tc>
          <w:tcPr>
            <w:tcW w:w="2325"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634</w:t>
            </w:r>
          </w:p>
        </w:tc>
        <w:tc>
          <w:tcPr>
            <w:tcW w:w="2411"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1300308243001960033390320000</w:t>
            </w:r>
          </w:p>
        </w:tc>
        <w:tc>
          <w:tcPr>
            <w:tcW w:w="2409"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MATERIAL, BEM OU SERVICO PARA DISTRIBUICAO GRATUITA</w:t>
            </w:r>
          </w:p>
        </w:tc>
        <w:tc>
          <w:tcPr>
            <w:tcW w:w="2411"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3912</w:t>
            </w:r>
          </w:p>
        </w:tc>
      </w:tr>
      <w:tr>
        <w:trPr/>
        <w:tc>
          <w:tcPr>
            <w:tcW w:w="2325"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644</w:t>
            </w:r>
          </w:p>
        </w:tc>
        <w:tc>
          <w:tcPr>
            <w:tcW w:w="2411"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1300308243001960033390320000</w:t>
            </w:r>
          </w:p>
        </w:tc>
        <w:tc>
          <w:tcPr>
            <w:tcW w:w="2409"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MATERIAL, BEM OU SERVICO PARA DISTRIBUICAO GRATUITA</w:t>
            </w:r>
          </w:p>
        </w:tc>
        <w:tc>
          <w:tcPr>
            <w:tcW w:w="2411" w:type="dxa"/>
            <w:tcBorders>
              <w:top w:val="single" w:sz="6" w:space="0" w:color="000000"/>
              <w:left w:val="single" w:sz="6" w:space="0" w:color="000000"/>
              <w:bottom w:val="single" w:sz="6" w:space="0" w:color="000000"/>
              <w:right w:val="single" w:sz="6" w:space="0" w:color="000000"/>
            </w:tcBorders>
          </w:tcPr>
          <w:p>
            <w:pPr>
              <w:pStyle w:val="Normal"/>
              <w:jc w:val="center"/>
              <w:rPr>
                <w:rFonts w:ascii="Arial" w:hAnsi="Arial"/>
                <w:sz w:val="14"/>
                <w:szCs w:val="14"/>
              </w:rPr>
            </w:pPr>
            <w:r>
              <w:rPr>
                <w:rFonts w:ascii="Arial" w:hAnsi="Arial"/>
                <w:sz w:val="14"/>
                <w:szCs w:val="14"/>
              </w:rPr>
              <w:t>3912</w:t>
            </w:r>
          </w:p>
        </w:tc>
      </w:tr>
    </w:tbl>
    <w:p>
      <w:pPr>
        <w:pStyle w:val="Normal"/>
        <w:numPr>
          <w:ilvl w:val="1"/>
          <w:numId w:val="7"/>
        </w:numPr>
        <w:overflowPunct w:val="false"/>
        <w:spacing w:lineRule="auto" w:line="240" w:before="31" w:after="62"/>
        <w:ind w:hanging="0" w:left="0" w:right="0"/>
        <w:jc w:val="both"/>
        <w:textAlignment w:val="baseline"/>
        <w:rPr>
          <w:rFonts w:ascii="Arial" w:hAnsi="Arial"/>
          <w:color w:val="000000"/>
          <w:sz w:val="19"/>
          <w:szCs w:val="19"/>
        </w:rPr>
      </w:pPr>
      <w:r>
        <w:rPr>
          <w:rFonts w:ascii="Arial" w:hAnsi="Arial"/>
          <w:color w:val="000000"/>
          <w:sz w:val="19"/>
          <w:szCs w:val="19"/>
        </w:rPr>
        <w:t>As dotações aqui descritas poderão, eventualmente, ser substituídas por outras no decorrer da vigência do presente contrato, em virtude da votação da Lei Orçamentária pela Câmara de Vereadores.</w:t>
      </w:r>
    </w:p>
    <w:p>
      <w:pPr>
        <w:pStyle w:val="Normal"/>
        <w:numPr>
          <w:ilvl w:val="0"/>
          <w:numId w:val="0"/>
        </w:numPr>
        <w:overflowPunct w:val="false"/>
        <w:spacing w:lineRule="auto" w:line="240" w:before="31" w:after="62"/>
        <w:ind w:hanging="0" w:left="0" w:right="0"/>
        <w:jc w:val="both"/>
        <w:textAlignment w:val="baseline"/>
        <w:rPr>
          <w:rFonts w:ascii="Arial" w:hAnsi="Arial"/>
          <w:color w:val="000000"/>
          <w:sz w:val="19"/>
          <w:szCs w:val="19"/>
        </w:rPr>
      </w:pPr>
      <w:r>
        <w:rPr>
          <w:rFonts w:ascii="Arial" w:hAnsi="Arial"/>
          <w:color w:val="000000"/>
          <w:sz w:val="19"/>
          <w:szCs w:val="19"/>
        </w:rPr>
      </w:r>
    </w:p>
    <w:p>
      <w:pPr>
        <w:pStyle w:val="Normal"/>
        <w:numPr>
          <w:ilvl w:val="0"/>
          <w:numId w:val="7"/>
        </w:numPr>
        <w:overflowPunct w:val="false"/>
        <w:spacing w:lineRule="auto" w:line="240" w:before="31" w:after="62"/>
        <w:ind w:hanging="0" w:left="0" w:right="0"/>
        <w:jc w:val="both"/>
        <w:textAlignment w:val="baseline"/>
        <w:rPr>
          <w:rFonts w:ascii="Arial" w:hAnsi="Arial" w:eastAsia="MS Mincho;ＭＳ 明朝" w:cs="Verdana"/>
          <w:b/>
          <w:color w:val="000000"/>
          <w:sz w:val="19"/>
          <w:szCs w:val="19"/>
          <w:u w:val="single"/>
          <w:lang w:eastAsia="pt-BR"/>
        </w:rPr>
      </w:pPr>
      <w:r>
        <w:rPr>
          <w:rFonts w:eastAsia="MS Mincho;ＭＳ 明朝" w:cs="Verdana" w:ascii="Arial" w:hAnsi="Arial"/>
          <w:b/>
          <w:color w:val="000000"/>
          <w:sz w:val="19"/>
          <w:szCs w:val="19"/>
          <w:u w:val="single"/>
          <w:lang w:eastAsia="pt-BR"/>
        </w:rPr>
        <w:t>DAS DISPOSIÇÕES FINAIS</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As alterações, prorrogações, extinções, penalidades e multas, obedecerão Lei Federal nº 14.133/2021, e seguindo as seguintes considerações:</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No caso de inexecução do objeto desta licitação, exceto por motivo de força maior ou caso fortuito, devidamente comprovado e justificado, ficará a empresa contratada sujeita às sanções preceituadas na Lei Federal nº 14.133/2021.</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A Contratada declara ter pleno conhecimento das condições contratuais, pelo que reconhece ser perfeitamente viável o cumprimento integral e pontual dos encargos assumidos.</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Se qualquer das partes, em benefício da outra, permitir, mesmo por omissão, a inobservância, no todo ou em parte, de qualquer das cláusulas e condições do presente contrato e/ou seus anexos, tal fato não poderá ser considerado como modificativo das condições do presente contrato, as quais permanecerão inalteradas, como se nenhuma tolerância houvesse ocorrido.</w:t>
      </w:r>
    </w:p>
    <w:p>
      <w:pPr>
        <w:pStyle w:val="Normal"/>
        <w:numPr>
          <w:ilvl w:val="1"/>
          <w:numId w:val="7"/>
        </w:numPr>
        <w:overflowPunct w:val="false"/>
        <w:spacing w:lineRule="auto" w:line="240" w:before="31" w:after="62"/>
        <w:ind w:hanging="0" w:left="0" w:right="0"/>
        <w:jc w:val="both"/>
        <w:textAlignment w:val="baseline"/>
        <w:rPr>
          <w:rFonts w:ascii="Arial" w:hAnsi="Arial" w:cs="Verdana"/>
          <w:color w:val="C9211E"/>
          <w:sz w:val="19"/>
          <w:szCs w:val="19"/>
        </w:rPr>
      </w:pPr>
      <w:r>
        <w:rPr>
          <w:rFonts w:cs="Verdana" w:ascii="Arial" w:hAnsi="Arial"/>
          <w:color w:val="000000"/>
          <w:sz w:val="19"/>
          <w:szCs w:val="19"/>
        </w:rPr>
        <w:t>O Município de Cianorte se reserva no direito de paralisar ou suspender a qualquer tempo a execução do objeto contratado, desde que haja conveniência administrativa para este Município, devidamente autorizada e fundamentada. Se isso vier a ocorrer, a empresa contratada terá o direito aos ressarcimentos garantidos e previstos na Lei Federal nº 14.133/2021</w:t>
      </w:r>
      <w:r>
        <w:rPr>
          <w:rFonts w:cs="Verdana" w:ascii="Arial" w:hAnsi="Arial"/>
          <w:color w:val="C9211E"/>
          <w:sz w:val="19"/>
          <w:szCs w:val="19"/>
        </w:rPr>
        <w:t>.</w:t>
      </w:r>
    </w:p>
    <w:p>
      <w:pPr>
        <w:pStyle w:val="Normal"/>
        <w:numPr>
          <w:ilvl w:val="1"/>
          <w:numId w:val="7"/>
        </w:numPr>
        <w:overflowPunct w:val="false"/>
        <w:spacing w:lineRule="auto" w:line="240" w:before="31" w:after="62"/>
        <w:ind w:hanging="0" w:left="0" w:right="0"/>
        <w:jc w:val="both"/>
        <w:textAlignment w:val="baseline"/>
        <w:rPr>
          <w:rFonts w:ascii="Arial" w:hAnsi="Arial" w:cs="Verdana"/>
          <w:b w:val="false"/>
          <w:i w:val="false"/>
          <w:i w:val="false"/>
          <w:caps w:val="false"/>
          <w:smallCaps w:val="false"/>
          <w:color w:val="000000"/>
          <w:spacing w:val="0"/>
          <w:sz w:val="19"/>
          <w:szCs w:val="19"/>
          <w:shd w:fill="auto" w:val="clear"/>
        </w:rPr>
      </w:pPr>
      <w:r>
        <w:rPr>
          <w:rFonts w:cs="Verdana" w:ascii="Arial" w:hAnsi="Arial"/>
          <w:b w:val="false"/>
          <w:i w:val="false"/>
          <w:caps w:val="false"/>
          <w:smallCaps w:val="false"/>
          <w:color w:val="000000"/>
          <w:spacing w:val="0"/>
          <w:sz w:val="19"/>
          <w:szCs w:val="19"/>
          <w:shd w:fill="auto" w:val="clear"/>
        </w:rPr>
        <w:t>Pela própria essência deste contrato, o mesmo não gera, em nenhuma hipótese, qualquer vínculo de origem trabalhista.</w:t>
      </w:r>
    </w:p>
    <w:p>
      <w:pPr>
        <w:pStyle w:val="Normal"/>
        <w:numPr>
          <w:ilvl w:val="1"/>
          <w:numId w:val="7"/>
        </w:numPr>
        <w:overflowPunct w:val="false"/>
        <w:spacing w:lineRule="auto" w:line="240" w:before="31" w:after="62"/>
        <w:ind w:hanging="0" w:left="0" w:right="0"/>
        <w:jc w:val="both"/>
        <w:textAlignment w:val="baseline"/>
        <w:rPr>
          <w:rFonts w:ascii="Arial" w:hAnsi="Arial" w:cs="Verdana"/>
          <w:b w:val="false"/>
          <w:i w:val="false"/>
          <w:i w:val="false"/>
          <w:caps w:val="false"/>
          <w:smallCaps w:val="false"/>
          <w:color w:val="000000"/>
          <w:spacing w:val="0"/>
          <w:sz w:val="19"/>
          <w:szCs w:val="19"/>
        </w:rPr>
      </w:pPr>
      <w:r>
        <w:rPr>
          <w:rFonts w:cs="Verdana" w:ascii="Arial" w:hAnsi="Arial"/>
          <w:b w:val="false"/>
          <w:i w:val="false"/>
          <w:caps w:val="false"/>
          <w:smallCaps w:val="false"/>
          <w:color w:val="000000"/>
          <w:spacing w:val="0"/>
          <w:sz w:val="19"/>
          <w:szCs w:val="19"/>
          <w:shd w:fill="auto" w:val="clear"/>
        </w:rPr>
        <w:t>Os casos omissos serão decididos pelo contratante, segundo as disposições contidas na Lei nº 14.133, de 2021, e demais normas federais aplicáveis e, subsidiariamente, segundo as disposições contidas na Lei nº 8.078, de 1990 – C</w:t>
      </w:r>
      <w:r>
        <w:rPr>
          <w:rFonts w:cs="Verdana" w:ascii="Arial" w:hAnsi="Arial"/>
          <w:b w:val="false"/>
          <w:i w:val="false"/>
          <w:caps w:val="false"/>
          <w:smallCaps w:val="false"/>
          <w:color w:val="000000"/>
          <w:spacing w:val="0"/>
          <w:sz w:val="19"/>
          <w:szCs w:val="19"/>
        </w:rPr>
        <w:t>ódigo de Defesa do Consumidor – e normas e princípios gerais dos contratos.</w:t>
      </w:r>
    </w:p>
    <w:p>
      <w:pPr>
        <w:pStyle w:val="Normal"/>
        <w:numPr>
          <w:ilvl w:val="1"/>
          <w:numId w:val="7"/>
        </w:numPr>
        <w:tabs>
          <w:tab w:val="clear" w:pos="709"/>
          <w:tab w:val="left" w:pos="-290" w:leader="none"/>
          <w:tab w:val="left" w:pos="-150" w:leader="none"/>
        </w:tabs>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O presente instrumento de contrato está vinculado obrigatoriamente ao Edital de licitação descrito no item 1.1 e seus anexos.</w:t>
      </w:r>
    </w:p>
    <w:p>
      <w:pPr>
        <w:pStyle w:val="Normal"/>
        <w:numPr>
          <w:ilvl w:val="0"/>
          <w:numId w:val="0"/>
        </w:numPr>
        <w:tabs>
          <w:tab w:val="clear" w:pos="709"/>
          <w:tab w:val="left" w:pos="-290" w:leader="none"/>
          <w:tab w:val="left" w:pos="-150" w:leader="none"/>
        </w:tabs>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r>
    </w:p>
    <w:p>
      <w:pPr>
        <w:pStyle w:val="Normal"/>
        <w:numPr>
          <w:ilvl w:val="0"/>
          <w:numId w:val="7"/>
        </w:numPr>
        <w:tabs>
          <w:tab w:val="clear" w:pos="709"/>
          <w:tab w:val="left" w:pos="-290" w:leader="none"/>
          <w:tab w:val="left" w:pos="-150" w:leader="none"/>
        </w:tabs>
        <w:overflowPunct w:val="false"/>
        <w:spacing w:lineRule="auto" w:line="240" w:before="31" w:after="62"/>
        <w:ind w:hanging="0" w:left="0" w:right="0"/>
        <w:jc w:val="both"/>
        <w:textAlignment w:val="baseline"/>
        <w:rPr>
          <w:rFonts w:ascii="Arial" w:hAnsi="Arial" w:cs="Verdana"/>
          <w:b/>
          <w:color w:val="000000"/>
          <w:sz w:val="19"/>
          <w:szCs w:val="19"/>
          <w:u w:val="single"/>
        </w:rPr>
      </w:pPr>
      <w:r>
        <w:rPr>
          <w:rFonts w:cs="Verdana" w:ascii="Arial" w:hAnsi="Arial"/>
          <w:b/>
          <w:color w:val="000000"/>
          <w:sz w:val="19"/>
          <w:szCs w:val="19"/>
          <w:u w:val="single"/>
        </w:rPr>
        <w:t>DO FORO</w:t>
      </w:r>
    </w:p>
    <w:p>
      <w:pPr>
        <w:pStyle w:val="Normal"/>
        <w:numPr>
          <w:ilvl w:val="1"/>
          <w:numId w:val="7"/>
        </w:numPr>
        <w:tabs>
          <w:tab w:val="clear" w:pos="709"/>
          <w:tab w:val="left" w:pos="-290" w:leader="none"/>
          <w:tab w:val="left" w:pos="-150" w:leader="none"/>
        </w:tabs>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Fica eleito o Foro da Comarca de Cianorte, Estado do Paraná, para dirimir quaisquer dúvidas que possam surgir com referência ao presente Contrato.</w:t>
      </w:r>
    </w:p>
    <w:p>
      <w:pPr>
        <w:pStyle w:val="Normal"/>
        <w:numPr>
          <w:ilvl w:val="1"/>
          <w:numId w:val="7"/>
        </w:numPr>
        <w:tabs>
          <w:tab w:val="clear" w:pos="709"/>
          <w:tab w:val="left" w:pos="-290" w:leader="none"/>
          <w:tab w:val="left" w:pos="-150" w:leader="none"/>
        </w:tabs>
        <w:overflowPunct w:val="false"/>
        <w:spacing w:lineRule="auto" w:line="240" w:before="31" w:after="62"/>
        <w:ind w:hanging="0" w:left="0" w:right="0"/>
        <w:jc w:val="both"/>
        <w:textAlignment w:val="baseline"/>
        <w:rPr>
          <w:rFonts w:ascii="Arial" w:hAnsi="Arial" w:cs="Verdana"/>
          <w:color w:val="000000"/>
          <w:sz w:val="19"/>
          <w:szCs w:val="19"/>
        </w:rPr>
      </w:pPr>
      <w:r>
        <w:rPr>
          <w:rFonts w:cs="Verdana" w:ascii="Arial" w:hAnsi="Arial"/>
          <w:color w:val="000000"/>
          <w:sz w:val="19"/>
          <w:szCs w:val="19"/>
        </w:rPr>
        <w:t>E, por estarem assim, justos e contratados, declaram ambas as partes aceitarem todas as cláusulas e condições estabelecidas no presente contrato, firmado em 02 (duas) vias de igual teor e forma, perante as testemunhas infra-assinadas.</w:t>
      </w:r>
    </w:p>
    <w:p>
      <w:pPr>
        <w:pStyle w:val="Normal"/>
        <w:numPr>
          <w:ilvl w:val="0"/>
          <w:numId w:val="0"/>
        </w:numPr>
        <w:tabs>
          <w:tab w:val="clear" w:pos="709"/>
          <w:tab w:val="left" w:pos="-290" w:leader="none"/>
          <w:tab w:val="left" w:pos="-150" w:leader="none"/>
        </w:tabs>
        <w:overflowPunct w:val="false"/>
        <w:spacing w:lineRule="auto" w:line="240" w:before="31" w:after="62"/>
        <w:ind w:hanging="0" w:left="0" w:right="0"/>
        <w:jc w:val="both"/>
        <w:textAlignment w:val="baseline"/>
        <w:rPr>
          <w:rFonts w:ascii="Arial" w:hAnsi="Arial"/>
          <w:color w:val="000000"/>
          <w:sz w:val="19"/>
          <w:szCs w:val="19"/>
        </w:rPr>
      </w:pPr>
      <w:r>
        <w:rPr>
          <w:rFonts w:cs="ArialMT" w:ascii="Arial" w:hAnsi="Arial"/>
          <w:color w:val="000000"/>
          <w:sz w:val="19"/>
          <w:szCs w:val="19"/>
        </w:rPr>
        <w:t>Paço Municipal Prefeito Wilson Ferreira Varella</w:t>
      </w:r>
      <w:r>
        <w:rPr>
          <w:rFonts w:cs="Verdana" w:ascii="Arial" w:hAnsi="Arial"/>
          <w:color w:val="000000"/>
          <w:sz w:val="19"/>
          <w:szCs w:val="19"/>
        </w:rPr>
        <w:t>, em &lt;Data_Assinatura&gt;.</w:t>
      </w:r>
    </w:p>
    <w:tbl>
      <w:tblPr>
        <w:tblW w:w="5000" w:type="pct"/>
        <w:jc w:val="left"/>
        <w:tblInd w:w="-109" w:type="dxa"/>
        <w:tblLayout w:type="fixed"/>
        <w:tblCellMar>
          <w:top w:w="55" w:type="dxa"/>
          <w:left w:w="108" w:type="dxa"/>
          <w:bottom w:w="55" w:type="dxa"/>
          <w:right w:w="108" w:type="dxa"/>
        </w:tblCellMar>
      </w:tblPr>
      <w:tblGrid>
        <w:gridCol w:w="4470"/>
        <w:gridCol w:w="693"/>
        <w:gridCol w:w="4475"/>
      </w:tblGrid>
      <w:tr>
        <w:trPr>
          <w:trHeight w:val="283" w:hRule="atLeast"/>
        </w:trPr>
        <w:tc>
          <w:tcPr>
            <w:tcW w:w="4470" w:type="dxa"/>
            <w:tcBorders>
              <w:top w:val="single" w:sz="4" w:space="0" w:color="000000"/>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&lt;Nome_Representante&gt;</w:t>
            </w:r>
          </w:p>
        </w:tc>
        <w:tc>
          <w:tcPr>
            <w:tcW w:w="693" w:type="dxa"/>
            <w:tcBorders/>
          </w:tcPr>
          <w:p>
            <w:pPr>
              <w:pStyle w:val="Normal"/>
              <w:widowControl w:val="false"/>
              <w:tabs>
                <w:tab w:val="clear" w:pos="709"/>
                <w:tab w:val="center" w:pos="1985" w:leader="none"/>
                <w:tab w:val="center" w:pos="7655" w:leader="none"/>
              </w:tabs>
              <w:overflowPunct w:val="false"/>
              <w:snapToGrid w:val="false"/>
              <w:spacing w:lineRule="auto" w:line="240" w:before="0" w:after="0"/>
              <w:jc w:val="both"/>
              <w:textAlignment w:val="baseline"/>
              <w:rPr>
                <w:rFonts w:ascii="Arial" w:hAnsi="Arial" w:cs="Verdana"/>
                <w:b/>
                <w:bCs/>
                <w:sz w:val="19"/>
                <w:szCs w:val="19"/>
                <w:lang w:eastAsia="pt-BR"/>
              </w:rPr>
            </w:pPr>
            <w:r>
              <w:rPr>
                <w:rFonts w:cs="Verdana" w:ascii="Arial" w:hAnsi="Arial"/>
                <w:b/>
                <w:bCs/>
                <w:sz w:val="19"/>
                <w:szCs w:val="19"/>
                <w:lang w:eastAsia="pt-BR"/>
              </w:rPr>
            </w:r>
          </w:p>
        </w:tc>
        <w:tc>
          <w:tcPr>
            <w:tcW w:w="4475" w:type="dxa"/>
            <w:tcBorders>
              <w:top w:val="single" w:sz="4" w:space="0" w:color="000000"/>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Marco Antonio Franzato</w:t>
            </w:r>
          </w:p>
        </w:tc>
      </w:tr>
      <w:tr>
        <w:trPr>
          <w:trHeight w:val="283" w:hRule="atLeast"/>
        </w:trPr>
        <w:tc>
          <w:tcPr>
            <w:tcW w:w="4470" w:type="dxa"/>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&lt;Nome_Fornecedor&gt;</w:t>
            </w:r>
          </w:p>
        </w:tc>
        <w:tc>
          <w:tcPr>
            <w:tcW w:w="693" w:type="dxa"/>
            <w:tcBorders/>
          </w:tcPr>
          <w:p>
            <w:pPr>
              <w:pStyle w:val="Normal"/>
              <w:widowControl w:val="false"/>
              <w:tabs>
                <w:tab w:val="clear" w:pos="709"/>
                <w:tab w:val="center" w:pos="1985" w:leader="none"/>
                <w:tab w:val="center" w:pos="7655" w:leader="none"/>
              </w:tabs>
              <w:overflowPunct w:val="false"/>
              <w:snapToGrid w:val="false"/>
              <w:spacing w:lineRule="auto" w:line="240" w:before="0" w:after="0"/>
              <w:jc w:val="both"/>
              <w:textAlignment w:val="baseline"/>
              <w:rPr>
                <w:rFonts w:ascii="Arial" w:hAnsi="Arial" w:cs="Verdana"/>
                <w:b/>
                <w:bCs/>
                <w:sz w:val="19"/>
                <w:szCs w:val="19"/>
                <w:lang w:eastAsia="pt-BR"/>
              </w:rPr>
            </w:pPr>
            <w:r>
              <w:rPr>
                <w:rFonts w:cs="Verdana" w:ascii="Arial" w:hAnsi="Arial"/>
                <w:b/>
                <w:bCs/>
                <w:sz w:val="19"/>
                <w:szCs w:val="19"/>
                <w:lang w:eastAsia="pt-BR"/>
              </w:rPr>
            </w:r>
          </w:p>
        </w:tc>
        <w:tc>
          <w:tcPr>
            <w:tcW w:w="4475" w:type="dxa"/>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Prefeito</w:t>
            </w:r>
          </w:p>
        </w:tc>
      </w:tr>
      <w:tr>
        <w:trPr>
          <w:trHeight w:val="283" w:hRule="atLeast"/>
        </w:trPr>
        <w:tc>
          <w:tcPr>
            <w:tcW w:w="4470" w:type="dxa"/>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Contratada</w:t>
            </w:r>
          </w:p>
        </w:tc>
        <w:tc>
          <w:tcPr>
            <w:tcW w:w="693" w:type="dxa"/>
            <w:tcBorders/>
          </w:tcPr>
          <w:p>
            <w:pPr>
              <w:pStyle w:val="Normal"/>
              <w:widowControl w:val="false"/>
              <w:tabs>
                <w:tab w:val="clear" w:pos="709"/>
                <w:tab w:val="center" w:pos="1985" w:leader="none"/>
                <w:tab w:val="center" w:pos="7655" w:leader="none"/>
              </w:tabs>
              <w:overflowPunct w:val="false"/>
              <w:snapToGrid w:val="false"/>
              <w:spacing w:lineRule="auto" w:line="240" w:before="0" w:after="0"/>
              <w:jc w:val="both"/>
              <w:textAlignment w:val="baseline"/>
              <w:rPr>
                <w:rFonts w:ascii="Arial" w:hAnsi="Arial" w:cs="Verdana"/>
                <w:b/>
                <w:bCs/>
                <w:sz w:val="19"/>
                <w:szCs w:val="19"/>
                <w:lang w:eastAsia="pt-BR"/>
              </w:rPr>
            </w:pPr>
            <w:r>
              <w:rPr>
                <w:rFonts w:cs="Verdana" w:ascii="Arial" w:hAnsi="Arial"/>
                <w:b/>
                <w:bCs/>
                <w:sz w:val="19"/>
                <w:szCs w:val="19"/>
                <w:lang w:eastAsia="pt-BR"/>
              </w:rPr>
            </w:r>
          </w:p>
        </w:tc>
        <w:tc>
          <w:tcPr>
            <w:tcW w:w="4475" w:type="dxa"/>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Verdana"/>
                <w:b/>
                <w:bCs/>
                <w:sz w:val="19"/>
                <w:szCs w:val="19"/>
                <w:lang w:eastAsia="pt-BR"/>
              </w:rPr>
            </w:pPr>
            <w:r>
              <w:rPr>
                <w:rFonts w:cs="Verdana" w:ascii="Arial" w:hAnsi="Arial"/>
                <w:b/>
                <w:bCs/>
                <w:sz w:val="19"/>
                <w:szCs w:val="19"/>
                <w:lang w:eastAsia="pt-BR"/>
              </w:rPr>
              <w:t>Contratante</w:t>
            </w:r>
          </w:p>
        </w:tc>
      </w:tr>
      <w:tr>
        <w:trPr>
          <w:trHeight w:val="283" w:hRule="atLeast"/>
        </w:trPr>
        <w:tc>
          <w:tcPr>
            <w:tcW w:w="9638" w:type="dxa"/>
            <w:gridSpan w:val="3"/>
            <w:tcBorders/>
          </w:tcPr>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Arial"/>
                <w:b/>
                <w:sz w:val="19"/>
                <w:szCs w:val="19"/>
                <w:lang w:eastAsia="pt-BR"/>
              </w:rPr>
            </w:pPr>
            <w:r>
              <w:rPr>
                <w:rFonts w:cs="Arial" w:ascii="Arial" w:hAnsi="Arial"/>
                <w:b/>
                <w:sz w:val="19"/>
                <w:szCs w:val="19"/>
                <w:lang w:eastAsia="pt-BR"/>
              </w:rPr>
            </w:r>
          </w:p>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Arial"/>
                <w:b/>
                <w:sz w:val="19"/>
                <w:szCs w:val="19"/>
                <w:lang w:eastAsia="pt-BR"/>
              </w:rPr>
            </w:pPr>
            <w:r>
              <w:rPr>
                <w:rFonts w:cs="Arial" w:ascii="Arial" w:hAnsi="Arial"/>
                <w:b/>
                <w:sz w:val="19"/>
                <w:szCs w:val="19"/>
                <w:lang w:eastAsia="pt-BR"/>
              </w:rPr>
            </w:r>
          </w:p>
          <w:p>
            <w:pPr>
              <w:pStyle w:val="Normal"/>
              <w:widowControl w:val="false"/>
              <w:tabs>
                <w:tab w:val="clear" w:pos="709"/>
                <w:tab w:val="center" w:pos="1985" w:leader="none"/>
                <w:tab w:val="center" w:pos="7655" w:leader="none"/>
              </w:tabs>
              <w:overflowPunct w:val="false"/>
              <w:spacing w:lineRule="auto" w:line="240" w:before="0" w:after="0"/>
              <w:jc w:val="center"/>
              <w:textAlignment w:val="baseline"/>
              <w:rPr>
                <w:rFonts w:ascii="Arial" w:hAnsi="Arial" w:cs="Arial"/>
                <w:b/>
                <w:sz w:val="19"/>
                <w:szCs w:val="19"/>
                <w:lang w:eastAsia="pt-BR"/>
              </w:rPr>
            </w:pPr>
            <w:r>
              <w:rPr>
                <w:rFonts w:cs="Arial" w:ascii="Arial" w:hAnsi="Arial"/>
                <w:b/>
                <w:sz w:val="19"/>
                <w:szCs w:val="19"/>
                <w:lang w:eastAsia="pt-BR"/>
              </w:rPr>
              <w:t>TESTEMUNHAS</w:t>
            </w:r>
          </w:p>
        </w:tc>
      </w:tr>
      <w:tr>
        <w:trPr>
          <w:trHeight w:val="283" w:hRule="atLeast"/>
        </w:trPr>
        <w:tc>
          <w:tcPr>
            <w:tcW w:w="4470" w:type="dxa"/>
            <w:tcBorders>
              <w:top w:val="single" w:sz="4" w:space="0" w:color="000000"/>
            </w:tcBorders>
          </w:tcPr>
          <w:p>
            <w:pPr>
              <w:pStyle w:val="Normal"/>
              <w:widowControl w:val="false"/>
              <w:tabs>
                <w:tab w:val="clear" w:pos="709"/>
                <w:tab w:val="center" w:pos="1985" w:leader="none"/>
                <w:tab w:val="center" w:pos="7655" w:leader="none"/>
              </w:tabs>
              <w:overflowPunct w:val="true"/>
              <w:spacing w:lineRule="auto" w:line="240" w:before="0" w:after="0"/>
              <w:jc w:val="both"/>
              <w:textAlignment w:val="baseline"/>
              <w:rPr>
                <w:rFonts w:ascii="Arial" w:hAnsi="Arial"/>
                <w:sz w:val="19"/>
                <w:szCs w:val="19"/>
                <w:shd w:fill="auto" w:val="clear"/>
                <w:lang w:eastAsia="pt-BR"/>
              </w:rPr>
            </w:pPr>
            <w:r>
              <w:rPr>
                <w:rFonts w:ascii="Arial" w:hAnsi="Arial"/>
                <w:sz w:val="19"/>
                <w:szCs w:val="19"/>
                <w:shd w:fill="auto" w:val="clear"/>
                <w:lang w:eastAsia="pt-BR"/>
              </w:rPr>
              <w:t>RG:</w:t>
            </w:r>
          </w:p>
        </w:tc>
        <w:tc>
          <w:tcPr>
            <w:tcW w:w="693" w:type="dxa"/>
            <w:tcBorders/>
          </w:tcPr>
          <w:p>
            <w:pPr>
              <w:pStyle w:val="Normal"/>
              <w:widowControl w:val="false"/>
              <w:tabs>
                <w:tab w:val="clear" w:pos="709"/>
                <w:tab w:val="center" w:pos="1985" w:leader="none"/>
                <w:tab w:val="center" w:pos="7655" w:leader="none"/>
              </w:tabs>
              <w:overflowPunct w:val="false"/>
              <w:snapToGrid w:val="false"/>
              <w:spacing w:lineRule="auto" w:line="240" w:before="0" w:after="0"/>
              <w:jc w:val="left"/>
              <w:textAlignment w:val="baseline"/>
              <w:rPr>
                <w:rFonts w:ascii="Arial" w:hAnsi="Arial" w:cs="Verdana"/>
                <w:b/>
                <w:bCs/>
                <w:sz w:val="19"/>
                <w:szCs w:val="19"/>
                <w:lang w:eastAsia="pt-BR"/>
              </w:rPr>
            </w:pPr>
            <w:r>
              <w:rPr>
                <w:rFonts w:cs="Verdana" w:ascii="Arial" w:hAnsi="Arial"/>
                <w:b/>
                <w:bCs/>
                <w:sz w:val="19"/>
                <w:szCs w:val="19"/>
                <w:lang w:eastAsia="pt-BR"/>
              </w:rPr>
            </w:r>
          </w:p>
        </w:tc>
        <w:tc>
          <w:tcPr>
            <w:tcW w:w="4475" w:type="dxa"/>
            <w:tcBorders>
              <w:top w:val="single" w:sz="4" w:space="0" w:color="000000"/>
            </w:tcBorders>
          </w:tcPr>
          <w:p>
            <w:pPr>
              <w:pStyle w:val="Normal"/>
              <w:widowControl w:val="false"/>
              <w:tabs>
                <w:tab w:val="clear" w:pos="709"/>
                <w:tab w:val="center" w:pos="1985" w:leader="none"/>
                <w:tab w:val="center" w:pos="7655" w:leader="none"/>
              </w:tabs>
              <w:overflowPunct w:val="true"/>
              <w:spacing w:lineRule="auto" w:line="240" w:before="0" w:after="0"/>
              <w:jc w:val="both"/>
              <w:textAlignment w:val="baseline"/>
              <w:rPr>
                <w:rFonts w:ascii="Arial" w:hAnsi="Arial"/>
                <w:sz w:val="19"/>
                <w:szCs w:val="19"/>
                <w:shd w:fill="auto" w:val="clear"/>
                <w:lang w:eastAsia="pt-BR"/>
              </w:rPr>
            </w:pPr>
            <w:r>
              <w:rPr>
                <w:rFonts w:ascii="Arial" w:hAnsi="Arial"/>
                <w:sz w:val="19"/>
                <w:szCs w:val="19"/>
                <w:shd w:fill="auto" w:val="clear"/>
                <w:lang w:eastAsia="pt-BR"/>
              </w:rPr>
              <w:t>RG:</w:t>
            </w:r>
          </w:p>
        </w:tc>
      </w:tr>
      <w:tr>
        <w:trPr>
          <w:trHeight w:val="283" w:hRule="atLeast"/>
        </w:trPr>
        <w:tc>
          <w:tcPr>
            <w:tcW w:w="4470" w:type="dxa"/>
            <w:tcBorders/>
          </w:tcPr>
          <w:p>
            <w:pPr>
              <w:pStyle w:val="Normal"/>
              <w:widowControl w:val="false"/>
              <w:tabs>
                <w:tab w:val="clear" w:pos="709"/>
                <w:tab w:val="center" w:pos="1985" w:leader="none"/>
                <w:tab w:val="center" w:pos="7655" w:leader="none"/>
              </w:tabs>
              <w:overflowPunct w:val="true"/>
              <w:spacing w:lineRule="auto" w:line="240" w:before="0" w:after="0"/>
              <w:jc w:val="both"/>
              <w:textAlignment w:val="baseline"/>
              <w:rPr>
                <w:rFonts w:ascii="Arial" w:hAnsi="Arial"/>
                <w:sz w:val="19"/>
                <w:szCs w:val="19"/>
                <w:shd w:fill="auto" w:val="clear"/>
                <w:lang w:eastAsia="pt-BR"/>
              </w:rPr>
            </w:pPr>
            <w:r>
              <w:rPr>
                <w:rFonts w:ascii="Arial" w:hAnsi="Arial"/>
                <w:sz w:val="19"/>
                <w:szCs w:val="19"/>
                <w:shd w:fill="auto" w:val="clear"/>
                <w:lang w:eastAsia="pt-BR"/>
              </w:rPr>
              <w:t>CPF:</w:t>
            </w:r>
          </w:p>
        </w:tc>
        <w:tc>
          <w:tcPr>
            <w:tcW w:w="693" w:type="dxa"/>
            <w:tcBorders/>
          </w:tcPr>
          <w:p>
            <w:pPr>
              <w:pStyle w:val="Normal"/>
              <w:widowControl w:val="false"/>
              <w:tabs>
                <w:tab w:val="clear" w:pos="709"/>
                <w:tab w:val="center" w:pos="1985" w:leader="none"/>
                <w:tab w:val="center" w:pos="7655" w:leader="none"/>
              </w:tabs>
              <w:overflowPunct w:val="false"/>
              <w:snapToGrid w:val="false"/>
              <w:spacing w:lineRule="auto" w:line="240" w:before="0" w:after="0"/>
              <w:jc w:val="left"/>
              <w:textAlignment w:val="baseline"/>
              <w:rPr>
                <w:rFonts w:ascii="Arial" w:hAnsi="Arial" w:cs="Verdana"/>
                <w:b/>
                <w:bCs/>
                <w:sz w:val="19"/>
                <w:szCs w:val="19"/>
                <w:lang w:eastAsia="pt-BR"/>
              </w:rPr>
            </w:pPr>
            <w:r>
              <w:rPr>
                <w:rFonts w:cs="Verdana" w:ascii="Arial" w:hAnsi="Arial"/>
                <w:b/>
                <w:bCs/>
                <w:sz w:val="19"/>
                <w:szCs w:val="19"/>
                <w:lang w:eastAsia="pt-BR"/>
              </w:rPr>
            </w:r>
          </w:p>
        </w:tc>
        <w:tc>
          <w:tcPr>
            <w:tcW w:w="4475" w:type="dxa"/>
            <w:tcBorders/>
          </w:tcPr>
          <w:p>
            <w:pPr>
              <w:pStyle w:val="Normal"/>
              <w:widowControl w:val="false"/>
              <w:tabs>
                <w:tab w:val="clear" w:pos="709"/>
                <w:tab w:val="center" w:pos="1985" w:leader="none"/>
                <w:tab w:val="center" w:pos="7655" w:leader="none"/>
              </w:tabs>
              <w:overflowPunct w:val="true"/>
              <w:spacing w:lineRule="auto" w:line="240" w:before="0" w:after="0"/>
              <w:jc w:val="both"/>
              <w:textAlignment w:val="baseline"/>
              <w:rPr>
                <w:rFonts w:ascii="Arial" w:hAnsi="Arial"/>
                <w:sz w:val="19"/>
                <w:szCs w:val="19"/>
                <w:shd w:fill="auto" w:val="clear"/>
                <w:lang w:eastAsia="pt-BR"/>
              </w:rPr>
            </w:pPr>
            <w:r>
              <w:rPr>
                <w:rFonts w:ascii="Arial" w:hAnsi="Arial"/>
                <w:sz w:val="19"/>
                <w:szCs w:val="19"/>
                <w:shd w:fill="auto" w:val="clear"/>
                <w:lang w:eastAsia="pt-BR"/>
              </w:rPr>
              <w:t>CPF:</w:t>
            </w:r>
          </w:p>
        </w:tc>
      </w:tr>
    </w:tbl>
    <w:p>
      <w:pPr>
        <w:pStyle w:val="Heading2"/>
        <w:numPr>
          <w:ilvl w:val="1"/>
          <w:numId w:val="1"/>
        </w:numPr>
        <w:spacing w:lineRule="auto" w:line="240" w:before="0" w:after="62"/>
        <w:rPr/>
      </w:pPr>
      <w:r>
        <w:br w:type="page"/>
      </w:r>
      <w:bookmarkStart w:id="7" w:name="__RefHeading___Toc33410_3041975443"/>
      <w:bookmarkEnd w:id="7"/>
      <w:r>
        <w:rPr/>
        <w:t>ANEXO III</w:t>
      </w:r>
    </w:p>
    <w:p>
      <w:pPr>
        <w:pStyle w:val="Heading3"/>
        <w:numPr>
          <w:ilvl w:val="2"/>
          <w:numId w:val="1"/>
        </w:numPr>
        <w:spacing w:lineRule="auto" w:line="240" w:before="31" w:after="62"/>
        <w:rPr/>
      </w:pPr>
      <w:bookmarkStart w:id="8" w:name="__RefHeading___Toc34721_3041975443"/>
      <w:bookmarkEnd w:id="8"/>
      <w:r>
        <w:rPr/>
        <w:t>MODELO DE PROPOSTA DE PREÇOS</w:t>
      </w:r>
    </w:p>
    <w:tbl>
      <w:tblPr>
        <w:tblW w:w="5000" w:type="pct"/>
        <w:jc w:val="center"/>
        <w:tblInd w:w="0" w:type="dxa"/>
        <w:tblLayout w:type="fixed"/>
        <w:tblCellMar>
          <w:top w:w="0" w:type="dxa"/>
          <w:left w:w="70" w:type="dxa"/>
          <w:bottom w:w="0" w:type="dxa"/>
          <w:right w:w="70" w:type="dxa"/>
        </w:tblCellMar>
      </w:tblPr>
      <w:tblGrid>
        <w:gridCol w:w="2438"/>
        <w:gridCol w:w="2380"/>
        <w:gridCol w:w="4819"/>
      </w:tblGrid>
      <w:tr>
        <w:trPr/>
        <w:tc>
          <w:tcPr>
            <w:tcW w:w="9637" w:type="dxa"/>
            <w:gridSpan w:val="3"/>
            <w:tcBorders>
              <w:top w:val="single" w:sz="4" w:space="0" w:color="000000"/>
              <w:left w:val="single" w:sz="4" w:space="0" w:color="000000"/>
              <w:bottom w:val="single" w:sz="4" w:space="0" w:color="000000"/>
              <w:right w:val="single" w:sz="4" w:space="0" w:color="000000"/>
            </w:tcBorders>
            <w:shd w:fill="E5E5E5" w:val="clear"/>
            <w:vAlign w:val="center"/>
          </w:tcPr>
          <w:p>
            <w:pPr>
              <w:pStyle w:val="Normal"/>
              <w:widowControl w:val="false"/>
              <w:overflowPunct w:val="false"/>
              <w:spacing w:lineRule="auto" w:line="240" w:before="31" w:after="62"/>
              <w:jc w:val="center"/>
              <w:textAlignment w:val="baseline"/>
              <w:rPr>
                <w:rFonts w:ascii="Arial" w:hAnsi="Arial"/>
                <w:b/>
                <w:sz w:val="19"/>
                <w:szCs w:val="19"/>
              </w:rPr>
            </w:pPr>
            <w:r>
              <w:rPr>
                <w:rFonts w:eastAsia="MS Mincho;ＭＳ 明朝" w:cs="Verdana" w:ascii="Arial" w:hAnsi="Arial"/>
                <w:b/>
                <w:bCs/>
                <w:sz w:val="19"/>
                <w:szCs w:val="19"/>
                <w:lang w:eastAsia="pt-BR"/>
              </w:rPr>
              <w:t xml:space="preserve">PREGÃO ELETRÔNICO </w:t>
            </w:r>
            <w:r>
              <w:rPr>
                <w:rFonts w:eastAsia="Times New Roman" w:cs="Verdana" w:ascii="Arial" w:hAnsi="Arial"/>
                <w:b/>
                <w:bCs/>
                <w:i/>
                <w:iCs/>
                <w:color w:val="FF0000"/>
                <w:sz w:val="19"/>
                <w:szCs w:val="19"/>
                <w:lang w:val="pt-BR" w:eastAsia="zh-CN" w:bidi="ar-SA"/>
              </w:rPr>
              <w:t>&lt;Número_Licitação&gt;/&lt;Ano_Licitação&gt;</w:t>
            </w:r>
          </w:p>
          <w:p>
            <w:pPr>
              <w:pStyle w:val="Normal"/>
              <w:widowControl w:val="false"/>
              <w:overflowPunct w:val="false"/>
              <w:spacing w:lineRule="auto" w:line="240" w:before="31" w:after="62"/>
              <w:jc w:val="center"/>
              <w:textAlignment w:val="baseline"/>
              <w:rPr>
                <w:rFonts w:ascii="Arial" w:hAnsi="Arial" w:eastAsia="MS Mincho;ＭＳ 明朝" w:cs="Verdana"/>
                <w:b/>
                <w:bCs/>
                <w:color w:val="auto"/>
                <w:sz w:val="19"/>
                <w:szCs w:val="19"/>
                <w:lang w:val="pt-BR" w:eastAsia="pt-BR" w:bidi="ar-SA"/>
              </w:rPr>
            </w:pPr>
            <w:r>
              <w:rPr>
                <w:rFonts w:eastAsia="MS Mincho;ＭＳ 明朝" w:cs="Verdana" w:ascii="Arial" w:hAnsi="Arial"/>
                <w:b/>
                <w:bCs/>
                <w:color w:val="auto"/>
                <w:sz w:val="19"/>
                <w:szCs w:val="19"/>
                <w:lang w:val="pt-BR" w:eastAsia="pt-BR" w:bidi="ar-SA"/>
              </w:rPr>
              <w:t>REGISTRO DE PREÇOS</w:t>
            </w:r>
          </w:p>
        </w:tc>
      </w:tr>
      <w:tr>
        <w:trPr>
          <w:trHeight w:val="380" w:hRule="atLeast"/>
          <w:cantSplit w:val="true"/>
        </w:trPr>
        <w:tc>
          <w:tcPr>
            <w:tcW w:w="9637" w:type="dxa"/>
            <w:gridSpan w:val="3"/>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both"/>
              <w:textAlignment w:val="baseline"/>
              <w:rPr>
                <w:rFonts w:ascii="Arial" w:hAnsi="Arial" w:cs="Verdana"/>
                <w:sz w:val="14"/>
                <w:szCs w:val="14"/>
              </w:rPr>
            </w:pPr>
            <w:r>
              <w:rPr>
                <w:rFonts w:cs="Verdana" w:ascii="Arial" w:hAnsi="Arial"/>
                <w:b/>
                <w:bCs/>
                <w:sz w:val="14"/>
                <w:szCs w:val="14"/>
              </w:rPr>
              <w:t>OBJETO:</w:t>
            </w:r>
            <w:r>
              <w:rPr>
                <w:rFonts w:cs="Verdana" w:ascii="Arial" w:hAnsi="Arial"/>
                <w:b/>
                <w:bCs/>
                <w:color w:val="C9211E"/>
                <w:sz w:val="14"/>
                <w:szCs w:val="14"/>
              </w:rPr>
              <w:t xml:space="preserve"> Aquisição de fraldas com recursos da Deliberação nº 78/2022 – CEDCA/PR e recursos livres, para a Secretaria Municipal de Assistência Social</w:t>
            </w:r>
            <w:r>
              <w:rPr>
                <w:rFonts w:cs="Verdana" w:ascii="Arial" w:hAnsi="Arial"/>
                <w:b/>
                <w:bCs/>
                <w:color w:val="FF0000"/>
                <w:sz w:val="14"/>
                <w:szCs w:val="14"/>
              </w:rPr>
              <w:t>,</w:t>
            </w:r>
            <w:r>
              <w:rPr>
                <w:rFonts w:cs="Verdana" w:ascii="Arial" w:hAnsi="Arial"/>
                <w:b/>
                <w:sz w:val="14"/>
                <w:szCs w:val="14"/>
              </w:rPr>
              <w:t xml:space="preserve"> conforme especificações descritas abaixo.</w:t>
            </w:r>
          </w:p>
        </w:tc>
      </w:tr>
      <w:tr>
        <w:trPr>
          <w:trHeight w:val="380" w:hRule="atLeast"/>
          <w:cantSplit w:val="true"/>
        </w:trPr>
        <w:tc>
          <w:tcPr>
            <w:tcW w:w="9637" w:type="dxa"/>
            <w:gridSpan w:val="3"/>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s="Verdana"/>
                <w:sz w:val="14"/>
                <w:szCs w:val="14"/>
              </w:rPr>
            </w:pPr>
            <w:r>
              <w:rPr>
                <w:rFonts w:cs="Verdana" w:ascii="Arial" w:hAnsi="Arial"/>
                <w:sz w:val="14"/>
                <w:szCs w:val="14"/>
              </w:rPr>
              <w:t>Empresa:</w:t>
            </w:r>
          </w:p>
        </w:tc>
      </w:tr>
      <w:tr>
        <w:trPr>
          <w:trHeight w:val="380" w:hRule="atLeast"/>
          <w:cantSplit w:val="true"/>
        </w:trPr>
        <w:tc>
          <w:tcPr>
            <w:tcW w:w="963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s="Verdana"/>
                <w:sz w:val="14"/>
                <w:szCs w:val="14"/>
              </w:rPr>
            </w:pPr>
            <w:r>
              <w:rPr>
                <w:rFonts w:cs="Verdana" w:ascii="Arial" w:hAnsi="Arial"/>
                <w:sz w:val="14"/>
                <w:szCs w:val="14"/>
              </w:rPr>
              <w:t>CNPJ:</w:t>
            </w:r>
          </w:p>
        </w:tc>
      </w:tr>
      <w:tr>
        <w:trPr>
          <w:trHeight w:val="380" w:hRule="atLeast"/>
          <w:cantSplit w:val="true"/>
        </w:trPr>
        <w:tc>
          <w:tcPr>
            <w:tcW w:w="9637" w:type="dxa"/>
            <w:gridSpan w:val="3"/>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s="Verdana"/>
                <w:sz w:val="14"/>
                <w:szCs w:val="14"/>
              </w:rPr>
            </w:pPr>
            <w:r>
              <w:rPr>
                <w:rFonts w:cs="Verdana" w:ascii="Arial" w:hAnsi="Arial"/>
                <w:b w:val="false"/>
                <w:bCs w:val="false"/>
                <w:sz w:val="14"/>
                <w:szCs w:val="14"/>
              </w:rPr>
              <w:t xml:space="preserve">Enquadramento da empresa: (Mencionar se a empresa é </w:t>
            </w:r>
            <w:r>
              <w:rPr>
                <w:rFonts w:cs="Verdana" w:ascii="Arial" w:hAnsi="Arial"/>
                <w:b w:val="false"/>
                <w:bCs w:val="false"/>
                <w:sz w:val="14"/>
                <w:szCs w:val="14"/>
                <w:shd w:fill="FFFF00" w:val="clear"/>
              </w:rPr>
              <w:t>ME / EPP/MEI</w:t>
            </w:r>
            <w:r>
              <w:rPr>
                <w:rFonts w:cs="Verdana" w:ascii="Arial" w:hAnsi="Arial"/>
                <w:b w:val="false"/>
                <w:bCs w:val="false"/>
                <w:sz w:val="14"/>
                <w:szCs w:val="14"/>
              </w:rPr>
              <w:t>)</w:t>
            </w:r>
          </w:p>
        </w:tc>
      </w:tr>
      <w:tr>
        <w:trPr>
          <w:trHeight w:val="380" w:hRule="atLeast"/>
          <w:cantSplit w:val="true"/>
        </w:trPr>
        <w:tc>
          <w:tcPr>
            <w:tcW w:w="963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s="Verdana"/>
                <w:sz w:val="14"/>
                <w:szCs w:val="14"/>
              </w:rPr>
            </w:pPr>
            <w:r>
              <w:rPr>
                <w:rFonts w:cs="Verdana" w:ascii="Arial" w:hAnsi="Arial"/>
                <w:sz w:val="14"/>
                <w:szCs w:val="14"/>
              </w:rPr>
              <w:t>Endereço:</w:t>
            </w:r>
          </w:p>
        </w:tc>
      </w:tr>
      <w:tr>
        <w:trPr>
          <w:trHeight w:val="380" w:hRule="atLeast"/>
          <w:cantSplit w:val="true"/>
        </w:trPr>
        <w:tc>
          <w:tcPr>
            <w:tcW w:w="963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s="Verdana"/>
                <w:sz w:val="14"/>
                <w:szCs w:val="14"/>
              </w:rPr>
            </w:pPr>
            <w:r>
              <w:rPr>
                <w:rFonts w:cs="Verdana" w:ascii="Arial" w:hAnsi="Arial"/>
                <w:sz w:val="14"/>
                <w:szCs w:val="14"/>
              </w:rPr>
              <w:t>Fone:</w:t>
            </w:r>
          </w:p>
        </w:tc>
      </w:tr>
      <w:tr>
        <w:trPr>
          <w:trHeight w:val="380" w:hRule="atLeast"/>
          <w:cantSplit w:val="true"/>
        </w:trPr>
        <w:tc>
          <w:tcPr>
            <w:tcW w:w="963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s="Verdana"/>
                <w:sz w:val="14"/>
                <w:szCs w:val="14"/>
              </w:rPr>
            </w:pPr>
            <w:r>
              <w:rPr>
                <w:rFonts w:cs="Verdana" w:ascii="Arial" w:hAnsi="Arial"/>
                <w:sz w:val="14"/>
                <w:szCs w:val="14"/>
              </w:rPr>
              <w:t>E-mail:</w:t>
            </w:r>
          </w:p>
        </w:tc>
      </w:tr>
      <w:tr>
        <w:trPr>
          <w:trHeight w:val="380" w:hRule="atLeast"/>
          <w:cantSplit w:val="true"/>
        </w:trPr>
        <w:tc>
          <w:tcPr>
            <w:tcW w:w="963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s="Verdana"/>
                <w:sz w:val="14"/>
                <w:szCs w:val="14"/>
              </w:rPr>
            </w:pPr>
            <w:r>
              <w:rPr>
                <w:rFonts w:cs="Verdana" w:ascii="Arial" w:hAnsi="Arial"/>
                <w:sz w:val="14"/>
                <w:szCs w:val="14"/>
              </w:rPr>
              <w:t>Cidade/Estado:</w:t>
            </w:r>
          </w:p>
        </w:tc>
      </w:tr>
      <w:tr>
        <w:trPr>
          <w:trHeight w:val="380" w:hRule="atLeast"/>
          <w:cantSplit w:val="true"/>
        </w:trPr>
        <w:tc>
          <w:tcPr>
            <w:tcW w:w="9637" w:type="dxa"/>
            <w:gridSpan w:val="3"/>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s="Verdana"/>
                <w:sz w:val="14"/>
                <w:szCs w:val="14"/>
              </w:rPr>
            </w:pPr>
            <w:r>
              <w:rPr>
                <w:rFonts w:eastAsia="MS Mincho;ＭＳ 明朝" w:cs="Verdana" w:ascii="Arial" w:hAnsi="Arial"/>
                <w:sz w:val="14"/>
                <w:szCs w:val="14"/>
                <w:lang w:eastAsia="pt-BR"/>
              </w:rPr>
              <w:t xml:space="preserve">Tipo de licitação: </w:t>
            </w:r>
            <w:r>
              <w:rPr>
                <w:rFonts w:eastAsia="MS Mincho;ＭＳ 明朝" w:cs="Verdana" w:ascii="Arial" w:hAnsi="Arial"/>
                <w:b/>
                <w:bCs/>
                <w:color w:val="C9211E"/>
                <w:sz w:val="14"/>
                <w:szCs w:val="14"/>
                <w:lang w:eastAsia="pt-BR"/>
              </w:rPr>
              <w:t>M</w:t>
            </w:r>
            <w:r>
              <w:rPr>
                <w:rFonts w:eastAsia="MS Mincho;ＭＳ 明朝" w:cs="Verdana" w:ascii="Arial" w:hAnsi="Arial"/>
                <w:b/>
                <w:bCs/>
                <w:color w:val="C9211E"/>
                <w:sz w:val="14"/>
                <w:szCs w:val="14"/>
                <w:lang w:val="pt-BR" w:eastAsia="pt-BR" w:bidi="ar-SA"/>
              </w:rPr>
              <w:t>enor Preço por Item.</w:t>
            </w:r>
          </w:p>
        </w:tc>
      </w:tr>
      <w:tr>
        <w:trPr>
          <w:trHeight w:val="380" w:hRule="atLeast"/>
          <w:cantSplit w:val="true"/>
        </w:trPr>
        <w:tc>
          <w:tcPr>
            <w:tcW w:w="9637" w:type="dxa"/>
            <w:gridSpan w:val="3"/>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both"/>
              <w:textAlignment w:val="baseline"/>
              <w:rPr>
                <w:rFonts w:ascii="Arial" w:hAnsi="Arial" w:cs="Verdana"/>
                <w:sz w:val="14"/>
                <w:szCs w:val="14"/>
              </w:rPr>
            </w:pPr>
            <w:r>
              <w:rPr>
                <w:rFonts w:cs="Verdana" w:ascii="Arial" w:hAnsi="Arial"/>
                <w:sz w:val="14"/>
                <w:szCs w:val="14"/>
              </w:rPr>
              <w:t>Este e todos os outros anexos fazem parte do edital de licitação</w:t>
            </w:r>
            <w:r>
              <w:rPr>
                <w:rFonts w:cs="Arial-BoldMT" w:ascii="Arial" w:hAnsi="Arial"/>
                <w:b/>
                <w:bCs/>
                <w:sz w:val="14"/>
                <w:szCs w:val="14"/>
              </w:rPr>
              <w:t xml:space="preserve"> </w:t>
            </w:r>
            <w:r>
              <w:rPr>
                <w:rFonts w:cs="Verdana" w:ascii="Arial" w:hAnsi="Arial"/>
                <w:sz w:val="14"/>
                <w:szCs w:val="14"/>
              </w:rPr>
              <w:t xml:space="preserve">Pregão Eletrônico nº </w:t>
            </w:r>
            <w:r>
              <w:rPr>
                <w:rFonts w:cs="Verdana" w:ascii="Arial" w:hAnsi="Arial"/>
                <w:b/>
                <w:color w:val="FF0000"/>
                <w:sz w:val="14"/>
                <w:szCs w:val="14"/>
              </w:rPr>
              <w:t>&lt;Número_Licitação&gt;/&lt;Ano_Licitação&gt;</w:t>
            </w:r>
            <w:r>
              <w:rPr>
                <w:rFonts w:cs="Arial" w:ascii="Arial" w:hAnsi="Arial"/>
                <w:b/>
                <w:color w:val="FF0000"/>
                <w:sz w:val="14"/>
                <w:szCs w:val="14"/>
                <w:lang w:val="pt-BR" w:eastAsia="pt-BR"/>
              </w:rPr>
              <w:t xml:space="preserve"> </w:t>
            </w:r>
            <w:r>
              <w:rPr>
                <w:rFonts w:cs="Verdana" w:ascii="Arial" w:hAnsi="Arial"/>
                <w:sz w:val="14"/>
                <w:szCs w:val="14"/>
              </w:rPr>
              <w:t>como se nele estivessem transcritos.</w:t>
            </w:r>
          </w:p>
        </w:tc>
      </w:tr>
      <w:tr>
        <w:trPr>
          <w:trHeight w:val="380" w:hRule="atLeast"/>
          <w:cantSplit w:val="true"/>
        </w:trPr>
        <w:tc>
          <w:tcPr>
            <w:tcW w:w="9637" w:type="dxa"/>
            <w:gridSpan w:val="3"/>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both"/>
              <w:textAlignment w:val="baseline"/>
              <w:rPr>
                <w:rFonts w:ascii="Arial" w:hAnsi="Arial"/>
                <w:color w:val="000000"/>
                <w:sz w:val="14"/>
                <w:szCs w:val="14"/>
                <w:shd w:fill="auto" w:val="clear"/>
              </w:rPr>
            </w:pPr>
            <w:r>
              <w:rPr>
                <w:rFonts w:cs="Verdana" w:ascii="Arial" w:hAnsi="Arial"/>
                <w:b/>
                <w:color w:val="000000"/>
                <w:sz w:val="14"/>
                <w:szCs w:val="14"/>
                <w:shd w:fill="auto" w:val="clear"/>
              </w:rPr>
              <w:t>Entrega: A empresa contratada deverá entregar os produtos no prazo de 10 dias úteis, na Secretaria Municipal de Assistência Social, Praça Olímpica Marcos Danilo Padilha, 235, Cianorte, CEP 87.210-054.</w:t>
            </w:r>
          </w:p>
        </w:tc>
      </w:tr>
      <w:tr>
        <w:trPr>
          <w:trHeight w:val="380" w:hRule="exact"/>
          <w:cantSplit w:val="true"/>
        </w:trPr>
        <w:tc>
          <w:tcPr>
            <w:tcW w:w="4818" w:type="dxa"/>
            <w:gridSpan w:val="2"/>
            <w:tcBorders>
              <w:left w:val="single" w:sz="4" w:space="0" w:color="000000"/>
              <w:bottom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olor w:val="000000"/>
                <w:sz w:val="14"/>
                <w:szCs w:val="14"/>
                <w:shd w:fill="auto" w:val="clear"/>
              </w:rPr>
            </w:pPr>
            <w:r>
              <w:rPr>
                <w:rFonts w:cs="Verdana" w:ascii="Arial" w:hAnsi="Arial"/>
                <w:b/>
                <w:color w:val="000000"/>
                <w:sz w:val="14"/>
                <w:szCs w:val="14"/>
                <w:shd w:fill="auto" w:val="clear"/>
              </w:rPr>
              <w:t xml:space="preserve">Validade da proposta: </w:t>
            </w:r>
            <w:r>
              <w:rPr>
                <w:rFonts w:cs="Verdana" w:ascii="Arial" w:hAnsi="Arial"/>
                <w:color w:val="000000"/>
                <w:sz w:val="14"/>
                <w:szCs w:val="14"/>
                <w:shd w:fill="auto" w:val="clear"/>
              </w:rPr>
              <w:t>60 dias</w:t>
            </w:r>
          </w:p>
        </w:tc>
        <w:tc>
          <w:tcPr>
            <w:tcW w:w="4819" w:type="dxa"/>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31" w:after="62"/>
              <w:jc w:val="left"/>
              <w:textAlignment w:val="baseline"/>
              <w:rPr>
                <w:rFonts w:ascii="Arial" w:hAnsi="Arial"/>
                <w:color w:val="000000"/>
                <w:sz w:val="14"/>
                <w:szCs w:val="14"/>
                <w:shd w:fill="auto" w:val="clear"/>
              </w:rPr>
            </w:pPr>
            <w:r>
              <w:rPr>
                <w:rFonts w:cs="Verdana" w:ascii="Arial" w:hAnsi="Arial"/>
                <w:b/>
                <w:color w:val="000000"/>
                <w:sz w:val="14"/>
                <w:szCs w:val="14"/>
                <w:shd w:fill="auto" w:val="clear"/>
              </w:rPr>
              <w:t>Execução: 01 ano.</w:t>
            </w:r>
          </w:p>
        </w:tc>
      </w:tr>
      <w:tr>
        <w:trPr>
          <w:trHeight w:val="657" w:hRule="atLeast"/>
          <w:cantSplit w:val="true"/>
        </w:trPr>
        <w:tc>
          <w:tcPr>
            <w:tcW w:w="9637" w:type="dxa"/>
            <w:gridSpan w:val="3"/>
            <w:tcBorders>
              <w:top w:val="single" w:sz="4" w:space="0" w:color="000000"/>
              <w:left w:val="single" w:sz="4" w:space="0" w:color="000000"/>
              <w:right w:val="single" w:sz="4" w:space="0" w:color="000000"/>
            </w:tcBorders>
            <w:tcMar>
              <w:top w:w="55" w:type="dxa"/>
              <w:bottom w:w="55" w:type="dxa"/>
            </w:tcMar>
            <w:vAlign w:val="center"/>
          </w:tcPr>
          <w:p>
            <w:pPr>
              <w:pStyle w:val="Normal"/>
              <w:widowControl w:val="false"/>
              <w:overflowPunct w:val="false"/>
              <w:spacing w:lineRule="auto" w:line="240" w:before="31" w:after="62"/>
              <w:jc w:val="center"/>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t>Propomos o fornecimento dos produtos/serviços nos valores e nos prazos mencionados, sob as condições gerais e específicas indicadas neste formulário, com as quais concordamos.</w:t>
            </w:r>
          </w:p>
        </w:tc>
      </w:tr>
      <w:tr>
        <w:trPr>
          <w:trHeight w:val="482" w:hRule="atLeast"/>
          <w:cantSplit w:val="true"/>
        </w:trPr>
        <w:tc>
          <w:tcPr>
            <w:tcW w:w="2438" w:type="dxa"/>
            <w:tcBorders>
              <w:left w:val="single" w:sz="4" w:space="0" w:color="000000"/>
              <w:bottom w:val="single" w:sz="4" w:space="0" w:color="000000"/>
            </w:tcBorders>
            <w:tcMar>
              <w:top w:w="55" w:type="dxa"/>
              <w:bottom w:w="55" w:type="dxa"/>
            </w:tcMar>
            <w:vAlign w:val="center"/>
          </w:tcPr>
          <w:p>
            <w:pPr>
              <w:pStyle w:val="Normal"/>
              <w:widowControl w:val="false"/>
              <w:overflowPunct w:val="false"/>
              <w:spacing w:lineRule="auto" w:line="240" w:before="31" w:after="62"/>
              <w:jc w:val="center"/>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t>Em ____/____/____</w:t>
            </w:r>
          </w:p>
        </w:tc>
        <w:tc>
          <w:tcPr>
            <w:tcW w:w="7199" w:type="dxa"/>
            <w:gridSpan w:val="2"/>
            <w:tcBorders>
              <w:bottom w:val="single" w:sz="4" w:space="0" w:color="000000"/>
              <w:right w:val="single" w:sz="4" w:space="0" w:color="000000"/>
            </w:tcBorders>
            <w:tcMar>
              <w:top w:w="55" w:type="dxa"/>
              <w:bottom w:w="55" w:type="dxa"/>
            </w:tcMar>
            <w:vAlign w:val="bottom"/>
          </w:tcPr>
          <w:p>
            <w:pPr>
              <w:pStyle w:val="Normal"/>
              <w:widowControl w:val="false"/>
              <w:overflowPunct w:val="false"/>
              <w:spacing w:lineRule="auto" w:line="240" w:before="31" w:after="62"/>
              <w:jc w:val="center"/>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t>_________________________________________</w:t>
            </w:r>
          </w:p>
          <w:p>
            <w:pPr>
              <w:pStyle w:val="Normal"/>
              <w:widowControl w:val="false"/>
              <w:overflowPunct w:val="false"/>
              <w:spacing w:lineRule="auto" w:line="240" w:before="31" w:after="62"/>
              <w:jc w:val="center"/>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t>ASSINATURA</w:t>
            </w:r>
          </w:p>
        </w:tc>
      </w:tr>
    </w:tbl>
    <w:p>
      <w:pPr>
        <w:pStyle w:val="Normal"/>
        <w:spacing w:lineRule="auto" w:line="240" w:before="31" w:after="62"/>
        <w:rPr>
          <w:sz w:val="6"/>
          <w:szCs w:val="6"/>
        </w:rPr>
      </w:pPr>
      <w:r>
        <w:rPr>
          <w:sz w:val="6"/>
          <w:szCs w:val="6"/>
        </w:rPr>
      </w:r>
    </w:p>
    <w:tbl>
      <w:tblPr>
        <w:tblW w:w="5000" w:type="pct"/>
        <w:jc w:val="center"/>
        <w:tblInd w:w="0" w:type="dxa"/>
        <w:tblLayout w:type="fixed"/>
        <w:tblCellMar>
          <w:top w:w="55" w:type="dxa"/>
          <w:left w:w="70" w:type="dxa"/>
          <w:bottom w:w="55" w:type="dxa"/>
          <w:right w:w="70" w:type="dxa"/>
        </w:tblCellMar>
      </w:tblPr>
      <w:tblGrid>
        <w:gridCol w:w="1300"/>
        <w:gridCol w:w="3287"/>
        <w:gridCol w:w="737"/>
        <w:gridCol w:w="4313"/>
      </w:tblGrid>
      <w:tr>
        <w:trPr>
          <w:tblHeader w:val="true"/>
          <w:trHeight w:val="322" w:hRule="atLeast"/>
          <w:cantSplit w:val="true"/>
        </w:trPr>
        <w:tc>
          <w:tcPr>
            <w:tcW w:w="9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Arial-BoldMT"/>
                <w:bCs/>
                <w:sz w:val="14"/>
                <w:szCs w:val="14"/>
                <w:lang w:eastAsia="pt-BR"/>
              </w:rPr>
            </w:pPr>
            <w:r>
              <w:rPr>
                <w:rFonts w:eastAsia="MS Mincho;ＭＳ 明朝" w:cs="Arial-BoldMT" w:ascii="Arial" w:hAnsi="Arial"/>
                <w:bCs/>
                <w:sz w:val="14"/>
                <w:szCs w:val="14"/>
                <w:lang w:eastAsia="pt-BR"/>
              </w:rPr>
              <w:t>Caso nossa empresa seja uma das vencedoras desta licitação, o contrato deverá ser assinado por:</w:t>
            </w:r>
          </w:p>
        </w:tc>
      </w:tr>
      <w:tr>
        <w:trPr>
          <w:trHeight w:val="250" w:hRule="atLeast"/>
          <w:cantSplit w:val="true"/>
        </w:trPr>
        <w:tc>
          <w:tcPr>
            <w:tcW w:w="9637" w:type="dxa"/>
            <w:gridSpan w:val="4"/>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0" w:after="0"/>
              <w:jc w:val="left"/>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t>NOME:</w:t>
            </w:r>
          </w:p>
        </w:tc>
      </w:tr>
      <w:tr>
        <w:trPr>
          <w:trHeight w:val="240" w:hRule="atLeast"/>
          <w:cantSplit w:val="true"/>
        </w:trPr>
        <w:tc>
          <w:tcPr>
            <w:tcW w:w="1300" w:type="dxa"/>
            <w:tcBorders>
              <w:left w:val="single" w:sz="4" w:space="0" w:color="000000"/>
              <w:bottom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Arial-BoldMT"/>
                <w:bCs/>
                <w:sz w:val="14"/>
                <w:szCs w:val="14"/>
                <w:lang w:eastAsia="pt-BR"/>
              </w:rPr>
            </w:pPr>
            <w:r>
              <w:rPr>
                <w:rFonts w:eastAsia="MS Mincho;ＭＳ 明朝" w:cs="Arial-BoldMT" w:ascii="Arial" w:hAnsi="Arial"/>
                <w:bCs/>
                <w:sz w:val="14"/>
                <w:szCs w:val="14"/>
                <w:lang w:eastAsia="pt-BR"/>
              </w:rPr>
              <w:t>R.G</w:t>
            </w:r>
          </w:p>
        </w:tc>
        <w:tc>
          <w:tcPr>
            <w:tcW w:w="3287" w:type="dxa"/>
            <w:tcBorders>
              <w:bottom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r>
          </w:p>
        </w:tc>
        <w:tc>
          <w:tcPr>
            <w:tcW w:w="737" w:type="dxa"/>
            <w:tcBorders>
              <w:bottom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Arial-BoldMT"/>
                <w:bCs/>
                <w:sz w:val="14"/>
                <w:szCs w:val="14"/>
                <w:lang w:eastAsia="pt-BR"/>
              </w:rPr>
            </w:pPr>
            <w:r>
              <w:rPr>
                <w:rFonts w:eastAsia="MS Mincho;ＭＳ 明朝" w:cs="Arial-BoldMT" w:ascii="Arial" w:hAnsi="Arial"/>
                <w:bCs/>
                <w:sz w:val="14"/>
                <w:szCs w:val="14"/>
                <w:lang w:eastAsia="pt-BR"/>
              </w:rPr>
              <w:t>C.P.F</w:t>
            </w:r>
          </w:p>
        </w:tc>
        <w:tc>
          <w:tcPr>
            <w:tcW w:w="4313" w:type="dxa"/>
            <w:tcBorders>
              <w:bottom w:val="single" w:sz="4" w:space="0" w:color="000000"/>
              <w:right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r>
          </w:p>
        </w:tc>
      </w:tr>
      <w:tr>
        <w:trPr>
          <w:trHeight w:val="240" w:hRule="atLeast"/>
          <w:cantSplit w:val="true"/>
        </w:trPr>
        <w:tc>
          <w:tcPr>
            <w:tcW w:w="9637" w:type="dxa"/>
            <w:gridSpan w:val="4"/>
            <w:tcBorders>
              <w:left w:val="single" w:sz="4" w:space="0" w:color="000000"/>
              <w:bottom w:val="single" w:sz="4" w:space="0" w:color="000000"/>
              <w:right w:val="single" w:sz="4" w:space="0" w:color="000000"/>
            </w:tcBorders>
            <w:vAlign w:val="center"/>
          </w:tcPr>
          <w:p>
            <w:pPr>
              <w:pStyle w:val="Normal"/>
              <w:widowControl w:val="false"/>
              <w:overflowPunct w:val="false"/>
              <w:spacing w:lineRule="auto" w:line="240" w:before="0" w:after="0"/>
              <w:jc w:val="left"/>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t>NOME:</w:t>
            </w:r>
          </w:p>
        </w:tc>
      </w:tr>
      <w:tr>
        <w:trPr>
          <w:trHeight w:val="240" w:hRule="atLeast"/>
          <w:cantSplit w:val="true"/>
        </w:trPr>
        <w:tc>
          <w:tcPr>
            <w:tcW w:w="1300" w:type="dxa"/>
            <w:tcBorders>
              <w:left w:val="single" w:sz="4" w:space="0" w:color="000000"/>
              <w:bottom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Arial-BoldMT"/>
                <w:bCs/>
                <w:sz w:val="14"/>
                <w:szCs w:val="14"/>
                <w:lang w:eastAsia="pt-BR"/>
              </w:rPr>
            </w:pPr>
            <w:r>
              <w:rPr>
                <w:rFonts w:eastAsia="MS Mincho;ＭＳ 明朝" w:cs="Arial-BoldMT" w:ascii="Arial" w:hAnsi="Arial"/>
                <w:bCs/>
                <w:sz w:val="14"/>
                <w:szCs w:val="14"/>
                <w:lang w:eastAsia="pt-BR"/>
              </w:rPr>
              <w:t>R.G</w:t>
            </w:r>
          </w:p>
        </w:tc>
        <w:tc>
          <w:tcPr>
            <w:tcW w:w="3287" w:type="dxa"/>
            <w:tcBorders>
              <w:bottom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r>
          </w:p>
        </w:tc>
        <w:tc>
          <w:tcPr>
            <w:tcW w:w="737" w:type="dxa"/>
            <w:tcBorders>
              <w:bottom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Arial-BoldMT"/>
                <w:bCs/>
                <w:sz w:val="14"/>
                <w:szCs w:val="14"/>
                <w:lang w:eastAsia="pt-BR"/>
              </w:rPr>
            </w:pPr>
            <w:r>
              <w:rPr>
                <w:rFonts w:eastAsia="MS Mincho;ＭＳ 明朝" w:cs="Arial-BoldMT" w:ascii="Arial" w:hAnsi="Arial"/>
                <w:bCs/>
                <w:sz w:val="14"/>
                <w:szCs w:val="14"/>
                <w:lang w:eastAsia="pt-BR"/>
              </w:rPr>
              <w:t>C.P.F</w:t>
            </w:r>
          </w:p>
        </w:tc>
        <w:tc>
          <w:tcPr>
            <w:tcW w:w="4313" w:type="dxa"/>
            <w:tcBorders>
              <w:bottom w:val="single" w:sz="4" w:space="0" w:color="000000"/>
              <w:right w:val="single" w:sz="4" w:space="0" w:color="000000"/>
            </w:tcBorders>
            <w:vAlign w:val="center"/>
          </w:tcPr>
          <w:p>
            <w:pPr>
              <w:pStyle w:val="Normal"/>
              <w:widowControl w:val="false"/>
              <w:overflowPunct w:val="false"/>
              <w:spacing w:lineRule="auto" w:line="240" w:before="0" w:after="0"/>
              <w:jc w:val="center"/>
              <w:textAlignment w:val="baseline"/>
              <w:rPr>
                <w:rFonts w:ascii="Arial" w:hAnsi="Arial" w:eastAsia="MS Mincho;ＭＳ 明朝" w:cs="Verdana"/>
                <w:sz w:val="14"/>
                <w:szCs w:val="14"/>
                <w:lang w:eastAsia="pt-BR"/>
              </w:rPr>
            </w:pPr>
            <w:r>
              <w:rPr>
                <w:rFonts w:eastAsia="MS Mincho;ＭＳ 明朝" w:cs="Verdana" w:ascii="Arial" w:hAnsi="Arial"/>
                <w:sz w:val="14"/>
                <w:szCs w:val="14"/>
                <w:lang w:eastAsia="pt-BR"/>
              </w:rPr>
            </w:r>
          </w:p>
        </w:tc>
      </w:tr>
    </w:tbl>
    <w:p>
      <w:pPr>
        <w:pStyle w:val="Normal"/>
        <w:overflowPunct w:val="false"/>
        <w:spacing w:lineRule="auto" w:line="240" w:before="62" w:after="62"/>
        <w:jc w:val="center"/>
        <w:textAlignment w:val="baseline"/>
        <w:rPr>
          <w:rFonts w:ascii="Arial" w:hAnsi="Arial" w:cs="Arial-BoldMT"/>
          <w:b/>
          <w:bCs/>
          <w:sz w:val="19"/>
          <w:szCs w:val="19"/>
        </w:rPr>
      </w:pPr>
      <w:r>
        <w:rPr>
          <w:rFonts w:cs="Arial-BoldMT" w:ascii="Arial" w:hAnsi="Arial"/>
          <w:b/>
          <w:bCs/>
          <w:sz w:val="19"/>
          <w:szCs w:val="19"/>
        </w:rPr>
      </w:r>
    </w:p>
    <w:p>
      <w:pPr>
        <w:pStyle w:val="Normal"/>
        <w:overflowPunct w:val="false"/>
        <w:spacing w:lineRule="auto" w:line="240" w:before="62" w:after="62"/>
        <w:jc w:val="center"/>
        <w:textAlignment w:val="baseline"/>
        <w:rPr>
          <w:rFonts w:ascii="Arial" w:hAnsi="Arial" w:cs="Arial-BoldMT"/>
          <w:b/>
          <w:bCs/>
          <w:sz w:val="19"/>
          <w:szCs w:val="19"/>
        </w:rPr>
      </w:pPr>
      <w:r>
        <w:rPr>
          <w:rFonts w:cs="Arial-BoldMT" w:ascii="Arial" w:hAnsi="Arial"/>
          <w:b/>
          <w:bCs/>
          <w:sz w:val="19"/>
          <w:szCs w:val="19"/>
        </w:rPr>
      </w:r>
      <w:r>
        <w:br w:type="page"/>
      </w:r>
    </w:p>
    <w:tbl>
      <w:tblPr>
        <w:tblW w:w="5000" w:type="pct"/>
        <w:jc w:val="center"/>
        <w:tblInd w:w="0" w:type="dxa"/>
        <w:tblLayout w:type="fixed"/>
        <w:tblCellMar>
          <w:top w:w="0" w:type="dxa"/>
          <w:left w:w="108" w:type="dxa"/>
          <w:bottom w:w="0" w:type="dxa"/>
          <w:right w:w="108" w:type="dxa"/>
        </w:tblCellMar>
      </w:tblPr>
      <w:tblGrid>
        <w:gridCol w:w="9638"/>
      </w:tblGrid>
      <w:tr>
        <w:trPr>
          <w:trHeight w:val="340" w:hRule="atLeast"/>
          <w:cantSplit w:val="true"/>
        </w:trPr>
        <w:tc>
          <w:tcPr>
            <w:tcW w:w="9638" w:type="dxa"/>
            <w:tcBorders>
              <w:top w:val="single" w:sz="4" w:space="0" w:color="000000"/>
              <w:left w:val="single" w:sz="4" w:space="0" w:color="000000"/>
              <w:bottom w:val="single" w:sz="4" w:space="0" w:color="000000"/>
              <w:right w:val="single" w:sz="4" w:space="0" w:color="000000"/>
            </w:tcBorders>
            <w:vAlign w:val="center"/>
          </w:tcPr>
          <w:p>
            <w:pPr>
              <w:pStyle w:val="Normal"/>
              <w:pageBreakBefore/>
              <w:widowControl w:val="false"/>
              <w:overflowPunct w:val="false"/>
              <w:spacing w:lineRule="auto" w:line="240" w:before="0" w:after="62"/>
              <w:jc w:val="center"/>
              <w:textAlignment w:val="baseline"/>
              <w:rPr>
                <w:rFonts w:ascii="Arial" w:hAnsi="Arial"/>
                <w:sz w:val="19"/>
                <w:szCs w:val="19"/>
              </w:rPr>
            </w:pPr>
            <w:r>
              <w:rPr>
                <w:rFonts w:eastAsia="MS Mincho;ＭＳ 明朝" w:cs="Arial-BoldMT" w:ascii="Arial" w:hAnsi="Arial"/>
                <w:b/>
                <w:bCs/>
                <w:sz w:val="19"/>
                <w:szCs w:val="19"/>
              </w:rPr>
              <w:t xml:space="preserve">ANEXO III – </w:t>
            </w:r>
            <w:r>
              <w:rPr>
                <w:rFonts w:eastAsia="MS Mincho;ＭＳ 明朝" w:cs="Verdana" w:ascii="Arial" w:hAnsi="Arial"/>
                <w:b/>
                <w:sz w:val="19"/>
                <w:szCs w:val="19"/>
              </w:rPr>
              <w:t>continuação</w:t>
            </w:r>
          </w:p>
        </w:tc>
      </w:tr>
    </w:tbl>
    <w:p>
      <w:pPr>
        <w:pStyle w:val="BodyText"/>
        <w:rPr>
          <w:shd w:fill="auto" w:val="clear"/>
        </w:rPr>
      </w:pPr>
      <w:r>
        <w:rPr>
          <w:shd w:fill="auto" w:val="clear"/>
        </w:rPr>
      </w:r>
    </w:p>
    <w:tbl>
      <w:tblPr>
        <w:tblW w:w="5000" w:type="pct"/>
        <w:jc w:val="left"/>
        <w:tblInd w:w="0" w:type="dxa"/>
        <w:tblLayout w:type="fixed"/>
        <w:tblCellMar>
          <w:top w:w="55" w:type="dxa"/>
          <w:left w:w="55" w:type="dxa"/>
          <w:bottom w:w="55" w:type="dxa"/>
          <w:right w:w="55" w:type="dxa"/>
        </w:tblCellMar>
      </w:tblPr>
      <w:tblGrid>
        <w:gridCol w:w="397"/>
        <w:gridCol w:w="582"/>
        <w:gridCol w:w="618"/>
        <w:gridCol w:w="425"/>
        <w:gridCol w:w="4154"/>
        <w:gridCol w:w="738"/>
        <w:gridCol w:w="858"/>
        <w:gridCol w:w="905"/>
        <w:gridCol w:w="960"/>
      </w:tblGrid>
      <w:tr>
        <w:trPr>
          <w:tblHeader w:val="true"/>
        </w:trPr>
        <w:tc>
          <w:tcPr>
            <w:tcW w:w="397" w:type="dxa"/>
            <w:tcBorders>
              <w:top w:val="single" w:sz="2" w:space="0" w:color="000000"/>
              <w:left w:val="single" w:sz="2" w:space="0" w:color="000000"/>
              <w:bottom w:val="single" w:sz="2" w:space="0" w:color="000000"/>
            </w:tcBorders>
            <w:shd w:fill="DDDDDD" w:val="clear"/>
            <w:vAlign w:val="center"/>
          </w:tcPr>
          <w:p>
            <w:pPr>
              <w:pStyle w:val="Normal"/>
              <w:widowControl w:val="false"/>
              <w:overflowPunct w:val="false"/>
              <w:spacing w:lineRule="auto" w:line="240" w:before="57" w:after="0"/>
              <w:jc w:val="center"/>
              <w:textAlignment w:val="baseline"/>
              <w:rPr/>
            </w:pPr>
            <w:r>
              <w:rPr>
                <w:rFonts w:cs="Arial" w:ascii="Arial" w:hAnsi="Arial"/>
                <w:b/>
                <w:sz w:val="10"/>
                <w:szCs w:val="10"/>
                <w:shd w:fill="auto" w:val="clear"/>
                <w:lang w:eastAsia="pt-BR"/>
              </w:rPr>
              <w:t>Item</w:t>
            </w:r>
          </w:p>
        </w:tc>
        <w:tc>
          <w:tcPr>
            <w:tcW w:w="582" w:type="dxa"/>
            <w:tcBorders>
              <w:top w:val="single" w:sz="2" w:space="0" w:color="000000"/>
              <w:left w:val="single" w:sz="2" w:space="0" w:color="000000"/>
              <w:bottom w:val="single" w:sz="2" w:space="0" w:color="000000"/>
            </w:tcBorders>
            <w:shd w:fill="DDDDDD" w:val="clear"/>
            <w:vAlign w:val="center"/>
          </w:tcPr>
          <w:p>
            <w:pPr>
              <w:pStyle w:val="Normal"/>
              <w:widowControl w:val="false"/>
              <w:overflowPunct w:val="false"/>
              <w:spacing w:lineRule="auto" w:line="240" w:before="57" w:after="0"/>
              <w:jc w:val="center"/>
              <w:textAlignment w:val="baseline"/>
              <w:rPr/>
            </w:pPr>
            <w:r>
              <w:rPr>
                <w:rFonts w:cs="Arial" w:ascii="Arial" w:hAnsi="Arial"/>
                <w:b/>
                <w:sz w:val="10"/>
                <w:szCs w:val="10"/>
                <w:shd w:fill="auto" w:val="clear"/>
                <w:lang w:eastAsia="pt-BR"/>
              </w:rPr>
              <w:t>Cód.</w:t>
            </w:r>
          </w:p>
        </w:tc>
        <w:tc>
          <w:tcPr>
            <w:tcW w:w="618" w:type="dxa"/>
            <w:tcBorders>
              <w:top w:val="single" w:sz="2" w:space="0" w:color="000000"/>
              <w:left w:val="single" w:sz="2" w:space="0" w:color="000000"/>
              <w:bottom w:val="single" w:sz="2" w:space="0" w:color="000000"/>
            </w:tcBorders>
            <w:shd w:fill="DDDDDD" w:val="clear"/>
            <w:vAlign w:val="center"/>
          </w:tcPr>
          <w:p>
            <w:pPr>
              <w:pStyle w:val="Normal"/>
              <w:widowControl w:val="false"/>
              <w:overflowPunct w:val="false"/>
              <w:spacing w:lineRule="auto" w:line="240" w:before="57" w:after="0"/>
              <w:jc w:val="center"/>
              <w:textAlignment w:val="baseline"/>
              <w:rPr/>
            </w:pPr>
            <w:r>
              <w:rPr>
                <w:rFonts w:cs="Arial" w:ascii="Arial" w:hAnsi="Arial"/>
                <w:b/>
                <w:sz w:val="10"/>
                <w:szCs w:val="10"/>
                <w:shd w:fill="auto" w:val="clear"/>
                <w:lang w:eastAsia="pt-BR"/>
              </w:rPr>
              <w:t>Qtde</w:t>
            </w:r>
          </w:p>
        </w:tc>
        <w:tc>
          <w:tcPr>
            <w:tcW w:w="425" w:type="dxa"/>
            <w:tcBorders>
              <w:top w:val="single" w:sz="2" w:space="0" w:color="000000"/>
              <w:left w:val="single" w:sz="2" w:space="0" w:color="000000"/>
              <w:bottom w:val="single" w:sz="2" w:space="0" w:color="000000"/>
            </w:tcBorders>
            <w:shd w:fill="DDDDDD" w:val="clear"/>
            <w:vAlign w:val="center"/>
          </w:tcPr>
          <w:p>
            <w:pPr>
              <w:pStyle w:val="Normal"/>
              <w:widowControl w:val="false"/>
              <w:overflowPunct w:val="false"/>
              <w:spacing w:lineRule="auto" w:line="240" w:before="57" w:after="0"/>
              <w:jc w:val="center"/>
              <w:textAlignment w:val="baseline"/>
              <w:rPr/>
            </w:pPr>
            <w:r>
              <w:rPr>
                <w:rFonts w:cs="Arial" w:ascii="Arial" w:hAnsi="Arial"/>
                <w:b/>
                <w:sz w:val="10"/>
                <w:szCs w:val="10"/>
                <w:shd w:fill="auto" w:val="clear"/>
                <w:lang w:eastAsia="pt-BR"/>
              </w:rPr>
              <w:t>Unid.</w:t>
            </w:r>
          </w:p>
        </w:tc>
        <w:tc>
          <w:tcPr>
            <w:tcW w:w="4154" w:type="dxa"/>
            <w:tcBorders>
              <w:top w:val="single" w:sz="2" w:space="0" w:color="000000"/>
              <w:left w:val="single" w:sz="2" w:space="0" w:color="000000"/>
              <w:bottom w:val="single" w:sz="2" w:space="0" w:color="000000"/>
            </w:tcBorders>
            <w:shd w:fill="DDDDDD" w:val="clear"/>
            <w:vAlign w:val="center"/>
          </w:tcPr>
          <w:p>
            <w:pPr>
              <w:pStyle w:val="Normal"/>
              <w:widowControl w:val="false"/>
              <w:overflowPunct w:val="false"/>
              <w:spacing w:lineRule="auto" w:line="240" w:before="57" w:after="0"/>
              <w:jc w:val="center"/>
              <w:textAlignment w:val="baseline"/>
              <w:rPr/>
            </w:pPr>
            <w:r>
              <w:rPr>
                <w:rFonts w:cs="Arial" w:ascii="Arial" w:hAnsi="Arial"/>
                <w:b/>
                <w:sz w:val="10"/>
                <w:szCs w:val="10"/>
                <w:shd w:fill="auto" w:val="clear"/>
                <w:lang w:eastAsia="pt-BR"/>
              </w:rPr>
              <w:t>Descrição</w:t>
            </w:r>
          </w:p>
        </w:tc>
        <w:tc>
          <w:tcPr>
            <w:tcW w:w="738" w:type="dxa"/>
            <w:tcBorders>
              <w:top w:val="single" w:sz="2" w:space="0" w:color="000000"/>
              <w:left w:val="single" w:sz="2" w:space="0" w:color="000000"/>
              <w:bottom w:val="single" w:sz="2" w:space="0" w:color="000000"/>
            </w:tcBorders>
            <w:shd w:fill="DDDDDD" w:val="clear"/>
            <w:vAlign w:val="center"/>
          </w:tcPr>
          <w:p>
            <w:pPr>
              <w:pStyle w:val="Normal"/>
              <w:widowControl w:val="false"/>
              <w:spacing w:lineRule="auto" w:line="240" w:before="57" w:after="0"/>
              <w:jc w:val="center"/>
              <w:rPr/>
            </w:pPr>
            <w:r>
              <w:rPr>
                <w:rFonts w:cs="Verdana" w:ascii="Arial" w:hAnsi="Arial"/>
                <w:b/>
                <w:bCs/>
                <w:sz w:val="10"/>
                <w:szCs w:val="10"/>
                <w:shd w:fill="auto" w:val="clear"/>
                <w:lang w:eastAsia="pt-BR"/>
              </w:rPr>
              <w:t>Marca</w:t>
            </w:r>
          </w:p>
        </w:tc>
        <w:tc>
          <w:tcPr>
            <w:tcW w:w="858" w:type="dxa"/>
            <w:tcBorders>
              <w:top w:val="single" w:sz="2" w:space="0" w:color="000000"/>
              <w:left w:val="single" w:sz="2" w:space="0" w:color="000000"/>
              <w:bottom w:val="single" w:sz="2" w:space="0" w:color="000000"/>
            </w:tcBorders>
            <w:shd w:fill="DDDDDD" w:val="clear"/>
            <w:vAlign w:val="center"/>
          </w:tcPr>
          <w:p>
            <w:pPr>
              <w:pStyle w:val="Normal"/>
              <w:widowControl w:val="false"/>
              <w:spacing w:lineRule="auto" w:line="240" w:before="57" w:after="0"/>
              <w:jc w:val="center"/>
              <w:rPr/>
            </w:pPr>
            <w:r>
              <w:rPr>
                <w:rFonts w:cs="Verdana" w:ascii="Arial" w:hAnsi="Arial"/>
                <w:b/>
                <w:bCs/>
                <w:sz w:val="10"/>
                <w:szCs w:val="10"/>
                <w:shd w:fill="auto" w:val="clear"/>
                <w:lang w:eastAsia="pt-BR"/>
              </w:rPr>
              <w:t>Teto Máximo Unitário</w:t>
            </w:r>
          </w:p>
        </w:tc>
        <w:tc>
          <w:tcPr>
            <w:tcW w:w="905" w:type="dxa"/>
            <w:tcBorders>
              <w:top w:val="single" w:sz="2" w:space="0" w:color="000000"/>
              <w:left w:val="single" w:sz="2" w:space="0" w:color="000000"/>
              <w:bottom w:val="single" w:sz="2" w:space="0" w:color="000000"/>
            </w:tcBorders>
            <w:shd w:fill="DDDDDD" w:val="clear"/>
            <w:vAlign w:val="center"/>
          </w:tcPr>
          <w:p>
            <w:pPr>
              <w:pStyle w:val="Normal"/>
              <w:widowControl w:val="false"/>
              <w:spacing w:lineRule="auto" w:line="240" w:before="57" w:after="0"/>
              <w:jc w:val="center"/>
              <w:rPr/>
            </w:pPr>
            <w:r>
              <w:rPr>
                <w:rFonts w:cs="Verdana" w:ascii="Arial" w:hAnsi="Arial"/>
                <w:b/>
                <w:bCs/>
                <w:sz w:val="10"/>
                <w:szCs w:val="10"/>
                <w:shd w:fill="auto" w:val="clear"/>
                <w:lang w:eastAsia="pt-BR"/>
              </w:rPr>
              <w:t>Valor Unitário Proposto</w:t>
            </w:r>
          </w:p>
        </w:tc>
        <w:tc>
          <w:tcPr>
            <w:tcW w:w="960" w:type="dxa"/>
            <w:tcBorders>
              <w:top w:val="single" w:sz="2" w:space="0" w:color="000000"/>
              <w:left w:val="single" w:sz="2" w:space="0" w:color="000000"/>
              <w:bottom w:val="single" w:sz="2" w:space="0" w:color="000000"/>
              <w:right w:val="single" w:sz="2" w:space="0" w:color="000000"/>
            </w:tcBorders>
            <w:shd w:fill="DDDDDD" w:val="clear"/>
            <w:vAlign w:val="center"/>
          </w:tcPr>
          <w:p>
            <w:pPr>
              <w:pStyle w:val="Normal"/>
              <w:widowControl w:val="false"/>
              <w:spacing w:lineRule="auto" w:line="240" w:before="57" w:after="0"/>
              <w:jc w:val="center"/>
              <w:rPr/>
            </w:pPr>
            <w:r>
              <w:rPr>
                <w:rFonts w:cs="Verdana" w:ascii="Arial" w:hAnsi="Arial"/>
                <w:b/>
                <w:bCs/>
                <w:sz w:val="10"/>
                <w:szCs w:val="10"/>
                <w:shd w:fill="auto" w:val="clear"/>
                <w:lang w:eastAsia="pt-BR"/>
              </w:rPr>
              <w:t>Valor Total Proposto</w:t>
            </w:r>
          </w:p>
        </w:tc>
      </w:tr>
      <w:tr>
        <w:trPr/>
        <w:tc>
          <w:tcPr>
            <w:tcW w:w="397"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1</w:t>
            </w:r>
          </w:p>
        </w:tc>
        <w:tc>
          <w:tcPr>
            <w:tcW w:w="582"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64285</w:t>
            </w:r>
          </w:p>
        </w:tc>
        <w:tc>
          <w:tcPr>
            <w:tcW w:w="61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100,00</w:t>
            </w:r>
          </w:p>
        </w:tc>
        <w:tc>
          <w:tcPr>
            <w:tcW w:w="425"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PCT</w:t>
            </w:r>
          </w:p>
        </w:tc>
        <w:tc>
          <w:tcPr>
            <w:tcW w:w="4154"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Pacote de fralda descartável infantil, tamanho P, com 34 a 36 fraldas, com barreira antivazamento, faixas ajustáveis, fechamento com fitas adesivas.</w:t>
            </w:r>
          </w:p>
        </w:tc>
        <w:tc>
          <w:tcPr>
            <w:tcW w:w="738"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85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R$ 51,85</w:t>
            </w:r>
          </w:p>
        </w:tc>
        <w:tc>
          <w:tcPr>
            <w:tcW w:w="905"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960" w:type="dxa"/>
            <w:tcBorders>
              <w:left w:val="single" w:sz="2" w:space="0" w:color="000000"/>
              <w:bottom w:val="single" w:sz="2" w:space="0" w:color="000000"/>
              <w:right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r>
      <w:tr>
        <w:trPr/>
        <w:tc>
          <w:tcPr>
            <w:tcW w:w="397"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2</w:t>
            </w:r>
          </w:p>
        </w:tc>
        <w:tc>
          <w:tcPr>
            <w:tcW w:w="582"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64286</w:t>
            </w:r>
          </w:p>
        </w:tc>
        <w:tc>
          <w:tcPr>
            <w:tcW w:w="61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100,00</w:t>
            </w:r>
          </w:p>
        </w:tc>
        <w:tc>
          <w:tcPr>
            <w:tcW w:w="425"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PCT</w:t>
            </w:r>
          </w:p>
        </w:tc>
        <w:tc>
          <w:tcPr>
            <w:tcW w:w="4154"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Pacote de fralda descartável infantil, tamanho M, com 40 a 42 fraldas, com barreira antivazamento, faixas ajustáveis, fechamento com fitas adesivas.</w:t>
            </w:r>
          </w:p>
        </w:tc>
        <w:tc>
          <w:tcPr>
            <w:tcW w:w="738"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85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R$ 53,84</w:t>
            </w:r>
          </w:p>
        </w:tc>
        <w:tc>
          <w:tcPr>
            <w:tcW w:w="905"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960" w:type="dxa"/>
            <w:tcBorders>
              <w:left w:val="single" w:sz="2" w:space="0" w:color="000000"/>
              <w:bottom w:val="single" w:sz="2" w:space="0" w:color="000000"/>
              <w:right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r>
      <w:tr>
        <w:trPr/>
        <w:tc>
          <w:tcPr>
            <w:tcW w:w="397"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3</w:t>
            </w:r>
          </w:p>
        </w:tc>
        <w:tc>
          <w:tcPr>
            <w:tcW w:w="582"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64287</w:t>
            </w:r>
          </w:p>
        </w:tc>
        <w:tc>
          <w:tcPr>
            <w:tcW w:w="61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100,00</w:t>
            </w:r>
          </w:p>
        </w:tc>
        <w:tc>
          <w:tcPr>
            <w:tcW w:w="425"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PCT</w:t>
            </w:r>
          </w:p>
        </w:tc>
        <w:tc>
          <w:tcPr>
            <w:tcW w:w="4154"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Pacote de fralda descartável infantil, tamanho G, com 32 a 34 fraldas, com barreira antivazamento, faixas ajustáveis, fechamento com fitas adesivas.</w:t>
            </w:r>
          </w:p>
        </w:tc>
        <w:tc>
          <w:tcPr>
            <w:tcW w:w="738"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85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R$ 40,25</w:t>
            </w:r>
          </w:p>
        </w:tc>
        <w:tc>
          <w:tcPr>
            <w:tcW w:w="905"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960" w:type="dxa"/>
            <w:tcBorders>
              <w:left w:val="single" w:sz="2" w:space="0" w:color="000000"/>
              <w:bottom w:val="single" w:sz="2" w:space="0" w:color="000000"/>
              <w:right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r>
      <w:tr>
        <w:trPr/>
        <w:tc>
          <w:tcPr>
            <w:tcW w:w="397"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4</w:t>
            </w:r>
          </w:p>
        </w:tc>
        <w:tc>
          <w:tcPr>
            <w:tcW w:w="582"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64288</w:t>
            </w:r>
          </w:p>
        </w:tc>
        <w:tc>
          <w:tcPr>
            <w:tcW w:w="61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80,00</w:t>
            </w:r>
          </w:p>
        </w:tc>
        <w:tc>
          <w:tcPr>
            <w:tcW w:w="425"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PCT</w:t>
            </w:r>
          </w:p>
        </w:tc>
        <w:tc>
          <w:tcPr>
            <w:tcW w:w="4154"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Pacote de fralda descartável infantil, tamanho XG, com pelo menos 20 fraldas, com barreira antivazamento, faixas ajustáveis, fechamento com fitas adesivas.</w:t>
            </w:r>
          </w:p>
        </w:tc>
        <w:tc>
          <w:tcPr>
            <w:tcW w:w="738"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85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R$ 39,38</w:t>
            </w:r>
          </w:p>
        </w:tc>
        <w:tc>
          <w:tcPr>
            <w:tcW w:w="905"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960" w:type="dxa"/>
            <w:tcBorders>
              <w:left w:val="single" w:sz="2" w:space="0" w:color="000000"/>
              <w:bottom w:val="single" w:sz="2" w:space="0" w:color="000000"/>
              <w:right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r>
      <w:tr>
        <w:trPr/>
        <w:tc>
          <w:tcPr>
            <w:tcW w:w="397"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5</w:t>
            </w:r>
          </w:p>
        </w:tc>
        <w:tc>
          <w:tcPr>
            <w:tcW w:w="582"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64289</w:t>
            </w:r>
          </w:p>
        </w:tc>
        <w:tc>
          <w:tcPr>
            <w:tcW w:w="61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20,00</w:t>
            </w:r>
          </w:p>
        </w:tc>
        <w:tc>
          <w:tcPr>
            <w:tcW w:w="425"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PCT</w:t>
            </w:r>
          </w:p>
        </w:tc>
        <w:tc>
          <w:tcPr>
            <w:tcW w:w="4154"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Pacote de fralda descartável infantil, tamanho XXG, com pelo menos 20 fraldas, com barreira antivazamento, faixas ajustáveis, fechamento com fitas adesivas.</w:t>
            </w:r>
          </w:p>
        </w:tc>
        <w:tc>
          <w:tcPr>
            <w:tcW w:w="738"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85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R$ 70,71</w:t>
            </w:r>
          </w:p>
        </w:tc>
        <w:tc>
          <w:tcPr>
            <w:tcW w:w="905"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960" w:type="dxa"/>
            <w:tcBorders>
              <w:left w:val="single" w:sz="2" w:space="0" w:color="000000"/>
              <w:bottom w:val="single" w:sz="2" w:space="0" w:color="000000"/>
              <w:right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r>
      <w:tr>
        <w:trPr/>
        <w:tc>
          <w:tcPr>
            <w:tcW w:w="397"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6</w:t>
            </w:r>
          </w:p>
        </w:tc>
        <w:tc>
          <w:tcPr>
            <w:tcW w:w="582"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64315</w:t>
            </w:r>
          </w:p>
        </w:tc>
        <w:tc>
          <w:tcPr>
            <w:tcW w:w="61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50,00</w:t>
            </w:r>
          </w:p>
        </w:tc>
        <w:tc>
          <w:tcPr>
            <w:tcW w:w="425"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PCT</w:t>
            </w:r>
          </w:p>
        </w:tc>
        <w:tc>
          <w:tcPr>
            <w:tcW w:w="4154"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Pacote de fralda descartável adulto, tamanho P, com pelo menos 10 fraldas, com barreira antivazamento, faixas ajustáveis, fechamento com fitas adesivas.</w:t>
            </w:r>
          </w:p>
        </w:tc>
        <w:tc>
          <w:tcPr>
            <w:tcW w:w="738"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858" w:type="dxa"/>
            <w:tcBorders>
              <w:left w:val="single" w:sz="2" w:space="0" w:color="000000"/>
              <w:bottom w:val="single" w:sz="2" w:space="0" w:color="000000"/>
            </w:tcBorders>
            <w:vAlign w:val="center"/>
          </w:tcPr>
          <w:p>
            <w:pPr>
              <w:pStyle w:val="Normal"/>
              <w:jc w:val="center"/>
              <w:rPr>
                <w:rFonts w:ascii="Arial" w:hAnsi="Arial"/>
                <w:sz w:val="14"/>
                <w:szCs w:val="14"/>
              </w:rPr>
            </w:pPr>
            <w:r>
              <w:rPr>
                <w:rFonts w:ascii="Arial" w:hAnsi="Arial"/>
                <w:sz w:val="14"/>
                <w:szCs w:val="14"/>
              </w:rPr>
              <w:t>R$ 23,55</w:t>
            </w:r>
          </w:p>
        </w:tc>
        <w:tc>
          <w:tcPr>
            <w:tcW w:w="905" w:type="dxa"/>
            <w:tcBorders>
              <w:left w:val="single" w:sz="2" w:space="0" w:color="000000"/>
              <w:bottom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c>
          <w:tcPr>
            <w:tcW w:w="960" w:type="dxa"/>
            <w:tcBorders>
              <w:left w:val="single" w:sz="2" w:space="0" w:color="000000"/>
              <w:bottom w:val="single" w:sz="2" w:space="0" w:color="000000"/>
              <w:right w:val="single" w:sz="2" w:space="0" w:color="000000"/>
            </w:tcBorders>
            <w:vAlign w:val="center"/>
          </w:tcPr>
          <w:p>
            <w:pPr>
              <w:pStyle w:val="Normal"/>
              <w:widowControl w:val="false"/>
              <w:spacing w:lineRule="auto" w:line="240" w:before="57" w:after="0"/>
              <w:jc w:val="center"/>
              <w:rPr>
                <w:rFonts w:ascii="Arial" w:hAnsi="Arial" w:cs="Verdana"/>
                <w:b/>
                <w:bCs/>
                <w:sz w:val="10"/>
                <w:szCs w:val="10"/>
                <w:shd w:fill="auto" w:val="clear"/>
                <w:lang w:eastAsia="pt-BR"/>
              </w:rPr>
            </w:pPr>
            <w:r>
              <w:rPr>
                <w:rFonts w:cs="Verdana" w:ascii="Arial" w:hAnsi="Arial"/>
                <w:b/>
                <w:bCs/>
                <w:sz w:val="10"/>
                <w:szCs w:val="10"/>
                <w:shd w:fill="auto" w:val="clear"/>
                <w:lang w:eastAsia="pt-BR"/>
              </w:rPr>
            </w:r>
          </w:p>
        </w:tc>
      </w:tr>
    </w:tbl>
    <w:p>
      <w:pPr>
        <w:pStyle w:val="Normal"/>
        <w:overflowPunct w:val="false"/>
        <w:spacing w:lineRule="auto" w:line="240" w:before="0" w:after="0"/>
        <w:jc w:val="center"/>
        <w:textAlignment w:val="baseline"/>
        <w:rPr>
          <w:rFonts w:ascii="Arial" w:hAnsi="Arial" w:cs="Verdana"/>
          <w:sz w:val="14"/>
          <w:szCs w:val="14"/>
          <w:shd w:fill="auto" w:val="clear"/>
        </w:rPr>
      </w:pPr>
      <w:r>
        <w:rPr>
          <w:rFonts w:cs="Verdana" w:ascii="Arial" w:hAnsi="Arial"/>
          <w:sz w:val="14"/>
          <w:szCs w:val="14"/>
          <w:shd w:fill="auto" w:val="clear"/>
        </w:rPr>
      </w:r>
    </w:p>
    <w:tbl>
      <w:tblPr>
        <w:tblW w:w="5000" w:type="pct"/>
        <w:jc w:val="left"/>
        <w:tblInd w:w="0" w:type="dxa"/>
        <w:tblLayout w:type="fixed"/>
        <w:tblCellMar>
          <w:top w:w="55" w:type="dxa"/>
          <w:left w:w="55" w:type="dxa"/>
          <w:bottom w:w="55" w:type="dxa"/>
          <w:right w:w="55" w:type="dxa"/>
        </w:tblCellMar>
      </w:tblPr>
      <w:tblGrid>
        <w:gridCol w:w="4818"/>
        <w:gridCol w:w="4819"/>
      </w:tblGrid>
      <w:tr>
        <w:trPr/>
        <w:tc>
          <w:tcPr>
            <w:tcW w:w="4818" w:type="dxa"/>
            <w:tcBorders>
              <w:top w:val="single" w:sz="2" w:space="0" w:color="000000"/>
              <w:left w:val="single" w:sz="2" w:space="0" w:color="000000"/>
              <w:bottom w:val="single" w:sz="2" w:space="0" w:color="000000"/>
            </w:tcBorders>
          </w:tcPr>
          <w:p>
            <w:pPr>
              <w:pStyle w:val="Normal"/>
              <w:widowControl w:val="false"/>
              <w:overflowPunct w:val="false"/>
              <w:spacing w:lineRule="auto" w:line="240" w:before="0" w:after="0"/>
              <w:jc w:val="center"/>
              <w:textAlignment w:val="baseline"/>
              <w:rPr>
                <w:sz w:val="14"/>
                <w:szCs w:val="14"/>
              </w:rPr>
            </w:pPr>
            <w:r>
              <w:rPr>
                <w:rFonts w:eastAsia="MS Mincho;ＭＳ 明朝" w:cs="Verdana" w:ascii="Arial" w:hAnsi="Arial"/>
                <w:sz w:val="14"/>
                <w:szCs w:val="14"/>
                <w:shd w:fill="auto" w:val="clear"/>
              </w:rPr>
              <w:t xml:space="preserve">TETO MÁXIMO TOTAL PARA OS </w:t>
            </w:r>
            <w:r>
              <w:rPr>
                <w:rFonts w:eastAsia="MS Mincho;ＭＳ 明朝" w:cs="Verdana" w:ascii="Arial" w:hAnsi="Arial"/>
                <w:b/>
                <w:sz w:val="14"/>
                <w:szCs w:val="14"/>
                <w:shd w:fill="auto" w:val="clear"/>
              </w:rPr>
              <w:t>ITENS</w:t>
            </w:r>
          </w:p>
          <w:p>
            <w:pPr>
              <w:pStyle w:val="Normal"/>
              <w:widowControl w:val="false"/>
              <w:overflowPunct w:val="false"/>
              <w:spacing w:lineRule="auto" w:line="240" w:before="0" w:after="0"/>
              <w:jc w:val="center"/>
              <w:textAlignment w:val="baseline"/>
              <w:rPr>
                <w:sz w:val="14"/>
                <w:szCs w:val="14"/>
              </w:rPr>
            </w:pPr>
            <w:r>
              <w:rPr>
                <w:rFonts w:cs="Verdana" w:ascii="Arial" w:hAnsi="Arial"/>
                <w:b/>
                <w:color w:val="FF0000"/>
                <w:sz w:val="14"/>
                <w:szCs w:val="14"/>
                <w:shd w:fill="auto" w:val="clear"/>
              </w:rPr>
              <w:t>R$ 20.336,10</w:t>
            </w:r>
          </w:p>
        </w:tc>
        <w:tc>
          <w:tcPr>
            <w:tcW w:w="4819" w:type="dxa"/>
            <w:tcBorders>
              <w:top w:val="single" w:sz="2" w:space="0" w:color="000000"/>
              <w:left w:val="single" w:sz="2" w:space="0" w:color="000000"/>
              <w:bottom w:val="single" w:sz="2" w:space="0" w:color="000000"/>
              <w:right w:val="single" w:sz="2" w:space="0" w:color="000000"/>
            </w:tcBorders>
          </w:tcPr>
          <w:p>
            <w:pPr>
              <w:pStyle w:val="Normal"/>
              <w:widowControl w:val="false"/>
              <w:overflowPunct w:val="false"/>
              <w:spacing w:lineRule="auto" w:line="240" w:before="0" w:after="0"/>
              <w:jc w:val="center"/>
              <w:textAlignment w:val="baseline"/>
              <w:rPr>
                <w:sz w:val="14"/>
                <w:szCs w:val="14"/>
              </w:rPr>
            </w:pPr>
            <w:r>
              <w:rPr>
                <w:rFonts w:eastAsia="MS Mincho;ＭＳ 明朝" w:cs="Arial-BoldMT" w:ascii="Arial" w:hAnsi="Arial"/>
                <w:bCs/>
                <w:sz w:val="14"/>
                <w:szCs w:val="14"/>
                <w:shd w:fill="auto" w:val="clear"/>
              </w:rPr>
              <w:t xml:space="preserve">VALOR TOTAL PROPOSTO PARA O </w:t>
            </w:r>
            <w:r>
              <w:rPr>
                <w:rFonts w:eastAsia="MS Mincho;ＭＳ 明朝" w:cs="Arial-BoldMT" w:ascii="Arial" w:hAnsi="Arial"/>
                <w:b/>
                <w:bCs/>
                <w:sz w:val="14"/>
                <w:szCs w:val="14"/>
                <w:shd w:fill="auto" w:val="clear"/>
              </w:rPr>
              <w:t>TOTAL DOS ITENS R$</w:t>
            </w:r>
          </w:p>
        </w:tc>
      </w:tr>
    </w:tbl>
    <w:p>
      <w:pPr>
        <w:pStyle w:val="BodyText"/>
        <w:rPr>
          <w:shd w:fill="auto" w:val="clear"/>
        </w:rPr>
      </w:pPr>
      <w:r>
        <w:rPr>
          <w:shd w:fill="auto" w:val="clear"/>
        </w:rPr>
      </w:r>
      <w:r>
        <w:br w:type="page"/>
      </w:r>
    </w:p>
    <w:p>
      <w:pPr>
        <w:pStyle w:val="Heading2"/>
        <w:numPr>
          <w:ilvl w:val="1"/>
          <w:numId w:val="1"/>
        </w:numPr>
        <w:spacing w:lineRule="auto" w:line="240" w:before="0" w:after="62"/>
        <w:rPr/>
      </w:pPr>
      <w:bookmarkStart w:id="9" w:name="__RefHeading___Toc34179_3041975443"/>
      <w:bookmarkEnd w:id="9"/>
      <w:r>
        <w:rPr/>
        <w:t>ANEXO IV</w:t>
      </w:r>
    </w:p>
    <w:p>
      <w:pPr>
        <w:pStyle w:val="Normal"/>
        <w:tabs>
          <w:tab w:val="clear" w:pos="709"/>
          <w:tab w:val="left" w:pos="993" w:leader="none"/>
        </w:tabs>
        <w:overflowPunct w:val="false"/>
        <w:spacing w:lineRule="auto" w:line="240" w:before="31" w:after="62"/>
        <w:jc w:val="both"/>
        <w:textAlignment w:val="baseline"/>
        <w:rPr>
          <w:rFonts w:ascii="Arial" w:hAnsi="Arial" w:cs="Verdana"/>
          <w:b/>
          <w:sz w:val="19"/>
          <w:szCs w:val="19"/>
          <w:shd w:fill="auto" w:val="clear"/>
        </w:rPr>
      </w:pPr>
      <w:r>
        <w:rPr>
          <w:rFonts w:cs="Verdana" w:ascii="Arial" w:hAnsi="Arial"/>
          <w:b/>
          <w:sz w:val="19"/>
          <w:szCs w:val="19"/>
          <w:shd w:fill="auto" w:val="clear"/>
        </w:rPr>
      </w:r>
    </w:p>
    <w:p>
      <w:pPr>
        <w:pStyle w:val="Normal"/>
        <w:tabs>
          <w:tab w:val="clear" w:pos="709"/>
          <w:tab w:val="left" w:pos="993" w:leader="none"/>
        </w:tabs>
        <w:overflowPunct w:val="false"/>
        <w:spacing w:lineRule="auto" w:line="240" w:before="31" w:after="62"/>
        <w:jc w:val="both"/>
        <w:textAlignment w:val="baseline"/>
        <w:rPr>
          <w:rFonts w:ascii="Arial" w:hAnsi="Arial" w:cs="Verdana"/>
          <w:b/>
          <w:sz w:val="19"/>
          <w:szCs w:val="19"/>
          <w:shd w:fill="auto" w:val="clear"/>
        </w:rPr>
      </w:pPr>
      <w:r>
        <w:rPr>
          <w:rFonts w:cs="Verdana" w:ascii="Arial" w:hAnsi="Arial"/>
          <w:b/>
          <w:sz w:val="19"/>
          <w:szCs w:val="19"/>
          <w:shd w:fill="auto" w:val="clear"/>
        </w:rPr>
        <w:t>Razão social:</w:t>
      </w:r>
    </w:p>
    <w:p>
      <w:pPr>
        <w:pStyle w:val="Normal"/>
        <w:tabs>
          <w:tab w:val="clear" w:pos="709"/>
          <w:tab w:val="left" w:pos="993" w:leader="none"/>
        </w:tabs>
        <w:overflowPunct w:val="false"/>
        <w:spacing w:lineRule="auto" w:line="240" w:before="31" w:after="62"/>
        <w:jc w:val="both"/>
        <w:textAlignment w:val="baseline"/>
        <w:rPr>
          <w:rFonts w:ascii="Arial" w:hAnsi="Arial" w:cs="Verdana"/>
          <w:b/>
          <w:sz w:val="19"/>
          <w:szCs w:val="19"/>
          <w:shd w:fill="auto" w:val="clear"/>
        </w:rPr>
      </w:pPr>
      <w:r>
        <w:rPr>
          <w:rFonts w:cs="Verdana" w:ascii="Arial" w:hAnsi="Arial"/>
          <w:b/>
          <w:sz w:val="19"/>
          <w:szCs w:val="19"/>
          <w:shd w:fill="auto" w:val="clear"/>
        </w:rPr>
        <w:t xml:space="preserve">CNPJ: </w:t>
      </w:r>
    </w:p>
    <w:p>
      <w:pPr>
        <w:pStyle w:val="Normal"/>
        <w:tabs>
          <w:tab w:val="clear" w:pos="709"/>
          <w:tab w:val="left" w:pos="993" w:leader="none"/>
        </w:tabs>
        <w:overflowPunct w:val="false"/>
        <w:spacing w:lineRule="auto" w:line="240" w:before="31" w:after="62"/>
        <w:jc w:val="both"/>
        <w:textAlignment w:val="baseline"/>
        <w:rPr>
          <w:rFonts w:ascii="Arial" w:hAnsi="Arial" w:cs="Verdana"/>
          <w:b/>
          <w:sz w:val="19"/>
          <w:szCs w:val="19"/>
          <w:shd w:fill="auto" w:val="clear"/>
        </w:rPr>
      </w:pPr>
      <w:r>
        <w:rPr>
          <w:rFonts w:cs="Verdana" w:ascii="Arial" w:hAnsi="Arial"/>
          <w:b/>
          <w:sz w:val="19"/>
          <w:szCs w:val="19"/>
          <w:shd w:fill="auto" w:val="clear"/>
        </w:rPr>
      </w:r>
    </w:p>
    <w:p>
      <w:pPr>
        <w:pStyle w:val="Normal"/>
        <w:tabs>
          <w:tab w:val="clear" w:pos="709"/>
          <w:tab w:val="left" w:pos="993" w:leader="none"/>
        </w:tabs>
        <w:overflowPunct w:val="false"/>
        <w:spacing w:lineRule="auto" w:line="240" w:before="31" w:after="62"/>
        <w:jc w:val="both"/>
        <w:textAlignment w:val="baseline"/>
        <w:rPr>
          <w:rFonts w:ascii="Arial" w:hAnsi="Arial" w:cs="Arial-BoldMT"/>
          <w:b/>
          <w:bCs/>
          <w:sz w:val="19"/>
          <w:szCs w:val="19"/>
          <w:shd w:fill="auto" w:val="clear"/>
        </w:rPr>
      </w:pPr>
      <w:r>
        <w:rPr>
          <w:rFonts w:cs="Arial-BoldMT" w:ascii="Arial" w:hAnsi="Arial"/>
          <w:b/>
          <w:bCs/>
          <w:sz w:val="19"/>
          <w:szCs w:val="19"/>
          <w:shd w:fill="auto" w:val="clear"/>
        </w:rPr>
      </w:r>
    </w:p>
    <w:p>
      <w:pPr>
        <w:pStyle w:val="Normal"/>
        <w:overflowPunct w:val="false"/>
        <w:spacing w:lineRule="auto" w:line="240" w:before="31" w:after="62"/>
        <w:jc w:val="both"/>
        <w:textAlignment w:val="baseline"/>
        <w:rPr>
          <w:rFonts w:ascii="Arial" w:hAnsi="Arial"/>
          <w:sz w:val="19"/>
          <w:szCs w:val="19"/>
          <w:shd w:fill="auto" w:val="clear"/>
        </w:rPr>
      </w:pPr>
      <w:r>
        <w:rPr>
          <w:rFonts w:cs="Arial-BoldMT" w:ascii="Arial" w:hAnsi="Arial"/>
          <w:b/>
          <w:bCs/>
          <w:sz w:val="19"/>
          <w:szCs w:val="19"/>
          <w:shd w:fill="auto" w:val="clear"/>
        </w:rPr>
        <w:t>Pregão Eletrônico</w:t>
      </w:r>
      <w:r>
        <w:rPr>
          <w:rFonts w:cs="Arial-BoldMT" w:ascii="Arial" w:hAnsi="Arial"/>
          <w:bCs/>
          <w:sz w:val="19"/>
          <w:szCs w:val="19"/>
          <w:shd w:fill="auto" w:val="clear"/>
        </w:rPr>
        <w:t xml:space="preserve"> nº </w:t>
      </w:r>
      <w:r>
        <w:rPr>
          <w:rFonts w:eastAsia="Times New Roman" w:cs="Verdana" w:ascii="Arial" w:hAnsi="Arial"/>
          <w:b/>
          <w:bCs/>
          <w:color w:val="FF0000"/>
          <w:sz w:val="18"/>
          <w:szCs w:val="18"/>
          <w:shd w:fill="auto" w:val="clear"/>
          <w:lang w:val="pt-BR" w:eastAsia="zh-CN" w:bidi="ar-SA"/>
        </w:rPr>
        <w:t>&lt;Número_Licitação&gt;/&lt;Ano_Licitação&gt;</w:t>
      </w:r>
      <w:r>
        <w:rPr>
          <w:rFonts w:eastAsia="Times New Roman" w:cs="Verdana" w:ascii="Arial" w:hAnsi="Arial"/>
          <w:b/>
          <w:bCs/>
          <w:i/>
          <w:iCs/>
          <w:color w:val="FF0000"/>
          <w:sz w:val="19"/>
          <w:szCs w:val="19"/>
          <w:shd w:fill="auto" w:val="clear"/>
          <w:lang w:val="pt-BR" w:eastAsia="zh-CN" w:bidi="ar-SA"/>
        </w:rPr>
        <w:t>.</w:t>
      </w:r>
    </w:p>
    <w:p>
      <w:pPr>
        <w:pStyle w:val="Normal"/>
        <w:overflowPunct w:val="false"/>
        <w:spacing w:lineRule="auto" w:line="240" w:before="31" w:after="62"/>
        <w:jc w:val="both"/>
        <w:textAlignment w:val="baseline"/>
        <w:rPr>
          <w:rFonts w:ascii="Arial" w:hAnsi="Arial" w:cs="Verdana"/>
          <w:bCs/>
          <w:sz w:val="19"/>
          <w:szCs w:val="19"/>
          <w:shd w:fill="auto" w:val="clear"/>
        </w:rPr>
      </w:pPr>
      <w:r>
        <w:rPr>
          <w:rFonts w:cs="Verdana" w:ascii="Arial" w:hAnsi="Arial"/>
          <w:bCs/>
          <w:sz w:val="19"/>
          <w:szCs w:val="19"/>
          <w:shd w:fill="auto" w:val="clear"/>
        </w:rPr>
      </w:r>
    </w:p>
    <w:p>
      <w:pPr>
        <w:pStyle w:val="Normal"/>
        <w:overflowPunct w:val="false"/>
        <w:spacing w:lineRule="auto" w:line="240" w:before="31" w:after="62"/>
        <w:jc w:val="both"/>
        <w:textAlignment w:val="baseline"/>
        <w:rPr>
          <w:rFonts w:ascii="Arial" w:hAnsi="Arial"/>
          <w:sz w:val="19"/>
          <w:szCs w:val="19"/>
          <w:shd w:fill="auto" w:val="clear"/>
        </w:rPr>
      </w:pPr>
      <w:r>
        <w:rPr>
          <w:rFonts w:cs="Verdana" w:ascii="Arial" w:hAnsi="Arial"/>
          <w:b/>
          <w:sz w:val="19"/>
          <w:szCs w:val="19"/>
          <w:shd w:fill="auto" w:val="clear"/>
        </w:rPr>
        <w:t xml:space="preserve">Objeto: </w:t>
      </w:r>
      <w:r>
        <w:rPr>
          <w:rFonts w:cs="Verdana" w:ascii="Arial" w:hAnsi="Arial"/>
          <w:b/>
          <w:bCs/>
          <w:color w:val="FF0000"/>
          <w:sz w:val="19"/>
          <w:szCs w:val="19"/>
          <w:shd w:fill="auto" w:val="clear"/>
        </w:rPr>
        <w:t>Aquisição de fraldas com recursos da Deliberação nº 78/2022 – CEDCA/PR e recursos livres, para a Secretaria Municipal de Assistência Social.</w:t>
      </w:r>
    </w:p>
    <w:p>
      <w:pPr>
        <w:pStyle w:val="Normal"/>
        <w:overflowPunct w:val="false"/>
        <w:spacing w:lineRule="auto" w:line="240" w:before="31" w:after="62"/>
        <w:jc w:val="both"/>
        <w:textAlignment w:val="baseline"/>
        <w:rPr>
          <w:rFonts w:ascii="Arial" w:hAnsi="Arial" w:cs="Verdana"/>
          <w:sz w:val="19"/>
          <w:szCs w:val="19"/>
          <w:shd w:fill="auto" w:val="clear"/>
        </w:rPr>
      </w:pPr>
      <w:r>
        <w:rPr>
          <w:rFonts w:cs="Verdana" w:ascii="Arial" w:hAnsi="Arial"/>
          <w:sz w:val="19"/>
          <w:szCs w:val="19"/>
          <w:shd w:fill="auto" w:val="clear"/>
        </w:rPr>
      </w:r>
    </w:p>
    <w:p>
      <w:pPr>
        <w:pStyle w:val="Normal"/>
        <w:overflowPunct w:val="false"/>
        <w:spacing w:lineRule="auto" w:line="240" w:before="31" w:after="62"/>
        <w:jc w:val="both"/>
        <w:textAlignment w:val="baseline"/>
        <w:rPr>
          <w:rFonts w:ascii="Arial" w:hAnsi="Arial"/>
          <w:sz w:val="19"/>
          <w:szCs w:val="19"/>
          <w:shd w:fill="auto" w:val="clear"/>
        </w:rPr>
      </w:pPr>
      <w:r>
        <w:rPr>
          <w:rFonts w:cs="Verdana" w:ascii="Arial" w:hAnsi="Arial"/>
          <w:b/>
          <w:bCs/>
          <w:sz w:val="19"/>
          <w:szCs w:val="19"/>
          <w:shd w:fill="auto" w:val="clear"/>
        </w:rPr>
        <w:t>DECLARAMOS</w:t>
      </w:r>
      <w:r>
        <w:rPr>
          <w:rFonts w:cs="Verdana" w:ascii="Arial" w:hAnsi="Arial"/>
          <w:sz w:val="19"/>
          <w:szCs w:val="19"/>
          <w:shd w:fill="auto" w:val="clear"/>
        </w:rPr>
        <w:t xml:space="preserve"> para os fins de direito que:</w:t>
      </w:r>
    </w:p>
    <w:p>
      <w:pPr>
        <w:pStyle w:val="Normal"/>
        <w:widowControl w:val="false"/>
        <w:numPr>
          <w:ilvl w:val="0"/>
          <w:numId w:val="8"/>
        </w:numPr>
        <w:overflowPunct w:val="false"/>
        <w:spacing w:lineRule="auto" w:line="240" w:before="31" w:after="62"/>
        <w:jc w:val="both"/>
        <w:textAlignment w:val="baseline"/>
        <w:rPr>
          <w:rFonts w:ascii="Arial" w:hAnsi="Arial"/>
          <w:sz w:val="19"/>
          <w:szCs w:val="19"/>
          <w:shd w:fill="auto" w:val="clear"/>
        </w:rPr>
      </w:pPr>
      <w:r>
        <w:rPr>
          <w:rFonts w:cs="Verdana" w:ascii="Arial" w:hAnsi="Arial"/>
          <w:b/>
          <w:bCs/>
          <w:i w:val="false"/>
          <w:caps w:val="false"/>
          <w:smallCaps w:val="false"/>
          <w:color w:val="000000"/>
          <w:spacing w:val="0"/>
          <w:sz w:val="19"/>
          <w:szCs w:val="19"/>
          <w:shd w:fill="auto" w:val="clear"/>
        </w:rPr>
        <w:t>Não</w:t>
      </w:r>
      <w:r>
        <w:rPr>
          <w:rFonts w:cs="Verdana" w:ascii="Arial" w:hAnsi="Arial"/>
          <w:b w:val="false"/>
          <w:bCs w:val="false"/>
          <w:i w:val="false"/>
          <w:caps w:val="false"/>
          <w:smallCaps w:val="false"/>
          <w:color w:val="000000"/>
          <w:spacing w:val="0"/>
          <w:sz w:val="19"/>
          <w:szCs w:val="19"/>
          <w:shd w:fill="auto" w:val="clear"/>
        </w:rPr>
        <w:t xml:space="preserve"> fomos declarados inidôneos para licitar ou contratar com o Poder Público, em qualquer de suas esferas e nem esta suspensa em nenhum Órgão Público Federal, Estadual ou Municipal, bem como inexiste fato superveniente impeditivo da habilitação.</w:t>
      </w:r>
    </w:p>
    <w:p>
      <w:pPr>
        <w:pStyle w:val="Normal"/>
        <w:widowControl w:val="false"/>
        <w:numPr>
          <w:ilvl w:val="0"/>
          <w:numId w:val="8"/>
        </w:numPr>
        <w:overflowPunct w:val="false"/>
        <w:spacing w:lineRule="auto" w:line="240" w:before="31" w:after="62"/>
        <w:jc w:val="both"/>
        <w:textAlignment w:val="baseline"/>
        <w:rPr>
          <w:rFonts w:ascii="Arial" w:hAnsi="Arial"/>
          <w:sz w:val="19"/>
          <w:szCs w:val="19"/>
          <w:shd w:fill="auto" w:val="clear"/>
        </w:rPr>
      </w:pPr>
      <w:r>
        <w:rPr>
          <w:rFonts w:cs="Verdana" w:ascii="Arial" w:hAnsi="Arial"/>
          <w:b/>
          <w:bCs/>
          <w:i w:val="false"/>
          <w:caps w:val="false"/>
          <w:smallCaps w:val="false"/>
          <w:color w:val="000000"/>
          <w:spacing w:val="0"/>
          <w:sz w:val="19"/>
          <w:szCs w:val="19"/>
          <w:shd w:fill="auto" w:val="clear"/>
        </w:rPr>
        <w:t>Atendemos</w:t>
      </w:r>
      <w:r>
        <w:rPr>
          <w:rFonts w:cs="Verdana" w:ascii="Arial" w:hAnsi="Arial"/>
          <w:b w:val="false"/>
          <w:bCs w:val="false"/>
          <w:i w:val="false"/>
          <w:caps w:val="false"/>
          <w:smallCaps w:val="false"/>
          <w:color w:val="000000"/>
          <w:spacing w:val="0"/>
          <w:sz w:val="19"/>
          <w:szCs w:val="19"/>
          <w:shd w:fill="auto" w:val="clear"/>
        </w:rPr>
        <w:t xml:space="preserve"> plenamente aos requisitos de habilitação e cientes que responderemos pela veracidade das informações prestadas, na forma da lei.</w:t>
      </w:r>
    </w:p>
    <w:p>
      <w:pPr>
        <w:pStyle w:val="Normal"/>
        <w:widowControl w:val="false"/>
        <w:numPr>
          <w:ilvl w:val="0"/>
          <w:numId w:val="8"/>
        </w:numPr>
        <w:overflowPunct w:val="false"/>
        <w:spacing w:lineRule="auto" w:line="240" w:before="31" w:after="62"/>
        <w:jc w:val="both"/>
        <w:textAlignment w:val="baseline"/>
        <w:rPr>
          <w:rFonts w:ascii="Arial" w:hAnsi="Arial"/>
          <w:sz w:val="19"/>
          <w:szCs w:val="19"/>
          <w:shd w:fill="auto" w:val="clear"/>
        </w:rPr>
      </w:pPr>
      <w:r>
        <w:rPr>
          <w:rFonts w:cs="Verdana" w:ascii="Arial" w:hAnsi="Arial"/>
          <w:b/>
          <w:bCs/>
          <w:sz w:val="19"/>
          <w:szCs w:val="19"/>
          <w:shd w:fill="auto" w:val="clear"/>
        </w:rPr>
        <w:t>Cumprimos</w:t>
      </w:r>
      <w:r>
        <w:rPr>
          <w:rFonts w:cs="Verdana" w:ascii="Arial" w:hAnsi="Arial"/>
          <w:b w:val="false"/>
          <w:bCs w:val="false"/>
          <w:sz w:val="19"/>
          <w:szCs w:val="19"/>
          <w:shd w:fill="auto" w:val="clear"/>
        </w:rPr>
        <w:t xml:space="preserve"> com as </w:t>
      </w:r>
      <w:r>
        <w:rPr>
          <w:rFonts w:cs="Verdana" w:ascii="Arial" w:hAnsi="Arial"/>
          <w:b w:val="false"/>
          <w:bCs w:val="false"/>
          <w:i w:val="false"/>
          <w:caps w:val="false"/>
          <w:smallCaps w:val="false"/>
          <w:color w:val="000000"/>
          <w:spacing w:val="0"/>
          <w:sz w:val="19"/>
          <w:szCs w:val="19"/>
          <w:shd w:fill="auto" w:val="clear"/>
        </w:rPr>
        <w:t>exigências de reserva de cargos para pessoa com deficiência e para reabilitado da Previdência Social, previstas em lei e em outras normas específicas;</w:t>
      </w:r>
    </w:p>
    <w:p>
      <w:pPr>
        <w:pStyle w:val="Normal"/>
        <w:widowControl w:val="false"/>
        <w:numPr>
          <w:ilvl w:val="0"/>
          <w:numId w:val="8"/>
        </w:numPr>
        <w:overflowPunct w:val="false"/>
        <w:spacing w:lineRule="auto" w:line="240" w:before="31" w:after="62"/>
        <w:jc w:val="both"/>
        <w:textAlignment w:val="baseline"/>
        <w:rPr>
          <w:rFonts w:ascii="Arial" w:hAnsi="Arial" w:cs="Verdana"/>
          <w:b w:val="false"/>
          <w:bCs w:val="false"/>
          <w:sz w:val="19"/>
          <w:szCs w:val="19"/>
          <w:shd w:fill="auto" w:val="clear"/>
        </w:rPr>
      </w:pPr>
      <w:r>
        <w:rPr>
          <w:rFonts w:cs="Verdana" w:ascii="Arial" w:hAnsi="Arial"/>
          <w:b/>
          <w:bCs/>
          <w:i w:val="false"/>
          <w:caps w:val="false"/>
          <w:smallCaps w:val="false"/>
          <w:color w:val="000000"/>
          <w:spacing w:val="0"/>
          <w:sz w:val="19"/>
          <w:szCs w:val="19"/>
          <w:shd w:fill="auto" w:val="clear"/>
        </w:rPr>
        <w:t>Cumprimos</w:t>
      </w:r>
      <w:r>
        <w:rPr>
          <w:rFonts w:cs="Verdana" w:ascii="Arial" w:hAnsi="Arial"/>
          <w:b w:val="false"/>
          <w:bCs w:val="false"/>
          <w:i w:val="false"/>
          <w:caps w:val="false"/>
          <w:smallCaps w:val="false"/>
          <w:color w:val="000000"/>
          <w:spacing w:val="0"/>
          <w:sz w:val="19"/>
          <w:szCs w:val="19"/>
          <w:shd w:fill="auto" w:val="clear"/>
        </w:rPr>
        <w:t xml:space="preserve"> com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Federal nº 14.133/2021.</w:t>
      </w:r>
    </w:p>
    <w:p>
      <w:pPr>
        <w:pStyle w:val="Normal"/>
        <w:widowControl w:val="false"/>
        <w:numPr>
          <w:ilvl w:val="0"/>
          <w:numId w:val="8"/>
        </w:numPr>
        <w:overflowPunct w:val="false"/>
        <w:spacing w:lineRule="auto" w:line="240" w:before="31" w:after="62"/>
        <w:jc w:val="both"/>
        <w:textAlignment w:val="baseline"/>
        <w:rPr>
          <w:rFonts w:ascii="Arial" w:hAnsi="Arial" w:cs="Verdana"/>
          <w:b w:val="false"/>
          <w:bCs w:val="false"/>
          <w:sz w:val="19"/>
          <w:szCs w:val="19"/>
          <w:shd w:fill="auto" w:val="clear"/>
        </w:rPr>
      </w:pPr>
      <w:r>
        <w:rPr>
          <w:rFonts w:cs="Verdana" w:ascii="Arial" w:hAnsi="Arial"/>
          <w:b w:val="false"/>
          <w:bCs w:val="false"/>
          <w:i w:val="false"/>
          <w:caps w:val="false"/>
          <w:smallCaps w:val="false"/>
          <w:color w:val="000000"/>
          <w:spacing w:val="0"/>
          <w:sz w:val="19"/>
          <w:szCs w:val="19"/>
          <w:shd w:fill="auto" w:val="clear"/>
        </w:rPr>
        <w:t>Os valores apresentados na proposta compreendem a integralidade dos custos para atendimento dos direitos trabalhistas assegurados na Constituição Federal, nas leis trabalhistas, nas normas infralegais, nas convenções coletivas de trabalho e nos termos de ajustamento de condutas vigentes na data da entrega da proposta.</w:t>
      </w:r>
    </w:p>
    <w:p>
      <w:pPr>
        <w:pStyle w:val="Normal"/>
        <w:numPr>
          <w:ilvl w:val="0"/>
          <w:numId w:val="8"/>
        </w:numPr>
        <w:suppressAutoHyphens w:val="true"/>
        <w:jc w:val="both"/>
        <w:rPr>
          <w:rFonts w:ascii="Arial" w:hAnsi="Arial"/>
          <w:sz w:val="19"/>
          <w:szCs w:val="19"/>
          <w:shd w:fill="auto" w:val="clear"/>
        </w:rPr>
      </w:pPr>
      <w:r>
        <w:rPr>
          <w:rFonts w:cs="Arial" w:ascii="Arial" w:hAnsi="Arial"/>
          <w:i w:val="false"/>
          <w:caps w:val="false"/>
          <w:smallCaps w:val="false"/>
          <w:color w:val="000000"/>
          <w:spacing w:val="0"/>
          <w:sz w:val="19"/>
          <w:szCs w:val="19"/>
          <w:shd w:fill="auto" w:val="clear"/>
          <w:lang w:eastAsia="ar-SA"/>
        </w:rPr>
        <w:t xml:space="preserve">Sob as penas da lei e sanções administrativas cabíveis, nos termos da legislação vigente, </w:t>
      </w:r>
      <w:r>
        <w:rPr>
          <w:rFonts w:cs="Arial" w:ascii="Arial" w:hAnsi="Arial"/>
          <w:b/>
          <w:bCs/>
          <w:i w:val="false"/>
          <w:caps w:val="false"/>
          <w:smallCaps w:val="false"/>
          <w:color w:val="000000"/>
          <w:spacing w:val="0"/>
          <w:sz w:val="19"/>
          <w:szCs w:val="19"/>
          <w:shd w:fill="auto" w:val="clear"/>
          <w:lang w:eastAsia="ar-SA"/>
        </w:rPr>
        <w:t>não possuímos nenhum dos impedimentos</w:t>
      </w:r>
      <w:r>
        <w:rPr>
          <w:rFonts w:cs="Arial" w:ascii="Arial" w:hAnsi="Arial"/>
          <w:i w:val="false"/>
          <w:caps w:val="false"/>
          <w:smallCaps w:val="false"/>
          <w:color w:val="000000"/>
          <w:spacing w:val="0"/>
          <w:sz w:val="19"/>
          <w:szCs w:val="19"/>
          <w:shd w:fill="auto" w:val="clear"/>
          <w:lang w:eastAsia="ar-SA"/>
        </w:rPr>
        <w:t xml:space="preserve"> previstos no parágrafo 4º do artigo 3º da Lei Complementar nº 123/2006, sendo a empresa </w:t>
      </w:r>
      <w:r>
        <w:rPr>
          <w:rFonts w:cs="Arial" w:ascii="Arial" w:hAnsi="Arial"/>
          <w:b/>
          <w:bCs/>
          <w:i w:val="false"/>
          <w:caps w:val="false"/>
          <w:smallCaps w:val="false"/>
          <w:color w:val="000000"/>
          <w:spacing w:val="0"/>
          <w:sz w:val="19"/>
          <w:szCs w:val="19"/>
          <w:shd w:fill="auto" w:val="clear"/>
          <w:lang w:eastAsia="ar-SA"/>
        </w:rPr>
        <w:t>enquadrada</w:t>
      </w:r>
      <w:r>
        <w:rPr>
          <w:rFonts w:cs="Arial" w:ascii="Arial" w:hAnsi="Arial"/>
          <w:i w:val="false"/>
          <w:caps w:val="false"/>
          <w:smallCaps w:val="false"/>
          <w:color w:val="000000"/>
          <w:spacing w:val="0"/>
          <w:sz w:val="19"/>
          <w:szCs w:val="19"/>
          <w:shd w:fill="auto" w:val="clear"/>
          <w:lang w:eastAsia="ar-SA"/>
        </w:rPr>
        <w:t xml:space="preserve"> como:</w:t>
      </w:r>
    </w:p>
    <w:tbl>
      <w:tblPr>
        <w:tblW w:w="5213" w:type="dxa"/>
        <w:jc w:val="left"/>
        <w:tblInd w:w="1019" w:type="dxa"/>
        <w:tblLayout w:type="fixed"/>
        <w:tblCellMar>
          <w:top w:w="55" w:type="dxa"/>
          <w:left w:w="55" w:type="dxa"/>
          <w:bottom w:w="55" w:type="dxa"/>
          <w:right w:w="55" w:type="dxa"/>
        </w:tblCellMar>
      </w:tblPr>
      <w:tblGrid>
        <w:gridCol w:w="448"/>
        <w:gridCol w:w="4764"/>
      </w:tblGrid>
      <w:tr>
        <w:trPr/>
        <w:tc>
          <w:tcPr>
            <w:tcW w:w="448" w:type="dxa"/>
            <w:tcBorders/>
          </w:tcPr>
          <w:p>
            <w:pPr>
              <w:pStyle w:val="Contedodatabelauser"/>
              <w:widowControl w:val="false"/>
              <w:spacing w:before="0" w:after="0"/>
              <w:jc w:val="center"/>
              <w:rPr>
                <w:rFonts w:ascii="Arial" w:hAnsi="Arial" w:cs="Arial"/>
                <w:b w:val="false"/>
                <w:bCs w:val="false"/>
                <w:sz w:val="19"/>
                <w:szCs w:val="19"/>
                <w:shd w:fill="auto" w:val="clear"/>
                <w:lang w:eastAsia="ar-SA"/>
              </w:rPr>
            </w:pPr>
            <w:r>
              <w:rPr>
                <w:rFonts w:cs="Arial" w:ascii="Arial" w:hAnsi="Arial"/>
                <w:b w:val="false"/>
                <w:bCs w:val="false"/>
                <w:sz w:val="19"/>
                <w:szCs w:val="19"/>
                <w:shd w:fill="auto" w:val="clear"/>
                <w:lang w:eastAsia="ar-SA"/>
              </w:rPr>
              <w:t>(  )</w:t>
            </w:r>
          </w:p>
        </w:tc>
        <w:tc>
          <w:tcPr>
            <w:tcW w:w="4764" w:type="dxa"/>
            <w:tcBorders/>
          </w:tcPr>
          <w:p>
            <w:pPr>
              <w:pStyle w:val="Contedodatabelauser"/>
              <w:widowControl w:val="false"/>
              <w:spacing w:lineRule="auto" w:line="240" w:before="0" w:after="0"/>
              <w:rPr>
                <w:rFonts w:ascii="Arial" w:hAnsi="Arial" w:cs="Arial"/>
                <w:b w:val="false"/>
                <w:bCs w:val="false"/>
                <w:sz w:val="19"/>
                <w:szCs w:val="19"/>
                <w:shd w:fill="auto" w:val="clear"/>
                <w:lang w:eastAsia="ar-SA"/>
              </w:rPr>
            </w:pPr>
            <w:r>
              <w:rPr>
                <w:rFonts w:cs="Arial" w:ascii="Arial" w:hAnsi="Arial"/>
                <w:b w:val="false"/>
                <w:bCs w:val="false"/>
                <w:sz w:val="19"/>
                <w:szCs w:val="19"/>
                <w:shd w:fill="auto" w:val="clear"/>
                <w:lang w:eastAsia="ar-SA"/>
              </w:rPr>
              <w:t>Microempresa.</w:t>
            </w:r>
          </w:p>
        </w:tc>
      </w:tr>
      <w:tr>
        <w:trPr/>
        <w:tc>
          <w:tcPr>
            <w:tcW w:w="448" w:type="dxa"/>
            <w:tcBorders/>
          </w:tcPr>
          <w:p>
            <w:pPr>
              <w:pStyle w:val="Contedodatabelauser"/>
              <w:widowControl w:val="false"/>
              <w:spacing w:before="0" w:after="0"/>
              <w:jc w:val="center"/>
              <w:rPr>
                <w:rFonts w:ascii="Arial" w:hAnsi="Arial" w:cs="Arial"/>
                <w:b w:val="false"/>
                <w:bCs w:val="false"/>
                <w:sz w:val="19"/>
                <w:szCs w:val="19"/>
                <w:shd w:fill="auto" w:val="clear"/>
                <w:lang w:eastAsia="ar-SA"/>
              </w:rPr>
            </w:pPr>
            <w:r>
              <w:rPr>
                <w:rFonts w:cs="Arial" w:ascii="Arial" w:hAnsi="Arial"/>
                <w:b w:val="false"/>
                <w:bCs w:val="false"/>
                <w:sz w:val="19"/>
                <w:szCs w:val="19"/>
                <w:shd w:fill="auto" w:val="clear"/>
                <w:lang w:eastAsia="ar-SA"/>
              </w:rPr>
              <w:t>(  )</w:t>
            </w:r>
          </w:p>
        </w:tc>
        <w:tc>
          <w:tcPr>
            <w:tcW w:w="4764" w:type="dxa"/>
            <w:tcBorders/>
          </w:tcPr>
          <w:p>
            <w:pPr>
              <w:pStyle w:val="Contedodatabelauser"/>
              <w:widowControl w:val="false"/>
              <w:spacing w:lineRule="auto" w:line="240" w:before="0" w:after="0"/>
              <w:rPr>
                <w:rFonts w:ascii="Arial" w:hAnsi="Arial" w:cs="Arial"/>
                <w:b w:val="false"/>
                <w:bCs w:val="false"/>
                <w:sz w:val="19"/>
                <w:szCs w:val="19"/>
                <w:shd w:fill="auto" w:val="clear"/>
                <w:lang w:eastAsia="ar-SA"/>
              </w:rPr>
            </w:pPr>
            <w:r>
              <w:rPr>
                <w:rFonts w:cs="Arial" w:ascii="Arial" w:hAnsi="Arial"/>
                <w:b w:val="false"/>
                <w:bCs w:val="false"/>
                <w:sz w:val="19"/>
                <w:szCs w:val="19"/>
                <w:shd w:fill="auto" w:val="clear"/>
                <w:lang w:eastAsia="ar-SA"/>
              </w:rPr>
              <w:t>Empresa de pequeno porte.</w:t>
            </w:r>
          </w:p>
        </w:tc>
      </w:tr>
      <w:tr>
        <w:trPr/>
        <w:tc>
          <w:tcPr>
            <w:tcW w:w="448" w:type="dxa"/>
            <w:tcBorders/>
          </w:tcPr>
          <w:p>
            <w:pPr>
              <w:pStyle w:val="Contedodatabelauser"/>
              <w:widowControl w:val="false"/>
              <w:spacing w:before="0" w:after="0"/>
              <w:jc w:val="center"/>
              <w:rPr>
                <w:rFonts w:ascii="Arial" w:hAnsi="Arial" w:cs="Arial"/>
                <w:b w:val="false"/>
                <w:bCs w:val="false"/>
                <w:sz w:val="19"/>
                <w:szCs w:val="19"/>
                <w:shd w:fill="auto" w:val="clear"/>
                <w:lang w:eastAsia="ar-SA"/>
              </w:rPr>
            </w:pPr>
            <w:r>
              <w:rPr>
                <w:rFonts w:cs="Arial" w:ascii="Arial" w:hAnsi="Arial"/>
                <w:b w:val="false"/>
                <w:bCs w:val="false"/>
                <w:sz w:val="19"/>
                <w:szCs w:val="19"/>
                <w:shd w:fill="auto" w:val="clear"/>
                <w:lang w:eastAsia="ar-SA"/>
              </w:rPr>
              <w:t>(  )</w:t>
            </w:r>
          </w:p>
        </w:tc>
        <w:tc>
          <w:tcPr>
            <w:tcW w:w="4764" w:type="dxa"/>
            <w:tcBorders/>
          </w:tcPr>
          <w:p>
            <w:pPr>
              <w:pStyle w:val="Contedodatabelauser"/>
              <w:widowControl w:val="false"/>
              <w:spacing w:lineRule="auto" w:line="240" w:before="0" w:after="0"/>
              <w:rPr>
                <w:rFonts w:ascii="Arial" w:hAnsi="Arial" w:cs="Arial"/>
                <w:b w:val="false"/>
                <w:bCs w:val="false"/>
                <w:sz w:val="19"/>
                <w:szCs w:val="19"/>
                <w:shd w:fill="auto" w:val="clear"/>
                <w:lang w:eastAsia="ar-SA"/>
              </w:rPr>
            </w:pPr>
            <w:r>
              <w:rPr>
                <w:rFonts w:cs="Arial" w:ascii="Arial" w:hAnsi="Arial"/>
                <w:b w:val="false"/>
                <w:bCs w:val="false"/>
                <w:sz w:val="19"/>
                <w:szCs w:val="19"/>
                <w:shd w:fill="auto" w:val="clear"/>
                <w:lang w:eastAsia="ar-SA"/>
              </w:rPr>
              <w:t>Empresa de grande porte.</w:t>
            </w:r>
          </w:p>
          <w:p>
            <w:pPr>
              <w:pStyle w:val="Contedodatabelauser"/>
              <w:widowControl w:val="false"/>
              <w:spacing w:lineRule="auto" w:line="240" w:before="0" w:after="0"/>
              <w:rPr>
                <w:rFonts w:ascii="Arial" w:hAnsi="Arial" w:cs="Arial"/>
                <w:b w:val="false"/>
                <w:bCs w:val="false"/>
                <w:sz w:val="19"/>
                <w:szCs w:val="19"/>
                <w:shd w:fill="auto" w:val="clear"/>
                <w:lang w:eastAsia="ar-SA"/>
              </w:rPr>
            </w:pPr>
            <w:r>
              <w:rPr>
                <w:rFonts w:cs="Arial" w:ascii="Arial" w:hAnsi="Arial"/>
                <w:b w:val="false"/>
                <w:bCs w:val="false"/>
                <w:sz w:val="19"/>
                <w:szCs w:val="19"/>
                <w:shd w:fill="auto" w:val="clear"/>
                <w:lang w:eastAsia="ar-SA"/>
              </w:rPr>
            </w:r>
          </w:p>
          <w:p>
            <w:pPr>
              <w:pStyle w:val="Contedodatabelauser"/>
              <w:widowControl w:val="false"/>
              <w:spacing w:lineRule="auto" w:line="240" w:before="0" w:after="0"/>
              <w:rPr>
                <w:rFonts w:ascii="Arial" w:hAnsi="Arial" w:cs="Arial"/>
                <w:b w:val="false"/>
                <w:bCs w:val="false"/>
                <w:sz w:val="19"/>
                <w:szCs w:val="19"/>
                <w:shd w:fill="auto" w:val="clear"/>
                <w:lang w:eastAsia="ar-SA"/>
              </w:rPr>
            </w:pPr>
            <w:r>
              <w:rPr>
                <w:rFonts w:cs="Arial" w:ascii="Arial" w:hAnsi="Arial"/>
                <w:b w:val="false"/>
                <w:bCs w:val="false"/>
                <w:sz w:val="19"/>
                <w:szCs w:val="19"/>
                <w:shd w:fill="auto" w:val="clear"/>
                <w:lang w:eastAsia="ar-SA"/>
              </w:rPr>
              <w:t>Obs.:</w:t>
            </w:r>
          </w:p>
        </w:tc>
      </w:tr>
    </w:tbl>
    <w:p>
      <w:pPr>
        <w:pStyle w:val="BodyText"/>
        <w:spacing w:lineRule="auto" w:line="240" w:before="31" w:after="62"/>
        <w:ind w:hanging="0" w:left="1134" w:right="0"/>
        <w:jc w:val="both"/>
        <w:rPr>
          <w:rFonts w:ascii="Arial" w:hAnsi="Arial" w:cs="Verdana"/>
          <w:sz w:val="19"/>
          <w:szCs w:val="19"/>
          <w:shd w:fill="auto" w:val="clear"/>
        </w:rPr>
      </w:pPr>
      <w:r>
        <w:rPr>
          <w:rFonts w:cs="Verdana"/>
          <w:sz w:val="19"/>
          <w:szCs w:val="19"/>
          <w:shd w:fill="auto" w:val="clear"/>
        </w:rPr>
      </w:r>
    </w:p>
    <w:p>
      <w:pPr>
        <w:pStyle w:val="BodyText"/>
        <w:numPr>
          <w:ilvl w:val="0"/>
          <w:numId w:val="0"/>
        </w:numPr>
        <w:spacing w:lineRule="auto" w:line="240" w:before="31" w:after="62"/>
        <w:ind w:hanging="0" w:left="720"/>
        <w:rPr>
          <w:rFonts w:ascii="Arial" w:hAnsi="Arial" w:cs="Verdana"/>
          <w:b w:val="false"/>
          <w:bCs w:val="false"/>
          <w:i w:val="false"/>
          <w:i w:val="false"/>
          <w:caps w:val="false"/>
          <w:smallCaps w:val="false"/>
          <w:color w:val="000000"/>
          <w:spacing w:val="0"/>
          <w:sz w:val="19"/>
          <w:szCs w:val="19"/>
          <w:shd w:fill="auto" w:val="clear"/>
        </w:rPr>
      </w:pPr>
      <w:r>
        <w:rPr>
          <w:rFonts w:cs="Verdana"/>
          <w:b w:val="false"/>
          <w:bCs w:val="false"/>
          <w:i w:val="false"/>
          <w:caps w:val="false"/>
          <w:smallCaps w:val="false"/>
          <w:color w:val="000000"/>
          <w:spacing w:val="0"/>
          <w:sz w:val="19"/>
          <w:szCs w:val="19"/>
          <w:shd w:fill="auto" w:val="clear"/>
        </w:rPr>
        <w:t>Por ser expressão da verdade, firmamos a presente.</w:t>
      </w:r>
    </w:p>
    <w:p>
      <w:pPr>
        <w:pStyle w:val="Normal"/>
        <w:overflowPunct w:val="false"/>
        <w:spacing w:lineRule="auto" w:line="240" w:before="31" w:after="62"/>
        <w:jc w:val="both"/>
        <w:textAlignment w:val="baseline"/>
        <w:rPr>
          <w:rFonts w:ascii="Arial" w:hAnsi="Arial" w:cs="Verdana"/>
          <w:b w:val="false"/>
          <w:bCs w:val="false"/>
          <w:sz w:val="19"/>
          <w:szCs w:val="19"/>
          <w:shd w:fill="auto" w:val="clear"/>
        </w:rPr>
      </w:pPr>
      <w:r>
        <w:rPr>
          <w:rFonts w:cs="Verdana" w:ascii="Arial" w:hAnsi="Arial"/>
          <w:b w:val="false"/>
          <w:bCs w:val="false"/>
          <w:sz w:val="19"/>
          <w:szCs w:val="19"/>
          <w:shd w:fill="auto" w:val="clear"/>
        </w:rPr>
      </w:r>
    </w:p>
    <w:p>
      <w:pPr>
        <w:pStyle w:val="Normal"/>
        <w:widowControl w:val="false"/>
        <w:numPr>
          <w:ilvl w:val="0"/>
          <w:numId w:val="0"/>
        </w:numPr>
        <w:overflowPunct w:val="false"/>
        <w:spacing w:lineRule="auto" w:line="240" w:before="31" w:after="62"/>
        <w:ind w:hanging="0" w:left="720"/>
        <w:jc w:val="both"/>
        <w:textAlignment w:val="baseline"/>
        <w:rPr>
          <w:rFonts w:ascii="Arial" w:hAnsi="Arial" w:cs="Verdana"/>
          <w:b w:val="false"/>
          <w:bCs w:val="false"/>
          <w:i w:val="false"/>
          <w:i w:val="false"/>
          <w:caps w:val="false"/>
          <w:smallCaps w:val="false"/>
          <w:color w:val="000000"/>
          <w:spacing w:val="0"/>
          <w:sz w:val="19"/>
          <w:szCs w:val="19"/>
          <w:shd w:fill="auto" w:val="clear"/>
        </w:rPr>
      </w:pPr>
      <w:r>
        <w:rPr>
          <w:rFonts w:cs="Verdana" w:ascii="Arial" w:hAnsi="Arial"/>
          <w:b w:val="false"/>
          <w:bCs w:val="false"/>
          <w:i w:val="false"/>
          <w:caps w:val="false"/>
          <w:smallCaps w:val="false"/>
          <w:color w:val="000000"/>
          <w:spacing w:val="0"/>
          <w:sz w:val="19"/>
          <w:szCs w:val="19"/>
          <w:shd w:fill="auto" w:val="clear"/>
        </w:rPr>
      </w:r>
    </w:p>
    <w:p>
      <w:pPr>
        <w:pStyle w:val="Normal"/>
        <w:widowControl w:val="false"/>
        <w:overflowPunct w:val="false"/>
        <w:spacing w:lineRule="auto" w:line="240" w:before="31" w:after="62"/>
        <w:jc w:val="both"/>
        <w:textAlignment w:val="baseline"/>
        <w:rPr>
          <w:rFonts w:ascii="Arial" w:hAnsi="Arial"/>
          <w:sz w:val="19"/>
          <w:szCs w:val="19"/>
          <w:shd w:fill="auto" w:val="clear"/>
        </w:rPr>
      </w:pPr>
      <w:r>
        <w:rPr>
          <w:rFonts w:ascii="Arial" w:hAnsi="Arial"/>
          <w:sz w:val="19"/>
          <w:szCs w:val="19"/>
          <w:shd w:fill="auto" w:val="clear"/>
        </w:rPr>
      </w:r>
    </w:p>
    <w:p>
      <w:pPr>
        <w:pStyle w:val="BodyText"/>
        <w:spacing w:lineRule="auto" w:line="240" w:before="31" w:after="62"/>
        <w:rPr>
          <w:rFonts w:ascii="Arial" w:hAnsi="Arial"/>
          <w:sz w:val="19"/>
          <w:szCs w:val="19"/>
          <w:shd w:fill="auto" w:val="clear"/>
        </w:rPr>
      </w:pPr>
      <w:r>
        <w:rPr>
          <w:sz w:val="19"/>
          <w:szCs w:val="19"/>
          <w:shd w:fill="auto" w:val="clear"/>
        </w:rPr>
      </w:r>
    </w:p>
    <w:p>
      <w:pPr>
        <w:pStyle w:val="BodyText"/>
        <w:spacing w:lineRule="auto" w:line="240" w:before="31" w:after="62"/>
        <w:rPr>
          <w:rFonts w:ascii="Arial" w:hAnsi="Arial"/>
          <w:sz w:val="19"/>
          <w:szCs w:val="19"/>
          <w:shd w:fill="auto" w:val="clear"/>
        </w:rPr>
      </w:pPr>
      <w:r>
        <w:rPr>
          <w:sz w:val="19"/>
          <w:szCs w:val="19"/>
          <w:shd w:fill="auto" w:val="clear"/>
        </w:rPr>
      </w:r>
    </w:p>
    <w:tbl>
      <w:tblPr>
        <w:tblW w:w="3040" w:type="dxa"/>
        <w:jc w:val="left"/>
        <w:tblInd w:w="3256" w:type="dxa"/>
        <w:tblLayout w:type="fixed"/>
        <w:tblCellMar>
          <w:top w:w="55" w:type="dxa"/>
          <w:left w:w="55" w:type="dxa"/>
          <w:bottom w:w="55" w:type="dxa"/>
          <w:right w:w="55" w:type="dxa"/>
        </w:tblCellMar>
      </w:tblPr>
      <w:tblGrid>
        <w:gridCol w:w="3040"/>
      </w:tblGrid>
      <w:tr>
        <w:trPr/>
        <w:tc>
          <w:tcPr>
            <w:tcW w:w="3040" w:type="dxa"/>
            <w:tcBorders>
              <w:top w:val="single" w:sz="4" w:space="0" w:color="000000"/>
            </w:tcBorders>
          </w:tcPr>
          <w:p>
            <w:pPr>
              <w:pStyle w:val="Normal"/>
              <w:keepNext w:val="false"/>
              <w:widowControl w:val="false"/>
              <w:overflowPunct w:val="false"/>
              <w:bidi w:val="0"/>
              <w:spacing w:lineRule="auto" w:line="276" w:before="0" w:after="0"/>
              <w:ind w:hanging="0" w:left="0" w:right="57"/>
              <w:jc w:val="left"/>
              <w:textAlignment w:val="baseline"/>
              <w:rPr>
                <w:rFonts w:ascii="Arial" w:hAnsi="Arial"/>
                <w:b/>
                <w:bCs/>
                <w:sz w:val="19"/>
                <w:szCs w:val="19"/>
                <w:shd w:fill="auto" w:val="clear"/>
              </w:rPr>
            </w:pPr>
            <w:r>
              <w:rPr>
                <w:rFonts w:ascii="Arial" w:hAnsi="Arial"/>
                <w:b/>
                <w:bCs/>
                <w:sz w:val="19"/>
                <w:szCs w:val="19"/>
                <w:shd w:fill="auto" w:val="clear"/>
              </w:rPr>
              <w:t>Representante Legal</w:t>
            </w:r>
          </w:p>
          <w:p>
            <w:pPr>
              <w:pStyle w:val="Normal"/>
              <w:keepNext w:val="false"/>
              <w:widowControl w:val="false"/>
              <w:overflowPunct w:val="false"/>
              <w:bidi w:val="0"/>
              <w:spacing w:lineRule="auto" w:line="276" w:before="0" w:after="0"/>
              <w:ind w:hanging="0" w:left="0" w:right="57"/>
              <w:jc w:val="left"/>
              <w:textAlignment w:val="baseline"/>
              <w:rPr>
                <w:rFonts w:ascii="Arial" w:hAnsi="Arial"/>
                <w:bCs/>
                <w:sz w:val="19"/>
                <w:szCs w:val="19"/>
                <w:shd w:fill="auto" w:val="clear"/>
              </w:rPr>
            </w:pPr>
            <w:r>
              <w:rPr>
                <w:rFonts w:ascii="Arial" w:hAnsi="Arial"/>
                <w:bCs/>
                <w:sz w:val="19"/>
                <w:szCs w:val="19"/>
                <w:shd w:fill="auto" w:val="clear"/>
              </w:rPr>
              <w:t>Nome:</w:t>
            </w:r>
          </w:p>
          <w:p>
            <w:pPr>
              <w:pStyle w:val="Normal"/>
              <w:keepNext w:val="false"/>
              <w:widowControl w:val="false"/>
              <w:overflowPunct w:val="false"/>
              <w:bidi w:val="0"/>
              <w:spacing w:lineRule="auto" w:line="276" w:before="0" w:after="0"/>
              <w:ind w:hanging="0" w:left="0" w:right="57"/>
              <w:jc w:val="left"/>
              <w:textAlignment w:val="baseline"/>
              <w:rPr>
                <w:rFonts w:ascii="Arial" w:hAnsi="Arial"/>
                <w:bCs/>
                <w:sz w:val="19"/>
                <w:szCs w:val="19"/>
                <w:shd w:fill="auto" w:val="clear"/>
              </w:rPr>
            </w:pPr>
            <w:r>
              <w:rPr>
                <w:rFonts w:ascii="Arial" w:hAnsi="Arial"/>
                <w:bCs/>
                <w:sz w:val="19"/>
                <w:szCs w:val="19"/>
                <w:shd w:fill="auto" w:val="clear"/>
              </w:rPr>
              <w:t>RG:</w:t>
            </w:r>
          </w:p>
          <w:p>
            <w:pPr>
              <w:pStyle w:val="Normal"/>
              <w:keepNext w:val="false"/>
              <w:widowControl w:val="false"/>
              <w:overflowPunct w:val="false"/>
              <w:bidi w:val="0"/>
              <w:spacing w:lineRule="auto" w:line="276" w:before="0" w:after="0"/>
              <w:ind w:hanging="0" w:left="0" w:right="57"/>
              <w:jc w:val="left"/>
              <w:textAlignment w:val="baseline"/>
              <w:rPr>
                <w:rFonts w:ascii="Arial" w:hAnsi="Arial"/>
                <w:bCs/>
                <w:sz w:val="19"/>
                <w:szCs w:val="19"/>
                <w:shd w:fill="auto" w:val="clear"/>
              </w:rPr>
            </w:pPr>
            <w:r>
              <w:rPr>
                <w:rFonts w:ascii="Arial" w:hAnsi="Arial"/>
                <w:bCs/>
                <w:sz w:val="19"/>
                <w:szCs w:val="19"/>
                <w:shd w:fill="auto" w:val="clear"/>
              </w:rPr>
              <w:t>CPF:</w:t>
            </w:r>
          </w:p>
        </w:tc>
      </w:tr>
    </w:tbl>
    <w:p>
      <w:pPr>
        <w:pStyle w:val="BodyText"/>
        <w:spacing w:lineRule="auto" w:line="240" w:before="31" w:after="62"/>
        <w:rPr>
          <w:rFonts w:ascii="Arial" w:hAnsi="Arial"/>
          <w:sz w:val="19"/>
          <w:szCs w:val="19"/>
          <w:shd w:fill="auto" w:val="clear"/>
        </w:rPr>
      </w:pPr>
      <w:r>
        <w:rPr>
          <w:sz w:val="19"/>
          <w:szCs w:val="19"/>
          <w:shd w:fill="auto" w:val="clear"/>
        </w:rPr>
      </w:r>
    </w:p>
    <w:p>
      <w:pPr>
        <w:pStyle w:val="BodyText"/>
        <w:spacing w:lineRule="auto" w:line="240" w:before="31" w:after="62"/>
        <w:rPr>
          <w:rFonts w:ascii="Arial" w:hAnsi="Arial" w:cs="Arial"/>
          <w:sz w:val="19"/>
          <w:szCs w:val="19"/>
          <w:lang w:eastAsia="ar-SA"/>
        </w:rPr>
      </w:pPr>
      <w:r>
        <w:rPr>
          <w:rFonts w:cs="Arial"/>
          <w:sz w:val="19"/>
          <w:szCs w:val="19"/>
          <w:lang w:eastAsia="ar-SA"/>
        </w:rPr>
      </w:r>
      <w:r>
        <w:br w:type="page"/>
      </w:r>
    </w:p>
    <w:p>
      <w:pPr>
        <w:pStyle w:val="Heading2"/>
        <w:numPr>
          <w:ilvl w:val="1"/>
          <w:numId w:val="1"/>
        </w:numPr>
        <w:spacing w:before="0" w:after="57"/>
        <w:rPr/>
      </w:pPr>
      <w:r>
        <w:rPr/>
        <w:t>ANEXO V</w:t>
      </w:r>
    </w:p>
    <w:p>
      <w:pPr>
        <w:pStyle w:val="Heading3"/>
        <w:numPr>
          <w:ilvl w:val="2"/>
          <w:numId w:val="1"/>
        </w:numPr>
        <w:rPr/>
      </w:pPr>
      <w:r>
        <w:rPr/>
        <w:t>INFORMAÇÕES COMPLEMENTARES</w:t>
      </w:r>
    </w:p>
    <w:p>
      <w:pPr>
        <w:pStyle w:val="BodyText"/>
        <w:spacing w:before="0" w:after="140"/>
        <w:jc w:val="left"/>
        <w:rPr/>
      </w:pPr>
      <w:r>
        <w:rPr/>
      </w:r>
    </w:p>
    <w:p>
      <w:pPr>
        <w:pStyle w:val="BodyText"/>
        <w:numPr>
          <w:ilvl w:val="0"/>
          <w:numId w:val="11"/>
        </w:numPr>
        <w:spacing w:before="0" w:after="140"/>
        <w:jc w:val="both"/>
        <w:rPr/>
      </w:pPr>
      <w:r>
        <w:rPr/>
        <w:t>As fraldas deverão vir embaladas em embalagens da fabricante com todas as informações necessárias.</w:t>
      </w:r>
    </w:p>
    <w:p>
      <w:pPr>
        <w:pStyle w:val="BodyText"/>
        <w:numPr>
          <w:ilvl w:val="0"/>
          <w:numId w:val="11"/>
        </w:numPr>
        <w:spacing w:before="0" w:after="140"/>
        <w:jc w:val="both"/>
        <w:rPr/>
      </w:pPr>
      <w:r>
        <w:rPr/>
        <w:t>A fabricante das fraldas deverá possuir licença da ANVISA.</w:t>
      </w:r>
    </w:p>
    <w:p>
      <w:pPr>
        <w:pStyle w:val="BodyText"/>
        <w:numPr>
          <w:ilvl w:val="0"/>
          <w:numId w:val="11"/>
        </w:numPr>
        <w:spacing w:before="0" w:after="140"/>
        <w:jc w:val="both"/>
        <w:rPr/>
      </w:pPr>
      <w:r>
        <w:rPr/>
        <w:t>O transporte, bem como a disponibilização no local indicado, deve ser realizada por funcionários da empresa ou transportadora. A Contratante NÃO colocará a disposição servidores para essa finalidade.</w:t>
      </w:r>
    </w:p>
    <w:p>
      <w:pPr>
        <w:pStyle w:val="BodyText"/>
        <w:numPr>
          <w:ilvl w:val="0"/>
          <w:numId w:val="11"/>
        </w:numPr>
        <w:spacing w:before="0" w:after="140"/>
        <w:jc w:val="both"/>
        <w:rPr/>
      </w:pPr>
      <w:r>
        <w:rPr/>
        <w:t>As entregas poderão ser fracionadas em unidades mínimas, 01 pacote, conforme necessidade da contratante.</w:t>
      </w:r>
    </w:p>
    <w:p>
      <w:pPr>
        <w:pStyle w:val="BodyText"/>
        <w:numPr>
          <w:ilvl w:val="0"/>
          <w:numId w:val="0"/>
        </w:numPr>
        <w:spacing w:before="0" w:after="140"/>
        <w:ind w:hanging="0" w:left="720"/>
        <w:jc w:val="both"/>
        <w:rPr/>
      </w:pPr>
      <w:r>
        <w:rPr/>
      </w:r>
    </w:p>
    <w:sectPr>
      <w:headerReference w:type="even" r:id="rId10"/>
      <w:headerReference w:type="default" r:id="rId11"/>
      <w:headerReference w:type="first" r:id="rId12"/>
      <w:footerReference w:type="even" r:id="rId13"/>
      <w:footerReference w:type="default" r:id="rId14"/>
      <w:footerReference w:type="first" r:id="rId15"/>
      <w:type w:val="nextPage"/>
      <w:pgSz w:w="11906" w:h="16838"/>
      <w:pgMar w:left="1134" w:right="1134" w:gutter="0" w:header="488" w:top="1837" w:footer="838" w:bottom="1458"/>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Unicode MS">
    <w:charset w:val="00"/>
    <w:family w:val="roman"/>
    <w:pitch w:val="variable"/>
  </w:font>
  <w:font w:name="Arial">
    <w:altName w:val="sans-serif"/>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Arial" w:hAnsi="Arial"/>
        <w:sz w:val="18"/>
        <w:szCs w:val="18"/>
      </w:rPr>
    </w:pPr>
    <w:r>
      <w:rPr>
        <w:rFonts w:ascii="Arial" w:hAnsi="Arial"/>
        <w:sz w:val="18"/>
        <w:szCs w:val="18"/>
      </w:rPr>
      <w:fldChar w:fldCharType="begin"/>
    </w:r>
    <w:r>
      <w:rPr>
        <w:sz w:val="18"/>
        <w:szCs w:val="18"/>
        <w:rFonts w:ascii="Arial" w:hAnsi="Arial"/>
      </w:rPr>
      <w:instrText xml:space="preserve"> PAGE </w:instrText>
    </w:r>
    <w:r>
      <w:rPr>
        <w:sz w:val="18"/>
        <w:szCs w:val="18"/>
        <w:rFonts w:ascii="Arial" w:hAnsi="Arial"/>
      </w:rPr>
      <w:fldChar w:fldCharType="separate"/>
    </w:r>
    <w:r>
      <w:rPr>
        <w:sz w:val="18"/>
        <w:szCs w:val="18"/>
        <w:rFonts w:ascii="Arial" w:hAnsi="Arial"/>
      </w:rPr>
      <w:t>31</w:t>
    </w:r>
    <w:r>
      <w:rPr>
        <w:sz w:val="18"/>
        <w:szCs w:val="18"/>
        <w:rFonts w:ascii="Arial" w:hAnsi="Arial"/>
      </w:rPr>
      <w:fldChar w:fldCharType="end"/>
    </w:r>
  </w:p>
  <w:p>
    <w:pPr>
      <w:pStyle w:val="Footer"/>
      <w:jc w:val="left"/>
      <w:rPr>
        <w:rFonts w:ascii="Arial" w:hAnsi="Arial"/>
        <w:i/>
        <w:i/>
        <w:iCs/>
        <w:sz w:val="18"/>
        <w:szCs w:val="18"/>
        <w:u w:val="none"/>
      </w:rPr>
    </w:pPr>
    <w:r>
      <w:rPr>
        <w:rFonts w:ascii="Arial" w:hAnsi="Arial"/>
        <w:i/>
        <w:iCs/>
        <w:sz w:val="18"/>
        <w:szCs w:val="18"/>
        <w:u w:val="none"/>
      </w:rPr>
      <w:t>HKA</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Arial" w:hAnsi="Arial"/>
        <w:sz w:val="18"/>
        <w:szCs w:val="18"/>
      </w:rPr>
    </w:pPr>
    <w:r>
      <w:rPr>
        <w:rFonts w:ascii="Arial" w:hAnsi="Arial"/>
        <w:sz w:val="18"/>
        <w:szCs w:val="18"/>
      </w:rPr>
      <w:fldChar w:fldCharType="begin"/>
    </w:r>
    <w:r>
      <w:rPr>
        <w:sz w:val="18"/>
        <w:szCs w:val="18"/>
        <w:rFonts w:ascii="Arial" w:hAnsi="Arial"/>
      </w:rPr>
      <w:instrText xml:space="preserve"> PAGE </w:instrText>
    </w:r>
    <w:r>
      <w:rPr>
        <w:sz w:val="18"/>
        <w:szCs w:val="18"/>
        <w:rFonts w:ascii="Arial" w:hAnsi="Arial"/>
      </w:rPr>
      <w:fldChar w:fldCharType="separate"/>
    </w:r>
    <w:r>
      <w:rPr>
        <w:sz w:val="18"/>
        <w:szCs w:val="18"/>
        <w:rFonts w:ascii="Arial" w:hAnsi="Arial"/>
      </w:rPr>
      <w:t>31</w:t>
    </w:r>
    <w:r>
      <w:rPr>
        <w:sz w:val="18"/>
        <w:szCs w:val="18"/>
        <w:rFonts w:ascii="Arial" w:hAnsi="Arial"/>
      </w:rPr>
      <w:fldChar w:fldCharType="end"/>
    </w:r>
  </w:p>
  <w:p>
    <w:pPr>
      <w:pStyle w:val="Footer"/>
      <w:jc w:val="left"/>
      <w:rPr>
        <w:rFonts w:ascii="Arial" w:hAnsi="Arial"/>
        <w:i/>
        <w:i/>
        <w:iCs/>
        <w:sz w:val="18"/>
        <w:szCs w:val="18"/>
        <w:u w:val="none"/>
      </w:rPr>
    </w:pPr>
    <w:r>
      <w:rPr>
        <w:rFonts w:ascii="Arial" w:hAnsi="Arial"/>
        <w:i/>
        <w:iCs/>
        <w:sz w:val="18"/>
        <w:szCs w:val="18"/>
        <w:u w:val="none"/>
      </w:rPr>
      <w:t>HKA</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jc w:val="center"/>
      <w:rPr>
        <w:rFonts w:ascii="Arial" w:hAnsi="Arial" w:cs="Verdana"/>
        <w:b/>
        <w:sz w:val="18"/>
        <w:szCs w:val="18"/>
      </w:rPr>
    </w:pPr>
    <w:r>
      <w:drawing>
        <wp:anchor behindDoc="1" distT="0" distB="0" distL="0" distR="0" simplePos="0" locked="0" layoutInCell="1" allowOverlap="1" relativeHeight="32">
          <wp:simplePos x="0" y="0"/>
          <wp:positionH relativeFrom="column">
            <wp:posOffset>150495</wp:posOffset>
          </wp:positionH>
          <wp:positionV relativeFrom="paragraph">
            <wp:posOffset>-52705</wp:posOffset>
          </wp:positionV>
          <wp:extent cx="614680" cy="647700"/>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614680" cy="647700"/>
                  </a:xfrm>
                  <a:prstGeom prst="rect">
                    <a:avLst/>
                  </a:prstGeom>
                  <a:noFill/>
                </pic:spPr>
              </pic:pic>
            </a:graphicData>
          </a:graphic>
        </wp:anchor>
      </w:drawing>
    </w:r>
    <w:r>
      <w:rPr>
        <w:rFonts w:cs="Verdana" w:ascii="Arial" w:hAnsi="Arial"/>
        <w:b/>
        <w:sz w:val="18"/>
        <w:szCs w:val="18"/>
      </w:rPr>
      <w:t>PREFEITURA DO MUNICÍPIO DE CIANORTE – ESTADO DO PARANÁ</w:t>
    </w:r>
  </w:p>
  <w:p>
    <w:pPr>
      <w:pStyle w:val="Normal"/>
      <w:spacing w:lineRule="auto" w:line="240" w:before="0" w:after="0"/>
      <w:jc w:val="center"/>
      <w:rPr>
        <w:rFonts w:ascii="Arial" w:hAnsi="Arial" w:cs="Verdana"/>
        <w:b/>
        <w:sz w:val="18"/>
        <w:szCs w:val="18"/>
      </w:rPr>
    </w:pPr>
    <w:r>
      <w:rPr>
        <w:rFonts w:cs="Verdana" w:ascii="Arial" w:hAnsi="Arial"/>
        <w:b/>
        <w:sz w:val="18"/>
        <w:szCs w:val="18"/>
      </w:rPr>
      <w:t>SECRETARIA MUNICIPAL DE ADMINISTRAÇÃO – DIVISÃO DE LICITAÇÕES</w:t>
    </w:r>
  </w:p>
  <w:p>
    <w:pPr>
      <w:pStyle w:val="Ttulouser"/>
      <w:spacing w:lineRule="auto" w:line="240" w:before="0" w:after="0"/>
      <w:jc w:val="center"/>
      <w:rPr/>
    </w:pPr>
    <w:r>
      <w:rPr>
        <w:rFonts w:eastAsia="Verdana" w:cs="Verdana" w:ascii="Arial" w:hAnsi="Arial"/>
        <w:b/>
        <w:sz w:val="18"/>
        <w:szCs w:val="18"/>
      </w:rPr>
      <w:t xml:space="preserve"> </w:t>
    </w:r>
    <w:r>
      <w:rPr>
        <w:rFonts w:eastAsia="Verdana" w:cs="Verdana" w:ascii="Arial" w:hAnsi="Arial"/>
        <w:b/>
        <w:sz w:val="18"/>
        <w:szCs w:val="18"/>
      </w:rPr>
      <w:tab/>
    </w:r>
    <w:r>
      <w:rPr>
        <w:rFonts w:cs="Verdana" w:ascii="Arial" w:hAnsi="Arial"/>
        <w:b/>
        <w:sz w:val="18"/>
        <w:szCs w:val="18"/>
      </w:rPr>
      <w:t xml:space="preserve">Fones: (44) 3619-6332/6207/6208/6209 </w:t>
    </w:r>
    <w:r>
      <w:rPr>
        <w:rFonts w:eastAsia="MS Mincho;ＭＳ 明朝" w:cs="Verdana" w:ascii="Arial" w:hAnsi="Arial"/>
        <w:b/>
        <w:color w:val="auto"/>
        <w:sz w:val="18"/>
        <w:szCs w:val="18"/>
        <w:lang w:val="pt-BR" w:bidi="ar-SA"/>
      </w:rPr>
      <w:t>e</w:t>
    </w:r>
    <w:r>
      <w:rPr>
        <w:rFonts w:cs="Verdana" w:ascii="Arial" w:hAnsi="Arial"/>
        <w:b/>
        <w:sz w:val="18"/>
        <w:szCs w:val="18"/>
      </w:rPr>
      <w:t>-ma</w:t>
    </w:r>
    <w:r>
      <w:rPr>
        <w:rFonts w:cs="Verdana" w:ascii="Arial" w:hAnsi="Arial"/>
        <w:b/>
        <w:color w:val="000000"/>
        <w:sz w:val="18"/>
        <w:szCs w:val="18"/>
      </w:rPr>
      <w:t xml:space="preserve">il: </w:t>
    </w:r>
    <w:hyperlink r:id="rId2">
      <w:r>
        <w:rPr>
          <w:rStyle w:val="Style6"/>
          <w:rFonts w:ascii="Arial" w:hAnsi="Arial"/>
          <w:b/>
          <w:bCs/>
          <w:i/>
          <w:iCs/>
          <w:color w:val="000000"/>
          <w:sz w:val="18"/>
          <w:szCs w:val="18"/>
          <w:u w:val="single"/>
          <w:lang w:val="zxx" w:eastAsia="zxx" w:bidi="zxx"/>
        </w:rPr>
        <w:t>pregaoeletronico@cianorte.pr.gov.br</w:t>
      </w:r>
    </w:hyperlink>
  </w:p>
  <w:p>
    <w:pPr>
      <w:pStyle w:val="Normal"/>
      <w:spacing w:lineRule="auto" w:line="240" w:before="0" w:after="0"/>
      <w:jc w:val="center"/>
      <w:rPr>
        <w:rFonts w:ascii="Arial" w:hAnsi="Arial"/>
        <w:sz w:val="18"/>
        <w:szCs w:val="18"/>
      </w:rPr>
    </w:pPr>
    <w:r>
      <w:rPr>
        <w:rFonts w:cs="Verdana" w:ascii="Arial" w:hAnsi="Arial"/>
        <w:b/>
        <w:sz w:val="18"/>
        <w:szCs w:val="18"/>
      </w:rPr>
      <w:t xml:space="preserve">Pregão Eletrônico nº </w:t>
    </w:r>
    <w:r>
      <w:rPr>
        <w:rFonts w:eastAsia="Times New Roman" w:cs="Verdana" w:ascii="Arial" w:hAnsi="Arial"/>
        <w:b/>
        <w:color w:val="FF0000"/>
        <w:sz w:val="18"/>
        <w:szCs w:val="18"/>
        <w:lang w:val="pt-BR" w:eastAsia="zh-CN" w:bidi="ar-SA"/>
      </w:rPr>
      <w:t>117/2025</w:t>
    </w:r>
    <w:r>
      <w:rPr>
        <w:rFonts w:cs="Verdana" w:ascii="Arial" w:hAnsi="Arial"/>
        <w:b/>
        <w:sz w:val="18"/>
        <w:szCs w:val="18"/>
      </w:rPr>
      <w:t xml:space="preserve"> – Protocolo </w:t>
    </w:r>
    <w:r>
      <w:rPr>
        <w:rFonts w:cs="Verdana" w:ascii="Arial" w:hAnsi="Arial"/>
        <w:b/>
        <w:color w:val="FF0000"/>
        <w:sz w:val="18"/>
        <w:szCs w:val="18"/>
      </w:rPr>
      <w:t>11208</w:t>
    </w:r>
    <w:r>
      <w:rPr>
        <w:rFonts w:cs="Verdana" w:ascii="Arial" w:hAnsi="Arial"/>
        <w:b/>
        <w:sz w:val="18"/>
        <w:szCs w:val="18"/>
      </w:rPr>
      <w:t>/2025</w:t>
    </w:r>
  </w:p>
  <w:p>
    <w:pPr>
      <w:pStyle w:val="BodyText"/>
      <w:spacing w:before="0" w:after="0"/>
      <w:jc w:val="center"/>
      <w:rPr>
        <w:rFonts w:ascii="Arial" w:hAnsi="Arial" w:cs="Verdana"/>
        <w:b/>
        <w:sz w:val="18"/>
        <w:szCs w:val="18"/>
      </w:rPr>
    </w:pPr>
    <w:r>
      <w:rPr>
        <w:rFonts w:eastAsia="Times New Roman" w:cs="Verdana"/>
        <w:b/>
        <w:color w:val="FF0000"/>
        <w:sz w:val="18"/>
        <w:szCs w:val="18"/>
        <w:lang w:val="pt-BR" w:eastAsia="zh-CN" w:bidi="ar-SA"/>
      </w:rPr>
      <w:t xml:space="preserve">Processo </w:t>
    </w:r>
    <w:r>
      <w:rPr>
        <w:rFonts w:eastAsia="Times New Roman" w:cs="Verdana"/>
        <w:b/>
        <w:color w:val="FF0000"/>
        <w:sz w:val="18"/>
        <w:szCs w:val="18"/>
        <w:lang w:val="pt-BR" w:eastAsia="zh-CN" w:bidi="ar-SA"/>
      </w:rPr>
      <w:t>279</w:t>
    </w:r>
    <w:r>
      <w:rPr>
        <w:rFonts w:eastAsia="Times New Roman" w:cs="Verdana"/>
        <w:b/>
        <w:color w:val="FF0000"/>
        <w:sz w:val="18"/>
        <w:szCs w:val="18"/>
        <w:lang w:val="pt-BR" w:eastAsia="zh-CN" w:bidi="ar-SA"/>
      </w:rPr>
      <w:t>/2025</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jc w:val="center"/>
      <w:rPr>
        <w:rFonts w:ascii="Arial" w:hAnsi="Arial" w:cs="Verdana"/>
        <w:b/>
        <w:sz w:val="18"/>
        <w:szCs w:val="18"/>
      </w:rPr>
    </w:pPr>
    <w:r>
      <w:drawing>
        <wp:anchor behindDoc="1" distT="0" distB="0" distL="0" distR="0" simplePos="0" locked="0" layoutInCell="1" allowOverlap="1" relativeHeight="32">
          <wp:simplePos x="0" y="0"/>
          <wp:positionH relativeFrom="column">
            <wp:posOffset>150495</wp:posOffset>
          </wp:positionH>
          <wp:positionV relativeFrom="paragraph">
            <wp:posOffset>-52705</wp:posOffset>
          </wp:positionV>
          <wp:extent cx="614680" cy="647700"/>
          <wp:effectExtent l="0" t="0" r="0" b="0"/>
          <wp:wrapNone/>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tretch>
                    <a:fillRect/>
                  </a:stretch>
                </pic:blipFill>
                <pic:spPr bwMode="auto">
                  <a:xfrm>
                    <a:off x="0" y="0"/>
                    <a:ext cx="614680" cy="647700"/>
                  </a:xfrm>
                  <a:prstGeom prst="rect">
                    <a:avLst/>
                  </a:prstGeom>
                  <a:noFill/>
                </pic:spPr>
              </pic:pic>
            </a:graphicData>
          </a:graphic>
        </wp:anchor>
      </w:drawing>
    </w:r>
    <w:r>
      <w:rPr>
        <w:rFonts w:cs="Verdana" w:ascii="Arial" w:hAnsi="Arial"/>
        <w:b/>
        <w:sz w:val="18"/>
        <w:szCs w:val="18"/>
      </w:rPr>
      <w:t>PREFEITURA DO MUNICÍPIO DE CIANORTE – ESTADO DO PARANÁ</w:t>
    </w:r>
  </w:p>
  <w:p>
    <w:pPr>
      <w:pStyle w:val="Normal"/>
      <w:spacing w:lineRule="auto" w:line="240" w:before="0" w:after="0"/>
      <w:jc w:val="center"/>
      <w:rPr>
        <w:rFonts w:ascii="Arial" w:hAnsi="Arial" w:cs="Verdana"/>
        <w:b/>
        <w:sz w:val="18"/>
        <w:szCs w:val="18"/>
      </w:rPr>
    </w:pPr>
    <w:r>
      <w:rPr>
        <w:rFonts w:cs="Verdana" w:ascii="Arial" w:hAnsi="Arial"/>
        <w:b/>
        <w:sz w:val="18"/>
        <w:szCs w:val="18"/>
      </w:rPr>
      <w:t>SECRETARIA MUNICIPAL DE ADMINISTRAÇÃO – DIVISÃO DE LICITAÇÕES</w:t>
    </w:r>
  </w:p>
  <w:p>
    <w:pPr>
      <w:pStyle w:val="Ttulouser"/>
      <w:spacing w:lineRule="auto" w:line="240" w:before="0" w:after="0"/>
      <w:jc w:val="center"/>
      <w:rPr/>
    </w:pPr>
    <w:r>
      <w:rPr>
        <w:rFonts w:eastAsia="Verdana" w:cs="Verdana" w:ascii="Arial" w:hAnsi="Arial"/>
        <w:b/>
        <w:sz w:val="18"/>
        <w:szCs w:val="18"/>
      </w:rPr>
      <w:t xml:space="preserve"> </w:t>
    </w:r>
    <w:r>
      <w:rPr>
        <w:rFonts w:eastAsia="Verdana" w:cs="Verdana" w:ascii="Arial" w:hAnsi="Arial"/>
        <w:b/>
        <w:sz w:val="18"/>
        <w:szCs w:val="18"/>
      </w:rPr>
      <w:tab/>
    </w:r>
    <w:r>
      <w:rPr>
        <w:rFonts w:cs="Verdana" w:ascii="Arial" w:hAnsi="Arial"/>
        <w:b/>
        <w:sz w:val="18"/>
        <w:szCs w:val="18"/>
      </w:rPr>
      <w:t xml:space="preserve">Fones: (44) 3619-6332/6207/6208/6209 </w:t>
    </w:r>
    <w:r>
      <w:rPr>
        <w:rFonts w:eastAsia="MS Mincho;ＭＳ 明朝" w:cs="Verdana" w:ascii="Arial" w:hAnsi="Arial"/>
        <w:b/>
        <w:color w:val="auto"/>
        <w:sz w:val="18"/>
        <w:szCs w:val="18"/>
        <w:lang w:val="pt-BR" w:bidi="ar-SA"/>
      </w:rPr>
      <w:t>e</w:t>
    </w:r>
    <w:r>
      <w:rPr>
        <w:rFonts w:cs="Verdana" w:ascii="Arial" w:hAnsi="Arial"/>
        <w:b/>
        <w:sz w:val="18"/>
        <w:szCs w:val="18"/>
      </w:rPr>
      <w:t>-ma</w:t>
    </w:r>
    <w:r>
      <w:rPr>
        <w:rFonts w:cs="Verdana" w:ascii="Arial" w:hAnsi="Arial"/>
        <w:b/>
        <w:color w:val="000000"/>
        <w:sz w:val="18"/>
        <w:szCs w:val="18"/>
      </w:rPr>
      <w:t xml:space="preserve">il: </w:t>
    </w:r>
    <w:hyperlink r:id="rId2">
      <w:r>
        <w:rPr>
          <w:rStyle w:val="Style6"/>
          <w:rFonts w:ascii="Arial" w:hAnsi="Arial"/>
          <w:b/>
          <w:bCs/>
          <w:i/>
          <w:iCs/>
          <w:color w:val="000000"/>
          <w:sz w:val="18"/>
          <w:szCs w:val="18"/>
          <w:u w:val="single"/>
          <w:lang w:val="zxx" w:eastAsia="zxx" w:bidi="zxx"/>
        </w:rPr>
        <w:t>pregaoeletronico@cianorte.pr.gov.br</w:t>
      </w:r>
    </w:hyperlink>
  </w:p>
  <w:p>
    <w:pPr>
      <w:pStyle w:val="Normal"/>
      <w:spacing w:lineRule="auto" w:line="240" w:before="0" w:after="0"/>
      <w:jc w:val="center"/>
      <w:rPr>
        <w:rFonts w:ascii="Arial" w:hAnsi="Arial"/>
        <w:sz w:val="18"/>
        <w:szCs w:val="18"/>
      </w:rPr>
    </w:pPr>
    <w:r>
      <w:rPr>
        <w:rFonts w:cs="Verdana" w:ascii="Arial" w:hAnsi="Arial"/>
        <w:b/>
        <w:sz w:val="18"/>
        <w:szCs w:val="18"/>
      </w:rPr>
      <w:t xml:space="preserve">Pregão Eletrônico nº </w:t>
    </w:r>
    <w:r>
      <w:rPr>
        <w:rFonts w:eastAsia="Times New Roman" w:cs="Verdana" w:ascii="Arial" w:hAnsi="Arial"/>
        <w:b/>
        <w:color w:val="FF0000"/>
        <w:sz w:val="18"/>
        <w:szCs w:val="18"/>
        <w:lang w:val="pt-BR" w:eastAsia="zh-CN" w:bidi="ar-SA"/>
      </w:rPr>
      <w:t>117/2025</w:t>
    </w:r>
    <w:r>
      <w:rPr>
        <w:rFonts w:cs="Verdana" w:ascii="Arial" w:hAnsi="Arial"/>
        <w:b/>
        <w:sz w:val="18"/>
        <w:szCs w:val="18"/>
      </w:rPr>
      <w:t xml:space="preserve"> – Protocolo </w:t>
    </w:r>
    <w:r>
      <w:rPr>
        <w:rFonts w:cs="Verdana" w:ascii="Arial" w:hAnsi="Arial"/>
        <w:b/>
        <w:color w:val="FF0000"/>
        <w:sz w:val="18"/>
        <w:szCs w:val="18"/>
      </w:rPr>
      <w:t>11208</w:t>
    </w:r>
    <w:r>
      <w:rPr>
        <w:rFonts w:cs="Verdana" w:ascii="Arial" w:hAnsi="Arial"/>
        <w:b/>
        <w:sz w:val="18"/>
        <w:szCs w:val="18"/>
      </w:rPr>
      <w:t>/2025</w:t>
    </w:r>
  </w:p>
  <w:p>
    <w:pPr>
      <w:pStyle w:val="BodyText"/>
      <w:spacing w:before="0" w:after="0"/>
      <w:jc w:val="center"/>
      <w:rPr>
        <w:rFonts w:ascii="Arial" w:hAnsi="Arial" w:cs="Verdana"/>
        <w:b/>
        <w:sz w:val="18"/>
        <w:szCs w:val="18"/>
      </w:rPr>
    </w:pPr>
    <w:r>
      <w:rPr>
        <w:rFonts w:eastAsia="Times New Roman" w:cs="Verdana"/>
        <w:b/>
        <w:color w:val="FF0000"/>
        <w:sz w:val="18"/>
        <w:szCs w:val="18"/>
        <w:lang w:val="pt-BR" w:eastAsia="zh-CN" w:bidi="ar-SA"/>
      </w:rPr>
      <w:t xml:space="preserve">Processo </w:t>
    </w:r>
    <w:r>
      <w:rPr>
        <w:rFonts w:eastAsia="Times New Roman" w:cs="Verdana"/>
        <w:b/>
        <w:color w:val="FF0000"/>
        <w:sz w:val="18"/>
        <w:szCs w:val="18"/>
        <w:lang w:val="pt-BR" w:eastAsia="zh-CN" w:bidi="ar-SA"/>
      </w:rPr>
      <w:t>279</w:t>
    </w:r>
    <w:r>
      <w:rPr>
        <w:rFonts w:eastAsia="Times New Roman" w:cs="Verdana"/>
        <w:b/>
        <w:color w:val="FF0000"/>
        <w:sz w:val="18"/>
        <w:szCs w:val="18"/>
        <w:lang w:val="pt-BR" w:eastAsia="zh-CN" w:bidi="ar-SA"/>
      </w:rPr>
      <w:t>/2025</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suff w:val="space"/>
      <w:lvlText w:val="%1."/>
      <w:lvlJc w:val="left"/>
      <w:pPr>
        <w:tabs>
          <w:tab w:val="num" w:pos="0"/>
        </w:tabs>
        <w:ind w:left="0" w:hanging="0"/>
      </w:pPr>
      <w:rPr>
        <w:sz w:val="19"/>
        <w:b/>
        <w:szCs w:val="19"/>
        <w:bCs/>
        <w:rFonts w:ascii="Arial" w:hAnsi="Arial"/>
        <w:color w:val="000000"/>
      </w:rPr>
    </w:lvl>
    <w:lvl w:ilvl="1">
      <w:start w:val="1"/>
      <w:numFmt w:val="decimal"/>
      <w:suff w:val="space"/>
      <w:lvlText w:val="%1.%2."/>
      <w:lvlJc w:val="left"/>
      <w:pPr>
        <w:tabs>
          <w:tab w:val="num" w:pos="0"/>
        </w:tabs>
        <w:ind w:left="0" w:hanging="0"/>
      </w:pPr>
      <w:rPr>
        <w:sz w:val="19"/>
        <w:b/>
        <w:szCs w:val="19"/>
        <w:bCs/>
        <w:rFonts w:ascii="Arial" w:hAnsi="Arial"/>
        <w:color w:val="000000"/>
      </w:rPr>
    </w:lvl>
    <w:lvl w:ilvl="2">
      <w:start w:val="1"/>
      <w:numFmt w:val="decimal"/>
      <w:suff w:val="space"/>
      <w:lvlText w:val="%1.%2.%3."/>
      <w:lvlJc w:val="left"/>
      <w:pPr>
        <w:tabs>
          <w:tab w:val="num" w:pos="0"/>
        </w:tabs>
        <w:ind w:left="113" w:hanging="0"/>
      </w:pPr>
      <w:rPr>
        <w:sz w:val="19"/>
        <w:b/>
        <w:szCs w:val="19"/>
        <w:bCs/>
        <w:rFonts w:ascii="Arial" w:hAnsi="Arial"/>
        <w:color w:val="000000"/>
      </w:rPr>
    </w:lvl>
    <w:lvl w:ilvl="3">
      <w:start w:val="1"/>
      <w:numFmt w:val="decimal"/>
      <w:suff w:val="space"/>
      <w:lvlText w:val="%1.%2.%3.%4."/>
      <w:lvlJc w:val="left"/>
      <w:pPr>
        <w:tabs>
          <w:tab w:val="num" w:pos="0"/>
        </w:tabs>
        <w:ind w:left="454" w:hanging="0"/>
      </w:pPr>
      <w:rPr>
        <w:sz w:val="19"/>
        <w:b/>
        <w:szCs w:val="19"/>
        <w:bCs/>
        <w:rFonts w:ascii="Arial" w:hAnsi="Arial"/>
        <w:color w:val="000000"/>
      </w:rPr>
    </w:lvl>
    <w:lvl w:ilvl="4">
      <w:start w:val="1"/>
      <w:numFmt w:val="bullet"/>
      <w:suff w:val="space"/>
      <w:lvlText w:val=""/>
      <w:lvlJc w:val="left"/>
      <w:pPr>
        <w:tabs>
          <w:tab w:val="num" w:pos="0"/>
        </w:tabs>
        <w:ind w:left="680" w:hanging="0"/>
      </w:pPr>
      <w:rPr>
        <w:rFonts w:ascii="Symbol" w:hAnsi="Symbol" w:cs="Symbol" w:hint="default"/>
        <w:b/>
        <w:bCs/>
      </w:rPr>
    </w:lvl>
    <w:lvl w:ilvl="5">
      <w:start w:val="1"/>
      <w:numFmt w:val="lowerLetter"/>
      <w:suff w:val="space"/>
      <w:lvlText w:val="%6)"/>
      <w:lvlJc w:val="left"/>
      <w:pPr>
        <w:tabs>
          <w:tab w:val="num" w:pos="0"/>
        </w:tabs>
        <w:ind w:left="454" w:hanging="0"/>
      </w:pPr>
      <w:rPr>
        <w:sz w:val="19"/>
        <w:b/>
        <w:szCs w:val="19"/>
        <w:bCs/>
        <w:rFonts w:ascii="Arial" w:hAnsi="Arial"/>
        <w:color w:val="000000"/>
      </w:rPr>
    </w:lvl>
    <w:lvl w:ilvl="6">
      <w:start w:val="1"/>
      <w:numFmt w:val="bullet"/>
      <w:suff w:val="space"/>
      <w:lvlText w:val=""/>
      <w:lvlJc w:val="left"/>
      <w:pPr>
        <w:tabs>
          <w:tab w:val="num" w:pos="0"/>
        </w:tabs>
        <w:ind w:left="1746" w:firstLine="210"/>
      </w:pPr>
      <w:rPr>
        <w:rFonts w:ascii="Symbol" w:hAnsi="Symbol" w:cs="Symbol" w:hint="default"/>
        <w:b/>
        <w:bCs/>
      </w:rPr>
    </w:lvl>
    <w:lvl w:ilvl="7">
      <w:start w:val="1"/>
      <w:numFmt w:val="decimal"/>
      <w:lvlText w:val="%8."/>
      <w:lvlJc w:val="left"/>
      <w:pPr>
        <w:tabs>
          <w:tab w:val="num" w:pos="3240"/>
        </w:tabs>
        <w:ind w:left="3240" w:hanging="360"/>
      </w:pPr>
      <w:rPr>
        <w:sz w:val="19"/>
        <w:b/>
        <w:szCs w:val="19"/>
        <w:bCs/>
        <w:rFonts w:ascii="Arial" w:hAnsi="Arial"/>
        <w:color w:val="000000"/>
      </w:rPr>
    </w:lvl>
    <w:lvl w:ilvl="8">
      <w:start w:val="1"/>
      <w:numFmt w:val="decimal"/>
      <w:lvlText w:val="%9."/>
      <w:lvlJc w:val="left"/>
      <w:pPr>
        <w:tabs>
          <w:tab w:val="num" w:pos="3600"/>
        </w:tabs>
        <w:ind w:left="3600" w:hanging="360"/>
      </w:pPr>
      <w:rPr>
        <w:sz w:val="19"/>
        <w:b/>
        <w:szCs w:val="19"/>
        <w:bCs/>
        <w:rFonts w:ascii="Arial" w:hAnsi="Arial"/>
        <w:color w:val="000000"/>
      </w:rPr>
    </w:lvl>
  </w:abstractNum>
  <w:abstractNum w:abstractNumId="4">
    <w:lvl w:ilvl="0">
      <w:start w:val="1"/>
      <w:numFmt w:val="decimal"/>
      <w:suff w:val="space"/>
      <w:lvlText w:val="%1."/>
      <w:lvlJc w:val="left"/>
      <w:pPr>
        <w:tabs>
          <w:tab w:val="num" w:pos="0"/>
        </w:tabs>
        <w:ind w:left="0" w:hanging="0"/>
      </w:pPr>
      <w:rPr>
        <w:sz w:val="19"/>
        <w:b/>
        <w:szCs w:val="19"/>
        <w:bCs/>
        <w:rFonts w:ascii="Arial" w:hAnsi="Arial"/>
        <w:color w:val="000000"/>
      </w:rPr>
    </w:lvl>
    <w:lvl w:ilvl="1">
      <w:start w:val="1"/>
      <w:numFmt w:val="decimal"/>
      <w:suff w:val="space"/>
      <w:lvlText w:val="%1.%2."/>
      <w:lvlJc w:val="left"/>
      <w:pPr>
        <w:tabs>
          <w:tab w:val="num" w:pos="0"/>
        </w:tabs>
        <w:ind w:left="0" w:hanging="0"/>
      </w:pPr>
      <w:rPr>
        <w:sz w:val="19"/>
        <w:b/>
        <w:szCs w:val="19"/>
        <w:bCs/>
        <w:rFonts w:ascii="Arial" w:hAnsi="Arial"/>
        <w:color w:val="000000"/>
      </w:rPr>
    </w:lvl>
    <w:lvl w:ilvl="2">
      <w:start w:val="1"/>
      <w:numFmt w:val="decimal"/>
      <w:suff w:val="space"/>
      <w:lvlText w:val="%1.%2.%3."/>
      <w:lvlJc w:val="left"/>
      <w:pPr>
        <w:tabs>
          <w:tab w:val="num" w:pos="0"/>
        </w:tabs>
        <w:ind w:left="113" w:hanging="0"/>
      </w:pPr>
      <w:rPr>
        <w:sz w:val="19"/>
        <w:b/>
        <w:szCs w:val="19"/>
        <w:bCs/>
        <w:rFonts w:ascii="Arial" w:hAnsi="Arial"/>
        <w:color w:val="000000"/>
      </w:rPr>
    </w:lvl>
    <w:lvl w:ilvl="3">
      <w:start w:val="1"/>
      <w:numFmt w:val="decimal"/>
      <w:suff w:val="space"/>
      <w:lvlText w:val="%1.%2.%3.%4."/>
      <w:lvlJc w:val="left"/>
      <w:pPr>
        <w:tabs>
          <w:tab w:val="num" w:pos="0"/>
        </w:tabs>
        <w:ind w:left="454" w:hanging="0"/>
      </w:pPr>
      <w:rPr>
        <w:sz w:val="19"/>
        <w:b/>
        <w:szCs w:val="19"/>
        <w:bCs/>
        <w:rFonts w:ascii="Arial" w:hAnsi="Arial"/>
        <w:color w:val="000000"/>
      </w:rPr>
    </w:lvl>
    <w:lvl w:ilvl="4">
      <w:start w:val="1"/>
      <w:numFmt w:val="bullet"/>
      <w:suff w:val="space"/>
      <w:lvlText w:val=""/>
      <w:lvlJc w:val="left"/>
      <w:pPr>
        <w:tabs>
          <w:tab w:val="num" w:pos="0"/>
        </w:tabs>
        <w:ind w:left="680" w:hanging="0"/>
      </w:pPr>
      <w:rPr>
        <w:rFonts w:ascii="Symbol" w:hAnsi="Symbol" w:cs="Symbol" w:hint="default"/>
        <w:b/>
        <w:bCs/>
      </w:rPr>
    </w:lvl>
    <w:lvl w:ilvl="5">
      <w:start w:val="1"/>
      <w:numFmt w:val="lowerLetter"/>
      <w:suff w:val="space"/>
      <w:lvlText w:val="%6)"/>
      <w:lvlJc w:val="left"/>
      <w:pPr>
        <w:tabs>
          <w:tab w:val="num" w:pos="0"/>
        </w:tabs>
        <w:ind w:left="454" w:hanging="0"/>
      </w:pPr>
      <w:rPr>
        <w:sz w:val="19"/>
        <w:b/>
        <w:szCs w:val="19"/>
        <w:bCs/>
        <w:rFonts w:ascii="Arial" w:hAnsi="Arial"/>
        <w:color w:val="000000"/>
      </w:rPr>
    </w:lvl>
    <w:lvl w:ilvl="6">
      <w:start w:val="1"/>
      <w:numFmt w:val="bullet"/>
      <w:suff w:val="space"/>
      <w:lvlText w:val=""/>
      <w:lvlJc w:val="left"/>
      <w:pPr>
        <w:tabs>
          <w:tab w:val="num" w:pos="0"/>
        </w:tabs>
        <w:ind w:left="1746" w:firstLine="210"/>
      </w:pPr>
      <w:rPr>
        <w:rFonts w:ascii="Symbol" w:hAnsi="Symbol" w:cs="Symbol" w:hint="default"/>
        <w:b/>
        <w:bCs/>
      </w:rPr>
    </w:lvl>
    <w:lvl w:ilvl="7">
      <w:start w:val="1"/>
      <w:numFmt w:val="decimal"/>
      <w:lvlText w:val="%8."/>
      <w:lvlJc w:val="left"/>
      <w:pPr>
        <w:tabs>
          <w:tab w:val="num" w:pos="3240"/>
        </w:tabs>
        <w:ind w:left="3240" w:hanging="360"/>
      </w:pPr>
      <w:rPr>
        <w:sz w:val="19"/>
        <w:b/>
        <w:szCs w:val="19"/>
        <w:bCs/>
        <w:rFonts w:ascii="Arial" w:hAnsi="Arial"/>
        <w:color w:val="000000"/>
      </w:rPr>
    </w:lvl>
    <w:lvl w:ilvl="8">
      <w:start w:val="1"/>
      <w:numFmt w:val="decimal"/>
      <w:lvlText w:val="%9."/>
      <w:lvlJc w:val="left"/>
      <w:pPr>
        <w:tabs>
          <w:tab w:val="num" w:pos="3600"/>
        </w:tabs>
        <w:ind w:left="3600" w:hanging="360"/>
      </w:pPr>
      <w:rPr>
        <w:sz w:val="19"/>
        <w:b/>
        <w:szCs w:val="19"/>
        <w:bCs/>
        <w:rFonts w:ascii="Arial" w:hAnsi="Arial"/>
        <w:color w:val="000000"/>
      </w:rPr>
    </w:lvl>
  </w:abstractNum>
  <w:abstractNum w:abstractNumId="5">
    <w:lvl w:ilvl="0">
      <w:start w:val="1"/>
      <w:numFmt w:val="bullet"/>
      <w:suff w:val="space"/>
      <w:lvlText w:val=""/>
      <w:lvlJc w:val="left"/>
      <w:pPr>
        <w:tabs>
          <w:tab w:val="num" w:pos="0"/>
        </w:tabs>
        <w:ind w:left="720" w:hanging="360"/>
      </w:pPr>
      <w:rPr>
        <w:rFonts w:ascii="Symbol" w:hAnsi="Symbol" w:cs="Symbol" w:hint="default"/>
        <w:b/>
        <w:bCs/>
      </w:rPr>
    </w:lvl>
    <w:lvl w:ilvl="1">
      <w:start w:val="1"/>
      <w:numFmt w:val="bullet"/>
      <w:lvlText w:val=""/>
      <w:lvlJc w:val="left"/>
      <w:pPr>
        <w:tabs>
          <w:tab w:val="num" w:pos="1080"/>
        </w:tabs>
        <w:ind w:left="1080" w:hanging="360"/>
      </w:pPr>
      <w:rPr>
        <w:rFonts w:ascii="Wingdings" w:hAnsi="Wingdings" w:cs="Wingdings" w:hint="default"/>
        <w:b/>
        <w:bCs/>
      </w:rPr>
    </w:lvl>
    <w:lvl w:ilvl="2">
      <w:start w:val="1"/>
      <w:numFmt w:val="bullet"/>
      <w:lvlText w:val=""/>
      <w:lvlJc w:val="left"/>
      <w:pPr>
        <w:tabs>
          <w:tab w:val="num" w:pos="1440"/>
        </w:tabs>
        <w:ind w:left="1440" w:hanging="360"/>
      </w:pPr>
      <w:rPr>
        <w:rFonts w:ascii="Wingdings" w:hAnsi="Wingdings" w:cs="Wingdings" w:hint="default"/>
        <w:b/>
        <w:bCs/>
      </w:rPr>
    </w:lvl>
    <w:lvl w:ilvl="3">
      <w:start w:val="1"/>
      <w:numFmt w:val="bullet"/>
      <w:lvlText w:val=""/>
      <w:lvlJc w:val="left"/>
      <w:pPr>
        <w:tabs>
          <w:tab w:val="num" w:pos="1800"/>
        </w:tabs>
        <w:ind w:left="1800" w:hanging="360"/>
      </w:pPr>
      <w:rPr>
        <w:rFonts w:ascii="Wingdings" w:hAnsi="Wingdings" w:cs="Wingdings" w:hint="default"/>
        <w:b/>
        <w:bCs/>
      </w:rPr>
    </w:lvl>
    <w:lvl w:ilvl="4">
      <w:start w:val="1"/>
      <w:numFmt w:val="bullet"/>
      <w:lvlText w:val=""/>
      <w:lvlJc w:val="left"/>
      <w:pPr>
        <w:tabs>
          <w:tab w:val="num" w:pos="2160"/>
        </w:tabs>
        <w:ind w:left="2160" w:hanging="360"/>
      </w:pPr>
      <w:rPr>
        <w:rFonts w:ascii="Wingdings" w:hAnsi="Wingdings" w:cs="Wingdings" w:hint="default"/>
        <w:b/>
        <w:bCs/>
      </w:rPr>
    </w:lvl>
    <w:lvl w:ilvl="5">
      <w:start w:val="1"/>
      <w:numFmt w:val="bullet"/>
      <w:lvlText w:val=""/>
      <w:lvlJc w:val="left"/>
      <w:pPr>
        <w:tabs>
          <w:tab w:val="num" w:pos="2520"/>
        </w:tabs>
        <w:ind w:left="2520" w:hanging="360"/>
      </w:pPr>
      <w:rPr>
        <w:rFonts w:ascii="Wingdings" w:hAnsi="Wingdings" w:cs="Wingdings" w:hint="default"/>
        <w:b/>
        <w:bCs/>
      </w:rPr>
    </w:lvl>
    <w:lvl w:ilvl="6">
      <w:start w:val="1"/>
      <w:numFmt w:val="bullet"/>
      <w:lvlText w:val=""/>
      <w:lvlJc w:val="left"/>
      <w:pPr>
        <w:tabs>
          <w:tab w:val="num" w:pos="2880"/>
        </w:tabs>
        <w:ind w:left="2880" w:hanging="360"/>
      </w:pPr>
      <w:rPr>
        <w:rFonts w:ascii="Wingdings" w:hAnsi="Wingdings" w:cs="Wingdings" w:hint="default"/>
        <w:b/>
        <w:bCs/>
      </w:rPr>
    </w:lvl>
    <w:lvl w:ilvl="7">
      <w:start w:val="1"/>
      <w:numFmt w:val="bullet"/>
      <w:lvlText w:val=""/>
      <w:lvlJc w:val="left"/>
      <w:pPr>
        <w:tabs>
          <w:tab w:val="num" w:pos="3240"/>
        </w:tabs>
        <w:ind w:left="3240" w:hanging="360"/>
      </w:pPr>
      <w:rPr>
        <w:rFonts w:ascii="Wingdings" w:hAnsi="Wingdings" w:cs="Wingdings" w:hint="default"/>
        <w:b/>
        <w:bCs/>
      </w:rPr>
    </w:lvl>
    <w:lvl w:ilvl="8">
      <w:start w:val="1"/>
      <w:numFmt w:val="bullet"/>
      <w:lvlText w:val=""/>
      <w:lvlJc w:val="left"/>
      <w:pPr>
        <w:tabs>
          <w:tab w:val="num" w:pos="3600"/>
        </w:tabs>
        <w:ind w:left="3600" w:hanging="360"/>
      </w:pPr>
      <w:rPr>
        <w:rFonts w:ascii="Wingdings" w:hAnsi="Wingdings" w:cs="Wingdings" w:hint="default"/>
        <w:b/>
        <w:bCs/>
      </w:rPr>
    </w:lvl>
  </w:abstractNum>
  <w:abstractNum w:abstractNumId="6">
    <w:lvl w:ilvl="0">
      <w:start w:val="1"/>
      <w:numFmt w:val="decimal"/>
      <w:suff w:val="space"/>
      <w:lvlText w:val="%1."/>
      <w:lvlJc w:val="left"/>
      <w:pPr>
        <w:tabs>
          <w:tab w:val="num" w:pos="0"/>
        </w:tabs>
        <w:ind w:left="720" w:hanging="360"/>
      </w:pPr>
      <w:rPr>
        <w:sz w:val="19"/>
        <w:b/>
        <w:szCs w:val="19"/>
        <w:bCs/>
        <w:rFonts w:ascii="Arial" w:hAnsi="Arial"/>
        <w:color w:val="000000"/>
      </w:rPr>
    </w:lvl>
    <w:lvl w:ilvl="1">
      <w:start w:val="1"/>
      <w:numFmt w:val="decimal"/>
      <w:suff w:val="space"/>
      <w:lvlText w:val="%1.%2."/>
      <w:lvlJc w:val="left"/>
      <w:pPr>
        <w:tabs>
          <w:tab w:val="num" w:pos="0"/>
        </w:tabs>
        <w:ind w:left="1196" w:hanging="363"/>
      </w:pPr>
      <w:rPr>
        <w:sz w:val="19"/>
        <w:b/>
        <w:szCs w:val="19"/>
        <w:bCs/>
        <w:rFonts w:ascii="Arial" w:hAnsi="Arial"/>
        <w:color w:val="000000"/>
      </w:rPr>
    </w:lvl>
    <w:lvl w:ilvl="2">
      <w:start w:val="1"/>
      <w:numFmt w:val="decimal"/>
      <w:suff w:val="space"/>
      <w:lvlText w:val="%1.%2.%3."/>
      <w:lvlJc w:val="left"/>
      <w:pPr>
        <w:tabs>
          <w:tab w:val="num" w:pos="0"/>
        </w:tabs>
        <w:ind w:left="1440" w:hanging="360"/>
      </w:pPr>
      <w:rPr>
        <w:sz w:val="19"/>
        <w:b/>
        <w:szCs w:val="19"/>
        <w:bCs/>
        <w:rFonts w:ascii="Arial" w:hAnsi="Arial"/>
        <w:color w:val="000000"/>
      </w:rPr>
    </w:lvl>
    <w:lvl w:ilvl="3">
      <w:start w:val="1"/>
      <w:numFmt w:val="decimal"/>
      <w:suff w:val="space"/>
      <w:lvlText w:val="%1.%2.%3.%4."/>
      <w:lvlJc w:val="left"/>
      <w:pPr>
        <w:tabs>
          <w:tab w:val="num" w:pos="0"/>
        </w:tabs>
        <w:ind w:left="1800" w:hanging="360"/>
      </w:pPr>
      <w:rPr>
        <w:sz w:val="19"/>
        <w:b/>
        <w:szCs w:val="19"/>
        <w:bCs/>
        <w:rFonts w:ascii="Arial" w:hAnsi="Arial"/>
        <w:color w:val="000000"/>
      </w:rPr>
    </w:lvl>
    <w:lvl w:ilvl="4">
      <w:start w:val="1"/>
      <w:numFmt w:val="upperRoman"/>
      <w:suff w:val="space"/>
      <w:lvlText w:val="%5."/>
      <w:lvlJc w:val="left"/>
      <w:pPr>
        <w:tabs>
          <w:tab w:val="num" w:pos="0"/>
        </w:tabs>
        <w:ind w:left="1134" w:firstLine="666"/>
      </w:pPr>
      <w:rPr>
        <w:sz w:val="19"/>
        <w:b/>
        <w:szCs w:val="19"/>
        <w:bCs/>
        <w:rFonts w:ascii="Arial" w:hAnsi="Arial"/>
        <w:color w:val="000000"/>
      </w:rPr>
    </w:lvl>
    <w:lvl w:ilvl="5">
      <w:start w:val="1"/>
      <w:numFmt w:val="lowerLetter"/>
      <w:suff w:val="space"/>
      <w:lvlText w:val="%6."/>
      <w:lvlJc w:val="left"/>
      <w:pPr>
        <w:tabs>
          <w:tab w:val="num" w:pos="0"/>
        </w:tabs>
        <w:ind w:left="2835" w:hanging="675"/>
      </w:pPr>
      <w:rPr>
        <w:sz w:val="19"/>
        <w:b/>
        <w:szCs w:val="19"/>
        <w:bCs/>
        <w:rFonts w:ascii="Arial" w:hAnsi="Arial"/>
        <w:color w:val="000000"/>
      </w:rPr>
    </w:lvl>
    <w:lvl w:ilvl="6">
      <w:start w:val="1"/>
      <w:numFmt w:val="decimal"/>
      <w:lvlText w:val="%7."/>
      <w:lvlJc w:val="left"/>
      <w:pPr>
        <w:tabs>
          <w:tab w:val="num" w:pos="2880"/>
        </w:tabs>
        <w:ind w:left="2880" w:hanging="360"/>
      </w:pPr>
      <w:rPr>
        <w:sz w:val="19"/>
        <w:b/>
        <w:szCs w:val="19"/>
        <w:bCs/>
        <w:rFonts w:ascii="Arial" w:hAnsi="Arial"/>
        <w:color w:val="000000"/>
      </w:rPr>
    </w:lvl>
    <w:lvl w:ilvl="7">
      <w:start w:val="1"/>
      <w:numFmt w:val="decimal"/>
      <w:lvlText w:val="%8."/>
      <w:lvlJc w:val="left"/>
      <w:pPr>
        <w:tabs>
          <w:tab w:val="num" w:pos="3240"/>
        </w:tabs>
        <w:ind w:left="3240" w:hanging="360"/>
      </w:pPr>
      <w:rPr>
        <w:sz w:val="19"/>
        <w:b/>
        <w:szCs w:val="19"/>
        <w:bCs/>
        <w:rFonts w:ascii="Arial" w:hAnsi="Arial"/>
        <w:color w:val="000000"/>
      </w:rPr>
    </w:lvl>
    <w:lvl w:ilvl="8">
      <w:start w:val="1"/>
      <w:numFmt w:val="decimal"/>
      <w:lvlText w:val="%9."/>
      <w:lvlJc w:val="left"/>
      <w:pPr>
        <w:tabs>
          <w:tab w:val="num" w:pos="3600"/>
        </w:tabs>
        <w:ind w:left="3600" w:hanging="360"/>
      </w:pPr>
      <w:rPr>
        <w:sz w:val="19"/>
        <w:b/>
        <w:szCs w:val="19"/>
        <w:bCs/>
        <w:rFonts w:ascii="Arial" w:hAnsi="Arial"/>
        <w:color w:val="000000"/>
      </w:rPr>
    </w:lvl>
  </w:abstractNum>
  <w:abstractNum w:abstractNumId="7">
    <w:lvl w:ilvl="0">
      <w:start w:val="1"/>
      <w:numFmt w:val="decimal"/>
      <w:suff w:val="space"/>
      <w:lvlText w:val="%1."/>
      <w:lvlJc w:val="left"/>
      <w:pPr>
        <w:tabs>
          <w:tab w:val="num" w:pos="0"/>
        </w:tabs>
        <w:ind w:left="720" w:hanging="360"/>
      </w:pPr>
      <w:rPr>
        <w:sz w:val="19"/>
        <w:b/>
        <w:szCs w:val="19"/>
        <w:bCs/>
        <w:rFonts w:ascii="Arial" w:hAnsi="Arial"/>
        <w:color w:val="000000"/>
      </w:rPr>
    </w:lvl>
    <w:lvl w:ilvl="1">
      <w:start w:val="1"/>
      <w:numFmt w:val="decimal"/>
      <w:suff w:val="space"/>
      <w:lvlText w:val="%1.%2."/>
      <w:lvlJc w:val="left"/>
      <w:pPr>
        <w:tabs>
          <w:tab w:val="num" w:pos="0"/>
        </w:tabs>
        <w:ind w:left="1196" w:hanging="363"/>
      </w:pPr>
      <w:rPr>
        <w:sz w:val="19"/>
        <w:b/>
        <w:szCs w:val="19"/>
        <w:bCs/>
        <w:rFonts w:ascii="Arial" w:hAnsi="Arial"/>
        <w:color w:val="000000"/>
      </w:rPr>
    </w:lvl>
    <w:lvl w:ilvl="2">
      <w:start w:val="1"/>
      <w:numFmt w:val="decimal"/>
      <w:suff w:val="space"/>
      <w:lvlText w:val="%1.%2.%3."/>
      <w:lvlJc w:val="left"/>
      <w:pPr>
        <w:tabs>
          <w:tab w:val="num" w:pos="0"/>
        </w:tabs>
        <w:ind w:left="1440" w:hanging="360"/>
      </w:pPr>
      <w:rPr>
        <w:sz w:val="19"/>
        <w:b/>
        <w:szCs w:val="19"/>
        <w:bCs/>
        <w:rFonts w:ascii="Arial" w:hAnsi="Arial"/>
        <w:color w:val="000000"/>
      </w:rPr>
    </w:lvl>
    <w:lvl w:ilvl="3">
      <w:start w:val="1"/>
      <w:numFmt w:val="decimal"/>
      <w:suff w:val="space"/>
      <w:lvlText w:val="%1.%2.%3.%4."/>
      <w:lvlJc w:val="left"/>
      <w:pPr>
        <w:tabs>
          <w:tab w:val="num" w:pos="0"/>
        </w:tabs>
        <w:ind w:left="1800" w:hanging="360"/>
      </w:pPr>
      <w:rPr>
        <w:sz w:val="19"/>
        <w:b/>
        <w:szCs w:val="19"/>
        <w:bCs/>
        <w:rFonts w:ascii="Arial" w:hAnsi="Arial"/>
        <w:color w:val="000000"/>
      </w:rPr>
    </w:lvl>
    <w:lvl w:ilvl="4">
      <w:start w:val="1"/>
      <w:numFmt w:val="upperRoman"/>
      <w:suff w:val="space"/>
      <w:lvlText w:val="%5."/>
      <w:lvlJc w:val="left"/>
      <w:pPr>
        <w:tabs>
          <w:tab w:val="num" w:pos="0"/>
        </w:tabs>
        <w:ind w:left="2160" w:hanging="360"/>
      </w:pPr>
      <w:rPr>
        <w:sz w:val="19"/>
        <w:b/>
        <w:szCs w:val="19"/>
        <w:bCs/>
        <w:rFonts w:ascii="Arial" w:hAnsi="Arial"/>
        <w:color w:val="000000"/>
      </w:rPr>
    </w:lvl>
    <w:lvl w:ilvl="5">
      <w:start w:val="1"/>
      <w:numFmt w:val="lowerLetter"/>
      <w:suff w:val="space"/>
      <w:lvlText w:val="%6."/>
      <w:lvlJc w:val="left"/>
      <w:pPr>
        <w:tabs>
          <w:tab w:val="num" w:pos="0"/>
        </w:tabs>
        <w:ind w:left="2520" w:hanging="360"/>
      </w:pPr>
      <w:rPr>
        <w:sz w:val="19"/>
        <w:b/>
        <w:szCs w:val="19"/>
        <w:bCs/>
        <w:rFonts w:ascii="Arial" w:hAnsi="Arial"/>
        <w:color w:val="000000"/>
      </w:rPr>
    </w:lvl>
    <w:lvl w:ilvl="6">
      <w:start w:val="1"/>
      <w:numFmt w:val="decimal"/>
      <w:lvlText w:val="%7."/>
      <w:lvlJc w:val="left"/>
      <w:pPr>
        <w:tabs>
          <w:tab w:val="num" w:pos="2880"/>
        </w:tabs>
        <w:ind w:left="2880" w:hanging="360"/>
      </w:pPr>
      <w:rPr>
        <w:sz w:val="19"/>
        <w:b/>
        <w:szCs w:val="19"/>
        <w:bCs/>
        <w:rFonts w:ascii="Arial" w:hAnsi="Arial"/>
        <w:color w:val="000000"/>
      </w:rPr>
    </w:lvl>
    <w:lvl w:ilvl="7">
      <w:start w:val="1"/>
      <w:numFmt w:val="decimal"/>
      <w:lvlText w:val="%8."/>
      <w:lvlJc w:val="left"/>
      <w:pPr>
        <w:tabs>
          <w:tab w:val="num" w:pos="3240"/>
        </w:tabs>
        <w:ind w:left="3240" w:hanging="360"/>
      </w:pPr>
      <w:rPr>
        <w:sz w:val="19"/>
        <w:b/>
        <w:szCs w:val="19"/>
        <w:bCs/>
        <w:rFonts w:ascii="Arial" w:hAnsi="Arial"/>
        <w:color w:val="000000"/>
      </w:rPr>
    </w:lvl>
    <w:lvl w:ilvl="8">
      <w:start w:val="1"/>
      <w:numFmt w:val="decimal"/>
      <w:lvlText w:val="%9."/>
      <w:lvlJc w:val="left"/>
      <w:pPr>
        <w:tabs>
          <w:tab w:val="num" w:pos="3600"/>
        </w:tabs>
        <w:ind w:left="3600" w:hanging="360"/>
      </w:pPr>
      <w:rPr>
        <w:sz w:val="19"/>
        <w:b/>
        <w:szCs w:val="19"/>
        <w:bCs/>
        <w:rFonts w:ascii="Arial" w:hAnsi="Arial"/>
        <w:color w:val="000000"/>
      </w:rPr>
    </w:lvl>
  </w:abstractNum>
  <w:abstractNum w:abstractNumId="8">
    <w:lvl w:ilvl="0">
      <w:start w:val="1"/>
      <w:numFmt w:val="bullet"/>
      <w:lvlText w:val=""/>
      <w:lvlJc w:val="left"/>
      <w:pPr>
        <w:tabs>
          <w:tab w:val="num" w:pos="720"/>
        </w:tabs>
        <w:ind w:left="720" w:hanging="360"/>
      </w:pPr>
      <w:rPr>
        <w:rFonts w:ascii="Symbol" w:hAnsi="Symbol" w:cs="Symbol" w:hint="default"/>
        <w:b/>
        <w:bCs/>
      </w:rPr>
    </w:lvl>
    <w:lvl w:ilvl="1">
      <w:start w:val="1"/>
      <w:numFmt w:val="bullet"/>
      <w:lvlText w:val=""/>
      <w:lvlJc w:val="left"/>
      <w:pPr>
        <w:tabs>
          <w:tab w:val="num" w:pos="1080"/>
        </w:tabs>
        <w:ind w:left="1080" w:hanging="360"/>
      </w:pPr>
      <w:rPr>
        <w:rFonts w:ascii="Symbol" w:hAnsi="Symbol" w:cs="Symbol" w:hint="default"/>
        <w:b/>
        <w:bCs/>
      </w:rPr>
    </w:lvl>
    <w:lvl w:ilvl="2">
      <w:start w:val="1"/>
      <w:numFmt w:val="bullet"/>
      <w:lvlText w:val=""/>
      <w:lvlJc w:val="left"/>
      <w:pPr>
        <w:tabs>
          <w:tab w:val="num" w:pos="1440"/>
        </w:tabs>
        <w:ind w:left="1440" w:hanging="360"/>
      </w:pPr>
      <w:rPr>
        <w:rFonts w:ascii="Symbol" w:hAnsi="Symbol" w:cs="Symbol" w:hint="default"/>
        <w:b/>
        <w:bCs/>
      </w:rPr>
    </w:lvl>
    <w:lvl w:ilvl="3">
      <w:start w:val="1"/>
      <w:numFmt w:val="bullet"/>
      <w:lvlText w:val=""/>
      <w:lvlJc w:val="left"/>
      <w:pPr>
        <w:tabs>
          <w:tab w:val="num" w:pos="1800"/>
        </w:tabs>
        <w:ind w:left="1800" w:hanging="360"/>
      </w:pPr>
      <w:rPr>
        <w:rFonts w:ascii="Symbol" w:hAnsi="Symbol" w:cs="Symbol" w:hint="default"/>
        <w:b/>
        <w:bCs/>
      </w:rPr>
    </w:lvl>
    <w:lvl w:ilvl="4">
      <w:start w:val="1"/>
      <w:numFmt w:val="bullet"/>
      <w:lvlText w:val=""/>
      <w:lvlJc w:val="left"/>
      <w:pPr>
        <w:tabs>
          <w:tab w:val="num" w:pos="2160"/>
        </w:tabs>
        <w:ind w:left="2160" w:hanging="360"/>
      </w:pPr>
      <w:rPr>
        <w:rFonts w:ascii="Symbol" w:hAnsi="Symbol" w:cs="Symbol" w:hint="default"/>
        <w:b/>
        <w:bCs/>
      </w:rPr>
    </w:lvl>
    <w:lvl w:ilvl="5">
      <w:start w:val="1"/>
      <w:numFmt w:val="bullet"/>
      <w:lvlText w:val=""/>
      <w:lvlJc w:val="left"/>
      <w:pPr>
        <w:tabs>
          <w:tab w:val="num" w:pos="2520"/>
        </w:tabs>
        <w:ind w:left="2520" w:hanging="360"/>
      </w:pPr>
      <w:rPr>
        <w:rFonts w:ascii="Symbol" w:hAnsi="Symbol" w:cs="Symbol" w:hint="default"/>
        <w:b/>
        <w:bCs/>
      </w:rPr>
    </w:lvl>
    <w:lvl w:ilvl="6">
      <w:start w:val="1"/>
      <w:numFmt w:val="bullet"/>
      <w:lvlText w:val=""/>
      <w:lvlJc w:val="left"/>
      <w:pPr>
        <w:tabs>
          <w:tab w:val="num" w:pos="2880"/>
        </w:tabs>
        <w:ind w:left="2880" w:hanging="360"/>
      </w:pPr>
      <w:rPr>
        <w:rFonts w:ascii="Symbol" w:hAnsi="Symbol" w:cs="Symbol" w:hint="default"/>
        <w:b/>
        <w:bCs/>
      </w:rPr>
    </w:lvl>
    <w:lvl w:ilvl="7">
      <w:start w:val="1"/>
      <w:numFmt w:val="bullet"/>
      <w:lvlText w:val=""/>
      <w:lvlJc w:val="left"/>
      <w:pPr>
        <w:tabs>
          <w:tab w:val="num" w:pos="3240"/>
        </w:tabs>
        <w:ind w:left="3240" w:hanging="360"/>
      </w:pPr>
      <w:rPr>
        <w:rFonts w:ascii="Symbol" w:hAnsi="Symbol" w:cs="Symbol" w:hint="default"/>
        <w:b/>
        <w:bCs/>
      </w:rPr>
    </w:lvl>
    <w:lvl w:ilvl="8">
      <w:start w:val="1"/>
      <w:numFmt w:val="bullet"/>
      <w:lvlText w:val=""/>
      <w:lvlJc w:val="left"/>
      <w:pPr>
        <w:tabs>
          <w:tab w:val="num" w:pos="3600"/>
        </w:tabs>
        <w:ind w:left="3600" w:hanging="360"/>
      </w:pPr>
      <w:rPr>
        <w:rFonts w:ascii="Symbol" w:hAnsi="Symbol" w:cs="Symbol" w:hint="default"/>
        <w:b/>
        <w:bCs/>
      </w:rPr>
    </w:lvl>
  </w:abstractNum>
  <w:abstractNum w:abstractNumId="9">
    <w:lvl w:ilvl="0">
      <w:start w:val="1"/>
      <w:numFmt w:val="bullet"/>
      <w:lvlText w:val=""/>
      <w:lvlJc w:val="left"/>
      <w:pPr>
        <w:tabs>
          <w:tab w:val="num" w:pos="720"/>
        </w:tabs>
        <w:ind w:left="720" w:hanging="360"/>
      </w:pPr>
      <w:rPr>
        <w:rFonts w:ascii="Symbol" w:hAnsi="Symbol" w:cs="Symbol" w:hint="default"/>
        <w:b/>
        <w:bCs/>
      </w:rPr>
    </w:lvl>
    <w:lvl w:ilvl="1">
      <w:start w:val="1"/>
      <w:numFmt w:val="bullet"/>
      <w:lvlText w:val=""/>
      <w:lvlJc w:val="left"/>
      <w:pPr>
        <w:tabs>
          <w:tab w:val="num" w:pos="1080"/>
        </w:tabs>
        <w:ind w:left="1080" w:hanging="360"/>
      </w:pPr>
      <w:rPr>
        <w:rFonts w:ascii="Symbol" w:hAnsi="Symbol" w:cs="Symbol" w:hint="default"/>
        <w:b/>
        <w:bCs/>
      </w:rPr>
    </w:lvl>
    <w:lvl w:ilvl="2">
      <w:start w:val="1"/>
      <w:numFmt w:val="bullet"/>
      <w:lvlText w:val=""/>
      <w:lvlJc w:val="left"/>
      <w:pPr>
        <w:tabs>
          <w:tab w:val="num" w:pos="1440"/>
        </w:tabs>
        <w:ind w:left="1440" w:hanging="360"/>
      </w:pPr>
      <w:rPr>
        <w:rFonts w:ascii="Symbol" w:hAnsi="Symbol" w:cs="Symbol" w:hint="default"/>
        <w:b/>
        <w:bCs/>
      </w:rPr>
    </w:lvl>
    <w:lvl w:ilvl="3">
      <w:start w:val="1"/>
      <w:numFmt w:val="bullet"/>
      <w:lvlText w:val=""/>
      <w:lvlJc w:val="left"/>
      <w:pPr>
        <w:tabs>
          <w:tab w:val="num" w:pos="1800"/>
        </w:tabs>
        <w:ind w:left="1800" w:hanging="360"/>
      </w:pPr>
      <w:rPr>
        <w:rFonts w:ascii="Symbol" w:hAnsi="Symbol" w:cs="Symbol" w:hint="default"/>
        <w:b/>
        <w:bCs/>
      </w:rPr>
    </w:lvl>
    <w:lvl w:ilvl="4">
      <w:start w:val="1"/>
      <w:numFmt w:val="bullet"/>
      <w:lvlText w:val=""/>
      <w:lvlJc w:val="left"/>
      <w:pPr>
        <w:tabs>
          <w:tab w:val="num" w:pos="2160"/>
        </w:tabs>
        <w:ind w:left="2160" w:hanging="360"/>
      </w:pPr>
      <w:rPr>
        <w:rFonts w:ascii="Symbol" w:hAnsi="Symbol" w:cs="Symbol" w:hint="default"/>
        <w:b/>
        <w:bCs/>
      </w:rPr>
    </w:lvl>
    <w:lvl w:ilvl="5">
      <w:start w:val="1"/>
      <w:numFmt w:val="bullet"/>
      <w:lvlText w:val=""/>
      <w:lvlJc w:val="left"/>
      <w:pPr>
        <w:tabs>
          <w:tab w:val="num" w:pos="2520"/>
        </w:tabs>
        <w:ind w:left="2520" w:hanging="360"/>
      </w:pPr>
      <w:rPr>
        <w:rFonts w:ascii="Symbol" w:hAnsi="Symbol" w:cs="Symbol" w:hint="default"/>
        <w:b/>
        <w:bCs/>
      </w:rPr>
    </w:lvl>
    <w:lvl w:ilvl="6">
      <w:start w:val="1"/>
      <w:numFmt w:val="bullet"/>
      <w:lvlText w:val=""/>
      <w:lvlJc w:val="left"/>
      <w:pPr>
        <w:tabs>
          <w:tab w:val="num" w:pos="2880"/>
        </w:tabs>
        <w:ind w:left="2880" w:hanging="360"/>
      </w:pPr>
      <w:rPr>
        <w:rFonts w:ascii="Symbol" w:hAnsi="Symbol" w:cs="Symbol" w:hint="default"/>
        <w:b/>
        <w:bCs/>
      </w:rPr>
    </w:lvl>
    <w:lvl w:ilvl="7">
      <w:start w:val="1"/>
      <w:numFmt w:val="bullet"/>
      <w:lvlText w:val=""/>
      <w:lvlJc w:val="left"/>
      <w:pPr>
        <w:tabs>
          <w:tab w:val="num" w:pos="3240"/>
        </w:tabs>
        <w:ind w:left="3240" w:hanging="360"/>
      </w:pPr>
      <w:rPr>
        <w:rFonts w:ascii="Symbol" w:hAnsi="Symbol" w:cs="Symbol" w:hint="default"/>
        <w:b/>
        <w:bCs/>
      </w:rPr>
    </w:lvl>
    <w:lvl w:ilvl="8">
      <w:start w:val="1"/>
      <w:numFmt w:val="bullet"/>
      <w:lvlText w:val=""/>
      <w:lvlJc w:val="left"/>
      <w:pPr>
        <w:tabs>
          <w:tab w:val="num" w:pos="3600"/>
        </w:tabs>
        <w:ind w:left="3600" w:hanging="360"/>
      </w:pPr>
      <w:rPr>
        <w:rFonts w:ascii="Symbol" w:hAnsi="Symbol" w:cs="Symbol" w:hint="default"/>
        <w:b/>
        <w:bCs/>
      </w:rPr>
    </w:lvl>
  </w:abstractNum>
  <w:abstractNum w:abstractNumId="10">
    <w:lvl w:ilvl="0">
      <w:start w:val="1"/>
      <w:numFmt w:val="bullet"/>
      <w:lvlText w:val=""/>
      <w:lvlJc w:val="left"/>
      <w:pPr>
        <w:tabs>
          <w:tab w:val="num" w:pos="720"/>
        </w:tabs>
        <w:ind w:left="720" w:hanging="360"/>
      </w:pPr>
      <w:rPr>
        <w:rFonts w:ascii="Symbol" w:hAnsi="Symbol" w:cs="Symbol" w:hint="default"/>
        <w:b/>
        <w:bCs/>
      </w:rPr>
    </w:lvl>
    <w:lvl w:ilvl="1">
      <w:start w:val="1"/>
      <w:numFmt w:val="bullet"/>
      <w:lvlText w:val=""/>
      <w:lvlJc w:val="left"/>
      <w:pPr>
        <w:tabs>
          <w:tab w:val="num" w:pos="1080"/>
        </w:tabs>
        <w:ind w:left="1080" w:hanging="360"/>
      </w:pPr>
      <w:rPr>
        <w:rFonts w:ascii="Symbol" w:hAnsi="Symbol" w:cs="Symbol" w:hint="default"/>
        <w:b/>
        <w:bCs/>
      </w:rPr>
    </w:lvl>
    <w:lvl w:ilvl="2">
      <w:start w:val="1"/>
      <w:numFmt w:val="bullet"/>
      <w:lvlText w:val=""/>
      <w:lvlJc w:val="left"/>
      <w:pPr>
        <w:tabs>
          <w:tab w:val="num" w:pos="1440"/>
        </w:tabs>
        <w:ind w:left="1440" w:hanging="360"/>
      </w:pPr>
      <w:rPr>
        <w:rFonts w:ascii="Symbol" w:hAnsi="Symbol" w:cs="Symbol" w:hint="default"/>
        <w:b/>
        <w:bCs/>
      </w:rPr>
    </w:lvl>
    <w:lvl w:ilvl="3">
      <w:start w:val="1"/>
      <w:numFmt w:val="bullet"/>
      <w:lvlText w:val=""/>
      <w:lvlJc w:val="left"/>
      <w:pPr>
        <w:tabs>
          <w:tab w:val="num" w:pos="1800"/>
        </w:tabs>
        <w:ind w:left="1800" w:hanging="360"/>
      </w:pPr>
      <w:rPr>
        <w:rFonts w:ascii="Symbol" w:hAnsi="Symbol" w:cs="Symbol" w:hint="default"/>
        <w:b/>
        <w:bCs/>
      </w:rPr>
    </w:lvl>
    <w:lvl w:ilvl="4">
      <w:start w:val="1"/>
      <w:numFmt w:val="bullet"/>
      <w:lvlText w:val=""/>
      <w:lvlJc w:val="left"/>
      <w:pPr>
        <w:tabs>
          <w:tab w:val="num" w:pos="2160"/>
        </w:tabs>
        <w:ind w:left="2160" w:hanging="360"/>
      </w:pPr>
      <w:rPr>
        <w:rFonts w:ascii="Symbol" w:hAnsi="Symbol" w:cs="Symbol" w:hint="default"/>
        <w:b/>
        <w:bCs/>
      </w:rPr>
    </w:lvl>
    <w:lvl w:ilvl="5">
      <w:start w:val="1"/>
      <w:numFmt w:val="bullet"/>
      <w:lvlText w:val=""/>
      <w:lvlJc w:val="left"/>
      <w:pPr>
        <w:tabs>
          <w:tab w:val="num" w:pos="2520"/>
        </w:tabs>
        <w:ind w:left="2520" w:hanging="360"/>
      </w:pPr>
      <w:rPr>
        <w:rFonts w:ascii="Symbol" w:hAnsi="Symbol" w:cs="Symbol" w:hint="default"/>
        <w:b/>
        <w:bCs/>
      </w:rPr>
    </w:lvl>
    <w:lvl w:ilvl="6">
      <w:start w:val="1"/>
      <w:numFmt w:val="bullet"/>
      <w:lvlText w:val=""/>
      <w:lvlJc w:val="left"/>
      <w:pPr>
        <w:tabs>
          <w:tab w:val="num" w:pos="2880"/>
        </w:tabs>
        <w:ind w:left="2880" w:hanging="360"/>
      </w:pPr>
      <w:rPr>
        <w:rFonts w:ascii="Symbol" w:hAnsi="Symbol" w:cs="Symbol" w:hint="default"/>
        <w:b/>
        <w:bCs/>
      </w:rPr>
    </w:lvl>
    <w:lvl w:ilvl="7">
      <w:start w:val="1"/>
      <w:numFmt w:val="bullet"/>
      <w:lvlText w:val=""/>
      <w:lvlJc w:val="left"/>
      <w:pPr>
        <w:tabs>
          <w:tab w:val="num" w:pos="3240"/>
        </w:tabs>
        <w:ind w:left="3240" w:hanging="360"/>
      </w:pPr>
      <w:rPr>
        <w:rFonts w:ascii="Symbol" w:hAnsi="Symbol" w:cs="Symbol" w:hint="default"/>
        <w:b/>
        <w:bCs/>
      </w:rPr>
    </w:lvl>
    <w:lvl w:ilvl="8">
      <w:start w:val="1"/>
      <w:numFmt w:val="bullet"/>
      <w:lvlText w:val=""/>
      <w:lvlJc w:val="left"/>
      <w:pPr>
        <w:tabs>
          <w:tab w:val="num" w:pos="3600"/>
        </w:tabs>
        <w:ind w:left="3600" w:hanging="360"/>
      </w:pPr>
      <w:rPr>
        <w:rFonts w:ascii="Symbol" w:hAnsi="Symbol" w:cs="Symbol" w:hint="default"/>
        <w:b/>
        <w:bCs/>
      </w:rPr>
    </w:lvl>
  </w:abstractNum>
  <w:abstractNum w:abstractNumId="11">
    <w:lvl w:ilvl="0">
      <w:start w:val="1"/>
      <w:numFmt w:val="bullet"/>
      <w:lvlText w:val=""/>
      <w:lvlJc w:val="left"/>
      <w:pPr>
        <w:tabs>
          <w:tab w:val="num" w:pos="720"/>
        </w:tabs>
        <w:ind w:left="720" w:hanging="360"/>
      </w:pPr>
      <w:rPr>
        <w:rFonts w:ascii="Symbol" w:hAnsi="Symbol" w:cs="Symbol" w:hint="default"/>
        <w:b/>
        <w:bCs/>
      </w:rPr>
    </w:lvl>
    <w:lvl w:ilvl="1">
      <w:start w:val="1"/>
      <w:numFmt w:val="bullet"/>
      <w:lvlText w:val=""/>
      <w:lvlJc w:val="left"/>
      <w:pPr>
        <w:tabs>
          <w:tab w:val="num" w:pos="1080"/>
        </w:tabs>
        <w:ind w:left="1080" w:hanging="360"/>
      </w:pPr>
      <w:rPr>
        <w:rFonts w:ascii="Symbol" w:hAnsi="Symbol" w:cs="Symbol" w:hint="default"/>
        <w:b/>
        <w:bCs/>
      </w:rPr>
    </w:lvl>
    <w:lvl w:ilvl="2">
      <w:start w:val="1"/>
      <w:numFmt w:val="bullet"/>
      <w:lvlText w:val=""/>
      <w:lvlJc w:val="left"/>
      <w:pPr>
        <w:tabs>
          <w:tab w:val="num" w:pos="1440"/>
        </w:tabs>
        <w:ind w:left="1440" w:hanging="360"/>
      </w:pPr>
      <w:rPr>
        <w:rFonts w:ascii="Symbol" w:hAnsi="Symbol" w:cs="Symbol" w:hint="default"/>
        <w:b/>
        <w:bCs/>
      </w:rPr>
    </w:lvl>
    <w:lvl w:ilvl="3">
      <w:start w:val="1"/>
      <w:numFmt w:val="bullet"/>
      <w:lvlText w:val=""/>
      <w:lvlJc w:val="left"/>
      <w:pPr>
        <w:tabs>
          <w:tab w:val="num" w:pos="1800"/>
        </w:tabs>
        <w:ind w:left="1800" w:hanging="360"/>
      </w:pPr>
      <w:rPr>
        <w:rFonts w:ascii="Symbol" w:hAnsi="Symbol" w:cs="Symbol" w:hint="default"/>
        <w:b/>
        <w:bCs/>
      </w:rPr>
    </w:lvl>
    <w:lvl w:ilvl="4">
      <w:start w:val="1"/>
      <w:numFmt w:val="bullet"/>
      <w:lvlText w:val=""/>
      <w:lvlJc w:val="left"/>
      <w:pPr>
        <w:tabs>
          <w:tab w:val="num" w:pos="2160"/>
        </w:tabs>
        <w:ind w:left="2160" w:hanging="360"/>
      </w:pPr>
      <w:rPr>
        <w:rFonts w:ascii="Symbol" w:hAnsi="Symbol" w:cs="Symbol" w:hint="default"/>
        <w:b/>
        <w:bCs/>
      </w:rPr>
    </w:lvl>
    <w:lvl w:ilvl="5">
      <w:start w:val="1"/>
      <w:numFmt w:val="bullet"/>
      <w:lvlText w:val=""/>
      <w:lvlJc w:val="left"/>
      <w:pPr>
        <w:tabs>
          <w:tab w:val="num" w:pos="2520"/>
        </w:tabs>
        <w:ind w:left="2520" w:hanging="360"/>
      </w:pPr>
      <w:rPr>
        <w:rFonts w:ascii="Symbol" w:hAnsi="Symbol" w:cs="Symbol" w:hint="default"/>
        <w:b/>
        <w:bCs/>
      </w:rPr>
    </w:lvl>
    <w:lvl w:ilvl="6">
      <w:start w:val="1"/>
      <w:numFmt w:val="bullet"/>
      <w:lvlText w:val=""/>
      <w:lvlJc w:val="left"/>
      <w:pPr>
        <w:tabs>
          <w:tab w:val="num" w:pos="2880"/>
        </w:tabs>
        <w:ind w:left="2880" w:hanging="360"/>
      </w:pPr>
      <w:rPr>
        <w:rFonts w:ascii="Symbol" w:hAnsi="Symbol" w:cs="Symbol" w:hint="default"/>
        <w:b/>
        <w:bCs/>
      </w:rPr>
    </w:lvl>
    <w:lvl w:ilvl="7">
      <w:start w:val="1"/>
      <w:numFmt w:val="bullet"/>
      <w:lvlText w:val=""/>
      <w:lvlJc w:val="left"/>
      <w:pPr>
        <w:tabs>
          <w:tab w:val="num" w:pos="3240"/>
        </w:tabs>
        <w:ind w:left="3240" w:hanging="360"/>
      </w:pPr>
      <w:rPr>
        <w:rFonts w:ascii="Symbol" w:hAnsi="Symbol" w:cs="Symbol" w:hint="default"/>
        <w:b/>
        <w:bCs/>
      </w:rPr>
    </w:lvl>
    <w:lvl w:ilvl="8">
      <w:start w:val="1"/>
      <w:numFmt w:val="bullet"/>
      <w:lvlText w:val=""/>
      <w:lvlJc w:val="left"/>
      <w:pPr>
        <w:tabs>
          <w:tab w:val="num" w:pos="3600"/>
        </w:tabs>
        <w:ind w:left="3600" w:hanging="360"/>
      </w:pPr>
      <w:rPr>
        <w:rFonts w:ascii="Symbol" w:hAnsi="Symbol" w:cs="Symbol" w:hint="default"/>
        <w:b/>
        <w:bCs/>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2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SimSun" w:cs="Mangal"/>
      <w:color w:val="auto"/>
      <w:kern w:val="2"/>
      <w:sz w:val="24"/>
      <w:szCs w:val="24"/>
      <w:lang w:val="pt-BR" w:eastAsia="zh-CN" w:bidi="hi-IN"/>
    </w:rPr>
  </w:style>
  <w:style w:type="paragraph" w:styleId="Heading1">
    <w:name w:val="heading 1"/>
    <w:basedOn w:val="Ttulouser"/>
    <w:next w:val="BodyText"/>
    <w:qFormat/>
    <w:pPr>
      <w:numPr>
        <w:ilvl w:val="0"/>
        <w:numId w:val="1"/>
      </w:numPr>
      <w:pBdr>
        <w:top w:val="single" w:sz="2" w:space="1" w:color="000000"/>
        <w:left w:val="single" w:sz="2" w:space="1" w:color="000000"/>
        <w:bottom w:val="single" w:sz="2" w:space="1" w:color="000000"/>
        <w:right w:val="single" w:sz="2" w:space="1" w:color="000000"/>
      </w:pBdr>
      <w:shd w:val="clear" w:fill="EEEEEE"/>
      <w:spacing w:before="283" w:after="113"/>
      <w:jc w:val="center"/>
      <w:outlineLvl w:val="0"/>
    </w:pPr>
    <w:rPr>
      <w:rFonts w:ascii="Arial" w:hAnsi="Arial"/>
      <w:b/>
      <w:bCs/>
      <w:sz w:val="19"/>
      <w:szCs w:val="36"/>
    </w:rPr>
  </w:style>
  <w:style w:type="paragraph" w:styleId="Heading2">
    <w:name w:val="heading 2"/>
    <w:basedOn w:val="Ttulouser"/>
    <w:next w:val="BodyText"/>
    <w:qFormat/>
    <w:pPr>
      <w:numPr>
        <w:ilvl w:val="1"/>
        <w:numId w:val="1"/>
      </w:numPr>
      <w:spacing w:lineRule="auto" w:line="240" w:before="57" w:after="57"/>
      <w:jc w:val="center"/>
      <w:outlineLvl w:val="1"/>
    </w:pPr>
    <w:rPr>
      <w:rFonts w:ascii="Arial" w:hAnsi="Arial"/>
      <w:b/>
      <w:bCs/>
      <w:sz w:val="19"/>
      <w:szCs w:val="19"/>
    </w:rPr>
  </w:style>
  <w:style w:type="paragraph" w:styleId="Heading3">
    <w:name w:val="heading 3"/>
    <w:basedOn w:val="Ttulouser"/>
    <w:next w:val="BodyText"/>
    <w:qFormat/>
    <w:pPr>
      <w:numPr>
        <w:ilvl w:val="2"/>
        <w:numId w:val="1"/>
      </w:numPr>
      <w:spacing w:before="140" w:after="120"/>
      <w:jc w:val="center"/>
      <w:outlineLvl w:val="2"/>
    </w:pPr>
    <w:rPr>
      <w:rFonts w:ascii="Arial" w:hAnsi="Arial"/>
      <w:b w:val="false"/>
      <w:bCs/>
      <w:sz w:val="19"/>
      <w:szCs w:val="28"/>
    </w:rPr>
  </w:style>
  <w:style w:type="character" w:styleId="Hyperlink">
    <w:name w:val="Hyperlink"/>
    <w:qFormat/>
    <w:rPr>
      <w:color w:val="000080"/>
      <w:u w:val="single"/>
    </w:rPr>
  </w:style>
  <w:style w:type="character" w:styleId="FollowedHyperlink">
    <w:name w:val="FollowedHyperlink"/>
    <w:qFormat/>
    <w:rPr>
      <w:color w:val="800080"/>
      <w:u w:val="single"/>
    </w:rPr>
  </w:style>
  <w:style w:type="character" w:styleId="Smbolosdenumeraouser">
    <w:name w:val="Símbolos de numeração (user)"/>
    <w:qFormat/>
    <w:rPr>
      <w:rFonts w:ascii="Arial" w:hAnsi="Arial"/>
      <w:b/>
      <w:bCs/>
      <w:color w:val="000000"/>
      <w:sz w:val="19"/>
      <w:szCs w:val="19"/>
    </w:rPr>
  </w:style>
  <w:style w:type="character" w:styleId="Marcadoresuser">
    <w:name w:val="Marcadores (user)"/>
    <w:qFormat/>
    <w:rPr>
      <w:rFonts w:ascii="OpenSymbol" w:hAnsi="OpenSymbol" w:eastAsia="OpenSymbol" w:cs="OpenSymbol"/>
      <w:b/>
      <w:bCs/>
    </w:rPr>
  </w:style>
  <w:style w:type="character" w:styleId="Fontepargpadro">
    <w:name w:val="Fonte parág. padrão"/>
    <w:qFormat/>
    <w:rPr/>
  </w:style>
  <w:style w:type="character" w:styleId="Character20style">
    <w:name w:val="Character_20_style"/>
    <w:qFormat/>
    <w:rPr/>
  </w:style>
  <w:style w:type="character" w:styleId="Marcadores">
    <w:name w:val="Marcadores"/>
    <w:qFormat/>
    <w:rPr>
      <w:rFonts w:ascii="OpenSymbol" w:hAnsi="OpenSymbol" w:eastAsia="OpenSymbol" w:cs="OpenSymbol"/>
      <w:b/>
      <w:bCs/>
    </w:rPr>
  </w:style>
  <w:style w:type="character" w:styleId="Smbolosdenumerao">
    <w:name w:val="Símbolos de numeração"/>
    <w:qFormat/>
    <w:rPr>
      <w:rFonts w:ascii="Arial" w:hAnsi="Arial"/>
      <w:b/>
      <w:bCs/>
      <w:color w:val="000000"/>
      <w:sz w:val="19"/>
      <w:szCs w:val="19"/>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jc w:val="both"/>
    </w:pPr>
    <w:rPr>
      <w:rFonts w:ascii="Arial" w:hAnsi="Arial"/>
      <w:sz w:val="19"/>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Mangal"/>
      <w:sz w:val="28"/>
      <w:szCs w:val="28"/>
    </w:rPr>
  </w:style>
  <w:style w:type="paragraph" w:styleId="ndiceuser">
    <w:name w:val="Índice (user)"/>
    <w:basedOn w:val="Normal"/>
    <w:qFormat/>
    <w:pPr>
      <w:suppressLineNumbers/>
    </w:pPr>
    <w:rPr>
      <w:rFonts w:cs="Mangal"/>
      <w:lang w:val="zxx" w:eastAsia="zxx" w:bidi="zxx"/>
    </w:rPr>
  </w:style>
  <w:style w:type="paragraph" w:styleId="Contedodatabelauser">
    <w:name w:val="Conteúdo da tabela (user)"/>
    <w:basedOn w:val="Normal"/>
    <w:qFormat/>
    <w:pPr>
      <w:suppressLineNumbers/>
    </w:pPr>
    <w:rPr/>
  </w:style>
  <w:style w:type="paragraph" w:styleId="Subtitle">
    <w:name w:val="Subtitle"/>
    <w:basedOn w:val="Ttulouser"/>
    <w:next w:val="BodyText"/>
    <w:qFormat/>
    <w:pPr>
      <w:spacing w:before="60" w:after="120"/>
      <w:jc w:val="center"/>
    </w:pPr>
    <w:rPr>
      <w:sz w:val="36"/>
      <w:szCs w:val="36"/>
    </w:rPr>
  </w:style>
  <w:style w:type="paragraph" w:styleId="CabealhoeRodap">
    <w:name w:val="Cabeçalho e Rodapé"/>
    <w:basedOn w:val="Normal"/>
    <w:qFormat/>
    <w:pPr>
      <w:suppressLineNumbers/>
      <w:tabs>
        <w:tab w:val="clear" w:pos="709"/>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CabealhoeRodap"/>
    <w:pPr>
      <w:suppressLineNumbers/>
    </w:pPr>
    <w:rPr/>
  </w:style>
  <w:style w:type="paragraph" w:styleId="Footer">
    <w:name w:val="footer"/>
    <w:basedOn w:val="CabealhoeRodap"/>
    <w:pPr>
      <w:suppressLineNumbers/>
    </w:pPr>
    <w:rPr/>
  </w:style>
  <w:style w:type="paragraph" w:styleId="Ttulodetabelauser">
    <w:name w:val="Título de tabela (user)"/>
    <w:basedOn w:val="Contedodatabelauser"/>
    <w:qFormat/>
    <w:pPr>
      <w:suppressLineNumbers/>
      <w:jc w:val="center"/>
    </w:pPr>
    <w:rPr>
      <w:b/>
      <w:bCs/>
    </w:rPr>
  </w:style>
  <w:style w:type="paragraph" w:styleId="NormalWeb">
    <w:name w:val="Normal (Web)"/>
    <w:basedOn w:val="Normal"/>
    <w:qFormat/>
    <w:pPr>
      <w:spacing w:lineRule="auto" w:line="240" w:before="280" w:after="280"/>
    </w:pPr>
    <w:rPr>
      <w:rFonts w:ascii="Arial Unicode MS" w:hAnsi="Arial Unicode MS" w:eastAsia="Arial Unicode MS" w:cs="Arial Unicode MS"/>
      <w:sz w:val="24"/>
      <w:szCs w:val="24"/>
    </w:rPr>
  </w:style>
  <w:style w:type="paragraph" w:styleId="PargrafodaLista">
    <w:name w:val="Parágrafo da Lista"/>
    <w:basedOn w:val="Normal"/>
    <w:qFormat/>
    <w:pPr>
      <w:spacing w:before="0" w:after="200"/>
      <w:ind w:hanging="0" w:left="720" w:right="0"/>
      <w:contextualSpacing/>
    </w:pPr>
    <w:rPr/>
  </w:style>
  <w:style w:type="paragraph" w:styleId="Nivel2">
    <w:name w:val="Nivel 2"/>
    <w:basedOn w:val="Normal"/>
    <w:qFormat/>
    <w:pPr>
      <w:numPr>
        <w:ilvl w:val="0"/>
        <w:numId w:val="2"/>
      </w:numPr>
      <w:spacing w:lineRule="auto" w:line="276" w:before="120" w:after="120"/>
      <w:ind w:hanging="0" w:left="0" w:right="0"/>
      <w:jc w:val="both"/>
    </w:pPr>
    <w:rPr>
      <w:rFonts w:ascii="Arial" w:hAnsi="Arial" w:cs="Arial"/>
      <w:color w:val="000000"/>
      <w:sz w:val="20"/>
      <w:szCs w:val="20"/>
    </w:rPr>
  </w:style>
  <w:style w:type="paragraph" w:styleId="ListParagraph">
    <w:name w:val="List Paragraph"/>
    <w:basedOn w:val="Normal"/>
    <w:qFormat/>
    <w:pPr>
      <w:spacing w:before="0" w:after="0"/>
      <w:ind w:hanging="0" w:left="720" w:right="0"/>
      <w:contextualSpacing/>
    </w:pPr>
    <w:rPr/>
  </w:style>
  <w:style w:type="paragraph" w:styleId="Cabealhoesquerdauser">
    <w:name w:val="Cabeçalho à esquerda (user)"/>
    <w:basedOn w:val="Header"/>
    <w:qFormat/>
    <w:pPr>
      <w:suppressLineNumbers/>
    </w:pPr>
    <w:rPr/>
  </w:style>
  <w:style w:type="paragraph" w:styleId="Nvel2-Red">
    <w:name w:val="Nível 2 -Red"/>
    <w:qFormat/>
    <w:pPr>
      <w:widowControl/>
      <w:suppressAutoHyphens w:val="true"/>
      <w:overflowPunct w:val="true"/>
      <w:bidi w:val="0"/>
      <w:spacing w:lineRule="auto" w:line="276" w:before="120" w:after="120"/>
      <w:jc w:val="both"/>
    </w:pPr>
    <w:rPr>
      <w:rFonts w:ascii="Arial" w:hAnsi="Arial" w:eastAsia="0" w:cs="Arial"/>
      <w:i/>
      <w:iCs/>
      <w:color w:val="FF0000"/>
      <w:kern w:val="2"/>
      <w:sz w:val="20"/>
      <w:szCs w:val="20"/>
      <w:lang w:val="pt-BR" w:eastAsia="zh-CN" w:bidi="hi-IN"/>
    </w:rPr>
  </w:style>
  <w:style w:type="paragraph" w:styleId="Cabealhoesquerda">
    <w:name w:val="Cabeçalho à esquerda"/>
    <w:basedOn w:val="Header"/>
    <w:qFormat/>
    <w:pPr>
      <w:suppressLineNumbers/>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Anotao">
    <w:name w:val="Anotação"/>
    <w:basedOn w:val="Normal"/>
    <w:qFormat/>
    <w:pPr>
      <w:spacing w:lineRule="auto" w:line="240" w:before="56" w:after="0"/>
      <w:ind w:hanging="0" w:left="57" w:right="57"/>
    </w:pPr>
    <w:rPr>
      <w:color w:val="aut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licitacoes.caixa.gov.br/SitePages/pagina_inicial.aspx" TargetMode="External"/><Relationship Id="rId3" Type="http://schemas.openxmlformats.org/officeDocument/2006/relationships/hyperlink" Target="http://licitacoes.caixa.gov.br/" TargetMode="External"/><Relationship Id="rId4" Type="http://schemas.openxmlformats.org/officeDocument/2006/relationships/hyperlink" Target="http://licitacoes.caixa.gov.br/" TargetMode="External"/><Relationship Id="rId5" Type="http://schemas.openxmlformats.org/officeDocument/2006/relationships/hyperlink" Target="mailto:pregaoeletronico@cianorte.pr.gov.br" TargetMode="External"/><Relationship Id="rId6" Type="http://schemas.openxmlformats.org/officeDocument/2006/relationships/hyperlink" Target="mailto:pregaoeletronico@cianorte.pr.gov.br" TargetMode="External"/><Relationship Id="rId7" Type="http://schemas.openxmlformats.org/officeDocument/2006/relationships/hyperlink" Target="http://www.licitacoes.caixa.gov.br/" TargetMode="External"/><Relationship Id="rId8" Type="http://schemas.openxmlformats.org/officeDocument/2006/relationships/hyperlink" Target="mailto:pregaoeletronico@cianorte.pr.gov.br" TargetMode="External"/><Relationship Id="rId9" Type="http://schemas.openxmlformats.org/officeDocument/2006/relationships/hyperlink" Target="http://ip.cianorte.pr.gov.br:8082/portaltransparencia/licitacoes" TargetMode="Externa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pregaoeletronico@cianorte.pr.gov.br" TargetMode="External"/>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pregaoeletronico@cianorte.pr.gov.br" TargetMode="Externa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5289</TotalTime>
  <Application>LibreOffice/25.2.2.2$Windows_X86_64 LibreOffice_project/7370d4be9e3cf6031a51beef54ff3bda878e3fac</Application>
  <AppVersion>15.0000</AppVersion>
  <Pages>31</Pages>
  <Words>17013</Words>
  <Characters>97678</Characters>
  <CharactersWithSpaces>113433</CharactersWithSpaces>
  <Paragraphs>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lastPrinted>2025-09-17T16:33:32Z</cp:lastPrinted>
  <dcterms:modified xsi:type="dcterms:W3CDTF">2025-09-17T16:54:28Z</dcterms:modified>
  <cp:revision>418</cp:revision>
  <dc:subject/>
  <dc:title/>
</cp:coreProperties>
</file>

<file path=docProps/custom.xml><?xml version="1.0" encoding="utf-8"?>
<Properties xmlns="http://schemas.openxmlformats.org/officeDocument/2006/custom-properties" xmlns:vt="http://schemas.openxmlformats.org/officeDocument/2006/docPropsVTypes"/>
</file>