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F7F3C" w14:textId="77777777" w:rsidR="005F7AAE" w:rsidRPr="00ED2A21" w:rsidRDefault="005F7AAE" w:rsidP="00ED2A21">
      <w:pPr>
        <w:pStyle w:val="ndice"/>
        <w:spacing w:after="0" w:line="276" w:lineRule="auto"/>
        <w:rPr>
          <w:rFonts w:ascii="Arial" w:hAnsi="Arial" w:cs="Arial"/>
          <w:sz w:val="24"/>
          <w:szCs w:val="24"/>
        </w:rPr>
      </w:pPr>
    </w:p>
    <w:p w14:paraId="40511802" w14:textId="514853CF" w:rsidR="005F7AAE" w:rsidRDefault="00C23A46" w:rsidP="00ED2A2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D2A21">
        <w:rPr>
          <w:rFonts w:ascii="Arial" w:hAnsi="Arial" w:cs="Arial"/>
          <w:b/>
          <w:sz w:val="24"/>
          <w:szCs w:val="24"/>
        </w:rPr>
        <w:t xml:space="preserve">ESTUDO PRELIMINAR TÉCNICO </w:t>
      </w:r>
      <w:r w:rsidR="004F3817">
        <w:rPr>
          <w:rFonts w:ascii="Arial" w:hAnsi="Arial" w:cs="Arial"/>
          <w:b/>
          <w:sz w:val="24"/>
          <w:szCs w:val="24"/>
        </w:rPr>
        <w:t>–</w:t>
      </w:r>
      <w:r w:rsidRPr="00ED2A21">
        <w:rPr>
          <w:rFonts w:ascii="Arial" w:hAnsi="Arial" w:cs="Arial"/>
          <w:b/>
          <w:sz w:val="24"/>
          <w:szCs w:val="24"/>
        </w:rPr>
        <w:t xml:space="preserve"> ETP</w:t>
      </w:r>
    </w:p>
    <w:p w14:paraId="128DF5AB" w14:textId="079A9A43" w:rsidR="004F3817" w:rsidRPr="004F3817" w:rsidRDefault="004F3817" w:rsidP="00ED2A21">
      <w:pPr>
        <w:spacing w:after="0" w:line="276" w:lineRule="auto"/>
        <w:jc w:val="center"/>
        <w:rPr>
          <w:rFonts w:ascii="Arial" w:hAnsi="Arial" w:cs="Arial"/>
          <w:b/>
          <w:color w:val="EE0000"/>
          <w:sz w:val="24"/>
          <w:szCs w:val="24"/>
        </w:rPr>
      </w:pPr>
      <w:r>
        <w:rPr>
          <w:rFonts w:ascii="Arial" w:hAnsi="Arial" w:cs="Arial"/>
          <w:b/>
          <w:color w:val="EE0000"/>
          <w:sz w:val="24"/>
          <w:szCs w:val="24"/>
        </w:rPr>
        <w:t xml:space="preserve">(Documento elaborado de forma conjunta </w:t>
      </w:r>
      <w:proofErr w:type="spellStart"/>
      <w:r>
        <w:rPr>
          <w:rFonts w:ascii="Arial" w:hAnsi="Arial" w:cs="Arial"/>
          <w:b/>
          <w:color w:val="EE0000"/>
          <w:sz w:val="24"/>
          <w:szCs w:val="24"/>
        </w:rPr>
        <w:t>SEGOV</w:t>
      </w:r>
      <w:proofErr w:type="spellEnd"/>
      <w:r>
        <w:rPr>
          <w:rFonts w:ascii="Arial" w:hAnsi="Arial" w:cs="Arial"/>
          <w:b/>
          <w:color w:val="EE0000"/>
          <w:sz w:val="24"/>
          <w:szCs w:val="24"/>
        </w:rPr>
        <w:t xml:space="preserve">, </w:t>
      </w:r>
      <w:proofErr w:type="spellStart"/>
      <w:proofErr w:type="gramStart"/>
      <w:r>
        <w:rPr>
          <w:rFonts w:ascii="Arial" w:hAnsi="Arial" w:cs="Arial"/>
          <w:b/>
          <w:color w:val="EE0000"/>
          <w:sz w:val="24"/>
          <w:szCs w:val="24"/>
        </w:rPr>
        <w:t>SEMEC</w:t>
      </w:r>
      <w:proofErr w:type="spellEnd"/>
      <w:r>
        <w:rPr>
          <w:rFonts w:ascii="Arial" w:hAnsi="Arial" w:cs="Arial"/>
          <w:b/>
          <w:color w:val="EE0000"/>
          <w:sz w:val="24"/>
          <w:szCs w:val="24"/>
        </w:rPr>
        <w:t xml:space="preserve">, e </w:t>
      </w:r>
      <w:proofErr w:type="spellStart"/>
      <w:r w:rsidR="00BD2F89">
        <w:rPr>
          <w:rFonts w:ascii="Arial" w:hAnsi="Arial" w:cs="Arial"/>
          <w:b/>
          <w:color w:val="EE0000"/>
          <w:sz w:val="24"/>
          <w:szCs w:val="24"/>
        </w:rPr>
        <w:t>SEMATUR</w:t>
      </w:r>
      <w:proofErr w:type="spellEnd"/>
      <w:proofErr w:type="gramEnd"/>
      <w:r>
        <w:rPr>
          <w:rFonts w:ascii="Arial" w:hAnsi="Arial" w:cs="Arial"/>
          <w:b/>
          <w:color w:val="EE0000"/>
          <w:sz w:val="24"/>
          <w:szCs w:val="24"/>
        </w:rPr>
        <w:t>)</w:t>
      </w:r>
    </w:p>
    <w:p w14:paraId="0212DE45" w14:textId="77777777" w:rsidR="005F7AAE" w:rsidRPr="00ED2A21" w:rsidRDefault="005F7AAE" w:rsidP="00ED2A21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8E5B2DE" w14:textId="77777777" w:rsidR="005F7AAE" w:rsidRPr="00ED2A21" w:rsidRDefault="00C23A46" w:rsidP="00ED2A2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D2A21">
        <w:rPr>
          <w:rFonts w:ascii="Arial" w:hAnsi="Arial" w:cs="Arial"/>
          <w:bCs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0F0BB22A" w14:textId="77777777" w:rsidR="005F7AAE" w:rsidRPr="00ED2A21" w:rsidRDefault="00C23A46" w:rsidP="00ED2A2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Hlk121407339"/>
      <w:r w:rsidRPr="00ED2A21">
        <w:rPr>
          <w:rFonts w:ascii="Arial" w:hAnsi="Arial" w:cs="Arial"/>
          <w:bCs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Pública, em especial a Lei Federal 14.133/2021.</w:t>
      </w:r>
      <w:bookmarkEnd w:id="0"/>
    </w:p>
    <w:p w14:paraId="4EBEB2A0" w14:textId="77777777" w:rsidR="005F7AAE" w:rsidRPr="00ED2A21" w:rsidRDefault="005F7AAE" w:rsidP="00ED2A21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4D774E7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 xml:space="preserve"> DESCRIÇÃO NECESSIDADE DA CONTRATAÇÃO (Art. 18. § 1º, Inciso I) - Obrigatório</w:t>
      </w:r>
    </w:p>
    <w:p w14:paraId="04227588" w14:textId="77777777" w:rsidR="004D0585" w:rsidRPr="00ED2A21" w:rsidRDefault="004D0585" w:rsidP="00ED2A21">
      <w:pPr>
        <w:pStyle w:val="PargrafodaLista"/>
        <w:suppressAutoHyphens w:val="0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855C3F5" w14:textId="41301E80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A presente contratação visa suprir a necessidade das Secretarias Municipais de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Governo (</w:t>
      </w:r>
      <w:proofErr w:type="spellStart"/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SEGOV</w:t>
      </w:r>
      <w:proofErr w:type="spellEnd"/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)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BD2F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Meio Ambiente e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Turismo (</w:t>
      </w:r>
      <w:proofErr w:type="spellStart"/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</w:t>
      </w:r>
      <w:r w:rsidR="00BD2F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TUR</w:t>
      </w:r>
      <w:proofErr w:type="spellEnd"/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)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e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Educação e Cultura (SEMEC)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da Prefeitura Municipal de Jaguariaíva, bem como de toda a estrutura administrativa envolvida na realização de eventos públicos, que é a de dispor de infraestrutura sanitária móvel adequada, higienizada e acessível, especificamente cabines sanitárias portáteis (banheiros químicos), para garantir condições dignas de saúde e higiene aos cidadãos.</w:t>
      </w:r>
    </w:p>
    <w:p w14:paraId="2D4B5A35" w14:textId="77777777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>A necessidade encontra-se diretamente vinculada ao interesse público de garantir a execução, com qualidade, salubridade e segurança, dos eventos oficiais do Município, os quais estão legalmente instituídos e normatizados pela Lei Municipal Ordinária Nº 3.045/2025, que estabelece o Calendário Oficial de Eventos. A realização regular e profissional desses eventos — que incluem celebrações cívicas, festivais turísticos, competições esportivas e eventos escolares de grande porte — exige uma infraestrutura de apoio institucional que projete uma imagem de organização, cuidado com a saúde pública e respeito ao cidadão.</w:t>
      </w:r>
    </w:p>
    <w:p w14:paraId="3ED072AE" w14:textId="77777777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>Além do calendário oficial, a necessidade se justifica de maneira crucial para a realização e o sucesso de projetos estratégicos de fomento econômico-social e lazer, como a Feira da Lua e os roteiros turísticos municipais. Nestes espaços, a Administração assume o compromisso de fornecer suporte logístico tanto aos expositores quanto aos visitantes, assegurando que o ambiente de comercialização e convívio social conte com saneamento móvel eficiente.</w:t>
      </w:r>
    </w:p>
    <w:p w14:paraId="5DCC455E" w14:textId="77777777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Portanto, a contratação sob o regime de locação por diária mostra-se a solução mais viável, técnica e economicamente, pois permite ao Município pagar estritamente pelo período de uso efetivo em cada evento, solucionando o problema de demanda flutuante e garantindo que as cabines sejam entregues com manutenção, higienização periódica e reposição de insumos inclusas. Esta 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lastRenderedPageBreak/>
        <w:t>estratégia assegura a sustentabilidade das políticas de desenvolvimento local e turismo, garantindo a continuidade do fomento à economia e à inclusão social no Município de Jaguariaíva com plena observância às normas sanitárias vigentes.</w:t>
      </w:r>
    </w:p>
    <w:p w14:paraId="58AC6E0D" w14:textId="77777777" w:rsidR="005F7AAE" w:rsidRPr="00ED2A21" w:rsidRDefault="005F7AAE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3F5368B" w14:textId="77777777" w:rsidR="00ED2164" w:rsidRPr="00ED2A21" w:rsidRDefault="00ED2164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4211D9B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REFERÊNCIA AO PLANO DE CONTRATAÇÕES ANUAL, INSTRUMENTOS DE PLANEJAMENTO E DEMAIS NORMAS (Art. 18. § 1º, Inciso II)</w:t>
      </w:r>
    </w:p>
    <w:p w14:paraId="2FC5870F" w14:textId="77777777" w:rsidR="005C328B" w:rsidRPr="00ED2A21" w:rsidRDefault="005C328B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D8452DC" w14:textId="3DE9FDAB" w:rsidR="00A72998" w:rsidRPr="00ED2A21" w:rsidRDefault="007B1E69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sz w:val="24"/>
          <w:szCs w:val="24"/>
        </w:rPr>
        <w:t>Embora a presente não conste no PCA 2025/2026, o mesmo está previsto e amparado no PPA, LOA e LDO</w:t>
      </w:r>
      <w:r w:rsidR="003438B3" w:rsidRPr="00ED2A21">
        <w:rPr>
          <w:rFonts w:ascii="Arial" w:hAnsi="Arial" w:cs="Arial"/>
          <w:sz w:val="24"/>
          <w:szCs w:val="24"/>
        </w:rPr>
        <w:t xml:space="preserve">, além de constar no planejamento estratégico da Secretaria Municipal de Governo </w:t>
      </w:r>
      <w:r w:rsidR="00E956E3" w:rsidRPr="00ED2A21">
        <w:rPr>
          <w:rFonts w:ascii="Arial" w:hAnsi="Arial" w:cs="Arial"/>
          <w:sz w:val="24"/>
          <w:szCs w:val="24"/>
        </w:rPr>
        <w:t>com o fito</w:t>
      </w:r>
      <w:r w:rsidR="003438B3" w:rsidRPr="00ED2A21">
        <w:rPr>
          <w:rFonts w:ascii="Arial" w:hAnsi="Arial" w:cs="Arial"/>
          <w:sz w:val="24"/>
          <w:szCs w:val="24"/>
        </w:rPr>
        <w:t xml:space="preserve"> de atender a</w:t>
      </w:r>
      <w:r w:rsidR="00E956E3" w:rsidRPr="00ED2A21">
        <w:rPr>
          <w:rFonts w:ascii="Arial" w:hAnsi="Arial" w:cs="Arial"/>
          <w:sz w:val="24"/>
          <w:szCs w:val="24"/>
        </w:rPr>
        <w:t>s</w:t>
      </w:r>
      <w:r w:rsidR="003438B3" w:rsidRPr="00ED2A21">
        <w:rPr>
          <w:rFonts w:ascii="Arial" w:hAnsi="Arial" w:cs="Arial"/>
          <w:sz w:val="24"/>
          <w:szCs w:val="24"/>
        </w:rPr>
        <w:t xml:space="preserve"> demanda</w:t>
      </w:r>
      <w:r w:rsidR="00E956E3" w:rsidRPr="00ED2A21">
        <w:rPr>
          <w:rFonts w:ascii="Arial" w:hAnsi="Arial" w:cs="Arial"/>
          <w:sz w:val="24"/>
          <w:szCs w:val="24"/>
        </w:rPr>
        <w:t>s</w:t>
      </w:r>
      <w:r w:rsidR="003438B3" w:rsidRPr="00ED2A21">
        <w:rPr>
          <w:rFonts w:ascii="Arial" w:hAnsi="Arial" w:cs="Arial"/>
          <w:sz w:val="24"/>
          <w:szCs w:val="24"/>
        </w:rPr>
        <w:t xml:space="preserve"> dos eventos institucionais do Município de Jaguariaíva.</w:t>
      </w:r>
    </w:p>
    <w:p w14:paraId="6AC42FBA" w14:textId="77777777" w:rsidR="005F7AAE" w:rsidRPr="00ED2A21" w:rsidRDefault="005F7AAE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367DC4C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DOS LEVANTAMENTOS DE MERCADO (análise das alternativas possíveis) (Art. 18. § 1º , Inciso V)</w:t>
      </w:r>
    </w:p>
    <w:p w14:paraId="427B0E79" w14:textId="77777777" w:rsidR="005F7AAE" w:rsidRPr="00ED2A21" w:rsidRDefault="005F7AAE" w:rsidP="00ED2A21">
      <w:pPr>
        <w:pStyle w:val="Corpodetexto"/>
        <w:tabs>
          <w:tab w:val="left" w:pos="993"/>
        </w:tabs>
        <w:spacing w:after="0" w:line="276" w:lineRule="auto"/>
        <w:ind w:right="235"/>
        <w:jc w:val="both"/>
        <w:rPr>
          <w:rFonts w:ascii="Arial" w:hAnsi="Arial" w:cs="Arial"/>
          <w:color w:val="auto"/>
          <w:szCs w:val="24"/>
          <w:shd w:val="clear" w:color="auto" w:fill="FFFFFF"/>
          <w:lang w:val="pt-BR" w:eastAsia="pt-BR"/>
        </w:rPr>
      </w:pPr>
    </w:p>
    <w:p w14:paraId="74E523BC" w14:textId="77777777" w:rsidR="00F07FCB" w:rsidRPr="00F07FCB" w:rsidRDefault="00F07FCB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sz w:val="24"/>
          <w:szCs w:val="24"/>
          <w:shd w:val="clear" w:color="auto" w:fill="FFFFFF"/>
        </w:rPr>
        <w:t>Nesta etapa, foram avaliadas as seguintes soluções para suprir a demanda de infraestrutura sanitária das Secretarias de Governo, Turismo e Educação:</w:t>
      </w:r>
    </w:p>
    <w:p w14:paraId="1598C72E" w14:textId="77777777" w:rsidR="00F07FCB" w:rsidRPr="00F07FCB" w:rsidRDefault="00F07FCB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Alternativa 1: Aquisição de Cabines Próprias (Compra)</w:t>
      </w:r>
    </w:p>
    <w:p w14:paraId="211DE822" w14:textId="77777777" w:rsidR="00F07FCB" w:rsidRPr="00F07FCB" w:rsidRDefault="00F07FCB" w:rsidP="00ED2A21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Análise: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t xml:space="preserve"> Exigiria um alto investimento inicial (CAPEX), além de custos permanentes com armazenamento, logística de transporte (caminhão </w:t>
      </w:r>
      <w:proofErr w:type="spellStart"/>
      <w:r w:rsidRPr="00F07FCB">
        <w:rPr>
          <w:rFonts w:ascii="Arial" w:hAnsi="Arial" w:cs="Arial"/>
          <w:sz w:val="24"/>
          <w:szCs w:val="24"/>
          <w:shd w:val="clear" w:color="auto" w:fill="FFFFFF"/>
        </w:rPr>
        <w:t>munck</w:t>
      </w:r>
      <w:proofErr w:type="spellEnd"/>
      <w:r w:rsidRPr="00F07FCB">
        <w:rPr>
          <w:rFonts w:ascii="Arial" w:hAnsi="Arial" w:cs="Arial"/>
          <w:sz w:val="24"/>
          <w:szCs w:val="24"/>
          <w:shd w:val="clear" w:color="auto" w:fill="FFFFFF"/>
        </w:rPr>
        <w:t>/plataforma), manutenção corretiva e a necessidade de estruturar uma equipe própria para sucção e tratamento de dejetos, o que foge à atividade-fim das Secretarias envolvidas.</w:t>
      </w:r>
    </w:p>
    <w:p w14:paraId="135F3194" w14:textId="77777777" w:rsidR="00F07FCB" w:rsidRPr="00ED2A21" w:rsidRDefault="00F07FCB" w:rsidP="00ED2A21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Veredito: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t xml:space="preserve"> Desfavorável, devido ao alto custo operacional e à ociosidade do patrimônio nos períodos sem eventos.</w:t>
      </w:r>
    </w:p>
    <w:p w14:paraId="786814B6" w14:textId="77777777" w:rsidR="00F07FCB" w:rsidRPr="00F07FCB" w:rsidRDefault="00F07FCB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5FDAA58" w14:textId="77777777" w:rsidR="00F07FCB" w:rsidRPr="00F07FCB" w:rsidRDefault="00F07FCB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Alternativa 2: Locação Mensal Fixa</w:t>
      </w:r>
    </w:p>
    <w:p w14:paraId="2F7CD8EC" w14:textId="77777777" w:rsidR="00F07FCB" w:rsidRPr="00F07FCB" w:rsidRDefault="00F07FCB" w:rsidP="00ED2A21">
      <w:pPr>
        <w:pStyle w:val="PargrafodaLista"/>
        <w:numPr>
          <w:ilvl w:val="0"/>
          <w:numId w:val="13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Análise: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t xml:space="preserve"> Indicada para situações de uso contínuo (obras). Para a agenda de eventos baseada na Lei nº 3.045/2025 e na Feira da Lua, esta opção geraria desperdício de recursos públicos, pois o Município pagaria pela disponibilidade da cabine em dias sem programação oficial.</w:t>
      </w:r>
    </w:p>
    <w:p w14:paraId="639A9F3D" w14:textId="77777777" w:rsidR="00F07FCB" w:rsidRPr="00ED2A21" w:rsidRDefault="00F07FCB" w:rsidP="00ED2A21">
      <w:pPr>
        <w:pStyle w:val="PargrafodaLista"/>
        <w:numPr>
          <w:ilvl w:val="0"/>
          <w:numId w:val="13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Veredito: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t xml:space="preserve"> Desfavorável pela falta de economicidade frente à intermitência do calendário de eventos.</w:t>
      </w:r>
    </w:p>
    <w:p w14:paraId="3F88FE50" w14:textId="77777777" w:rsidR="00F07FCB" w:rsidRPr="00F07FCB" w:rsidRDefault="00F07FCB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DDBC845" w14:textId="77777777" w:rsidR="00F07FCB" w:rsidRPr="00F07FCB" w:rsidRDefault="00F07FCB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Alternativa 3: Locação por Diária com Manutenção Inclusa (Solução Escolhida)</w:t>
      </w:r>
    </w:p>
    <w:p w14:paraId="339EC221" w14:textId="77777777" w:rsidR="00F07FCB" w:rsidRPr="00F07FCB" w:rsidRDefault="00F07FCB" w:rsidP="00ED2A21">
      <w:pPr>
        <w:pStyle w:val="PargrafodaLista"/>
        <w:numPr>
          <w:ilvl w:val="0"/>
          <w:numId w:val="14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Justificativa: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t xml:space="preserve"> Esta modalidade permite que a Administração pague exclusivamente pelo uso efetivo (eficiência financeira). Além disso, transfere à contratada a responsabilidade técnica pela higienização, fornecimento de 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lastRenderedPageBreak/>
        <w:t>insumos e, principalmente, pelo descarte ambientalmente correto dos resíduos em estações de tratamento licenciadas. O mercado regional apresenta ampla competitividade nesta modalidade, o que tende a reduzir o preço final através do processo licitatório.</w:t>
      </w:r>
    </w:p>
    <w:p w14:paraId="6C8A3544" w14:textId="77777777" w:rsidR="00F07FCB" w:rsidRPr="00F07FCB" w:rsidRDefault="00F07FCB" w:rsidP="00ED2A21">
      <w:pPr>
        <w:pStyle w:val="PargrafodaLista"/>
        <w:numPr>
          <w:ilvl w:val="0"/>
          <w:numId w:val="14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Veredito: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F07FCB">
        <w:rPr>
          <w:rFonts w:ascii="Arial" w:hAnsi="Arial" w:cs="Arial"/>
          <w:b/>
          <w:bCs/>
          <w:sz w:val="24"/>
          <w:szCs w:val="24"/>
          <w:shd w:val="clear" w:color="auto" w:fill="FFFFFF"/>
        </w:rPr>
        <w:t>Favorável</w:t>
      </w:r>
      <w:r w:rsidRPr="00F07FCB">
        <w:rPr>
          <w:rFonts w:ascii="Arial" w:hAnsi="Arial" w:cs="Arial"/>
          <w:sz w:val="24"/>
          <w:szCs w:val="24"/>
          <w:shd w:val="clear" w:color="auto" w:fill="FFFFFF"/>
        </w:rPr>
        <w:t>, por ser a solução de menor risco operacional e maior custo-benefício (vantajosidade econômica).</w:t>
      </w:r>
    </w:p>
    <w:p w14:paraId="2F75F1CA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highlight w:val="yellow"/>
          <w:shd w:val="clear" w:color="auto" w:fill="FFFFFF"/>
        </w:rPr>
      </w:pPr>
    </w:p>
    <w:p w14:paraId="5AC9AFD1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  <w:bCs/>
        </w:rPr>
      </w:pPr>
      <w:r w:rsidRPr="00ED2A21">
        <w:rPr>
          <w:rFonts w:ascii="Arial" w:hAnsi="Arial" w:cs="Arial"/>
        </w:rPr>
        <w:t xml:space="preserve">REQUISITOS DA CONTRATAÇÃO (Art. 18. § 1º , Inciso III) </w:t>
      </w:r>
    </w:p>
    <w:p w14:paraId="3FEFA1E2" w14:textId="77777777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>Para a plena execução do objeto, a contratada deverá atender aos seguintes requisitos mínimos:</w:t>
      </w:r>
    </w:p>
    <w:p w14:paraId="672223DB" w14:textId="5931D2DE" w:rsidR="00F07FCB" w:rsidRPr="00F07FCB" w:rsidRDefault="00B03C1F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D2A2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</w:t>
      </w:r>
      <w:r w:rsidR="00F07FCB"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.1. Requisitos Operacionais e Logísticos:</w:t>
      </w:r>
    </w:p>
    <w:p w14:paraId="23C670B6" w14:textId="77777777" w:rsidR="00F07FCB" w:rsidRPr="00F07FCB" w:rsidRDefault="00F07FCB" w:rsidP="00ED2A21">
      <w:pPr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Prazo de Instalação: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As cabines deverão ser instaladas e estar prontas para uso em até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24 (vinte e quatro) horas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após a solicitação formal da Secretaria requisitante, ou conforme cronograma específico do evento.</w:t>
      </w:r>
    </w:p>
    <w:p w14:paraId="0EDEBC07" w14:textId="77777777" w:rsidR="00F07FCB" w:rsidRPr="00F07FCB" w:rsidRDefault="00F07FCB" w:rsidP="00ED2A21">
      <w:pPr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Disponibilidade: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A contratada deverá manter canal de comunicação (telefone/e-mail) para chamados de urgência (</w:t>
      </w:r>
      <w:proofErr w:type="spellStart"/>
      <w:r w:rsidRPr="00F07FCB">
        <w:rPr>
          <w:rFonts w:ascii="Arial" w:eastAsia="Times New Roman" w:hAnsi="Arial" w:cs="Arial"/>
          <w:sz w:val="24"/>
          <w:szCs w:val="24"/>
          <w:lang w:eastAsia="pt-BR"/>
        </w:rPr>
        <w:t>ex</w:t>
      </w:r>
      <w:proofErr w:type="spellEnd"/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: transbordamento ou vandalismo) com tempo de resposta máximo de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04 (quatro) horas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1E01E14" w14:textId="77777777" w:rsidR="00F07FCB" w:rsidRPr="00F07FCB" w:rsidRDefault="00F07FCB" w:rsidP="00ED2A21">
      <w:pPr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Mobilidade: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As cabines devem ser posicionadas em locais de fácil acesso ao público, porém em solo plano e firme, sendo de responsabilidade da contratada o correto nivelamento e travamento das unidades.</w:t>
      </w:r>
    </w:p>
    <w:p w14:paraId="5DEEAE52" w14:textId="77777777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3.2. Requisitos de Manutenção e Higiene:</w:t>
      </w:r>
    </w:p>
    <w:p w14:paraId="28A25D74" w14:textId="77777777" w:rsidR="00F07FCB" w:rsidRPr="00F07FCB" w:rsidRDefault="00F07FCB" w:rsidP="00ED2A21">
      <w:pPr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Frequência de Limpeza: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A manutenção (sucção de dejetos e limpeza interna) deverá ser diária para eventos com duração superior a 24 horas, ou conforme a intensidade de uso indicada pela fiscalização.</w:t>
      </w:r>
    </w:p>
    <w:p w14:paraId="77E7E090" w14:textId="77777777" w:rsidR="00F07FCB" w:rsidRPr="00F07FCB" w:rsidRDefault="00F07FCB" w:rsidP="00ED2A21">
      <w:pPr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Insumos Obrigatórios: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Cada cabine deve ser entregue e mantida com:</w:t>
      </w:r>
    </w:p>
    <w:p w14:paraId="159EE1B6" w14:textId="2A8A5C8C" w:rsidR="00F07FCB" w:rsidRPr="00F07FCB" w:rsidRDefault="00F07FCB" w:rsidP="00ED2A21">
      <w:pPr>
        <w:numPr>
          <w:ilvl w:val="1"/>
          <w:numId w:val="16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>Mínimo de 02 (dois) rolos de papel higiênico de folha dupla</w:t>
      </w:r>
      <w:r w:rsidR="00B03C1F" w:rsidRPr="00ED2A21">
        <w:rPr>
          <w:rFonts w:ascii="Arial" w:eastAsia="Times New Roman" w:hAnsi="Arial" w:cs="Arial"/>
          <w:sz w:val="24"/>
          <w:szCs w:val="24"/>
          <w:lang w:eastAsia="pt-BR"/>
        </w:rPr>
        <w:t xml:space="preserve"> de 300 metros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0B45BE17" w14:textId="77777777" w:rsidR="00F07FCB" w:rsidRPr="00F07FCB" w:rsidRDefault="00F07FCB" w:rsidP="00ED2A21">
      <w:pPr>
        <w:numPr>
          <w:ilvl w:val="1"/>
          <w:numId w:val="16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>Desinfetante químico biodegradável com neutralizador de odores;</w:t>
      </w:r>
    </w:p>
    <w:p w14:paraId="6E487F48" w14:textId="77777777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3.3. Requisitos de Acessibilidade (PCD):</w:t>
      </w:r>
    </w:p>
    <w:p w14:paraId="6E47E0D8" w14:textId="77777777" w:rsidR="00F07FCB" w:rsidRPr="00F07FCB" w:rsidRDefault="00F07FCB" w:rsidP="00ED2A21">
      <w:pPr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As cabines do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Item 2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devem cumprir rigorosamente a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NBR 9050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>, possuindo rampa de acesso com inclinação adequada (nível zero), barras de apoio fixas e espaço interno que permita a manobra de uma cadeira de rodas (giro de 360º).</w:t>
      </w:r>
    </w:p>
    <w:p w14:paraId="2E67063A" w14:textId="0D2D94B1" w:rsidR="00F07FCB" w:rsidRPr="00F07FCB" w:rsidRDefault="00F07FCB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3.5. Requisitos de Qualificação Técnica </w:t>
      </w:r>
    </w:p>
    <w:p w14:paraId="4166ADD2" w14:textId="77777777" w:rsidR="00F07FCB" w:rsidRPr="00F07FCB" w:rsidRDefault="00F07FCB" w:rsidP="00ED2A21">
      <w:pPr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Exigir a apresentação de </w:t>
      </w:r>
      <w:r w:rsidRPr="00F07FC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Atestado de Capacidade Técnica</w:t>
      </w:r>
      <w:r w:rsidRPr="00F07FCB">
        <w:rPr>
          <w:rFonts w:ascii="Arial" w:eastAsia="Times New Roman" w:hAnsi="Arial" w:cs="Arial"/>
          <w:sz w:val="24"/>
          <w:szCs w:val="24"/>
          <w:lang w:eastAsia="pt-BR"/>
        </w:rPr>
        <w:t xml:space="preserve"> que comprove a execução de serviços de locação e manutenção de banheiros químicos em eventos de médio/grande porte, garantindo que a empresa possui o caminhão vácuo-absorvedor necessário para a limpeza.</w:t>
      </w:r>
    </w:p>
    <w:p w14:paraId="67F42A72" w14:textId="77777777" w:rsidR="005F7AAE" w:rsidRPr="00ED2A21" w:rsidRDefault="005F7AAE" w:rsidP="00ED2A21">
      <w:pPr>
        <w:spacing w:after="0" w:line="276" w:lineRule="auto"/>
        <w:jc w:val="both"/>
        <w:rPr>
          <w:rFonts w:ascii="Arial" w:eastAsia="DejaVu Sans" w:hAnsi="Arial" w:cs="Arial"/>
          <w:sz w:val="24"/>
          <w:szCs w:val="24"/>
          <w:lang w:eastAsia="ar-SA"/>
        </w:rPr>
      </w:pPr>
    </w:p>
    <w:p w14:paraId="1D0D39F2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ESTIMATIVA DAS QUANTIDADES (Art. 18. § 1º, Inciso IV) - Obrigatório</w:t>
      </w:r>
    </w:p>
    <w:p w14:paraId="3704781B" w14:textId="77777777" w:rsidR="005C328B" w:rsidRPr="00ED2A21" w:rsidRDefault="005C328B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6C9F17A" w14:textId="68E06B63" w:rsidR="00B03C1F" w:rsidRPr="00B03C1F" w:rsidRDefault="00B03C1F" w:rsidP="00ED2A21">
      <w:pPr>
        <w:pStyle w:val="PargrafodaLista"/>
        <w:spacing w:after="0"/>
        <w:ind w:left="0"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3C1F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definição dos quantitativos baseia-se no histórico de eventos realizados pelo Município de Jaguariaíva 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>no</w:t>
      </w:r>
      <w:r w:rsidRPr="00B03C1F">
        <w:rPr>
          <w:rFonts w:ascii="Arial" w:eastAsia="Times New Roman" w:hAnsi="Arial" w:cs="Arial"/>
          <w:sz w:val="24"/>
          <w:szCs w:val="24"/>
          <w:lang w:eastAsia="pt-BR"/>
        </w:rPr>
        <w:t xml:space="preserve"> último ano (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>2025</w:t>
      </w:r>
      <w:r w:rsidRPr="00B03C1F">
        <w:rPr>
          <w:rFonts w:ascii="Arial" w:eastAsia="Times New Roman" w:hAnsi="Arial" w:cs="Arial"/>
          <w:sz w:val="24"/>
          <w:szCs w:val="24"/>
          <w:lang w:eastAsia="pt-BR"/>
        </w:rPr>
        <w:t>), no cronograma previsto na Lei Municipal nº 3.045/2025 e na projeção de expansão das atividades da Feira da Lua e dos roteiros turísticos.</w:t>
      </w:r>
    </w:p>
    <w:p w14:paraId="0C418B0C" w14:textId="77777777" w:rsidR="00B03C1F" w:rsidRPr="00B03C1F" w:rsidRDefault="00B03C1F" w:rsidP="00ED2A21">
      <w:pPr>
        <w:pStyle w:val="PargrafodaLista"/>
        <w:spacing w:after="0"/>
        <w:ind w:left="0"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3C1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5.1. Critério de Cálculo:</w:t>
      </w:r>
      <w:r w:rsidRPr="00B03C1F">
        <w:rPr>
          <w:rFonts w:ascii="Arial" w:eastAsia="Times New Roman" w:hAnsi="Arial" w:cs="Arial"/>
          <w:sz w:val="24"/>
          <w:szCs w:val="24"/>
          <w:lang w:eastAsia="pt-BR"/>
        </w:rPr>
        <w:t xml:space="preserve"> O quantitativo foi calculado utilizando-se a unidade de medida </w:t>
      </w:r>
      <w:r w:rsidRPr="00B03C1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DIÁRIA</w:t>
      </w:r>
      <w:r w:rsidRPr="00B03C1F">
        <w:rPr>
          <w:rFonts w:ascii="Arial" w:eastAsia="Times New Roman" w:hAnsi="Arial" w:cs="Arial"/>
          <w:sz w:val="24"/>
          <w:szCs w:val="24"/>
          <w:lang w:eastAsia="pt-BR"/>
        </w:rPr>
        <w:t>, multiplicando-se o número médio de cabines necessárias pelo número de dias de cada evento previsto no Calendário Oficial e nas demandas fixas das Secretarias.</w:t>
      </w:r>
    </w:p>
    <w:p w14:paraId="498007E7" w14:textId="77777777" w:rsidR="00B03C1F" w:rsidRPr="00B03C1F" w:rsidRDefault="00B03C1F" w:rsidP="00ED2A21">
      <w:pPr>
        <w:pStyle w:val="PargrafodaLista"/>
        <w:spacing w:after="0"/>
        <w:ind w:left="0"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3C1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5.2. Memória de Cálculo Estimada (Consolidado Anual):</w:t>
      </w:r>
    </w:p>
    <w:tbl>
      <w:tblPr>
        <w:tblStyle w:val="Tabelacomgrade"/>
        <w:tblW w:w="8621" w:type="dxa"/>
        <w:jc w:val="center"/>
        <w:tblLook w:val="04A0" w:firstRow="1" w:lastRow="0" w:firstColumn="1" w:lastColumn="0" w:noHBand="0" w:noVBand="1"/>
      </w:tblPr>
      <w:tblGrid>
        <w:gridCol w:w="849"/>
        <w:gridCol w:w="2913"/>
        <w:gridCol w:w="1403"/>
        <w:gridCol w:w="1197"/>
        <w:gridCol w:w="1326"/>
        <w:gridCol w:w="920"/>
        <w:gridCol w:w="13"/>
      </w:tblGrid>
      <w:tr w:rsidR="009A186F" w:rsidRPr="00ED2A21" w14:paraId="56130C19" w14:textId="00D76715" w:rsidTr="00004551">
        <w:trPr>
          <w:jc w:val="center"/>
        </w:trPr>
        <w:tc>
          <w:tcPr>
            <w:tcW w:w="8621" w:type="dxa"/>
            <w:gridSpan w:val="7"/>
          </w:tcPr>
          <w:p w14:paraId="629A47D9" w14:textId="4FAE49D0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2A21">
              <w:rPr>
                <w:rFonts w:ascii="Arial" w:hAnsi="Arial" w:cs="Arial"/>
                <w:b/>
                <w:bCs/>
                <w:sz w:val="24"/>
                <w:szCs w:val="24"/>
              </w:rPr>
              <w:t>DESCRIÇÃO E DISTRIBUIÇÃO DA CONTRATAÇÃO</w:t>
            </w:r>
          </w:p>
        </w:tc>
      </w:tr>
      <w:tr w:rsidR="009A186F" w:rsidRPr="00ED2A21" w14:paraId="36E16946" w14:textId="53C34B04" w:rsidTr="00004551">
        <w:trPr>
          <w:gridAfter w:val="1"/>
          <w:wAfter w:w="14" w:type="dxa"/>
          <w:jc w:val="center"/>
        </w:trPr>
        <w:tc>
          <w:tcPr>
            <w:tcW w:w="867" w:type="dxa"/>
            <w:vMerge w:val="restart"/>
            <w:vAlign w:val="center"/>
          </w:tcPr>
          <w:p w14:paraId="0E6CACC5" w14:textId="23B30B59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2A21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062" w:type="dxa"/>
            <w:vMerge w:val="restart"/>
            <w:vAlign w:val="center"/>
          </w:tcPr>
          <w:p w14:paraId="7A2CB6FD" w14:textId="18EE4CCF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2A21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3745" w:type="dxa"/>
            <w:gridSpan w:val="3"/>
          </w:tcPr>
          <w:p w14:paraId="384E8216" w14:textId="3D5C8A98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2A21">
              <w:rPr>
                <w:rFonts w:ascii="Arial" w:hAnsi="Arial" w:cs="Arial"/>
                <w:b/>
                <w:bCs/>
                <w:sz w:val="24"/>
                <w:szCs w:val="24"/>
              </w:rPr>
              <w:t>Distribuição dos Quantitativos</w:t>
            </w:r>
          </w:p>
        </w:tc>
        <w:tc>
          <w:tcPr>
            <w:tcW w:w="933" w:type="dxa"/>
            <w:vAlign w:val="center"/>
          </w:tcPr>
          <w:p w14:paraId="0621AF13" w14:textId="73A346C3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2A21"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</w:tr>
      <w:tr w:rsidR="009A186F" w:rsidRPr="00ED2A21" w14:paraId="16CF5D53" w14:textId="55461E7A" w:rsidTr="00004551">
        <w:trPr>
          <w:gridAfter w:val="1"/>
          <w:wAfter w:w="14" w:type="dxa"/>
          <w:jc w:val="center"/>
        </w:trPr>
        <w:tc>
          <w:tcPr>
            <w:tcW w:w="867" w:type="dxa"/>
            <w:vMerge/>
          </w:tcPr>
          <w:p w14:paraId="31EBB746" w14:textId="512F6E9B" w:rsidR="009A186F" w:rsidRPr="00ED2A21" w:rsidRDefault="009A186F" w:rsidP="00ED2A21">
            <w:pPr>
              <w:pStyle w:val="PargrafodaLista"/>
              <w:spacing w:after="0"/>
              <w:ind w:left="0" w:right="-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2" w:type="dxa"/>
            <w:vMerge/>
          </w:tcPr>
          <w:p w14:paraId="3AE2BA5E" w14:textId="485FA94A" w:rsidR="009A186F" w:rsidRPr="00ED2A21" w:rsidRDefault="009A186F" w:rsidP="00ED2A21">
            <w:pPr>
              <w:pStyle w:val="PargrafodaLista"/>
              <w:spacing w:after="0"/>
              <w:ind w:left="0" w:right="-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3" w:type="dxa"/>
          </w:tcPr>
          <w:p w14:paraId="27147BFF" w14:textId="76BB5EC9" w:rsidR="009A186F" w:rsidRPr="00ED2A21" w:rsidRDefault="00BD2F89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SEMATUR</w:t>
            </w:r>
            <w:proofErr w:type="spellEnd"/>
          </w:p>
        </w:tc>
        <w:tc>
          <w:tcPr>
            <w:tcW w:w="1213" w:type="dxa"/>
          </w:tcPr>
          <w:p w14:paraId="57E5A2ED" w14:textId="2406C53F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2A21">
              <w:rPr>
                <w:rFonts w:ascii="Arial" w:hAnsi="Arial" w:cs="Arial"/>
                <w:b/>
                <w:bCs/>
                <w:sz w:val="24"/>
                <w:szCs w:val="24"/>
              </w:rPr>
              <w:t>SEMEC</w:t>
            </w:r>
          </w:p>
        </w:tc>
        <w:tc>
          <w:tcPr>
            <w:tcW w:w="1359" w:type="dxa"/>
          </w:tcPr>
          <w:p w14:paraId="1FA84E45" w14:textId="73301243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2A21">
              <w:rPr>
                <w:rFonts w:ascii="Arial" w:hAnsi="Arial" w:cs="Arial"/>
                <w:b/>
                <w:bCs/>
                <w:sz w:val="24"/>
                <w:szCs w:val="24"/>
              </w:rPr>
              <w:t>SEGOV</w:t>
            </w:r>
          </w:p>
        </w:tc>
        <w:tc>
          <w:tcPr>
            <w:tcW w:w="933" w:type="dxa"/>
            <w:vAlign w:val="center"/>
          </w:tcPr>
          <w:p w14:paraId="7E0C1F75" w14:textId="77777777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A186F" w:rsidRPr="00ED2A21" w14:paraId="04DF4878" w14:textId="321FD659" w:rsidTr="00004551">
        <w:trPr>
          <w:gridAfter w:val="1"/>
          <w:wAfter w:w="14" w:type="dxa"/>
          <w:jc w:val="center"/>
        </w:trPr>
        <w:tc>
          <w:tcPr>
            <w:tcW w:w="867" w:type="dxa"/>
          </w:tcPr>
          <w:p w14:paraId="33C401E2" w14:textId="61C6FEB6" w:rsidR="009A186F" w:rsidRPr="00ED2A21" w:rsidRDefault="009A186F" w:rsidP="00ED2A21">
            <w:pPr>
              <w:pStyle w:val="PargrafodaLista"/>
              <w:spacing w:after="0"/>
              <w:ind w:left="0" w:right="-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062" w:type="dxa"/>
          </w:tcPr>
          <w:p w14:paraId="74619A6F" w14:textId="4BAB1D03" w:rsidR="009A186F" w:rsidRPr="00ED2A21" w:rsidRDefault="009A186F" w:rsidP="00ED2A21">
            <w:pPr>
              <w:pStyle w:val="PargrafodaLista"/>
              <w:spacing w:after="0"/>
              <w:ind w:left="1" w:right="-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Locação de banheiros químicos convencionais incluindo fornecimento, transporte, instalação,</w:t>
            </w:r>
          </w:p>
          <w:p w14:paraId="01891D09" w14:textId="5F6E98B9" w:rsidR="009A186F" w:rsidRPr="00ED2A21" w:rsidRDefault="009A186F" w:rsidP="00ED2A21">
            <w:pPr>
              <w:pStyle w:val="PargrafodaLista"/>
              <w:spacing w:after="0"/>
              <w:ind w:left="1" w:right="-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manutenção, higienização periódica, reposição de insumos e retirada.</w:t>
            </w:r>
          </w:p>
        </w:tc>
        <w:tc>
          <w:tcPr>
            <w:tcW w:w="1173" w:type="dxa"/>
            <w:vAlign w:val="center"/>
          </w:tcPr>
          <w:p w14:paraId="042BA542" w14:textId="2F3432BA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13" w:type="dxa"/>
            <w:vAlign w:val="center"/>
          </w:tcPr>
          <w:p w14:paraId="196F974B" w14:textId="206A3FDA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240,0</w:t>
            </w:r>
          </w:p>
        </w:tc>
        <w:tc>
          <w:tcPr>
            <w:tcW w:w="1359" w:type="dxa"/>
            <w:vAlign w:val="center"/>
          </w:tcPr>
          <w:p w14:paraId="690BCDB3" w14:textId="56095307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40,0</w:t>
            </w:r>
          </w:p>
        </w:tc>
        <w:tc>
          <w:tcPr>
            <w:tcW w:w="933" w:type="dxa"/>
            <w:vAlign w:val="center"/>
          </w:tcPr>
          <w:p w14:paraId="0A6EDE24" w14:textId="7FE0F614" w:rsidR="009A186F" w:rsidRPr="00ED2A21" w:rsidRDefault="00004551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365,0</w:t>
            </w:r>
          </w:p>
        </w:tc>
      </w:tr>
      <w:tr w:rsidR="009A186F" w:rsidRPr="00ED2A21" w14:paraId="5B7F42F9" w14:textId="5A4CBB55" w:rsidTr="00004551">
        <w:trPr>
          <w:gridAfter w:val="1"/>
          <w:wAfter w:w="14" w:type="dxa"/>
          <w:jc w:val="center"/>
        </w:trPr>
        <w:tc>
          <w:tcPr>
            <w:tcW w:w="867" w:type="dxa"/>
          </w:tcPr>
          <w:p w14:paraId="04EBD3A0" w14:textId="2A26862D" w:rsidR="009A186F" w:rsidRPr="00ED2A21" w:rsidRDefault="009A186F" w:rsidP="00ED2A21">
            <w:pPr>
              <w:pStyle w:val="PargrafodaLista"/>
              <w:spacing w:after="0"/>
              <w:ind w:left="0" w:right="-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062" w:type="dxa"/>
          </w:tcPr>
          <w:p w14:paraId="3ACC42F8" w14:textId="77777777" w:rsidR="009A186F" w:rsidRPr="00ED2A21" w:rsidRDefault="009A186F" w:rsidP="00ED2A21">
            <w:pPr>
              <w:pStyle w:val="PargrafodaLista"/>
              <w:spacing w:after="0"/>
              <w:ind w:left="0" w:right="-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Locação de banheiros químicos acessíveis (PCD), em conformidade com as normas de acessibilidade</w:t>
            </w:r>
          </w:p>
          <w:p w14:paraId="66226528" w14:textId="493206A0" w:rsidR="009A186F" w:rsidRPr="00ED2A21" w:rsidRDefault="009A186F" w:rsidP="00ED2A21">
            <w:pPr>
              <w:pStyle w:val="PargrafodaLista"/>
              <w:spacing w:after="0"/>
              <w:ind w:left="0" w:right="-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 xml:space="preserve">vigentes incluindo fornecimento. transporte, instalação manutenção higienização periódica </w:t>
            </w:r>
            <w:proofErr w:type="spellStart"/>
            <w:r w:rsidRPr="00ED2A21">
              <w:rPr>
                <w:rFonts w:ascii="Arial" w:hAnsi="Arial" w:cs="Arial"/>
                <w:sz w:val="24"/>
                <w:szCs w:val="24"/>
              </w:rPr>
              <w:t>reposicão</w:t>
            </w:r>
            <w:proofErr w:type="spellEnd"/>
            <w:r w:rsidRPr="00ED2A21">
              <w:rPr>
                <w:rFonts w:ascii="Arial" w:hAnsi="Arial" w:cs="Arial"/>
                <w:sz w:val="24"/>
                <w:szCs w:val="24"/>
              </w:rPr>
              <w:t xml:space="preserve"> de insumos e retirada</w:t>
            </w:r>
          </w:p>
        </w:tc>
        <w:tc>
          <w:tcPr>
            <w:tcW w:w="1173" w:type="dxa"/>
            <w:vAlign w:val="center"/>
          </w:tcPr>
          <w:p w14:paraId="508FAD09" w14:textId="7124C04E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  <w:tc>
          <w:tcPr>
            <w:tcW w:w="1213" w:type="dxa"/>
            <w:vAlign w:val="center"/>
          </w:tcPr>
          <w:p w14:paraId="32EE15A0" w14:textId="5E2631BF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60,0</w:t>
            </w:r>
          </w:p>
        </w:tc>
        <w:tc>
          <w:tcPr>
            <w:tcW w:w="1359" w:type="dxa"/>
            <w:vAlign w:val="center"/>
          </w:tcPr>
          <w:p w14:paraId="72C06F6B" w14:textId="1CA72F1B" w:rsidR="009A186F" w:rsidRPr="00ED2A21" w:rsidRDefault="009A186F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  <w:tc>
          <w:tcPr>
            <w:tcW w:w="933" w:type="dxa"/>
            <w:vAlign w:val="center"/>
          </w:tcPr>
          <w:p w14:paraId="4CBB84D1" w14:textId="51FE4464" w:rsidR="009A186F" w:rsidRPr="00ED2A21" w:rsidRDefault="00004551" w:rsidP="00ED2A21">
            <w:pPr>
              <w:pStyle w:val="PargrafodaLista"/>
              <w:spacing w:after="0"/>
              <w:ind w:left="0" w:right="-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2A21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</w:tr>
    </w:tbl>
    <w:p w14:paraId="5EF43139" w14:textId="77777777" w:rsidR="005F7AAE" w:rsidRPr="00ED2A21" w:rsidRDefault="005F7AAE" w:rsidP="00ED2A21">
      <w:pPr>
        <w:pStyle w:val="PargrafodaLista"/>
        <w:spacing w:after="0"/>
        <w:ind w:left="0" w:right="-2"/>
        <w:jc w:val="both"/>
        <w:rPr>
          <w:rFonts w:ascii="Arial" w:hAnsi="Arial" w:cs="Arial"/>
          <w:sz w:val="24"/>
          <w:szCs w:val="24"/>
        </w:rPr>
      </w:pPr>
    </w:p>
    <w:p w14:paraId="150EE325" w14:textId="77777777" w:rsidR="005F7AAE" w:rsidRPr="00ED2A21" w:rsidRDefault="005F7AAE" w:rsidP="00ED2A21">
      <w:pPr>
        <w:pStyle w:val="PargrafodaLista"/>
        <w:spacing w:after="0"/>
        <w:ind w:left="0" w:right="-2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498D7302" w14:textId="77777777" w:rsidR="00004551" w:rsidRPr="00004551" w:rsidRDefault="00004551" w:rsidP="00ED2A21">
      <w:pPr>
        <w:pStyle w:val="PargrafodaLista"/>
        <w:spacing w:after="0"/>
        <w:ind w:left="0"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5.3. Justificativa dos Quantitativos:</w:t>
      </w:r>
    </w:p>
    <w:p w14:paraId="5281E686" w14:textId="53E734DC" w:rsidR="00004551" w:rsidRPr="00004551" w:rsidRDefault="00004551" w:rsidP="00ED2A21">
      <w:pPr>
        <w:pStyle w:val="PargrafodaLista"/>
        <w:numPr>
          <w:ilvl w:val="0"/>
          <w:numId w:val="20"/>
        </w:numPr>
        <w:tabs>
          <w:tab w:val="clear" w:pos="720"/>
        </w:tabs>
        <w:spacing w:after="0"/>
        <w:ind w:left="0" w:right="-2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SEGOV: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 xml:space="preserve"> Quantitativo 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>estimado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 xml:space="preserve"> devido à manutenção da Feira da 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>Lua e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 xml:space="preserve"> eventos cívicos.</w:t>
      </w:r>
    </w:p>
    <w:p w14:paraId="5C757181" w14:textId="0DF8F290" w:rsidR="00004551" w:rsidRPr="00004551" w:rsidRDefault="00004551" w:rsidP="00ED2A21">
      <w:pPr>
        <w:pStyle w:val="PargrafodaLista"/>
        <w:numPr>
          <w:ilvl w:val="0"/>
          <w:numId w:val="20"/>
        </w:numPr>
        <w:tabs>
          <w:tab w:val="clear" w:pos="720"/>
        </w:tabs>
        <w:spacing w:after="0"/>
        <w:ind w:left="0" w:right="-2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</w:t>
      </w:r>
      <w:r w:rsidR="00BD2F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</w:t>
      </w:r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TUR</w:t>
      </w:r>
      <w:proofErr w:type="spellEnd"/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 xml:space="preserve"> Focado em grandes eventos sazonais e feriados prolongados que atraem fluxo turístico, onde a concentração de público exige maior número de cabines por dia.</w:t>
      </w:r>
    </w:p>
    <w:p w14:paraId="20903F00" w14:textId="6683CEDF" w:rsidR="00004551" w:rsidRPr="00004551" w:rsidRDefault="00004551" w:rsidP="00ED2A21">
      <w:pPr>
        <w:pStyle w:val="PargrafodaLista"/>
        <w:numPr>
          <w:ilvl w:val="0"/>
          <w:numId w:val="20"/>
        </w:numPr>
        <w:tabs>
          <w:tab w:val="clear" w:pos="720"/>
        </w:tabs>
        <w:spacing w:after="0"/>
        <w:ind w:left="0" w:right="-2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SEMEC: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 xml:space="preserve"> Atendimento a festivais culturais, desfiles escolares e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 xml:space="preserve"> demais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 xml:space="preserve"> eventos 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>organizados pel</w:t>
      </w:r>
      <w:r w:rsidR="00BD2F89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 xml:space="preserve"> secretaria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8CDB45F" w14:textId="77777777" w:rsidR="00004551" w:rsidRPr="00004551" w:rsidRDefault="00004551" w:rsidP="00ED2A21">
      <w:pPr>
        <w:pStyle w:val="PargrafodaLista"/>
        <w:spacing w:after="0"/>
        <w:ind w:left="0"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5.4. Variação e Registro de Preços: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 xml:space="preserve"> Opta-se pelo </w:t>
      </w:r>
      <w:r w:rsidRPr="0000455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Sistema de Registro de Preços</w:t>
      </w:r>
      <w:r w:rsidRPr="00004551">
        <w:rPr>
          <w:rFonts w:ascii="Arial" w:eastAsia="Times New Roman" w:hAnsi="Arial" w:cs="Arial"/>
          <w:sz w:val="24"/>
          <w:szCs w:val="24"/>
          <w:lang w:eastAsia="pt-BR"/>
        </w:rPr>
        <w:t>, visto que a demanda é intermitente e depende de fatores climáticos e confirmação de agendas. A estimativa não obriga a Administração a contratar o total previsto, garantindo que o Município pague apenas pelo serviço efetivamente prestado conforme a ordem de serviço emitida.</w:t>
      </w:r>
    </w:p>
    <w:p w14:paraId="772CBB16" w14:textId="77777777" w:rsidR="005F7AAE" w:rsidRPr="00ED2A21" w:rsidRDefault="005F7AAE" w:rsidP="00ED2A21">
      <w:pPr>
        <w:pStyle w:val="PargrafodaLista"/>
        <w:spacing w:after="0"/>
        <w:ind w:left="0" w:right="-2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A122120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 xml:space="preserve">ESTIMATIVAS DO VALOR DA CONTRATAÇÃO - PREÇOS OU DOS MEIOS DE PREVISÃO DE PREÇOS REFERENCIAIS </w:t>
      </w:r>
      <w:r w:rsidRPr="00ED2A21">
        <w:rPr>
          <w:rFonts w:ascii="Arial" w:hAnsi="Arial" w:cs="Arial"/>
          <w:bCs/>
        </w:rPr>
        <w:t xml:space="preserve">(Art. 18. § 1º , Inciso VI) - </w:t>
      </w:r>
      <w:r w:rsidRPr="00ED2A21">
        <w:rPr>
          <w:rFonts w:ascii="Arial" w:hAnsi="Arial" w:cs="Arial"/>
        </w:rPr>
        <w:t>Obrigatório</w:t>
      </w:r>
    </w:p>
    <w:p w14:paraId="748D6BEA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3F29628B" w14:textId="43DDCB38" w:rsidR="003D190C" w:rsidRPr="00ED2A21" w:rsidRDefault="003D190C" w:rsidP="00ED2A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sz w:val="24"/>
          <w:szCs w:val="24"/>
        </w:rPr>
        <w:t>Quanto ao valor estimado, este foi avaliado conforme cotações coletadas junto</w:t>
      </w:r>
      <w:r w:rsidR="008920D3" w:rsidRPr="00ED2A21">
        <w:rPr>
          <w:rFonts w:ascii="Arial" w:hAnsi="Arial" w:cs="Arial"/>
          <w:sz w:val="24"/>
          <w:szCs w:val="24"/>
        </w:rPr>
        <w:t xml:space="preserve"> a contratações semelhantes realizadas por outros órgãos da administração pública</w:t>
      </w:r>
      <w:r w:rsidRPr="00ED2A21">
        <w:rPr>
          <w:rFonts w:ascii="Arial" w:hAnsi="Arial" w:cs="Arial"/>
          <w:sz w:val="24"/>
          <w:szCs w:val="24"/>
        </w:rPr>
        <w:t xml:space="preserve">. Os preços coletados bem como a memória de cálculo constam na planilha de cotações, justificativa e análise de crítica de preços, anexos ao processo, e obedecem ao que determina o Art. 6, </w:t>
      </w:r>
      <w:r w:rsidR="00602BA4" w:rsidRPr="00ED2A21">
        <w:rPr>
          <w:rFonts w:ascii="Arial" w:hAnsi="Arial" w:cs="Arial"/>
          <w:sz w:val="24"/>
          <w:szCs w:val="24"/>
        </w:rPr>
        <w:t xml:space="preserve">II e </w:t>
      </w:r>
      <w:r w:rsidRPr="00ED2A21">
        <w:rPr>
          <w:rFonts w:ascii="Arial" w:hAnsi="Arial" w:cs="Arial"/>
          <w:sz w:val="24"/>
          <w:szCs w:val="24"/>
        </w:rPr>
        <w:t>VIII do Decreto Municipal nº 628/2024.</w:t>
      </w:r>
      <w:r w:rsidR="002B42CD" w:rsidRPr="00ED2A21">
        <w:rPr>
          <w:rFonts w:ascii="Arial" w:hAnsi="Arial" w:cs="Arial"/>
          <w:sz w:val="24"/>
          <w:szCs w:val="24"/>
        </w:rPr>
        <w:t xml:space="preserve"> O valor da contratação importa em </w:t>
      </w:r>
      <w:r w:rsidR="00004551" w:rsidRPr="00ED2A21">
        <w:rPr>
          <w:rFonts w:ascii="Arial" w:hAnsi="Arial" w:cs="Arial"/>
          <w:b/>
          <w:bCs/>
          <w:sz w:val="24"/>
          <w:szCs w:val="24"/>
        </w:rPr>
        <w:t>R$ 118.994,58</w:t>
      </w:r>
      <w:r w:rsidR="00004551" w:rsidRPr="00ED2A21">
        <w:rPr>
          <w:rFonts w:ascii="Arial" w:hAnsi="Arial" w:cs="Arial"/>
          <w:sz w:val="24"/>
          <w:szCs w:val="24"/>
        </w:rPr>
        <w:t xml:space="preserve"> </w:t>
      </w:r>
      <w:r w:rsidR="00CD3B24" w:rsidRPr="00ED2A21">
        <w:rPr>
          <w:rFonts w:ascii="Arial" w:hAnsi="Arial" w:cs="Arial"/>
          <w:sz w:val="24"/>
          <w:szCs w:val="24"/>
        </w:rPr>
        <w:t>(</w:t>
      </w:r>
      <w:r w:rsidR="00004551" w:rsidRPr="00ED2A21">
        <w:rPr>
          <w:rFonts w:ascii="Arial" w:hAnsi="Arial" w:cs="Arial"/>
          <w:b/>
          <w:bCs/>
          <w:sz w:val="24"/>
          <w:szCs w:val="24"/>
        </w:rPr>
        <w:t>CENTO E DEZOITO MIL NOVECENTOS E NOVENTA E QUATRO REAIS E CINQUENTA E OITO CENTAVOS</w:t>
      </w:r>
      <w:r w:rsidR="00CD3B24" w:rsidRPr="00ED2A21">
        <w:rPr>
          <w:rFonts w:ascii="Arial" w:hAnsi="Arial" w:cs="Arial"/>
          <w:sz w:val="24"/>
          <w:szCs w:val="24"/>
        </w:rPr>
        <w:t>)</w:t>
      </w:r>
      <w:r w:rsidR="002B42CD" w:rsidRPr="00ED2A21">
        <w:rPr>
          <w:rFonts w:ascii="Arial" w:hAnsi="Arial" w:cs="Arial"/>
          <w:sz w:val="24"/>
          <w:szCs w:val="24"/>
        </w:rPr>
        <w:t>.</w:t>
      </w:r>
    </w:p>
    <w:p w14:paraId="088D1E46" w14:textId="45468039" w:rsidR="007E57FA" w:rsidRPr="00ED2A21" w:rsidRDefault="007E57FA" w:rsidP="00ED2A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Itens Inclusos no Preço: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3DD75314" w14:textId="2CBDCDCE" w:rsidR="007E57FA" w:rsidRPr="00ED2A21" w:rsidRDefault="007E57FA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sz w:val="24"/>
          <w:szCs w:val="24"/>
          <w:shd w:val="clear" w:color="auto" w:fill="FFFFFF"/>
        </w:rPr>
        <w:t>Fica estabelecido que o valor da diária é global e fixo, devendo a contratada absorver todos os custos diretos e indiretos, tais como:</w:t>
      </w:r>
    </w:p>
    <w:p w14:paraId="089B0D25" w14:textId="77777777" w:rsidR="007E57FA" w:rsidRPr="007E57FA" w:rsidRDefault="007E57FA" w:rsidP="00ED2A21">
      <w:pPr>
        <w:pStyle w:val="PargrafodaLista"/>
        <w:numPr>
          <w:ilvl w:val="1"/>
          <w:numId w:val="22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E57FA">
        <w:rPr>
          <w:rFonts w:ascii="Arial" w:hAnsi="Arial" w:cs="Arial"/>
          <w:sz w:val="24"/>
          <w:szCs w:val="24"/>
          <w:shd w:val="clear" w:color="auto" w:fill="FFFFFF"/>
        </w:rPr>
        <w:t>Mobilização e desmobilização (frete/transporte);</w:t>
      </w:r>
    </w:p>
    <w:p w14:paraId="3F5406FA" w14:textId="77777777" w:rsidR="007E57FA" w:rsidRPr="007E57FA" w:rsidRDefault="007E57FA" w:rsidP="00ED2A21">
      <w:pPr>
        <w:pStyle w:val="PargrafodaLista"/>
        <w:numPr>
          <w:ilvl w:val="1"/>
          <w:numId w:val="22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E57FA">
        <w:rPr>
          <w:rFonts w:ascii="Arial" w:hAnsi="Arial" w:cs="Arial"/>
          <w:sz w:val="24"/>
          <w:szCs w:val="24"/>
          <w:shd w:val="clear" w:color="auto" w:fill="FFFFFF"/>
        </w:rPr>
        <w:t>Mão de obra para instalação e retirada;</w:t>
      </w:r>
    </w:p>
    <w:p w14:paraId="159C8A0D" w14:textId="77777777" w:rsidR="007E57FA" w:rsidRPr="007E57FA" w:rsidRDefault="007E57FA" w:rsidP="00ED2A21">
      <w:pPr>
        <w:pStyle w:val="PargrafodaLista"/>
        <w:numPr>
          <w:ilvl w:val="1"/>
          <w:numId w:val="22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E57FA">
        <w:rPr>
          <w:rFonts w:ascii="Arial" w:hAnsi="Arial" w:cs="Arial"/>
          <w:sz w:val="24"/>
          <w:szCs w:val="24"/>
          <w:shd w:val="clear" w:color="auto" w:fill="FFFFFF"/>
        </w:rPr>
        <w:t>Insumos (papel, produtos químicos biodegradáveis);</w:t>
      </w:r>
    </w:p>
    <w:p w14:paraId="3168D769" w14:textId="77777777" w:rsidR="007E57FA" w:rsidRPr="007E57FA" w:rsidRDefault="007E57FA" w:rsidP="00ED2A21">
      <w:pPr>
        <w:pStyle w:val="PargrafodaLista"/>
        <w:numPr>
          <w:ilvl w:val="1"/>
          <w:numId w:val="22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E57FA">
        <w:rPr>
          <w:rFonts w:ascii="Arial" w:hAnsi="Arial" w:cs="Arial"/>
          <w:sz w:val="24"/>
          <w:szCs w:val="24"/>
          <w:shd w:val="clear" w:color="auto" w:fill="FFFFFF"/>
        </w:rPr>
        <w:t>Serviço de sucção e higienização;</w:t>
      </w:r>
    </w:p>
    <w:p w14:paraId="1E1CA3F3" w14:textId="77777777" w:rsidR="007E57FA" w:rsidRPr="007E57FA" w:rsidRDefault="007E57FA" w:rsidP="00ED2A21">
      <w:pPr>
        <w:pStyle w:val="PargrafodaLista"/>
        <w:numPr>
          <w:ilvl w:val="1"/>
          <w:numId w:val="22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E57FA">
        <w:rPr>
          <w:rFonts w:ascii="Arial" w:hAnsi="Arial" w:cs="Arial"/>
          <w:sz w:val="24"/>
          <w:szCs w:val="24"/>
          <w:shd w:val="clear" w:color="auto" w:fill="FFFFFF"/>
        </w:rPr>
        <w:t>Taxas de destinação final em estação de tratamento;</w:t>
      </w:r>
    </w:p>
    <w:p w14:paraId="4BCA5BB9" w14:textId="77777777" w:rsidR="007E57FA" w:rsidRPr="00ED2A21" w:rsidRDefault="007E57FA" w:rsidP="00ED2A21">
      <w:pPr>
        <w:pStyle w:val="PargrafodaLista"/>
        <w:numPr>
          <w:ilvl w:val="1"/>
          <w:numId w:val="22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E57FA">
        <w:rPr>
          <w:rFonts w:ascii="Arial" w:hAnsi="Arial" w:cs="Arial"/>
          <w:sz w:val="24"/>
          <w:szCs w:val="24"/>
          <w:shd w:val="clear" w:color="auto" w:fill="FFFFFF"/>
        </w:rPr>
        <w:t>Encargos sociais, trabalhistas e tributos incidentes.</w:t>
      </w:r>
    </w:p>
    <w:p w14:paraId="1FA4C5E2" w14:textId="0F4829EC" w:rsidR="007E57FA" w:rsidRPr="00ED2A21" w:rsidRDefault="007E57FA" w:rsidP="00ED2A21">
      <w:pPr>
        <w:pStyle w:val="PargrafodaLista"/>
        <w:numPr>
          <w:ilvl w:val="1"/>
          <w:numId w:val="1"/>
        </w:numPr>
        <w:spacing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Justificativa de Preço: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5DB97B8B" w14:textId="2DDD58CF" w:rsidR="007E57FA" w:rsidRPr="00ED2A21" w:rsidRDefault="007E57FA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sz w:val="24"/>
          <w:szCs w:val="24"/>
          <w:shd w:val="clear" w:color="auto" w:fill="FFFFFF"/>
        </w:rPr>
        <w:t>A Administração entende que a locação por diária, com manutenção inclusa, apresenta melhor custo-benefício em comparação à execução direta (compra de equipamentos e manutenção por servidores), uma vez que exime o Município de custos com frota pesada (caminhão vácuo) e gestão de resíduos biológicos perigosos.</w:t>
      </w:r>
    </w:p>
    <w:p w14:paraId="75BA5A65" w14:textId="77777777" w:rsidR="007E57FA" w:rsidRPr="00ED2A21" w:rsidRDefault="007E57FA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EF50C20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DA SOLUÇÃO COMO UM TODO (Art. 18. § 1º , Inciso VII)</w:t>
      </w:r>
    </w:p>
    <w:p w14:paraId="41F3060A" w14:textId="77777777" w:rsidR="00EA1F10" w:rsidRPr="00ED2A21" w:rsidRDefault="00EA1F10" w:rsidP="00ED2A21">
      <w:pPr>
        <w:suppressAutoHyphens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490AFD9" w14:textId="77777777" w:rsidR="007E57FA" w:rsidRPr="007E57FA" w:rsidRDefault="007E57FA" w:rsidP="00ED2A21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E57FA">
        <w:rPr>
          <w:rFonts w:ascii="Arial" w:eastAsia="Times New Roman" w:hAnsi="Arial" w:cs="Arial"/>
          <w:sz w:val="24"/>
          <w:szCs w:val="24"/>
          <w:lang w:eastAsia="pt-BR"/>
        </w:rPr>
        <w:t>A solução escolhida consiste na locação de cabines sanitárias portáteis autônomas (banheiros químicos), através do Sistema de Registro de Preços, compreendendo um modelo de serviço "</w:t>
      </w:r>
      <w:proofErr w:type="spellStart"/>
      <w:r w:rsidRPr="007E57FA">
        <w:rPr>
          <w:rFonts w:ascii="Arial" w:eastAsia="Times New Roman" w:hAnsi="Arial" w:cs="Arial"/>
          <w:sz w:val="24"/>
          <w:szCs w:val="24"/>
          <w:lang w:eastAsia="pt-BR"/>
        </w:rPr>
        <w:t>turn-key</w:t>
      </w:r>
      <w:proofErr w:type="spellEnd"/>
      <w:r w:rsidRPr="007E57FA">
        <w:rPr>
          <w:rFonts w:ascii="Arial" w:eastAsia="Times New Roman" w:hAnsi="Arial" w:cs="Arial"/>
          <w:sz w:val="24"/>
          <w:szCs w:val="24"/>
          <w:lang w:eastAsia="pt-BR"/>
        </w:rPr>
        <w:t>" (chave na mão), onde a contratada assume a responsabilidade integral pela funcionalidade do objeto. A solução integra os seguintes eixos:</w:t>
      </w:r>
    </w:p>
    <w:p w14:paraId="5DB6D57F" w14:textId="77777777" w:rsidR="007E57FA" w:rsidRPr="007E57FA" w:rsidRDefault="007E57FA" w:rsidP="00ED2A21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E57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7.1. Eixo Logístico (Disponibilização):</w:t>
      </w:r>
      <w:r w:rsidRPr="007E57FA">
        <w:rPr>
          <w:rFonts w:ascii="Arial" w:eastAsia="Times New Roman" w:hAnsi="Arial" w:cs="Arial"/>
          <w:sz w:val="24"/>
          <w:szCs w:val="24"/>
          <w:lang w:eastAsia="pt-BR"/>
        </w:rPr>
        <w:t xml:space="preserve"> A contratada deverá realizar a entrega, o posicionamento estratégico (conforme orientação da Secretaria requisitante) e a retirada das unidades. A solução abrange tanto cabines padrão (Item 1) quanto unidades acessíveis (Item 2), garantindo que a infraestrutura atenda à totalidade do público, sem barreiras arquitetônicas.</w:t>
      </w:r>
    </w:p>
    <w:p w14:paraId="4A2955C8" w14:textId="77777777" w:rsidR="007E57FA" w:rsidRPr="007E57FA" w:rsidRDefault="007E57FA" w:rsidP="00ED2A21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E57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7.2. Eixo de Manutenção e Higienização (Operacional):</w:t>
      </w:r>
      <w:r w:rsidRPr="007E57FA">
        <w:rPr>
          <w:rFonts w:ascii="Arial" w:eastAsia="Times New Roman" w:hAnsi="Arial" w:cs="Arial"/>
          <w:sz w:val="24"/>
          <w:szCs w:val="24"/>
          <w:lang w:eastAsia="pt-BR"/>
        </w:rPr>
        <w:t xml:space="preserve"> Diferente de uma locação simples, a solução inclui a manutenção preventiva e corretiva diária. Isso abrange a sucção de resíduos por caminhão vácuo-absorvedor, a lavagem com produtos bactericidas e a reposição contínua de insumos (papel higiênico, sabonete e desodorizantes químicos), garantindo a salubridade durante todo o período do evento.</w:t>
      </w:r>
    </w:p>
    <w:p w14:paraId="2ECCC208" w14:textId="77777777" w:rsidR="007E57FA" w:rsidRPr="007E57FA" w:rsidRDefault="007E57FA" w:rsidP="00ED2A21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E57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7.3. Eixo Ambiental (Sustentabilidade):</w:t>
      </w:r>
      <w:r w:rsidRPr="007E57FA">
        <w:rPr>
          <w:rFonts w:ascii="Arial" w:eastAsia="Times New Roman" w:hAnsi="Arial" w:cs="Arial"/>
          <w:sz w:val="24"/>
          <w:szCs w:val="24"/>
          <w:lang w:eastAsia="pt-BR"/>
        </w:rPr>
        <w:t xml:space="preserve"> A solução encerra-se com a gestão dos resíduos biológicos. A contratada é a fiel depositária dos dejetos desde a coleta até a destinação final em Estação de Tratamento de Esgoto (ETE) licenciada, devendo comprovar o descarte regular para fins de liquidação de pagamento.</w:t>
      </w:r>
    </w:p>
    <w:p w14:paraId="003C87B9" w14:textId="05B1DA46" w:rsidR="007E57FA" w:rsidRPr="007E57FA" w:rsidRDefault="007E57FA" w:rsidP="00ED2A21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E57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7.4. Gestão e Fiscalização:</w:t>
      </w:r>
      <w:r w:rsidRPr="007E57FA">
        <w:rPr>
          <w:rFonts w:ascii="Arial" w:eastAsia="Times New Roman" w:hAnsi="Arial" w:cs="Arial"/>
          <w:sz w:val="24"/>
          <w:szCs w:val="24"/>
          <w:lang w:eastAsia="pt-BR"/>
        </w:rPr>
        <w:t xml:space="preserve"> A execução será gerida de forma descentralizada pelas Secretarias de Governo, Turismo e Educação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 xml:space="preserve"> e Cultura</w:t>
      </w:r>
      <w:r w:rsidRPr="007E57FA">
        <w:rPr>
          <w:rFonts w:ascii="Arial" w:eastAsia="Times New Roman" w:hAnsi="Arial" w:cs="Arial"/>
          <w:sz w:val="24"/>
          <w:szCs w:val="24"/>
          <w:lang w:eastAsia="pt-BR"/>
        </w:rPr>
        <w:t xml:space="preserve">, por meio de Ordens de Serviço (OS). A medição para pagamento será realizada por </w:t>
      </w:r>
      <w:r w:rsidRPr="007E57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diária efetivamente utilizada</w:t>
      </w:r>
      <w:r w:rsidRPr="007E57FA">
        <w:rPr>
          <w:rFonts w:ascii="Arial" w:eastAsia="Times New Roman" w:hAnsi="Arial" w:cs="Arial"/>
          <w:sz w:val="24"/>
          <w:szCs w:val="24"/>
          <w:lang w:eastAsia="pt-BR"/>
        </w:rPr>
        <w:t>, conferida pela fiscalização local após a retirada das estruturas e apresentação dos comprovantes de limpeza.</w:t>
      </w:r>
    </w:p>
    <w:p w14:paraId="6B07246F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0C0DB748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JUSTIFICATIVAS PARA O PARCELAMENTO (OU NÃO) DA SOLUÇÃO (Art. 18. § 1º, Inciso VIII) - Obrigatório</w:t>
      </w:r>
    </w:p>
    <w:p w14:paraId="57E24B55" w14:textId="77777777" w:rsidR="002B42CD" w:rsidRPr="00ED2A21" w:rsidRDefault="002B42CD" w:rsidP="00ED2A21">
      <w:pPr>
        <w:suppressAutoHyphens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18650B9" w14:textId="77777777" w:rsidR="00FE150C" w:rsidRPr="00FE150C" w:rsidRDefault="00FE150C" w:rsidP="00FE150C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150C">
        <w:rPr>
          <w:rFonts w:ascii="Arial" w:eastAsia="Times New Roman" w:hAnsi="Arial" w:cs="Arial"/>
          <w:sz w:val="24"/>
          <w:szCs w:val="24"/>
          <w:lang w:eastAsia="pt-BR"/>
        </w:rPr>
        <w:t>Em observância ao princípio do parcelamento do objeto (Art. 47 da Lei nº 14.133/2021), a Administração analisou a viabilidade de divisão do certame, optando justificadamente pelo agrupamento da solução em Lote Único (Adjudicação por Preço Global do Lote), englobando a locação de banheiros químicos convencionais e adaptados para Pessoas com Deficiência (PCD/PNE), bem como os serviços de manutenção, higienização, sucção e reposição de insumos.</w:t>
      </w:r>
    </w:p>
    <w:p w14:paraId="78D3A178" w14:textId="77777777" w:rsidR="00FE150C" w:rsidRPr="00FE150C" w:rsidRDefault="00FE150C" w:rsidP="00FE150C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150C">
        <w:rPr>
          <w:rFonts w:ascii="Arial" w:eastAsia="Times New Roman" w:hAnsi="Arial" w:cs="Arial"/>
          <w:sz w:val="24"/>
          <w:szCs w:val="24"/>
          <w:lang w:eastAsia="pt-BR"/>
        </w:rPr>
        <w:t>A escolha do agrupamento fundamenta-se nas seguintes razões técnicas e operacionais:</w:t>
      </w:r>
    </w:p>
    <w:p w14:paraId="69E677BF" w14:textId="3A6CB325" w:rsidR="00FE150C" w:rsidRPr="00FE150C" w:rsidRDefault="00FE150C" w:rsidP="00FE150C">
      <w:pPr>
        <w:pStyle w:val="PargrafodaLista"/>
        <w:numPr>
          <w:ilvl w:val="0"/>
          <w:numId w:val="31"/>
        </w:numPr>
        <w:spacing w:after="0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150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Operacional e Padronização Logística:</w:t>
      </w:r>
      <w:r w:rsidRPr="00FE150C">
        <w:rPr>
          <w:rFonts w:ascii="Arial" w:eastAsia="Times New Roman" w:hAnsi="Arial" w:cs="Arial"/>
          <w:sz w:val="24"/>
          <w:szCs w:val="24"/>
          <w:lang w:eastAsia="pt-BR"/>
        </w:rPr>
        <w:t xml:space="preserve"> A locação de banheiros químicos convencionais e adaptados (PCD/PNE) guarda estrita relação de semelhança e complementaridade. A execução por um único fornecedor assegura a padronização do atendimento, a otimização das etapas de instalação, transporte e recolhimento das estruturas, bem como a sincronia no cronograma de montagem em eventos do Município.</w:t>
      </w:r>
    </w:p>
    <w:p w14:paraId="498CBDAB" w14:textId="77777777" w:rsidR="00FE150C" w:rsidRPr="00FE150C" w:rsidRDefault="00FE150C" w:rsidP="00FE150C">
      <w:pPr>
        <w:pStyle w:val="PargrafodaLista"/>
        <w:numPr>
          <w:ilvl w:val="0"/>
          <w:numId w:val="31"/>
        </w:numPr>
        <w:spacing w:after="0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150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Responsabilidade Técnica e Sanitária Unificada:</w:t>
      </w:r>
      <w:r w:rsidRPr="00FE150C">
        <w:rPr>
          <w:rFonts w:ascii="Arial" w:eastAsia="Times New Roman" w:hAnsi="Arial" w:cs="Arial"/>
          <w:sz w:val="24"/>
          <w:szCs w:val="24"/>
          <w:lang w:eastAsia="pt-BR"/>
        </w:rPr>
        <w:t xml:space="preserve"> A higienização, a sucção de efluentes e a manutenção periódica são serviços intrínsecos ao </w:t>
      </w:r>
      <w:r w:rsidRPr="00FE150C">
        <w:rPr>
          <w:rFonts w:ascii="Arial" w:eastAsia="Times New Roman" w:hAnsi="Arial" w:cs="Arial"/>
          <w:sz w:val="24"/>
          <w:szCs w:val="24"/>
          <w:lang w:eastAsia="pt-BR"/>
        </w:rPr>
        <w:lastRenderedPageBreak/>
        <w:t>fornecimento das cabines. A centralização dessas atividades em uma única contratada evita o fracionamento de responsabilidades em eventual ocorrência de falhas sanitárias, vazamentos ou danos aos equipamentos, garantindo maior eficiência na fiscalização contratual.</w:t>
      </w:r>
    </w:p>
    <w:p w14:paraId="37551673" w14:textId="77777777" w:rsidR="00FE150C" w:rsidRDefault="00FE150C" w:rsidP="00FE150C">
      <w:pPr>
        <w:pStyle w:val="PargrafodaLista"/>
        <w:numPr>
          <w:ilvl w:val="0"/>
          <w:numId w:val="31"/>
        </w:numPr>
        <w:spacing w:after="0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150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Economicidade e Ganho de Escala:</w:t>
      </w:r>
      <w:r w:rsidRPr="00FE150C">
        <w:rPr>
          <w:rFonts w:ascii="Arial" w:eastAsia="Times New Roman" w:hAnsi="Arial" w:cs="Arial"/>
          <w:sz w:val="24"/>
          <w:szCs w:val="24"/>
          <w:lang w:eastAsia="pt-BR"/>
        </w:rPr>
        <w:t xml:space="preserve"> A adjudicação por Lote Único atrai empresas de maior porte operacional, permitindo que a Administração obtenha ganhos de escala na mobilização de caminhões de sucção (vácuo) e equipes de limpeza. O fracionamento dos serviços ou a separação do fornecimento por tipos de cabines resultaria em duplicidade de custos logísticos de transporte e deslocamento, encarecendo individualmente cada item.</w:t>
      </w:r>
    </w:p>
    <w:p w14:paraId="59C226A0" w14:textId="77777777" w:rsidR="00FE150C" w:rsidRPr="00FE150C" w:rsidRDefault="00FE150C" w:rsidP="00FE150C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64AFEA3" w14:textId="77777777" w:rsidR="00FE150C" w:rsidRPr="00FE150C" w:rsidRDefault="00FE150C" w:rsidP="00FE150C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150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Conclusão:</w:t>
      </w:r>
      <w:r w:rsidRPr="00FE150C">
        <w:rPr>
          <w:rFonts w:ascii="Arial" w:eastAsia="Times New Roman" w:hAnsi="Arial" w:cs="Arial"/>
          <w:sz w:val="24"/>
          <w:szCs w:val="24"/>
          <w:lang w:eastAsia="pt-BR"/>
        </w:rPr>
        <w:t xml:space="preserve"> Portanto, a adjudicação por Lote Único revela-se a estratégia mais vantajosa para o interesse público, assegurando a integridade operacional, a segurança sanitária e a otimização dos recursos financeiros na execução contratual.</w:t>
      </w:r>
    </w:p>
    <w:p w14:paraId="1D91D028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7DEB5DCD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PROVIDÊNCIAS PRÉVIAS AO CONTRATO  (Art. 18. § 1º, Inciso X)</w:t>
      </w:r>
    </w:p>
    <w:p w14:paraId="2219C250" w14:textId="77777777" w:rsidR="00ED2A21" w:rsidRDefault="00ED2A21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622F8FCF" w14:textId="65199944" w:rsidR="002B5E6E" w:rsidRPr="00ED2A21" w:rsidRDefault="002B5E6E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</w:rPr>
        <w:t>Para assegurar a plena exequibilidade do objeto logo após a assinatura da Ata de Registro de Preços, deverão ser adotadas as seguintes providências:</w:t>
      </w:r>
    </w:p>
    <w:p w14:paraId="55ACE5AB" w14:textId="2BBF6F77" w:rsidR="002B5E6E" w:rsidRPr="00ED2A21" w:rsidRDefault="002B5E6E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9.1. Indicação dos Gestores e Fiscais:</w:t>
      </w:r>
      <w:r w:rsidRPr="00ED2A21">
        <w:rPr>
          <w:rFonts w:ascii="Arial" w:hAnsi="Arial" w:cs="Arial"/>
        </w:rPr>
        <w:t xml:space="preserve"> Cada Secretaria requisitante (Governo, Turismo</w:t>
      </w:r>
      <w:r w:rsidR="00CB0782" w:rsidRPr="00ED2A21">
        <w:rPr>
          <w:rFonts w:ascii="Arial" w:hAnsi="Arial" w:cs="Arial"/>
        </w:rPr>
        <w:t>,</w:t>
      </w:r>
      <w:r w:rsidRPr="00ED2A21">
        <w:rPr>
          <w:rFonts w:ascii="Arial" w:hAnsi="Arial" w:cs="Arial"/>
        </w:rPr>
        <w:t xml:space="preserve"> e Educação</w:t>
      </w:r>
      <w:r w:rsidR="00CB0782" w:rsidRPr="00ED2A21">
        <w:rPr>
          <w:rFonts w:ascii="Arial" w:hAnsi="Arial" w:cs="Arial"/>
        </w:rPr>
        <w:t xml:space="preserve"> e Cultura</w:t>
      </w:r>
      <w:r w:rsidRPr="00ED2A21">
        <w:rPr>
          <w:rFonts w:ascii="Arial" w:hAnsi="Arial" w:cs="Arial"/>
        </w:rPr>
        <w:t>) deverá designar, o respectivo fiscal de contrato, que ficarão responsáveis pela conferência da instalação, limpeza e retirada das cabines em cada evento.</w:t>
      </w:r>
    </w:p>
    <w:p w14:paraId="64F3B96B" w14:textId="77777777" w:rsidR="002B5E6E" w:rsidRPr="00ED2A21" w:rsidRDefault="002B5E6E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10.2. Definição do Fluxo de Solicitação (Ordem de Serviço):</w:t>
      </w:r>
      <w:r w:rsidRPr="00ED2A21">
        <w:rPr>
          <w:rFonts w:ascii="Arial" w:hAnsi="Arial" w:cs="Arial"/>
        </w:rPr>
        <w:t xml:space="preserve"> Deverá ser estabelecido um modelo padronizado de Ordem de Serviço (OS), contendo:</w:t>
      </w:r>
    </w:p>
    <w:p w14:paraId="751D3814" w14:textId="77777777" w:rsidR="002B5E6E" w:rsidRPr="00ED2A21" w:rsidRDefault="002B5E6E" w:rsidP="00ED2A21">
      <w:pPr>
        <w:pStyle w:val="Normal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</w:rPr>
        <w:t>Local exato da instalação (coordenadas ou croqui);</w:t>
      </w:r>
    </w:p>
    <w:p w14:paraId="7CFD3AEB" w14:textId="77777777" w:rsidR="002B5E6E" w:rsidRPr="00ED2A21" w:rsidRDefault="002B5E6E" w:rsidP="00ED2A21">
      <w:pPr>
        <w:pStyle w:val="Normal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</w:rPr>
        <w:t>Data e horário limite para entrega e retirada;</w:t>
      </w:r>
    </w:p>
    <w:p w14:paraId="19CA39B1" w14:textId="77777777" w:rsidR="002B5E6E" w:rsidRPr="00ED2A21" w:rsidRDefault="002B5E6E" w:rsidP="00ED2A21">
      <w:pPr>
        <w:pStyle w:val="Normal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</w:rPr>
        <w:t>Quantitativo de unidades convencionais e PNE;</w:t>
      </w:r>
    </w:p>
    <w:p w14:paraId="7E13F990" w14:textId="77777777" w:rsidR="002B5E6E" w:rsidRPr="00ED2A21" w:rsidRDefault="002B5E6E" w:rsidP="00ED2A21">
      <w:pPr>
        <w:pStyle w:val="NormalWeb"/>
        <w:numPr>
          <w:ilvl w:val="0"/>
          <w:numId w:val="2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</w:rPr>
        <w:t>Periodicidade da higienização (se diária ou em horários específicos de alta rotatividade).</w:t>
      </w:r>
    </w:p>
    <w:p w14:paraId="5F5A0757" w14:textId="77777777" w:rsidR="002B5E6E" w:rsidRPr="00ED2A21" w:rsidRDefault="002B5E6E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10.3. Mapeamento de Pontos de Instalação e Abastecimento:</w:t>
      </w:r>
    </w:p>
    <w:p w14:paraId="1BD88287" w14:textId="712246E8" w:rsidR="002B5E6E" w:rsidRPr="00ED2A21" w:rsidRDefault="002B5E6E" w:rsidP="00ED2A21">
      <w:pPr>
        <w:pStyle w:val="NormalWeb"/>
        <w:numPr>
          <w:ilvl w:val="0"/>
          <w:numId w:val="25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Logística de Vácuo:</w:t>
      </w:r>
      <w:r w:rsidRPr="00ED2A21">
        <w:rPr>
          <w:rFonts w:ascii="Arial" w:hAnsi="Arial" w:cs="Arial"/>
        </w:rPr>
        <w:t xml:space="preserve"> A Secretaria de Turismo e de Governo deverão mapear antecipadamente os locais de eventos para garantir que o caminhão vácuo da contratada tenha acesso às cabines mesmo durante o evento, se necessário.</w:t>
      </w:r>
    </w:p>
    <w:p w14:paraId="5C143A6D" w14:textId="77777777" w:rsidR="002B5E6E" w:rsidRPr="00ED2A21" w:rsidRDefault="002B5E6E" w:rsidP="00ED2A21">
      <w:pPr>
        <w:pStyle w:val="NormalWeb"/>
        <w:numPr>
          <w:ilvl w:val="0"/>
          <w:numId w:val="25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Pontos de Descarte:</w:t>
      </w:r>
      <w:r w:rsidRPr="00ED2A21">
        <w:rPr>
          <w:rFonts w:ascii="Arial" w:hAnsi="Arial" w:cs="Arial"/>
        </w:rPr>
        <w:t xml:space="preserve"> A Secretaria de Meio Ambiente deverá ser consultada para validar se a empresa contratada possui cadastro ativo para o transporte de resíduos no município, evitando embargos ambientais.</w:t>
      </w:r>
    </w:p>
    <w:p w14:paraId="0F124915" w14:textId="77777777" w:rsidR="002B5E6E" w:rsidRPr="00ED2A21" w:rsidRDefault="002B5E6E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10.4. Reunião de Alinhamento (</w:t>
      </w:r>
      <w:proofErr w:type="spellStart"/>
      <w:r w:rsidRPr="00ED2A21">
        <w:rPr>
          <w:rFonts w:ascii="Arial" w:hAnsi="Arial" w:cs="Arial"/>
          <w:b/>
          <w:bCs/>
        </w:rPr>
        <w:t>Kick</w:t>
      </w:r>
      <w:proofErr w:type="spellEnd"/>
      <w:r w:rsidRPr="00ED2A21">
        <w:rPr>
          <w:rFonts w:ascii="Arial" w:hAnsi="Arial" w:cs="Arial"/>
          <w:b/>
          <w:bCs/>
        </w:rPr>
        <w:t>-off):</w:t>
      </w:r>
      <w:r w:rsidRPr="00ED2A21">
        <w:rPr>
          <w:rFonts w:ascii="Arial" w:hAnsi="Arial" w:cs="Arial"/>
        </w:rPr>
        <w:t xml:space="preserve"> Após a homologação, será realizada uma reunião técnica com a empresa vencedora para alinhar as expectativas de </w:t>
      </w:r>
      <w:r w:rsidRPr="00ED2A21">
        <w:rPr>
          <w:rFonts w:ascii="Arial" w:hAnsi="Arial" w:cs="Arial"/>
        </w:rPr>
        <w:lastRenderedPageBreak/>
        <w:t>atendimento das três secretarias, reforçando a prioridade absoluta para as normas de acessibilidade (PCD) e a qualidade dos produtos químicos utilizados, visando mitigar o risco de mau cheiro em eventos oficiais.</w:t>
      </w:r>
    </w:p>
    <w:p w14:paraId="1845A81B" w14:textId="77777777" w:rsidR="00D11719" w:rsidRPr="00ED2A21" w:rsidRDefault="00D11719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0F92881F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  <w:shd w:val="clear" w:color="auto" w:fill="FFFFFF"/>
        </w:rPr>
      </w:pPr>
      <w:r w:rsidRPr="00ED2A21">
        <w:rPr>
          <w:rFonts w:ascii="Arial" w:hAnsi="Arial" w:cs="Arial"/>
        </w:rPr>
        <w:t>CONTRATAÇÕES CORRELATAS / INTERDEPENDENTES (Art. 18. § 1º, Inciso XI)</w:t>
      </w:r>
    </w:p>
    <w:p w14:paraId="037CCF5A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3569CAEB" w14:textId="77777777" w:rsidR="00ED2A21" w:rsidRPr="00ED2A21" w:rsidRDefault="00ED2A21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sz w:val="24"/>
          <w:szCs w:val="24"/>
        </w:rPr>
        <w:t>A análise técnica identificou que a eficácia da presente contratação possui relação de interdependência com as seguintes frentes:</w:t>
      </w:r>
    </w:p>
    <w:p w14:paraId="369A5F6E" w14:textId="47AFE424" w:rsidR="00ED2A21" w:rsidRPr="00ED2A21" w:rsidRDefault="00ED2A21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</w:t>
      </w:r>
      <w:r w:rsidRPr="00ED2A21">
        <w:rPr>
          <w:rFonts w:ascii="Arial" w:hAnsi="Arial" w:cs="Arial"/>
          <w:b/>
          <w:bCs/>
          <w:sz w:val="24"/>
          <w:szCs w:val="24"/>
        </w:rPr>
        <w:t>.1. Contratações Correlatas (Serviços Complementares):</w:t>
      </w:r>
    </w:p>
    <w:p w14:paraId="5B4BD26E" w14:textId="41D01FCE" w:rsidR="00ED2A21" w:rsidRPr="00ED2A21" w:rsidRDefault="00ED2A21" w:rsidP="00ED2A21">
      <w:pPr>
        <w:pStyle w:val="PargrafodaLista"/>
        <w:numPr>
          <w:ilvl w:val="0"/>
          <w:numId w:val="26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b/>
          <w:bCs/>
          <w:sz w:val="24"/>
          <w:szCs w:val="24"/>
        </w:rPr>
        <w:t>Locação de Tendas e Estruturas:</w:t>
      </w:r>
      <w:r w:rsidRPr="00ED2A21">
        <w:rPr>
          <w:rFonts w:ascii="Arial" w:hAnsi="Arial" w:cs="Arial"/>
          <w:sz w:val="24"/>
          <w:szCs w:val="24"/>
        </w:rPr>
        <w:t xml:space="preserve"> Existe uma correlação direta entre a instalação dos banheiros e a montagem das tendas e palcos. A disposição dos banheiros deve seguir o layout do evento para garantir que não fiquem isolados, mas também não fiquem em áreas de alimentação.</w:t>
      </w:r>
    </w:p>
    <w:p w14:paraId="06D4AD24" w14:textId="77777777" w:rsidR="00ED2A21" w:rsidRPr="00ED2A21" w:rsidRDefault="00ED2A21" w:rsidP="00ED2A21">
      <w:pPr>
        <w:pStyle w:val="PargrafodaLista"/>
        <w:numPr>
          <w:ilvl w:val="0"/>
          <w:numId w:val="26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b/>
          <w:bCs/>
          <w:sz w:val="24"/>
          <w:szCs w:val="24"/>
        </w:rPr>
        <w:t>Segurança e Vigilância Patrimonial:</w:t>
      </w:r>
      <w:r w:rsidRPr="00ED2A21">
        <w:rPr>
          <w:rFonts w:ascii="Arial" w:hAnsi="Arial" w:cs="Arial"/>
          <w:sz w:val="24"/>
          <w:szCs w:val="24"/>
        </w:rPr>
        <w:t xml:space="preserve"> Os banheiros químicos são bens da contratada, mas ficam sob guarda em espaços públicos durante os eventos. A coordenação com as equipes de segurança é necessária para evitar atos de vandalismo ou uso indevido durante o período noturno em eventos de múltiplos dias.</w:t>
      </w:r>
    </w:p>
    <w:p w14:paraId="2802F620" w14:textId="77777777" w:rsidR="00ED2A21" w:rsidRPr="00ED2A21" w:rsidRDefault="00ED2A21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b/>
          <w:bCs/>
          <w:sz w:val="24"/>
          <w:szCs w:val="24"/>
        </w:rPr>
        <w:t>11.2. Interdependências Operacionais:</w:t>
      </w:r>
    </w:p>
    <w:p w14:paraId="14A8FE5F" w14:textId="77777777" w:rsidR="00ED2A21" w:rsidRPr="00ED2A21" w:rsidRDefault="00ED2A21" w:rsidP="00ED2A21">
      <w:pPr>
        <w:pStyle w:val="PargrafodaLista"/>
        <w:numPr>
          <w:ilvl w:val="0"/>
          <w:numId w:val="27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b/>
          <w:bCs/>
          <w:sz w:val="24"/>
          <w:szCs w:val="24"/>
        </w:rPr>
        <w:t>Gestão de Resíduos Sólidos (Meio Ambiente):</w:t>
      </w:r>
      <w:r w:rsidRPr="00ED2A21">
        <w:rPr>
          <w:rFonts w:ascii="Arial" w:hAnsi="Arial" w:cs="Arial"/>
          <w:sz w:val="24"/>
          <w:szCs w:val="24"/>
        </w:rPr>
        <w:t xml:space="preserve"> Embora a contratada seja responsável pelos resíduos biológicos (líquidos), a geração de resíduos sólidos (papéis toalha e embalagens) nos arredores das cabines gera uma interdependência com o serviço de limpeza pública municipal ou empresa de coleta de lixo, que deverá atuar de forma coordenada para manter o entorno limpo.</w:t>
      </w:r>
    </w:p>
    <w:p w14:paraId="742BFFBD" w14:textId="77777777" w:rsidR="00ED2A21" w:rsidRPr="00ED2A21" w:rsidRDefault="00ED2A21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b/>
          <w:bCs/>
          <w:sz w:val="24"/>
          <w:szCs w:val="24"/>
        </w:rPr>
        <w:t>11.3. Conclusão sobre a Autonomia da Solução:</w:t>
      </w:r>
      <w:r w:rsidRPr="00ED2A21">
        <w:rPr>
          <w:rFonts w:ascii="Arial" w:hAnsi="Arial" w:cs="Arial"/>
          <w:sz w:val="24"/>
          <w:szCs w:val="24"/>
        </w:rPr>
        <w:t xml:space="preserve"> A solução de locação de banheiros químicos foi desenhada para ser autossuficiente. A contratada deve dispor de todos os meios (caminhão vácuo, suprimentos e transporte) para executar o objeto sem depender de intervenções diretas da Prefeitura, exceto pela indicação dos locais de instalação e garantia de livre acesso aos veículos de manutenção.</w:t>
      </w:r>
    </w:p>
    <w:p w14:paraId="2AB912F3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1918BED5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IMPACTOS AMBIENTAIS E MEDIDAS DE TRATAMENTO (Art. 18. § 1º , Inciso XII)</w:t>
      </w:r>
    </w:p>
    <w:p w14:paraId="655DC0F3" w14:textId="77777777" w:rsidR="005F7AAE" w:rsidRPr="00ED2A21" w:rsidRDefault="005F7AAE" w:rsidP="00ED2A21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07C52CA" w14:textId="77777777" w:rsidR="00ED2A21" w:rsidRPr="00ED2A21" w:rsidRDefault="00ED2A21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sz w:val="24"/>
          <w:szCs w:val="24"/>
          <w:shd w:val="clear" w:color="auto" w:fill="FFFFFF"/>
        </w:rPr>
        <w:t>A solução proposta interage diretamente com o meio ambiente, exigindo controles rigorosos sobre a geração, transporte e destinação final de resíduos.</w:t>
      </w:r>
    </w:p>
    <w:p w14:paraId="5C80DB6F" w14:textId="52410D42" w:rsidR="00ED2A21" w:rsidRPr="00ED2A21" w:rsidRDefault="00ED2A21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11</w:t>
      </w: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.1. Identificação de Impactos Potenciais:</w:t>
      </w:r>
    </w:p>
    <w:p w14:paraId="566F192C" w14:textId="77777777" w:rsidR="00ED2A21" w:rsidRPr="00ED2A21" w:rsidRDefault="00ED2A21" w:rsidP="00ED2A21">
      <w:pPr>
        <w:pStyle w:val="PargrafodaLista"/>
        <w:numPr>
          <w:ilvl w:val="0"/>
          <w:numId w:val="28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Geração de Resíduos Biológicos: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Acúmulo de dejetos humanos nas cabines durante os eventos.</w:t>
      </w:r>
    </w:p>
    <w:p w14:paraId="7F25A3BE" w14:textId="77777777" w:rsidR="00ED2A21" w:rsidRPr="00ED2A21" w:rsidRDefault="00ED2A21" w:rsidP="00ED2A21">
      <w:pPr>
        <w:pStyle w:val="PargrafodaLista"/>
        <w:numPr>
          <w:ilvl w:val="0"/>
          <w:numId w:val="28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lastRenderedPageBreak/>
        <w:t>Risco de Contaminação do Solo/Água: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Possibilidade de vazamentos por fissuras nas cabines ou transbordo por falta de manutenção.</w:t>
      </w:r>
    </w:p>
    <w:p w14:paraId="6207AC67" w14:textId="77777777" w:rsidR="00ED2A21" w:rsidRPr="00ED2A21" w:rsidRDefault="00ED2A21" w:rsidP="00ED2A21">
      <w:pPr>
        <w:pStyle w:val="PargrafodaLista"/>
        <w:numPr>
          <w:ilvl w:val="0"/>
          <w:numId w:val="28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Poluição por Odores: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Impacto na qualidade do ar e no bem-estar dos cidadãos e visitantes.</w:t>
      </w:r>
    </w:p>
    <w:p w14:paraId="5B6DD956" w14:textId="77777777" w:rsidR="00ED2A21" w:rsidRPr="00ED2A21" w:rsidRDefault="00ED2A21" w:rsidP="00ED2A21">
      <w:pPr>
        <w:pStyle w:val="PargrafodaLista"/>
        <w:numPr>
          <w:ilvl w:val="0"/>
          <w:numId w:val="28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Uso de Produtos Químicos: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Utilização de substâncias para desodorização e desinfecção.</w:t>
      </w:r>
    </w:p>
    <w:p w14:paraId="2037A3FE" w14:textId="28D3FB29" w:rsidR="00ED2A21" w:rsidRPr="00ED2A21" w:rsidRDefault="00ED2A21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11</w:t>
      </w: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.2. Medidas de Tratamento e Mitigação:</w:t>
      </w:r>
    </w:p>
    <w:p w14:paraId="119B0265" w14:textId="77777777" w:rsidR="00ED2A21" w:rsidRPr="00ED2A21" w:rsidRDefault="00ED2A21" w:rsidP="00ED2A21">
      <w:pPr>
        <w:pStyle w:val="PargrafodaLista"/>
        <w:numPr>
          <w:ilvl w:val="0"/>
          <w:numId w:val="29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Uso de Produtos Biodegradáveis: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É obrigatória a utilização de soluções químicas (desinfetantes/bactericidas) de alto rendimento que sejam </w:t>
      </w: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100% biodegradáveis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>, visando facilitar o tratamento posterior na ETE e reduzir o impacto ambiental.</w:t>
      </w:r>
    </w:p>
    <w:p w14:paraId="02B79C3C" w14:textId="77777777" w:rsidR="00ED2A21" w:rsidRPr="00ED2A21" w:rsidRDefault="00ED2A21" w:rsidP="00ED2A21">
      <w:pPr>
        <w:pStyle w:val="PargrafodaLista"/>
        <w:numPr>
          <w:ilvl w:val="0"/>
          <w:numId w:val="29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Integridade dos Equipamentos: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As cabines devem ser fabricadas em polietileno de alta densidade, sem emendas no tanque de recepção, garantindo estanqueidade total e evitando vazamentos no solo.</w:t>
      </w:r>
    </w:p>
    <w:p w14:paraId="58F15E78" w14:textId="77777777" w:rsidR="00ED2A21" w:rsidRPr="00ED2A21" w:rsidRDefault="00ED2A21" w:rsidP="00ED2A21">
      <w:pPr>
        <w:pStyle w:val="PargrafodaLista"/>
        <w:numPr>
          <w:ilvl w:val="0"/>
          <w:numId w:val="29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Logística de Sucção: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A manutenção deve ser realizada por caminhão vácuo-absorvedor equipado com mangueiras vedadas, impedindo o derramamento de efluentes em via pública durante a operação de limpeza.</w:t>
      </w:r>
    </w:p>
    <w:p w14:paraId="3EC21609" w14:textId="77777777" w:rsidR="00ED2A21" w:rsidRPr="00ED2A21" w:rsidRDefault="00ED2A21" w:rsidP="00ED2A21">
      <w:pPr>
        <w:pStyle w:val="PargrafodaLista"/>
        <w:numPr>
          <w:ilvl w:val="0"/>
          <w:numId w:val="29"/>
        </w:numPr>
        <w:spacing w:after="0"/>
        <w:ind w:left="0" w:firstLine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Acessibilidade Ambiental: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 xml:space="preserve"> No </w:t>
      </w:r>
      <w:r w:rsidRPr="00ED2A21">
        <w:rPr>
          <w:rFonts w:ascii="Arial" w:hAnsi="Arial" w:cs="Arial"/>
          <w:b/>
          <w:bCs/>
          <w:sz w:val="24"/>
          <w:szCs w:val="24"/>
          <w:shd w:val="clear" w:color="auto" w:fill="FFFFFF"/>
        </w:rPr>
        <w:t>Item 2 (PCD)</w:t>
      </w:r>
      <w:r w:rsidRPr="00ED2A21">
        <w:rPr>
          <w:rFonts w:ascii="Arial" w:hAnsi="Arial" w:cs="Arial"/>
          <w:sz w:val="24"/>
          <w:szCs w:val="24"/>
          <w:shd w:val="clear" w:color="auto" w:fill="FFFFFF"/>
        </w:rPr>
        <w:t>, o nivelamento deve garantir que não haja necessidade de escavações ou alterações no terreno natural para a instalação das rampas.</w:t>
      </w:r>
    </w:p>
    <w:p w14:paraId="55977DDD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2FC469D1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D2A21">
        <w:rPr>
          <w:rFonts w:ascii="Arial" w:hAnsi="Arial" w:cs="Arial"/>
        </w:rPr>
        <w:t>DEMONSTRATIVO DOS RESULTADOS (Art. 18. § 1º, Inciso IX)</w:t>
      </w:r>
    </w:p>
    <w:p w14:paraId="1D1C4B4C" w14:textId="77777777" w:rsidR="005F7AAE" w:rsidRPr="00ED2A21" w:rsidRDefault="005F7AAE" w:rsidP="00ED2A21">
      <w:pPr>
        <w:pStyle w:val="PargrafodaLista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14:paraId="10591AB5" w14:textId="77777777" w:rsidR="00C23A46" w:rsidRPr="00ED2A21" w:rsidRDefault="00C23A46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</w:rPr>
        <w:t>A contratação, formalizada por meio do Sistema de Registro de Preços, visa alcançar resultados diretos e indiretos que justificam o interesse público e a viabilidade da solução escolhida:</w:t>
      </w:r>
    </w:p>
    <w:p w14:paraId="47CAA691" w14:textId="77777777" w:rsidR="00C23A46" w:rsidRPr="00ED2A21" w:rsidRDefault="00C23A46" w:rsidP="00ED2A2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45623B30" w14:textId="77777777" w:rsidR="00C23A46" w:rsidRPr="00ED2A21" w:rsidRDefault="00C23A46" w:rsidP="00ED2A21">
      <w:pPr>
        <w:pStyle w:val="Ttulo4"/>
        <w:spacing w:before="0" w:line="276" w:lineRule="auto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ED2A21">
        <w:rPr>
          <w:rFonts w:ascii="Arial" w:hAnsi="Arial" w:cs="Arial"/>
          <w:b w:val="0"/>
          <w:color w:val="auto"/>
          <w:sz w:val="24"/>
          <w:szCs w:val="24"/>
        </w:rPr>
        <w:t>A) Resultados Diretos (Melhoria na Gestão e Economia):</w:t>
      </w:r>
    </w:p>
    <w:p w14:paraId="64858B6F" w14:textId="7B6E1F9D" w:rsidR="00C23A46" w:rsidRPr="00ED2A21" w:rsidRDefault="00C23A46" w:rsidP="00ED2A21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Garantia da Disponibilidade Imediata:</w:t>
      </w:r>
      <w:r w:rsidRPr="00ED2A21">
        <w:rPr>
          <w:rFonts w:ascii="Arial" w:hAnsi="Arial" w:cs="Arial"/>
        </w:rPr>
        <w:t xml:space="preserve"> A Ata de Registro de Preços assegura a disponibilidade contínua de fornecedores e estruturas (</w:t>
      </w:r>
      <w:r w:rsidR="00ED2A21">
        <w:rPr>
          <w:rFonts w:ascii="Arial" w:hAnsi="Arial" w:cs="Arial"/>
        </w:rPr>
        <w:t>banheiros químicos</w:t>
      </w:r>
      <w:r w:rsidRPr="00ED2A21">
        <w:rPr>
          <w:rFonts w:ascii="Arial" w:hAnsi="Arial" w:cs="Arial"/>
        </w:rPr>
        <w:t>) eliminando a incerteza e o risco de desabastecimento em datas de eventos críticos.</w:t>
      </w:r>
    </w:p>
    <w:p w14:paraId="724309D9" w14:textId="60CAADAA" w:rsidR="00C23A46" w:rsidRPr="00ED2A21" w:rsidRDefault="00C23A46" w:rsidP="00ED2A21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Otimização de Custos e Economia Processual:</w:t>
      </w:r>
      <w:r w:rsidRPr="00ED2A21">
        <w:rPr>
          <w:rFonts w:ascii="Arial" w:hAnsi="Arial" w:cs="Arial"/>
        </w:rPr>
        <w:t xml:space="preserve"> A modalidade de Registro de Preços substitui a necessidade de múltiplas licitações pontuais ou de processos de dispensa de licitação. Tal centralização reduz os custos administrativos e operacionais </w:t>
      </w:r>
      <w:r w:rsidR="004F3817">
        <w:rPr>
          <w:rFonts w:ascii="Arial" w:hAnsi="Arial" w:cs="Arial"/>
        </w:rPr>
        <w:t>dos</w:t>
      </w:r>
      <w:r w:rsidRPr="00ED2A21">
        <w:rPr>
          <w:rFonts w:ascii="Arial" w:hAnsi="Arial" w:cs="Arial"/>
        </w:rPr>
        <w:t xml:space="preserve"> órgãos requisitantes com a elaboração de processos licitatórios repetitivos.</w:t>
      </w:r>
    </w:p>
    <w:p w14:paraId="4C70565C" w14:textId="77777777" w:rsidR="0005212C" w:rsidRPr="00ED2A21" w:rsidRDefault="0005212C" w:rsidP="00ED2A21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Arial" w:hAnsi="Arial" w:cs="Arial"/>
        </w:rPr>
      </w:pPr>
    </w:p>
    <w:p w14:paraId="2418D592" w14:textId="3A06BBCA" w:rsidR="00C23A46" w:rsidRPr="00ED2A21" w:rsidRDefault="00C23A46" w:rsidP="00ED2A21">
      <w:pPr>
        <w:pStyle w:val="Ttulo4"/>
        <w:tabs>
          <w:tab w:val="left" w:pos="6948"/>
        </w:tabs>
        <w:spacing w:before="0" w:line="276" w:lineRule="auto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ED2A21">
        <w:rPr>
          <w:rFonts w:ascii="Arial" w:hAnsi="Arial" w:cs="Arial"/>
          <w:b w:val="0"/>
          <w:color w:val="auto"/>
          <w:sz w:val="24"/>
          <w:szCs w:val="24"/>
        </w:rPr>
        <w:t>B) Resultados Indiretos (Institucionais):</w:t>
      </w:r>
      <w:r w:rsidR="0005212C" w:rsidRPr="00ED2A21">
        <w:rPr>
          <w:rFonts w:ascii="Arial" w:hAnsi="Arial" w:cs="Arial"/>
          <w:b w:val="0"/>
          <w:color w:val="auto"/>
          <w:sz w:val="24"/>
          <w:szCs w:val="24"/>
        </w:rPr>
        <w:tab/>
      </w:r>
    </w:p>
    <w:p w14:paraId="67C61AE7" w14:textId="5A7547A5" w:rsidR="00C23A46" w:rsidRPr="00ED2A21" w:rsidRDefault="00C23A46" w:rsidP="00ED2A21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D2A21">
        <w:rPr>
          <w:rFonts w:ascii="Arial" w:hAnsi="Arial" w:cs="Arial"/>
          <w:b/>
          <w:bCs/>
        </w:rPr>
        <w:t>Fortalecimento da Imagem Institucional:</w:t>
      </w:r>
      <w:r w:rsidRPr="00ED2A21">
        <w:rPr>
          <w:rFonts w:ascii="Arial" w:hAnsi="Arial" w:cs="Arial"/>
        </w:rPr>
        <w:t xml:space="preserve"> O uso de estruturas, padronizadas e de qualidade superior em todos os eventos listados na Lei </w:t>
      </w:r>
      <w:r w:rsidRPr="00ED2A21">
        <w:rPr>
          <w:rFonts w:ascii="Arial" w:hAnsi="Arial" w:cs="Arial"/>
        </w:rPr>
        <w:lastRenderedPageBreak/>
        <w:t>Municipal Ordinária Nº 3.045/2025 projeta uma imagem de profissionalismo, organização e seriedade do Governo Municipal, valorizando as celebrações e ações públicas.</w:t>
      </w:r>
    </w:p>
    <w:p w14:paraId="719C0DA4" w14:textId="77777777" w:rsidR="0005212C" w:rsidRPr="00ED2A21" w:rsidRDefault="0005212C" w:rsidP="00ED2A21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Arial" w:hAnsi="Arial" w:cs="Arial"/>
        </w:rPr>
      </w:pPr>
    </w:p>
    <w:p w14:paraId="579D10A0" w14:textId="77777777" w:rsidR="005F7AAE" w:rsidRPr="00ED2A21" w:rsidRDefault="005F7AAE" w:rsidP="00ED2A21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F93B0C7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  <w:bCs/>
        </w:rPr>
      </w:pPr>
      <w:r w:rsidRPr="00ED2A21">
        <w:rPr>
          <w:rFonts w:ascii="Arial" w:hAnsi="Arial" w:cs="Arial"/>
          <w:bCs/>
        </w:rPr>
        <w:t>DECLARAÇÃO DA VIABILIDADE OU NÃO DA CONTRATAÇÃO (Art. 18. § 1º, Inciso XIII) - Obrigatório</w:t>
      </w:r>
    </w:p>
    <w:p w14:paraId="12AA7ACE" w14:textId="77777777" w:rsidR="0005212C" w:rsidRPr="00ED2A21" w:rsidRDefault="0005212C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FBCBC23" w14:textId="4D8963AA" w:rsidR="0005212C" w:rsidRPr="00ED2A21" w:rsidRDefault="002B5E6E" w:rsidP="00ED2A21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D2A21">
        <w:rPr>
          <w:rFonts w:ascii="Arial" w:eastAsia="Times New Roman" w:hAnsi="Arial" w:cs="Arial"/>
          <w:sz w:val="24"/>
          <w:szCs w:val="24"/>
          <w:lang w:eastAsia="pt-BR"/>
        </w:rPr>
        <w:t xml:space="preserve">Com base nos estudos realizados, a contratação de empresa para locação de banheiros químicos (convencionais e PCD), incluindo todos os serviços de manutenção, transporte e higienização, mostra-se </w:t>
      </w:r>
      <w:r w:rsidRPr="00ED2A2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TÉCNICA E ECONOMICAMENTE VIÁVEL</w:t>
      </w:r>
      <w:r w:rsidRPr="00ED2A21">
        <w:rPr>
          <w:rFonts w:ascii="Arial" w:eastAsia="Times New Roman" w:hAnsi="Arial" w:cs="Arial"/>
          <w:sz w:val="24"/>
          <w:szCs w:val="24"/>
          <w:lang w:eastAsia="pt-BR"/>
        </w:rPr>
        <w:t>. A solução integrada mitiga riscos sanitários e ambientais, aproveita a expertise do mercado privado e garante que as Secretarias de Governo, Turismo e Educação foquem em suas atividades-fim, assegurando a qualidade dos eventos previstos na Lei Municipal nº 3.045/2025.</w:t>
      </w:r>
    </w:p>
    <w:p w14:paraId="7EA56872" w14:textId="77777777" w:rsidR="005F7AAE" w:rsidRPr="00ED2A21" w:rsidRDefault="005F7AAE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AA4D5AD" w14:textId="77777777" w:rsidR="005F7AAE" w:rsidRPr="00ED2A21" w:rsidRDefault="00C23A46" w:rsidP="00ED2A21">
      <w:pPr>
        <w:pStyle w:val="Ttulo1"/>
        <w:numPr>
          <w:ilvl w:val="0"/>
          <w:numId w:val="1"/>
        </w:numPr>
        <w:ind w:left="0" w:firstLine="0"/>
        <w:rPr>
          <w:rFonts w:ascii="Arial" w:hAnsi="Arial" w:cs="Arial"/>
          <w:bCs/>
        </w:rPr>
      </w:pPr>
      <w:r w:rsidRPr="00ED2A21">
        <w:rPr>
          <w:rFonts w:ascii="Arial" w:hAnsi="Arial" w:cs="Arial"/>
          <w:bCs/>
        </w:rPr>
        <w:t xml:space="preserve">NOME E ASSINATURAS PROFISSIONAIS ENVOLVIDOS NA ELABORAÇÃO do ETP: </w:t>
      </w:r>
    </w:p>
    <w:p w14:paraId="10A615DB" w14:textId="77777777" w:rsidR="005F7AAE" w:rsidRPr="00ED2A21" w:rsidRDefault="005F7AAE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EA13B63" w14:textId="5D40AAF2" w:rsidR="005F7AAE" w:rsidRPr="00ED2A21" w:rsidRDefault="00C23A46" w:rsidP="00ED2A2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sz w:val="24"/>
          <w:szCs w:val="24"/>
        </w:rPr>
        <w:t>Jaguariaíva</w:t>
      </w:r>
      <w:r w:rsidR="00E243AB" w:rsidRPr="00ED2A21">
        <w:rPr>
          <w:rFonts w:ascii="Arial" w:hAnsi="Arial" w:cs="Arial"/>
          <w:sz w:val="24"/>
          <w:szCs w:val="24"/>
        </w:rPr>
        <w:t>/PR</w:t>
      </w:r>
      <w:r w:rsidRPr="00ED2A21">
        <w:rPr>
          <w:rFonts w:ascii="Arial" w:hAnsi="Arial" w:cs="Arial"/>
          <w:sz w:val="24"/>
          <w:szCs w:val="24"/>
        </w:rPr>
        <w:t xml:space="preserve"> em, </w:t>
      </w:r>
      <w:r w:rsidR="004F3817">
        <w:rPr>
          <w:rFonts w:ascii="Arial" w:hAnsi="Arial" w:cs="Arial"/>
          <w:sz w:val="24"/>
          <w:szCs w:val="24"/>
        </w:rPr>
        <w:t>24</w:t>
      </w:r>
      <w:r w:rsidR="00A148E6" w:rsidRPr="00ED2A21">
        <w:rPr>
          <w:rFonts w:ascii="Arial" w:hAnsi="Arial" w:cs="Arial"/>
          <w:sz w:val="24"/>
          <w:szCs w:val="24"/>
        </w:rPr>
        <w:t xml:space="preserve"> de março de 2026</w:t>
      </w:r>
      <w:r w:rsidRPr="00ED2A21">
        <w:rPr>
          <w:rFonts w:ascii="Arial" w:hAnsi="Arial" w:cs="Arial"/>
          <w:sz w:val="24"/>
          <w:szCs w:val="24"/>
        </w:rPr>
        <w:t>.</w:t>
      </w:r>
    </w:p>
    <w:p w14:paraId="1A703416" w14:textId="77777777" w:rsidR="005F7AAE" w:rsidRPr="00ED2A21" w:rsidRDefault="005F7AAE" w:rsidP="00ED2A21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D8AF1C7" w14:textId="77777777" w:rsidR="005F7AAE" w:rsidRPr="00ED2A21" w:rsidRDefault="005F7AAE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4D2CFDC" w14:textId="725982AE" w:rsidR="00D55D0D" w:rsidRPr="00ED2A21" w:rsidRDefault="00D55D0D" w:rsidP="00ED2A21">
      <w:pPr>
        <w:pStyle w:val="PargrafodaLista"/>
        <w:widowControl w:val="0"/>
        <w:autoSpaceDE w:val="0"/>
        <w:autoSpaceDN w:val="0"/>
        <w:spacing w:after="0"/>
        <w:ind w:left="0"/>
        <w:contextualSpacing w:val="0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ED2A21">
        <w:rPr>
          <w:rFonts w:ascii="Arial" w:hAnsi="Arial" w:cs="Arial"/>
          <w:bCs/>
          <w:i/>
          <w:iCs/>
          <w:sz w:val="24"/>
          <w:szCs w:val="24"/>
        </w:rPr>
        <w:t>Responsáve</w:t>
      </w:r>
      <w:r w:rsidR="004F3817">
        <w:rPr>
          <w:rFonts w:ascii="Arial" w:hAnsi="Arial" w:cs="Arial"/>
          <w:bCs/>
          <w:i/>
          <w:iCs/>
          <w:sz w:val="24"/>
          <w:szCs w:val="24"/>
        </w:rPr>
        <w:t>l</w:t>
      </w:r>
      <w:r w:rsidRPr="00ED2A21">
        <w:rPr>
          <w:rFonts w:ascii="Arial" w:hAnsi="Arial" w:cs="Arial"/>
          <w:bCs/>
          <w:i/>
          <w:iCs/>
          <w:sz w:val="24"/>
          <w:szCs w:val="24"/>
        </w:rPr>
        <w:t xml:space="preserve"> pela Elaboração:</w:t>
      </w:r>
    </w:p>
    <w:p w14:paraId="067D060A" w14:textId="77777777" w:rsidR="00D55D0D" w:rsidRPr="00ED2A21" w:rsidRDefault="00D55D0D" w:rsidP="00ED2A21">
      <w:pPr>
        <w:pStyle w:val="PargrafodaLista"/>
        <w:widowControl w:val="0"/>
        <w:autoSpaceDE w:val="0"/>
        <w:autoSpaceDN w:val="0"/>
        <w:spacing w:after="0"/>
        <w:ind w:left="0"/>
        <w:contextualSpacing w:val="0"/>
        <w:jc w:val="both"/>
        <w:rPr>
          <w:rFonts w:ascii="Arial" w:hAnsi="Arial" w:cs="Arial"/>
          <w:bCs/>
          <w:sz w:val="24"/>
          <w:szCs w:val="24"/>
        </w:rPr>
      </w:pPr>
    </w:p>
    <w:p w14:paraId="055D5C51" w14:textId="77777777" w:rsidR="00D55D0D" w:rsidRPr="00ED2A21" w:rsidRDefault="00D55D0D" w:rsidP="00ED2A21">
      <w:pPr>
        <w:pStyle w:val="PargrafodaLista"/>
        <w:widowControl w:val="0"/>
        <w:autoSpaceDE w:val="0"/>
        <w:autoSpaceDN w:val="0"/>
        <w:spacing w:after="0"/>
        <w:ind w:left="0"/>
        <w:contextualSpacing w:val="0"/>
        <w:jc w:val="both"/>
        <w:rPr>
          <w:rFonts w:ascii="Arial" w:hAnsi="Arial" w:cs="Arial"/>
          <w:bCs/>
          <w:sz w:val="24"/>
          <w:szCs w:val="24"/>
        </w:rPr>
      </w:pPr>
    </w:p>
    <w:p w14:paraId="69AB491E" w14:textId="77777777" w:rsidR="00D55D0D" w:rsidRPr="00ED2A21" w:rsidRDefault="00D55D0D" w:rsidP="00ED2A21">
      <w:pPr>
        <w:pStyle w:val="PargrafodaLista"/>
        <w:widowControl w:val="0"/>
        <w:autoSpaceDE w:val="0"/>
        <w:autoSpaceDN w:val="0"/>
        <w:spacing w:after="0"/>
        <w:ind w:left="0"/>
        <w:contextualSpacing w:val="0"/>
        <w:jc w:val="center"/>
        <w:rPr>
          <w:rFonts w:ascii="Arial" w:hAnsi="Arial" w:cs="Arial"/>
          <w:bCs/>
          <w:sz w:val="24"/>
          <w:szCs w:val="24"/>
        </w:rPr>
      </w:pPr>
    </w:p>
    <w:p w14:paraId="6B20FEDA" w14:textId="77777777" w:rsidR="00D55D0D" w:rsidRPr="00ED2A21" w:rsidRDefault="00D55D0D" w:rsidP="00ED2A21">
      <w:pPr>
        <w:pStyle w:val="PargrafodaLista"/>
        <w:widowControl w:val="0"/>
        <w:autoSpaceDE w:val="0"/>
        <w:autoSpaceDN w:val="0"/>
        <w:spacing w:after="0"/>
        <w:ind w:left="0"/>
        <w:contextualSpacing w:val="0"/>
        <w:jc w:val="center"/>
        <w:rPr>
          <w:rFonts w:ascii="Arial" w:hAnsi="Arial" w:cs="Arial"/>
          <w:b/>
          <w:sz w:val="24"/>
          <w:szCs w:val="24"/>
        </w:rPr>
      </w:pPr>
      <w:r w:rsidRPr="00ED2A21">
        <w:rPr>
          <w:rFonts w:ascii="Arial" w:hAnsi="Arial" w:cs="Arial"/>
          <w:b/>
          <w:sz w:val="24"/>
          <w:szCs w:val="24"/>
        </w:rPr>
        <w:t>Marcílio Araújo Motta Junior</w:t>
      </w:r>
    </w:p>
    <w:p w14:paraId="6BDDF42B" w14:textId="77777777" w:rsidR="00D55D0D" w:rsidRPr="00ED2A21" w:rsidRDefault="00D55D0D" w:rsidP="00ED2A21">
      <w:pPr>
        <w:pStyle w:val="PargrafodaLista"/>
        <w:widowControl w:val="0"/>
        <w:autoSpaceDE w:val="0"/>
        <w:autoSpaceDN w:val="0"/>
        <w:spacing w:after="0"/>
        <w:ind w:left="0"/>
        <w:contextualSpacing w:val="0"/>
        <w:jc w:val="center"/>
        <w:rPr>
          <w:rFonts w:ascii="Arial" w:hAnsi="Arial" w:cs="Arial"/>
          <w:bCs/>
          <w:sz w:val="24"/>
          <w:szCs w:val="24"/>
        </w:rPr>
      </w:pPr>
      <w:r w:rsidRPr="00ED2A21">
        <w:rPr>
          <w:rFonts w:ascii="Arial" w:hAnsi="Arial" w:cs="Arial"/>
          <w:bCs/>
          <w:sz w:val="24"/>
          <w:szCs w:val="24"/>
        </w:rPr>
        <w:t>Superintendente da Secretaria Municipal de Governo</w:t>
      </w:r>
    </w:p>
    <w:p w14:paraId="3CED02F1" w14:textId="77777777" w:rsidR="00D55D0D" w:rsidRPr="00ED2A21" w:rsidRDefault="00D55D0D" w:rsidP="00ED2A21">
      <w:pPr>
        <w:pStyle w:val="PargrafodaLista"/>
        <w:widowControl w:val="0"/>
        <w:autoSpaceDE w:val="0"/>
        <w:autoSpaceDN w:val="0"/>
        <w:spacing w:after="0"/>
        <w:ind w:left="0"/>
        <w:contextualSpacing w:val="0"/>
        <w:jc w:val="center"/>
        <w:rPr>
          <w:rFonts w:ascii="Arial" w:hAnsi="Arial" w:cs="Arial"/>
          <w:bCs/>
          <w:sz w:val="24"/>
          <w:szCs w:val="24"/>
        </w:rPr>
      </w:pPr>
    </w:p>
    <w:p w14:paraId="4FEBF7AA" w14:textId="6E2AD7D9" w:rsidR="00D55D0D" w:rsidRPr="00ED2A21" w:rsidRDefault="00D55D0D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1" w:name="_Hlk225245672"/>
      <w:r w:rsidRPr="00ED2A21">
        <w:rPr>
          <w:rFonts w:ascii="Arial" w:hAnsi="Arial" w:cs="Arial"/>
          <w:i/>
          <w:iCs/>
          <w:sz w:val="24"/>
          <w:szCs w:val="24"/>
        </w:rPr>
        <w:t>Responsáve</w:t>
      </w:r>
      <w:r w:rsidR="004F3817">
        <w:rPr>
          <w:rFonts w:ascii="Arial" w:hAnsi="Arial" w:cs="Arial"/>
          <w:i/>
          <w:iCs/>
          <w:sz w:val="24"/>
          <w:szCs w:val="24"/>
        </w:rPr>
        <w:t>is</w:t>
      </w:r>
      <w:r w:rsidRPr="00ED2A21">
        <w:rPr>
          <w:rFonts w:ascii="Arial" w:hAnsi="Arial" w:cs="Arial"/>
          <w:i/>
          <w:iCs/>
          <w:sz w:val="24"/>
          <w:szCs w:val="24"/>
        </w:rPr>
        <w:t xml:space="preserve"> pela Aprovação:</w:t>
      </w:r>
    </w:p>
    <w:p w14:paraId="2A8913EB" w14:textId="77777777" w:rsidR="00D55D0D" w:rsidRPr="00ED2A21" w:rsidRDefault="00D55D0D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7CDEC12" w14:textId="77777777" w:rsidR="00D55D0D" w:rsidRPr="00ED2A21" w:rsidRDefault="00D55D0D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1E6563D" w14:textId="77777777" w:rsidR="00D55D0D" w:rsidRPr="00ED2A21" w:rsidRDefault="00D55D0D" w:rsidP="00ED2A2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C874AFC" w14:textId="77777777" w:rsidR="00D55D0D" w:rsidRPr="00ED2A21" w:rsidRDefault="00D55D0D" w:rsidP="00ED2A21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2A21">
        <w:rPr>
          <w:rFonts w:ascii="Arial" w:hAnsi="Arial" w:cs="Arial"/>
          <w:b/>
          <w:bCs/>
          <w:sz w:val="24"/>
          <w:szCs w:val="24"/>
        </w:rPr>
        <w:t>Homero Sampaio Baitala de Oliveira</w:t>
      </w:r>
    </w:p>
    <w:p w14:paraId="4D5483CE" w14:textId="77777777" w:rsidR="00D55D0D" w:rsidRDefault="00D55D0D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ED2A21">
        <w:rPr>
          <w:rFonts w:ascii="Arial" w:hAnsi="Arial" w:cs="Arial"/>
          <w:sz w:val="24"/>
          <w:szCs w:val="24"/>
        </w:rPr>
        <w:t>Secretário Municipal de Governo</w:t>
      </w:r>
    </w:p>
    <w:p w14:paraId="44BC1623" w14:textId="77777777" w:rsidR="004F3817" w:rsidRDefault="004F3817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08BBC19" w14:textId="77777777" w:rsidR="004F3817" w:rsidRDefault="004F3817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4C266F5" w14:textId="047FBFB5" w:rsidR="004F3817" w:rsidRDefault="004F3817" w:rsidP="00ED2A21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Edilson Fernandes</w:t>
      </w:r>
    </w:p>
    <w:p w14:paraId="3D9F0B0B" w14:textId="5F0B0023" w:rsidR="004F3817" w:rsidRDefault="004F3817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 Municipal de Turismo</w:t>
      </w:r>
    </w:p>
    <w:p w14:paraId="611E17C7" w14:textId="77777777" w:rsidR="004F3817" w:rsidRDefault="004F3817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36E0FF8" w14:textId="77777777" w:rsidR="004F3817" w:rsidRDefault="004F3817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4755E51" w14:textId="77777777" w:rsidR="004F3817" w:rsidRDefault="004F3817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46D7508" w14:textId="6F64A44D" w:rsidR="004F3817" w:rsidRDefault="004F3817" w:rsidP="00ED2A21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Hercília Teixeira de Mello</w:t>
      </w:r>
    </w:p>
    <w:p w14:paraId="3547E4E5" w14:textId="36A2104C" w:rsidR="004F3817" w:rsidRPr="004F3817" w:rsidRDefault="004F3817" w:rsidP="00ED2A21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Educação e Cultura</w:t>
      </w:r>
      <w:bookmarkEnd w:id="1"/>
    </w:p>
    <w:sectPr w:rsidR="004F3817" w:rsidRPr="004F3817" w:rsidSect="00E83E84">
      <w:headerReference w:type="default" r:id="rId8"/>
      <w:footerReference w:type="default" r:id="rId9"/>
      <w:headerReference w:type="first" r:id="rId10"/>
      <w:pgSz w:w="11906" w:h="16838"/>
      <w:pgMar w:top="2127" w:right="1701" w:bottom="1417" w:left="1560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D6FE9" w14:textId="77777777" w:rsidR="00E8511F" w:rsidRDefault="00E8511F">
      <w:pPr>
        <w:spacing w:after="0" w:line="240" w:lineRule="auto"/>
      </w:pPr>
      <w:r>
        <w:separator/>
      </w:r>
    </w:p>
  </w:endnote>
  <w:endnote w:type="continuationSeparator" w:id="0">
    <w:p w14:paraId="1B6A0D8C" w14:textId="77777777" w:rsidR="00E8511F" w:rsidRDefault="00E85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673441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4DB92B" w14:textId="28123EEB" w:rsidR="002B42CD" w:rsidRDefault="002B42CD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6EFD42F" w14:textId="77777777" w:rsidR="002B42CD" w:rsidRDefault="002B42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D4094" w14:textId="77777777" w:rsidR="00E8511F" w:rsidRDefault="00E8511F">
      <w:pPr>
        <w:spacing w:after="0" w:line="240" w:lineRule="auto"/>
      </w:pPr>
      <w:r>
        <w:separator/>
      </w:r>
    </w:p>
  </w:footnote>
  <w:footnote w:type="continuationSeparator" w:id="0">
    <w:p w14:paraId="41E7F2F9" w14:textId="77777777" w:rsidR="00E8511F" w:rsidRDefault="00E85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B38DD" w14:textId="0FE7E950" w:rsidR="007D5623" w:rsidRDefault="007D562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EB7CA44" wp14:editId="34E7B813">
          <wp:simplePos x="0" y="0"/>
          <wp:positionH relativeFrom="page">
            <wp:posOffset>95250</wp:posOffset>
          </wp:positionH>
          <wp:positionV relativeFrom="paragraph">
            <wp:posOffset>-344805</wp:posOffset>
          </wp:positionV>
          <wp:extent cx="7353300" cy="10477500"/>
          <wp:effectExtent l="0" t="0" r="0" b="0"/>
          <wp:wrapNone/>
          <wp:docPr id="18944217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6431228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24" cy="10486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0CEA1" w14:textId="77777777" w:rsidR="00C23A46" w:rsidRDefault="00C23A46">
    <w:pPr>
      <w:pStyle w:val="Cabealho"/>
    </w:pPr>
    <w:r>
      <w:rPr>
        <w:noProof/>
        <w:lang w:eastAsia="pt-BR"/>
      </w:rPr>
      <w:drawing>
        <wp:anchor distT="0" distB="0" distL="0" distR="0" simplePos="0" relativeHeight="251658240" behindDoc="1" locked="0" layoutInCell="0" allowOverlap="1" wp14:anchorId="15A5EB1A" wp14:editId="1938FFF1">
          <wp:simplePos x="0" y="0"/>
          <wp:positionH relativeFrom="page">
            <wp:align>right</wp:align>
          </wp:positionH>
          <wp:positionV relativeFrom="paragraph">
            <wp:posOffset>-436880</wp:posOffset>
          </wp:positionV>
          <wp:extent cx="7518400" cy="10634980"/>
          <wp:effectExtent l="0" t="0" r="0" b="0"/>
          <wp:wrapNone/>
          <wp:docPr id="15165400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18400" cy="1063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31F"/>
    <w:multiLevelType w:val="multilevel"/>
    <w:tmpl w:val="CEBECD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E51143"/>
    <w:multiLevelType w:val="multilevel"/>
    <w:tmpl w:val="C2D29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F7DC4"/>
    <w:multiLevelType w:val="multilevel"/>
    <w:tmpl w:val="33AEE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505054"/>
    <w:multiLevelType w:val="multilevel"/>
    <w:tmpl w:val="BDD8B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CF5834"/>
    <w:multiLevelType w:val="multilevel"/>
    <w:tmpl w:val="0A747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354B05"/>
    <w:multiLevelType w:val="multilevel"/>
    <w:tmpl w:val="620CC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CD070C"/>
    <w:multiLevelType w:val="multilevel"/>
    <w:tmpl w:val="1BA4E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EA673F"/>
    <w:multiLevelType w:val="multilevel"/>
    <w:tmpl w:val="38F6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025690"/>
    <w:multiLevelType w:val="multilevel"/>
    <w:tmpl w:val="42C8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0924A9"/>
    <w:multiLevelType w:val="multilevel"/>
    <w:tmpl w:val="7982D4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0" w15:restartNumberingAfterBreak="0">
    <w:nsid w:val="2AB52345"/>
    <w:multiLevelType w:val="multilevel"/>
    <w:tmpl w:val="A93A9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 w15:restartNumberingAfterBreak="0">
    <w:nsid w:val="2D0E1E7B"/>
    <w:multiLevelType w:val="multilevel"/>
    <w:tmpl w:val="2954D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0815FA"/>
    <w:multiLevelType w:val="multilevel"/>
    <w:tmpl w:val="ADB0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321174"/>
    <w:multiLevelType w:val="multilevel"/>
    <w:tmpl w:val="787E1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A7556E"/>
    <w:multiLevelType w:val="multilevel"/>
    <w:tmpl w:val="61E4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 w15:restartNumberingAfterBreak="0">
    <w:nsid w:val="36CC6EDE"/>
    <w:multiLevelType w:val="multilevel"/>
    <w:tmpl w:val="F28C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CC0116"/>
    <w:multiLevelType w:val="multilevel"/>
    <w:tmpl w:val="8B04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88254E"/>
    <w:multiLevelType w:val="multilevel"/>
    <w:tmpl w:val="BD90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E1640D"/>
    <w:multiLevelType w:val="multilevel"/>
    <w:tmpl w:val="2B9C6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372EA4"/>
    <w:multiLevelType w:val="multilevel"/>
    <w:tmpl w:val="16F87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 w15:restartNumberingAfterBreak="0">
    <w:nsid w:val="55AE3265"/>
    <w:multiLevelType w:val="multilevel"/>
    <w:tmpl w:val="F5A8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 w15:restartNumberingAfterBreak="0">
    <w:nsid w:val="63FC03C0"/>
    <w:multiLevelType w:val="multilevel"/>
    <w:tmpl w:val="0114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5B4545"/>
    <w:multiLevelType w:val="multilevel"/>
    <w:tmpl w:val="79D09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083101"/>
    <w:multiLevelType w:val="multilevel"/>
    <w:tmpl w:val="6BF407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Calibri" w:hAnsi="Calibri" w:cs="Calibri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4" w15:restartNumberingAfterBreak="0">
    <w:nsid w:val="657D3967"/>
    <w:multiLevelType w:val="multilevel"/>
    <w:tmpl w:val="EA6A6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7713EC"/>
    <w:multiLevelType w:val="multilevel"/>
    <w:tmpl w:val="160C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7C7916"/>
    <w:multiLevelType w:val="multilevel"/>
    <w:tmpl w:val="430C6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225E87"/>
    <w:multiLevelType w:val="multilevel"/>
    <w:tmpl w:val="4B3CA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386532"/>
    <w:multiLevelType w:val="multilevel"/>
    <w:tmpl w:val="D40C7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7A51D4"/>
    <w:multiLevelType w:val="multilevel"/>
    <w:tmpl w:val="E1284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 w15:restartNumberingAfterBreak="0">
    <w:nsid w:val="7C5649D3"/>
    <w:multiLevelType w:val="multilevel"/>
    <w:tmpl w:val="C1F21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 w16cid:durableId="912591645">
    <w:abstractNumId w:val="23"/>
  </w:num>
  <w:num w:numId="2" w16cid:durableId="1349256986">
    <w:abstractNumId w:val="30"/>
  </w:num>
  <w:num w:numId="3" w16cid:durableId="476530860">
    <w:abstractNumId w:val="20"/>
  </w:num>
  <w:num w:numId="4" w16cid:durableId="757873320">
    <w:abstractNumId w:val="29"/>
  </w:num>
  <w:num w:numId="5" w16cid:durableId="566067192">
    <w:abstractNumId w:val="19"/>
  </w:num>
  <w:num w:numId="6" w16cid:durableId="344523508">
    <w:abstractNumId w:val="10"/>
  </w:num>
  <w:num w:numId="7" w16cid:durableId="2126163">
    <w:abstractNumId w:val="14"/>
  </w:num>
  <w:num w:numId="8" w16cid:durableId="1249538793">
    <w:abstractNumId w:val="0"/>
  </w:num>
  <w:num w:numId="9" w16cid:durableId="471288089">
    <w:abstractNumId w:val="13"/>
  </w:num>
  <w:num w:numId="10" w16cid:durableId="178085713">
    <w:abstractNumId w:val="22"/>
  </w:num>
  <w:num w:numId="11" w16cid:durableId="1086267248">
    <w:abstractNumId w:val="2"/>
  </w:num>
  <w:num w:numId="12" w16cid:durableId="2116517487">
    <w:abstractNumId w:val="18"/>
  </w:num>
  <w:num w:numId="13" w16cid:durableId="898246152">
    <w:abstractNumId w:val="11"/>
  </w:num>
  <w:num w:numId="14" w16cid:durableId="1048796004">
    <w:abstractNumId w:val="17"/>
  </w:num>
  <w:num w:numId="15" w16cid:durableId="1058481327">
    <w:abstractNumId w:val="26"/>
  </w:num>
  <w:num w:numId="16" w16cid:durableId="722750596">
    <w:abstractNumId w:val="4"/>
  </w:num>
  <w:num w:numId="17" w16cid:durableId="728192195">
    <w:abstractNumId w:val="8"/>
  </w:num>
  <w:num w:numId="18" w16cid:durableId="834149268">
    <w:abstractNumId w:val="27"/>
  </w:num>
  <w:num w:numId="19" w16cid:durableId="311831604">
    <w:abstractNumId w:val="16"/>
  </w:num>
  <w:num w:numId="20" w16cid:durableId="1897234189">
    <w:abstractNumId w:val="6"/>
  </w:num>
  <w:num w:numId="21" w16cid:durableId="1094400133">
    <w:abstractNumId w:val="15"/>
  </w:num>
  <w:num w:numId="22" w16cid:durableId="346908119">
    <w:abstractNumId w:val="9"/>
  </w:num>
  <w:num w:numId="23" w16cid:durableId="1626891280">
    <w:abstractNumId w:val="5"/>
  </w:num>
  <w:num w:numId="24" w16cid:durableId="121196115">
    <w:abstractNumId w:val="3"/>
  </w:num>
  <w:num w:numId="25" w16cid:durableId="1883903369">
    <w:abstractNumId w:val="7"/>
  </w:num>
  <w:num w:numId="26" w16cid:durableId="1833638604">
    <w:abstractNumId w:val="21"/>
  </w:num>
  <w:num w:numId="27" w16cid:durableId="1697076351">
    <w:abstractNumId w:val="12"/>
  </w:num>
  <w:num w:numId="28" w16cid:durableId="308751258">
    <w:abstractNumId w:val="28"/>
  </w:num>
  <w:num w:numId="29" w16cid:durableId="1776902983">
    <w:abstractNumId w:val="25"/>
  </w:num>
  <w:num w:numId="30" w16cid:durableId="1832215085">
    <w:abstractNumId w:val="24"/>
  </w:num>
  <w:num w:numId="31" w16cid:durableId="151676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AAE"/>
    <w:rsid w:val="00004551"/>
    <w:rsid w:val="0005212C"/>
    <w:rsid w:val="000F7D62"/>
    <w:rsid w:val="00136AE9"/>
    <w:rsid w:val="001439EA"/>
    <w:rsid w:val="001E1D7B"/>
    <w:rsid w:val="002B42CD"/>
    <w:rsid w:val="002B5E6E"/>
    <w:rsid w:val="003438B3"/>
    <w:rsid w:val="00381FF7"/>
    <w:rsid w:val="003B6E74"/>
    <w:rsid w:val="003D190C"/>
    <w:rsid w:val="003E29FF"/>
    <w:rsid w:val="003E5945"/>
    <w:rsid w:val="004B2E8D"/>
    <w:rsid w:val="004D0585"/>
    <w:rsid w:val="004F1D86"/>
    <w:rsid w:val="004F3817"/>
    <w:rsid w:val="00544E83"/>
    <w:rsid w:val="00584E98"/>
    <w:rsid w:val="005C328B"/>
    <w:rsid w:val="005F7AAE"/>
    <w:rsid w:val="005F7F4E"/>
    <w:rsid w:val="00602BA4"/>
    <w:rsid w:val="00622247"/>
    <w:rsid w:val="00625CDC"/>
    <w:rsid w:val="00661474"/>
    <w:rsid w:val="00680F33"/>
    <w:rsid w:val="006D4DDD"/>
    <w:rsid w:val="00710A4E"/>
    <w:rsid w:val="007B1E69"/>
    <w:rsid w:val="007B7660"/>
    <w:rsid w:val="007D5623"/>
    <w:rsid w:val="007E57FA"/>
    <w:rsid w:val="007F0B5C"/>
    <w:rsid w:val="007F79ED"/>
    <w:rsid w:val="00800C17"/>
    <w:rsid w:val="00836EC3"/>
    <w:rsid w:val="00860F62"/>
    <w:rsid w:val="008920D3"/>
    <w:rsid w:val="008F7627"/>
    <w:rsid w:val="009A186F"/>
    <w:rsid w:val="009F5430"/>
    <w:rsid w:val="00A03A60"/>
    <w:rsid w:val="00A148E6"/>
    <w:rsid w:val="00A30B4D"/>
    <w:rsid w:val="00A72998"/>
    <w:rsid w:val="00B03C1F"/>
    <w:rsid w:val="00B10A85"/>
    <w:rsid w:val="00B21114"/>
    <w:rsid w:val="00B7387F"/>
    <w:rsid w:val="00B934E1"/>
    <w:rsid w:val="00B94D85"/>
    <w:rsid w:val="00BA3596"/>
    <w:rsid w:val="00BD2F89"/>
    <w:rsid w:val="00C23A46"/>
    <w:rsid w:val="00C56913"/>
    <w:rsid w:val="00CB0782"/>
    <w:rsid w:val="00CB11E7"/>
    <w:rsid w:val="00CD3B24"/>
    <w:rsid w:val="00D11719"/>
    <w:rsid w:val="00D2095C"/>
    <w:rsid w:val="00D55D0D"/>
    <w:rsid w:val="00D63B78"/>
    <w:rsid w:val="00DA1A55"/>
    <w:rsid w:val="00DB46E2"/>
    <w:rsid w:val="00E00CBC"/>
    <w:rsid w:val="00E23184"/>
    <w:rsid w:val="00E243AB"/>
    <w:rsid w:val="00E678FE"/>
    <w:rsid w:val="00E83E84"/>
    <w:rsid w:val="00E8511F"/>
    <w:rsid w:val="00E956E3"/>
    <w:rsid w:val="00EA1F10"/>
    <w:rsid w:val="00EB6A41"/>
    <w:rsid w:val="00EB76B2"/>
    <w:rsid w:val="00ED2164"/>
    <w:rsid w:val="00ED2A21"/>
    <w:rsid w:val="00F07FCB"/>
    <w:rsid w:val="00FE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1AB378"/>
  <w15:docId w15:val="{2C1E01FE-D32F-4261-AC98-1211C7A8F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qFormat/>
    <w:rsid w:val="00EF70BB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76" w:lineRule="auto"/>
      <w:jc w:val="both"/>
      <w:outlineLvl w:val="0"/>
    </w:pPr>
    <w:rPr>
      <w:rFonts w:ascii="Calibri" w:eastAsia="Times New Roman" w:hAnsi="Calibri" w:cs="Times New Roman"/>
      <w:b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A4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14319"/>
  </w:style>
  <w:style w:type="character" w:customStyle="1" w:styleId="RodapChar">
    <w:name w:val="Rodapé Char"/>
    <w:basedOn w:val="Fontepargpadro"/>
    <w:link w:val="Rodap"/>
    <w:uiPriority w:val="99"/>
    <w:qFormat/>
    <w:rsid w:val="00414319"/>
  </w:style>
  <w:style w:type="character" w:customStyle="1" w:styleId="Ttulo1Char">
    <w:name w:val="Título 1 Char"/>
    <w:basedOn w:val="Fontepargpadro"/>
    <w:link w:val="Ttulo1"/>
    <w:qFormat/>
    <w:rsid w:val="00EF70BB"/>
    <w:rPr>
      <w:rFonts w:ascii="Calibri" w:eastAsia="Times New Roman" w:hAnsi="Calibri" w:cs="Times New Roman"/>
      <w:b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EF70BB"/>
    <w:rPr>
      <w:rFonts w:ascii="Times New Roman" w:eastAsia="Times New Roman" w:hAnsi="Times New Roman" w:cs="Times New Roman"/>
      <w:color w:val="000080"/>
      <w:sz w:val="24"/>
      <w:szCs w:val="20"/>
      <w:lang w:val="x-none" w:eastAsia="x-none"/>
    </w:rPr>
  </w:style>
  <w:style w:type="character" w:styleId="Forte">
    <w:name w:val="Strong"/>
    <w:uiPriority w:val="22"/>
    <w:qFormat/>
    <w:rsid w:val="00EF70BB"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rsid w:val="00EF70BB"/>
    <w:pPr>
      <w:spacing w:after="120" w:line="240" w:lineRule="auto"/>
    </w:pPr>
    <w:rPr>
      <w:rFonts w:ascii="Times New Roman" w:eastAsia="Times New Roman" w:hAnsi="Times New Roman" w:cs="Times New Roman"/>
      <w:color w:val="000080"/>
      <w:sz w:val="24"/>
      <w:szCs w:val="20"/>
      <w:lang w:val="x-none" w:eastAsia="x-none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414319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414319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EF70B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ath-inline">
    <w:name w:val="math-inline"/>
    <w:basedOn w:val="Fontepargpadro"/>
    <w:rsid w:val="00DA1A55"/>
  </w:style>
  <w:style w:type="paragraph" w:styleId="NormalWeb">
    <w:name w:val="Normal (Web)"/>
    <w:basedOn w:val="Normal"/>
    <w:uiPriority w:val="99"/>
    <w:semiHidden/>
    <w:unhideWhenUsed/>
    <w:rsid w:val="00836EC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A46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citation-77">
    <w:name w:val="citation-77"/>
    <w:basedOn w:val="Fontepargpadro"/>
    <w:rsid w:val="009F5430"/>
  </w:style>
  <w:style w:type="character" w:customStyle="1" w:styleId="citation-76">
    <w:name w:val="citation-76"/>
    <w:basedOn w:val="Fontepargpadro"/>
    <w:rsid w:val="009F5430"/>
  </w:style>
  <w:style w:type="character" w:customStyle="1" w:styleId="citation-75">
    <w:name w:val="citation-75"/>
    <w:basedOn w:val="Fontepargpadro"/>
    <w:rsid w:val="009F5430"/>
  </w:style>
  <w:style w:type="character" w:customStyle="1" w:styleId="citation-74">
    <w:name w:val="citation-74"/>
    <w:basedOn w:val="Fontepargpadro"/>
    <w:rsid w:val="009F5430"/>
  </w:style>
  <w:style w:type="character" w:customStyle="1" w:styleId="citation-73">
    <w:name w:val="citation-73"/>
    <w:basedOn w:val="Fontepargpadro"/>
    <w:rsid w:val="009F5430"/>
  </w:style>
  <w:style w:type="character" w:customStyle="1" w:styleId="citation-72">
    <w:name w:val="citation-72"/>
    <w:basedOn w:val="Fontepargpadro"/>
    <w:rsid w:val="009F5430"/>
  </w:style>
  <w:style w:type="character" w:customStyle="1" w:styleId="citation-71">
    <w:name w:val="citation-71"/>
    <w:basedOn w:val="Fontepargpadro"/>
    <w:rsid w:val="009F5430"/>
  </w:style>
  <w:style w:type="character" w:customStyle="1" w:styleId="citation-70">
    <w:name w:val="citation-70"/>
    <w:basedOn w:val="Fontepargpadro"/>
    <w:rsid w:val="009F5430"/>
  </w:style>
  <w:style w:type="character" w:customStyle="1" w:styleId="citation-69">
    <w:name w:val="citation-69"/>
    <w:basedOn w:val="Fontepargpadro"/>
    <w:rsid w:val="009F5430"/>
  </w:style>
  <w:style w:type="character" w:customStyle="1" w:styleId="citation-68">
    <w:name w:val="citation-68"/>
    <w:basedOn w:val="Fontepargpadro"/>
    <w:rsid w:val="009F5430"/>
  </w:style>
  <w:style w:type="character" w:customStyle="1" w:styleId="citation-67">
    <w:name w:val="citation-67"/>
    <w:basedOn w:val="Fontepargpadro"/>
    <w:rsid w:val="009F5430"/>
  </w:style>
  <w:style w:type="character" w:customStyle="1" w:styleId="citation-66">
    <w:name w:val="citation-66"/>
    <w:basedOn w:val="Fontepargpadro"/>
    <w:rsid w:val="009F5430"/>
  </w:style>
  <w:style w:type="character" w:customStyle="1" w:styleId="citation-122">
    <w:name w:val="citation-122"/>
    <w:basedOn w:val="Fontepargpadro"/>
    <w:rsid w:val="00EB76B2"/>
  </w:style>
  <w:style w:type="character" w:customStyle="1" w:styleId="citation-121">
    <w:name w:val="citation-121"/>
    <w:basedOn w:val="Fontepargpadro"/>
    <w:rsid w:val="00EB76B2"/>
  </w:style>
  <w:style w:type="character" w:customStyle="1" w:styleId="citation-120">
    <w:name w:val="citation-120"/>
    <w:basedOn w:val="Fontepargpadro"/>
    <w:rsid w:val="00EB76B2"/>
  </w:style>
  <w:style w:type="character" w:customStyle="1" w:styleId="citation-119">
    <w:name w:val="citation-119"/>
    <w:basedOn w:val="Fontepargpadro"/>
    <w:rsid w:val="00EB76B2"/>
  </w:style>
  <w:style w:type="character" w:customStyle="1" w:styleId="citation-118">
    <w:name w:val="citation-118"/>
    <w:basedOn w:val="Fontepargpadro"/>
    <w:rsid w:val="00EB76B2"/>
  </w:style>
  <w:style w:type="character" w:customStyle="1" w:styleId="citation-117">
    <w:name w:val="citation-117"/>
    <w:basedOn w:val="Fontepargpadro"/>
    <w:rsid w:val="00EB76B2"/>
  </w:style>
  <w:style w:type="character" w:customStyle="1" w:styleId="citation-116">
    <w:name w:val="citation-116"/>
    <w:basedOn w:val="Fontepargpadro"/>
    <w:rsid w:val="00EB76B2"/>
  </w:style>
  <w:style w:type="character" w:customStyle="1" w:styleId="citation-115">
    <w:name w:val="citation-115"/>
    <w:basedOn w:val="Fontepargpadro"/>
    <w:rsid w:val="00EB76B2"/>
  </w:style>
  <w:style w:type="character" w:customStyle="1" w:styleId="citation-114">
    <w:name w:val="citation-114"/>
    <w:basedOn w:val="Fontepargpadro"/>
    <w:rsid w:val="00EB76B2"/>
  </w:style>
  <w:style w:type="character" w:customStyle="1" w:styleId="citation-164">
    <w:name w:val="citation-164"/>
    <w:basedOn w:val="Fontepargpadro"/>
    <w:rsid w:val="00EA1F10"/>
  </w:style>
  <w:style w:type="character" w:customStyle="1" w:styleId="citation-163">
    <w:name w:val="citation-163"/>
    <w:basedOn w:val="Fontepargpadro"/>
    <w:rsid w:val="00EA1F10"/>
  </w:style>
  <w:style w:type="character" w:customStyle="1" w:styleId="citation-162">
    <w:name w:val="citation-162"/>
    <w:basedOn w:val="Fontepargpadro"/>
    <w:rsid w:val="00EA1F10"/>
  </w:style>
  <w:style w:type="character" w:customStyle="1" w:styleId="citation-161">
    <w:name w:val="citation-161"/>
    <w:basedOn w:val="Fontepargpadro"/>
    <w:rsid w:val="00EA1F10"/>
  </w:style>
  <w:style w:type="character" w:styleId="Hyperlink">
    <w:name w:val="Hyperlink"/>
    <w:basedOn w:val="Fontepargpadro"/>
    <w:uiPriority w:val="99"/>
    <w:unhideWhenUsed/>
    <w:rsid w:val="00A7299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7299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03C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935E8-8940-4AB1-97CC-759A402FA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3308</Words>
  <Characters>17865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SMECEL</dc:creator>
  <dc:description/>
  <cp:lastModifiedBy>Luiz Fitz</cp:lastModifiedBy>
  <cp:revision>3</cp:revision>
  <cp:lastPrinted>2026-07-28T11:18:00Z</cp:lastPrinted>
  <dcterms:created xsi:type="dcterms:W3CDTF">2026-07-27T20:13:00Z</dcterms:created>
  <dcterms:modified xsi:type="dcterms:W3CDTF">2026-07-28T11:18:00Z</dcterms:modified>
  <dc:language>pt-BR</dc:language>
</cp:coreProperties>
</file>