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A1410">
      <w:pPr>
        <w:spacing w:before="0"/>
        <w:jc w:val="center"/>
        <w:rPr>
          <w:rFonts w:hint="default" w:cs="Arial"/>
          <w:b/>
          <w:bCs/>
          <w:szCs w:val="24"/>
          <w:lang w:val="pt-BR"/>
        </w:rPr>
      </w:pPr>
      <w:r>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28</w:t>
      </w:r>
      <w:r>
        <w:rPr>
          <w:rFonts w:hint="default" w:cs="Arial"/>
          <w:b/>
          <w:bCs/>
          <w:szCs w:val="24"/>
          <w:lang w:val="pt-BR"/>
        </w:rPr>
        <w:t>/2026</w:t>
      </w:r>
    </w:p>
    <w:p w14:paraId="38824ED7">
      <w:pPr>
        <w:spacing w:line="288" w:lineRule="auto"/>
        <w:ind w:firstLine="1134"/>
        <w:jc w:val="both"/>
        <w:rPr>
          <w:rFonts w:cs="Arial"/>
          <w:szCs w:val="24"/>
        </w:rPr>
      </w:pPr>
      <w:r>
        <w:rPr>
          <w:rFonts w:cs="Arial"/>
          <w:szCs w:val="24"/>
        </w:rPr>
        <w:t>Prezado fornecedor, o município de Paranavaí agradece o seu interesse em participar deste certame e espera a sua melhor proposta para que você possa ser nosso fornecedor.</w:t>
      </w:r>
    </w:p>
    <w:p w14:paraId="031FB964">
      <w:pPr>
        <w:spacing w:before="120" w:line="288" w:lineRule="auto"/>
        <w:ind w:firstLine="1134"/>
        <w:jc w:val="both"/>
        <w:rPr>
          <w:rFonts w:cs="Arial"/>
          <w:szCs w:val="24"/>
        </w:rPr>
      </w:pPr>
      <w:r>
        <w:rPr>
          <w:rFonts w:cs="Arial"/>
          <w:szCs w:val="24"/>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pPr>
        <w:pStyle w:val="25"/>
        <w:numPr>
          <w:ilvl w:val="1"/>
          <w:numId w:val="4"/>
        </w:numPr>
        <w:spacing w:before="120" w:line="288" w:lineRule="auto"/>
        <w:ind w:left="1474" w:hanging="340"/>
        <w:contextualSpacing w:val="0"/>
        <w:jc w:val="both"/>
        <w:rPr>
          <w:rFonts w:cs="Arial"/>
          <w:szCs w:val="24"/>
        </w:rPr>
      </w:pPr>
      <w:r>
        <w:rPr>
          <w:rFonts w:cs="Arial"/>
          <w:szCs w:val="24"/>
        </w:rPr>
        <w:t>Anexo I – Especificações do objeto;</w:t>
      </w:r>
    </w:p>
    <w:p w14:paraId="6A754FC2">
      <w:pPr>
        <w:pStyle w:val="25"/>
        <w:numPr>
          <w:ilvl w:val="1"/>
          <w:numId w:val="4"/>
        </w:numPr>
        <w:spacing w:before="120" w:line="288" w:lineRule="auto"/>
        <w:ind w:left="1474" w:hanging="340"/>
        <w:contextualSpacing w:val="0"/>
        <w:jc w:val="both"/>
        <w:rPr>
          <w:rFonts w:cs="Arial"/>
          <w:szCs w:val="24"/>
        </w:rPr>
      </w:pPr>
      <w:r>
        <w:rPr>
          <w:rFonts w:cs="Arial"/>
          <w:szCs w:val="24"/>
        </w:rPr>
        <w:t>Anexo II – Modelo de proposta; e</w:t>
      </w:r>
    </w:p>
    <w:p w14:paraId="3181ADDA">
      <w:pPr>
        <w:pStyle w:val="25"/>
        <w:numPr>
          <w:ilvl w:val="1"/>
          <w:numId w:val="4"/>
        </w:numPr>
        <w:spacing w:before="120" w:line="288" w:lineRule="auto"/>
        <w:ind w:left="1474" w:hanging="340"/>
        <w:contextualSpacing w:val="0"/>
        <w:jc w:val="both"/>
        <w:rPr>
          <w:rFonts w:cs="Arial"/>
          <w:szCs w:val="24"/>
        </w:rPr>
      </w:pPr>
      <w:r>
        <w:rPr>
          <w:rFonts w:cs="Arial"/>
          <w:szCs w:val="24"/>
        </w:rPr>
        <w:t>Anexo III – Minuta de Contrato.</w:t>
      </w:r>
    </w:p>
    <w:p w14:paraId="70EC06FE">
      <w:pPr>
        <w:spacing w:before="120" w:line="288" w:lineRule="auto"/>
        <w:ind w:firstLine="1134"/>
        <w:jc w:val="both"/>
        <w:rPr>
          <w:rFonts w:cs="Arial"/>
          <w:szCs w:val="24"/>
        </w:rPr>
      </w:pPr>
      <w:r>
        <w:rPr>
          <w:rFonts w:cs="Arial"/>
          <w:szCs w:val="24"/>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w:t>
      </w:r>
    </w:p>
    <w:p w14:paraId="48FDEBC4">
      <w:pPr>
        <w:spacing w:before="120" w:line="288" w:lineRule="auto"/>
        <w:ind w:firstLine="1134"/>
        <w:jc w:val="both"/>
        <w:rPr>
          <w:rFonts w:cs="Arial"/>
          <w:szCs w:val="24"/>
        </w:rPr>
      </w:pPr>
      <w:r>
        <w:rPr>
          <w:rFonts w:cs="Arial"/>
          <w:szCs w:val="24"/>
        </w:rPr>
        <w:t>A minuta do contrato traz as cláusulas que serão redigidas no instrumento que formalizará o nosso negócio, se ele vier a acontecer. Nelas estão as obrigações das partes, as consequências para o seu descumprimento e as condições que regem a sua execução.</w:t>
      </w:r>
    </w:p>
    <w:p w14:paraId="6005015C">
      <w:pPr>
        <w:spacing w:before="120" w:line="288" w:lineRule="auto"/>
        <w:ind w:firstLine="1134"/>
        <w:jc w:val="both"/>
        <w:rPr>
          <w:rFonts w:cs="Arial"/>
          <w:szCs w:val="24"/>
        </w:rPr>
      </w:pPr>
      <w:r>
        <w:rPr>
          <w:rFonts w:cs="Arial"/>
          <w:szCs w:val="24"/>
        </w:rPr>
        <w:t xml:space="preserve">As informações gerais, que se repetem nas licitações, estão em um Caderno de Normas Licitatórias e podem ser acessadas clicando nos links que estão no edital identificados com o </w:t>
      </w:r>
      <w:r>
        <w:rPr>
          <w:rFonts w:cs="Arial"/>
          <w:szCs w:val="24"/>
          <w:u w:val="single"/>
        </w:rPr>
        <w:t>sublinhado</w:t>
      </w:r>
      <w:r>
        <w:rPr>
          <w:rFonts w:cs="Arial"/>
          <w:szCs w:val="24"/>
        </w:rPr>
        <w:t xml:space="preserve">. Consideram-se partes integrantes deste edital os seus anexos edital e as normas do Caderno de Normas Licitatórias referidas neste edital. </w:t>
      </w:r>
    </w:p>
    <w:p w14:paraId="3484AFEA">
      <w:pPr>
        <w:spacing w:before="120" w:line="288" w:lineRule="auto"/>
        <w:ind w:firstLine="1134"/>
        <w:jc w:val="both"/>
        <w:rPr>
          <w:rFonts w:cs="Arial"/>
          <w:szCs w:val="24"/>
        </w:rPr>
      </w:pPr>
      <w:r>
        <w:rPr>
          <w:rFonts w:cs="Arial"/>
          <w:szCs w:val="24"/>
        </w:rPr>
        <w:t>Os fornecedores que não estão acostumados com as licitações aqui do município de Paranavaí devem ler com atenção todas as informações gerais que estão nos links para entender os detalhes da licitação.</w:t>
      </w:r>
    </w:p>
    <w:p w14:paraId="7D7B653C">
      <w:pPr>
        <w:spacing w:before="120" w:line="288" w:lineRule="auto"/>
        <w:ind w:firstLine="1134"/>
        <w:jc w:val="both"/>
        <w:rPr>
          <w:rFonts w:cs="Arial"/>
          <w:szCs w:val="24"/>
        </w:rPr>
      </w:pPr>
      <w:r>
        <w:rPr>
          <w:rFonts w:cs="Arial"/>
          <w:szCs w:val="24"/>
        </w:rPr>
        <w:t xml:space="preserve">Existem, ainda, dois outros documentos que poderão lhe interessar e estão acessíveis no Processo </w:t>
      </w:r>
      <w:r>
        <w:rPr>
          <w:rFonts w:hint="default" w:cs="Arial"/>
          <w:szCs w:val="24"/>
          <w:lang w:val="pt-BR"/>
        </w:rPr>
        <w:t xml:space="preserve">Digital do Pregão Eletrônico nº </w:t>
      </w:r>
      <w:r>
        <w:rPr>
          <w:rFonts w:hint="default" w:cs="Arial"/>
          <w:szCs w:val="24"/>
          <w:highlight w:val="none"/>
          <w:lang w:val="pt-BR"/>
        </w:rPr>
        <w:t>28</w:t>
      </w:r>
      <w:r>
        <w:rPr>
          <w:rFonts w:hint="default" w:cs="Arial"/>
          <w:szCs w:val="24"/>
          <w:lang w:val="pt-BR"/>
        </w:rPr>
        <w:t>/2026</w:t>
      </w:r>
      <w:r>
        <w:rPr>
          <w:rFonts w:cs="Arial"/>
          <w:szCs w:val="24"/>
        </w:rPr>
        <w:t xml:space="preserve">, disponível em: </w:t>
      </w:r>
      <w:r>
        <w:rPr>
          <w:rFonts w:hint="default"/>
          <w:szCs w:val="24"/>
        </w:rPr>
        <w:t>https://paranavai.atende.net/transparencia/item/licitacoes-gerais</w:t>
      </w:r>
      <w:r>
        <w:rPr>
          <w:rFonts w:cs="Arial"/>
          <w:szCs w:val="24"/>
        </w:rPr>
        <w:t xml:space="preserve">  onde serão divulgados todos os documentos e informações referentes a esta licitação:</w:t>
      </w:r>
    </w:p>
    <w:p w14:paraId="0D2A8FF1">
      <w:pPr>
        <w:pStyle w:val="25"/>
        <w:numPr>
          <w:ilvl w:val="0"/>
          <w:numId w:val="5"/>
        </w:numPr>
        <w:spacing w:before="120" w:line="288" w:lineRule="auto"/>
        <w:ind w:left="284" w:hanging="284"/>
        <w:contextualSpacing w:val="0"/>
        <w:jc w:val="both"/>
        <w:rPr>
          <w:rFonts w:cs="Arial"/>
          <w:szCs w:val="24"/>
        </w:rPr>
      </w:pPr>
      <w:r>
        <w:rPr>
          <w:rFonts w:cs="Arial"/>
          <w:szCs w:val="24"/>
        </w:rPr>
        <w:t>o estudo técnico preliminar - ETP, que indica o caminho percorrido pelo Município até chegar na solução ora licitada como sendo a que melhor lhe atende; e</w:t>
      </w:r>
    </w:p>
    <w:p w14:paraId="6DD6DDAB">
      <w:pPr>
        <w:pStyle w:val="25"/>
        <w:numPr>
          <w:ilvl w:val="0"/>
          <w:numId w:val="5"/>
        </w:numPr>
        <w:spacing w:before="120" w:line="288" w:lineRule="auto"/>
        <w:ind w:left="284" w:hanging="284"/>
        <w:contextualSpacing w:val="0"/>
        <w:jc w:val="both"/>
        <w:rPr>
          <w:rFonts w:cs="Arial"/>
          <w:szCs w:val="24"/>
        </w:rPr>
      </w:pPr>
      <w:r>
        <w:rPr>
          <w:rFonts w:cs="Arial"/>
          <w:szCs w:val="24"/>
        </w:rPr>
        <w:t>o termo de referência - TR, que possui a construção de todos os elementos do presente edital.</w:t>
      </w:r>
    </w:p>
    <w:p w14:paraId="55AC40BA">
      <w:pPr>
        <w:spacing w:before="120" w:line="288" w:lineRule="auto"/>
        <w:ind w:firstLine="1134"/>
        <w:jc w:val="both"/>
        <w:rPr>
          <w:rFonts w:cs="Arial"/>
          <w:szCs w:val="24"/>
        </w:rPr>
      </w:pPr>
      <w:r>
        <w:rPr>
          <w:rFonts w:cs="Arial"/>
          <w:szCs w:val="24"/>
        </w:rPr>
        <w:t>Esses documentos não são de leitura obrigatória e contêm informações que já estarão aqui. Além disso, se houver qualquer divergência, prevalecerá a regra deste edital e anexos.</w:t>
      </w:r>
      <w:r>
        <w:rPr>
          <w:rFonts w:hint="default" w:cs="Arial"/>
          <w:szCs w:val="24"/>
          <w:lang w:val="pt-BR"/>
        </w:rPr>
        <w:t xml:space="preserve"> </w:t>
      </w:r>
      <w:r>
        <w:rPr>
          <w:rFonts w:cs="Arial"/>
          <w:szCs w:val="24"/>
        </w:rPr>
        <w:t>Bons negócios!</w:t>
      </w:r>
    </w:p>
    <w:p w14:paraId="2EA24F4B">
      <w:pPr>
        <w:spacing w:before="120" w:line="288" w:lineRule="auto"/>
        <w:ind w:firstLine="1134"/>
        <w:jc w:val="both"/>
        <w:rPr>
          <w:rFonts w:cs="Arial"/>
          <w:szCs w:val="24"/>
        </w:rPr>
        <w:sectPr>
          <w:headerReference r:id="rId5" w:type="default"/>
          <w:pgSz w:w="11906" w:h="16838"/>
          <w:pgMar w:top="1418" w:right="1134" w:bottom="851" w:left="1418" w:header="113" w:footer="454" w:gutter="0"/>
          <w:pgNumType w:start="1"/>
          <w:cols w:space="708" w:num="1"/>
          <w:docGrid w:linePitch="360" w:charSpace="0"/>
        </w:sectPr>
      </w:pPr>
    </w:p>
    <w:p w14:paraId="0D88EF8A">
      <w:pPr>
        <w:spacing w:before="0"/>
        <w:jc w:val="center"/>
        <w:rPr>
          <w:rFonts w:hint="default" w:cs="Arial"/>
          <w:b/>
          <w:bCs/>
          <w:szCs w:val="24"/>
          <w:lang w:val="pt-BR"/>
        </w:rPr>
      </w:pPr>
      <w:r>
        <w:rPr>
          <w:rFonts w:cs="Arial"/>
          <w:b/>
          <w:bCs/>
          <w:szCs w:val="24"/>
        </w:rPr>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28</w:t>
      </w:r>
      <w:r>
        <w:rPr>
          <w:rFonts w:hint="default" w:cs="Arial"/>
          <w:b/>
          <w:bCs/>
          <w:szCs w:val="24"/>
          <w:lang w:val="pt-BR"/>
        </w:rPr>
        <w:t>/2026</w:t>
      </w:r>
    </w:p>
    <w:p w14:paraId="272FF1CC">
      <w:pPr>
        <w:spacing w:before="0"/>
        <w:jc w:val="center"/>
        <w:rPr>
          <w:rFonts w:cs="Arial"/>
          <w:b/>
          <w:bCs/>
          <w:szCs w:val="24"/>
        </w:rPr>
      </w:pPr>
    </w:p>
    <w:p w14:paraId="20342C40">
      <w:pPr>
        <w:spacing w:before="0"/>
        <w:jc w:val="center"/>
        <w:rPr>
          <w:rFonts w:cs="Arial"/>
          <w:szCs w:val="24"/>
        </w:rPr>
      </w:pPr>
      <w:r>
        <w:rPr>
          <w:rFonts w:cs="Arial"/>
          <w:szCs w:val="24"/>
        </w:rPr>
        <w:t xml:space="preserve">MUNICÍPIO DE PARANAVAÍ </w:t>
      </w:r>
    </w:p>
    <w:p w14:paraId="3EA0975B">
      <w:pPr>
        <w:jc w:val="center"/>
        <w:rPr>
          <w:rFonts w:hint="default" w:cs="Arial"/>
          <w:szCs w:val="24"/>
          <w:lang w:val="pt-BR"/>
        </w:rPr>
      </w:pPr>
      <w:r>
        <w:rPr>
          <w:rFonts w:cs="Arial"/>
          <w:b/>
          <w:bCs/>
          <w:szCs w:val="24"/>
        </w:rPr>
        <w:t>Processo Administrativo nº</w:t>
      </w:r>
      <w:r>
        <w:rPr>
          <w:rFonts w:hint="default" w:cs="Arial"/>
          <w:b/>
          <w:bCs/>
          <w:szCs w:val="24"/>
          <w:lang w:val="pt-BR"/>
        </w:rPr>
        <w:t xml:space="preserve"> 78/2026</w:t>
      </w:r>
    </w:p>
    <w:p w14:paraId="1B7EE3A6">
      <w:pPr>
        <w:pStyle w:val="30"/>
      </w:pPr>
      <w:r>
        <w:t>INFORMAÇÕES GERAIS</w:t>
      </w:r>
    </w:p>
    <w:p w14:paraId="4E135CBE">
      <w:pPr>
        <w:pStyle w:val="25"/>
        <w:numPr>
          <w:ilvl w:val="1"/>
          <w:numId w:val="1"/>
        </w:numPr>
        <w:tabs>
          <w:tab w:val="left" w:pos="567"/>
        </w:tabs>
        <w:ind w:left="0" w:firstLine="0"/>
        <w:contextualSpacing w:val="0"/>
        <w:jc w:val="both"/>
        <w:rPr>
          <w:rFonts w:cs="Arial"/>
          <w:szCs w:val="24"/>
        </w:rPr>
      </w:pPr>
      <w:r>
        <w:rPr>
          <w:rFonts w:cs="Arial"/>
          <w:szCs w:val="24"/>
        </w:rPr>
        <w:t>Objeto do certame:</w:t>
      </w:r>
      <w:r>
        <w:rPr>
          <w:rFonts w:hint="default" w:cs="Arial"/>
          <w:szCs w:val="24"/>
          <w:lang w:val="pt-BR"/>
        </w:rPr>
        <w:t xml:space="preserve"> </w:t>
      </w:r>
      <w:r>
        <w:rPr>
          <w:rFonts w:hint="default"/>
          <w:lang w:val="pt-BR"/>
        </w:rPr>
        <w:t>Contratação de empresa especializada na administração, gerenciamento, emissão e fornecimento do CARTÃO PVAI EDUCA na forma de cartão magnético, conforme Lei Municipal nº 5.502/2025 e Decreto Municipal nº 27.526/2025.</w:t>
      </w:r>
    </w:p>
    <w:p w14:paraId="3EC9CF35">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Data do certame e horário de início da sessão: </w:t>
      </w:r>
      <w:r>
        <w:rPr>
          <w:rFonts w:hint="default" w:cs="Arial"/>
          <w:szCs w:val="24"/>
          <w:highlight w:val="none"/>
          <w:lang w:val="pt-BR"/>
        </w:rPr>
        <w:t>26 de junho de 2026 às 08h30min.</w:t>
      </w:r>
      <w:r>
        <w:rPr>
          <w:rFonts w:cs="Arial"/>
          <w:szCs w:val="24"/>
          <w:highlight w:val="none"/>
        </w:rPr>
        <w:t xml:space="preserve">   </w:t>
      </w:r>
    </w:p>
    <w:p w14:paraId="5BEE702F">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Prazo para solicitar </w:t>
      </w:r>
      <w:r>
        <w:fldChar w:fldCharType="begin"/>
      </w:r>
      <w:r>
        <w:instrText xml:space="preserve"> HYPERLINK "https://docs.google.com/document/d/e/2PACX-1vT-EqoECVnXQI7eZ-MhVXnKgkzxmtMIarjCLZT171rf-NntH_kH6idp4wgqMXBG2feZWVVNhkQhxaaD/pub" </w:instrText>
      </w:r>
      <w:r>
        <w:fldChar w:fldCharType="separate"/>
      </w:r>
      <w:r>
        <w:rPr>
          <w:rStyle w:val="9"/>
          <w:rFonts w:cs="Arial"/>
          <w:szCs w:val="24"/>
        </w:rPr>
        <w:t>esclarecimento e impugnar</w:t>
      </w:r>
      <w:r>
        <w:rPr>
          <w:rStyle w:val="9"/>
          <w:rFonts w:cs="Arial"/>
          <w:szCs w:val="24"/>
        </w:rPr>
        <w:fldChar w:fldCharType="end"/>
      </w:r>
      <w:r>
        <w:rPr>
          <w:rFonts w:cs="Arial"/>
          <w:szCs w:val="24"/>
        </w:rPr>
        <w:t xml:space="preserve"> o edital: </w:t>
      </w:r>
      <w:r>
        <w:rPr>
          <w:rFonts w:hint="default" w:cs="Arial"/>
          <w:szCs w:val="24"/>
          <w:highlight w:val="none"/>
          <w:lang w:val="pt-BR"/>
        </w:rPr>
        <w:t>23</w:t>
      </w:r>
      <w:bookmarkStart w:id="8" w:name="_GoBack"/>
      <w:bookmarkEnd w:id="8"/>
      <w:r>
        <w:rPr>
          <w:rFonts w:hint="default" w:cs="Arial"/>
          <w:szCs w:val="24"/>
          <w:highlight w:val="none"/>
          <w:lang w:val="pt-BR"/>
        </w:rPr>
        <w:t xml:space="preserve"> de junho de 2026 às</w:t>
      </w:r>
      <w:r>
        <w:rPr>
          <w:rFonts w:cs="Arial"/>
          <w:szCs w:val="24"/>
          <w:highlight w:val="none"/>
        </w:rPr>
        <w:t xml:space="preserve"> 23h59min.  </w:t>
      </w:r>
    </w:p>
    <w:p w14:paraId="5F5A1694">
      <w:pPr>
        <w:pStyle w:val="25"/>
        <w:numPr>
          <w:ilvl w:val="1"/>
          <w:numId w:val="1"/>
        </w:numPr>
        <w:tabs>
          <w:tab w:val="left" w:pos="567"/>
        </w:tabs>
        <w:spacing w:before="180"/>
        <w:ind w:left="0" w:firstLine="0"/>
        <w:contextualSpacing w:val="0"/>
        <w:jc w:val="both"/>
        <w:rPr>
          <w:rFonts w:cs="Arial"/>
          <w:szCs w:val="24"/>
          <w:highlight w:val="lightGray"/>
        </w:rPr>
      </w:pPr>
      <w:r>
        <w:rPr>
          <w:rFonts w:cs="Arial"/>
          <w:szCs w:val="24"/>
          <w:highlight w:val="none"/>
        </w:rPr>
        <w:t>Valor estimado total da contratação:</w:t>
      </w:r>
      <w:r>
        <w:rPr>
          <w:rFonts w:hint="default" w:ascii="Courier New" w:hAnsi="Courier New" w:cs="Courier New"/>
          <w:color w:val="385724" w:themeColor="accent6" w:themeShade="80"/>
          <w:lang w:val="pt-BR"/>
        </w:rPr>
        <w:t xml:space="preserve"> </w:t>
      </w:r>
      <w:r>
        <w:rPr>
          <w:rFonts w:hint="default" w:cs="Arial"/>
          <w:b/>
          <w:bCs/>
          <w:szCs w:val="24"/>
          <w:highlight w:val="none"/>
          <w:u w:val="single"/>
          <w:lang w:val="pt-BR"/>
        </w:rPr>
        <w:t>R$ 21.315.737,11</w:t>
      </w:r>
      <w:r>
        <w:rPr>
          <w:rFonts w:hint="default" w:cs="Arial"/>
          <w:b w:val="0"/>
          <w:bCs w:val="0"/>
          <w:szCs w:val="24"/>
          <w:highlight w:val="none"/>
          <w:lang w:val="pt-BR"/>
        </w:rPr>
        <w:t xml:space="preserve"> (Vinte e um milhões, trezentos e quinze mil, setecentos e trinta e sete reais e onze centavos).</w:t>
      </w:r>
      <w:r>
        <w:rPr>
          <w:rFonts w:cs="Arial"/>
          <w:szCs w:val="24"/>
        </w:rPr>
        <w:t xml:space="preserve"> </w:t>
      </w:r>
    </w:p>
    <w:p w14:paraId="6E171766">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Rito da seleção: </w:t>
      </w:r>
      <w:r>
        <w:rPr>
          <w:rFonts w:hint="default" w:cs="Arial"/>
          <w:b/>
          <w:bCs/>
          <w:szCs w:val="24"/>
          <w:lang w:val="pt-BR"/>
        </w:rPr>
        <w:t>Pregão</w:t>
      </w:r>
    </w:p>
    <w:p w14:paraId="1EE2D76D">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Forma da seleção: </w:t>
      </w:r>
      <w:r>
        <w:rPr>
          <w:highlight w:val="none"/>
        </w:rPr>
        <w:fldChar w:fldCharType="begin"/>
      </w:r>
      <w:r>
        <w:rPr>
          <w:highlight w:val="none"/>
        </w:rPr>
        <w:instrText xml:space="preserve"> HYPERLINK "https://docs.google.com/document/d/e/2PACX-1vSGTjX0CeTjL7OBZfJS9Hadr5J5k4FCkdYOsUBMr6_szQYGoL0w6Snb_pG5ZCYPlVBijBuAT3Vy2HIF/pub" </w:instrText>
      </w:r>
      <w:r>
        <w:rPr>
          <w:highlight w:val="none"/>
        </w:rPr>
        <w:fldChar w:fldCharType="separate"/>
      </w:r>
      <w:r>
        <w:rPr>
          <w:rStyle w:val="9"/>
          <w:rFonts w:cs="Arial"/>
          <w:szCs w:val="24"/>
          <w:highlight w:val="none"/>
        </w:rPr>
        <w:t>eletrônica</w:t>
      </w:r>
      <w:r>
        <w:rPr>
          <w:rStyle w:val="9"/>
          <w:rFonts w:cs="Arial"/>
          <w:szCs w:val="24"/>
          <w:highlight w:val="none"/>
        </w:rPr>
        <w:fldChar w:fldCharType="end"/>
      </w:r>
    </w:p>
    <w:p w14:paraId="21287702">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Local do certame:</w:t>
      </w:r>
      <w:r>
        <w:rPr>
          <w:rFonts w:hint="default" w:cs="Arial"/>
          <w:szCs w:val="24"/>
          <w:highlight w:val="none"/>
          <w:lang w:val="pt-BR"/>
        </w:rPr>
        <w:t xml:space="preserve"> </w:t>
      </w:r>
      <w:r>
        <w:rPr>
          <w:rFonts w:hint="default"/>
          <w:szCs w:val="24"/>
          <w:highlight w:val="none"/>
        </w:rPr>
        <w:fldChar w:fldCharType="begin"/>
      </w:r>
      <w:r>
        <w:rPr>
          <w:rFonts w:hint="default"/>
          <w:szCs w:val="24"/>
          <w:highlight w:val="none"/>
        </w:rPr>
        <w:instrText xml:space="preserve"> HYPERLINK "https://elicita.atende.net/" </w:instrText>
      </w:r>
      <w:r>
        <w:rPr>
          <w:rFonts w:hint="default"/>
          <w:szCs w:val="24"/>
          <w:highlight w:val="none"/>
        </w:rPr>
        <w:fldChar w:fldCharType="separate"/>
      </w:r>
      <w:r>
        <w:rPr>
          <w:rStyle w:val="9"/>
          <w:rFonts w:hint="default"/>
          <w:szCs w:val="24"/>
          <w:highlight w:val="none"/>
        </w:rPr>
        <w:t>https://elicita.atende.net/</w:t>
      </w:r>
      <w:r>
        <w:rPr>
          <w:rFonts w:hint="default"/>
          <w:szCs w:val="24"/>
          <w:highlight w:val="none"/>
        </w:rPr>
        <w:fldChar w:fldCharType="end"/>
      </w:r>
    </w:p>
    <w:p w14:paraId="2033A7A2">
      <w:pPr>
        <w:pStyle w:val="25"/>
        <w:numPr>
          <w:ilvl w:val="2"/>
          <w:numId w:val="1"/>
        </w:numPr>
        <w:tabs>
          <w:tab w:val="left" w:pos="567"/>
        </w:tabs>
        <w:spacing w:before="180"/>
        <w:ind w:left="4" w:leftChars="0" w:hanging="4" w:firstLineChars="0"/>
        <w:contextualSpacing w:val="0"/>
        <w:jc w:val="both"/>
        <w:rPr>
          <w:rFonts w:cs="Arial"/>
          <w:szCs w:val="24"/>
          <w:highlight w:val="none"/>
        </w:rPr>
      </w:pPr>
      <w:r>
        <w:rPr>
          <w:rFonts w:cs="Arial"/>
          <w:szCs w:val="24"/>
          <w:highlight w:val="none"/>
        </w:rPr>
        <w:t xml:space="preserve"> </w:t>
      </w:r>
      <w:r>
        <w:rPr>
          <w:rFonts w:hint="default" w:cs="Arial"/>
          <w:szCs w:val="24"/>
          <w:highlight w:val="none"/>
          <w:lang w:val="pt-BR"/>
        </w:rPr>
        <w:t>Qua</w:t>
      </w:r>
      <w:r>
        <w:rPr>
          <w:rFonts w:hint="default"/>
          <w:szCs w:val="24"/>
          <w:highlight w:val="none"/>
        </w:rPr>
        <w:t>lquer dúvida em relação ao acesso no sistema operacional, poderá ser esclarecida pelo Portal eLicita, através do telefone (47) 3531-1500 ou e-mail atende.elicita@ipm.com.br</w:t>
      </w:r>
      <w:r>
        <w:rPr>
          <w:rFonts w:hint="default"/>
          <w:szCs w:val="24"/>
          <w:highlight w:val="none"/>
          <w:lang w:val="pt-BR"/>
        </w:rPr>
        <w:t>.</w:t>
      </w:r>
    </w:p>
    <w:p w14:paraId="315508F3">
      <w:pPr>
        <w:pStyle w:val="25"/>
        <w:numPr>
          <w:ilvl w:val="1"/>
          <w:numId w:val="1"/>
        </w:numPr>
        <w:tabs>
          <w:tab w:val="left" w:pos="567"/>
        </w:tabs>
        <w:spacing w:before="180"/>
        <w:ind w:left="0" w:firstLine="0"/>
        <w:contextualSpacing w:val="0"/>
        <w:jc w:val="both"/>
        <w:rPr>
          <w:rStyle w:val="9"/>
          <w:color w:val="auto"/>
          <w:highlight w:val="none"/>
        </w:rPr>
      </w:pPr>
      <w:r>
        <w:rPr>
          <w:rFonts w:cs="Arial"/>
          <w:color w:val="000000" w:themeColor="text1"/>
          <w:szCs w:val="24"/>
          <w:highlight w:val="none"/>
          <w14:textFill>
            <w14:solidFill>
              <w14:schemeClr w14:val="tx1"/>
            </w14:solidFill>
          </w14:textFill>
        </w:rPr>
        <w:t>Critério de julgamento</w:t>
      </w:r>
      <w:r>
        <w:rPr>
          <w:rFonts w:hint="default" w:cs="Arial"/>
          <w:color w:val="000000" w:themeColor="text1"/>
          <w:szCs w:val="24"/>
          <w:highlight w:val="none"/>
          <w:lang w:val="pt-BR"/>
          <w14:textFill>
            <w14:solidFill>
              <w14:schemeClr w14:val="tx1"/>
            </w14:solidFill>
          </w14:textFill>
        </w:rPr>
        <w:t xml:space="preserve">: </w:t>
      </w:r>
      <w:r>
        <w:rPr>
          <w:highlight w:val="none"/>
        </w:rPr>
        <w:fldChar w:fldCharType="begin"/>
      </w:r>
      <w:r>
        <w:rPr>
          <w:highlight w:val="none"/>
        </w:rPr>
        <w:instrText xml:space="preserve"> HYPERLINK "https://docs.google.com/document/d/e/2PACX-1vSyAJ-scrVeVHkeV8eNSJ7JBDo2Nh6dwp_Hk4VMQWhtSER1MERIHvJd0umB5V42_VoNJO_CWkq8if89/pub" </w:instrText>
      </w:r>
      <w:r>
        <w:rPr>
          <w:highlight w:val="none"/>
        </w:rPr>
        <w:fldChar w:fldCharType="separate"/>
      </w:r>
      <w:r>
        <w:rPr>
          <w:rStyle w:val="9"/>
          <w:rFonts w:cs="Arial"/>
          <w:szCs w:val="24"/>
          <w:highlight w:val="none"/>
        </w:rPr>
        <w:t>Menor preço</w:t>
      </w:r>
      <w:r>
        <w:rPr>
          <w:rStyle w:val="9"/>
          <w:rFonts w:cs="Arial"/>
          <w:szCs w:val="24"/>
          <w:highlight w:val="none"/>
        </w:rPr>
        <w:fldChar w:fldCharType="end"/>
      </w:r>
      <w:r>
        <w:rPr>
          <w:rStyle w:val="9"/>
          <w:rFonts w:cs="Arial"/>
          <w:color w:val="auto"/>
          <w:szCs w:val="24"/>
          <w:highlight w:val="none"/>
          <w:u w:val="none"/>
        </w:rPr>
        <w:t xml:space="preserve"> </w:t>
      </w:r>
      <w:r>
        <w:rPr>
          <w:rStyle w:val="9"/>
          <w:rFonts w:hint="default" w:cs="Arial"/>
          <w:color w:val="auto"/>
          <w:szCs w:val="24"/>
          <w:highlight w:val="none"/>
          <w:u w:val="none"/>
          <w:lang w:val="pt-BR"/>
        </w:rPr>
        <w:t xml:space="preserve">por </w:t>
      </w:r>
      <w:r>
        <w:rPr>
          <w:rStyle w:val="9"/>
          <w:rFonts w:hint="default" w:cs="Arial"/>
          <w:b/>
          <w:bCs/>
          <w:color w:val="auto"/>
          <w:szCs w:val="24"/>
          <w:highlight w:val="none"/>
          <w:u w:val="none"/>
          <w:lang w:val="pt-BR"/>
        </w:rPr>
        <w:t>LOTE DE ITENS</w:t>
      </w:r>
    </w:p>
    <w:p w14:paraId="4526BB08">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Modo de disputa: </w:t>
      </w:r>
      <w:r>
        <w:rPr>
          <w:highlight w:val="none"/>
        </w:rPr>
        <w:fldChar w:fldCharType="begin"/>
      </w:r>
      <w:r>
        <w:rPr>
          <w:highlight w:val="none"/>
        </w:rPr>
        <w:instrText xml:space="preserve"> HYPERLINK "https://docs.google.com/document/d/e/2PACX-1vT5aMmTwclVVQBaEtw-_G0l1N3ft4K1HRBlq5nEbal_MDlFq7vU08vIewXJnJQaiM0M19W41Eyjf0Iv/pub" </w:instrText>
      </w:r>
      <w:r>
        <w:rPr>
          <w:highlight w:val="none"/>
        </w:rPr>
        <w:fldChar w:fldCharType="separate"/>
      </w:r>
      <w:r>
        <w:rPr>
          <w:rStyle w:val="9"/>
          <w:rFonts w:cs="Arial"/>
          <w:szCs w:val="24"/>
          <w:highlight w:val="none"/>
        </w:rPr>
        <w:t>Aberto na forma eletrônica</w:t>
      </w:r>
      <w:r>
        <w:rPr>
          <w:rStyle w:val="9"/>
          <w:rFonts w:cs="Arial"/>
          <w:szCs w:val="24"/>
          <w:highlight w:val="none"/>
        </w:rPr>
        <w:fldChar w:fldCharType="end"/>
      </w:r>
      <w:r>
        <w:rPr>
          <w:rFonts w:cs="Arial"/>
          <w:szCs w:val="24"/>
          <w:highlight w:val="none"/>
        </w:rPr>
        <w:t xml:space="preserve"> </w:t>
      </w:r>
    </w:p>
    <w:p w14:paraId="2BC27FA4">
      <w:pPr>
        <w:pStyle w:val="25"/>
        <w:numPr>
          <w:ilvl w:val="2"/>
          <w:numId w:val="1"/>
        </w:numPr>
        <w:tabs>
          <w:tab w:val="left" w:pos="993"/>
        </w:tabs>
        <w:spacing w:before="180"/>
        <w:ind w:left="0" w:firstLine="0"/>
        <w:contextualSpacing w:val="0"/>
        <w:jc w:val="both"/>
        <w:rPr>
          <w:rFonts w:cs="Arial"/>
          <w:szCs w:val="24"/>
          <w:highlight w:val="lightGray"/>
        </w:rPr>
      </w:pPr>
      <w:r>
        <w:rPr>
          <w:rFonts w:cs="Arial"/>
          <w:szCs w:val="24"/>
          <w:highlight w:val="none"/>
        </w:rPr>
        <w:t>Intervalo mínimo entre lances:</w:t>
      </w:r>
      <w:r>
        <w:rPr>
          <w:highlight w:val="none"/>
        </w:rPr>
        <w:t xml:space="preserve"> </w:t>
      </w:r>
      <w:r>
        <w:rPr>
          <w:rFonts w:cs="Arial"/>
          <w:szCs w:val="24"/>
          <w:highlight w:val="none"/>
        </w:rPr>
        <w:t xml:space="preserve">0,1% (um décimo por cento) em relação ao melhor lance ou proposta.   </w:t>
      </w:r>
    </w:p>
    <w:p w14:paraId="5E163CCA">
      <w:pPr>
        <w:pStyle w:val="25"/>
        <w:numPr>
          <w:ilvl w:val="1"/>
          <w:numId w:val="1"/>
        </w:numPr>
        <w:spacing w:before="180"/>
        <w:ind w:left="0" w:firstLine="0"/>
        <w:contextualSpacing w:val="0"/>
        <w:jc w:val="both"/>
        <w:rPr>
          <w:rFonts w:cs="Arial"/>
          <w:szCs w:val="24"/>
        </w:rPr>
      </w:pPr>
      <w:r>
        <w:rPr>
          <w:rFonts w:cs="Arial"/>
          <w:szCs w:val="24"/>
        </w:rPr>
        <w:t xml:space="preserve">Ordem das etapas: </w:t>
      </w:r>
      <w:r>
        <w:rPr>
          <w:highlight w:val="none"/>
        </w:rPr>
        <w:fldChar w:fldCharType="begin"/>
      </w:r>
      <w:r>
        <w:rPr>
          <w:highlight w:val="none"/>
        </w:rPr>
        <w:instrText xml:space="preserve"> HYPERLINK "https://docs.google.com/document/d/e/2PACX-1vRHNYam9qlYyJKziEUk0dizeIzIPgRl0EUe4BJPa8NkDA08W-uQIZgPvKgQoFY1kwGpuK1S3qppTKQ2/pub" </w:instrText>
      </w:r>
      <w:r>
        <w:rPr>
          <w:highlight w:val="none"/>
        </w:rPr>
        <w:fldChar w:fldCharType="separate"/>
      </w:r>
      <w:r>
        <w:rPr>
          <w:rStyle w:val="9"/>
          <w:rFonts w:cs="Arial"/>
          <w:szCs w:val="24"/>
          <w:highlight w:val="none"/>
        </w:rPr>
        <w:t>Rito procedimental comum</w:t>
      </w:r>
      <w:r>
        <w:rPr>
          <w:rStyle w:val="9"/>
          <w:rFonts w:cs="Arial"/>
          <w:szCs w:val="24"/>
          <w:highlight w:val="none"/>
        </w:rPr>
        <w:fldChar w:fldCharType="end"/>
      </w:r>
    </w:p>
    <w:p w14:paraId="1FE77197">
      <w:pPr>
        <w:pStyle w:val="25"/>
        <w:numPr>
          <w:ilvl w:val="1"/>
          <w:numId w:val="1"/>
        </w:numPr>
        <w:tabs>
          <w:tab w:val="left" w:pos="567"/>
        </w:tabs>
        <w:spacing w:before="180"/>
        <w:ind w:left="0" w:firstLine="0"/>
        <w:contextualSpacing w:val="0"/>
        <w:jc w:val="both"/>
        <w:rPr>
          <w:rFonts w:cs="Arial"/>
          <w:szCs w:val="24"/>
        </w:rPr>
      </w:pPr>
      <w:r>
        <w:rPr>
          <w:rFonts w:cs="Arial"/>
          <w:szCs w:val="24"/>
        </w:rPr>
        <w:t>Este certame será sob o Sistema de Registro de Preços?</w:t>
      </w:r>
      <w:r>
        <w:rPr>
          <w:rFonts w:ascii="Courier New" w:hAnsi="Courier New" w:eastAsia="Times New Roman" w:cs="Courier New"/>
          <w:color w:val="385623"/>
          <w:szCs w:val="24"/>
          <w:lang w:eastAsia="pt-BR"/>
        </w:rPr>
        <w:t xml:space="preserve"> </w:t>
      </w:r>
      <w:r>
        <w:rPr>
          <w:rFonts w:hint="default" w:ascii="Arial" w:hAnsi="Arial" w:cs="Arial"/>
          <w:b/>
          <w:bCs/>
          <w:szCs w:val="24"/>
          <w:u w:val="single"/>
          <w:lang w:val="pt-BR"/>
        </w:rPr>
        <w:t>NÃO</w:t>
      </w:r>
      <w:r>
        <w:rPr>
          <w:rFonts w:cs="Arial"/>
          <w:szCs w:val="24"/>
        </w:rPr>
        <w:t xml:space="preserve">   </w:t>
      </w:r>
    </w:p>
    <w:p w14:paraId="7143320C">
      <w:pPr>
        <w:pStyle w:val="25"/>
        <w:numPr>
          <w:ilvl w:val="1"/>
          <w:numId w:val="1"/>
        </w:numPr>
        <w:tabs>
          <w:tab w:val="left" w:pos="567"/>
        </w:tabs>
        <w:spacing w:before="180"/>
        <w:ind w:left="0" w:firstLine="0"/>
        <w:contextualSpacing w:val="0"/>
        <w:jc w:val="both"/>
        <w:rPr>
          <w:rFonts w:cs="Arial"/>
          <w:szCs w:val="24"/>
        </w:rPr>
      </w:pPr>
      <w:r>
        <w:fldChar w:fldCharType="begin"/>
      </w:r>
      <w:r>
        <w:instrText xml:space="preserve"> HYPERLINK "https://docs.google.com/document/d/e/2PACX-1vQ-Ra0HAkEcS6At1UFzH_g6FTN3iFsDwe4doHzxc6aA_SUE3uWJKm8iezGm1ILUApQnb9csyzt_dgZt/pub" </w:instrText>
      </w:r>
      <w:r>
        <w:fldChar w:fldCharType="separate"/>
      </w:r>
      <w:r>
        <w:rPr>
          <w:rStyle w:val="9"/>
          <w:rFonts w:cs="Arial"/>
          <w:szCs w:val="24"/>
        </w:rPr>
        <w:t>Benefícios de Micro e Pequenas Empresas - MPE</w:t>
      </w:r>
      <w:r>
        <w:rPr>
          <w:rStyle w:val="9"/>
          <w:rFonts w:cs="Arial"/>
          <w:szCs w:val="24"/>
        </w:rPr>
        <w:fldChar w:fldCharType="end"/>
      </w:r>
      <w:r>
        <w:rPr>
          <w:rFonts w:cs="Arial"/>
          <w:color w:val="000000" w:themeColor="text1"/>
          <w:szCs w:val="24"/>
          <w14:textFill>
            <w14:solidFill>
              <w14:schemeClr w14:val="tx1"/>
            </w14:solidFill>
          </w14:textFill>
        </w:rPr>
        <w:t>:</w:t>
      </w:r>
      <w:r>
        <w:rPr>
          <w:rFonts w:hint="default" w:cs="Arial"/>
          <w:color w:val="000000" w:themeColor="text1"/>
          <w:szCs w:val="24"/>
          <w:lang w:val="pt-BR"/>
          <w14:textFill>
            <w14:solidFill>
              <w14:schemeClr w14:val="tx1"/>
            </w14:solidFill>
          </w14:textFill>
        </w:rPr>
        <w:t xml:space="preserve"> </w:t>
      </w:r>
    </w:p>
    <w:p w14:paraId="35F698E9">
      <w:pPr>
        <w:pStyle w:val="25"/>
        <w:numPr>
          <w:ilvl w:val="0"/>
          <w:numId w:val="0"/>
        </w:numPr>
        <w:tabs>
          <w:tab w:val="left" w:pos="567"/>
        </w:tabs>
        <w:spacing w:before="180"/>
        <w:ind w:leftChars="0"/>
        <w:contextualSpacing w:val="0"/>
        <w:jc w:val="both"/>
        <w:rPr>
          <w:rFonts w:hint="default"/>
          <w:b/>
          <w:bCs/>
          <w:szCs w:val="24"/>
        </w:rPr>
      </w:pPr>
      <w:r>
        <w:rPr>
          <w:rFonts w:hint="default"/>
          <w:b/>
          <w:bCs/>
          <w:szCs w:val="24"/>
        </w:rPr>
        <w:t>COMPROVAÇÃO TARDIA E EMPATE FICTO PARA OBRAS E SERVIÇOS DE ENGENHARIA COM VALOR SUPERIOR A R$ 80.000,00</w:t>
      </w:r>
    </w:p>
    <w:p w14:paraId="18D474BF">
      <w:pPr>
        <w:pStyle w:val="52"/>
        <w:numPr>
          <w:ilvl w:val="0"/>
          <w:numId w:val="6"/>
        </w:numPr>
        <w:spacing w:line="360" w:lineRule="auto"/>
        <w:ind w:left="420" w:leftChars="0" w:hanging="420" w:firstLineChars="0"/>
        <w:jc w:val="both"/>
        <w:rPr>
          <w:rFonts w:ascii="Arial" w:hAnsi="Arial"/>
          <w:color w:val="auto"/>
        </w:rPr>
      </w:pPr>
      <w:r>
        <w:rPr>
          <w:rFonts w:ascii="Arial" w:hAnsi="Arial"/>
          <w:color w:val="auto"/>
        </w:rPr>
        <w:t>Por se tratar de uma contratação Global cujo valor estimado é superior a R$ 80.000,00 (Oitenta mil reais), nesta contratação serão aplicados os seguintes tratamentos Favorecidos e Diferenciados para Microempresas e Empresas de Pequeno Porte conforme estabelecido na Lei Complementar 50/2019 que Institui o tratamento diferenciado e favorecido a ser dispensado às microempresas e as empresas de pequeno porte no âmbito do Município, na conformidade das normas gerais previstas no Estatuto Nacional da Microempresa e da Empresa de Pequeno Porte, instituído pela Lei Complementar nº 123/06 e suas alterações:</w:t>
      </w:r>
    </w:p>
    <w:p w14:paraId="0118BB71">
      <w:pPr>
        <w:pStyle w:val="52"/>
        <w:spacing w:line="360" w:lineRule="auto"/>
        <w:ind w:left="0" w:leftChars="0" w:firstLine="2880" w:firstLineChars="1200"/>
        <w:jc w:val="both"/>
        <w:rPr>
          <w:rFonts w:ascii="Arial" w:hAnsi="Arial"/>
          <w:color w:val="auto"/>
        </w:rPr>
      </w:pPr>
      <w:r>
        <w:rPr>
          <w:rFonts w:ascii="Arial" w:hAnsi="Arial"/>
          <w:color w:val="auto"/>
        </w:rPr>
        <w:t>Art. 31, § 1º, I e II:</w:t>
      </w:r>
    </w:p>
    <w:p w14:paraId="7A9E14B4">
      <w:pPr>
        <w:pStyle w:val="52"/>
        <w:ind w:left="2872" w:leftChars="0" w:firstLine="6" w:firstLineChars="0"/>
        <w:jc w:val="both"/>
        <w:rPr>
          <w:rFonts w:ascii="Arial" w:hAnsi="Arial"/>
          <w:color w:val="auto"/>
          <w:sz w:val="20"/>
          <w:szCs w:val="20"/>
        </w:rPr>
      </w:pPr>
      <w:r>
        <w:rPr>
          <w:rFonts w:ascii="Arial" w:hAnsi="Arial"/>
          <w:color w:val="auto"/>
          <w:sz w:val="20"/>
          <w:szCs w:val="20"/>
        </w:rPr>
        <w:t>I - O MEI as ME e EPP deverão apresentar toda a documentação exigida como condição de participação no certame, mesmo que esta apresente alguma restrição;</w:t>
      </w:r>
    </w:p>
    <w:p w14:paraId="594E160E">
      <w:pPr>
        <w:pStyle w:val="52"/>
        <w:ind w:left="2872" w:leftChars="0" w:firstLine="6" w:firstLineChars="0"/>
        <w:jc w:val="both"/>
        <w:rPr>
          <w:rFonts w:ascii="Arial" w:hAnsi="Arial"/>
          <w:color w:val="auto"/>
          <w:sz w:val="20"/>
          <w:szCs w:val="20"/>
        </w:rPr>
      </w:pPr>
      <w:r>
        <w:rPr>
          <w:rFonts w:ascii="Arial" w:hAnsi="Arial"/>
          <w:color w:val="auto"/>
          <w:sz w:val="20"/>
          <w:szCs w:val="20"/>
        </w:rPr>
        <w:br w:type="textWrapping"/>
      </w:r>
      <w:r>
        <w:rPr>
          <w:rFonts w:ascii="Arial" w:hAnsi="Arial"/>
          <w:color w:val="auto"/>
          <w:sz w:val="20"/>
          <w:szCs w:val="20"/>
        </w:rPr>
        <w:t>a) a comprovação de regularidade fiscal e trabalhista do MEI e das ME e EPP somente será exigida para efeito de assinatura do contrato.</w:t>
      </w:r>
    </w:p>
    <w:p w14:paraId="6EB4A469">
      <w:pPr>
        <w:pStyle w:val="52"/>
        <w:ind w:left="2872" w:leftChars="0" w:firstLine="6" w:firstLineChars="0"/>
        <w:jc w:val="both"/>
        <w:rPr>
          <w:rFonts w:ascii="Arial" w:hAnsi="Arial"/>
          <w:color w:val="auto"/>
          <w:sz w:val="20"/>
          <w:szCs w:val="20"/>
        </w:rPr>
      </w:pPr>
      <w:r>
        <w:rPr>
          <w:rFonts w:ascii="Arial" w:hAnsi="Arial"/>
          <w:color w:val="auto"/>
          <w:sz w:val="20"/>
          <w:szCs w:val="20"/>
        </w:rPr>
        <w:t>b) havendo alguma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7F6D8032">
      <w:pPr>
        <w:pStyle w:val="52"/>
        <w:ind w:left="2872" w:leftChars="0" w:firstLine="6" w:firstLineChars="0"/>
        <w:jc w:val="both"/>
        <w:rPr>
          <w:rFonts w:ascii="Arial" w:hAnsi="Arial"/>
          <w:color w:val="auto"/>
        </w:rPr>
      </w:pPr>
      <w:r>
        <w:rPr>
          <w:rFonts w:ascii="Arial" w:hAnsi="Arial"/>
          <w:color w:val="auto"/>
          <w:sz w:val="20"/>
          <w:szCs w:val="20"/>
        </w:rPr>
        <w:t>c) a não regularização da documentação, no prazo previsto no § 1º deste artigo, implicará decadência do direito à contratação, sem prejuízo das sanções previstas no art. 81 da Lei nº 8.666/1993, sendo facultado à Administração convocar os licitantes remanescentes, na ordem de classificação, para a assinatura do contrato, ou revogar a licitação.</w:t>
      </w:r>
    </w:p>
    <w:p w14:paraId="0E07FDB9">
      <w:pPr>
        <w:pStyle w:val="52"/>
        <w:ind w:left="2872" w:leftChars="0" w:firstLine="6" w:firstLineChars="0"/>
        <w:jc w:val="both"/>
        <w:rPr>
          <w:rFonts w:ascii="Arial" w:hAnsi="Arial"/>
          <w:color w:val="auto"/>
          <w:sz w:val="20"/>
          <w:szCs w:val="20"/>
        </w:rPr>
      </w:pPr>
      <w:r>
        <w:rPr>
          <w:rFonts w:ascii="Arial" w:hAnsi="Arial"/>
          <w:color w:val="auto"/>
          <w:sz w:val="20"/>
          <w:szCs w:val="20"/>
        </w:rPr>
        <w:br w:type="textWrapping"/>
      </w:r>
      <w:r>
        <w:rPr>
          <w:rFonts w:ascii="Arial" w:hAnsi="Arial"/>
          <w:color w:val="auto"/>
          <w:sz w:val="20"/>
          <w:szCs w:val="20"/>
        </w:rPr>
        <w:t>II - preferência de contratação em caso de empate, como disciplinado no art. 44 da Lei Complementar nº </w:t>
      </w:r>
      <w:r>
        <w:rPr>
          <w:rFonts w:ascii="Arial" w:hAnsi="Arial"/>
          <w:color w:val="auto"/>
          <w:sz w:val="20"/>
          <w:szCs w:val="20"/>
          <w:shd w:val="clear" w:fill="FFFFFF"/>
        </w:rPr>
        <w:t>123</w:t>
      </w:r>
      <w:r>
        <w:rPr>
          <w:rFonts w:ascii="Arial" w:hAnsi="Arial"/>
          <w:color w:val="auto"/>
          <w:sz w:val="20"/>
          <w:szCs w:val="20"/>
        </w:rPr>
        <w:t>/06;</w:t>
      </w:r>
    </w:p>
    <w:p w14:paraId="654FBA2C">
      <w:pPr>
        <w:pStyle w:val="25"/>
        <w:numPr>
          <w:ilvl w:val="0"/>
          <w:numId w:val="7"/>
        </w:numPr>
        <w:tabs>
          <w:tab w:val="left" w:pos="567"/>
          <w:tab w:val="clear" w:pos="420"/>
        </w:tabs>
        <w:spacing w:before="180"/>
        <w:ind w:left="420" w:leftChars="0" w:hanging="420" w:firstLineChars="0"/>
        <w:contextualSpacing w:val="0"/>
        <w:jc w:val="both"/>
        <w:rPr>
          <w:rStyle w:val="9"/>
          <w:rFonts w:cs="Arial"/>
          <w:color w:val="auto"/>
          <w:szCs w:val="24"/>
          <w:highlight w:val="none"/>
          <w:u w:val="none"/>
        </w:rPr>
      </w:pPr>
      <w:r>
        <w:rPr>
          <w:rFonts w:ascii="Arial" w:hAnsi="Arial"/>
          <w:color w:val="auto"/>
        </w:rPr>
        <w:t>Sendo assim, ficam assegurados as empresas MEI, ME e EPP, o prazo de 05 (cinco) dias úteis para a comprovação da regularidade fiscal e trabalhista caso haja alguma restrição e também a preferência de contratação em caso de empate conforme estabelecido do art. 44 da Lei Complementar 123/06.</w:t>
      </w:r>
      <w:r>
        <w:rPr>
          <w:rFonts w:cs="Arial"/>
          <w:szCs w:val="24"/>
          <w:highlight w:val="none"/>
        </w:rPr>
        <w:t xml:space="preserve"> </w:t>
      </w:r>
      <w:r>
        <w:rPr>
          <w:rStyle w:val="9"/>
          <w:rFonts w:cs="Arial"/>
          <w:color w:val="auto"/>
          <w:szCs w:val="24"/>
          <w:highlight w:val="none"/>
          <w:u w:val="none"/>
        </w:rPr>
        <w:t xml:space="preserve"> </w:t>
      </w:r>
    </w:p>
    <w:p w14:paraId="3C1CA682">
      <w:pPr>
        <w:pStyle w:val="30"/>
      </w:pPr>
      <w:r>
        <w:t>PODERÃO PARTICIPAR DO CERTAME</w:t>
      </w:r>
    </w:p>
    <w:p w14:paraId="42430370">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for do ramo de atividade compatível com o objeto licitado;</w:t>
      </w:r>
    </w:p>
    <w:p w14:paraId="56C3507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 xml:space="preserve">Quem não estiver sancionado com suspensão do direito de licitar e contratar pelo município de Paranavaí ou com declaração de inidoneidade para licitar ou contratar por qualquer órgão ou </w:t>
      </w:r>
      <w:r>
        <w:rPr>
          <w:rFonts w:cs="Arial"/>
          <w:szCs w:val="24"/>
        </w:rPr>
        <w:t>entidade</w:t>
      </w:r>
      <w:r>
        <w:rPr>
          <w:rFonts w:cs="Arial"/>
          <w:color w:val="000000"/>
          <w:szCs w:val="24"/>
        </w:rPr>
        <w:t xml:space="preserve"> da Administração Pública;</w:t>
      </w:r>
    </w:p>
    <w:p w14:paraId="004D229D">
      <w:pPr>
        <w:pStyle w:val="25"/>
        <w:numPr>
          <w:ilvl w:val="1"/>
          <w:numId w:val="1"/>
        </w:numPr>
        <w:tabs>
          <w:tab w:val="left" w:pos="567"/>
        </w:tabs>
        <w:spacing w:before="180"/>
        <w:ind w:left="0" w:firstLine="0"/>
        <w:contextualSpacing w:val="0"/>
        <w:jc w:val="both"/>
        <w:rPr>
          <w:rFonts w:cs="Arial"/>
          <w:color w:val="000000"/>
          <w:szCs w:val="24"/>
        </w:rPr>
      </w:pPr>
      <w:bookmarkStart w:id="0" w:name="art14iv"/>
      <w:bookmarkEnd w:id="0"/>
      <w:r>
        <w:rPr>
          <w:rFonts w:cs="Arial"/>
          <w:color w:val="000000"/>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1DF22B03">
      <w:pPr>
        <w:pStyle w:val="25"/>
        <w:numPr>
          <w:ilvl w:val="1"/>
          <w:numId w:val="1"/>
        </w:numPr>
        <w:tabs>
          <w:tab w:val="left" w:pos="567"/>
        </w:tabs>
        <w:spacing w:before="180"/>
        <w:ind w:left="0" w:firstLine="0"/>
        <w:contextualSpacing w:val="0"/>
        <w:jc w:val="both"/>
        <w:rPr>
          <w:rFonts w:cs="Arial"/>
          <w:color w:val="000000"/>
          <w:szCs w:val="24"/>
        </w:rPr>
      </w:pPr>
      <w:r>
        <w:rPr>
          <w:rFonts w:cs="Arial"/>
          <w:color w:val="000000"/>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6E68E6C2">
      <w:pPr>
        <w:pStyle w:val="25"/>
        <w:numPr>
          <w:ilvl w:val="1"/>
          <w:numId w:val="1"/>
        </w:numPr>
        <w:tabs>
          <w:tab w:val="left" w:pos="567"/>
        </w:tabs>
        <w:spacing w:before="180"/>
        <w:ind w:left="0" w:firstLine="0"/>
        <w:contextualSpacing w:val="0"/>
        <w:jc w:val="both"/>
        <w:rPr>
          <w:rFonts w:cs="Arial"/>
          <w:color w:val="000000"/>
          <w:szCs w:val="24"/>
        </w:rPr>
      </w:pPr>
      <w:bookmarkStart w:id="1" w:name="art14v"/>
      <w:bookmarkEnd w:id="1"/>
      <w:r>
        <w:rPr>
          <w:rFonts w:cs="Arial"/>
          <w:color w:val="000000"/>
          <w:szCs w:val="24"/>
        </w:rPr>
        <w:t>Empresas controladoras, controladas ou coligadas, nos termos da Lei nº 6.404, de 15 de dezembro de 1976, desde que não estejam concorrendo entre si; e</w:t>
      </w:r>
    </w:p>
    <w:p w14:paraId="4969840E">
      <w:pPr>
        <w:pStyle w:val="25"/>
        <w:numPr>
          <w:ilvl w:val="1"/>
          <w:numId w:val="1"/>
        </w:numPr>
        <w:tabs>
          <w:tab w:val="left" w:pos="567"/>
        </w:tabs>
        <w:spacing w:before="180"/>
        <w:ind w:left="0" w:firstLine="0"/>
        <w:contextualSpacing w:val="0"/>
        <w:jc w:val="both"/>
        <w:rPr>
          <w:rFonts w:cs="Arial"/>
          <w:color w:val="000000"/>
          <w:szCs w:val="24"/>
        </w:rPr>
      </w:pPr>
      <w:bookmarkStart w:id="2" w:name="art14vi"/>
      <w:bookmarkEnd w:id="2"/>
      <w:r>
        <w:rPr>
          <w:rFonts w:cs="Arial"/>
          <w:color w:val="000000"/>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3EB9803E">
      <w:pPr>
        <w:pStyle w:val="25"/>
        <w:numPr>
          <w:ilvl w:val="1"/>
          <w:numId w:val="1"/>
        </w:numPr>
        <w:tabs>
          <w:tab w:val="left" w:pos="567"/>
        </w:tabs>
        <w:spacing w:before="180"/>
        <w:ind w:left="0" w:firstLine="0"/>
        <w:contextualSpacing w:val="0"/>
        <w:jc w:val="both"/>
        <w:rPr>
          <w:rFonts w:cs="Arial"/>
          <w:color w:val="000000" w:themeColor="text1"/>
          <w:szCs w:val="24"/>
          <w:highlight w:val="lightGray"/>
          <w14:textFill>
            <w14:solidFill>
              <w14:schemeClr w14:val="tx1"/>
            </w14:solidFill>
          </w14:textFill>
        </w:rPr>
      </w:pPr>
      <w:r>
        <w:rPr>
          <w:rFonts w:cs="Arial"/>
          <w:color w:val="000000" w:themeColor="text1"/>
          <w:szCs w:val="24"/>
          <w14:textFill>
            <w14:solidFill>
              <w14:schemeClr w14:val="tx1"/>
            </w14:solidFill>
          </w14:textFill>
        </w:rPr>
        <w:t xml:space="preserve">Empresas reunidas em </w:t>
      </w:r>
      <w:r>
        <w:fldChar w:fldCharType="begin"/>
      </w:r>
      <w:r>
        <w:instrText xml:space="preserve"> HYPERLINK "https://docs.google.com/document/d/e/2PACX-1vRj05_hSSurJoltOS7BcXL2FO64W7QtifCnT8MYakHfxQ6EpIBfB6jSEXU_Ti6NDSXOLIjaLRTglDmA/pub" </w:instrText>
      </w:r>
      <w:r>
        <w:fldChar w:fldCharType="separate"/>
      </w:r>
      <w:r>
        <w:rPr>
          <w:rStyle w:val="9"/>
          <w:rFonts w:cs="Arial"/>
          <w:szCs w:val="24"/>
        </w:rPr>
        <w:t>consórcios</w:t>
      </w:r>
      <w:r>
        <w:rPr>
          <w:rStyle w:val="9"/>
          <w:rFonts w:cs="Arial"/>
          <w:szCs w:val="24"/>
        </w:rPr>
        <w:fldChar w:fldCharType="end"/>
      </w:r>
      <w:r>
        <w:rPr>
          <w:rFonts w:cs="Arial"/>
          <w:color w:val="000000" w:themeColor="text1"/>
          <w:szCs w:val="24"/>
          <w14:textFill>
            <w14:solidFill>
              <w14:schemeClr w14:val="tx1"/>
            </w14:solidFill>
          </w14:textFill>
        </w:rPr>
        <w:t xml:space="preserve"> poderão participar desta licitação: </w:t>
      </w:r>
      <w:r>
        <w:rPr>
          <w:rFonts w:hint="default" w:cs="Arial"/>
          <w:b/>
          <w:bCs/>
          <w:color w:val="000000" w:themeColor="text1"/>
          <w:szCs w:val="24"/>
          <w:u w:val="single"/>
          <w:lang w:val="pt-BR"/>
          <w14:textFill>
            <w14:solidFill>
              <w14:schemeClr w14:val="tx1"/>
            </w14:solidFill>
          </w14:textFill>
        </w:rPr>
        <w:t>SIM</w:t>
      </w:r>
      <w:r>
        <w:rPr>
          <w:rFonts w:cs="Arial"/>
          <w:color w:val="000000" w:themeColor="text1"/>
          <w:szCs w:val="24"/>
          <w14:textFill>
            <w14:solidFill>
              <w14:schemeClr w14:val="tx1"/>
            </w14:solidFill>
          </w14:textFill>
        </w:rPr>
        <w:t xml:space="preserve"> </w:t>
      </w:r>
      <w:r>
        <w:rPr>
          <w:rFonts w:cs="Arial"/>
          <w:szCs w:val="24"/>
        </w:rPr>
        <w:t xml:space="preserve"> </w:t>
      </w:r>
      <w:r>
        <w:rPr>
          <w:rFonts w:cs="Arial"/>
          <w:color w:val="000000" w:themeColor="text1"/>
          <w:szCs w:val="24"/>
          <w14:textFill>
            <w14:solidFill>
              <w14:schemeClr w14:val="tx1"/>
            </w14:solidFill>
          </w14:textFill>
        </w:rPr>
        <w:t xml:space="preserve"> </w:t>
      </w:r>
    </w:p>
    <w:p w14:paraId="0719FAE4">
      <w:pPr>
        <w:pStyle w:val="25"/>
        <w:numPr>
          <w:ilvl w:val="1"/>
          <w:numId w:val="1"/>
        </w:numPr>
        <w:tabs>
          <w:tab w:val="left" w:pos="567"/>
        </w:tabs>
        <w:spacing w:before="180"/>
        <w:ind w:left="0" w:firstLine="0"/>
        <w:contextualSpacing w:val="0"/>
        <w:jc w:val="both"/>
        <w:rPr>
          <w:rFonts w:cs="Arial"/>
          <w:color w:val="000000"/>
          <w:szCs w:val="24"/>
        </w:rPr>
      </w:pPr>
      <w:r>
        <w:rPr>
          <w:rStyle w:val="9"/>
          <w:rFonts w:cs="Arial"/>
          <w:color w:val="auto"/>
          <w:szCs w:val="24"/>
          <w:u w:val="none"/>
        </w:rPr>
        <w:t>Clique neste link:</w:t>
      </w:r>
      <w:r>
        <w:t xml:space="preserve"> </w:t>
      </w:r>
      <w:r>
        <w:fldChar w:fldCharType="begin"/>
      </w:r>
      <w:r>
        <w:instrText xml:space="preserve"> HYPERLINK "https://docs.google.com/document/d/e/2PACX-1vQH9_TiRcuQ5tbZbZ9PCKcCC4xyQUCbA7tnBh0tkukeie9xHt890jhuI-1b1t6UPTdPT5lt7Yp2Fv4s/pub" </w:instrText>
      </w:r>
      <w:r>
        <w:fldChar w:fldCharType="separate"/>
      </w:r>
      <w:r>
        <w:rPr>
          <w:rStyle w:val="9"/>
          <w:rFonts w:cs="Arial"/>
          <w:szCs w:val="24"/>
        </w:rPr>
        <w:t>análise das condições de participação</w:t>
      </w:r>
      <w:r>
        <w:rPr>
          <w:rStyle w:val="9"/>
          <w:rFonts w:cs="Arial"/>
          <w:szCs w:val="24"/>
        </w:rPr>
        <w:fldChar w:fldCharType="end"/>
      </w:r>
      <w:r>
        <w:rPr>
          <w:rStyle w:val="9"/>
          <w:rFonts w:cs="Arial"/>
          <w:color w:val="auto"/>
          <w:szCs w:val="24"/>
          <w:u w:val="none"/>
        </w:rPr>
        <w:t>, para saber, em detalhes as regras da análise das condições de participação.</w:t>
      </w:r>
    </w:p>
    <w:p w14:paraId="5DB2EA9E">
      <w:pPr>
        <w:pStyle w:val="30"/>
      </w:pPr>
      <w:r>
        <w:t>DECLARAÇÕES</w:t>
      </w:r>
    </w:p>
    <w:p w14:paraId="381BDC52">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Ao participar deste certame, o fornecedor concorda, tacitamente, com as declarações arroladas neste item, </w:t>
      </w:r>
      <w:r>
        <w:rPr>
          <w:rFonts w:cs="Arial"/>
          <w:szCs w:val="24"/>
          <w:u w:val="single"/>
        </w:rPr>
        <w:t>sendo desnecessária a apresentação dessas declarações, por escrito</w:t>
      </w:r>
      <w:r>
        <w:rPr>
          <w:rFonts w:cs="Arial"/>
          <w:szCs w:val="24"/>
        </w:rPr>
        <w:t>.</w:t>
      </w:r>
    </w:p>
    <w:p w14:paraId="7BF4CD65">
      <w:pPr>
        <w:pStyle w:val="25"/>
        <w:numPr>
          <w:ilvl w:val="2"/>
          <w:numId w:val="1"/>
        </w:numPr>
        <w:tabs>
          <w:tab w:val="left" w:pos="709"/>
        </w:tabs>
        <w:spacing w:before="180"/>
        <w:ind w:left="0" w:firstLine="0"/>
        <w:contextualSpacing w:val="0"/>
        <w:jc w:val="both"/>
        <w:rPr>
          <w:rFonts w:cs="Arial"/>
          <w:szCs w:val="24"/>
        </w:rPr>
      </w:pPr>
      <w:r>
        <w:rPr>
          <w:rFonts w:cs="Arial"/>
          <w:szCs w:val="24"/>
        </w:rPr>
        <w:t>Estou ciente, concordo e atendo a todas as condições do Edital e seus anexos;</w:t>
      </w:r>
    </w:p>
    <w:p w14:paraId="236BFB70">
      <w:pPr>
        <w:pStyle w:val="25"/>
        <w:numPr>
          <w:ilvl w:val="2"/>
          <w:numId w:val="1"/>
        </w:numPr>
        <w:tabs>
          <w:tab w:val="left" w:pos="709"/>
        </w:tabs>
        <w:spacing w:before="180"/>
        <w:ind w:left="0" w:firstLine="0"/>
        <w:contextualSpacing w:val="0"/>
        <w:jc w:val="both"/>
        <w:rPr>
          <w:rFonts w:cs="Arial"/>
          <w:szCs w:val="24"/>
        </w:rPr>
      </w:pPr>
      <w:r>
        <w:rPr>
          <w:rFonts w:cs="Arial"/>
          <w:szCs w:val="24"/>
        </w:rPr>
        <w:t>Não há nada que impeça, juridicamente, a minha habilitação neste momento. Se algum fato impeditivo acontecer depois, estarei obrigado a informar ao município de Paranavaí;</w:t>
      </w:r>
    </w:p>
    <w:p w14:paraId="262C9C89">
      <w:pPr>
        <w:pStyle w:val="25"/>
        <w:numPr>
          <w:ilvl w:val="2"/>
          <w:numId w:val="1"/>
        </w:numPr>
        <w:tabs>
          <w:tab w:val="left" w:pos="709"/>
        </w:tabs>
        <w:spacing w:before="180"/>
        <w:ind w:left="0" w:firstLine="0"/>
        <w:contextualSpacing w:val="0"/>
        <w:jc w:val="both"/>
        <w:rPr>
          <w:rFonts w:cs="Arial"/>
          <w:szCs w:val="24"/>
        </w:rPr>
      </w:pPr>
      <w:r>
        <w:rPr>
          <w:rFonts w:cs="Arial"/>
          <w:szCs w:val="24"/>
        </w:rPr>
        <w:t>Não emprego menor de 18 anos em trabalho noturno, perigoso ou insalubre e não emprego menor de 16 anos, salvo menor, a partir de 14 anos, na condição de aprendiz;</w:t>
      </w:r>
    </w:p>
    <w:p w14:paraId="4E640E3E">
      <w:pPr>
        <w:pStyle w:val="25"/>
        <w:numPr>
          <w:ilvl w:val="2"/>
          <w:numId w:val="1"/>
        </w:numPr>
        <w:tabs>
          <w:tab w:val="left" w:pos="709"/>
        </w:tabs>
        <w:spacing w:before="180"/>
        <w:ind w:left="0" w:firstLine="0"/>
        <w:contextualSpacing w:val="0"/>
        <w:jc w:val="both"/>
        <w:rPr>
          <w:rFonts w:cs="Arial"/>
          <w:szCs w:val="24"/>
        </w:rPr>
      </w:pPr>
      <w:r>
        <w:rPr>
          <w:rFonts w:hint="default"/>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6A3E9081">
      <w:pPr>
        <w:pStyle w:val="25"/>
        <w:numPr>
          <w:ilvl w:val="2"/>
          <w:numId w:val="1"/>
        </w:numPr>
        <w:tabs>
          <w:tab w:val="left" w:pos="709"/>
        </w:tabs>
        <w:spacing w:before="180"/>
        <w:ind w:left="0" w:firstLine="0"/>
        <w:contextualSpacing w:val="0"/>
        <w:jc w:val="both"/>
        <w:rPr>
          <w:rFonts w:cs="Arial"/>
          <w:szCs w:val="24"/>
        </w:rPr>
      </w:pPr>
      <w:r>
        <w:rPr>
          <w:rFonts w:hint="default"/>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6DD0FFA4">
      <w:pPr>
        <w:pStyle w:val="25"/>
        <w:numPr>
          <w:ilvl w:val="2"/>
          <w:numId w:val="1"/>
        </w:numPr>
        <w:tabs>
          <w:tab w:val="left" w:pos="709"/>
        </w:tabs>
        <w:spacing w:before="180"/>
        <w:ind w:left="0" w:firstLine="0"/>
        <w:contextualSpacing w:val="0"/>
        <w:jc w:val="both"/>
        <w:rPr>
          <w:rFonts w:cs="Arial"/>
          <w:szCs w:val="24"/>
        </w:rPr>
      </w:pPr>
      <w:r>
        <w:rPr>
          <w:rFonts w:hint="default"/>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r>
        <w:rPr>
          <w:rFonts w:cs="Arial"/>
          <w:szCs w:val="24"/>
        </w:rPr>
        <w:t>;</w:t>
      </w:r>
    </w:p>
    <w:p w14:paraId="540FC339">
      <w:pPr>
        <w:pStyle w:val="25"/>
        <w:numPr>
          <w:ilvl w:val="2"/>
          <w:numId w:val="1"/>
        </w:numPr>
        <w:tabs>
          <w:tab w:val="left" w:pos="709"/>
        </w:tabs>
        <w:spacing w:before="180"/>
        <w:ind w:left="0" w:firstLine="0"/>
        <w:contextualSpacing w:val="0"/>
        <w:jc w:val="both"/>
        <w:rPr>
          <w:rFonts w:cs="Arial"/>
          <w:szCs w:val="24"/>
        </w:rPr>
      </w:pPr>
      <w:r>
        <w:rPr>
          <w:rFonts w:hint="default"/>
          <w:szCs w:val="24"/>
        </w:rPr>
        <w:t>Não possui sócio, proprietário, diretor, gerente ou integrante do conselho da empresa proponente que seja, de direito ou de fato, servidor público do município de Paranavaí, para os fins requeridos no inciso X do art. 109, da Lei Municipal nº 3.891/2012</w:t>
      </w:r>
      <w:r>
        <w:rPr>
          <w:rFonts w:cs="Arial"/>
          <w:szCs w:val="24"/>
        </w:rPr>
        <w:t>;</w:t>
      </w:r>
    </w:p>
    <w:p w14:paraId="3F74B010">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foi elaborada de forma independente e nenhuma empresa potencialmente participante da licitação conhece meu preço</w:t>
      </w:r>
      <w:r>
        <w:rPr>
          <w:rFonts w:hint="default"/>
          <w:szCs w:val="24"/>
          <w:lang w:val="pt-BR"/>
        </w:rPr>
        <w:t>;</w:t>
      </w:r>
    </w:p>
    <w:p w14:paraId="60F2DD69">
      <w:pPr>
        <w:pStyle w:val="25"/>
        <w:numPr>
          <w:ilvl w:val="2"/>
          <w:numId w:val="1"/>
        </w:numPr>
        <w:tabs>
          <w:tab w:val="left" w:pos="709"/>
        </w:tabs>
        <w:spacing w:before="180"/>
        <w:ind w:left="0" w:firstLine="0"/>
        <w:contextualSpacing w:val="0"/>
        <w:jc w:val="both"/>
        <w:rPr>
          <w:rFonts w:cs="Arial"/>
          <w:szCs w:val="24"/>
        </w:rPr>
      </w:pPr>
      <w:r>
        <w:rPr>
          <w:rFonts w:hint="default"/>
          <w:szCs w:val="24"/>
        </w:rPr>
        <w:t>A proposta compreende a integralidade dos custos para atendimento dos direitos trabalhistas assegurados na Constituição Federal, nas leis trabalhistas, nas normas</w:t>
      </w:r>
      <w:r>
        <w:rPr>
          <w:rFonts w:hint="default"/>
          <w:szCs w:val="24"/>
          <w:lang w:val="pt-BR"/>
        </w:rPr>
        <w:t xml:space="preserve"> infralegais, nas convenções coletivas de trabalho e nos termos de ajustamento de conduta vigentes na data de entrega das propostas;</w:t>
      </w:r>
    </w:p>
    <w:p w14:paraId="462995AD">
      <w:pPr>
        <w:pStyle w:val="25"/>
        <w:numPr>
          <w:ilvl w:val="2"/>
          <w:numId w:val="1"/>
        </w:numPr>
        <w:tabs>
          <w:tab w:val="left" w:pos="709"/>
        </w:tabs>
        <w:spacing w:before="180"/>
        <w:ind w:left="0" w:firstLine="0"/>
        <w:contextualSpacing w:val="0"/>
        <w:jc w:val="both"/>
        <w:rPr>
          <w:rFonts w:cs="Arial"/>
          <w:szCs w:val="24"/>
        </w:rPr>
      </w:pPr>
      <w:r>
        <w:rPr>
          <w:rFonts w:hint="default"/>
          <w:szCs w:val="24"/>
          <w:lang w:val="pt-BR"/>
        </w:rPr>
        <w:t xml:space="preserve">Não </w:t>
      </w:r>
      <w:r>
        <w:rPr>
          <w:rFonts w:hint="default"/>
          <w:szCs w:val="24"/>
        </w:rPr>
        <w:t>há, na minha cadeia produtiva, empregados executando trabalho degradante ou forçado;</w:t>
      </w:r>
    </w:p>
    <w:p w14:paraId="284BBE6B">
      <w:pPr>
        <w:pStyle w:val="25"/>
        <w:numPr>
          <w:ilvl w:val="2"/>
          <w:numId w:val="1"/>
        </w:numPr>
        <w:tabs>
          <w:tab w:val="left" w:pos="709"/>
        </w:tabs>
        <w:spacing w:before="180"/>
        <w:ind w:left="0" w:firstLine="0"/>
        <w:contextualSpacing w:val="0"/>
        <w:jc w:val="both"/>
        <w:rPr>
          <w:rFonts w:cs="Arial"/>
          <w:szCs w:val="24"/>
        </w:rPr>
      </w:pPr>
      <w:r>
        <w:rPr>
          <w:rFonts w:hint="default"/>
          <w:szCs w:val="24"/>
        </w:rPr>
        <w:t>Minha empresa cumpre as exigências de reserva de cargos prevista em lei e normas específicas para pessoa com deficiência, reabilitado da Previdência Social e aprendiz;</w:t>
      </w:r>
    </w:p>
    <w:p w14:paraId="1C77A3BD">
      <w:pPr>
        <w:pStyle w:val="25"/>
        <w:numPr>
          <w:ilvl w:val="2"/>
          <w:numId w:val="1"/>
        </w:numPr>
        <w:tabs>
          <w:tab w:val="left" w:pos="709"/>
        </w:tabs>
        <w:spacing w:before="180"/>
        <w:ind w:left="0" w:firstLine="0"/>
        <w:contextualSpacing w:val="0"/>
        <w:jc w:val="both"/>
        <w:rPr>
          <w:rFonts w:cs="Arial"/>
          <w:szCs w:val="24"/>
        </w:rPr>
      </w:pPr>
      <w:r>
        <w:rPr>
          <w:rFonts w:hint="default"/>
          <w:szCs w:val="24"/>
        </w:rPr>
        <w:t>Tenho ciência de que a declaração falsa acarretará aplicação de declaração de inidoneidade para licitar ou contratar com toda a Administração Pública do País, além das demais sanções legais cabíveis</w:t>
      </w:r>
      <w:r>
        <w:rPr>
          <w:rFonts w:hint="default"/>
          <w:szCs w:val="24"/>
          <w:lang w:val="pt-BR"/>
        </w:rPr>
        <w:t>; e</w:t>
      </w:r>
    </w:p>
    <w:p w14:paraId="7F0779E2">
      <w:pPr>
        <w:pStyle w:val="25"/>
        <w:numPr>
          <w:ilvl w:val="2"/>
          <w:numId w:val="1"/>
        </w:numPr>
        <w:tabs>
          <w:tab w:val="left" w:pos="709"/>
        </w:tabs>
        <w:spacing w:before="180"/>
        <w:ind w:left="0" w:firstLine="0"/>
        <w:contextualSpacing w:val="0"/>
        <w:jc w:val="both"/>
        <w:rPr>
          <w:rFonts w:cs="Arial"/>
          <w:szCs w:val="24"/>
        </w:rPr>
      </w:pPr>
      <w:r>
        <w:rPr>
          <w:rFonts w:hint="default"/>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pPr>
        <w:pStyle w:val="30"/>
      </w:pPr>
      <w:r>
        <w:t>PROPOSTA</w:t>
      </w:r>
    </w:p>
    <w:p w14:paraId="55D8BDF4">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rPr>
        <w:t xml:space="preserve">O licitante deverá enviar sua proposta mediante o preenchimento, no sistema eletrônico, conforme o critério de julgamento adotado neste Edital </w:t>
      </w:r>
      <w:r>
        <w:rPr>
          <w:rFonts w:hint="default" w:cs="Arial"/>
          <w:szCs w:val="24"/>
          <w:u w:val="single"/>
          <w:lang w:val="pt-BR"/>
        </w:rPr>
        <w:t>até a data e o horário estabelecido no item 1.2. deste Edital.</w:t>
      </w:r>
    </w:p>
    <w:p w14:paraId="148D45E2">
      <w:pPr>
        <w:pStyle w:val="25"/>
        <w:numPr>
          <w:ilvl w:val="1"/>
          <w:numId w:val="1"/>
        </w:numPr>
        <w:tabs>
          <w:tab w:val="left" w:pos="567"/>
        </w:tabs>
        <w:spacing w:before="180"/>
        <w:ind w:left="0" w:firstLine="0"/>
        <w:contextualSpacing w:val="0"/>
        <w:jc w:val="both"/>
        <w:rPr>
          <w:rFonts w:cs="Arial"/>
          <w:szCs w:val="24"/>
          <w:highlight w:val="none"/>
        </w:rPr>
      </w:pPr>
      <w:r>
        <w:rPr>
          <w:rFonts w:cs="Arial"/>
          <w:szCs w:val="24"/>
          <w:highlight w:val="none"/>
        </w:rPr>
        <w:t xml:space="preserve">O licitante deverá registrar sua proposta no sistema eletrônico mediante o preenchimento dos campos indicados, </w:t>
      </w:r>
      <w:r>
        <w:rPr>
          <w:rFonts w:cs="Arial"/>
          <w:szCs w:val="24"/>
          <w:highlight w:val="none"/>
          <w:u w:val="single"/>
        </w:rPr>
        <w:t>sem incluir informação que possa identificar a sua empresa.</w:t>
      </w:r>
    </w:p>
    <w:p w14:paraId="4C913373">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2BA04B6B">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hint="default"/>
          <w:color w:val="000000" w:themeColor="text1"/>
          <w:szCs w:val="24"/>
          <w:highlight w:val="none"/>
          <w14:textFill>
            <w14:solidFill>
              <w14:schemeClr w14:val="tx1"/>
            </w14:solidFill>
          </w14:textFill>
        </w:rPr>
        <w:t>O prazo para apresentação da proposta ajustada poderá ser prorrogado mediante solicitação justificada, ou a critério do agente de contratação, pregoeiro ou comissão de contratação.</w:t>
      </w:r>
    </w:p>
    <w:p w14:paraId="786D4471">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hint="default"/>
          <w:color w:val="000000" w:themeColor="text1"/>
          <w:szCs w:val="24"/>
          <w:highlight w:val="none"/>
          <w14:textFill>
            <w14:solidFill>
              <w14:schemeClr w14:val="tx1"/>
            </w14:solidFill>
          </w14:textFill>
        </w:rPr>
        <w:t>A proposta ajustada deverá ser preenchida conforme modelo do Anexo II deste Edital;</w:t>
      </w:r>
    </w:p>
    <w:p w14:paraId="297E167B">
      <w:pPr>
        <w:pStyle w:val="25"/>
        <w:numPr>
          <w:ilvl w:val="1"/>
          <w:numId w:val="1"/>
        </w:numPr>
        <w:spacing w:before="180"/>
        <w:ind w:left="0" w:firstLine="0"/>
        <w:contextualSpacing w:val="0"/>
        <w:jc w:val="both"/>
        <w:rPr>
          <w:rFonts w:cs="Arial"/>
          <w:szCs w:val="24"/>
          <w:highlight w:val="none"/>
        </w:rPr>
      </w:pPr>
      <w:r>
        <w:rPr>
          <w:rFonts w:cs="Arial"/>
          <w:szCs w:val="24"/>
          <w:highlight w:val="none"/>
        </w:rPr>
        <w:t xml:space="preserve">Critério de inovação ou de desenvolvimento nacional sustentável: </w:t>
      </w:r>
    </w:p>
    <w:p w14:paraId="78808E56">
      <w:pPr>
        <w:tabs>
          <w:tab w:val="left" w:pos="6384"/>
        </w:tabs>
        <w:spacing w:before="240" w:after="240" w:line="288" w:lineRule="auto"/>
        <w:jc w:val="both"/>
        <w:rPr>
          <w:rFonts w:hint="default"/>
          <w:lang w:val="pt-BR"/>
        </w:rPr>
      </w:pPr>
      <w:r>
        <w:rPr>
          <w:rFonts w:hint="default"/>
        </w:rPr>
        <w:t>Após consulta ao Guia Nacional de Contratações Sustentáveis (2024), verificou-se que o objeto desta contratação — serviços de gestão financeira e tecnológica, incluindo a emissão de cartões físicos, para operacionalização do Programa Cartão PVAÍ Educa — não consta entre os itens diretamente listados</w:t>
      </w:r>
      <w:r>
        <w:rPr>
          <w:rFonts w:hint="default"/>
          <w:lang w:val="pt-BR"/>
        </w:rPr>
        <w:t>.</w:t>
      </w:r>
    </w:p>
    <w:p w14:paraId="212C51DF">
      <w:pPr>
        <w:tabs>
          <w:tab w:val="left" w:pos="6384"/>
        </w:tabs>
        <w:spacing w:before="240" w:after="240" w:line="288" w:lineRule="auto"/>
        <w:jc w:val="both"/>
        <w:rPr>
          <w:rFonts w:hint="default"/>
          <w:lang w:val="pt-BR"/>
        </w:rPr>
      </w:pPr>
      <w:r>
        <w:rPr>
          <w:rFonts w:hint="default"/>
          <w:lang w:val="pt-BR"/>
        </w:rPr>
        <w:t>Também não foi identificada legislação específica que imponha critérios ambientais de sustentabilidade diretamente vinculados ao objeto. Trata-se de uma contratação voltada à gestão de cartões eletrônicos, sistemas informatizados e emissão de cartões físicos, em que o impacto ambiental se restringe basicamente ao material utilizado na confecção dos cartões, não havendo consumo expressivo de insumos físicos de grande relevância.</w:t>
      </w:r>
    </w:p>
    <w:p w14:paraId="1B279F9D">
      <w:pPr>
        <w:numPr>
          <w:ilvl w:val="1"/>
          <w:numId w:val="1"/>
        </w:numPr>
        <w:spacing w:before="240" w:after="240" w:line="288" w:lineRule="auto"/>
        <w:ind w:left="0" w:leftChars="0" w:firstLine="0" w:firstLineChars="0"/>
        <w:jc w:val="both"/>
        <w:rPr>
          <w:rFonts w:hint="default"/>
          <w:lang w:val="pt-BR"/>
        </w:rPr>
      </w:pPr>
      <w:r>
        <w:rPr>
          <w:rFonts w:hint="default"/>
          <w:b/>
          <w:bCs/>
          <w:u w:val="single"/>
          <w:lang w:val="pt-BR"/>
        </w:rPr>
        <w:t>Admitir-se-á taxa de administração de valor percentual 0 “zero” ou negativa.</w:t>
      </w:r>
    </w:p>
    <w:p w14:paraId="5771D658">
      <w:pPr>
        <w:numPr>
          <w:ilvl w:val="2"/>
          <w:numId w:val="1"/>
        </w:numPr>
        <w:spacing w:before="240" w:after="240" w:line="288" w:lineRule="auto"/>
        <w:ind w:left="4" w:leftChars="0" w:hanging="4" w:firstLineChars="0"/>
        <w:jc w:val="both"/>
        <w:rPr>
          <w:rFonts w:hint="default"/>
          <w:lang w:val="pt-BR"/>
        </w:rPr>
      </w:pPr>
      <w:r>
        <w:rPr>
          <w:rFonts w:hint="default"/>
          <w:lang w:val="pt-BR"/>
        </w:rPr>
        <w:t>Considerando que o sistema onde será realizado o pregão eletrônico não adota como critério de julgamento o menor desconto em relação a taxa percentual, e ainda não admite taxa igual a “zero” ou negativa, será adotado para fins de oferta de lances o seguinte procedimento:</w:t>
      </w:r>
    </w:p>
    <w:p w14:paraId="0E057B86">
      <w:pPr>
        <w:numPr>
          <w:ilvl w:val="2"/>
          <w:numId w:val="1"/>
        </w:numPr>
        <w:spacing w:before="240" w:after="240" w:line="288" w:lineRule="auto"/>
        <w:ind w:left="4" w:leftChars="0" w:hanging="4" w:firstLineChars="0"/>
        <w:jc w:val="both"/>
        <w:rPr>
          <w:rFonts w:hint="default"/>
          <w:lang w:val="pt-BR"/>
        </w:rPr>
      </w:pPr>
      <w:r>
        <w:rPr>
          <w:rFonts w:hint="default"/>
          <w:lang w:val="pt-BR"/>
        </w:rPr>
        <w:t>Ao cadastrar a proposta no sistema do eLicita, a licitante deverá informar a TAXA DE ADMINISTRAÇÃO, apresentada de forma indireta, a ser calculada da seguinte forma:</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0"/>
      </w:tblGrid>
      <w:tr w14:paraId="138C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tcPr>
          <w:p w14:paraId="3E0322BD">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center"/>
              <w:textAlignment w:val="auto"/>
              <w:rPr>
                <w:rFonts w:hint="default"/>
                <w:vertAlign w:val="baseline"/>
                <w:lang w:val="pt-BR"/>
              </w:rPr>
            </w:pPr>
            <w:r>
              <w:rPr>
                <w:rFonts w:hint="default"/>
                <w:b/>
                <w:bCs/>
                <w:u w:val="none"/>
                <w:vertAlign w:val="baseline"/>
                <w:lang w:val="pt-BR"/>
              </w:rPr>
              <w:t>R$ 21.315.737,11 - (% percentual referente à taxa de administração) = Valor a ser inserido no sistema do eLicita.</w:t>
            </w:r>
          </w:p>
        </w:tc>
      </w:tr>
      <w:tr w14:paraId="46251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tcPr>
          <w:p w14:paraId="76B820E6">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center"/>
              <w:textAlignment w:val="auto"/>
              <w:rPr>
                <w:rFonts w:hint="default"/>
                <w:vertAlign w:val="baseline"/>
                <w:lang w:val="pt-BR"/>
              </w:rPr>
            </w:pPr>
            <w:r>
              <w:rPr>
                <w:rFonts w:hint="default"/>
                <w:b/>
                <w:bCs/>
                <w:vertAlign w:val="baseline"/>
                <w:lang w:val="pt-BR"/>
              </w:rPr>
              <w:t>EXEMPLOS:</w:t>
            </w:r>
          </w:p>
        </w:tc>
      </w:tr>
      <w:tr w14:paraId="04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tcPr>
          <w:p w14:paraId="0DC10958">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both"/>
              <w:textAlignment w:val="auto"/>
              <w:rPr>
                <w:rFonts w:hint="default"/>
                <w:vertAlign w:val="baseline"/>
                <w:lang w:val="pt-BR"/>
              </w:rPr>
            </w:pPr>
            <w:r>
              <w:rPr>
                <w:rFonts w:hint="default"/>
                <w:b/>
                <w:bCs/>
                <w:vertAlign w:val="baseline"/>
                <w:lang w:val="pt-BR"/>
              </w:rPr>
              <w:t>01 )</w:t>
            </w:r>
            <w:r>
              <w:rPr>
                <w:rFonts w:hint="default"/>
                <w:vertAlign w:val="baseline"/>
                <w:lang w:val="pt-BR"/>
              </w:rPr>
              <w:t xml:space="preserve"> Para o licitante que deseja propor um percentual de taxa de administração de 0% (taxa “zero”):</w:t>
            </w:r>
          </w:p>
          <w:p w14:paraId="2D9B36E2">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center"/>
              <w:textAlignment w:val="auto"/>
              <w:rPr>
                <w:rFonts w:hint="default"/>
                <w:vertAlign w:val="baseline"/>
                <w:lang w:val="pt-BR"/>
              </w:rPr>
            </w:pPr>
            <w:r>
              <w:rPr>
                <w:rFonts w:hint="default"/>
                <w:vertAlign w:val="baseline"/>
                <w:lang w:val="pt-BR"/>
              </w:rPr>
              <w:t xml:space="preserve">R$ 21.315.737,11 </w:t>
            </w:r>
            <w:r>
              <w:rPr>
                <w:rFonts w:hint="default"/>
                <w:b/>
                <w:bCs/>
                <w:u w:val="single"/>
                <w:vertAlign w:val="baseline"/>
                <w:lang w:val="pt-BR"/>
              </w:rPr>
              <w:t>- 0%</w:t>
            </w:r>
            <w:r>
              <w:rPr>
                <w:rFonts w:hint="default"/>
                <w:vertAlign w:val="baseline"/>
                <w:lang w:val="pt-BR"/>
              </w:rPr>
              <w:t xml:space="preserve"> = R$ 21.315.737,11.</w:t>
            </w:r>
          </w:p>
        </w:tc>
      </w:tr>
      <w:tr w14:paraId="281BF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tcPr>
          <w:p w14:paraId="49E0A604">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both"/>
              <w:textAlignment w:val="auto"/>
              <w:rPr>
                <w:rFonts w:hint="default"/>
                <w:vertAlign w:val="baseline"/>
                <w:lang w:val="pt-BR"/>
              </w:rPr>
            </w:pPr>
            <w:r>
              <w:rPr>
                <w:rFonts w:hint="default"/>
                <w:b/>
                <w:bCs/>
                <w:vertAlign w:val="baseline"/>
                <w:lang w:val="pt-BR"/>
              </w:rPr>
              <w:t>02 )</w:t>
            </w:r>
            <w:r>
              <w:rPr>
                <w:rFonts w:hint="default"/>
                <w:vertAlign w:val="baseline"/>
                <w:lang w:val="pt-BR"/>
              </w:rPr>
              <w:t xml:space="preserve"> Para o licitante que deseja propor um percentual de taxa de administração de -5% (taxa negativa):</w:t>
            </w:r>
          </w:p>
          <w:p w14:paraId="6698B1E2">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center"/>
              <w:textAlignment w:val="auto"/>
              <w:rPr>
                <w:rFonts w:hint="default"/>
                <w:vertAlign w:val="baseline"/>
                <w:lang w:val="pt-BR"/>
              </w:rPr>
            </w:pPr>
            <w:r>
              <w:rPr>
                <w:rFonts w:hint="default"/>
                <w:vertAlign w:val="baseline"/>
                <w:lang w:val="pt-BR"/>
              </w:rPr>
              <w:t xml:space="preserve">R$ 21.315.737,11 </w:t>
            </w:r>
            <w:r>
              <w:rPr>
                <w:rFonts w:hint="default"/>
                <w:b/>
                <w:bCs/>
                <w:u w:val="single"/>
                <w:vertAlign w:val="baseline"/>
                <w:lang w:val="pt-BR"/>
              </w:rPr>
              <w:t>- 5%</w:t>
            </w:r>
            <w:r>
              <w:rPr>
                <w:rFonts w:hint="default"/>
                <w:vertAlign w:val="baseline"/>
                <w:lang w:val="pt-BR"/>
              </w:rPr>
              <w:t xml:space="preserve"> = R$ 20.249.950,25.</w:t>
            </w:r>
          </w:p>
        </w:tc>
      </w:tr>
      <w:tr w14:paraId="3624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tcPr>
          <w:p w14:paraId="27C235D7">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both"/>
              <w:textAlignment w:val="auto"/>
              <w:rPr>
                <w:rFonts w:hint="default"/>
                <w:vertAlign w:val="baseline"/>
                <w:lang w:val="pt-BR"/>
              </w:rPr>
            </w:pPr>
            <w:r>
              <w:rPr>
                <w:rFonts w:hint="default"/>
                <w:b/>
                <w:bCs/>
                <w:vertAlign w:val="baseline"/>
                <w:lang w:val="pt-BR"/>
              </w:rPr>
              <w:t>03 )</w:t>
            </w:r>
            <w:r>
              <w:rPr>
                <w:rFonts w:hint="default"/>
                <w:vertAlign w:val="baseline"/>
                <w:lang w:val="pt-BR"/>
              </w:rPr>
              <w:t xml:space="preserve"> Para o licitante que deseja propor um percentual de taxa de administração de -10% (taxa negativa):</w:t>
            </w:r>
          </w:p>
          <w:p w14:paraId="3F52C9E2">
            <w:pPr>
              <w:keepNext w:val="0"/>
              <w:keepLines w:val="0"/>
              <w:pageBreakBefore w:val="0"/>
              <w:widowControl/>
              <w:numPr>
                <w:ilvl w:val="0"/>
                <w:numId w:val="0"/>
              </w:numPr>
              <w:kinsoku/>
              <w:wordWrap/>
              <w:overflowPunct/>
              <w:topLinePunct w:val="0"/>
              <w:autoSpaceDE/>
              <w:autoSpaceDN/>
              <w:bidi w:val="0"/>
              <w:adjustRightInd/>
              <w:snapToGrid/>
              <w:spacing w:before="0" w:line="288" w:lineRule="auto"/>
              <w:jc w:val="center"/>
              <w:textAlignment w:val="auto"/>
              <w:rPr>
                <w:rFonts w:hint="default"/>
                <w:vertAlign w:val="baseline"/>
                <w:lang w:val="pt-BR"/>
              </w:rPr>
            </w:pPr>
            <w:r>
              <w:rPr>
                <w:rFonts w:hint="default"/>
                <w:vertAlign w:val="baseline"/>
                <w:lang w:val="pt-BR"/>
              </w:rPr>
              <w:t xml:space="preserve">R$ 21.315.737,11 </w:t>
            </w:r>
            <w:r>
              <w:rPr>
                <w:rFonts w:hint="default"/>
                <w:b/>
                <w:bCs/>
                <w:u w:val="single"/>
                <w:vertAlign w:val="baseline"/>
                <w:lang w:val="pt-BR"/>
              </w:rPr>
              <w:t>- 10%</w:t>
            </w:r>
            <w:r>
              <w:rPr>
                <w:rFonts w:hint="default"/>
                <w:vertAlign w:val="baseline"/>
                <w:lang w:val="pt-BR"/>
              </w:rPr>
              <w:t xml:space="preserve"> = R$ 19.184.163,40.</w:t>
            </w:r>
          </w:p>
        </w:tc>
      </w:tr>
    </w:tbl>
    <w:p w14:paraId="41975BDD">
      <w:pPr>
        <w:pStyle w:val="30"/>
      </w:pPr>
      <w:r>
        <w:t>DOCUMENTOS DE HABILITAÇÃO</w:t>
      </w:r>
    </w:p>
    <w:p w14:paraId="66A43271">
      <w:pPr>
        <w:pStyle w:val="25"/>
        <w:numPr>
          <w:ilvl w:val="1"/>
          <w:numId w:val="1"/>
        </w:numPr>
        <w:tabs>
          <w:tab w:val="left" w:pos="567"/>
        </w:tabs>
        <w:spacing w:before="180"/>
        <w:ind w:left="0" w:firstLine="0"/>
        <w:contextualSpacing w:val="0"/>
        <w:jc w:val="both"/>
        <w:rPr>
          <w:rFonts w:cs="Arial"/>
          <w:szCs w:val="24"/>
        </w:rPr>
      </w:pPr>
      <w:r>
        <w:rPr>
          <w:rFonts w:cs="Arial"/>
          <w:color w:val="000000"/>
          <w:szCs w:val="24"/>
        </w:rPr>
        <w:t xml:space="preserve">Para a regularidade jurídica, fiscal e trabalhista será realizada consulta às informações disponíveis no SICAF ou nos respectivos portais, </w:t>
      </w:r>
      <w:r>
        <w:rPr>
          <w:rFonts w:cs="Arial"/>
          <w:szCs w:val="24"/>
        </w:rPr>
        <w:t>referentes a:</w:t>
      </w:r>
    </w:p>
    <w:p w14:paraId="56A91226">
      <w:pPr>
        <w:pStyle w:val="25"/>
        <w:numPr>
          <w:ilvl w:val="2"/>
          <w:numId w:val="1"/>
        </w:numPr>
        <w:tabs>
          <w:tab w:val="left" w:pos="709"/>
        </w:tabs>
        <w:spacing w:before="180"/>
        <w:ind w:left="0" w:firstLine="0"/>
        <w:contextualSpacing w:val="0"/>
        <w:jc w:val="both"/>
        <w:rPr>
          <w:rFonts w:cs="Arial"/>
          <w:szCs w:val="24"/>
        </w:rPr>
      </w:pPr>
      <w:r>
        <w:rPr>
          <w:rFonts w:cs="Arial"/>
          <w:szCs w:val="24"/>
        </w:rPr>
        <w:t>contrato social ou instrumento equivalente;</w:t>
      </w:r>
    </w:p>
    <w:p w14:paraId="5589D0AD">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federal e a seguridade social;</w:t>
      </w:r>
    </w:p>
    <w:p w14:paraId="23177320">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estadual ou distrital da sede do licitante;</w:t>
      </w:r>
    </w:p>
    <w:p w14:paraId="0369E8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perante a fazenda municipal da sede do licitante;</w:t>
      </w:r>
    </w:p>
    <w:p w14:paraId="2B700E2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junto ao Fundo de Garantia do Tempo de Serviço – FGTS; e</w:t>
      </w:r>
    </w:p>
    <w:p w14:paraId="4C7C50F8">
      <w:pPr>
        <w:pStyle w:val="25"/>
        <w:numPr>
          <w:ilvl w:val="2"/>
          <w:numId w:val="1"/>
        </w:numPr>
        <w:tabs>
          <w:tab w:val="left" w:pos="709"/>
        </w:tabs>
        <w:spacing w:before="180"/>
        <w:ind w:left="0" w:firstLine="0"/>
        <w:contextualSpacing w:val="0"/>
        <w:jc w:val="both"/>
        <w:rPr>
          <w:rFonts w:cs="Arial"/>
          <w:szCs w:val="24"/>
        </w:rPr>
      </w:pPr>
      <w:r>
        <w:rPr>
          <w:rFonts w:cs="Arial"/>
          <w:szCs w:val="24"/>
        </w:rPr>
        <w:t>regularidade trabalhista (http://www.tst.jus.br/certidao).</w:t>
      </w:r>
    </w:p>
    <w:p w14:paraId="246A217C">
      <w:pPr>
        <w:pStyle w:val="25"/>
        <w:numPr>
          <w:ilvl w:val="1"/>
          <w:numId w:val="1"/>
        </w:numPr>
        <w:tabs>
          <w:tab w:val="left" w:pos="709"/>
        </w:tabs>
        <w:spacing w:before="180"/>
        <w:ind w:left="0" w:firstLine="0"/>
        <w:contextualSpacing w:val="0"/>
        <w:jc w:val="both"/>
        <w:rPr>
          <w:rFonts w:cs="Arial"/>
          <w:color w:val="000000" w:themeColor="text1"/>
          <w:szCs w:val="24"/>
          <w:highlight w:val="none"/>
          <w14:textFill>
            <w14:solidFill>
              <w14:schemeClr w14:val="tx1"/>
            </w14:solidFill>
          </w14:textFill>
        </w:rPr>
      </w:pPr>
      <w:r>
        <w:rPr>
          <w:rFonts w:hint="default" w:cs="Arial"/>
          <w:b/>
          <w:bCs/>
          <w:color w:val="000000" w:themeColor="text1"/>
          <w:szCs w:val="24"/>
          <w:highlight w:val="none"/>
          <w:lang w:val="pt-BR"/>
          <w14:textFill>
            <w14:solidFill>
              <w14:schemeClr w14:val="tx1"/>
            </w14:solidFill>
          </w14:textFill>
        </w:rPr>
        <w:t>QUALIFICAÇÃO ECONÔMICO-FINANCEIRA:</w:t>
      </w:r>
    </w:p>
    <w:p w14:paraId="43538A86">
      <w:pPr>
        <w:pStyle w:val="25"/>
        <w:numPr>
          <w:ilvl w:val="2"/>
          <w:numId w:val="1"/>
        </w:numPr>
        <w:tabs>
          <w:tab w:val="left" w:pos="709"/>
        </w:tabs>
        <w:spacing w:before="180"/>
        <w:ind w:left="4" w:leftChars="0" w:hanging="4" w:firstLineChars="0"/>
        <w:contextualSpacing w:val="0"/>
        <w:jc w:val="both"/>
        <w:rPr>
          <w:rFonts w:hint="default" w:cs="Arial"/>
          <w:color w:val="000000" w:themeColor="text1"/>
          <w:szCs w:val="24"/>
          <w:highlight w:val="none"/>
          <w:lang w:val="pt-BR"/>
          <w14:textFill>
            <w14:solidFill>
              <w14:schemeClr w14:val="tx1"/>
            </w14:solidFill>
          </w14:textFill>
        </w:rPr>
      </w:pPr>
      <w:r>
        <w:rPr>
          <w:rFonts w:hint="default" w:cs="Arial"/>
          <w:color w:val="000000" w:themeColor="text1"/>
          <w:szCs w:val="24"/>
          <w:highlight w:val="none"/>
          <w:lang w:val="pt-BR"/>
          <w14:textFill>
            <w14:solidFill>
              <w14:schemeClr w14:val="tx1"/>
            </w14:solidFill>
          </w14:textFill>
        </w:rPr>
        <w:t>No caso de licitante individual, deverá apresentar:</w:t>
      </w:r>
    </w:p>
    <w:p w14:paraId="71267F3E">
      <w:pPr>
        <w:pStyle w:val="25"/>
        <w:numPr>
          <w:ilvl w:val="3"/>
          <w:numId w:val="1"/>
        </w:numPr>
        <w:tabs>
          <w:tab w:val="left" w:pos="709"/>
        </w:tabs>
        <w:spacing w:before="180"/>
        <w:ind w:left="8" w:leftChars="0" w:hanging="8" w:firstLineChars="0"/>
        <w:contextualSpacing w:val="0"/>
        <w:jc w:val="both"/>
        <w:rPr>
          <w:rFonts w:hint="default" w:cs="Arial"/>
          <w:color w:val="000000" w:themeColor="text1"/>
          <w:szCs w:val="24"/>
          <w:highlight w:val="none"/>
          <w:lang w:val="pt-BR"/>
          <w14:textFill>
            <w14:solidFill>
              <w14:schemeClr w14:val="tx1"/>
            </w14:solidFill>
          </w14:textFill>
        </w:rPr>
      </w:pPr>
      <w:r>
        <w:rPr>
          <w:rFonts w:hint="default" w:cs="Arial"/>
          <w:color w:val="000000" w:themeColor="text1"/>
          <w:szCs w:val="24"/>
          <w:highlight w:val="none"/>
          <w:lang w:val="pt-BR"/>
          <w14:textFill>
            <w14:solidFill>
              <w14:schemeClr w14:val="tx1"/>
            </w14:solidFill>
          </w14:textFill>
        </w:rPr>
        <w:t>O licitante deverá possuir patrimônio líquido correspondente a, no mínimo, 10% (dez por cento) da somatória dos valores estimados da contratação (</w:t>
      </w:r>
      <w:r>
        <w:rPr>
          <w:rFonts w:hint="default" w:cs="Arial"/>
          <w:b/>
          <w:bCs/>
          <w:szCs w:val="24"/>
          <w:highlight w:val="none"/>
          <w:u w:val="single"/>
          <w:lang w:val="pt-BR"/>
        </w:rPr>
        <w:t>R$ 21.315.737,11</w:t>
      </w:r>
      <w:r>
        <w:rPr>
          <w:rFonts w:hint="default" w:cs="Arial"/>
          <w:b w:val="0"/>
          <w:bCs w:val="0"/>
          <w:szCs w:val="24"/>
          <w:highlight w:val="none"/>
          <w:lang w:val="pt-BR"/>
        </w:rPr>
        <w:t>) dos itens que o licitante vencer, por meio do balanço patrimonial e demonstração de resultado do exercício do último exercício social, devidamente registrado e assinado pelo representante legal da empresa e pelo profissional de contabilidade responsável.</w:t>
      </w:r>
    </w:p>
    <w:p w14:paraId="5B768F94">
      <w:pPr>
        <w:pStyle w:val="25"/>
        <w:numPr>
          <w:ilvl w:val="4"/>
          <w:numId w:val="1"/>
        </w:numPr>
        <w:tabs>
          <w:tab w:val="left" w:pos="709"/>
        </w:tabs>
        <w:spacing w:before="180"/>
        <w:ind w:left="12" w:leftChars="0" w:hanging="12" w:firstLineChars="0"/>
        <w:contextualSpacing w:val="0"/>
        <w:jc w:val="both"/>
        <w:rPr>
          <w:rFonts w:hint="default" w:cs="Arial"/>
          <w:color w:val="000000" w:themeColor="text1"/>
          <w:szCs w:val="24"/>
          <w:highlight w:val="none"/>
          <w:lang w:val="pt-BR"/>
          <w14:textFill>
            <w14:solidFill>
              <w14:schemeClr w14:val="tx1"/>
            </w14:solidFill>
          </w14:textFill>
        </w:rPr>
      </w:pPr>
      <w:r>
        <w:rPr>
          <w:rFonts w:cs="Arial"/>
          <w:color w:val="000000" w:themeColor="text1"/>
          <w:szCs w:val="24"/>
          <w:highlight w:val="none"/>
          <w14:textFill>
            <w14:solidFill>
              <w14:schemeClr w14:val="tx1"/>
            </w14:solidFill>
          </w14:textFill>
        </w:rPr>
        <w:t xml:space="preserve">Para os consórcios haverá o acréscimo sobre o valor exigido de licitante individual para o patrimônio líquido de: 20% (vinte por </w:t>
      </w:r>
      <w:r>
        <w:rPr>
          <w:rFonts w:cs="Arial"/>
          <w:szCs w:val="24"/>
          <w:highlight w:val="none"/>
        </w:rPr>
        <w:t>cento).</w:t>
      </w:r>
    </w:p>
    <w:p w14:paraId="129DDE73">
      <w:pPr>
        <w:pStyle w:val="25"/>
        <w:numPr>
          <w:ilvl w:val="1"/>
          <w:numId w:val="1"/>
        </w:numPr>
        <w:tabs>
          <w:tab w:val="left" w:pos="709"/>
        </w:tabs>
        <w:spacing w:before="180"/>
        <w:ind w:left="0" w:firstLine="0"/>
        <w:contextualSpacing w:val="0"/>
        <w:jc w:val="both"/>
        <w:rPr>
          <w:rFonts w:cs="Arial"/>
          <w:color w:val="000000" w:themeColor="text1"/>
          <w:szCs w:val="24"/>
          <w:highlight w:val="none"/>
          <w14:textFill>
            <w14:solidFill>
              <w14:schemeClr w14:val="tx1"/>
            </w14:solidFill>
          </w14:textFill>
        </w:rPr>
      </w:pPr>
      <w:r>
        <w:rPr>
          <w:rFonts w:hint="default" w:cs="Arial"/>
          <w:b/>
          <w:bCs/>
          <w:color w:val="000000" w:themeColor="text1"/>
          <w:szCs w:val="24"/>
          <w:highlight w:val="none"/>
          <w:lang w:val="pt-BR"/>
          <w14:textFill>
            <w14:solidFill>
              <w14:schemeClr w14:val="tx1"/>
            </w14:solidFill>
          </w14:textFill>
        </w:rPr>
        <w:t>ATESTADO DE CAPACIDADE TÉCNICA-OPERACIONAL:</w:t>
      </w:r>
    </w:p>
    <w:p w14:paraId="269A4D09">
      <w:pPr>
        <w:pStyle w:val="25"/>
        <w:numPr>
          <w:ilvl w:val="2"/>
          <w:numId w:val="1"/>
        </w:numPr>
        <w:tabs>
          <w:tab w:val="left" w:pos="709"/>
        </w:tabs>
        <w:spacing w:before="180"/>
        <w:ind w:left="4" w:leftChars="0" w:hanging="4" w:firstLineChars="0"/>
        <w:contextualSpacing w:val="0"/>
        <w:jc w:val="both"/>
        <w:rPr>
          <w:rFonts w:hint="default" w:cs="Arial"/>
          <w:color w:val="000000" w:themeColor="text1"/>
          <w:szCs w:val="24"/>
          <w:highlight w:val="none"/>
          <w:lang w:val="pt-BR"/>
          <w14:textFill>
            <w14:solidFill>
              <w14:schemeClr w14:val="tx1"/>
            </w14:solidFill>
          </w14:textFill>
        </w:rPr>
      </w:pPr>
      <w:r>
        <w:rPr>
          <w:rFonts w:cs="Arial"/>
          <w:color w:val="000000" w:themeColor="text1"/>
          <w:szCs w:val="24"/>
          <w:highlight w:val="none"/>
          <w14:textFill>
            <w14:solidFill>
              <w14:schemeClr w14:val="tx1"/>
            </w14:solidFill>
          </w14:textFill>
        </w:rPr>
        <w:t>Atestado de capacidade técnica</w:t>
      </w:r>
      <w:r>
        <w:rPr>
          <w:rFonts w:hint="default" w:cs="Arial"/>
          <w:color w:val="000000" w:themeColor="text1"/>
          <w:szCs w:val="24"/>
          <w:highlight w:val="none"/>
          <w:lang w:val="pt-BR"/>
          <w14:textFill>
            <w14:solidFill>
              <w14:schemeClr w14:val="tx1"/>
            </w14:solidFill>
          </w14:textFill>
        </w:rPr>
        <w:t>-</w:t>
      </w:r>
      <w:r>
        <w:rPr>
          <w:rFonts w:cs="Arial"/>
          <w:color w:val="000000" w:themeColor="text1"/>
          <w:szCs w:val="24"/>
          <w:highlight w:val="none"/>
          <w14:textFill>
            <w14:solidFill>
              <w14:schemeClr w14:val="tx1"/>
            </w14:solidFill>
          </w14:textFill>
        </w:rPr>
        <w:t>operacional emitido em nome da empresa licitante, referentes a objetos similares ao licitado, admitido o somatório, desde que em período concomitante, que comprove</w:t>
      </w:r>
      <w:r>
        <w:rPr>
          <w:rFonts w:hint="default" w:cs="Arial"/>
          <w:color w:val="000000" w:themeColor="text1"/>
          <w:szCs w:val="24"/>
          <w:highlight w:val="none"/>
          <w:lang w:val="pt-BR"/>
          <w14:textFill>
            <w14:solidFill>
              <w14:schemeClr w14:val="tx1"/>
            </w14:solidFill>
          </w14:textFill>
        </w:rPr>
        <w:t xml:space="preserve"> a administração, gerenciamento, emissão e fornecimento de cartão.</w:t>
      </w:r>
    </w:p>
    <w:p w14:paraId="1A8BF5CE">
      <w:pPr>
        <w:pStyle w:val="25"/>
        <w:numPr>
          <w:ilvl w:val="1"/>
          <w:numId w:val="1"/>
        </w:numPr>
        <w:tabs>
          <w:tab w:val="left" w:pos="567"/>
        </w:tabs>
        <w:spacing w:before="180"/>
        <w:ind w:left="0" w:firstLine="0"/>
        <w:contextualSpacing w:val="0"/>
        <w:jc w:val="both"/>
        <w:rPr>
          <w:rFonts w:cs="Arial"/>
          <w:color w:val="000000" w:themeColor="text1"/>
          <w:szCs w:val="24"/>
          <w:highlight w:val="none"/>
          <w14:textFill>
            <w14:solidFill>
              <w14:schemeClr w14:val="tx1"/>
            </w14:solidFill>
          </w14:textFill>
        </w:rPr>
      </w:pPr>
      <w:r>
        <w:rPr>
          <w:rFonts w:cs="Arial"/>
          <w:color w:val="000000"/>
          <w:szCs w:val="24"/>
        </w:rPr>
        <w:t>Caso algum dos documentos não possa ser obtido no SICAF ou nos respectivos portais, será solicitado o documento comprobatório de regularidade ao licitante.</w:t>
      </w:r>
    </w:p>
    <w:p w14:paraId="26F43C72">
      <w:pPr>
        <w:pStyle w:val="25"/>
        <w:numPr>
          <w:ilvl w:val="2"/>
          <w:numId w:val="1"/>
        </w:numPr>
        <w:tabs>
          <w:tab w:val="left" w:pos="567"/>
        </w:tabs>
        <w:spacing w:before="180"/>
        <w:ind w:left="4" w:leftChars="0" w:hanging="4" w:firstLineChars="0"/>
        <w:contextualSpacing w:val="0"/>
        <w:jc w:val="both"/>
        <w:rPr>
          <w:rFonts w:cs="Arial"/>
          <w:color w:val="000000" w:themeColor="text1"/>
          <w:szCs w:val="24"/>
          <w:highlight w:val="none"/>
          <w14:textFill>
            <w14:solidFill>
              <w14:schemeClr w14:val="tx1"/>
            </w14:solidFill>
          </w14:textFill>
        </w:rPr>
      </w:pPr>
      <w:r>
        <w:rPr>
          <w:rFonts w:hint="default"/>
          <w:color w:val="000000"/>
          <w:szCs w:val="24"/>
          <w:lang w:val="pt-BR"/>
        </w:rPr>
        <w:t xml:space="preserve">Os documentos exigidos para habilitação que não estejam contemplados no SICAF serão enviados por meio do sistema, em formato digital, no </w:t>
      </w:r>
      <w:r>
        <w:rPr>
          <w:rFonts w:hint="default"/>
          <w:color w:val="000000"/>
          <w:szCs w:val="24"/>
          <w:u w:val="single"/>
          <w:lang w:val="pt-BR"/>
        </w:rPr>
        <w:t>prazo de 02 (duas) horas</w:t>
      </w:r>
      <w:r>
        <w:rPr>
          <w:rFonts w:hint="default"/>
          <w:color w:val="000000"/>
          <w:szCs w:val="24"/>
          <w:lang w:val="pt-BR"/>
        </w:rPr>
        <w:t>, contado da solicitação do Pregoeiro, podendo ser prorrogado por igual período.</w:t>
      </w:r>
      <w:r>
        <w:rPr>
          <w:rFonts w:cs="Arial"/>
          <w:color w:val="000000" w:themeColor="text1"/>
          <w:szCs w:val="24"/>
          <w:highlight w:val="none"/>
          <w14:textFill>
            <w14:solidFill>
              <w14:schemeClr w14:val="tx1"/>
            </w14:solidFill>
          </w14:textFill>
        </w:rPr>
        <w:t xml:space="preserve">   </w:t>
      </w:r>
    </w:p>
    <w:p w14:paraId="62EB41F7">
      <w:pPr>
        <w:pStyle w:val="30"/>
      </w:pPr>
      <w:r>
        <w:t xml:space="preserve">EM QUE SITUAÇÕES VOCÊ, ENQUANTO PROPONENTE, PODERÁ SER SANCIONADO </w:t>
      </w:r>
    </w:p>
    <w:p w14:paraId="503A84D9">
      <w:pPr>
        <w:pStyle w:val="25"/>
        <w:numPr>
          <w:ilvl w:val="1"/>
          <w:numId w:val="1"/>
        </w:numPr>
        <w:tabs>
          <w:tab w:val="left" w:pos="567"/>
        </w:tabs>
        <w:spacing w:before="180"/>
        <w:ind w:left="0" w:firstLine="0"/>
        <w:contextualSpacing w:val="0"/>
        <w:jc w:val="both"/>
        <w:rPr>
          <w:rFonts w:cs="Arial"/>
          <w:color w:val="000000"/>
          <w:szCs w:val="24"/>
        </w:rPr>
      </w:pPr>
      <w:bookmarkStart w:id="3" w:name="art155xi"/>
      <w:bookmarkEnd w:id="3"/>
      <w:r>
        <w:rPr>
          <w:szCs w:val="20"/>
        </w:rPr>
        <w:t>As infrações praticadas pelo licitante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9"/>
          <w:szCs w:val="20"/>
        </w:rPr>
        <w:t>Processo Sancionatório</w:t>
      </w:r>
      <w:r>
        <w:rPr>
          <w:rStyle w:val="9"/>
          <w:szCs w:val="20"/>
        </w:rPr>
        <w:fldChar w:fldCharType="end"/>
      </w:r>
      <w:r>
        <w:rPr>
          <w:szCs w:val="20"/>
        </w:rPr>
        <w:t>”.</w:t>
      </w:r>
    </w:p>
    <w:p w14:paraId="47A19259">
      <w:pPr>
        <w:numPr>
          <w:ilvl w:val="1"/>
          <w:numId w:val="1"/>
        </w:numPr>
        <w:spacing w:before="240" w:after="240" w:line="276" w:lineRule="auto"/>
        <w:ind w:left="10" w:leftChars="0" w:hanging="10" w:firstLineChars="0"/>
        <w:jc w:val="both"/>
        <w:rPr>
          <w:szCs w:val="20"/>
        </w:rPr>
      </w:pPr>
      <w:r>
        <w:rPr>
          <w:szCs w:val="20"/>
        </w:rPr>
        <w:t>Ao licitante infrator poderá ser aplicada penalidade de impedimento de licitar e contratar, nos termos da tabela:</w:t>
      </w:r>
    </w:p>
    <w:tbl>
      <w:tblPr>
        <w:tblStyle w:val="1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9"/>
        <w:gridCol w:w="3402"/>
        <w:gridCol w:w="1673"/>
      </w:tblGrid>
      <w:tr w14:paraId="2CA0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00DE85E">
            <w:pPr>
              <w:widowControl/>
              <w:spacing w:before="80" w:after="80" w:line="264" w:lineRule="auto"/>
              <w:jc w:val="center"/>
              <w:rPr>
                <w:b/>
                <w:bCs/>
                <w:sz w:val="20"/>
                <w:szCs w:val="20"/>
              </w:rPr>
            </w:pPr>
            <w:r>
              <w:rPr>
                <w:b/>
                <w:bCs/>
                <w:kern w:val="0"/>
                <w:sz w:val="20"/>
                <w:szCs w:val="20"/>
                <w:lang w:val="pt-BR" w:eastAsia="pt-BR" w:bidi="ar-SA"/>
              </w:rPr>
              <w:t>INFRAÇÃO COMETIDA</w:t>
            </w:r>
          </w:p>
        </w:tc>
        <w:tc>
          <w:tcPr>
            <w:tcW w:w="3402" w:type="dxa"/>
            <w:vAlign w:val="center"/>
          </w:tcPr>
          <w:p w14:paraId="4DF4755D">
            <w:pPr>
              <w:widowControl/>
              <w:spacing w:before="80" w:after="80" w:line="264" w:lineRule="auto"/>
              <w:jc w:val="center"/>
              <w:rPr>
                <w:b/>
                <w:bCs/>
                <w:sz w:val="20"/>
                <w:szCs w:val="20"/>
              </w:rPr>
            </w:pPr>
            <w:r>
              <w:rPr>
                <w:b/>
                <w:bCs/>
                <w:kern w:val="0"/>
                <w:sz w:val="20"/>
                <w:szCs w:val="20"/>
                <w:lang w:val="pt-BR" w:eastAsia="pt-BR" w:bidi="ar-SA"/>
              </w:rPr>
              <w:t>PENALIDADE</w:t>
            </w:r>
          </w:p>
        </w:tc>
        <w:tc>
          <w:tcPr>
            <w:tcW w:w="1673" w:type="dxa"/>
            <w:vAlign w:val="center"/>
          </w:tcPr>
          <w:p w14:paraId="741EDBA6">
            <w:pPr>
              <w:widowControl/>
              <w:spacing w:before="80" w:after="80" w:line="264" w:lineRule="auto"/>
              <w:jc w:val="center"/>
              <w:rPr>
                <w:b/>
                <w:bCs/>
                <w:sz w:val="20"/>
                <w:szCs w:val="20"/>
              </w:rPr>
            </w:pPr>
            <w:r>
              <w:rPr>
                <w:b/>
                <w:bCs/>
                <w:kern w:val="0"/>
                <w:sz w:val="20"/>
                <w:szCs w:val="20"/>
                <w:lang w:val="pt-BR" w:eastAsia="pt-BR" w:bidi="ar-SA"/>
              </w:rPr>
              <w:t>PRAZO</w:t>
            </w:r>
          </w:p>
        </w:tc>
      </w:tr>
      <w:tr w14:paraId="136BC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6D7143C">
            <w:pPr>
              <w:widowControl/>
              <w:spacing w:before="120" w:after="120"/>
              <w:rPr>
                <w:color w:val="000000"/>
                <w:sz w:val="20"/>
                <w:szCs w:val="20"/>
              </w:rPr>
            </w:pPr>
            <w:r>
              <w:rPr>
                <w:kern w:val="0"/>
                <w:sz w:val="20"/>
                <w:szCs w:val="20"/>
                <w:lang w:val="pt-BR" w:eastAsia="pt-BR" w:bidi="ar-SA"/>
              </w:rPr>
              <w:t>Deixar de entregar a documentação exigida para o certame, mesmo após a possibilidade de saneamento</w:t>
            </w:r>
          </w:p>
        </w:tc>
        <w:tc>
          <w:tcPr>
            <w:tcW w:w="3402" w:type="dxa"/>
            <w:vAlign w:val="center"/>
          </w:tcPr>
          <w:p w14:paraId="1ED56161">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5D0EFB44">
            <w:pPr>
              <w:widowControl/>
              <w:spacing w:before="80" w:after="80" w:line="264" w:lineRule="auto"/>
              <w:jc w:val="center"/>
              <w:rPr>
                <w:sz w:val="20"/>
                <w:szCs w:val="20"/>
              </w:rPr>
            </w:pPr>
            <w:r>
              <w:rPr>
                <w:kern w:val="0"/>
                <w:sz w:val="20"/>
                <w:szCs w:val="20"/>
                <w:lang w:val="pt-BR" w:eastAsia="pt-BR" w:bidi="ar-SA"/>
              </w:rPr>
              <w:t>6 meses</w:t>
            </w:r>
          </w:p>
        </w:tc>
      </w:tr>
      <w:tr w14:paraId="309E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65270894">
            <w:pPr>
              <w:widowControl/>
              <w:spacing w:before="80" w:after="80" w:line="264" w:lineRule="auto"/>
              <w:jc w:val="center"/>
              <w:rPr>
                <w:sz w:val="20"/>
                <w:szCs w:val="20"/>
              </w:rPr>
            </w:pPr>
            <w:r>
              <w:rPr>
                <w:kern w:val="0"/>
                <w:sz w:val="20"/>
                <w:szCs w:val="20"/>
                <w:lang w:val="pt-BR" w:eastAsia="pt-BR" w:bidi="ar-SA"/>
              </w:rPr>
              <w:t>Não manter a proposta, salvo em decorrência de fato superveniente devidamente justificado</w:t>
            </w:r>
          </w:p>
        </w:tc>
        <w:tc>
          <w:tcPr>
            <w:tcW w:w="3402" w:type="dxa"/>
            <w:vAlign w:val="center"/>
          </w:tcPr>
          <w:p w14:paraId="0CBA3410">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3C01441D">
            <w:pPr>
              <w:widowControl/>
              <w:spacing w:before="80" w:after="80" w:line="264" w:lineRule="auto"/>
              <w:jc w:val="center"/>
              <w:rPr>
                <w:sz w:val="20"/>
                <w:szCs w:val="20"/>
              </w:rPr>
            </w:pPr>
            <w:r>
              <w:rPr>
                <w:kern w:val="0"/>
                <w:sz w:val="20"/>
                <w:szCs w:val="20"/>
                <w:lang w:val="pt-BR" w:eastAsia="pt-BR" w:bidi="ar-SA"/>
              </w:rPr>
              <w:t>6 meses</w:t>
            </w:r>
          </w:p>
        </w:tc>
      </w:tr>
      <w:tr w14:paraId="163B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AE2A9D0">
            <w:pPr>
              <w:widowControl/>
              <w:spacing w:before="80" w:after="80" w:line="264" w:lineRule="auto"/>
              <w:jc w:val="center"/>
              <w:rPr>
                <w:sz w:val="20"/>
                <w:szCs w:val="20"/>
              </w:rPr>
            </w:pPr>
            <w:r>
              <w:rPr>
                <w:kern w:val="0"/>
                <w:sz w:val="20"/>
                <w:szCs w:val="20"/>
                <w:lang w:val="pt-BR" w:eastAsia="pt-BR" w:bidi="ar-SA"/>
              </w:rPr>
              <w:t>Não celebrar o contrato ou não entregar a documentação exigida para a contratação, quando convocado dentro do prazo de validade de sua proposta</w:t>
            </w:r>
          </w:p>
        </w:tc>
        <w:tc>
          <w:tcPr>
            <w:tcW w:w="3402" w:type="dxa"/>
            <w:vAlign w:val="center"/>
          </w:tcPr>
          <w:p w14:paraId="75A136CF">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7ACBD668">
            <w:pPr>
              <w:widowControl/>
              <w:spacing w:before="80" w:after="80" w:line="264" w:lineRule="auto"/>
              <w:jc w:val="center"/>
              <w:rPr>
                <w:sz w:val="20"/>
                <w:szCs w:val="20"/>
              </w:rPr>
            </w:pPr>
            <w:r>
              <w:rPr>
                <w:kern w:val="0"/>
                <w:sz w:val="20"/>
                <w:szCs w:val="20"/>
                <w:lang w:val="pt-BR" w:eastAsia="pt-BR" w:bidi="ar-SA"/>
              </w:rPr>
              <w:t>6 meses</w:t>
            </w:r>
          </w:p>
        </w:tc>
      </w:tr>
      <w:tr w14:paraId="37F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A777BF4">
            <w:pPr>
              <w:widowControl/>
              <w:spacing w:before="80" w:after="80" w:line="264" w:lineRule="auto"/>
              <w:jc w:val="center"/>
              <w:rPr>
                <w:sz w:val="20"/>
                <w:szCs w:val="20"/>
              </w:rPr>
            </w:pPr>
            <w:r>
              <w:rPr>
                <w:kern w:val="0"/>
                <w:sz w:val="20"/>
                <w:szCs w:val="20"/>
                <w:lang w:val="pt-BR" w:eastAsia="pt-BR" w:bidi="ar-SA"/>
              </w:rPr>
              <w:t>Apresentar recursos manifestamente protelatórios</w:t>
            </w:r>
          </w:p>
        </w:tc>
        <w:tc>
          <w:tcPr>
            <w:tcW w:w="3402" w:type="dxa"/>
            <w:vAlign w:val="center"/>
          </w:tcPr>
          <w:p w14:paraId="5850FECE">
            <w:pPr>
              <w:widowControl/>
              <w:spacing w:before="80" w:after="80" w:line="264" w:lineRule="auto"/>
              <w:jc w:val="center"/>
              <w:rPr>
                <w:sz w:val="20"/>
                <w:szCs w:val="20"/>
              </w:rPr>
            </w:pPr>
            <w:r>
              <w:rPr>
                <w:kern w:val="0"/>
                <w:sz w:val="20"/>
                <w:szCs w:val="20"/>
                <w:lang w:val="pt-BR" w:eastAsia="pt-BR" w:bidi="ar-SA"/>
              </w:rPr>
              <w:t>Impedimento de licitar ou contratar com o município de Paranavaí</w:t>
            </w:r>
          </w:p>
        </w:tc>
        <w:tc>
          <w:tcPr>
            <w:tcW w:w="1673" w:type="dxa"/>
            <w:vAlign w:val="center"/>
          </w:tcPr>
          <w:p w14:paraId="48A54F50">
            <w:pPr>
              <w:widowControl/>
              <w:spacing w:before="80" w:after="80" w:line="264" w:lineRule="auto"/>
              <w:jc w:val="center"/>
              <w:rPr>
                <w:sz w:val="20"/>
                <w:szCs w:val="20"/>
              </w:rPr>
            </w:pPr>
            <w:r>
              <w:rPr>
                <w:kern w:val="0"/>
                <w:sz w:val="20"/>
                <w:szCs w:val="20"/>
                <w:lang w:val="pt-BR" w:eastAsia="pt-BR" w:bidi="ar-SA"/>
              </w:rPr>
              <w:t>6 meses</w:t>
            </w:r>
          </w:p>
        </w:tc>
      </w:tr>
      <w:tr w14:paraId="685B1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42298CD5">
            <w:pPr>
              <w:widowControl/>
              <w:spacing w:before="80" w:after="80" w:line="264" w:lineRule="auto"/>
              <w:jc w:val="center"/>
              <w:rPr>
                <w:sz w:val="20"/>
                <w:szCs w:val="20"/>
              </w:rPr>
            </w:pPr>
            <w:r>
              <w:rPr>
                <w:kern w:val="0"/>
                <w:sz w:val="20"/>
                <w:szCs w:val="20"/>
                <w:lang w:val="pt-BR" w:eastAsia="pt-BR" w:bidi="ar-SA"/>
              </w:rPr>
              <w:t>Apresentar declaração ou documentação falsa exigida para o certame ou prestar declaração falsa durante a seleção do fornecedor</w:t>
            </w:r>
          </w:p>
        </w:tc>
        <w:tc>
          <w:tcPr>
            <w:tcW w:w="3402" w:type="dxa"/>
            <w:vAlign w:val="center"/>
          </w:tcPr>
          <w:p w14:paraId="384664B4">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1C243773">
            <w:pPr>
              <w:widowControl/>
              <w:spacing w:before="80" w:after="80" w:line="264" w:lineRule="auto"/>
              <w:jc w:val="center"/>
              <w:rPr>
                <w:sz w:val="20"/>
                <w:szCs w:val="20"/>
              </w:rPr>
            </w:pPr>
            <w:r>
              <w:rPr>
                <w:kern w:val="0"/>
                <w:sz w:val="20"/>
                <w:szCs w:val="20"/>
                <w:lang w:val="pt-BR" w:eastAsia="pt-BR" w:bidi="ar-SA"/>
              </w:rPr>
              <w:t>4 anos e 6 meses</w:t>
            </w:r>
          </w:p>
        </w:tc>
      </w:tr>
      <w:tr w14:paraId="1C7E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17D60BBC">
            <w:pPr>
              <w:widowControl/>
              <w:spacing w:before="80" w:after="80" w:line="264" w:lineRule="auto"/>
              <w:jc w:val="center"/>
              <w:rPr>
                <w:sz w:val="20"/>
                <w:szCs w:val="20"/>
              </w:rPr>
            </w:pPr>
            <w:r>
              <w:rPr>
                <w:kern w:val="0"/>
                <w:sz w:val="20"/>
                <w:szCs w:val="20"/>
                <w:lang w:val="pt-BR" w:eastAsia="pt-BR" w:bidi="ar-SA"/>
              </w:rPr>
              <w:t>Fraudar a seleção do fornecedor</w:t>
            </w:r>
          </w:p>
        </w:tc>
        <w:tc>
          <w:tcPr>
            <w:tcW w:w="3402" w:type="dxa"/>
            <w:vAlign w:val="center"/>
          </w:tcPr>
          <w:p w14:paraId="0EF10E5C">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636F193">
            <w:pPr>
              <w:widowControl/>
              <w:spacing w:before="80" w:after="80" w:line="264" w:lineRule="auto"/>
              <w:jc w:val="center"/>
              <w:rPr>
                <w:sz w:val="20"/>
                <w:szCs w:val="20"/>
              </w:rPr>
            </w:pPr>
            <w:r>
              <w:rPr>
                <w:kern w:val="0"/>
                <w:sz w:val="20"/>
                <w:szCs w:val="20"/>
                <w:lang w:val="pt-BR" w:eastAsia="pt-BR" w:bidi="ar-SA"/>
              </w:rPr>
              <w:t>4 anos e 6 meses</w:t>
            </w:r>
          </w:p>
        </w:tc>
      </w:tr>
      <w:tr w14:paraId="4BC48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5B21138">
            <w:pPr>
              <w:widowControl/>
              <w:spacing w:before="80" w:after="80" w:line="264" w:lineRule="auto"/>
              <w:jc w:val="center"/>
              <w:rPr>
                <w:sz w:val="20"/>
                <w:szCs w:val="20"/>
              </w:rPr>
            </w:pPr>
            <w:r>
              <w:rPr>
                <w:kern w:val="0"/>
                <w:sz w:val="20"/>
                <w:szCs w:val="20"/>
                <w:lang w:val="pt-BR" w:eastAsia="pt-BR" w:bidi="ar-SA"/>
              </w:rPr>
              <w:t>Comportar-se de modo inidôneo ou cometer fraude de qualquer natureza</w:t>
            </w:r>
          </w:p>
        </w:tc>
        <w:tc>
          <w:tcPr>
            <w:tcW w:w="3402" w:type="dxa"/>
            <w:vAlign w:val="center"/>
          </w:tcPr>
          <w:p w14:paraId="531699EA">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59B3324E">
            <w:pPr>
              <w:widowControl/>
              <w:spacing w:before="80" w:after="80" w:line="264" w:lineRule="auto"/>
              <w:jc w:val="center"/>
              <w:rPr>
                <w:sz w:val="20"/>
                <w:szCs w:val="20"/>
              </w:rPr>
            </w:pPr>
            <w:r>
              <w:rPr>
                <w:kern w:val="0"/>
                <w:sz w:val="20"/>
                <w:szCs w:val="20"/>
                <w:lang w:val="pt-BR" w:eastAsia="pt-BR" w:bidi="ar-SA"/>
              </w:rPr>
              <w:t>4 anos e 6 meses</w:t>
            </w:r>
          </w:p>
        </w:tc>
      </w:tr>
      <w:tr w14:paraId="720B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788EE1F1">
            <w:pPr>
              <w:widowControl/>
              <w:spacing w:before="80" w:after="80" w:line="264" w:lineRule="auto"/>
              <w:jc w:val="center"/>
              <w:rPr>
                <w:sz w:val="20"/>
                <w:szCs w:val="20"/>
              </w:rPr>
            </w:pPr>
            <w:r>
              <w:rPr>
                <w:kern w:val="0"/>
                <w:sz w:val="20"/>
                <w:szCs w:val="20"/>
                <w:lang w:val="pt-BR" w:eastAsia="pt-BR" w:bidi="ar-SA"/>
              </w:rPr>
              <w:t>Praticar atos ilícitos com vistas a frustrar os objetivos da seleção do fornecedor</w:t>
            </w:r>
          </w:p>
        </w:tc>
        <w:tc>
          <w:tcPr>
            <w:tcW w:w="3402" w:type="dxa"/>
            <w:vAlign w:val="center"/>
          </w:tcPr>
          <w:p w14:paraId="12163036">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25C99A05">
            <w:pPr>
              <w:widowControl/>
              <w:spacing w:before="80" w:after="80" w:line="264" w:lineRule="auto"/>
              <w:jc w:val="center"/>
              <w:rPr>
                <w:sz w:val="20"/>
                <w:szCs w:val="20"/>
              </w:rPr>
            </w:pPr>
            <w:r>
              <w:rPr>
                <w:kern w:val="0"/>
                <w:sz w:val="20"/>
                <w:szCs w:val="20"/>
                <w:lang w:val="pt-BR" w:eastAsia="pt-BR" w:bidi="ar-SA"/>
              </w:rPr>
              <w:t>4 anos e 6 meses</w:t>
            </w:r>
          </w:p>
        </w:tc>
      </w:tr>
      <w:tr w14:paraId="1627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9" w:type="dxa"/>
            <w:vAlign w:val="center"/>
          </w:tcPr>
          <w:p w14:paraId="0EB8EBF6">
            <w:pPr>
              <w:widowControl/>
              <w:spacing w:before="80" w:after="80" w:line="264" w:lineRule="auto"/>
              <w:jc w:val="center"/>
              <w:rPr>
                <w:sz w:val="20"/>
                <w:szCs w:val="20"/>
              </w:rPr>
            </w:pPr>
            <w:r>
              <w:rPr>
                <w:kern w:val="0"/>
                <w:sz w:val="20"/>
                <w:szCs w:val="20"/>
                <w:lang w:val="pt-BR" w:eastAsia="pt-BR" w:bidi="ar-SA"/>
              </w:rPr>
              <w:t>Praticar ato lesivo previsto no art. 5º da Lei nº 12.846, de 1º de agosto de 2013</w:t>
            </w:r>
          </w:p>
        </w:tc>
        <w:tc>
          <w:tcPr>
            <w:tcW w:w="3402" w:type="dxa"/>
            <w:vAlign w:val="center"/>
          </w:tcPr>
          <w:p w14:paraId="28507D75">
            <w:pPr>
              <w:widowControl/>
              <w:spacing w:before="80" w:after="80" w:line="264" w:lineRule="auto"/>
              <w:jc w:val="center"/>
              <w:rPr>
                <w:sz w:val="20"/>
                <w:szCs w:val="20"/>
              </w:rPr>
            </w:pPr>
            <w:r>
              <w:rPr>
                <w:kern w:val="0"/>
                <w:sz w:val="20"/>
                <w:szCs w:val="20"/>
                <w:lang w:val="pt-BR" w:eastAsia="pt-BR" w:bidi="ar-SA"/>
              </w:rPr>
              <w:t>Declaração de Inidoneidade para licitar ou contratar com todos os entes federativos</w:t>
            </w:r>
          </w:p>
        </w:tc>
        <w:tc>
          <w:tcPr>
            <w:tcW w:w="1673" w:type="dxa"/>
            <w:vAlign w:val="center"/>
          </w:tcPr>
          <w:p w14:paraId="0918412A">
            <w:pPr>
              <w:widowControl/>
              <w:spacing w:before="80" w:after="80" w:line="264" w:lineRule="auto"/>
              <w:jc w:val="center"/>
              <w:rPr>
                <w:sz w:val="20"/>
                <w:szCs w:val="20"/>
              </w:rPr>
            </w:pPr>
            <w:r>
              <w:rPr>
                <w:kern w:val="0"/>
                <w:sz w:val="20"/>
                <w:szCs w:val="20"/>
                <w:lang w:val="pt-BR" w:eastAsia="pt-BR" w:bidi="ar-SA"/>
              </w:rPr>
              <w:t>4 anos e 6 meses</w:t>
            </w:r>
          </w:p>
        </w:tc>
      </w:tr>
    </w:tbl>
    <w:p w14:paraId="2EAD2023">
      <w:pPr>
        <w:pStyle w:val="30"/>
      </w:pPr>
      <w:r>
        <w:t>INFORMAÇÕES GERAIS</w:t>
      </w:r>
    </w:p>
    <w:p w14:paraId="4CF209D8">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"https://docs.google.com/document/d/e/2PACX-1vSIe8snHAyCfJ6-8WV9YzjGl78QGO_XOFUUNEAG6fo8zhkdaI6nKOMzfbrHVuzQrlVMmxY46N7kw-sl/pub" </w:instrText>
      </w:r>
      <w:r>
        <w:fldChar w:fldCharType="separate"/>
      </w:r>
      <w:r>
        <w:rPr>
          <w:rStyle w:val="9"/>
          <w:rFonts w:cs="Arial"/>
          <w:szCs w:val="24"/>
        </w:rPr>
        <w:t>Definições</w:t>
      </w:r>
      <w:r>
        <w:rPr>
          <w:rStyle w:val="9"/>
          <w:rFonts w:cs="Arial"/>
          <w:szCs w:val="24"/>
        </w:rPr>
        <w:fldChar w:fldCharType="end"/>
      </w:r>
    </w:p>
    <w:p w14:paraId="19C5E3AD">
      <w:pPr>
        <w:pStyle w:val="25"/>
        <w:numPr>
          <w:ilvl w:val="1"/>
          <w:numId w:val="1"/>
        </w:numPr>
        <w:tabs>
          <w:tab w:val="left" w:pos="567"/>
        </w:tabs>
        <w:spacing w:before="180"/>
        <w:ind w:left="0" w:firstLine="0"/>
        <w:contextualSpacing w:val="0"/>
        <w:jc w:val="both"/>
        <w:rPr>
          <w:rFonts w:cs="Arial"/>
          <w:szCs w:val="24"/>
        </w:rPr>
      </w:pPr>
      <w:r>
        <w:fldChar w:fldCharType="begin"/>
      </w:r>
      <w:r>
        <w:instrText xml:space="preserve"> HYPERLINK "https://docs.google.com/document/d/e/2PACX-1vShoYxs_mW-c6m1etgLMf-hsxUbBczX8ofjyErBYenNz5K4qUY9lhDo8S-opO7dcXethFJ8dKVgF-fL/pub" </w:instrText>
      </w:r>
      <w:r>
        <w:fldChar w:fldCharType="separate"/>
      </w:r>
      <w:r>
        <w:rPr>
          <w:rStyle w:val="9"/>
          <w:rFonts w:cs="Arial"/>
          <w:szCs w:val="24"/>
        </w:rPr>
        <w:t>Condições de julgamento de propostas e habilitação</w:t>
      </w:r>
      <w:r>
        <w:rPr>
          <w:rStyle w:val="9"/>
          <w:rFonts w:cs="Arial"/>
          <w:szCs w:val="24"/>
        </w:rPr>
        <w:fldChar w:fldCharType="end"/>
      </w:r>
    </w:p>
    <w:p w14:paraId="753933F4">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"https://docs.google.com/document/d/e/2PACX-1vRhfiOnbSywgErOXL3pUtKit2tDmCQEIVnLwvTjTJHz912L2l5VQcV_MYiRVmSWC-8F8sTo5XjWxbWs/pub" </w:instrText>
      </w:r>
      <w:r>
        <w:fldChar w:fldCharType="separate"/>
      </w:r>
      <w:r>
        <w:rPr>
          <w:rStyle w:val="9"/>
          <w:rFonts w:cs="Arial"/>
          <w:szCs w:val="24"/>
        </w:rPr>
        <w:t>Critérios de desempate</w:t>
      </w:r>
      <w:r>
        <w:rPr>
          <w:rStyle w:val="9"/>
          <w:rFonts w:cs="Arial"/>
          <w:szCs w:val="24"/>
        </w:rPr>
        <w:fldChar w:fldCharType="end"/>
      </w:r>
    </w:p>
    <w:p w14:paraId="251019AB">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"https://docs.google.com/document/d/e/2PACX-1vRxUJRvxd_gS6ex4UUQJH94yQLfdS3_qn1eRdm0YQNn5zK-7IBLqJmGeVPcaIt6MpKCitLxw6UqeZWr/pub" </w:instrText>
      </w:r>
      <w:r>
        <w:fldChar w:fldCharType="separate"/>
      </w:r>
      <w:r>
        <w:rPr>
          <w:rStyle w:val="9"/>
          <w:rFonts w:cs="Arial"/>
          <w:szCs w:val="24"/>
        </w:rPr>
        <w:t>Negociação</w:t>
      </w:r>
      <w:r>
        <w:rPr>
          <w:rStyle w:val="9"/>
          <w:rFonts w:cs="Arial"/>
          <w:szCs w:val="24"/>
        </w:rPr>
        <w:fldChar w:fldCharType="end"/>
      </w:r>
    </w:p>
    <w:p w14:paraId="3F6EEAA6">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"https://docs.google.com/document/d/e/2PACX-1vQLFbIVsjfzE2Ii4FhCO62IKYDjlRwUA2ZyVzDmIKQ7csDdY1KGoFFBfXejNSOc-wysFxr59lnf-NPN/pub" </w:instrText>
      </w:r>
      <w:r>
        <w:fldChar w:fldCharType="separate"/>
      </w:r>
      <w:r>
        <w:rPr>
          <w:rStyle w:val="9"/>
          <w:rFonts w:cs="Arial"/>
          <w:szCs w:val="24"/>
        </w:rPr>
        <w:t>Recursos e contrarrazões</w:t>
      </w:r>
      <w:r>
        <w:rPr>
          <w:rStyle w:val="9"/>
          <w:rFonts w:cs="Arial"/>
          <w:szCs w:val="24"/>
        </w:rPr>
        <w:fldChar w:fldCharType="end"/>
      </w:r>
    </w:p>
    <w:p w14:paraId="552B0810">
      <w:pPr>
        <w:pStyle w:val="25"/>
        <w:numPr>
          <w:ilvl w:val="1"/>
          <w:numId w:val="1"/>
        </w:numPr>
        <w:tabs>
          <w:tab w:val="left" w:pos="567"/>
        </w:tabs>
        <w:spacing w:before="180"/>
        <w:ind w:left="0" w:firstLine="0"/>
        <w:contextualSpacing w:val="0"/>
        <w:jc w:val="both"/>
        <w:rPr>
          <w:rFonts w:cs="Arial"/>
          <w:color w:val="000000" w:themeColor="text1"/>
          <w:szCs w:val="24"/>
          <w14:textFill>
            <w14:solidFill>
              <w14:schemeClr w14:val="tx1"/>
            </w14:solidFill>
          </w14:textFill>
        </w:rPr>
      </w:pPr>
      <w:r>
        <w:fldChar w:fldCharType="begin"/>
      </w:r>
      <w:r>
        <w:instrText xml:space="preserve"> HYPERLINK "https://docs.google.com/document/d/e/2PACX-1vRHaNIKIbtzlG5qmekiOViMg0pWMdz8f5E8A3q7E6nRe0QZExsa7GfL5Cti5E5lhl7PZiP7PLf01z9S/pub" </w:instrText>
      </w:r>
      <w:r>
        <w:fldChar w:fldCharType="separate"/>
      </w:r>
      <w:r>
        <w:rPr>
          <w:rStyle w:val="9"/>
          <w:rFonts w:cs="Arial"/>
          <w:szCs w:val="24"/>
        </w:rPr>
        <w:t>Adjudicação e homologação</w:t>
      </w:r>
      <w:r>
        <w:rPr>
          <w:rStyle w:val="9"/>
          <w:rFonts w:cs="Arial"/>
          <w:szCs w:val="24"/>
        </w:rPr>
        <w:fldChar w:fldCharType="end"/>
      </w:r>
    </w:p>
    <w:p w14:paraId="5E75A0A6">
      <w:pPr>
        <w:pStyle w:val="25"/>
        <w:numPr>
          <w:ilvl w:val="1"/>
          <w:numId w:val="1"/>
        </w:numPr>
        <w:tabs>
          <w:tab w:val="left" w:pos="567"/>
        </w:tabs>
        <w:spacing w:before="180"/>
        <w:ind w:left="0" w:firstLine="0"/>
        <w:contextualSpacing w:val="0"/>
        <w:jc w:val="both"/>
        <w:rPr>
          <w:rStyle w:val="9"/>
          <w:rFonts w:cs="Arial"/>
          <w:color w:val="000000"/>
          <w:szCs w:val="24"/>
          <w:u w:val="none"/>
        </w:rPr>
      </w:pPr>
      <w:r>
        <w:fldChar w:fldCharType="begin"/>
      </w:r>
      <w:r>
        <w:instrText xml:space="preserve"> HYPERLINK "https://docs.google.com/document/d/e/2PACX-1vTWJiaXlm0QBRnw4KGHhScwDh7fi1oBgUVnYce20DdEPa7Eo6bRq7o4fl9gI7JIWsMiKPlx83iI3MsI/pub" </w:instrText>
      </w:r>
      <w:r>
        <w:fldChar w:fldCharType="separate"/>
      </w:r>
      <w:r>
        <w:rPr>
          <w:rStyle w:val="9"/>
          <w:rFonts w:cs="Arial"/>
          <w:szCs w:val="24"/>
        </w:rPr>
        <w:t>Disposições gerais</w:t>
      </w:r>
      <w:r>
        <w:rPr>
          <w:rStyle w:val="9"/>
          <w:rFonts w:cs="Arial"/>
          <w:szCs w:val="24"/>
        </w:rPr>
        <w:fldChar w:fldCharType="end"/>
      </w:r>
    </w:p>
    <w:p w14:paraId="6BF5E2C4">
      <w:pPr>
        <w:pStyle w:val="25"/>
        <w:numPr>
          <w:ilvl w:val="1"/>
          <w:numId w:val="1"/>
        </w:numPr>
        <w:tabs>
          <w:tab w:val="left" w:pos="567"/>
        </w:tabs>
        <w:spacing w:before="180"/>
        <w:ind w:left="0" w:firstLine="0"/>
        <w:contextualSpacing w:val="0"/>
        <w:jc w:val="both"/>
        <w:rPr>
          <w:rFonts w:cs="Arial"/>
          <w:color w:val="000000"/>
          <w:szCs w:val="24"/>
        </w:rPr>
      </w:pPr>
      <w:r>
        <w:fldChar w:fldCharType="begin"/>
      </w:r>
      <w:r>
        <w:instrText xml:space="preserve"> HYPERLINK "https://docs.google.com/document/d/e/2PACX-1vSzf9svIQc-1FGw1B3WK6el4FtXKNLwgIOY5OtYixcHEftG6GVNI_WWkplZrWeSTaHwStBdickl9RKt/pub" </w:instrText>
      </w:r>
      <w:r>
        <w:fldChar w:fldCharType="separate"/>
      </w:r>
      <w:r>
        <w:rPr>
          <w:rStyle w:val="9"/>
          <w:rFonts w:cs="Arial"/>
          <w:szCs w:val="24"/>
        </w:rPr>
        <w:t>Caderno de Normas Licitatórias</w:t>
      </w:r>
      <w:r>
        <w:rPr>
          <w:rStyle w:val="9"/>
          <w:rFonts w:cs="Arial"/>
          <w:szCs w:val="24"/>
        </w:rPr>
        <w:fldChar w:fldCharType="end"/>
      </w:r>
    </w:p>
    <w:p w14:paraId="24B93959">
      <w:pPr>
        <w:pStyle w:val="25"/>
        <w:numPr>
          <w:ilvl w:val="1"/>
          <w:numId w:val="1"/>
        </w:numPr>
        <w:tabs>
          <w:tab w:val="left" w:pos="567"/>
        </w:tabs>
        <w:spacing w:before="180"/>
        <w:ind w:left="0" w:firstLine="0"/>
        <w:contextualSpacing w:val="0"/>
        <w:jc w:val="both"/>
        <w:rPr>
          <w:rFonts w:cs="Arial"/>
          <w:szCs w:val="24"/>
        </w:rPr>
      </w:pPr>
      <w:r>
        <w:rPr>
          <w:rFonts w:cs="Arial"/>
          <w:szCs w:val="24"/>
        </w:rPr>
        <w:t xml:space="preserve">Nossos canais de atendimento: </w:t>
      </w:r>
      <w:r>
        <w:fldChar w:fldCharType="begin"/>
      </w:r>
      <w:r>
        <w:instrText xml:space="preserve"> HYPERLINK "mailto:compras@paranavai.pr.gov.br" </w:instrText>
      </w:r>
      <w:r>
        <w:fldChar w:fldCharType="separate"/>
      </w:r>
      <w:r>
        <w:rPr>
          <w:rFonts w:cs="Arial"/>
        </w:rPr>
        <w:t>compras@paranavai.pr.gov.br</w:t>
      </w:r>
      <w:r>
        <w:rPr>
          <w:rFonts w:cs="Arial"/>
        </w:rPr>
        <w:fldChar w:fldCharType="end"/>
      </w:r>
      <w:r>
        <w:rPr>
          <w:rFonts w:cs="Arial"/>
          <w:szCs w:val="24"/>
        </w:rPr>
        <w:t xml:space="preserve"> / (44) 3421-2323, (das </w:t>
      </w:r>
      <w:r>
        <w:rPr>
          <w:rFonts w:hint="default" w:cs="Arial"/>
          <w:szCs w:val="24"/>
          <w:lang w:val="pt-BR"/>
        </w:rPr>
        <w:t>08h00 às 11h30min e das 13</w:t>
      </w:r>
      <w:r>
        <w:rPr>
          <w:rFonts w:cs="Arial"/>
          <w:szCs w:val="24"/>
        </w:rPr>
        <w:t>h</w:t>
      </w:r>
      <w:r>
        <w:rPr>
          <w:rFonts w:hint="default" w:cs="Arial"/>
          <w:szCs w:val="24"/>
          <w:lang w:val="pt-BR"/>
        </w:rPr>
        <w:t>3</w:t>
      </w:r>
      <w:r>
        <w:rPr>
          <w:rFonts w:cs="Arial"/>
          <w:szCs w:val="24"/>
        </w:rPr>
        <w:t>0min às 1</w:t>
      </w:r>
      <w:r>
        <w:rPr>
          <w:rFonts w:hint="default" w:cs="Arial"/>
          <w:szCs w:val="24"/>
          <w:lang w:val="pt-BR"/>
        </w:rPr>
        <w:t>7</w:t>
      </w:r>
      <w:r>
        <w:rPr>
          <w:rFonts w:cs="Arial"/>
          <w:szCs w:val="24"/>
        </w:rPr>
        <w:t>h00min).</w:t>
      </w:r>
    </w:p>
    <w:p w14:paraId="6DE33A7E">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0A912C18">
      <w:pPr>
        <w:pStyle w:val="25"/>
        <w:numPr>
          <w:ilvl w:val="1"/>
          <w:numId w:val="1"/>
        </w:numPr>
        <w:tabs>
          <w:tab w:val="left" w:pos="567"/>
          <w:tab w:val="left" w:pos="709"/>
        </w:tabs>
        <w:spacing w:before="180"/>
        <w:ind w:left="0" w:firstLine="0"/>
        <w:contextualSpacing w:val="0"/>
        <w:jc w:val="both"/>
        <w:rPr>
          <w:rFonts w:cs="Arial"/>
          <w:szCs w:val="24"/>
        </w:rPr>
      </w:pPr>
      <w:r>
        <w:rPr>
          <w:rFonts w:cs="Arial"/>
          <w:szCs w:val="24"/>
        </w:rPr>
        <w:t xml:space="preserve">Quem são os responsáveis pelo certame: </w:t>
      </w:r>
      <w:r>
        <w:rPr>
          <w:rFonts w:hint="default" w:cs="Arial"/>
          <w:szCs w:val="24"/>
          <w:lang w:val="pt-BR"/>
        </w:rPr>
        <w:t>Andrew Picioneri Salme, Pregoeiro, nomeado por meio do Decreto Municipal nº 27.727/2026.</w:t>
      </w:r>
    </w:p>
    <w:p w14:paraId="3B3C4EFA">
      <w:pPr>
        <w:pStyle w:val="25"/>
        <w:numPr>
          <w:ilvl w:val="1"/>
          <w:numId w:val="1"/>
        </w:numPr>
        <w:spacing w:before="180"/>
        <w:ind w:left="0" w:firstLine="0"/>
        <w:contextualSpacing w:val="0"/>
        <w:jc w:val="both"/>
        <w:rPr>
          <w:rFonts w:cs="Arial"/>
          <w:szCs w:val="24"/>
        </w:rPr>
      </w:pPr>
      <w:r>
        <w:rPr>
          <w:rFonts w:cs="Arial"/>
          <w:szCs w:val="24"/>
        </w:rPr>
        <w:t>Normas de regência: Lei nº 14.133/2021</w:t>
      </w:r>
      <w:r>
        <w:rPr>
          <w:rFonts w:hint="default" w:cs="Arial"/>
          <w:szCs w:val="24"/>
          <w:lang w:val="pt-BR"/>
        </w:rPr>
        <w:t xml:space="preserve">; Lei Municipal nº 5.502/2025; </w:t>
      </w:r>
      <w:r>
        <w:rPr>
          <w:rFonts w:cs="Arial"/>
          <w:szCs w:val="24"/>
        </w:rPr>
        <w:t xml:space="preserve">Decreto </w:t>
      </w:r>
      <w:r>
        <w:rPr>
          <w:rFonts w:hint="default" w:cs="Arial"/>
          <w:szCs w:val="24"/>
          <w:lang w:val="pt-BR"/>
        </w:rPr>
        <w:t>M</w:t>
      </w:r>
      <w:r>
        <w:rPr>
          <w:rFonts w:cs="Arial"/>
          <w:szCs w:val="24"/>
        </w:rPr>
        <w:t xml:space="preserve">unicipal nº </w:t>
      </w:r>
      <w:r>
        <w:rPr>
          <w:rFonts w:hint="default" w:cs="Arial"/>
          <w:szCs w:val="24"/>
          <w:lang w:val="pt-BR"/>
        </w:rPr>
        <w:t>24.731</w:t>
      </w:r>
      <w:r>
        <w:rPr>
          <w:rFonts w:cs="Arial"/>
          <w:szCs w:val="24"/>
        </w:rPr>
        <w:t>/202</w:t>
      </w:r>
      <w:r>
        <w:rPr>
          <w:rFonts w:hint="default" w:cs="Arial"/>
          <w:szCs w:val="24"/>
          <w:lang w:val="pt-BR"/>
        </w:rPr>
        <w:t>3; e Decreto Municipal nº 27.526/2025.</w:t>
      </w:r>
    </w:p>
    <w:p w14:paraId="1F8C0965">
      <w:pPr>
        <w:pStyle w:val="25"/>
        <w:numPr>
          <w:ilvl w:val="1"/>
          <w:numId w:val="1"/>
        </w:numPr>
        <w:spacing w:before="180"/>
        <w:ind w:left="0" w:firstLine="0"/>
        <w:contextualSpacing w:val="0"/>
        <w:jc w:val="both"/>
        <w:rPr>
          <w:rFonts w:cs="Arial"/>
          <w:szCs w:val="24"/>
        </w:rPr>
      </w:pPr>
      <w:r>
        <w:t>Paranavaí -</w:t>
      </w:r>
      <w:r>
        <w:rPr>
          <w:highlight w:val="none"/>
        </w:rPr>
        <w:t xml:space="preserve"> PR,</w:t>
      </w:r>
      <w:r>
        <w:rPr>
          <w:color w:val="00B050"/>
          <w:highlight w:val="none"/>
        </w:rPr>
        <w:t xml:space="preserve"> </w:t>
      </w:r>
      <w:sdt>
        <w:sdtPr>
          <w:rPr>
            <w:highlight w:val="yellow"/>
          </w:rPr>
          <w:id w:val="147476257"/>
          <w:placeholder>
            <w:docPart w:val="{7354cbdb-bad5-4526-8b2b-846903bb8113}"/>
          </w:placeholder>
          <w:date w:fullDate="2025-11-17T00:00:00Z">
            <w:dateFormat w:val="d' de 'MMMM' de 'yyyy"/>
            <w:lid w:val="pt-BR"/>
            <w:storeMappedDataAs w:val="datetime"/>
            <w:calendar w:val="gregorian"/>
          </w:date>
        </w:sdtPr>
        <w:sdtEndPr>
          <w:rPr>
            <w:highlight w:val="none"/>
          </w:rPr>
        </w:sdtEndPr>
        <w:sdtContent>
          <w:r>
            <w:rPr>
              <w:rFonts w:hint="default" w:cs="Times New Roman"/>
              <w:sz w:val="24"/>
              <w:szCs w:val="22"/>
              <w:highlight w:val="none"/>
              <w:lang w:val="pt-BR" w:eastAsia="en-US" w:bidi="ar-SA"/>
            </w:rPr>
            <w:t>10</w:t>
          </w:r>
          <w:r>
            <w:rPr>
              <w:rFonts w:ascii="Arial" w:hAnsi="Arial" w:eastAsia="Calibri" w:cs="Times New Roman"/>
              <w:sz w:val="24"/>
              <w:szCs w:val="22"/>
              <w:highlight w:val="none"/>
              <w:lang w:val="pt-BR" w:eastAsia="en-US" w:bidi="ar-SA"/>
            </w:rPr>
            <w:t xml:space="preserve"> de </w:t>
          </w:r>
          <w:r>
            <w:rPr>
              <w:rFonts w:hint="default" w:cs="Times New Roman"/>
              <w:sz w:val="24"/>
              <w:szCs w:val="22"/>
              <w:highlight w:val="none"/>
              <w:lang w:val="pt-BR" w:eastAsia="en-US" w:bidi="ar-SA"/>
            </w:rPr>
            <w:t>Junho</w:t>
          </w:r>
          <w:r>
            <w:rPr>
              <w:rFonts w:ascii="Arial" w:hAnsi="Arial" w:eastAsia="Calibri" w:cs="Times New Roman"/>
              <w:sz w:val="24"/>
              <w:szCs w:val="22"/>
              <w:highlight w:val="none"/>
              <w:lang w:val="pt-BR" w:eastAsia="en-US" w:bidi="ar-SA"/>
            </w:rPr>
            <w:t xml:space="preserve"> de 202</w:t>
          </w:r>
          <w:r>
            <w:rPr>
              <w:rFonts w:hint="default" w:cs="Times New Roman"/>
              <w:sz w:val="24"/>
              <w:szCs w:val="22"/>
              <w:highlight w:val="none"/>
              <w:lang w:val="pt-BR" w:eastAsia="en-US" w:bidi="ar-SA"/>
            </w:rPr>
            <w:t>6</w:t>
          </w:r>
        </w:sdtContent>
      </w:sdt>
      <w:r>
        <w:rPr>
          <w:highlight w:val="none"/>
        </w:rPr>
        <w:t>.</w:t>
      </w:r>
      <w:r>
        <w:rPr>
          <w:rFonts w:cs="Arial"/>
          <w:szCs w:val="24"/>
          <w:highlight w:val="none"/>
        </w:rPr>
        <w:t xml:space="preserve">  </w:t>
      </w:r>
    </w:p>
    <w:p w14:paraId="11E38D96">
      <w:pPr>
        <w:pStyle w:val="25"/>
        <w:tabs>
          <w:tab w:val="left" w:pos="709"/>
        </w:tabs>
        <w:ind w:left="0"/>
        <w:contextualSpacing w:val="0"/>
        <w:rPr>
          <w:rFonts w:cs="Arial"/>
          <w:color w:val="000000"/>
          <w:szCs w:val="24"/>
        </w:rPr>
      </w:pPr>
    </w:p>
    <w:p w14:paraId="722A2431">
      <w:pPr>
        <w:pStyle w:val="25"/>
        <w:tabs>
          <w:tab w:val="left" w:pos="709"/>
        </w:tabs>
        <w:ind w:left="0"/>
        <w:contextualSpacing w:val="0"/>
        <w:rPr>
          <w:rFonts w:cs="Arial"/>
          <w:color w:val="000000"/>
          <w:szCs w:val="24"/>
        </w:rPr>
      </w:pPr>
    </w:p>
    <w:p w14:paraId="6FC93469">
      <w:pPr>
        <w:pStyle w:val="25"/>
        <w:tabs>
          <w:tab w:val="left" w:pos="709"/>
        </w:tabs>
        <w:ind w:left="0"/>
        <w:contextualSpacing w:val="0"/>
        <w:rPr>
          <w:rFonts w:cs="Arial"/>
          <w:color w:val="000000"/>
          <w:szCs w:val="24"/>
        </w:rPr>
      </w:pPr>
    </w:p>
    <w:p w14:paraId="2334D6E4">
      <w:pPr>
        <w:pStyle w:val="25"/>
        <w:tabs>
          <w:tab w:val="left" w:pos="709"/>
        </w:tabs>
        <w:ind w:left="0"/>
        <w:contextualSpacing w:val="0"/>
        <w:rPr>
          <w:rFonts w:cs="Arial"/>
          <w:color w:val="000000"/>
          <w:szCs w:val="24"/>
        </w:rPr>
      </w:pPr>
    </w:p>
    <w:p w14:paraId="59874E6F">
      <w:pPr>
        <w:pStyle w:val="25"/>
        <w:keepNext w:val="0"/>
        <w:keepLines w:val="0"/>
        <w:pageBreakBefore w:val="0"/>
        <w:widowControl/>
        <w:tabs>
          <w:tab w:val="left" w:pos="709"/>
        </w:tabs>
        <w:kinsoku/>
        <w:wordWrap/>
        <w:overflowPunct/>
        <w:topLinePunct w:val="0"/>
        <w:autoSpaceDE/>
        <w:autoSpaceDN/>
        <w:bidi w:val="0"/>
        <w:adjustRightInd/>
        <w:snapToGrid/>
        <w:spacing w:before="0" w:line="240" w:lineRule="auto"/>
        <w:ind w:left="0"/>
        <w:contextualSpacing w:val="0"/>
        <w:jc w:val="center"/>
        <w:textAlignment w:val="auto"/>
        <w:rPr>
          <w:rFonts w:hint="default" w:cs="Arial"/>
          <w:sz w:val="24"/>
          <w:szCs w:val="24"/>
          <w:lang w:val="pt-BR"/>
        </w:rPr>
      </w:pPr>
      <w:r>
        <w:rPr>
          <w:rFonts w:hint="default" w:cs="Arial"/>
          <w:sz w:val="24"/>
          <w:szCs w:val="24"/>
          <w:lang w:val="pt-BR"/>
        </w:rPr>
        <w:t>WANESSA DURANTE</w:t>
      </w:r>
    </w:p>
    <w:p w14:paraId="777748A5">
      <w:pPr>
        <w:pStyle w:val="25"/>
        <w:keepNext w:val="0"/>
        <w:keepLines w:val="0"/>
        <w:pageBreakBefore w:val="0"/>
        <w:widowControl/>
        <w:tabs>
          <w:tab w:val="left" w:pos="709"/>
        </w:tabs>
        <w:kinsoku/>
        <w:wordWrap/>
        <w:overflowPunct/>
        <w:topLinePunct w:val="0"/>
        <w:autoSpaceDE/>
        <w:autoSpaceDN/>
        <w:bidi w:val="0"/>
        <w:adjustRightInd/>
        <w:snapToGrid/>
        <w:spacing w:before="0" w:line="240" w:lineRule="auto"/>
        <w:ind w:left="0"/>
        <w:contextualSpacing w:val="0"/>
        <w:jc w:val="center"/>
        <w:textAlignment w:val="auto"/>
        <w:rPr>
          <w:rFonts w:hint="default" w:cs="Arial"/>
          <w:sz w:val="24"/>
          <w:szCs w:val="24"/>
          <w:lang w:val="pt-BR"/>
        </w:rPr>
      </w:pPr>
      <w:r>
        <w:rPr>
          <w:rFonts w:hint="default" w:cs="Arial"/>
          <w:sz w:val="24"/>
          <w:szCs w:val="24"/>
          <w:lang w:val="pt-BR"/>
        </w:rPr>
        <w:t>Secretária Municipal de Educação</w:t>
      </w:r>
    </w:p>
    <w:p w14:paraId="7987E034">
      <w:pPr>
        <w:pStyle w:val="25"/>
        <w:tabs>
          <w:tab w:val="left" w:pos="709"/>
        </w:tabs>
        <w:spacing w:before="0" w:line="240" w:lineRule="auto"/>
        <w:ind w:left="0"/>
        <w:contextualSpacing w:val="0"/>
        <w:jc w:val="center"/>
        <w:rPr>
          <w:rFonts w:cs="Arial"/>
          <w:szCs w:val="24"/>
        </w:rPr>
      </w:pPr>
      <w:r>
        <w:rPr>
          <w:rFonts w:hint="default" w:cs="Arial"/>
          <w:sz w:val="24"/>
          <w:szCs w:val="24"/>
          <w:lang w:val="pt-BR"/>
        </w:rPr>
        <w:t>Decreto Municipal nº 27.051/2025</w:t>
      </w:r>
    </w:p>
    <w:p w14:paraId="585EFA9F">
      <w:pPr>
        <w:pStyle w:val="25"/>
        <w:tabs>
          <w:tab w:val="left" w:pos="709"/>
        </w:tabs>
        <w:spacing w:before="0" w:line="240" w:lineRule="auto"/>
        <w:ind w:left="0"/>
        <w:contextualSpacing w:val="0"/>
        <w:jc w:val="center"/>
        <w:rPr>
          <w:rFonts w:cs="Arial"/>
          <w:szCs w:val="24"/>
        </w:rPr>
      </w:pPr>
    </w:p>
    <w:p w14:paraId="5407AC1F">
      <w:pPr>
        <w:jc w:val="both"/>
        <w:rPr>
          <w:rFonts w:cs="Arial"/>
          <w:szCs w:val="24"/>
        </w:rPr>
      </w:pPr>
      <w:r>
        <w:rPr>
          <w:rFonts w:cs="Arial"/>
          <w:szCs w:val="24"/>
        </w:rPr>
        <w:br w:type="page"/>
      </w:r>
    </w:p>
    <w:p w14:paraId="0A61E80E">
      <w:pPr>
        <w:spacing w:before="0"/>
        <w:jc w:val="center"/>
        <w:rPr>
          <w:rFonts w:hint="default" w:cs="Arial"/>
          <w:b/>
          <w:bCs/>
          <w:szCs w:val="24"/>
          <w:lang w:val="pt-BR"/>
        </w:rPr>
      </w:pPr>
      <w:r>
        <w:rPr>
          <w:rFonts w:cs="Arial"/>
          <w:b/>
          <w:bCs/>
          <w:szCs w:val="24"/>
        </w:rPr>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28</w:t>
      </w:r>
      <w:r>
        <w:rPr>
          <w:rFonts w:hint="default" w:cs="Arial"/>
          <w:b/>
          <w:bCs/>
          <w:szCs w:val="24"/>
          <w:lang w:val="pt-BR"/>
        </w:rPr>
        <w:t>/2026</w:t>
      </w:r>
    </w:p>
    <w:p w14:paraId="12722774">
      <w:pPr>
        <w:spacing w:line="288" w:lineRule="auto"/>
        <w:jc w:val="center"/>
        <w:rPr>
          <w:b/>
          <w:bCs/>
        </w:rPr>
      </w:pPr>
      <w:r>
        <w:rPr>
          <w:b/>
          <w:bCs/>
        </w:rPr>
        <w:t>ANEXO I</w:t>
      </w:r>
    </w:p>
    <w:p w14:paraId="40604D34">
      <w:pPr>
        <w:spacing w:before="0" w:after="480" w:line="288" w:lineRule="auto"/>
        <w:jc w:val="center"/>
        <w:rPr>
          <w:b/>
          <w:bCs/>
        </w:rPr>
      </w:pPr>
      <w:r>
        <w:rPr>
          <w:b/>
          <w:bCs/>
        </w:rPr>
        <w:t>ESPECIFICAÇÕES DO OBJETO</w:t>
      </w:r>
    </w:p>
    <w:p w14:paraId="497EA958">
      <w:pPr>
        <w:pStyle w:val="30"/>
        <w:numPr>
          <w:ilvl w:val="0"/>
          <w:numId w:val="8"/>
        </w:numPr>
      </w:pPr>
      <w:r>
        <w:t>DEFINIÇÃO DO OBJETO</w:t>
      </w:r>
    </w:p>
    <w:p w14:paraId="1B336C90">
      <w:pPr>
        <w:pStyle w:val="25"/>
        <w:numPr>
          <w:ilvl w:val="1"/>
          <w:numId w:val="8"/>
        </w:numPr>
        <w:tabs>
          <w:tab w:val="left" w:pos="567"/>
        </w:tabs>
        <w:spacing w:before="180"/>
        <w:ind w:left="0" w:firstLine="0"/>
        <w:contextualSpacing w:val="0"/>
        <w:jc w:val="both"/>
        <w:rPr>
          <w:rFonts w:cs="Arial"/>
          <w:color w:val="000000"/>
          <w:szCs w:val="24"/>
        </w:rPr>
      </w:pPr>
      <w:r>
        <w:rPr>
          <w:rFonts w:hint="default"/>
          <w:lang w:val="pt-BR"/>
        </w:rPr>
        <w:t>Contratação de empresa especializada na administração, gerenciamento, emissão e fornecimento do CARTÃO PVAI EDUCA na forma de cartão magnético, conforme Lei Municipal nº 5.502/2025 e Decreto Municipal nº 27.526/2025.</w:t>
      </w:r>
      <w:r>
        <w:rPr>
          <w:rFonts w:cs="Arial"/>
          <w:color w:val="000000"/>
          <w:szCs w:val="24"/>
        </w:rPr>
        <w:t xml:space="preserve"> </w:t>
      </w:r>
    </w:p>
    <w:p w14:paraId="112A00CA">
      <w:pPr>
        <w:pStyle w:val="30"/>
        <w:numPr>
          <w:ilvl w:val="0"/>
          <w:numId w:val="8"/>
        </w:numPr>
      </w:pPr>
      <w:r>
        <w:t>DESCRIÇÃO DA SOLUÇÃO E REQUISITOS DA CONTRATAÇÃO</w:t>
      </w:r>
      <w:r>
        <w:rPr>
          <w:b w:val="0"/>
          <w:bCs/>
        </w:rPr>
        <w:t xml:space="preserve">  </w:t>
      </w:r>
    </w:p>
    <w:p w14:paraId="0D94B337">
      <w:pPr>
        <w:pStyle w:val="25"/>
        <w:numPr>
          <w:ilvl w:val="1"/>
          <w:numId w:val="8"/>
        </w:numPr>
        <w:tabs>
          <w:tab w:val="left" w:pos="567"/>
        </w:tabs>
        <w:spacing w:before="180"/>
        <w:ind w:left="0" w:firstLine="0"/>
        <w:contextualSpacing w:val="0"/>
        <w:jc w:val="both"/>
        <w:rPr>
          <w:rFonts w:cs="Arial"/>
          <w:color w:val="000000"/>
          <w:szCs w:val="24"/>
        </w:rPr>
      </w:pPr>
      <w:r>
        <w:rPr>
          <w:rFonts w:hint="default"/>
          <w:b w:val="0"/>
          <w:bCs w:val="0"/>
          <w:color w:val="000000"/>
          <w:szCs w:val="24"/>
          <w:lang w:val="pt-BR"/>
        </w:rPr>
        <w:t>E</w:t>
      </w:r>
      <w:r>
        <w:rPr>
          <w:rFonts w:hint="default"/>
          <w:b w:val="0"/>
          <w:bCs w:val="0"/>
          <w:color w:val="000000"/>
          <w:szCs w:val="24"/>
        </w:rPr>
        <w:t>specificação e quantidades da solução (as quantidades estimadas estão descritas abaixo conforme requisição ao compras):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
        <w:gridCol w:w="363"/>
        <w:gridCol w:w="3675"/>
        <w:gridCol w:w="787"/>
        <w:gridCol w:w="813"/>
        <w:gridCol w:w="1850"/>
        <w:gridCol w:w="1820"/>
      </w:tblGrid>
      <w:tr w14:paraId="42935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 w:type="dxa"/>
          </w:tcPr>
          <w:p w14:paraId="7913ADDA">
            <w:pPr>
              <w:jc w:val="center"/>
              <w:rPr>
                <w:sz w:val="20"/>
                <w:szCs w:val="20"/>
              </w:rPr>
            </w:pPr>
            <w:r>
              <w:rPr>
                <w:sz w:val="20"/>
                <w:szCs w:val="20"/>
              </w:rPr>
              <w:t>LOTE</w:t>
            </w:r>
          </w:p>
        </w:tc>
        <w:tc>
          <w:tcPr>
            <w:tcW w:w="363" w:type="dxa"/>
          </w:tcPr>
          <w:p w14:paraId="03017EA2">
            <w:pPr>
              <w:jc w:val="center"/>
              <w:rPr>
                <w:sz w:val="20"/>
                <w:szCs w:val="20"/>
              </w:rPr>
            </w:pPr>
            <w:r>
              <w:rPr>
                <w:sz w:val="20"/>
                <w:szCs w:val="20"/>
              </w:rPr>
              <w:t>ITEM</w:t>
            </w:r>
          </w:p>
        </w:tc>
        <w:tc>
          <w:tcPr>
            <w:tcW w:w="3675" w:type="dxa"/>
          </w:tcPr>
          <w:p w14:paraId="6B63B8D5">
            <w:pPr>
              <w:jc w:val="center"/>
              <w:rPr>
                <w:sz w:val="20"/>
                <w:szCs w:val="20"/>
              </w:rPr>
            </w:pPr>
            <w:r>
              <w:rPr>
                <w:sz w:val="20"/>
                <w:szCs w:val="20"/>
              </w:rPr>
              <w:t>DESCRITIVO</w:t>
            </w:r>
          </w:p>
        </w:tc>
        <w:tc>
          <w:tcPr>
            <w:tcW w:w="787" w:type="dxa"/>
          </w:tcPr>
          <w:p w14:paraId="4B40ADFC">
            <w:pPr>
              <w:jc w:val="center"/>
              <w:rPr>
                <w:rFonts w:hint="default"/>
                <w:sz w:val="20"/>
                <w:szCs w:val="20"/>
                <w:lang w:val="pt-BR"/>
              </w:rPr>
            </w:pPr>
            <w:r>
              <w:rPr>
                <w:rFonts w:hint="default"/>
                <w:sz w:val="20"/>
                <w:szCs w:val="20"/>
                <w:lang w:val="pt-BR"/>
              </w:rPr>
              <w:t>UND</w:t>
            </w:r>
          </w:p>
        </w:tc>
        <w:tc>
          <w:tcPr>
            <w:tcW w:w="813" w:type="dxa"/>
          </w:tcPr>
          <w:p w14:paraId="22325D27">
            <w:pPr>
              <w:jc w:val="center"/>
              <w:rPr>
                <w:rFonts w:hint="default"/>
                <w:sz w:val="20"/>
                <w:szCs w:val="20"/>
                <w:lang w:val="pt-BR"/>
              </w:rPr>
            </w:pPr>
            <w:r>
              <w:rPr>
                <w:rFonts w:hint="default"/>
                <w:sz w:val="20"/>
                <w:szCs w:val="20"/>
                <w:lang w:val="pt-BR"/>
              </w:rPr>
              <w:t>QTDE</w:t>
            </w:r>
          </w:p>
        </w:tc>
        <w:tc>
          <w:tcPr>
            <w:tcW w:w="1850" w:type="dxa"/>
          </w:tcPr>
          <w:p w14:paraId="37AAE33D">
            <w:pPr>
              <w:jc w:val="center"/>
              <w:rPr>
                <w:rFonts w:hint="default"/>
                <w:sz w:val="20"/>
                <w:szCs w:val="20"/>
                <w:lang w:val="pt-BR"/>
              </w:rPr>
            </w:pPr>
            <w:r>
              <w:rPr>
                <w:rFonts w:hint="default"/>
                <w:sz w:val="20"/>
                <w:szCs w:val="20"/>
                <w:lang w:val="pt-BR"/>
              </w:rPr>
              <w:t>VALOR UN.</w:t>
            </w:r>
          </w:p>
        </w:tc>
        <w:tc>
          <w:tcPr>
            <w:tcW w:w="1820" w:type="dxa"/>
          </w:tcPr>
          <w:p w14:paraId="7E689FF7">
            <w:pPr>
              <w:jc w:val="center"/>
              <w:rPr>
                <w:rFonts w:hint="default"/>
                <w:sz w:val="20"/>
                <w:szCs w:val="20"/>
                <w:lang w:val="pt-BR"/>
              </w:rPr>
            </w:pPr>
            <w:r>
              <w:rPr>
                <w:rFonts w:hint="default"/>
                <w:sz w:val="20"/>
                <w:szCs w:val="20"/>
                <w:lang w:val="pt-BR"/>
              </w:rPr>
              <w:t>VALOR TOTAL</w:t>
            </w:r>
          </w:p>
        </w:tc>
      </w:tr>
      <w:tr w14:paraId="4A16B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 w:type="dxa"/>
            <w:vMerge w:val="restart"/>
          </w:tcPr>
          <w:p w14:paraId="5B4F4CD6">
            <w:pPr>
              <w:jc w:val="center"/>
              <w:rPr>
                <w:b/>
                <w:bCs/>
              </w:rPr>
            </w:pPr>
            <w:r>
              <w:rPr>
                <w:b w:val="0"/>
                <w:bCs w:val="0"/>
              </w:rPr>
              <w:t>1</w:t>
            </w:r>
          </w:p>
        </w:tc>
        <w:tc>
          <w:tcPr>
            <w:tcW w:w="363" w:type="dxa"/>
          </w:tcPr>
          <w:p w14:paraId="0C43A136">
            <w:r>
              <w:t>1</w:t>
            </w:r>
          </w:p>
        </w:tc>
        <w:tc>
          <w:tcPr>
            <w:tcW w:w="3675" w:type="dxa"/>
          </w:tcPr>
          <w:p w14:paraId="198C4493">
            <w:r>
              <w:rPr>
                <w:sz w:val="20"/>
                <w:szCs w:val="20"/>
              </w:rPr>
              <w:t>Serviço de administração, gerenciamento, emissão de fornecimento de sistema digital e distribuição para o fornecimento de cartão eletrônico, para a concessão de um auxílio, para a aquisição de material didático escolar e uniformes, para atender os discentes regularmente matriculados na rede pública municipal de ensino, e material didático-escolar para os docentes que fazem parte do quadro de magistério e os agentes de apoio educacionais do Município de Paranavaí/PR (CATSER 19208).</w:t>
            </w:r>
          </w:p>
        </w:tc>
        <w:tc>
          <w:tcPr>
            <w:tcW w:w="787" w:type="dxa"/>
          </w:tcPr>
          <w:p w14:paraId="134F457B">
            <w:pPr>
              <w:rPr>
                <w:rFonts w:hint="default"/>
                <w:sz w:val="20"/>
                <w:szCs w:val="20"/>
                <w:lang w:val="pt-BR"/>
              </w:rPr>
            </w:pPr>
            <w:r>
              <w:rPr>
                <w:rFonts w:hint="default"/>
                <w:sz w:val="20"/>
                <w:szCs w:val="20"/>
                <w:lang w:val="pt-BR"/>
              </w:rPr>
              <w:t>SERV</w:t>
            </w:r>
          </w:p>
        </w:tc>
        <w:tc>
          <w:tcPr>
            <w:tcW w:w="813" w:type="dxa"/>
          </w:tcPr>
          <w:p w14:paraId="2DA44FD7">
            <w:pPr>
              <w:rPr>
                <w:rFonts w:hint="default"/>
                <w:sz w:val="20"/>
                <w:szCs w:val="20"/>
                <w:lang w:val="pt-BR"/>
              </w:rPr>
            </w:pPr>
            <w:r>
              <w:rPr>
                <w:rFonts w:hint="default"/>
                <w:sz w:val="20"/>
                <w:szCs w:val="20"/>
                <w:lang w:val="pt-BR"/>
              </w:rPr>
              <w:t>01</w:t>
            </w:r>
          </w:p>
        </w:tc>
        <w:tc>
          <w:tcPr>
            <w:tcW w:w="1850" w:type="dxa"/>
          </w:tcPr>
          <w:p w14:paraId="21E08C99">
            <w:pPr>
              <w:rPr>
                <w:rFonts w:hint="default"/>
                <w:sz w:val="20"/>
                <w:szCs w:val="20"/>
                <w:lang w:val="pt-BR"/>
              </w:rPr>
            </w:pPr>
            <w:r>
              <w:rPr>
                <w:rFonts w:hint="default"/>
                <w:sz w:val="20"/>
                <w:szCs w:val="20"/>
                <w:lang w:val="pt-BR"/>
              </w:rPr>
              <w:t>R$ 21.315.737,11</w:t>
            </w:r>
          </w:p>
        </w:tc>
        <w:tc>
          <w:tcPr>
            <w:tcW w:w="1820" w:type="dxa"/>
          </w:tcPr>
          <w:p w14:paraId="36B50188">
            <w:pPr>
              <w:rPr>
                <w:rFonts w:hint="default"/>
                <w:sz w:val="20"/>
                <w:szCs w:val="20"/>
                <w:lang w:val="pt-BR"/>
              </w:rPr>
            </w:pPr>
            <w:r>
              <w:rPr>
                <w:rFonts w:hint="default"/>
                <w:sz w:val="20"/>
                <w:szCs w:val="20"/>
                <w:lang w:val="pt-BR"/>
              </w:rPr>
              <w:t>R$ 21.315.737,11</w:t>
            </w:r>
          </w:p>
        </w:tc>
      </w:tr>
      <w:tr w14:paraId="4443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 w:type="dxa"/>
            <w:vMerge w:val="continue"/>
          </w:tcPr>
          <w:p w14:paraId="792D6EDA"/>
        </w:tc>
        <w:tc>
          <w:tcPr>
            <w:tcW w:w="363" w:type="dxa"/>
          </w:tcPr>
          <w:p w14:paraId="5F02AA8A">
            <w:r>
              <w:t>2</w:t>
            </w:r>
          </w:p>
        </w:tc>
        <w:tc>
          <w:tcPr>
            <w:tcW w:w="3675" w:type="dxa"/>
          </w:tcPr>
          <w:p w14:paraId="04554807">
            <w:r>
              <w:rPr>
                <w:sz w:val="20"/>
                <w:szCs w:val="20"/>
              </w:rPr>
              <w:t>Cartão em PVC COM CHIP Personalizado, com a logo do programa e dados dos beneficiários, com remessa total estimada em 33.360 unidades. (CATMAT 352683).</w:t>
            </w:r>
          </w:p>
        </w:tc>
        <w:tc>
          <w:tcPr>
            <w:tcW w:w="787" w:type="dxa"/>
          </w:tcPr>
          <w:p w14:paraId="4948520E">
            <w:pPr>
              <w:rPr>
                <w:rFonts w:hint="default"/>
                <w:sz w:val="20"/>
                <w:szCs w:val="20"/>
                <w:lang w:val="pt-BR"/>
              </w:rPr>
            </w:pPr>
            <w:r>
              <w:rPr>
                <w:rFonts w:hint="default"/>
                <w:sz w:val="20"/>
                <w:szCs w:val="20"/>
                <w:lang w:val="pt-BR"/>
              </w:rPr>
              <w:t>UND</w:t>
            </w:r>
          </w:p>
        </w:tc>
        <w:tc>
          <w:tcPr>
            <w:tcW w:w="813" w:type="dxa"/>
          </w:tcPr>
          <w:p w14:paraId="098856DB">
            <w:pPr>
              <w:rPr>
                <w:rFonts w:hint="default"/>
                <w:sz w:val="20"/>
                <w:szCs w:val="20"/>
                <w:lang w:val="pt-BR"/>
              </w:rPr>
            </w:pPr>
            <w:r>
              <w:rPr>
                <w:rFonts w:hint="default"/>
                <w:sz w:val="20"/>
                <w:szCs w:val="20"/>
                <w:lang w:val="pt-BR"/>
              </w:rPr>
              <w:t>01</w:t>
            </w:r>
          </w:p>
        </w:tc>
        <w:tc>
          <w:tcPr>
            <w:tcW w:w="1850" w:type="dxa"/>
          </w:tcPr>
          <w:p w14:paraId="45158C4A">
            <w:pPr>
              <w:rPr>
                <w:rFonts w:hint="default"/>
                <w:sz w:val="20"/>
                <w:szCs w:val="20"/>
                <w:lang w:val="pt-BR"/>
              </w:rPr>
            </w:pPr>
            <w:r>
              <w:rPr>
                <w:rFonts w:hint="default"/>
                <w:sz w:val="20"/>
                <w:szCs w:val="20"/>
                <w:lang w:val="pt-BR"/>
              </w:rPr>
              <w:t>R$ 0,01</w:t>
            </w:r>
          </w:p>
        </w:tc>
        <w:tc>
          <w:tcPr>
            <w:tcW w:w="1820" w:type="dxa"/>
          </w:tcPr>
          <w:p w14:paraId="4CED7AD7">
            <w:pPr>
              <w:rPr>
                <w:rFonts w:hint="default"/>
                <w:sz w:val="20"/>
                <w:szCs w:val="20"/>
                <w:lang w:val="pt-BR"/>
              </w:rPr>
            </w:pPr>
            <w:r>
              <w:rPr>
                <w:rFonts w:hint="default"/>
                <w:sz w:val="20"/>
                <w:szCs w:val="20"/>
                <w:lang w:val="pt-BR"/>
              </w:rPr>
              <w:t>R$ 0,01</w:t>
            </w:r>
          </w:p>
        </w:tc>
      </w:tr>
      <w:tr w14:paraId="0E9C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0" w:type="dxa"/>
            <w:gridSpan w:val="7"/>
          </w:tcPr>
          <w:p w14:paraId="26006304">
            <w:pPr>
              <w:rPr>
                <w:rFonts w:hint="default"/>
                <w:sz w:val="20"/>
                <w:szCs w:val="20"/>
                <w:lang w:val="pt-BR"/>
              </w:rPr>
            </w:pPr>
            <w:r>
              <w:rPr>
                <w:rFonts w:hint="default" w:cs="Arial"/>
                <w:b/>
                <w:bCs/>
                <w:color w:val="000000"/>
                <w:sz w:val="16"/>
                <w:szCs w:val="16"/>
                <w:vertAlign w:val="baseline"/>
                <w:lang w:val="pt-BR"/>
              </w:rPr>
              <w:t>VALOR TOTAL: R$ 21.315.737,11 (vinte e um milhões, trezentos e quinze mil, setecentos e trinta e sete reais e onze centavos).</w:t>
            </w:r>
          </w:p>
        </w:tc>
      </w:tr>
    </w:tbl>
    <w:p w14:paraId="05D6BFED">
      <w:pPr>
        <w:pStyle w:val="25"/>
        <w:numPr>
          <w:ilvl w:val="0"/>
          <w:numId w:val="0"/>
        </w:numPr>
        <w:tabs>
          <w:tab w:val="left" w:pos="567"/>
        </w:tabs>
        <w:spacing w:before="180"/>
        <w:ind w:leftChars="0"/>
        <w:contextualSpacing w:val="0"/>
        <w:jc w:val="both"/>
        <w:rPr>
          <w:rFonts w:hint="default"/>
          <w:b w:val="0"/>
          <w:bCs w:val="0"/>
          <w:color w:val="000000"/>
          <w:szCs w:val="24"/>
        </w:rPr>
      </w:pPr>
    </w:p>
    <w:p w14:paraId="40E9057F">
      <w:pPr>
        <w:pStyle w:val="25"/>
        <w:numPr>
          <w:ilvl w:val="1"/>
          <w:numId w:val="8"/>
        </w:numPr>
        <w:tabs>
          <w:tab w:val="left" w:pos="567"/>
        </w:tabs>
        <w:spacing w:before="180"/>
        <w:ind w:left="0" w:firstLine="0"/>
        <w:contextualSpacing w:val="0"/>
        <w:jc w:val="both"/>
        <w:rPr>
          <w:rFonts w:cs="Arial"/>
          <w:color w:val="000000"/>
          <w:szCs w:val="24"/>
        </w:rPr>
      </w:pPr>
      <w:r>
        <w:rPr>
          <w:rFonts w:hint="default"/>
          <w:color w:val="000000"/>
          <w:szCs w:val="24"/>
          <w:u w:val="single"/>
          <w:lang w:val="pt-BR"/>
        </w:rPr>
        <w:t>I</w:t>
      </w:r>
      <w:r>
        <w:rPr>
          <w:rFonts w:hint="default"/>
          <w:color w:val="000000"/>
          <w:szCs w:val="24"/>
          <w:u w:val="single"/>
        </w:rPr>
        <w:t>mportante destacar que se houver divergência entre as especificações técnicas do objeto descritas no edital e aquelas utilizadas para incluir o item no sistema, prevalecerão sempre as presentes nesse instrumento convocatório, o qual vinculará a proposta da empresa.</w:t>
      </w:r>
    </w:p>
    <w:p w14:paraId="1DD5A56A">
      <w:pPr>
        <w:pStyle w:val="25"/>
        <w:numPr>
          <w:ilvl w:val="1"/>
          <w:numId w:val="8"/>
        </w:numPr>
        <w:tabs>
          <w:tab w:val="left" w:pos="567"/>
        </w:tabs>
        <w:spacing w:before="180"/>
        <w:ind w:left="0" w:firstLine="0"/>
        <w:contextualSpacing w:val="0"/>
        <w:jc w:val="both"/>
        <w:rPr>
          <w:rFonts w:cs="Arial"/>
          <w:color w:val="000000"/>
          <w:szCs w:val="24"/>
        </w:rPr>
      </w:pPr>
      <w:r>
        <w:t xml:space="preserve">Prazo de entrega ou de execução do objeto: </w:t>
      </w:r>
      <w:r>
        <w:rPr>
          <w:rFonts w:hint="default"/>
          <w:lang w:val="pt-BR"/>
        </w:rPr>
        <w:t>15 (quinze) dias a contar da efetiva entrega da ordem de serviço.</w:t>
      </w:r>
    </w:p>
    <w:p w14:paraId="2E2A0826">
      <w:pPr>
        <w:pStyle w:val="25"/>
        <w:numPr>
          <w:ilvl w:val="1"/>
          <w:numId w:val="8"/>
        </w:numPr>
        <w:tabs>
          <w:tab w:val="left" w:pos="567"/>
        </w:tabs>
        <w:spacing w:before="180"/>
        <w:ind w:left="0" w:firstLine="0"/>
        <w:contextualSpacing w:val="0"/>
        <w:jc w:val="both"/>
        <w:rPr>
          <w:rFonts w:cs="Arial"/>
          <w:color w:val="000000"/>
          <w:szCs w:val="24"/>
        </w:rPr>
      </w:pPr>
      <w:r>
        <w:t xml:space="preserve">Local de entrega ou execução: Local de entrega ou execução: </w:t>
      </w:r>
      <w:r>
        <w:rPr>
          <w:rFonts w:hint="default"/>
          <w:lang w:val="pt-BR"/>
        </w:rPr>
        <w:t xml:space="preserve">Sede da Secretaria Municipal de Educação: </w:t>
      </w:r>
    </w:p>
    <w:p w14:paraId="377BE33C">
      <w:pPr>
        <w:pStyle w:val="25"/>
        <w:numPr>
          <w:ilvl w:val="1"/>
          <w:numId w:val="8"/>
        </w:numPr>
        <w:tabs>
          <w:tab w:val="left" w:pos="567"/>
        </w:tabs>
        <w:spacing w:before="180"/>
        <w:ind w:left="0" w:firstLine="0"/>
        <w:contextualSpacing w:val="0"/>
        <w:jc w:val="both"/>
        <w:rPr>
          <w:rFonts w:cs="Arial"/>
          <w:color w:val="000000"/>
          <w:szCs w:val="24"/>
        </w:rPr>
      </w:pPr>
      <w:r>
        <w:rPr>
          <w:rFonts w:hint="default"/>
          <w:lang w:val="pt-BR"/>
        </w:rPr>
        <w:t>R. Marechal Cândido Rondon, nº 1.596, Centro, na cidade de Paranavaí/PR.</w:t>
      </w:r>
    </w:p>
    <w:p w14:paraId="01BE5453">
      <w:pPr>
        <w:pStyle w:val="25"/>
        <w:numPr>
          <w:ilvl w:val="1"/>
          <w:numId w:val="8"/>
        </w:numPr>
        <w:tabs>
          <w:tab w:val="left" w:pos="567"/>
        </w:tabs>
        <w:spacing w:before="180"/>
        <w:ind w:left="0" w:firstLine="0"/>
        <w:contextualSpacing w:val="0"/>
        <w:jc w:val="both"/>
      </w:pPr>
      <w:r>
        <w:rPr>
          <w:rFonts w:hint="default"/>
          <w:lang w:val="pt-BR"/>
        </w:rPr>
        <w:t>Requisitos da Contratação:</w:t>
      </w:r>
    </w:p>
    <w:p w14:paraId="70088270">
      <w:pPr>
        <w:pStyle w:val="25"/>
        <w:numPr>
          <w:ilvl w:val="2"/>
          <w:numId w:val="8"/>
        </w:numPr>
        <w:tabs>
          <w:tab w:val="left" w:pos="567"/>
        </w:tabs>
        <w:spacing w:before="180"/>
        <w:ind w:left="4" w:leftChars="0" w:hanging="4" w:firstLineChars="0"/>
        <w:contextualSpacing w:val="0"/>
        <w:jc w:val="both"/>
      </w:pPr>
      <w:r>
        <w:t>receber e processar os dados dos discentes, docentes e agentes de apoio educacional para a confecção e personalização dos cartões;</w:t>
      </w:r>
    </w:p>
    <w:p w14:paraId="630DC56C">
      <w:pPr>
        <w:pStyle w:val="25"/>
        <w:numPr>
          <w:ilvl w:val="2"/>
          <w:numId w:val="8"/>
        </w:numPr>
        <w:tabs>
          <w:tab w:val="left" w:pos="567"/>
        </w:tabs>
        <w:spacing w:before="180"/>
        <w:ind w:left="4" w:leftChars="0" w:hanging="4" w:firstLineChars="0"/>
        <w:contextualSpacing w:val="0"/>
        <w:jc w:val="both"/>
      </w:pPr>
      <w:r>
        <w:t>fornecer os cartões magnéticos de acordo com as especificações técnicas, de segurança e de identidade visual determinadas pelo Município;</w:t>
      </w:r>
    </w:p>
    <w:p w14:paraId="24930D27">
      <w:pPr>
        <w:pStyle w:val="25"/>
        <w:numPr>
          <w:ilvl w:val="2"/>
          <w:numId w:val="8"/>
        </w:numPr>
        <w:tabs>
          <w:tab w:val="left" w:pos="567"/>
        </w:tabs>
        <w:spacing w:before="180"/>
        <w:ind w:left="4" w:leftChars="0" w:hanging="4" w:firstLineChars="0"/>
        <w:contextualSpacing w:val="0"/>
        <w:jc w:val="both"/>
      </w:pPr>
      <w:r>
        <w:t>disponibilizar e manter um sistema informatizado robusto e seguro para a gestão completa do programa, que permita o cadastro de beneficiários, o controle de saldos, o bloqueio e desbloqueio de cartões e a geração de relatórios gerenciais em tempo real;</w:t>
      </w:r>
    </w:p>
    <w:p w14:paraId="4B9135A1">
      <w:pPr>
        <w:pStyle w:val="25"/>
        <w:numPr>
          <w:ilvl w:val="2"/>
          <w:numId w:val="8"/>
        </w:numPr>
        <w:tabs>
          <w:tab w:val="left" w:pos="567"/>
        </w:tabs>
        <w:spacing w:before="180"/>
        <w:ind w:left="4" w:leftChars="0" w:hanging="4" w:firstLineChars="0"/>
        <w:contextualSpacing w:val="0"/>
        <w:jc w:val="both"/>
      </w:pPr>
      <w:r>
        <w:t>garantir a segurança e a inviolabilidade das transações eletrônicas realizadas por meio dos cartões;</w:t>
      </w:r>
    </w:p>
    <w:p w14:paraId="67A683C4">
      <w:pPr>
        <w:pStyle w:val="25"/>
        <w:numPr>
          <w:ilvl w:val="2"/>
          <w:numId w:val="8"/>
        </w:numPr>
        <w:tabs>
          <w:tab w:val="left" w:pos="567"/>
        </w:tabs>
        <w:spacing w:before="180"/>
        <w:ind w:left="4" w:leftChars="0" w:hanging="4" w:firstLineChars="0"/>
        <w:contextualSpacing w:val="0"/>
        <w:jc w:val="both"/>
      </w:pPr>
      <w:r>
        <w:t>realizar a carga dos valores nos cartões de forma precisa e pontual, conforme cronograma e autorização da Secretaria Municipal de Educação;</w:t>
      </w:r>
    </w:p>
    <w:p w14:paraId="19918EF5">
      <w:pPr>
        <w:pStyle w:val="25"/>
        <w:numPr>
          <w:ilvl w:val="2"/>
          <w:numId w:val="8"/>
        </w:numPr>
        <w:tabs>
          <w:tab w:val="left" w:pos="567"/>
        </w:tabs>
        <w:spacing w:before="180"/>
        <w:ind w:left="4" w:leftChars="0" w:hanging="4" w:firstLineChars="0"/>
        <w:contextualSpacing w:val="0"/>
        <w:jc w:val="both"/>
      </w:pPr>
      <w:r>
        <w:t>implementar o bloqueio automático dos saldos não utilizados após o vencimento do prazo estipulado no Decreto Municipal nº 27.526/2025;</w:t>
      </w:r>
    </w:p>
    <w:p w14:paraId="19BA6A9E">
      <w:pPr>
        <w:pStyle w:val="25"/>
        <w:numPr>
          <w:ilvl w:val="2"/>
          <w:numId w:val="8"/>
        </w:numPr>
        <w:tabs>
          <w:tab w:val="left" w:pos="567"/>
        </w:tabs>
        <w:spacing w:before="180"/>
        <w:ind w:left="4" w:leftChars="0" w:hanging="4" w:firstLineChars="0"/>
        <w:contextualSpacing w:val="0"/>
        <w:jc w:val="both"/>
      </w:pPr>
      <w:r>
        <w:t>providenciar, com celeridade, a substituição de cartões em casos de perda, roubo, furto ou defeito, mediante solicitação formal da Secretaria Municipal de Educação;</w:t>
      </w:r>
    </w:p>
    <w:p w14:paraId="751E6060">
      <w:pPr>
        <w:pStyle w:val="25"/>
        <w:numPr>
          <w:ilvl w:val="2"/>
          <w:numId w:val="8"/>
        </w:numPr>
        <w:tabs>
          <w:tab w:val="left" w:pos="567"/>
        </w:tabs>
        <w:spacing w:before="180"/>
        <w:ind w:left="4" w:leftChars="0" w:hanging="4" w:firstLineChars="0"/>
        <w:contextualSpacing w:val="0"/>
        <w:jc w:val="both"/>
      </w:pPr>
      <w:r>
        <w:t>oferecer suporte técnico contínuo, por meio de canais diversificados, para os estabelecimentos credenciados, para os beneficiários e para a equipe de gestão da Secretaria Municipal de Educação;</w:t>
      </w:r>
    </w:p>
    <w:p w14:paraId="514B658B">
      <w:pPr>
        <w:pStyle w:val="25"/>
        <w:numPr>
          <w:ilvl w:val="2"/>
          <w:numId w:val="8"/>
        </w:numPr>
        <w:tabs>
          <w:tab w:val="left" w:pos="567"/>
        </w:tabs>
        <w:spacing w:before="180"/>
        <w:ind w:left="4" w:leftChars="0" w:hanging="4" w:firstLineChars="0"/>
        <w:contextualSpacing w:val="0"/>
        <w:jc w:val="both"/>
      </w:pPr>
      <w:r>
        <w:t>disponibilizar canais de atendimento acessíveis aos beneficiários para consulta de saldo, extrato e outras informações relevantes;</w:t>
      </w:r>
    </w:p>
    <w:p w14:paraId="016DC5F6">
      <w:pPr>
        <w:pStyle w:val="25"/>
        <w:numPr>
          <w:ilvl w:val="2"/>
          <w:numId w:val="8"/>
        </w:numPr>
        <w:tabs>
          <w:tab w:val="left" w:pos="567"/>
        </w:tabs>
        <w:spacing w:before="180"/>
        <w:ind w:left="4" w:leftChars="0" w:hanging="4" w:firstLineChars="0"/>
        <w:contextualSpacing w:val="0"/>
        <w:jc w:val="both"/>
      </w:pPr>
      <w:r>
        <w:t>fornecer à Secretaria Municipal de Educação relatórios detalhados e customizáveis sobre a utilização dos recursos, incluindo dados por estabelecimento, por tipo de item adquirido e por beneficiário;</w:t>
      </w:r>
    </w:p>
    <w:p w14:paraId="4441FB9E">
      <w:pPr>
        <w:pStyle w:val="25"/>
        <w:numPr>
          <w:ilvl w:val="2"/>
          <w:numId w:val="8"/>
        </w:numPr>
        <w:tabs>
          <w:tab w:val="left" w:pos="567"/>
        </w:tabs>
        <w:spacing w:before="180"/>
        <w:ind w:left="4" w:leftChars="0" w:hanging="4" w:firstLineChars="0"/>
        <w:contextualSpacing w:val="0"/>
        <w:jc w:val="both"/>
      </w:pPr>
      <w:r>
        <w:t>realizar o treinamento dos servidores municipais da Secretaria Municipal de Educação que farão a gestão e fiscalização do programa por meio do sistema disponibilizado;</w:t>
      </w:r>
    </w:p>
    <w:p w14:paraId="51DC6989">
      <w:pPr>
        <w:pStyle w:val="25"/>
        <w:numPr>
          <w:ilvl w:val="2"/>
          <w:numId w:val="8"/>
        </w:numPr>
        <w:tabs>
          <w:tab w:val="left" w:pos="567"/>
        </w:tabs>
        <w:spacing w:before="180"/>
        <w:ind w:left="4" w:leftChars="0" w:hanging="4" w:firstLineChars="0"/>
        <w:contextualSpacing w:val="0"/>
        <w:jc w:val="both"/>
      </w:pPr>
      <w:r>
        <w:t>manter o mais absoluto sigilo sobre os dados cadastrais e financeiros dos beneficiários, em estrita conformidade com a Lei Geral de Proteção de Dados Pessoais (LGPD) e demais legislações aplicáveis;</w:t>
      </w:r>
    </w:p>
    <w:p w14:paraId="7910B15C">
      <w:pPr>
        <w:pStyle w:val="25"/>
        <w:numPr>
          <w:ilvl w:val="2"/>
          <w:numId w:val="8"/>
        </w:numPr>
        <w:tabs>
          <w:tab w:val="left" w:pos="567"/>
        </w:tabs>
        <w:spacing w:before="180"/>
        <w:ind w:left="4" w:leftChars="0" w:hanging="4" w:firstLineChars="0"/>
        <w:contextualSpacing w:val="0"/>
        <w:jc w:val="both"/>
      </w:pPr>
      <w:r>
        <w:t>arcará com 1% (um por cento) da quantidade total de cartões previstos na licitação para fins de reemisão gratuita para os casos de cartões danificados, perdidos ou furtados, arcando integralmente com os custos correspondentes;</w:t>
      </w:r>
    </w:p>
    <w:p w14:paraId="7D150DBB">
      <w:pPr>
        <w:pStyle w:val="25"/>
        <w:numPr>
          <w:ilvl w:val="2"/>
          <w:numId w:val="8"/>
        </w:numPr>
        <w:tabs>
          <w:tab w:val="left" w:pos="567"/>
        </w:tabs>
        <w:spacing w:before="180"/>
        <w:ind w:left="4" w:leftChars="0" w:hanging="4" w:firstLineChars="0"/>
        <w:contextualSpacing w:val="0"/>
        <w:jc w:val="both"/>
      </w:pPr>
      <w:r>
        <w:t>os pagamentos e repasses do contrato deverão ser feitos por meio de conta vinculada, conforme o art. 142 da Lei nº 14.133/2021, referida conta será usada exclusivamente para movimentar os valores do Programa Cartão PVAI EDUCA, garantindo mais segurança, controle e transparência.</w:t>
      </w:r>
    </w:p>
    <w:p w14:paraId="3E55BA32">
      <w:pPr>
        <w:pStyle w:val="25"/>
        <w:numPr>
          <w:ilvl w:val="2"/>
          <w:numId w:val="8"/>
        </w:numPr>
        <w:tabs>
          <w:tab w:val="left" w:pos="567"/>
        </w:tabs>
        <w:spacing w:before="180"/>
        <w:ind w:left="4" w:leftChars="0" w:hanging="4" w:firstLineChars="0"/>
        <w:contextualSpacing w:val="0"/>
        <w:jc w:val="both"/>
      </w:pPr>
      <w:r>
        <w:rPr>
          <w:rFonts w:hint="default"/>
          <w:lang w:val="pt-BR"/>
        </w:rPr>
        <w:t>r</w:t>
      </w:r>
      <w:r>
        <w:t>ealizar o repasse financeiro aos estabelecimentos comerciais credenciados no prazo máximo de 15 dias, de acordo com o fechamento mensal das transações realizadas no âmbito do programa.</w:t>
      </w:r>
    </w:p>
    <w:p w14:paraId="051B3039">
      <w:pPr>
        <w:pStyle w:val="25"/>
        <w:numPr>
          <w:ilvl w:val="2"/>
          <w:numId w:val="8"/>
        </w:numPr>
        <w:tabs>
          <w:tab w:val="left" w:pos="567"/>
        </w:tabs>
        <w:spacing w:before="180"/>
        <w:ind w:left="4" w:leftChars="0" w:hanging="4" w:firstLineChars="0"/>
        <w:contextualSpacing w:val="0"/>
        <w:jc w:val="both"/>
        <w:rPr>
          <w:rFonts w:hint="default" w:cs="Arial"/>
          <w:color w:val="000000"/>
          <w:szCs w:val="24"/>
          <w:lang w:val="pt-BR"/>
        </w:rPr>
      </w:pPr>
      <w:r>
        <w:rPr>
          <w:rFonts w:hint="default"/>
          <w:lang w:val="pt-BR"/>
        </w:rPr>
        <w:t>a</w:t>
      </w:r>
      <w:r>
        <w:t xml:space="preserve"> empresa deverá apresentar comprovação acerca da reserva legal de cargos destinada a pessoa com deficiência ou reabilitadas e aprendizes, conforme Lei 14.133/2021 em seu art. 92, inciso XVII;</w:t>
      </w:r>
    </w:p>
    <w:p w14:paraId="494536B4">
      <w:pPr>
        <w:pStyle w:val="25"/>
        <w:numPr>
          <w:ilvl w:val="2"/>
          <w:numId w:val="8"/>
        </w:numPr>
        <w:tabs>
          <w:tab w:val="left" w:pos="567"/>
        </w:tabs>
        <w:spacing w:before="180"/>
        <w:ind w:left="4" w:leftChars="0" w:hanging="4" w:firstLineChars="0"/>
        <w:contextualSpacing w:val="0"/>
        <w:jc w:val="both"/>
        <w:rPr>
          <w:rFonts w:hint="default" w:cs="Arial"/>
          <w:color w:val="000000"/>
          <w:szCs w:val="24"/>
          <w:lang w:val="pt-BR"/>
        </w:rPr>
      </w:pPr>
      <w:r>
        <w:t>Cobrar taxa máxima da rede credenciada de 3%, afim de assegurar a efetividade do programa</w:t>
      </w:r>
      <w:r>
        <w:rPr>
          <w:rFonts w:hint="default"/>
          <w:lang w:val="pt-BR"/>
        </w:rPr>
        <w:t>.</w:t>
      </w:r>
    </w:p>
    <w:p w14:paraId="05F34456">
      <w:pPr>
        <w:pStyle w:val="25"/>
        <w:numPr>
          <w:ilvl w:val="1"/>
          <w:numId w:val="8"/>
        </w:numPr>
        <w:tabs>
          <w:tab w:val="left" w:pos="567"/>
        </w:tabs>
        <w:spacing w:before="180"/>
        <w:ind w:left="0" w:firstLine="0"/>
        <w:contextualSpacing w:val="0"/>
        <w:jc w:val="both"/>
        <w:rPr>
          <w:rFonts w:cs="Arial"/>
          <w:color w:val="000000"/>
          <w:szCs w:val="24"/>
        </w:rPr>
      </w:pPr>
      <w:r>
        <w:rPr>
          <w:b/>
          <w:bCs/>
        </w:rPr>
        <w:t>Garantia exigida do objeto:</w:t>
      </w:r>
      <w:r>
        <w:t xml:space="preserve"> </w:t>
      </w:r>
    </w:p>
    <w:p w14:paraId="2312104E">
      <w:pPr>
        <w:pStyle w:val="25"/>
        <w:numPr>
          <w:ilvl w:val="2"/>
          <w:numId w:val="8"/>
        </w:numPr>
        <w:tabs>
          <w:tab w:val="left" w:pos="567"/>
        </w:tabs>
        <w:spacing w:before="180"/>
        <w:ind w:left="4" w:leftChars="0" w:hanging="4" w:firstLineChars="0"/>
        <w:contextualSpacing w:val="0"/>
        <w:jc w:val="both"/>
        <w:rPr>
          <w:rFonts w:cs="Arial"/>
          <w:color w:val="000000"/>
          <w:szCs w:val="24"/>
        </w:rPr>
      </w:pPr>
      <w:r>
        <w:rPr>
          <w:rFonts w:hint="default"/>
          <w:i w:val="0"/>
          <w:iCs/>
          <w:color w:val="auto"/>
        </w:rPr>
        <w:t>A contratada deverá garantir a integridade e o pleno funcionamento do objeto contratado, compreendendo tanto o fornecimento dos cartões magnéticos quanto o sistema de gerenciamento e administração do Programa Cartão PVAI Educa.</w:t>
      </w:r>
    </w:p>
    <w:p w14:paraId="19051EC6">
      <w:pPr>
        <w:pStyle w:val="25"/>
        <w:numPr>
          <w:ilvl w:val="3"/>
          <w:numId w:val="8"/>
        </w:numPr>
        <w:tabs>
          <w:tab w:val="left" w:pos="567"/>
        </w:tabs>
        <w:spacing w:before="180"/>
        <w:ind w:left="8" w:leftChars="0" w:hanging="8" w:firstLineChars="0"/>
        <w:contextualSpacing w:val="0"/>
        <w:jc w:val="both"/>
        <w:rPr>
          <w:rFonts w:hint="default" w:cs="Arial"/>
          <w:color w:val="000000"/>
          <w:szCs w:val="24"/>
          <w:lang w:val="pt-BR"/>
        </w:rPr>
      </w:pPr>
      <w:r>
        <w:rPr>
          <w:rFonts w:hint="default"/>
          <w:i w:val="0"/>
          <w:iCs/>
          <w:color w:val="auto"/>
        </w:rPr>
        <w:t>Cartões Magnéticos: o prazo mínimo de garantia será de 12 (doze) meses a contar do recebimento definitivo, devendo a contratada proceder, sem ônus adicional para a Administração, à substituição imediata de qualquer cartão que apresente defeito de fabricação, falha de leitura ou deterioração antes do término do prazo de garantia.</w:t>
      </w:r>
    </w:p>
    <w:p w14:paraId="3CE7196B">
      <w:pPr>
        <w:pStyle w:val="25"/>
        <w:numPr>
          <w:ilvl w:val="3"/>
          <w:numId w:val="8"/>
        </w:numPr>
        <w:tabs>
          <w:tab w:val="left" w:pos="567"/>
        </w:tabs>
        <w:spacing w:before="180"/>
        <w:ind w:left="8" w:leftChars="0" w:hanging="8" w:firstLineChars="0"/>
        <w:contextualSpacing w:val="0"/>
        <w:jc w:val="both"/>
        <w:rPr>
          <w:rFonts w:hint="default" w:cs="Arial"/>
          <w:color w:val="000000"/>
          <w:szCs w:val="24"/>
          <w:lang w:val="pt-BR"/>
        </w:rPr>
      </w:pPr>
      <w:r>
        <w:rPr>
          <w:rFonts w:hint="default"/>
          <w:i w:val="0"/>
          <w:iCs/>
          <w:color w:val="auto"/>
        </w:rPr>
        <w:t>Sistema de Gerenciamento: deverá ser assegurada a disponibilidade mínima de 99% (noventa e nove por cento) durante a vigência contratual, com suporte técnico contínuo, correção de falhas e manutenção preventiva e corretiva, garantindo-se a estabilidade operacional e o acesso ininterrupto pela Administração e pelos usuários.</w:t>
      </w:r>
    </w:p>
    <w:p w14:paraId="1EB726A0">
      <w:pPr>
        <w:pStyle w:val="25"/>
        <w:numPr>
          <w:ilvl w:val="3"/>
          <w:numId w:val="8"/>
        </w:numPr>
        <w:tabs>
          <w:tab w:val="left" w:pos="567"/>
        </w:tabs>
        <w:spacing w:before="180"/>
        <w:ind w:left="8" w:leftChars="0" w:hanging="8" w:firstLineChars="0"/>
        <w:contextualSpacing w:val="0"/>
        <w:jc w:val="both"/>
        <w:rPr>
          <w:rFonts w:hint="default" w:cs="Arial"/>
          <w:color w:val="000000"/>
          <w:szCs w:val="24"/>
          <w:lang w:val="pt-BR"/>
        </w:rPr>
      </w:pPr>
      <w:r>
        <w:rPr>
          <w:rFonts w:hint="default"/>
          <w:i w:val="0"/>
          <w:iCs/>
          <w:color w:val="auto"/>
        </w:rPr>
        <w:t>O prazo de garantia não exclui nem limita as demais obrigações contratuais da contratada quanto à manutenção da qualidade, segurança e funcionalidade do sistema e dos cartões.</w:t>
      </w:r>
    </w:p>
    <w:p w14:paraId="618271AD">
      <w:pPr>
        <w:pStyle w:val="25"/>
        <w:numPr>
          <w:ilvl w:val="1"/>
          <w:numId w:val="8"/>
        </w:numPr>
        <w:tabs>
          <w:tab w:val="left" w:pos="567"/>
        </w:tabs>
        <w:spacing w:before="180"/>
        <w:ind w:left="0" w:firstLine="0"/>
        <w:contextualSpacing w:val="0"/>
        <w:jc w:val="both"/>
        <w:rPr>
          <w:rFonts w:cs="Arial"/>
          <w:color w:val="000000"/>
          <w:szCs w:val="24"/>
        </w:rPr>
      </w:pPr>
      <w:r>
        <w:rPr>
          <w:b/>
          <w:bCs/>
        </w:rPr>
        <w:t xml:space="preserve">Condições de </w:t>
      </w:r>
      <w:r>
        <w:rPr>
          <w:rFonts w:hint="default"/>
          <w:b/>
          <w:bCs/>
          <w:lang w:val="pt-BR"/>
        </w:rPr>
        <w:t>Assistência Técnica</w:t>
      </w:r>
      <w:r>
        <w:rPr>
          <w:b/>
          <w:bCs/>
        </w:rPr>
        <w:t>:</w:t>
      </w:r>
    </w:p>
    <w:p w14:paraId="6CCAC0DA">
      <w:pPr>
        <w:pStyle w:val="25"/>
        <w:numPr>
          <w:ilvl w:val="2"/>
          <w:numId w:val="8"/>
        </w:numPr>
        <w:tabs>
          <w:tab w:val="left" w:pos="567"/>
        </w:tabs>
        <w:spacing w:before="180"/>
        <w:ind w:left="4" w:leftChars="0" w:hanging="4" w:firstLineChars="0"/>
        <w:contextualSpacing w:val="0"/>
        <w:jc w:val="both"/>
        <w:rPr>
          <w:rFonts w:hint="default" w:cs="Arial"/>
          <w:color w:val="000000"/>
          <w:szCs w:val="24"/>
          <w:lang w:val="pt-BR"/>
        </w:rPr>
      </w:pPr>
      <w:r>
        <w:rPr>
          <w:rFonts w:hint="default"/>
        </w:rPr>
        <w:t>A contratada deverá garantir assistência técnica contínua durante toda a vigência do contrato, prestada por equipe qualificada e disponível para atendimento remoto ou presencial, conforme a natureza da ocorrência. Sempre que solicitada pela Administração Pública ou por estabelecimentos da rede credenciada, a contratada deverá atender às demandas no prazo máximo de 24 (vinte e quatro) horas, assegurando a imediata solução de falhas, instabilidades ou interrupções no sistema.</w:t>
      </w:r>
    </w:p>
    <w:p w14:paraId="495D97EF">
      <w:pPr>
        <w:pStyle w:val="25"/>
        <w:numPr>
          <w:ilvl w:val="1"/>
          <w:numId w:val="8"/>
        </w:numPr>
        <w:tabs>
          <w:tab w:val="left" w:pos="567"/>
        </w:tabs>
        <w:spacing w:before="180"/>
        <w:ind w:left="0" w:firstLine="0"/>
        <w:contextualSpacing w:val="0"/>
        <w:jc w:val="both"/>
        <w:rPr>
          <w:rFonts w:cs="Arial"/>
          <w:color w:val="000000"/>
          <w:szCs w:val="24"/>
        </w:rPr>
      </w:pPr>
      <w:r>
        <w:rPr>
          <w:rFonts w:hint="default"/>
        </w:rPr>
        <w:t>A assistência técnica deverá abranger o suporte operacional do sistema informatizado, a substituição de cartões defeituosos, a restauração de serviços em caso de falhas e a orientação aos usuários e servidores municipais quanto ao uso das funcionalidades da plataforma. Todas as ocorrências e atendimentos deverão ser registrados e documentados em relatório específico, a ser disponibilizado à Secretaria Municipal de Educação, conforme previsto no Decreto Municipal nº 27.526/2025.</w:t>
      </w:r>
    </w:p>
    <w:p w14:paraId="28C4C1DE">
      <w:pPr>
        <w:pStyle w:val="30"/>
        <w:numPr>
          <w:ilvl w:val="0"/>
          <w:numId w:val="8"/>
        </w:numPr>
      </w:pPr>
      <w:r>
        <w:t>CONDIÇÕES PARA ASSINATURA DO CONTRATO</w:t>
      </w:r>
    </w:p>
    <w:p w14:paraId="455C9E5B">
      <w:pPr>
        <w:pStyle w:val="25"/>
        <w:numPr>
          <w:ilvl w:val="1"/>
          <w:numId w:val="8"/>
        </w:numPr>
        <w:tabs>
          <w:tab w:val="left" w:pos="567"/>
        </w:tabs>
        <w:spacing w:before="180"/>
        <w:ind w:left="0" w:firstLine="0"/>
        <w:contextualSpacing w:val="0"/>
        <w:jc w:val="both"/>
        <w:rPr>
          <w:rFonts w:cs="Arial"/>
          <w:color w:val="000000"/>
          <w:szCs w:val="24"/>
          <w:highlight w:val="none"/>
        </w:rPr>
      </w:pPr>
      <w:r>
        <w:rPr>
          <w:rFonts w:cs="Arial"/>
          <w:color w:val="000000"/>
          <w:szCs w:val="24"/>
          <w:highlight w:val="none"/>
        </w:rPr>
        <w:t xml:space="preserve">Será </w:t>
      </w:r>
      <w:r>
        <w:rPr>
          <w:rFonts w:cs="Arial"/>
          <w:b/>
          <w:bCs/>
          <w:color w:val="000000"/>
          <w:szCs w:val="24"/>
          <w:highlight w:val="none"/>
          <w:u w:val="single"/>
        </w:rPr>
        <w:t>exigida</w:t>
      </w:r>
      <w:r>
        <w:rPr>
          <w:rFonts w:cs="Arial"/>
          <w:color w:val="000000"/>
          <w:szCs w:val="24"/>
          <w:highlight w:val="none"/>
        </w:rPr>
        <w:t xml:space="preserve"> a prestação de garantia financeira do contrato no </w:t>
      </w:r>
      <w:r>
        <w:rPr>
          <w:rFonts w:cs="Arial"/>
          <w:b/>
          <w:bCs/>
          <w:color w:val="000000"/>
          <w:szCs w:val="24"/>
          <w:highlight w:val="none"/>
          <w:u w:val="single"/>
        </w:rPr>
        <w:t xml:space="preserve">percentual de </w:t>
      </w:r>
      <w:r>
        <w:rPr>
          <w:rFonts w:hint="default" w:cs="Arial"/>
          <w:b/>
          <w:bCs/>
          <w:color w:val="000000"/>
          <w:szCs w:val="24"/>
          <w:highlight w:val="none"/>
          <w:u w:val="single"/>
          <w:lang w:val="pt-BR"/>
        </w:rPr>
        <w:t>5% (cinco por cento)</w:t>
      </w:r>
      <w:r>
        <w:rPr>
          <w:rFonts w:cs="Arial"/>
          <w:b/>
          <w:bCs/>
          <w:color w:val="000000"/>
          <w:szCs w:val="24"/>
          <w:highlight w:val="none"/>
          <w:u w:val="single"/>
        </w:rPr>
        <w:t xml:space="preserve"> do valor do contrato.</w:t>
      </w:r>
      <w:r>
        <w:rPr>
          <w:rFonts w:cs="Arial"/>
          <w:color w:val="000000"/>
          <w:szCs w:val="24"/>
          <w:highlight w:val="none"/>
        </w:rPr>
        <w:t xml:space="preserve">   </w:t>
      </w:r>
    </w:p>
    <w:p w14:paraId="2B30DDF8">
      <w:pPr>
        <w:pStyle w:val="25"/>
        <w:numPr>
          <w:ilvl w:val="2"/>
          <w:numId w:val="8"/>
        </w:numPr>
        <w:tabs>
          <w:tab w:val="left" w:pos="567"/>
        </w:tabs>
        <w:spacing w:before="180"/>
        <w:ind w:left="0" w:firstLine="0"/>
        <w:contextualSpacing w:val="0"/>
        <w:jc w:val="both"/>
        <w:rPr>
          <w:rFonts w:cs="Arial"/>
          <w:color w:val="000000"/>
          <w:szCs w:val="24"/>
          <w:highlight w:val="none"/>
        </w:rPr>
      </w:pPr>
      <w:r>
        <w:rPr>
          <w:rFonts w:cs="Arial"/>
          <w:color w:val="000000"/>
          <w:szCs w:val="24"/>
          <w:highlight w:val="none"/>
        </w:rPr>
        <w:t>A garantia deverá ser prestada em qualquer das modalidades relacionadas no § 1° do art. 96 da Lei nº 14.133/2021, no prazo de 1 (um) mês, contado da data de homologação da licitação e anterior à assinatura do contrato.</w:t>
      </w:r>
    </w:p>
    <w:p w14:paraId="3AC04EA1">
      <w:pPr>
        <w:pStyle w:val="30"/>
        <w:numPr>
          <w:ilvl w:val="0"/>
          <w:numId w:val="8"/>
        </w:numPr>
        <w:rPr>
          <w:highlight w:val="none"/>
        </w:rPr>
      </w:pPr>
      <w:r>
        <w:rPr>
          <w:rFonts w:hint="default"/>
          <w:highlight w:val="none"/>
          <w:lang w:val="pt-BR"/>
        </w:rPr>
        <w:t>QUANTIDADES</w:t>
      </w:r>
      <w:r>
        <w:rPr>
          <w:b w:val="0"/>
          <w:bCs/>
          <w:highlight w:val="none"/>
        </w:rPr>
        <w:t xml:space="preserve">  </w:t>
      </w:r>
    </w:p>
    <w:p w14:paraId="26B80C43">
      <w:pPr>
        <w:pStyle w:val="25"/>
        <w:numPr>
          <w:ilvl w:val="1"/>
          <w:numId w:val="8"/>
        </w:numPr>
        <w:tabs>
          <w:tab w:val="left" w:pos="567"/>
        </w:tabs>
        <w:spacing w:before="180"/>
        <w:ind w:left="0" w:firstLine="0"/>
        <w:contextualSpacing w:val="0"/>
        <w:jc w:val="both"/>
        <w:rPr>
          <w:rFonts w:cs="Arial"/>
          <w:color w:val="000000"/>
          <w:szCs w:val="24"/>
        </w:rPr>
      </w:pPr>
      <w:r>
        <w:rPr>
          <w:rFonts w:hint="default" w:cs="Arial"/>
          <w:color w:val="000000"/>
          <w:szCs w:val="24"/>
          <w:lang w:val="pt-BR"/>
        </w:rPr>
        <w:t>As quantidades previstas para o orgão gerenciador são as seguintes:</w:t>
      </w:r>
    </w:p>
    <w:p w14:paraId="68613A25">
      <w:pPr>
        <w:pStyle w:val="25"/>
        <w:numPr>
          <w:ilvl w:val="0"/>
          <w:numId w:val="0"/>
        </w:numPr>
        <w:tabs>
          <w:tab w:val="left" w:pos="567"/>
        </w:tabs>
        <w:spacing w:before="180"/>
        <w:ind w:leftChars="0"/>
        <w:contextualSpacing w:val="0"/>
        <w:jc w:val="both"/>
        <w:rPr>
          <w:rFonts w:cs="Arial"/>
          <w:color w:val="000000"/>
          <w:szCs w:val="24"/>
        </w:rPr>
      </w:pPr>
      <w:r>
        <w:rPr>
          <w:rFonts w:hint="default" w:cs="Arial"/>
          <w:b/>
          <w:bCs/>
          <w:color w:val="000000"/>
          <w:szCs w:val="24"/>
          <w:u w:val="single"/>
          <w:lang w:val="pt-BR"/>
        </w:rPr>
        <w:t>SECRETARIA MUNICIPAL DE EDUCAÇÃO</w:t>
      </w:r>
      <w:r>
        <w:rPr>
          <w:rFonts w:cs="Arial"/>
          <w:color w:val="000000"/>
          <w:szCs w:val="24"/>
        </w:rPr>
        <w:t xml:space="preserve">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
        <w:gridCol w:w="800"/>
        <w:gridCol w:w="5725"/>
        <w:gridCol w:w="1163"/>
        <w:gridCol w:w="970"/>
      </w:tblGrid>
      <w:tr w14:paraId="2C93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vAlign w:val="center"/>
          </w:tcPr>
          <w:p w14:paraId="13CF75E2">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LOTE</w:t>
            </w:r>
          </w:p>
        </w:tc>
        <w:tc>
          <w:tcPr>
            <w:tcW w:w="800" w:type="dxa"/>
            <w:vAlign w:val="center"/>
          </w:tcPr>
          <w:p w14:paraId="1E4DEE15">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ITEM</w:t>
            </w:r>
          </w:p>
        </w:tc>
        <w:tc>
          <w:tcPr>
            <w:tcW w:w="5725" w:type="dxa"/>
            <w:vAlign w:val="center"/>
          </w:tcPr>
          <w:p w14:paraId="2C06F413">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ESPECIFICAÇÃO</w:t>
            </w:r>
          </w:p>
        </w:tc>
        <w:tc>
          <w:tcPr>
            <w:tcW w:w="1163" w:type="dxa"/>
            <w:vAlign w:val="center"/>
          </w:tcPr>
          <w:p w14:paraId="3CA89270">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UND</w:t>
            </w:r>
          </w:p>
        </w:tc>
        <w:tc>
          <w:tcPr>
            <w:tcW w:w="970" w:type="dxa"/>
            <w:vAlign w:val="center"/>
          </w:tcPr>
          <w:p w14:paraId="74740464">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QTDE</w:t>
            </w:r>
          </w:p>
        </w:tc>
      </w:tr>
      <w:tr w14:paraId="512C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vMerge w:val="restart"/>
            <w:vAlign w:val="center"/>
          </w:tcPr>
          <w:p w14:paraId="540C9EDA">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01</w:t>
            </w:r>
          </w:p>
        </w:tc>
        <w:tc>
          <w:tcPr>
            <w:tcW w:w="800" w:type="dxa"/>
            <w:vAlign w:val="center"/>
          </w:tcPr>
          <w:p w14:paraId="748D0D13">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01</w:t>
            </w:r>
          </w:p>
        </w:tc>
        <w:tc>
          <w:tcPr>
            <w:tcW w:w="5725" w:type="dxa"/>
            <w:vAlign w:val="center"/>
          </w:tcPr>
          <w:p w14:paraId="676AB30F">
            <w:pPr>
              <w:keepNext w:val="0"/>
              <w:keepLines w:val="0"/>
              <w:pageBreakBefore w:val="0"/>
              <w:widowControl/>
              <w:kinsoku/>
              <w:wordWrap/>
              <w:overflowPunct/>
              <w:topLinePunct w:val="0"/>
              <w:autoSpaceDE/>
              <w:autoSpaceDN/>
              <w:bidi w:val="0"/>
              <w:adjustRightInd/>
              <w:snapToGrid/>
              <w:spacing w:before="0" w:after="0"/>
              <w:jc w:val="both"/>
              <w:textAlignment w:val="auto"/>
              <w:rPr>
                <w:rFonts w:hint="default"/>
                <w:sz w:val="20"/>
                <w:szCs w:val="20"/>
                <w:vertAlign w:val="baseline"/>
                <w:lang w:val="pt-BR"/>
              </w:rPr>
            </w:pPr>
            <w:r>
              <w:rPr>
                <w:rFonts w:hint="default"/>
                <w:sz w:val="20"/>
                <w:szCs w:val="20"/>
                <w:vertAlign w:val="baseline"/>
                <w:lang w:val="pt-BR"/>
              </w:rPr>
              <w:t>Serviço de administração, gerenciamento, emissão de fornecimento de sistema digital e distribuição para o fornecimento de cartão eletrônico, para a concessão de um auxílio, para a aquisição de material didático escolar e uniformes, para atender os discentes regularmente matriculados na rede pública municipal de ensino, e material didático-escolar para os docentes que fazem parte do quadro de magistério e os agentes de apoio educacionais do Município de Paranavaí/PR (CATSER 19208).</w:t>
            </w:r>
          </w:p>
        </w:tc>
        <w:tc>
          <w:tcPr>
            <w:tcW w:w="1163" w:type="dxa"/>
            <w:vAlign w:val="center"/>
          </w:tcPr>
          <w:p w14:paraId="0DDE051C">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SERVIÇO</w:t>
            </w:r>
          </w:p>
        </w:tc>
        <w:tc>
          <w:tcPr>
            <w:tcW w:w="970" w:type="dxa"/>
            <w:vAlign w:val="center"/>
          </w:tcPr>
          <w:p w14:paraId="348C96CB">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01</w:t>
            </w:r>
          </w:p>
        </w:tc>
      </w:tr>
      <w:tr w14:paraId="3CC85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2" w:type="dxa"/>
            <w:vMerge w:val="continue"/>
            <w:vAlign w:val="center"/>
          </w:tcPr>
          <w:p w14:paraId="2028B8C8">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p>
        </w:tc>
        <w:tc>
          <w:tcPr>
            <w:tcW w:w="800" w:type="dxa"/>
            <w:vAlign w:val="center"/>
          </w:tcPr>
          <w:p w14:paraId="4629F3F8">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02</w:t>
            </w:r>
          </w:p>
        </w:tc>
        <w:tc>
          <w:tcPr>
            <w:tcW w:w="5725" w:type="dxa"/>
            <w:vAlign w:val="center"/>
          </w:tcPr>
          <w:p w14:paraId="0784F321">
            <w:pPr>
              <w:keepNext w:val="0"/>
              <w:keepLines w:val="0"/>
              <w:pageBreakBefore w:val="0"/>
              <w:widowControl/>
              <w:kinsoku/>
              <w:wordWrap/>
              <w:overflowPunct/>
              <w:topLinePunct w:val="0"/>
              <w:autoSpaceDE/>
              <w:autoSpaceDN/>
              <w:bidi w:val="0"/>
              <w:adjustRightInd/>
              <w:snapToGrid/>
              <w:spacing w:before="0" w:after="0"/>
              <w:jc w:val="both"/>
              <w:textAlignment w:val="auto"/>
              <w:rPr>
                <w:rFonts w:hint="default"/>
                <w:sz w:val="20"/>
                <w:szCs w:val="20"/>
                <w:vertAlign w:val="baseline"/>
                <w:lang w:val="pt-BR"/>
              </w:rPr>
            </w:pPr>
            <w:r>
              <w:rPr>
                <w:rFonts w:hint="default"/>
                <w:sz w:val="20"/>
                <w:szCs w:val="20"/>
                <w:vertAlign w:val="baseline"/>
                <w:lang w:val="pt-BR"/>
              </w:rPr>
              <w:t>Cartão em PVC COM CHIP Personalizado, com a logo do programa e dados dos beneficiários, com remessa total estimada em 33.360 unidades. (CATMAT 352683).</w:t>
            </w:r>
          </w:p>
        </w:tc>
        <w:tc>
          <w:tcPr>
            <w:tcW w:w="1163" w:type="dxa"/>
            <w:vAlign w:val="center"/>
          </w:tcPr>
          <w:p w14:paraId="0397163D">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UND</w:t>
            </w:r>
          </w:p>
        </w:tc>
        <w:tc>
          <w:tcPr>
            <w:tcW w:w="970" w:type="dxa"/>
            <w:vAlign w:val="center"/>
          </w:tcPr>
          <w:p w14:paraId="7B91AA06">
            <w:pPr>
              <w:keepNext w:val="0"/>
              <w:keepLines w:val="0"/>
              <w:pageBreakBefore w:val="0"/>
              <w:widowControl/>
              <w:kinsoku/>
              <w:wordWrap/>
              <w:overflowPunct/>
              <w:topLinePunct w:val="0"/>
              <w:autoSpaceDE/>
              <w:autoSpaceDN/>
              <w:bidi w:val="0"/>
              <w:adjustRightInd/>
              <w:snapToGrid/>
              <w:spacing w:before="0" w:after="0"/>
              <w:jc w:val="center"/>
              <w:textAlignment w:val="auto"/>
              <w:rPr>
                <w:rFonts w:hint="default"/>
                <w:sz w:val="20"/>
                <w:szCs w:val="20"/>
                <w:vertAlign w:val="baseline"/>
                <w:lang w:val="pt-BR"/>
              </w:rPr>
            </w:pPr>
            <w:r>
              <w:rPr>
                <w:rFonts w:hint="default"/>
                <w:sz w:val="20"/>
                <w:szCs w:val="20"/>
                <w:vertAlign w:val="baseline"/>
                <w:lang w:val="pt-BR"/>
              </w:rPr>
              <w:t>01</w:t>
            </w:r>
          </w:p>
        </w:tc>
      </w:tr>
    </w:tbl>
    <w:p w14:paraId="4C285285">
      <w:pPr>
        <w:pStyle w:val="30"/>
        <w:numPr>
          <w:ilvl w:val="0"/>
          <w:numId w:val="8"/>
        </w:numPr>
        <w:rPr>
          <w:highlight w:val="lightGray"/>
        </w:rPr>
      </w:pPr>
      <w:r>
        <w:rPr>
          <w:rFonts w:hint="default"/>
          <w:highlight w:val="none"/>
          <w:lang w:val="pt-BR"/>
        </w:rPr>
        <w:t>REAJUSTAMENTO DOS PREÇOS E INFORMAÇÕES SOBRE PAGAMENTO</w:t>
      </w:r>
    </w:p>
    <w:p w14:paraId="48609B46">
      <w:pPr>
        <w:pStyle w:val="25"/>
        <w:numPr>
          <w:ilvl w:val="1"/>
          <w:numId w:val="8"/>
        </w:numPr>
        <w:tabs>
          <w:tab w:val="left" w:pos="567"/>
        </w:tabs>
        <w:spacing w:before="180"/>
        <w:ind w:left="0" w:firstLine="0"/>
        <w:contextualSpacing w:val="0"/>
        <w:jc w:val="both"/>
        <w:rPr>
          <w:rFonts w:cs="Arial"/>
          <w:color w:val="000000"/>
          <w:szCs w:val="24"/>
        </w:rPr>
      </w:pPr>
      <w:r>
        <w:rPr>
          <w:rFonts w:hint="default"/>
          <w:sz w:val="22"/>
          <w:lang w:val="pt-BR"/>
        </w:rPr>
        <w:t>O preço será reajustado, de ofício, pelo contratante, conforme variação do IPCA, após 12 (doze) meses contados de 23 de setembro de 2025, sobre o valor correspondente às parcelas do objeto cujo pagamento ainda não tenha sido realizado, devendo se dar no primeiro recebimento definitivo realizado após o decurso do prazo de 12 (doze) meses.</w:t>
      </w:r>
    </w:p>
    <w:p w14:paraId="1BA0C915">
      <w:pPr>
        <w:tabs>
          <w:tab w:val="left" w:pos="567"/>
        </w:tabs>
        <w:spacing w:before="180"/>
        <w:jc w:val="both"/>
        <w:rPr>
          <w:rFonts w:cs="Arial"/>
          <w:color w:val="000000"/>
          <w:szCs w:val="24"/>
        </w:rPr>
      </w:pPr>
      <w:r>
        <w:rPr>
          <w:rFonts w:hint="default"/>
          <w:color w:val="000000"/>
          <w:szCs w:val="24"/>
          <w:highlight w:val="none"/>
          <w:lang w:val="pt-BR"/>
        </w:rPr>
        <w:t>A empresa vencedora poderá ter acesso às informações relacionadas ao pagamento no Autoatendimento do Portal do Cidadão, mediante login via sistema, acessando o link: https://paranavai.atende.net/autoatendimento.</w:t>
      </w:r>
    </w:p>
    <w:p w14:paraId="6FDDC9C6">
      <w:pPr>
        <w:jc w:val="both"/>
        <w:rPr>
          <w:rFonts w:cs="Arial"/>
          <w:color w:val="000000"/>
          <w:szCs w:val="24"/>
        </w:rPr>
      </w:pPr>
      <w:r>
        <w:rPr>
          <w:rFonts w:cs="Arial"/>
          <w:color w:val="000000"/>
          <w:szCs w:val="24"/>
        </w:rPr>
        <w:br w:type="page"/>
      </w:r>
    </w:p>
    <w:p w14:paraId="1565DC21">
      <w:pPr>
        <w:spacing w:before="0"/>
        <w:jc w:val="center"/>
        <w:rPr>
          <w:rFonts w:hint="default" w:cs="Arial"/>
          <w:b/>
          <w:bCs/>
          <w:szCs w:val="24"/>
          <w:lang w:val="pt-BR"/>
        </w:rPr>
      </w:pPr>
      <w:r>
        <w:rPr>
          <w:rFonts w:cs="Arial"/>
          <w:b/>
          <w:bCs/>
          <w:szCs w:val="24"/>
        </w:rPr>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28</w:t>
      </w:r>
      <w:r>
        <w:rPr>
          <w:rFonts w:hint="default" w:cs="Arial"/>
          <w:b/>
          <w:bCs/>
          <w:szCs w:val="24"/>
          <w:lang w:val="pt-BR"/>
        </w:rPr>
        <w:t>/2026</w:t>
      </w:r>
    </w:p>
    <w:p w14:paraId="1C04F443">
      <w:pPr>
        <w:jc w:val="center"/>
        <w:rPr>
          <w:b/>
          <w:bCs/>
        </w:rPr>
      </w:pPr>
      <w:r>
        <w:rPr>
          <w:b/>
          <w:bCs/>
        </w:rPr>
        <w:t>ANEXO II</w:t>
      </w:r>
    </w:p>
    <w:p w14:paraId="0D83AF02">
      <w:pPr>
        <w:spacing w:before="0"/>
        <w:jc w:val="center"/>
        <w:rPr>
          <w:b/>
          <w:bCs/>
        </w:rPr>
      </w:pPr>
      <w:r>
        <w:rPr>
          <w:b/>
          <w:bCs/>
        </w:rPr>
        <w:t>MODELO DE PROPOSTA</w:t>
      </w:r>
    </w:p>
    <w:p w14:paraId="72B0C098">
      <w:pPr>
        <w:pStyle w:val="30"/>
        <w:keepLines w:val="0"/>
        <w:pageBreakBefore w:val="0"/>
        <w:widowControl/>
        <w:numPr>
          <w:ilvl w:val="0"/>
          <w:numId w:val="9"/>
        </w:numPr>
        <w:kinsoku/>
        <w:wordWrap/>
        <w:overflowPunct/>
        <w:topLinePunct w:val="0"/>
        <w:autoSpaceDE/>
        <w:autoSpaceDN/>
        <w:bidi w:val="0"/>
        <w:adjustRightInd/>
        <w:snapToGrid/>
        <w:spacing w:before="0"/>
        <w:textAlignment w:val="auto"/>
      </w:pPr>
      <w:r>
        <w:t>DADOS DO FORNECEDOR</w:t>
      </w:r>
    </w:p>
    <w:p w14:paraId="34545FB4">
      <w:pPr>
        <w:keepLines w:val="0"/>
        <w:pageBreakBefore w:val="0"/>
        <w:widowControl/>
        <w:kinsoku/>
        <w:wordWrap/>
        <w:overflowPunct/>
        <w:topLinePunct w:val="0"/>
        <w:autoSpaceDE/>
        <w:autoSpaceDN/>
        <w:bidi w:val="0"/>
        <w:adjustRightInd/>
        <w:snapToGrid/>
        <w:spacing w:before="0"/>
        <w:textAlignment w:val="auto"/>
        <w:rPr>
          <w:b/>
        </w:rPr>
      </w:pPr>
      <w:r>
        <w:t xml:space="preserve">Razão social: .......... </w:t>
      </w:r>
    </w:p>
    <w:p w14:paraId="01D31A9A">
      <w:pPr>
        <w:keepLines w:val="0"/>
        <w:pageBreakBefore w:val="0"/>
        <w:widowControl/>
        <w:kinsoku/>
        <w:wordWrap/>
        <w:overflowPunct/>
        <w:topLinePunct w:val="0"/>
        <w:autoSpaceDE/>
        <w:autoSpaceDN/>
        <w:bidi w:val="0"/>
        <w:adjustRightInd/>
        <w:snapToGrid/>
        <w:spacing w:before="0"/>
        <w:textAlignment w:val="auto"/>
        <w:rPr>
          <w:b/>
        </w:rPr>
      </w:pPr>
      <w:r>
        <w:t>CNPJ: ..........</w:t>
      </w:r>
    </w:p>
    <w:p w14:paraId="05075DC5">
      <w:pPr>
        <w:keepLines w:val="0"/>
        <w:pageBreakBefore w:val="0"/>
        <w:widowControl/>
        <w:kinsoku/>
        <w:wordWrap/>
        <w:overflowPunct/>
        <w:topLinePunct w:val="0"/>
        <w:autoSpaceDE/>
        <w:autoSpaceDN/>
        <w:bidi w:val="0"/>
        <w:adjustRightInd/>
        <w:snapToGrid/>
        <w:spacing w:before="0"/>
        <w:textAlignment w:val="auto"/>
        <w:rPr>
          <w:b/>
        </w:rPr>
      </w:pPr>
      <w:r>
        <w:t>Endereço: ..........</w:t>
      </w:r>
    </w:p>
    <w:p w14:paraId="36FBBB14">
      <w:pPr>
        <w:keepLines w:val="0"/>
        <w:pageBreakBefore w:val="0"/>
        <w:widowControl/>
        <w:kinsoku/>
        <w:wordWrap/>
        <w:overflowPunct/>
        <w:topLinePunct w:val="0"/>
        <w:autoSpaceDE/>
        <w:autoSpaceDN/>
        <w:bidi w:val="0"/>
        <w:adjustRightInd/>
        <w:snapToGrid/>
        <w:spacing w:before="0"/>
        <w:textAlignment w:val="auto"/>
        <w:rPr>
          <w:b/>
        </w:rPr>
      </w:pPr>
      <w:r>
        <w:t>E-mail: ..........</w:t>
      </w:r>
    </w:p>
    <w:p w14:paraId="196EAD68">
      <w:pPr>
        <w:keepLines w:val="0"/>
        <w:pageBreakBefore w:val="0"/>
        <w:widowControl/>
        <w:kinsoku/>
        <w:wordWrap/>
        <w:overflowPunct/>
        <w:topLinePunct w:val="0"/>
        <w:autoSpaceDE/>
        <w:autoSpaceDN/>
        <w:bidi w:val="0"/>
        <w:adjustRightInd/>
        <w:snapToGrid/>
        <w:spacing w:before="0"/>
        <w:textAlignment w:val="auto"/>
        <w:rPr>
          <w:b/>
        </w:rPr>
      </w:pPr>
      <w:r>
        <w:t>Telefone: ..........</w:t>
      </w:r>
    </w:p>
    <w:p w14:paraId="4C9408B6">
      <w:pPr>
        <w:pStyle w:val="30"/>
        <w:keepLines w:val="0"/>
        <w:pageBreakBefore w:val="0"/>
        <w:widowControl/>
        <w:numPr>
          <w:ilvl w:val="0"/>
          <w:numId w:val="9"/>
        </w:numPr>
        <w:kinsoku/>
        <w:wordWrap/>
        <w:overflowPunct/>
        <w:topLinePunct w:val="0"/>
        <w:autoSpaceDE/>
        <w:autoSpaceDN/>
        <w:bidi w:val="0"/>
        <w:adjustRightInd/>
        <w:snapToGrid/>
        <w:spacing w:before="0"/>
        <w:textAlignment w:val="auto"/>
      </w:pPr>
      <w:r>
        <w:t>RESPONSÁVEL PELA PROPOSTA</w:t>
      </w:r>
    </w:p>
    <w:p w14:paraId="36E08A26">
      <w:pPr>
        <w:keepLines w:val="0"/>
        <w:pageBreakBefore w:val="0"/>
        <w:widowControl/>
        <w:kinsoku/>
        <w:wordWrap/>
        <w:overflowPunct/>
        <w:topLinePunct w:val="0"/>
        <w:autoSpaceDE/>
        <w:autoSpaceDN/>
        <w:bidi w:val="0"/>
        <w:adjustRightInd/>
        <w:snapToGrid/>
        <w:spacing w:before="0"/>
        <w:textAlignment w:val="auto"/>
        <w:rPr>
          <w:b/>
          <w:szCs w:val="24"/>
        </w:rPr>
      </w:pPr>
      <w:r>
        <w:rPr>
          <w:szCs w:val="24"/>
        </w:rPr>
        <w:t xml:space="preserve">Nome: </w:t>
      </w:r>
      <w:r>
        <w:t>..........</w:t>
      </w:r>
    </w:p>
    <w:p w14:paraId="7A533AF8">
      <w:pPr>
        <w:keepLines w:val="0"/>
        <w:pageBreakBefore w:val="0"/>
        <w:widowControl/>
        <w:kinsoku/>
        <w:wordWrap/>
        <w:overflowPunct/>
        <w:topLinePunct w:val="0"/>
        <w:autoSpaceDE/>
        <w:autoSpaceDN/>
        <w:bidi w:val="0"/>
        <w:adjustRightInd/>
        <w:snapToGrid/>
        <w:spacing w:before="0"/>
        <w:textAlignment w:val="auto"/>
        <w:rPr>
          <w:b/>
          <w:szCs w:val="24"/>
        </w:rPr>
      </w:pPr>
      <w:r>
        <w:rPr>
          <w:szCs w:val="24"/>
        </w:rPr>
        <w:t xml:space="preserve">CPF: </w:t>
      </w:r>
      <w:r>
        <w:t>..........</w:t>
      </w:r>
    </w:p>
    <w:p w14:paraId="69C7887A">
      <w:pPr>
        <w:keepLines w:val="0"/>
        <w:pageBreakBefore w:val="0"/>
        <w:widowControl/>
        <w:kinsoku/>
        <w:wordWrap/>
        <w:overflowPunct/>
        <w:topLinePunct w:val="0"/>
        <w:autoSpaceDE/>
        <w:autoSpaceDN/>
        <w:bidi w:val="0"/>
        <w:adjustRightInd/>
        <w:snapToGrid/>
        <w:spacing w:before="0"/>
        <w:jc w:val="both"/>
        <w:textAlignment w:val="auto"/>
        <w:rPr>
          <w:b/>
          <w:highlight w:val="none"/>
        </w:rPr>
      </w:pPr>
      <w:r>
        <w:rPr>
          <w:highlight w:val="none"/>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5D975ABD">
      <w:pPr>
        <w:keepLines w:val="0"/>
        <w:pageBreakBefore w:val="0"/>
        <w:widowControl/>
        <w:kinsoku/>
        <w:wordWrap/>
        <w:overflowPunct/>
        <w:topLinePunct w:val="0"/>
        <w:autoSpaceDE/>
        <w:autoSpaceDN/>
        <w:bidi w:val="0"/>
        <w:adjustRightInd/>
        <w:snapToGrid/>
        <w:spacing w:before="0"/>
        <w:textAlignment w:val="auto"/>
        <w:rPr>
          <w:szCs w:val="24"/>
        </w:rPr>
      </w:pPr>
      <w:r>
        <w:rPr>
          <w:rFonts w:hint="default"/>
          <w:highlight w:val="none"/>
          <w:lang w:val="pt-BR"/>
        </w:rPr>
        <w:t>☐ SIM  ☐ NÃO</w:t>
      </w:r>
      <w:r>
        <w:rPr>
          <w:szCs w:val="24"/>
        </w:rPr>
        <w:t xml:space="preserve"> </w:t>
      </w:r>
    </w:p>
    <w:p w14:paraId="007F0F49">
      <w:pPr>
        <w:keepLines w:val="0"/>
        <w:pageBreakBefore w:val="0"/>
        <w:widowControl/>
        <w:kinsoku/>
        <w:wordWrap/>
        <w:overflowPunct/>
        <w:topLinePunct w:val="0"/>
        <w:autoSpaceDE/>
        <w:autoSpaceDN/>
        <w:bidi w:val="0"/>
        <w:adjustRightInd/>
        <w:snapToGrid/>
        <w:spacing w:before="0"/>
        <w:jc w:val="both"/>
        <w:textAlignment w:val="auto"/>
        <w:rPr>
          <w:rFonts w:hint="default"/>
          <w:highlight w:val="none"/>
          <w:lang w:val="pt-BR"/>
        </w:rPr>
      </w:pPr>
      <w:r>
        <w:rPr>
          <w:rFonts w:hint="default"/>
          <w:highlight w:val="none"/>
          <w:lang w:val="pt-BR"/>
        </w:rPr>
        <w:t xml:space="preserve">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 </w:t>
      </w:r>
    </w:p>
    <w:p w14:paraId="70649EF7">
      <w:pPr>
        <w:keepLines w:val="0"/>
        <w:pageBreakBefore w:val="0"/>
        <w:widowControl/>
        <w:kinsoku/>
        <w:wordWrap/>
        <w:overflowPunct/>
        <w:topLinePunct w:val="0"/>
        <w:autoSpaceDE/>
        <w:autoSpaceDN/>
        <w:bidi w:val="0"/>
        <w:adjustRightInd/>
        <w:snapToGrid/>
        <w:spacing w:before="0"/>
        <w:textAlignment w:val="auto"/>
        <w:rPr>
          <w:szCs w:val="24"/>
        </w:rPr>
      </w:pPr>
      <w:r>
        <w:rPr>
          <w:rFonts w:hint="default"/>
          <w:highlight w:val="none"/>
          <w:lang w:val="pt-BR"/>
        </w:rPr>
        <w:t>☐ SIM  ☐ NÃO</w:t>
      </w:r>
    </w:p>
    <w:p w14:paraId="29013045">
      <w:pPr>
        <w:pStyle w:val="30"/>
        <w:numPr>
          <w:ilvl w:val="0"/>
          <w:numId w:val="9"/>
        </w:numPr>
      </w:pPr>
      <w:r>
        <w:t>CONDIÇÕES COMERCIAIS</w:t>
      </w:r>
      <w:r>
        <w:rPr>
          <w:b w:val="0"/>
          <w:bCs/>
        </w:rPr>
        <w:t xml:space="preserve"> </w:t>
      </w:r>
    </w:p>
    <w:p w14:paraId="6AA74E93">
      <w:pPr>
        <w:spacing w:before="120"/>
        <w:rPr>
          <w:rFonts w:eastAsiaTheme="minorHAnsi"/>
        </w:rPr>
      </w:pPr>
    </w:p>
    <w:tbl>
      <w:tblPr>
        <w:tblStyle w:val="17"/>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3553"/>
        <w:gridCol w:w="1271"/>
        <w:gridCol w:w="1132"/>
        <w:gridCol w:w="1274"/>
        <w:gridCol w:w="1551"/>
      </w:tblGrid>
      <w:tr w14:paraId="4EBA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restart"/>
            <w:vAlign w:val="center"/>
          </w:tcPr>
          <w:p w14:paraId="07711E0B">
            <w:pPr>
              <w:keepNext/>
              <w:spacing w:before="40" w:after="40" w:line="240" w:lineRule="auto"/>
              <w:jc w:val="center"/>
              <w:rPr>
                <w:rFonts w:eastAsiaTheme="minorHAnsi"/>
                <w:iCs/>
              </w:rPr>
            </w:pPr>
            <w:r>
              <w:rPr>
                <w:rFonts w:eastAsiaTheme="minorHAnsi"/>
                <w:iCs/>
              </w:rPr>
              <w:t>Item</w:t>
            </w:r>
          </w:p>
        </w:tc>
        <w:tc>
          <w:tcPr>
            <w:tcW w:w="3553" w:type="dxa"/>
            <w:vMerge w:val="restart"/>
            <w:vAlign w:val="center"/>
          </w:tcPr>
          <w:p w14:paraId="0D96DC0B">
            <w:pPr>
              <w:keepNext/>
              <w:spacing w:before="40" w:after="40" w:line="240" w:lineRule="auto"/>
              <w:jc w:val="center"/>
              <w:rPr>
                <w:rFonts w:eastAsiaTheme="minorHAnsi"/>
                <w:iCs/>
              </w:rPr>
            </w:pPr>
            <w:r>
              <w:rPr>
                <w:rFonts w:eastAsiaTheme="minorHAnsi"/>
                <w:iCs/>
              </w:rPr>
              <w:t>Descrição</w:t>
            </w:r>
          </w:p>
        </w:tc>
        <w:tc>
          <w:tcPr>
            <w:tcW w:w="1271" w:type="dxa"/>
            <w:vMerge w:val="restart"/>
            <w:vAlign w:val="center"/>
          </w:tcPr>
          <w:p w14:paraId="2318EAAE">
            <w:pPr>
              <w:keepNext/>
              <w:spacing w:before="40" w:after="40" w:line="240" w:lineRule="auto"/>
              <w:jc w:val="center"/>
              <w:rPr>
                <w:rFonts w:eastAsiaTheme="minorHAnsi"/>
                <w:iCs/>
              </w:rPr>
            </w:pPr>
            <w:r>
              <w:rPr>
                <w:rFonts w:eastAsiaTheme="minorHAnsi"/>
                <w:iCs/>
              </w:rPr>
              <w:t>Unid.</w:t>
            </w:r>
          </w:p>
        </w:tc>
        <w:tc>
          <w:tcPr>
            <w:tcW w:w="1132" w:type="dxa"/>
            <w:vMerge w:val="restart"/>
            <w:vAlign w:val="center"/>
          </w:tcPr>
          <w:p w14:paraId="2F154DDD">
            <w:pPr>
              <w:keepNext/>
              <w:spacing w:before="40" w:after="40" w:line="240" w:lineRule="auto"/>
              <w:jc w:val="center"/>
              <w:rPr>
                <w:rFonts w:eastAsiaTheme="minorHAnsi"/>
                <w:iCs/>
              </w:rPr>
            </w:pPr>
            <w:r>
              <w:rPr>
                <w:rFonts w:eastAsiaTheme="minorHAnsi"/>
                <w:iCs/>
              </w:rPr>
              <w:t>Quant.</w:t>
            </w:r>
          </w:p>
        </w:tc>
        <w:tc>
          <w:tcPr>
            <w:tcW w:w="2825" w:type="dxa"/>
            <w:gridSpan w:val="2"/>
            <w:vAlign w:val="center"/>
          </w:tcPr>
          <w:p w14:paraId="2E3FA26B">
            <w:pPr>
              <w:keepNext/>
              <w:spacing w:before="40" w:after="40" w:line="240" w:lineRule="auto"/>
              <w:jc w:val="center"/>
              <w:rPr>
                <w:rFonts w:eastAsiaTheme="minorHAnsi"/>
                <w:iCs/>
              </w:rPr>
            </w:pPr>
            <w:r>
              <w:rPr>
                <w:rFonts w:eastAsiaTheme="minorHAnsi"/>
                <w:iCs/>
              </w:rPr>
              <w:t>Preço (R$)</w:t>
            </w:r>
          </w:p>
        </w:tc>
      </w:tr>
      <w:tr w14:paraId="6B913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15EBA895">
            <w:pPr>
              <w:keepNext/>
              <w:spacing w:before="40" w:after="40" w:line="240" w:lineRule="auto"/>
              <w:jc w:val="center"/>
              <w:rPr>
                <w:rFonts w:eastAsiaTheme="minorHAnsi"/>
                <w:iCs/>
              </w:rPr>
            </w:pPr>
          </w:p>
        </w:tc>
        <w:tc>
          <w:tcPr>
            <w:tcW w:w="3553" w:type="dxa"/>
            <w:vMerge w:val="continue"/>
            <w:vAlign w:val="center"/>
          </w:tcPr>
          <w:p w14:paraId="0E3C441C">
            <w:pPr>
              <w:keepNext/>
              <w:spacing w:before="40" w:after="40" w:line="240" w:lineRule="auto"/>
              <w:jc w:val="center"/>
              <w:rPr>
                <w:rFonts w:eastAsiaTheme="minorHAnsi"/>
                <w:iCs/>
              </w:rPr>
            </w:pPr>
          </w:p>
        </w:tc>
        <w:tc>
          <w:tcPr>
            <w:tcW w:w="1271" w:type="dxa"/>
            <w:vMerge w:val="continue"/>
            <w:vAlign w:val="center"/>
          </w:tcPr>
          <w:p w14:paraId="6F7A9A58">
            <w:pPr>
              <w:keepNext/>
              <w:spacing w:before="40" w:after="40" w:line="240" w:lineRule="auto"/>
              <w:jc w:val="center"/>
              <w:rPr>
                <w:rFonts w:eastAsiaTheme="minorHAnsi"/>
                <w:iCs/>
              </w:rPr>
            </w:pPr>
          </w:p>
        </w:tc>
        <w:tc>
          <w:tcPr>
            <w:tcW w:w="1132" w:type="dxa"/>
            <w:vMerge w:val="continue"/>
            <w:vAlign w:val="center"/>
          </w:tcPr>
          <w:p w14:paraId="02B7B1E6">
            <w:pPr>
              <w:keepNext/>
              <w:spacing w:before="40" w:after="40" w:line="240" w:lineRule="auto"/>
              <w:jc w:val="center"/>
              <w:rPr>
                <w:rFonts w:eastAsiaTheme="minorHAnsi"/>
                <w:iCs/>
              </w:rPr>
            </w:pPr>
          </w:p>
        </w:tc>
        <w:tc>
          <w:tcPr>
            <w:tcW w:w="1274" w:type="dxa"/>
            <w:vAlign w:val="center"/>
          </w:tcPr>
          <w:p w14:paraId="0CFFD93C">
            <w:pPr>
              <w:keepNext/>
              <w:spacing w:before="40" w:after="40" w:line="240" w:lineRule="auto"/>
              <w:jc w:val="center"/>
              <w:rPr>
                <w:rFonts w:eastAsiaTheme="minorHAnsi"/>
                <w:iCs/>
              </w:rPr>
            </w:pPr>
            <w:r>
              <w:rPr>
                <w:rFonts w:eastAsiaTheme="minorHAnsi"/>
                <w:iCs/>
              </w:rPr>
              <w:t>Unitário</w:t>
            </w:r>
          </w:p>
        </w:tc>
        <w:tc>
          <w:tcPr>
            <w:tcW w:w="1551" w:type="dxa"/>
            <w:vAlign w:val="center"/>
          </w:tcPr>
          <w:p w14:paraId="7E6CD964">
            <w:pPr>
              <w:keepNext/>
              <w:spacing w:before="40" w:after="40" w:line="240" w:lineRule="auto"/>
              <w:jc w:val="center"/>
              <w:rPr>
                <w:rFonts w:eastAsiaTheme="minorHAnsi"/>
                <w:iCs/>
              </w:rPr>
            </w:pPr>
            <w:r>
              <w:rPr>
                <w:rFonts w:eastAsiaTheme="minorHAnsi"/>
                <w:iCs/>
              </w:rPr>
              <w:t>Total</w:t>
            </w:r>
          </w:p>
        </w:tc>
      </w:tr>
      <w:tr w14:paraId="37DB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C09CC3A">
            <w:pPr>
              <w:keepNext/>
              <w:spacing w:before="40" w:after="40" w:line="240" w:lineRule="auto"/>
              <w:jc w:val="center"/>
              <w:rPr>
                <w:rFonts w:eastAsiaTheme="minorHAnsi"/>
                <w:i/>
                <w:color w:val="808080" w:themeColor="background1" w:themeShade="80"/>
              </w:rPr>
            </w:pPr>
          </w:p>
        </w:tc>
        <w:tc>
          <w:tcPr>
            <w:tcW w:w="3553" w:type="dxa"/>
            <w:vAlign w:val="center"/>
          </w:tcPr>
          <w:p w14:paraId="04BF2C1C">
            <w:pPr>
              <w:keepNext/>
              <w:spacing w:before="40" w:after="40" w:line="240" w:lineRule="auto"/>
              <w:rPr>
                <w:rFonts w:eastAsiaTheme="minorHAnsi"/>
                <w:i/>
                <w:color w:val="808080" w:themeColor="background1" w:themeShade="80"/>
              </w:rPr>
            </w:pPr>
          </w:p>
        </w:tc>
        <w:tc>
          <w:tcPr>
            <w:tcW w:w="1271" w:type="dxa"/>
            <w:vAlign w:val="center"/>
          </w:tcPr>
          <w:p w14:paraId="0AC6E42A">
            <w:pPr>
              <w:keepNext/>
              <w:spacing w:before="40" w:after="40" w:line="240" w:lineRule="auto"/>
              <w:jc w:val="center"/>
              <w:rPr>
                <w:rFonts w:eastAsiaTheme="minorHAnsi"/>
                <w:i/>
                <w:color w:val="808080" w:themeColor="background1" w:themeShade="80"/>
              </w:rPr>
            </w:pPr>
          </w:p>
        </w:tc>
        <w:tc>
          <w:tcPr>
            <w:tcW w:w="1132" w:type="dxa"/>
            <w:vAlign w:val="center"/>
          </w:tcPr>
          <w:p w14:paraId="64E6311C">
            <w:pPr>
              <w:keepNext/>
              <w:spacing w:before="40" w:after="40" w:line="240" w:lineRule="auto"/>
              <w:jc w:val="center"/>
              <w:rPr>
                <w:rFonts w:eastAsiaTheme="minorHAnsi"/>
                <w:i/>
                <w:color w:val="808080" w:themeColor="background1" w:themeShade="80"/>
              </w:rPr>
            </w:pPr>
          </w:p>
        </w:tc>
        <w:tc>
          <w:tcPr>
            <w:tcW w:w="1274" w:type="dxa"/>
            <w:vAlign w:val="center"/>
          </w:tcPr>
          <w:p w14:paraId="3D31B702">
            <w:pPr>
              <w:keepNext/>
              <w:spacing w:before="40" w:after="40" w:line="240" w:lineRule="auto"/>
              <w:jc w:val="center"/>
              <w:rPr>
                <w:rFonts w:eastAsiaTheme="minorHAnsi"/>
                <w:i/>
                <w:color w:val="808080" w:themeColor="background1" w:themeShade="80"/>
              </w:rPr>
            </w:pPr>
          </w:p>
        </w:tc>
        <w:tc>
          <w:tcPr>
            <w:tcW w:w="1551" w:type="dxa"/>
            <w:vAlign w:val="center"/>
          </w:tcPr>
          <w:p w14:paraId="2B1CF0B4">
            <w:pPr>
              <w:keepNext/>
              <w:spacing w:before="40" w:after="40" w:line="240" w:lineRule="auto"/>
              <w:jc w:val="center"/>
              <w:rPr>
                <w:rFonts w:eastAsiaTheme="minorHAnsi"/>
                <w:i/>
                <w:color w:val="808080" w:themeColor="background1" w:themeShade="80"/>
              </w:rPr>
            </w:pPr>
          </w:p>
        </w:tc>
      </w:tr>
      <w:tr w14:paraId="7B1E6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13" w:type="dxa"/>
            <w:gridSpan w:val="5"/>
            <w:vAlign w:val="center"/>
          </w:tcPr>
          <w:p w14:paraId="0E55DC5E">
            <w:pPr>
              <w:spacing w:before="40" w:after="40" w:line="240" w:lineRule="auto"/>
              <w:jc w:val="right"/>
              <w:rPr>
                <w:rFonts w:eastAsiaTheme="minorHAnsi"/>
                <w:iCs/>
              </w:rPr>
            </w:pPr>
            <w:r>
              <w:rPr>
                <w:rFonts w:eastAsiaTheme="minorHAnsi"/>
                <w:iCs/>
              </w:rPr>
              <w:t>Preço total geral</w:t>
            </w:r>
          </w:p>
        </w:tc>
        <w:tc>
          <w:tcPr>
            <w:tcW w:w="1551" w:type="dxa"/>
            <w:tcBorders>
              <w:right w:val="single" w:color="auto" w:sz="4" w:space="0"/>
            </w:tcBorders>
            <w:vAlign w:val="center"/>
          </w:tcPr>
          <w:p w14:paraId="085FCECD">
            <w:pPr>
              <w:spacing w:before="40" w:after="40" w:line="240" w:lineRule="auto"/>
              <w:jc w:val="center"/>
              <w:rPr>
                <w:rFonts w:eastAsiaTheme="minorHAnsi"/>
                <w:i/>
                <w:color w:val="808080" w:themeColor="background1" w:themeShade="80"/>
              </w:rPr>
            </w:pPr>
          </w:p>
        </w:tc>
      </w:tr>
    </w:tbl>
    <w:p w14:paraId="7B0D528A">
      <w:pPr>
        <w:spacing w:before="120"/>
      </w:pPr>
      <w:r>
        <w:t>Valor total geral por extenso: ..........</w:t>
      </w:r>
    </w:p>
    <w:p w14:paraId="6FB396D4">
      <w:pPr>
        <w:pStyle w:val="30"/>
        <w:numPr>
          <w:ilvl w:val="0"/>
          <w:numId w:val="9"/>
        </w:numPr>
      </w:pPr>
      <w:r>
        <w:t>CONDIÇÕES DA PROPOSTA</w:t>
      </w:r>
    </w:p>
    <w:p w14:paraId="0A71B71D">
      <w:r>
        <w:t>Validade desta proposta: 60 (sessenta) dias.</w:t>
      </w:r>
    </w:p>
    <w:p w14:paraId="56C687C8">
      <w:pPr>
        <w:spacing w:before="0"/>
      </w:pPr>
      <w:r>
        <w:t>Data: ..........</w:t>
      </w:r>
    </w:p>
    <w:p w14:paraId="5E049527">
      <w:pPr>
        <w:spacing w:before="0"/>
      </w:pPr>
    </w:p>
    <w:p w14:paraId="5FECE727">
      <w:pPr>
        <w:spacing w:before="0" w:line="240" w:lineRule="auto"/>
        <w:jc w:val="center"/>
      </w:pPr>
      <w:r>
        <w:t>Nome do fornecedor</w:t>
      </w:r>
    </w:p>
    <w:p w14:paraId="3357FC9C">
      <w:pPr>
        <w:spacing w:before="0" w:line="240" w:lineRule="auto"/>
        <w:jc w:val="center"/>
      </w:pPr>
      <w:r>
        <w:t>Nome do Responsável</w:t>
      </w:r>
    </w:p>
    <w:p w14:paraId="6C649672">
      <w:pPr>
        <w:spacing w:before="0" w:line="240" w:lineRule="auto"/>
        <w:jc w:val="center"/>
      </w:pPr>
      <w:r>
        <w:t>(assinatura)</w:t>
      </w:r>
    </w:p>
    <w:p w14:paraId="02553A4F">
      <w:pPr>
        <w:spacing w:before="0"/>
        <w:jc w:val="center"/>
        <w:rPr>
          <w:rFonts w:hint="default" w:cs="Arial"/>
          <w:b/>
          <w:bCs/>
          <w:szCs w:val="24"/>
          <w:lang w:val="pt-BR"/>
        </w:rPr>
      </w:pPr>
      <w:r>
        <w:rPr>
          <w:rFonts w:cs="Arial"/>
          <w:b/>
          <w:bCs/>
          <w:szCs w:val="24"/>
        </w:rPr>
        <w:t xml:space="preserve">EDITAL DA </w:t>
      </w:r>
      <w:sdt>
        <w:sdtPr>
          <w:rPr>
            <w:rFonts w:cs="Arial"/>
            <w:b/>
            <w:bCs/>
            <w:szCs w:val="24"/>
          </w:rPr>
          <w:alias w:val="Edital"/>
          <w:tag w:val="Edital"/>
          <w:id w:val="147461899"/>
          <w:placeholder>
            <w:docPart w:val="{58720ca8-b69a-4e86-886f-a2400e680caa}"/>
          </w:placeholder>
          <w:comboBox>
            <w:listItem w:displayText="CLIQUE PARA ESCOLHER UMA OPÇÃO" w:value="CLIQUE PARA ESCOLHER UMA OPÇÃO"/>
            <w:listItem w:displayText="LICITAÇÃO" w:value="LICITAÇÃO"/>
            <w:listItem w:displayText="DISPENSA ELETRÔNICA" w:value="DISPENSA ELETRÔNICA"/>
          </w:comboBox>
        </w:sdtPr>
        <w:sdtEndPr>
          <w:rPr>
            <w:rFonts w:cs="Arial"/>
            <w:b/>
            <w:bCs/>
            <w:szCs w:val="24"/>
          </w:rPr>
        </w:sdtEndPr>
        <w:sdtContent>
          <w:r>
            <w:rPr>
              <w:rFonts w:ascii="Arial" w:hAnsi="Arial" w:eastAsia="Calibri" w:cs="Arial"/>
              <w:b/>
              <w:bCs/>
              <w:sz w:val="24"/>
              <w:szCs w:val="24"/>
              <w:lang w:val="pt-BR" w:eastAsia="en-US" w:bidi="ar-SA"/>
            </w:rPr>
            <w:t>LICITAÇÃO</w:t>
          </w:r>
        </w:sdtContent>
      </w:sdt>
      <w:r>
        <w:rPr>
          <w:rFonts w:cs="Arial"/>
          <w:b/>
          <w:bCs/>
          <w:szCs w:val="24"/>
        </w:rPr>
        <w:t xml:space="preserve"> Nº </w:t>
      </w:r>
      <w:r>
        <w:rPr>
          <w:rFonts w:hint="default" w:cs="Arial"/>
          <w:b/>
          <w:bCs/>
          <w:szCs w:val="24"/>
          <w:highlight w:val="none"/>
          <w:lang w:val="pt-BR"/>
        </w:rPr>
        <w:t>28/2026</w:t>
      </w:r>
    </w:p>
    <w:p w14:paraId="7142448B">
      <w:pPr>
        <w:jc w:val="center"/>
        <w:rPr>
          <w:rFonts w:hint="default"/>
          <w:b/>
          <w:bCs/>
          <w:lang w:val="pt-BR"/>
        </w:rPr>
      </w:pPr>
      <w:r>
        <w:rPr>
          <w:b/>
          <w:bCs/>
        </w:rPr>
        <w:t>ANEXO II</w:t>
      </w:r>
      <w:r>
        <w:rPr>
          <w:rFonts w:hint="default"/>
          <w:b/>
          <w:bCs/>
          <w:lang w:val="pt-BR"/>
        </w:rPr>
        <w:t>I</w:t>
      </w:r>
    </w:p>
    <w:p w14:paraId="252E86D6">
      <w:pPr>
        <w:spacing w:before="120" w:line="264" w:lineRule="auto"/>
        <w:jc w:val="center"/>
        <w:rPr>
          <w:rFonts w:hint="default" w:ascii="Arial" w:hAnsi="Arial" w:cs="Arial"/>
          <w:b/>
          <w:bCs/>
          <w:sz w:val="32"/>
          <w:szCs w:val="32"/>
          <w:lang w:val="pt-BR"/>
        </w:rPr>
      </w:pPr>
      <w:r>
        <w:rPr>
          <w:rFonts w:hint="default"/>
          <w:b/>
          <w:bCs/>
          <w:lang w:val="pt-BR"/>
        </w:rPr>
        <w:t>MINUTA DE CONTRATO</w:t>
      </w:r>
    </w:p>
    <w:p w14:paraId="76280E65">
      <w:pPr>
        <w:spacing w:before="120" w:line="264" w:lineRule="auto"/>
        <w:jc w:val="center"/>
        <w:rPr>
          <w:rFonts w:ascii="Arial" w:hAnsi="Arial" w:cs="Arial"/>
          <w:b/>
          <w:bCs/>
          <w:sz w:val="32"/>
          <w:szCs w:val="32"/>
        </w:rPr>
      </w:pPr>
    </w:p>
    <w:p w14:paraId="215903C3">
      <w:pPr>
        <w:spacing w:before="120" w:line="264" w:lineRule="auto"/>
        <w:jc w:val="center"/>
        <w:rPr>
          <w:rFonts w:hint="default" w:ascii="Arial" w:hAnsi="Arial" w:cs="Arial"/>
          <w:b/>
          <w:bCs/>
          <w:sz w:val="32"/>
          <w:szCs w:val="32"/>
          <w:lang w:val="pt-BR"/>
        </w:rPr>
      </w:pPr>
      <w:r>
        <w:rPr>
          <w:rFonts w:ascii="Arial" w:hAnsi="Arial" w:cs="Arial"/>
          <w:b/>
          <w:bCs/>
          <w:sz w:val="24"/>
          <w:szCs w:val="24"/>
        </w:rPr>
        <w:t xml:space="preserve">CONTRATO Nº </w:t>
      </w:r>
      <w:r>
        <w:rPr>
          <w:rFonts w:ascii="Arial" w:hAnsi="Arial" w:cs="Arial"/>
          <w:color w:val="000000" w:themeColor="text1"/>
          <w:sz w:val="24"/>
          <w:szCs w:val="24"/>
          <w14:textFill>
            <w14:solidFill>
              <w14:schemeClr w14:val="tx1"/>
            </w14:solidFill>
          </w14:textFill>
        </w:rPr>
        <w:t>.......</w:t>
      </w:r>
      <w:r>
        <w:rPr>
          <w:rFonts w:ascii="Arial" w:hAnsi="Arial" w:cs="Arial"/>
          <w:b/>
          <w:bCs/>
          <w:sz w:val="24"/>
          <w:szCs w:val="24"/>
        </w:rPr>
        <w:t>/202</w:t>
      </w:r>
      <w:r>
        <w:rPr>
          <w:rFonts w:hint="default" w:cs="Arial"/>
          <w:b/>
          <w:bCs/>
          <w:sz w:val="24"/>
          <w:szCs w:val="24"/>
          <w:lang w:val="pt-BR"/>
        </w:rPr>
        <w:t>6</w:t>
      </w:r>
    </w:p>
    <w:p w14:paraId="4C556201">
      <w:pPr>
        <w:spacing w:before="120" w:line="264" w:lineRule="auto"/>
        <w:jc w:val="both"/>
        <w:rPr>
          <w:rFonts w:ascii="Arial" w:hAnsi="Arial" w:cs="Arial"/>
          <w:b/>
          <w:bCs/>
        </w:rPr>
      </w:pPr>
    </w:p>
    <w:p w14:paraId="5FFBEF18">
      <w:pPr>
        <w:spacing w:before="120" w:line="264" w:lineRule="auto"/>
        <w:jc w:val="both"/>
        <w:rPr>
          <w:rFonts w:ascii="Arial" w:hAnsi="Arial" w:cs="Arial"/>
        </w:rPr>
      </w:pPr>
      <w:r>
        <w:rPr>
          <w:rFonts w:ascii="Arial" w:hAnsi="Arial" w:cs="Arial"/>
        </w:rPr>
        <w:t xml:space="preserve">O </w:t>
      </w:r>
      <w:r>
        <w:rPr>
          <w:rFonts w:ascii="Arial" w:hAnsi="Arial" w:cs="Arial"/>
          <w:b/>
          <w:bCs/>
        </w:rPr>
        <w:t>MUNICÍPIO DE PARANAVAÍ</w:t>
      </w:r>
      <w:r>
        <w:rPr>
          <w:rFonts w:ascii="Arial" w:hAnsi="Arial"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ascii="Arial" w:hAnsi="Arial" w:cs="Arial"/>
          <w:b/>
          <w:bCs/>
        </w:rPr>
        <w:t>contratante</w:t>
      </w:r>
      <w:r>
        <w:rPr>
          <w:rFonts w:ascii="Arial" w:hAnsi="Arial" w:cs="Arial"/>
        </w:rPr>
        <w:t xml:space="preserve"> e a empresa ................., pessoa jurídica de direito privado, inscrita no CNPJ sob o nº ......., estabelecida à........ , na cidade de ....... – ......, CEP ........., e-mail.........., neste ato representada pelo Sr. .......(nome), inscrito no CPF ......(nº do CPF), doravante denominado </w:t>
      </w:r>
      <w:r>
        <w:rPr>
          <w:rFonts w:ascii="Arial" w:hAnsi="Arial" w:cs="Arial"/>
          <w:b/>
          <w:bCs/>
        </w:rPr>
        <w:t>contratado</w:t>
      </w:r>
      <w:r>
        <w:rPr>
          <w:rFonts w:ascii="Arial" w:hAnsi="Arial" w:cs="Arial"/>
        </w:rPr>
        <w:t xml:space="preserve"> resolvem celebrar contrato, que será regido pelas cláusulas a seguir expostas.</w:t>
      </w:r>
    </w:p>
    <w:p w14:paraId="26AABD29">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NORMAS</w:t>
      </w:r>
      <w:r>
        <w:rPr>
          <w:rFonts w:ascii="Arial" w:hAnsi="Arial" w:cs="Arial"/>
          <w:b/>
        </w:rPr>
        <w:t xml:space="preserve"> </w:t>
      </w:r>
      <w:r>
        <w:rPr>
          <w:rFonts w:ascii="Arial" w:hAnsi="Arial" w:cs="Arial"/>
          <w:b/>
          <w:bCs/>
        </w:rPr>
        <w:t>REGENTES</w:t>
      </w:r>
    </w:p>
    <w:p w14:paraId="69EBD541">
      <w:pPr>
        <w:spacing w:before="120" w:line="264" w:lineRule="auto"/>
        <w:jc w:val="both"/>
        <w:rPr>
          <w:rFonts w:ascii="Arial" w:hAnsi="Arial" w:cs="Arial"/>
        </w:rPr>
      </w:pPr>
      <w:r>
        <w:rPr>
          <w:rFonts w:ascii="Arial" w:hAnsi="Arial" w:cs="Arial"/>
        </w:rPr>
        <w:t xml:space="preserve">O presente contrato está vinculado à Licitação n° </w:t>
      </w:r>
      <w:r>
        <w:rPr>
          <w:rFonts w:hint="default" w:cs="Arial"/>
          <w:highlight w:val="none"/>
          <w:lang w:val="pt-BR"/>
        </w:rPr>
        <w:t>28/2026</w:t>
      </w:r>
      <w:r>
        <w:rPr>
          <w:rFonts w:ascii="Arial" w:hAnsi="Arial" w:cs="Arial"/>
        </w:rPr>
        <w:t xml:space="preserve"> e ao Processo Administrativo nº </w:t>
      </w:r>
      <w:r>
        <w:rPr>
          <w:rFonts w:hint="default" w:eastAsia="Times New Roman" w:cs="Arial"/>
          <w:lang w:val="en-US" w:eastAsia="pt-BR"/>
        </w:rPr>
        <w:t>78/2026</w:t>
      </w:r>
      <w:r>
        <w:rPr>
          <w:rFonts w:ascii="Arial" w:hAnsi="Arial" w:cs="Arial"/>
        </w:rPr>
        <w:t xml:space="preserve">, ao edital e à proposta apresentada pelo contratado, regendo-se por suas cláusulas e, em legislação geral, pela Lei nº 14.133/2021, pelo Decreto </w:t>
      </w:r>
      <w:r>
        <w:rPr>
          <w:rFonts w:hint="default" w:cs="Arial"/>
          <w:lang w:val="pt-BR"/>
        </w:rPr>
        <w:t>M</w:t>
      </w:r>
      <w:r>
        <w:rPr>
          <w:rFonts w:ascii="Arial" w:hAnsi="Arial" w:cs="Arial"/>
        </w:rPr>
        <w:t xml:space="preserve">unicipal nº </w:t>
      </w:r>
      <w:r>
        <w:rPr>
          <w:rFonts w:hint="default" w:cs="Arial"/>
          <w:lang w:val="pt-BR"/>
        </w:rPr>
        <w:t>24.731/2023</w:t>
      </w:r>
      <w:r>
        <w:rPr>
          <w:rFonts w:ascii="Arial" w:hAnsi="Arial" w:cs="Arial"/>
        </w:rPr>
        <w:t xml:space="preserve"> </w:t>
      </w:r>
      <w:r>
        <w:rPr>
          <w:rFonts w:ascii="Arial" w:hAnsi="Arial" w:cs="Arial"/>
          <w:highlight w:val="none"/>
        </w:rPr>
        <w:t xml:space="preserve">e pelas normas específicas: </w:t>
      </w:r>
      <w:r>
        <w:rPr>
          <w:rFonts w:hint="default" w:cs="Arial"/>
          <w:szCs w:val="24"/>
          <w:lang w:val="pt-BR"/>
        </w:rPr>
        <w:t>Lei Municipal nº 5.502/2025; e Decreto Municipal nº 27.526/2025.</w:t>
      </w:r>
    </w:p>
    <w:p w14:paraId="54A2D1D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VIGÊNCIA</w:t>
      </w:r>
    </w:p>
    <w:p w14:paraId="05582668">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vigência deste contrato será de </w:t>
      </w:r>
      <w:r>
        <w:rPr>
          <w:rFonts w:hint="default" w:cs="Arial"/>
          <w:lang w:val="pt-BR"/>
        </w:rPr>
        <w:t>03 (três) anos, a contar da assinatura do instrumento de contrato.</w:t>
      </w:r>
    </w:p>
    <w:p w14:paraId="6FC54446">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OBJETO</w:t>
      </w:r>
    </w:p>
    <w:p w14:paraId="7684A7BC">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objeto do presente contrato é </w:t>
      </w:r>
      <w:r>
        <w:rPr>
          <w:rFonts w:hint="default"/>
          <w:lang w:val="pt-BR"/>
        </w:rPr>
        <w:t>Contratação de empresa especializada na administração, gerenciamento, emissão e fornecimento do CARTÃO PVAI EDUCA na forma de cartão magnético, conforme Lei Municipal nº 5.502/2025 e Decreto Municipal nº 27.526/2025.</w:t>
      </w:r>
      <w:r>
        <w:rPr>
          <w:rFonts w:ascii="Arial" w:hAnsi="Arial" w:cs="Arial"/>
        </w:rPr>
        <w:t>, cuja especificações constam no Anexo I do edital e faz parte deste contrato.</w:t>
      </w:r>
    </w:p>
    <w:p w14:paraId="63E6217F">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REGIME E FORMA DE EXECUÇÃO</w:t>
      </w:r>
    </w:p>
    <w:p w14:paraId="4B81225C">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A forma de execução deste contrato é </w:t>
      </w:r>
      <w:r>
        <w:rPr>
          <w:rFonts w:hint="default" w:cs="Arial"/>
          <w:lang w:val="pt-BR"/>
        </w:rPr>
        <w:t>prestação de serviço imediato.</w:t>
      </w:r>
      <w:r>
        <w:rPr>
          <w:rFonts w:ascii="Arial" w:hAnsi="Arial" w:cs="Arial"/>
        </w:rPr>
        <w:t xml:space="preserve"> </w:t>
      </w:r>
    </w:p>
    <w:p w14:paraId="2147FFA9">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LOCAL E PRAZO DE ENTREGA / EXECUÇÃO</w:t>
      </w:r>
    </w:p>
    <w:p w14:paraId="302E46C7">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local e o prazo de entrega / execução, assim como outras descrições da solução e requisitos da contratação constam do Anexo I - Especificações do edital e faz parte deste contrato.</w:t>
      </w:r>
    </w:p>
    <w:p w14:paraId="6353D5FD">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Os prazos de entrega / execução serão contados da comunicação ao contratado da publicação deste contrato no Portal Nacional de Contratações Públicas.</w:t>
      </w:r>
    </w:p>
    <w:p w14:paraId="690512B4">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6F783CD2">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FONTE DE RECURSOS</w:t>
      </w:r>
    </w:p>
    <w:p w14:paraId="72C24251">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A despesa correrá por conta da(s) dotação(ões) orçamentária(s):</w:t>
      </w:r>
    </w:p>
    <w:tbl>
      <w:tblPr>
        <w:tblStyle w:val="6"/>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188"/>
        <w:gridCol w:w="650"/>
        <w:gridCol w:w="850"/>
        <w:gridCol w:w="550"/>
        <w:gridCol w:w="775"/>
        <w:gridCol w:w="537"/>
        <w:gridCol w:w="1925"/>
        <w:gridCol w:w="875"/>
        <w:gridCol w:w="850"/>
        <w:gridCol w:w="1000"/>
      </w:tblGrid>
      <w:tr w14:paraId="2172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33" w:type="dxa"/>
            <w:tcBorders>
              <w:tl2br w:val="nil"/>
              <w:tr2bl w:val="nil"/>
            </w:tcBorders>
            <w:shd w:val="clear" w:color="auto" w:fill="C0C0C0"/>
            <w:noWrap w:val="0"/>
            <w:tcMar>
              <w:top w:w="0" w:type="dxa"/>
              <w:left w:w="0" w:type="dxa"/>
              <w:bottom w:w="0" w:type="dxa"/>
              <w:right w:w="60" w:type="dxa"/>
            </w:tcMar>
            <w:vAlign w:val="top"/>
          </w:tcPr>
          <w:p w14:paraId="0B539060">
            <w:pPr>
              <w:bidi w:val="0"/>
              <w:jc w:val="center"/>
              <w:rPr>
                <w:rFonts w:ascii="Arial" w:hAnsi="Arial" w:eastAsia="Arial" w:cs="Arial"/>
                <w:b/>
                <w:bCs/>
                <w:color w:val="000000"/>
                <w:spacing w:val="0"/>
                <w:sz w:val="16"/>
                <w:szCs w:val="16"/>
              </w:rPr>
            </w:pPr>
            <w:bookmarkStart w:id="4" w:name="__bookmark_1"/>
            <w:bookmarkEnd w:id="4"/>
            <w:r>
              <w:rPr>
                <w:rFonts w:ascii="Arial" w:hAnsi="Arial" w:eastAsia="Arial" w:cs="Arial"/>
                <w:b/>
                <w:bCs/>
                <w:color w:val="000000"/>
                <w:spacing w:val="0"/>
                <w:sz w:val="16"/>
                <w:szCs w:val="16"/>
              </w:rPr>
              <w:t>Sequência</w:t>
            </w:r>
          </w:p>
        </w:tc>
        <w:tc>
          <w:tcPr>
            <w:tcW w:w="1188" w:type="dxa"/>
            <w:tcBorders>
              <w:tl2br w:val="nil"/>
              <w:tr2bl w:val="nil"/>
            </w:tcBorders>
            <w:shd w:val="clear" w:color="auto" w:fill="C0C0C0"/>
            <w:noWrap w:val="0"/>
            <w:tcMar>
              <w:top w:w="0" w:type="dxa"/>
              <w:left w:w="0" w:type="dxa"/>
              <w:bottom w:w="0" w:type="dxa"/>
              <w:right w:w="0" w:type="dxa"/>
            </w:tcMar>
            <w:vAlign w:val="top"/>
          </w:tcPr>
          <w:p w14:paraId="590B21A4">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Entidade</w:t>
            </w:r>
          </w:p>
        </w:tc>
        <w:tc>
          <w:tcPr>
            <w:tcW w:w="650" w:type="dxa"/>
            <w:tcBorders>
              <w:tl2br w:val="nil"/>
              <w:tr2bl w:val="nil"/>
            </w:tcBorders>
            <w:shd w:val="clear" w:color="auto" w:fill="C0C0C0"/>
            <w:noWrap w:val="0"/>
            <w:tcMar>
              <w:top w:w="0" w:type="dxa"/>
              <w:left w:w="0" w:type="dxa"/>
              <w:bottom w:w="0" w:type="dxa"/>
              <w:right w:w="60" w:type="dxa"/>
            </w:tcMar>
            <w:vAlign w:val="top"/>
          </w:tcPr>
          <w:p w14:paraId="2ED230CA">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Ano</w:t>
            </w:r>
          </w:p>
        </w:tc>
        <w:tc>
          <w:tcPr>
            <w:tcW w:w="850" w:type="dxa"/>
            <w:tcBorders>
              <w:tl2br w:val="nil"/>
              <w:tr2bl w:val="nil"/>
            </w:tcBorders>
            <w:shd w:val="clear" w:color="auto" w:fill="C0C0C0"/>
            <w:noWrap w:val="0"/>
            <w:tcMar>
              <w:top w:w="0" w:type="dxa"/>
              <w:left w:w="0" w:type="dxa"/>
              <w:bottom w:w="0" w:type="dxa"/>
              <w:right w:w="60" w:type="dxa"/>
            </w:tcMar>
            <w:vAlign w:val="top"/>
          </w:tcPr>
          <w:p w14:paraId="1327B827">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Dotação</w:t>
            </w:r>
          </w:p>
        </w:tc>
        <w:tc>
          <w:tcPr>
            <w:tcW w:w="550" w:type="dxa"/>
            <w:tcBorders>
              <w:tl2br w:val="nil"/>
              <w:tr2bl w:val="nil"/>
            </w:tcBorders>
            <w:shd w:val="clear" w:color="auto" w:fill="C0C0C0"/>
            <w:noWrap w:val="0"/>
            <w:tcMar>
              <w:top w:w="0" w:type="dxa"/>
              <w:left w:w="0" w:type="dxa"/>
              <w:bottom w:w="0" w:type="dxa"/>
              <w:right w:w="60" w:type="dxa"/>
            </w:tcMar>
            <w:vAlign w:val="top"/>
          </w:tcPr>
          <w:p w14:paraId="0B77D587">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Órgão</w:t>
            </w:r>
          </w:p>
        </w:tc>
        <w:tc>
          <w:tcPr>
            <w:tcW w:w="775" w:type="dxa"/>
            <w:tcBorders>
              <w:tl2br w:val="nil"/>
              <w:tr2bl w:val="nil"/>
            </w:tcBorders>
            <w:shd w:val="clear" w:color="auto" w:fill="C0C0C0"/>
            <w:noWrap w:val="0"/>
            <w:tcMar>
              <w:top w:w="0" w:type="dxa"/>
              <w:left w:w="0" w:type="dxa"/>
              <w:bottom w:w="0" w:type="dxa"/>
              <w:right w:w="60" w:type="dxa"/>
            </w:tcMar>
            <w:vAlign w:val="top"/>
          </w:tcPr>
          <w:p w14:paraId="7557D726">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Unidade</w:t>
            </w:r>
          </w:p>
        </w:tc>
        <w:tc>
          <w:tcPr>
            <w:tcW w:w="537" w:type="dxa"/>
            <w:tcBorders>
              <w:tl2br w:val="nil"/>
              <w:tr2bl w:val="nil"/>
            </w:tcBorders>
            <w:shd w:val="clear" w:color="auto" w:fill="C0C0C0"/>
            <w:noWrap w:val="0"/>
            <w:tcMar>
              <w:top w:w="0" w:type="dxa"/>
              <w:left w:w="0" w:type="dxa"/>
              <w:bottom w:w="0" w:type="dxa"/>
              <w:right w:w="60" w:type="dxa"/>
            </w:tcMar>
            <w:vAlign w:val="top"/>
          </w:tcPr>
          <w:p w14:paraId="7E4C9F75">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Ação</w:t>
            </w:r>
          </w:p>
        </w:tc>
        <w:tc>
          <w:tcPr>
            <w:tcW w:w="1925" w:type="dxa"/>
            <w:tcBorders>
              <w:tl2br w:val="nil"/>
              <w:tr2bl w:val="nil"/>
            </w:tcBorders>
            <w:shd w:val="clear" w:color="auto" w:fill="C0C0C0"/>
            <w:noWrap w:val="0"/>
            <w:tcMar>
              <w:top w:w="0" w:type="dxa"/>
              <w:left w:w="0" w:type="dxa"/>
              <w:bottom w:w="0" w:type="dxa"/>
              <w:right w:w="60" w:type="dxa"/>
            </w:tcMar>
            <w:vAlign w:val="top"/>
          </w:tcPr>
          <w:p w14:paraId="117BDABF">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Elemento - Código</w:t>
            </w:r>
          </w:p>
        </w:tc>
        <w:tc>
          <w:tcPr>
            <w:tcW w:w="875" w:type="dxa"/>
            <w:tcBorders>
              <w:tl2br w:val="nil"/>
              <w:tr2bl w:val="nil"/>
            </w:tcBorders>
            <w:shd w:val="clear" w:color="auto" w:fill="C0C0C0"/>
            <w:noWrap w:val="0"/>
            <w:tcMar>
              <w:top w:w="0" w:type="dxa"/>
              <w:left w:w="0" w:type="dxa"/>
              <w:bottom w:w="0" w:type="dxa"/>
              <w:right w:w="60" w:type="dxa"/>
            </w:tcMar>
            <w:vAlign w:val="top"/>
          </w:tcPr>
          <w:p w14:paraId="3DCB3712">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Vínculo - Código</w:t>
            </w:r>
          </w:p>
        </w:tc>
        <w:tc>
          <w:tcPr>
            <w:tcW w:w="850" w:type="dxa"/>
            <w:tcBorders>
              <w:tl2br w:val="nil"/>
              <w:tr2bl w:val="nil"/>
            </w:tcBorders>
            <w:shd w:val="clear" w:color="auto" w:fill="C0C0C0"/>
            <w:noWrap w:val="0"/>
            <w:tcMar>
              <w:top w:w="0" w:type="dxa"/>
              <w:left w:w="0" w:type="dxa"/>
              <w:bottom w:w="0" w:type="dxa"/>
              <w:right w:w="0" w:type="dxa"/>
            </w:tcMar>
            <w:vAlign w:val="top"/>
          </w:tcPr>
          <w:p w14:paraId="71F75210">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Situação</w:t>
            </w:r>
          </w:p>
        </w:tc>
        <w:tc>
          <w:tcPr>
            <w:tcW w:w="1000" w:type="dxa"/>
            <w:tcBorders>
              <w:tl2br w:val="nil"/>
              <w:tr2bl w:val="nil"/>
            </w:tcBorders>
            <w:shd w:val="clear" w:color="auto" w:fill="C0C0C0"/>
            <w:noWrap w:val="0"/>
            <w:tcMar>
              <w:top w:w="0" w:type="dxa"/>
              <w:left w:w="0" w:type="dxa"/>
              <w:bottom w:w="0" w:type="dxa"/>
              <w:right w:w="0" w:type="dxa"/>
            </w:tcMar>
            <w:vAlign w:val="top"/>
          </w:tcPr>
          <w:p w14:paraId="74E22A37">
            <w:pPr>
              <w:bidi w:val="0"/>
              <w:jc w:val="center"/>
              <w:rPr>
                <w:rFonts w:ascii="Arial" w:hAnsi="Arial" w:eastAsia="Arial" w:cs="Arial"/>
                <w:b/>
                <w:bCs/>
                <w:color w:val="000000"/>
                <w:spacing w:val="0"/>
                <w:sz w:val="16"/>
                <w:szCs w:val="16"/>
              </w:rPr>
            </w:pPr>
            <w:r>
              <w:rPr>
                <w:rFonts w:ascii="Arial" w:hAnsi="Arial" w:eastAsia="Arial" w:cs="Arial"/>
                <w:b/>
                <w:bCs/>
                <w:color w:val="000000"/>
                <w:spacing w:val="0"/>
                <w:sz w:val="16"/>
                <w:szCs w:val="16"/>
              </w:rPr>
              <w:t>Recurso Exerc. Ant.</w:t>
            </w:r>
          </w:p>
        </w:tc>
      </w:tr>
      <w:tr w14:paraId="35291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Borders>
              <w:tl2br w:val="nil"/>
              <w:tr2bl w:val="nil"/>
            </w:tcBorders>
            <w:noWrap w:val="0"/>
            <w:tcMar>
              <w:top w:w="0" w:type="dxa"/>
              <w:left w:w="0" w:type="dxa"/>
              <w:bottom w:w="0" w:type="dxa"/>
              <w:right w:w="0" w:type="dxa"/>
            </w:tcMar>
            <w:vAlign w:val="top"/>
          </w:tcPr>
          <w:p w14:paraId="7B3B846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1188" w:type="dxa"/>
            <w:tcBorders>
              <w:tl2br w:val="nil"/>
              <w:tr2bl w:val="nil"/>
            </w:tcBorders>
            <w:noWrap w:val="0"/>
            <w:tcMar>
              <w:top w:w="0" w:type="dxa"/>
              <w:left w:w="0" w:type="dxa"/>
              <w:bottom w:w="0" w:type="dxa"/>
              <w:right w:w="0" w:type="dxa"/>
            </w:tcMar>
            <w:vAlign w:val="top"/>
          </w:tcPr>
          <w:p w14:paraId="4B69DC7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650" w:type="dxa"/>
            <w:tcBorders>
              <w:tl2br w:val="nil"/>
              <w:tr2bl w:val="nil"/>
            </w:tcBorders>
            <w:noWrap w:val="0"/>
            <w:tcMar>
              <w:top w:w="0" w:type="dxa"/>
              <w:left w:w="0" w:type="dxa"/>
              <w:bottom w:w="0" w:type="dxa"/>
              <w:right w:w="0" w:type="dxa"/>
            </w:tcMar>
            <w:vAlign w:val="top"/>
          </w:tcPr>
          <w:p w14:paraId="5592596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850" w:type="dxa"/>
            <w:tcBorders>
              <w:tl2br w:val="nil"/>
              <w:tr2bl w:val="nil"/>
            </w:tcBorders>
            <w:noWrap w:val="0"/>
            <w:tcMar>
              <w:top w:w="0" w:type="dxa"/>
              <w:left w:w="0" w:type="dxa"/>
              <w:bottom w:w="0" w:type="dxa"/>
              <w:right w:w="0" w:type="dxa"/>
            </w:tcMar>
            <w:vAlign w:val="top"/>
          </w:tcPr>
          <w:p w14:paraId="58431F0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585</w:t>
            </w:r>
          </w:p>
        </w:tc>
        <w:tc>
          <w:tcPr>
            <w:tcW w:w="550" w:type="dxa"/>
            <w:tcBorders>
              <w:tl2br w:val="nil"/>
              <w:tr2bl w:val="nil"/>
            </w:tcBorders>
            <w:noWrap w:val="0"/>
            <w:tcMar>
              <w:top w:w="0" w:type="dxa"/>
              <w:left w:w="0" w:type="dxa"/>
              <w:bottom w:w="0" w:type="dxa"/>
              <w:right w:w="0" w:type="dxa"/>
            </w:tcMar>
            <w:vAlign w:val="top"/>
          </w:tcPr>
          <w:p w14:paraId="74A8666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5" w:type="dxa"/>
            <w:tcBorders>
              <w:tl2br w:val="nil"/>
              <w:tr2bl w:val="nil"/>
            </w:tcBorders>
            <w:noWrap w:val="0"/>
            <w:tcMar>
              <w:top w:w="0" w:type="dxa"/>
              <w:left w:w="0" w:type="dxa"/>
              <w:bottom w:w="0" w:type="dxa"/>
              <w:right w:w="0" w:type="dxa"/>
            </w:tcMar>
            <w:vAlign w:val="top"/>
          </w:tcPr>
          <w:p w14:paraId="10383CE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537" w:type="dxa"/>
            <w:tcBorders>
              <w:tl2br w:val="nil"/>
              <w:tr2bl w:val="nil"/>
            </w:tcBorders>
            <w:noWrap w:val="0"/>
            <w:tcMar>
              <w:top w:w="0" w:type="dxa"/>
              <w:left w:w="0" w:type="dxa"/>
              <w:bottom w:w="0" w:type="dxa"/>
              <w:right w:w="0" w:type="dxa"/>
            </w:tcMar>
            <w:vAlign w:val="top"/>
          </w:tcPr>
          <w:p w14:paraId="0DDE1BF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2440</w:t>
            </w:r>
          </w:p>
        </w:tc>
        <w:tc>
          <w:tcPr>
            <w:tcW w:w="1925" w:type="dxa"/>
            <w:tcBorders>
              <w:tl2br w:val="nil"/>
              <w:tr2bl w:val="nil"/>
            </w:tcBorders>
            <w:noWrap w:val="0"/>
            <w:tcMar>
              <w:top w:w="0" w:type="dxa"/>
              <w:left w:w="0" w:type="dxa"/>
              <w:bottom w:w="0" w:type="dxa"/>
              <w:right w:w="0" w:type="dxa"/>
            </w:tcMar>
            <w:vAlign w:val="top"/>
          </w:tcPr>
          <w:p w14:paraId="7324F3A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3339032040000000000</w:t>
            </w:r>
          </w:p>
        </w:tc>
        <w:tc>
          <w:tcPr>
            <w:tcW w:w="875" w:type="dxa"/>
            <w:tcBorders>
              <w:tl2br w:val="nil"/>
              <w:tr2bl w:val="nil"/>
            </w:tcBorders>
            <w:noWrap w:val="0"/>
            <w:tcMar>
              <w:top w:w="0" w:type="dxa"/>
              <w:left w:w="0" w:type="dxa"/>
              <w:bottom w:w="0" w:type="dxa"/>
              <w:right w:w="0" w:type="dxa"/>
            </w:tcMar>
            <w:vAlign w:val="top"/>
          </w:tcPr>
          <w:p w14:paraId="4BBA67E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102</w:t>
            </w:r>
          </w:p>
        </w:tc>
        <w:tc>
          <w:tcPr>
            <w:tcW w:w="850" w:type="dxa"/>
            <w:tcBorders>
              <w:tl2br w:val="nil"/>
              <w:tr2bl w:val="nil"/>
            </w:tcBorders>
            <w:noWrap w:val="0"/>
            <w:tcMar>
              <w:top w:w="0" w:type="dxa"/>
              <w:left w:w="0" w:type="dxa"/>
              <w:bottom w:w="0" w:type="dxa"/>
              <w:right w:w="0" w:type="dxa"/>
            </w:tcMar>
            <w:vAlign w:val="top"/>
          </w:tcPr>
          <w:p w14:paraId="4705D6D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1000" w:type="dxa"/>
            <w:tcBorders>
              <w:tl2br w:val="nil"/>
              <w:tr2bl w:val="nil"/>
            </w:tcBorders>
            <w:noWrap w:val="0"/>
            <w:tcMar>
              <w:top w:w="0" w:type="dxa"/>
              <w:left w:w="0" w:type="dxa"/>
              <w:bottom w:w="0" w:type="dxa"/>
              <w:right w:w="0" w:type="dxa"/>
            </w:tcMar>
            <w:vAlign w:val="top"/>
          </w:tcPr>
          <w:p w14:paraId="0A0BF7B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692E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Borders>
              <w:tl2br w:val="nil"/>
              <w:tr2bl w:val="nil"/>
            </w:tcBorders>
            <w:noWrap w:val="0"/>
            <w:tcMar>
              <w:top w:w="0" w:type="dxa"/>
              <w:left w:w="0" w:type="dxa"/>
              <w:bottom w:w="0" w:type="dxa"/>
              <w:right w:w="0" w:type="dxa"/>
            </w:tcMar>
            <w:vAlign w:val="top"/>
          </w:tcPr>
          <w:p w14:paraId="73F1EF2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1188" w:type="dxa"/>
            <w:tcBorders>
              <w:tl2br w:val="nil"/>
              <w:tr2bl w:val="nil"/>
            </w:tcBorders>
            <w:noWrap w:val="0"/>
            <w:tcMar>
              <w:top w:w="0" w:type="dxa"/>
              <w:left w:w="0" w:type="dxa"/>
              <w:bottom w:w="0" w:type="dxa"/>
              <w:right w:w="0" w:type="dxa"/>
            </w:tcMar>
            <w:vAlign w:val="top"/>
          </w:tcPr>
          <w:p w14:paraId="7C36E5B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650" w:type="dxa"/>
            <w:tcBorders>
              <w:tl2br w:val="nil"/>
              <w:tr2bl w:val="nil"/>
            </w:tcBorders>
            <w:noWrap w:val="0"/>
            <w:tcMar>
              <w:top w:w="0" w:type="dxa"/>
              <w:left w:w="0" w:type="dxa"/>
              <w:bottom w:w="0" w:type="dxa"/>
              <w:right w:w="0" w:type="dxa"/>
            </w:tcMar>
            <w:vAlign w:val="top"/>
          </w:tcPr>
          <w:p w14:paraId="47DD6B6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850" w:type="dxa"/>
            <w:tcBorders>
              <w:tl2br w:val="nil"/>
              <w:tr2bl w:val="nil"/>
            </w:tcBorders>
            <w:noWrap w:val="0"/>
            <w:tcMar>
              <w:top w:w="0" w:type="dxa"/>
              <w:left w:w="0" w:type="dxa"/>
              <w:bottom w:w="0" w:type="dxa"/>
              <w:right w:w="0" w:type="dxa"/>
            </w:tcMar>
            <w:vAlign w:val="top"/>
          </w:tcPr>
          <w:p w14:paraId="2A66200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716</w:t>
            </w:r>
          </w:p>
        </w:tc>
        <w:tc>
          <w:tcPr>
            <w:tcW w:w="550" w:type="dxa"/>
            <w:tcBorders>
              <w:tl2br w:val="nil"/>
              <w:tr2bl w:val="nil"/>
            </w:tcBorders>
            <w:noWrap w:val="0"/>
            <w:tcMar>
              <w:top w:w="0" w:type="dxa"/>
              <w:left w:w="0" w:type="dxa"/>
              <w:bottom w:w="0" w:type="dxa"/>
              <w:right w:w="0" w:type="dxa"/>
            </w:tcMar>
            <w:vAlign w:val="top"/>
          </w:tcPr>
          <w:p w14:paraId="3ACDD4F6">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5" w:type="dxa"/>
            <w:tcBorders>
              <w:tl2br w:val="nil"/>
              <w:tr2bl w:val="nil"/>
            </w:tcBorders>
            <w:noWrap w:val="0"/>
            <w:tcMar>
              <w:top w:w="0" w:type="dxa"/>
              <w:left w:w="0" w:type="dxa"/>
              <w:bottom w:w="0" w:type="dxa"/>
              <w:right w:w="0" w:type="dxa"/>
            </w:tcMar>
            <w:vAlign w:val="top"/>
          </w:tcPr>
          <w:p w14:paraId="2314BF8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w:t>
            </w:r>
          </w:p>
        </w:tc>
        <w:tc>
          <w:tcPr>
            <w:tcW w:w="537" w:type="dxa"/>
            <w:tcBorders>
              <w:tl2br w:val="nil"/>
              <w:tr2bl w:val="nil"/>
            </w:tcBorders>
            <w:noWrap w:val="0"/>
            <w:tcMar>
              <w:top w:w="0" w:type="dxa"/>
              <w:left w:w="0" w:type="dxa"/>
              <w:bottom w:w="0" w:type="dxa"/>
              <w:right w:w="0" w:type="dxa"/>
            </w:tcMar>
            <w:vAlign w:val="top"/>
          </w:tcPr>
          <w:p w14:paraId="5EDA773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2450</w:t>
            </w:r>
          </w:p>
        </w:tc>
        <w:tc>
          <w:tcPr>
            <w:tcW w:w="1925" w:type="dxa"/>
            <w:tcBorders>
              <w:tl2br w:val="nil"/>
              <w:tr2bl w:val="nil"/>
            </w:tcBorders>
            <w:noWrap w:val="0"/>
            <w:tcMar>
              <w:top w:w="0" w:type="dxa"/>
              <w:left w:w="0" w:type="dxa"/>
              <w:bottom w:w="0" w:type="dxa"/>
              <w:right w:w="0" w:type="dxa"/>
            </w:tcMar>
            <w:vAlign w:val="top"/>
          </w:tcPr>
          <w:p w14:paraId="2B11F66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3339032040000000000</w:t>
            </w:r>
          </w:p>
        </w:tc>
        <w:tc>
          <w:tcPr>
            <w:tcW w:w="875" w:type="dxa"/>
            <w:tcBorders>
              <w:tl2br w:val="nil"/>
              <w:tr2bl w:val="nil"/>
            </w:tcBorders>
            <w:noWrap w:val="0"/>
            <w:tcMar>
              <w:top w:w="0" w:type="dxa"/>
              <w:left w:w="0" w:type="dxa"/>
              <w:bottom w:w="0" w:type="dxa"/>
              <w:right w:w="0" w:type="dxa"/>
            </w:tcMar>
            <w:vAlign w:val="top"/>
          </w:tcPr>
          <w:p w14:paraId="11BD145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104</w:t>
            </w:r>
          </w:p>
        </w:tc>
        <w:tc>
          <w:tcPr>
            <w:tcW w:w="850" w:type="dxa"/>
            <w:tcBorders>
              <w:tl2br w:val="nil"/>
              <w:tr2bl w:val="nil"/>
            </w:tcBorders>
            <w:noWrap w:val="0"/>
            <w:tcMar>
              <w:top w:w="0" w:type="dxa"/>
              <w:left w:w="0" w:type="dxa"/>
              <w:bottom w:w="0" w:type="dxa"/>
              <w:right w:w="0" w:type="dxa"/>
            </w:tcMar>
            <w:vAlign w:val="top"/>
          </w:tcPr>
          <w:p w14:paraId="413482B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1000" w:type="dxa"/>
            <w:tcBorders>
              <w:tl2br w:val="nil"/>
              <w:tr2bl w:val="nil"/>
            </w:tcBorders>
            <w:noWrap w:val="0"/>
            <w:tcMar>
              <w:top w:w="0" w:type="dxa"/>
              <w:left w:w="0" w:type="dxa"/>
              <w:bottom w:w="0" w:type="dxa"/>
              <w:right w:w="0" w:type="dxa"/>
            </w:tcMar>
            <w:vAlign w:val="top"/>
          </w:tcPr>
          <w:p w14:paraId="0CAAEB1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1D54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Borders>
              <w:tl2br w:val="nil"/>
              <w:tr2bl w:val="nil"/>
            </w:tcBorders>
            <w:noWrap w:val="0"/>
            <w:tcMar>
              <w:top w:w="0" w:type="dxa"/>
              <w:left w:w="0" w:type="dxa"/>
              <w:bottom w:w="0" w:type="dxa"/>
              <w:right w:w="0" w:type="dxa"/>
            </w:tcMar>
            <w:vAlign w:val="top"/>
          </w:tcPr>
          <w:p w14:paraId="6437DC0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1188" w:type="dxa"/>
            <w:tcBorders>
              <w:tl2br w:val="nil"/>
              <w:tr2bl w:val="nil"/>
            </w:tcBorders>
            <w:noWrap w:val="0"/>
            <w:tcMar>
              <w:top w:w="0" w:type="dxa"/>
              <w:left w:w="0" w:type="dxa"/>
              <w:bottom w:w="0" w:type="dxa"/>
              <w:right w:w="0" w:type="dxa"/>
            </w:tcMar>
            <w:vAlign w:val="top"/>
          </w:tcPr>
          <w:p w14:paraId="03F4A35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650" w:type="dxa"/>
            <w:tcBorders>
              <w:tl2br w:val="nil"/>
              <w:tr2bl w:val="nil"/>
            </w:tcBorders>
            <w:noWrap w:val="0"/>
            <w:tcMar>
              <w:top w:w="0" w:type="dxa"/>
              <w:left w:w="0" w:type="dxa"/>
              <w:bottom w:w="0" w:type="dxa"/>
              <w:right w:w="0" w:type="dxa"/>
            </w:tcMar>
            <w:vAlign w:val="top"/>
          </w:tcPr>
          <w:p w14:paraId="278F1AC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850" w:type="dxa"/>
            <w:tcBorders>
              <w:tl2br w:val="nil"/>
              <w:tr2bl w:val="nil"/>
            </w:tcBorders>
            <w:noWrap w:val="0"/>
            <w:tcMar>
              <w:top w:w="0" w:type="dxa"/>
              <w:left w:w="0" w:type="dxa"/>
              <w:bottom w:w="0" w:type="dxa"/>
              <w:right w:w="0" w:type="dxa"/>
            </w:tcMar>
            <w:vAlign w:val="top"/>
          </w:tcPr>
          <w:p w14:paraId="530145C3">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828</w:t>
            </w:r>
          </w:p>
        </w:tc>
        <w:tc>
          <w:tcPr>
            <w:tcW w:w="550" w:type="dxa"/>
            <w:tcBorders>
              <w:tl2br w:val="nil"/>
              <w:tr2bl w:val="nil"/>
            </w:tcBorders>
            <w:noWrap w:val="0"/>
            <w:tcMar>
              <w:top w:w="0" w:type="dxa"/>
              <w:left w:w="0" w:type="dxa"/>
              <w:bottom w:w="0" w:type="dxa"/>
              <w:right w:w="0" w:type="dxa"/>
            </w:tcMar>
            <w:vAlign w:val="top"/>
          </w:tcPr>
          <w:p w14:paraId="2392084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5" w:type="dxa"/>
            <w:tcBorders>
              <w:tl2br w:val="nil"/>
              <w:tr2bl w:val="nil"/>
            </w:tcBorders>
            <w:noWrap w:val="0"/>
            <w:tcMar>
              <w:top w:w="0" w:type="dxa"/>
              <w:left w:w="0" w:type="dxa"/>
              <w:bottom w:w="0" w:type="dxa"/>
              <w:right w:w="0" w:type="dxa"/>
            </w:tcMar>
            <w:vAlign w:val="top"/>
          </w:tcPr>
          <w:p w14:paraId="7826009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w:t>
            </w:r>
          </w:p>
        </w:tc>
        <w:tc>
          <w:tcPr>
            <w:tcW w:w="537" w:type="dxa"/>
            <w:tcBorders>
              <w:tl2br w:val="nil"/>
              <w:tr2bl w:val="nil"/>
            </w:tcBorders>
            <w:noWrap w:val="0"/>
            <w:tcMar>
              <w:top w:w="0" w:type="dxa"/>
              <w:left w:w="0" w:type="dxa"/>
              <w:bottom w:w="0" w:type="dxa"/>
              <w:right w:w="0" w:type="dxa"/>
            </w:tcMar>
            <w:vAlign w:val="top"/>
          </w:tcPr>
          <w:p w14:paraId="6BCF418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2520</w:t>
            </w:r>
          </w:p>
        </w:tc>
        <w:tc>
          <w:tcPr>
            <w:tcW w:w="1925" w:type="dxa"/>
            <w:tcBorders>
              <w:tl2br w:val="nil"/>
              <w:tr2bl w:val="nil"/>
            </w:tcBorders>
            <w:noWrap w:val="0"/>
            <w:tcMar>
              <w:top w:w="0" w:type="dxa"/>
              <w:left w:w="0" w:type="dxa"/>
              <w:bottom w:w="0" w:type="dxa"/>
              <w:right w:w="0" w:type="dxa"/>
            </w:tcMar>
            <w:vAlign w:val="top"/>
          </w:tcPr>
          <w:p w14:paraId="7F447A54">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3339032060000000000</w:t>
            </w:r>
          </w:p>
        </w:tc>
        <w:tc>
          <w:tcPr>
            <w:tcW w:w="875" w:type="dxa"/>
            <w:tcBorders>
              <w:tl2br w:val="nil"/>
              <w:tr2bl w:val="nil"/>
            </w:tcBorders>
            <w:noWrap w:val="0"/>
            <w:tcMar>
              <w:top w:w="0" w:type="dxa"/>
              <w:left w:w="0" w:type="dxa"/>
              <w:bottom w:w="0" w:type="dxa"/>
              <w:right w:w="0" w:type="dxa"/>
            </w:tcMar>
            <w:vAlign w:val="top"/>
          </w:tcPr>
          <w:p w14:paraId="4AE887FA">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107</w:t>
            </w:r>
          </w:p>
        </w:tc>
        <w:tc>
          <w:tcPr>
            <w:tcW w:w="850" w:type="dxa"/>
            <w:tcBorders>
              <w:tl2br w:val="nil"/>
              <w:tr2bl w:val="nil"/>
            </w:tcBorders>
            <w:noWrap w:val="0"/>
            <w:tcMar>
              <w:top w:w="0" w:type="dxa"/>
              <w:left w:w="0" w:type="dxa"/>
              <w:bottom w:w="0" w:type="dxa"/>
              <w:right w:w="0" w:type="dxa"/>
            </w:tcMar>
            <w:vAlign w:val="top"/>
          </w:tcPr>
          <w:p w14:paraId="0485B901">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1000" w:type="dxa"/>
            <w:tcBorders>
              <w:tl2br w:val="nil"/>
              <w:tr2bl w:val="nil"/>
            </w:tcBorders>
            <w:noWrap w:val="0"/>
            <w:tcMar>
              <w:top w:w="0" w:type="dxa"/>
              <w:left w:w="0" w:type="dxa"/>
              <w:bottom w:w="0" w:type="dxa"/>
              <w:right w:w="0" w:type="dxa"/>
            </w:tcMar>
            <w:vAlign w:val="top"/>
          </w:tcPr>
          <w:p w14:paraId="330DBBFE">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r w14:paraId="2DDE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3" w:type="dxa"/>
            <w:tcBorders>
              <w:tl2br w:val="nil"/>
              <w:tr2bl w:val="nil"/>
            </w:tcBorders>
            <w:noWrap w:val="0"/>
            <w:tcMar>
              <w:top w:w="0" w:type="dxa"/>
              <w:left w:w="0" w:type="dxa"/>
              <w:bottom w:w="0" w:type="dxa"/>
              <w:right w:w="0" w:type="dxa"/>
            </w:tcMar>
            <w:vAlign w:val="top"/>
          </w:tcPr>
          <w:p w14:paraId="669C2A2D">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4</w:t>
            </w:r>
          </w:p>
        </w:tc>
        <w:tc>
          <w:tcPr>
            <w:tcW w:w="1188" w:type="dxa"/>
            <w:tcBorders>
              <w:tl2br w:val="nil"/>
              <w:tr2bl w:val="nil"/>
            </w:tcBorders>
            <w:noWrap w:val="0"/>
            <w:tcMar>
              <w:top w:w="0" w:type="dxa"/>
              <w:left w:w="0" w:type="dxa"/>
              <w:bottom w:w="0" w:type="dxa"/>
              <w:right w:w="0" w:type="dxa"/>
            </w:tcMar>
            <w:vAlign w:val="top"/>
          </w:tcPr>
          <w:p w14:paraId="2E9DE44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MUNICÍPIO DE PARANAVAÍ</w:t>
            </w:r>
          </w:p>
        </w:tc>
        <w:tc>
          <w:tcPr>
            <w:tcW w:w="650" w:type="dxa"/>
            <w:tcBorders>
              <w:tl2br w:val="nil"/>
              <w:tr2bl w:val="nil"/>
            </w:tcBorders>
            <w:noWrap w:val="0"/>
            <w:tcMar>
              <w:top w:w="0" w:type="dxa"/>
              <w:left w:w="0" w:type="dxa"/>
              <w:bottom w:w="0" w:type="dxa"/>
              <w:right w:w="0" w:type="dxa"/>
            </w:tcMar>
            <w:vAlign w:val="top"/>
          </w:tcPr>
          <w:p w14:paraId="7048B8F8">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850" w:type="dxa"/>
            <w:tcBorders>
              <w:tl2br w:val="nil"/>
              <w:tr2bl w:val="nil"/>
            </w:tcBorders>
            <w:noWrap w:val="0"/>
            <w:tcMar>
              <w:top w:w="0" w:type="dxa"/>
              <w:left w:w="0" w:type="dxa"/>
              <w:bottom w:w="0" w:type="dxa"/>
              <w:right w:w="0" w:type="dxa"/>
            </w:tcMar>
            <w:vAlign w:val="top"/>
          </w:tcPr>
          <w:p w14:paraId="5B607A10">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2026</w:t>
            </w:r>
          </w:p>
        </w:tc>
        <w:tc>
          <w:tcPr>
            <w:tcW w:w="550" w:type="dxa"/>
            <w:tcBorders>
              <w:tl2br w:val="nil"/>
              <w:tr2bl w:val="nil"/>
            </w:tcBorders>
            <w:noWrap w:val="0"/>
            <w:tcMar>
              <w:top w:w="0" w:type="dxa"/>
              <w:left w:w="0" w:type="dxa"/>
              <w:bottom w:w="0" w:type="dxa"/>
              <w:right w:w="0" w:type="dxa"/>
            </w:tcMar>
            <w:vAlign w:val="top"/>
          </w:tcPr>
          <w:p w14:paraId="2D46A739">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6</w:t>
            </w:r>
          </w:p>
        </w:tc>
        <w:tc>
          <w:tcPr>
            <w:tcW w:w="775" w:type="dxa"/>
            <w:tcBorders>
              <w:tl2br w:val="nil"/>
              <w:tr2bl w:val="nil"/>
            </w:tcBorders>
            <w:noWrap w:val="0"/>
            <w:tcMar>
              <w:top w:w="0" w:type="dxa"/>
              <w:left w:w="0" w:type="dxa"/>
              <w:bottom w:w="0" w:type="dxa"/>
              <w:right w:w="0" w:type="dxa"/>
            </w:tcMar>
            <w:vAlign w:val="top"/>
          </w:tcPr>
          <w:p w14:paraId="769360BB">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w:t>
            </w:r>
          </w:p>
        </w:tc>
        <w:tc>
          <w:tcPr>
            <w:tcW w:w="537" w:type="dxa"/>
            <w:tcBorders>
              <w:tl2br w:val="nil"/>
              <w:tr2bl w:val="nil"/>
            </w:tcBorders>
            <w:noWrap w:val="0"/>
            <w:tcMar>
              <w:top w:w="0" w:type="dxa"/>
              <w:left w:w="0" w:type="dxa"/>
              <w:bottom w:w="0" w:type="dxa"/>
              <w:right w:w="0" w:type="dxa"/>
            </w:tcMar>
            <w:vAlign w:val="top"/>
          </w:tcPr>
          <w:p w14:paraId="5907AAD7">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2440</w:t>
            </w:r>
          </w:p>
        </w:tc>
        <w:tc>
          <w:tcPr>
            <w:tcW w:w="1925" w:type="dxa"/>
            <w:tcBorders>
              <w:tl2br w:val="nil"/>
              <w:tr2bl w:val="nil"/>
            </w:tcBorders>
            <w:noWrap w:val="0"/>
            <w:tcMar>
              <w:top w:w="0" w:type="dxa"/>
              <w:left w:w="0" w:type="dxa"/>
              <w:bottom w:w="0" w:type="dxa"/>
              <w:right w:w="0" w:type="dxa"/>
            </w:tcMar>
            <w:vAlign w:val="top"/>
          </w:tcPr>
          <w:p w14:paraId="29F1294F">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3339032040000000000</w:t>
            </w:r>
          </w:p>
        </w:tc>
        <w:tc>
          <w:tcPr>
            <w:tcW w:w="875" w:type="dxa"/>
            <w:tcBorders>
              <w:tl2br w:val="nil"/>
              <w:tr2bl w:val="nil"/>
            </w:tcBorders>
            <w:noWrap w:val="0"/>
            <w:tcMar>
              <w:top w:w="0" w:type="dxa"/>
              <w:left w:w="0" w:type="dxa"/>
              <w:bottom w:w="0" w:type="dxa"/>
              <w:right w:w="0" w:type="dxa"/>
            </w:tcMar>
            <w:vAlign w:val="top"/>
          </w:tcPr>
          <w:p w14:paraId="0DA1E76C">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1040</w:t>
            </w:r>
          </w:p>
        </w:tc>
        <w:tc>
          <w:tcPr>
            <w:tcW w:w="850" w:type="dxa"/>
            <w:tcBorders>
              <w:tl2br w:val="nil"/>
              <w:tr2bl w:val="nil"/>
            </w:tcBorders>
            <w:noWrap w:val="0"/>
            <w:tcMar>
              <w:top w:w="0" w:type="dxa"/>
              <w:left w:w="0" w:type="dxa"/>
              <w:bottom w:w="0" w:type="dxa"/>
              <w:right w:w="0" w:type="dxa"/>
            </w:tcMar>
            <w:vAlign w:val="top"/>
          </w:tcPr>
          <w:p w14:paraId="41CE7D82">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Ativo</w:t>
            </w:r>
          </w:p>
        </w:tc>
        <w:tc>
          <w:tcPr>
            <w:tcW w:w="1000" w:type="dxa"/>
            <w:tcBorders>
              <w:tl2br w:val="nil"/>
              <w:tr2bl w:val="nil"/>
            </w:tcBorders>
            <w:noWrap w:val="0"/>
            <w:tcMar>
              <w:top w:w="0" w:type="dxa"/>
              <w:left w:w="0" w:type="dxa"/>
              <w:bottom w:w="0" w:type="dxa"/>
              <w:right w:w="0" w:type="dxa"/>
            </w:tcMar>
            <w:vAlign w:val="top"/>
          </w:tcPr>
          <w:p w14:paraId="66CD0175">
            <w:pPr>
              <w:bidi w:val="0"/>
              <w:jc w:val="center"/>
              <w:rPr>
                <w:rFonts w:ascii="Arial" w:hAnsi="Arial" w:eastAsia="Arial" w:cs="Arial"/>
                <w:color w:val="000000"/>
                <w:spacing w:val="0"/>
                <w:sz w:val="16"/>
                <w:szCs w:val="16"/>
              </w:rPr>
            </w:pPr>
            <w:r>
              <w:rPr>
                <w:rFonts w:ascii="Arial" w:hAnsi="Arial" w:eastAsia="Arial" w:cs="Arial"/>
                <w:color w:val="000000"/>
                <w:spacing w:val="0"/>
                <w:sz w:val="16"/>
                <w:szCs w:val="16"/>
              </w:rPr>
              <w:t>Não</w:t>
            </w:r>
          </w:p>
        </w:tc>
      </w:tr>
    </w:tbl>
    <w:p w14:paraId="26428E1B">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rPr>
        <w:t>VALOR A SER PAGO PELO OBJETO</w:t>
      </w:r>
    </w:p>
    <w:p w14:paraId="0711E9F1">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Pelo objeto deste contrato, o contratante pagará ao contratado o valor de R$ ......, incluídos os tributos incidentes sobre a transação, fretes e demais despesas para a execução do contrato, não cabendo ao contratante nenhum outro ônus.</w:t>
      </w:r>
    </w:p>
    <w:p w14:paraId="5C4D4A3C">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As quantidades e preços unitários estão indicadas na proposta ajustada do contratado, que faz parte deste contrato.</w:t>
      </w:r>
    </w:p>
    <w:p w14:paraId="35CF5851">
      <w:pPr>
        <w:pStyle w:val="25"/>
        <w:keepNext/>
        <w:numPr>
          <w:ilvl w:val="0"/>
          <w:numId w:val="2"/>
        </w:numPr>
        <w:pBdr>
          <w:bottom w:val="thinThickMediumGap" w:color="auto" w:sz="18" w:space="1"/>
        </w:pBdr>
        <w:spacing w:before="360" w:line="264" w:lineRule="auto"/>
        <w:ind w:left="357" w:hanging="357"/>
        <w:contextualSpacing w:val="0"/>
        <w:jc w:val="both"/>
        <w:rPr>
          <w:rFonts w:ascii="Arial" w:hAnsi="Arial" w:cs="Arial"/>
          <w:b/>
          <w:highlight w:val="none"/>
        </w:rPr>
      </w:pPr>
      <w:r>
        <w:rPr>
          <w:rFonts w:ascii="Arial" w:hAnsi="Arial" w:cs="Arial"/>
          <w:b/>
          <w:highlight w:val="none"/>
        </w:rPr>
        <w:t>GARANTIA CONTRATUAL</w:t>
      </w:r>
      <w:r>
        <w:rPr>
          <w:rFonts w:ascii="Arial" w:hAnsi="Arial" w:cs="Arial"/>
          <w:bCs/>
          <w:highlight w:val="none"/>
        </w:rPr>
        <w:t xml:space="preserve">   </w:t>
      </w:r>
    </w:p>
    <w:p w14:paraId="6E7BF530">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O contratado prestou a garantia financeira do contrato no valor de R$ ..........</w:t>
      </w:r>
    </w:p>
    <w:p w14:paraId="247A2382">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A garantia de execução será devolvida após o recebimento definitivo, em até 5 (cinco) dias úteis, e será atualizada monetariamente, quando fornecida em dinheiro. </w:t>
      </w:r>
    </w:p>
    <w:p w14:paraId="2613D638">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Nos casos de aditivo ou prorrogação contratual, a garantia deverá ser complementada para garantir a manutenção do percentual inicialmente exigido.</w:t>
      </w:r>
    </w:p>
    <w:p w14:paraId="41AC16EE">
      <w:pPr>
        <w:pStyle w:val="25"/>
        <w:keepNext/>
        <w:numPr>
          <w:ilvl w:val="0"/>
          <w:numId w:val="2"/>
        </w:numPr>
        <w:pBdr>
          <w:bottom w:val="thinThickMediumGap" w:color="auto" w:sz="24" w:space="1"/>
        </w:pBdr>
        <w:tabs>
          <w:tab w:val="left" w:pos="2127"/>
        </w:tabs>
        <w:spacing w:before="360" w:line="264" w:lineRule="auto"/>
        <w:ind w:left="0" w:firstLine="0"/>
        <w:contextualSpacing w:val="0"/>
        <w:jc w:val="both"/>
        <w:rPr>
          <w:rFonts w:ascii="Arial" w:hAnsi="Arial" w:cs="Arial"/>
          <w:b/>
        </w:rPr>
      </w:pPr>
      <w:r>
        <w:rPr>
          <w:rFonts w:ascii="Arial" w:hAnsi="Arial" w:cs="Arial"/>
          <w:b/>
          <w:bCs/>
        </w:rPr>
        <w:t xml:space="preserve">CONDIÇÕES </w:t>
      </w:r>
      <w:r>
        <w:rPr>
          <w:rFonts w:ascii="Arial" w:hAnsi="Arial" w:cs="Arial"/>
          <w:b/>
        </w:rPr>
        <w:t>DE PAGAMENTO</w:t>
      </w:r>
    </w:p>
    <w:p w14:paraId="7D06F66E">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pagamento ocorrerá em até </w:t>
      </w:r>
      <w:bookmarkStart w:id="5" w:name="_Hlk115723225"/>
      <w:r>
        <w:rPr>
          <w:rFonts w:hint="default" w:cs="Arial"/>
          <w:lang w:val="pt-BR"/>
        </w:rPr>
        <w:t>30 (trinta)</w:t>
      </w:r>
      <w:r>
        <w:rPr>
          <w:rFonts w:ascii="Arial" w:hAnsi="Arial" w:cs="Arial"/>
        </w:rPr>
        <w:t xml:space="preserve"> </w:t>
      </w:r>
      <w:bookmarkEnd w:id="5"/>
      <w:r>
        <w:rPr>
          <w:rFonts w:ascii="Arial" w:hAnsi="Arial" w:cs="Arial"/>
        </w:rPr>
        <w:t>dias, contados da data de entrega do objeto</w:t>
      </w:r>
      <w:r>
        <w:rPr>
          <w:rFonts w:hint="default" w:cs="Arial"/>
          <w:lang w:val="pt-BR"/>
        </w:rPr>
        <w:t xml:space="preserve"> pela Contratada.</w:t>
      </w:r>
    </w:p>
    <w:p w14:paraId="6E36B1C9">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highlight w:val="none"/>
        </w:rPr>
        <w:t>As partes pactuam a adoção do regime de conta vinculada.</w:t>
      </w:r>
      <w:r>
        <w:rPr>
          <w:rFonts w:ascii="Arial" w:hAnsi="Arial" w:cs="Arial"/>
        </w:rPr>
        <w:t xml:space="preserve">  </w:t>
      </w:r>
    </w:p>
    <w:p w14:paraId="3A2E6C12">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O prazo de pagamento será suspenso nos casos de descumprimento total da obrigação contratual.</w:t>
      </w:r>
    </w:p>
    <w:p w14:paraId="21F4B26D">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Nos casos de descumprimento parcial da obrigação contratual será realizado o pagamento relativo à parcela incontroversa.</w:t>
      </w:r>
    </w:p>
    <w:p w14:paraId="1B0D7D77">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6F92F90C">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 nota fiscal que for apresentada com erro será devolvida ao contratado, para retificação ou substituição, sendo que os trâmites para o pagamento se reiniciarão a partir da data de sua reapresentação.</w:t>
      </w:r>
    </w:p>
    <w:p w14:paraId="46DA1292">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Nos casos de multas aplicadas ao contratado, os valores serão descontados dos pagamentos seguintes, desde que tenha ocorrido o julgamento do recurso no processo administrativo.</w:t>
      </w:r>
    </w:p>
    <w:p w14:paraId="65548D36">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O fiscal do contrato comunicará previamente ao contratado a ocorrência de eventual atraso no pagamento, indicando os motivos e a perspectiva de regularização, com a data provável de pagamento, quando possível. </w:t>
      </w:r>
    </w:p>
    <w:p w14:paraId="1B062A99">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 xml:space="preserve"> </w:t>
      </w:r>
      <w:r>
        <w:rPr>
          <w:rFonts w:hint="default" w:ascii="Arial" w:hAnsi="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006786F6">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ascii="Arial" w:hAnsi="Arial" w:cs="Arial"/>
        </w:rPr>
        <w:t>Caso ainda não estejam disponíveis os valores dos índices necessários, serão considerados os últimos índices disponíveis que correspondam ao mesmo período desejado.</w:t>
      </w:r>
    </w:p>
    <w:p w14:paraId="2C9DD19B">
      <w:pPr>
        <w:pStyle w:val="25"/>
        <w:numPr>
          <w:ilvl w:val="1"/>
          <w:numId w:val="2"/>
        </w:numPr>
        <w:tabs>
          <w:tab w:val="left" w:pos="567"/>
          <w:tab w:val="left" w:pos="1843"/>
        </w:tabs>
        <w:spacing w:before="120" w:line="264" w:lineRule="auto"/>
        <w:ind w:left="0" w:firstLine="0"/>
        <w:contextualSpacing w:val="0"/>
        <w:jc w:val="both"/>
        <w:rPr>
          <w:rFonts w:ascii="Arial" w:hAnsi="Arial" w:cs="Arial"/>
        </w:rPr>
      </w:pPr>
      <w:r>
        <w:rPr>
          <w:rFonts w:hint="default" w:ascii="Arial" w:hAnsi="Arial"/>
        </w:rPr>
        <w:t>A empresa vencedora poderá ter acesso às informações relacionadas ao pagamento no Autoatendimento do Portal do Cidadão, mediante login via sistema, acessando o link: https://paranavai.atende.net/autoatendimento.</w:t>
      </w:r>
    </w:p>
    <w:p w14:paraId="5089901F">
      <w:pPr>
        <w:pStyle w:val="53"/>
      </w:pPr>
      <w:r>
        <w:rPr>
          <w:highlight w:val="none"/>
        </w:rPr>
        <w:t>REAJUSTAMENTO DO PREÇO</w:t>
      </w:r>
      <w:r>
        <w:t xml:space="preserve">  </w:t>
      </w:r>
    </w:p>
    <w:p w14:paraId="58796C48">
      <w:pPr>
        <w:pStyle w:val="54"/>
        <w:rPr>
          <w:highlight w:val="none"/>
        </w:rPr>
      </w:pPr>
      <w:r>
        <w:rPr>
          <w:highlight w:val="none"/>
        </w:rPr>
        <w:t xml:space="preserve">O preço será reajustado, de ofício, pelo contratante, conforme variação do </w:t>
      </w:r>
      <w:r>
        <w:rPr>
          <w:rFonts w:hint="default"/>
          <w:highlight w:val="none"/>
          <w:lang w:val="pt-BR"/>
        </w:rPr>
        <w:t>IPCA (IBGE)</w:t>
      </w:r>
      <w:r>
        <w:rPr>
          <w:highlight w:val="none"/>
        </w:rPr>
        <w:t xml:space="preserve">, após 12 (doze) meses contados de </w:t>
      </w:r>
      <w:r>
        <w:rPr>
          <w:rFonts w:hint="default"/>
          <w:highlight w:val="none"/>
          <w:lang w:val="pt-BR"/>
        </w:rPr>
        <w:t>23 de setembro de 2025</w:t>
      </w:r>
      <w:r>
        <w:rPr>
          <w:highlight w:val="none"/>
        </w:rPr>
        <w:t>, sobre o valor correspondente às parcelas do objeto cujo pagamento ainda não tenha sido realizado, devendo se dar na primeira medição realizada após o decurso do prazo de 12 (doze) meses.</w:t>
      </w:r>
    </w:p>
    <w:p w14:paraId="4544625C">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ainda não estejam disponíveis os valores dos índices necessários, serão considerados os últimos índices já disponíveis que correspondam ao mesmo período desejado.</w:t>
      </w:r>
    </w:p>
    <w:p w14:paraId="62606346">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O reajuste de valores, correspondentes às parcelas do objeto entregues ou prestadas após o prazo original, será concedido apenas quando não configurado atraso.</w:t>
      </w:r>
    </w:p>
    <w:p w14:paraId="2DF87676">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A formalização do reajuste será realizada por apostilamento contratual. </w:t>
      </w:r>
    </w:p>
    <w:p w14:paraId="3080C705">
      <w:pPr>
        <w:pStyle w:val="25"/>
        <w:numPr>
          <w:ilvl w:val="1"/>
          <w:numId w:val="2"/>
        </w:numPr>
        <w:tabs>
          <w:tab w:val="left" w:pos="567"/>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3005C0D7">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hint="default" w:cs="Arial"/>
          <w:b/>
          <w:bCs/>
          <w:lang w:val="pt-BR"/>
        </w:rPr>
        <w:t>DAS CONDIÇÕES DE IMPORTAÇÃO E CÂMBIO</w:t>
      </w:r>
    </w:p>
    <w:p w14:paraId="0180AD01">
      <w:pPr>
        <w:pStyle w:val="54"/>
        <w:bidi w:val="0"/>
        <w:ind w:left="14" w:leftChars="0" w:hanging="14" w:firstLineChars="0"/>
        <w:rPr>
          <w:rFonts w:hint="default"/>
          <w:lang w:val="pt-BR"/>
        </w:rPr>
      </w:pPr>
      <w:r>
        <w:rPr>
          <w:rFonts w:hint="default"/>
          <w:lang w:val="pt-BR"/>
        </w:rPr>
        <w:t>Em atendimento ao disposto no artigo 92, inciso XV, da Lei nº 14.133/2021, declara-se que não se aplicam ao presente contrato condições de importação ou operações de câmbio, uma vez que o objeto — administração, gerenciamento, emissão e fornecimento do Cartão PVAI EDUCA — será integralmente executado em território nacional, com valores cotados e pagos em moeda corrente nacional (Real – R$).</w:t>
      </w:r>
    </w:p>
    <w:p w14:paraId="2C120533">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MATRIZ DE RISCOS CONTRATUAIS </w:t>
      </w:r>
    </w:p>
    <w:p w14:paraId="4BF4CB32">
      <w:pPr>
        <w:pStyle w:val="54"/>
      </w:pPr>
      <w:bookmarkStart w:id="6" w:name="_Ref108341857"/>
      <w:r>
        <w:t>O presente contrato terá sua análise de riscos que podem ensejar o reequilíbrio econômico-financeiro na forma da tabela:</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1843"/>
        <w:gridCol w:w="4387"/>
      </w:tblGrid>
      <w:tr w14:paraId="57FE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114" w:type="dxa"/>
          </w:tcPr>
          <w:p w14:paraId="19435B14">
            <w:pPr>
              <w:pStyle w:val="56"/>
              <w:keepNext w:val="0"/>
              <w:keepLines w:val="0"/>
              <w:pageBreakBefore w:val="0"/>
              <w:widowControl/>
              <w:numPr>
                <w:ilvl w:val="0"/>
                <w:numId w:val="0"/>
              </w:numPr>
              <w:pBdr>
                <w:bottom w:val="none" w:color="auto" w:sz="0" w:space="0"/>
              </w:pBdr>
              <w:kinsoku/>
              <w:wordWrap/>
              <w:overflowPunct/>
              <w:topLinePunct w:val="0"/>
              <w:autoSpaceDE/>
              <w:autoSpaceDN/>
              <w:bidi w:val="0"/>
              <w:adjustRightInd/>
              <w:snapToGrid/>
              <w:spacing w:before="0" w:after="0"/>
              <w:jc w:val="center"/>
              <w:textAlignment w:val="auto"/>
            </w:pPr>
            <w:r>
              <w:t>EVENTO</w:t>
            </w:r>
            <w:r>
              <w:rPr>
                <w:spacing w:val="-1"/>
              </w:rPr>
              <w:t xml:space="preserve"> </w:t>
            </w:r>
            <w:r>
              <w:t xml:space="preserve">DE </w:t>
            </w:r>
            <w:r>
              <w:rPr>
                <w:spacing w:val="-2"/>
              </w:rPr>
              <w:t>RISCO</w:t>
            </w:r>
          </w:p>
        </w:tc>
        <w:tc>
          <w:tcPr>
            <w:tcW w:w="1843" w:type="dxa"/>
          </w:tcPr>
          <w:p w14:paraId="4809CFD4">
            <w:pPr>
              <w:pStyle w:val="56"/>
              <w:keepNext w:val="0"/>
              <w:keepLines w:val="0"/>
              <w:pageBreakBefore w:val="0"/>
              <w:widowControl/>
              <w:numPr>
                <w:ilvl w:val="0"/>
                <w:numId w:val="0"/>
              </w:numPr>
              <w:pBdr>
                <w:bottom w:val="none" w:color="auto" w:sz="0" w:space="0"/>
              </w:pBdr>
              <w:kinsoku/>
              <w:wordWrap/>
              <w:overflowPunct/>
              <w:topLinePunct w:val="0"/>
              <w:autoSpaceDE/>
              <w:autoSpaceDN/>
              <w:bidi w:val="0"/>
              <w:adjustRightInd/>
              <w:snapToGrid/>
              <w:spacing w:before="0" w:after="0"/>
              <w:jc w:val="center"/>
              <w:textAlignment w:val="auto"/>
            </w:pPr>
            <w:r>
              <w:rPr>
                <w:spacing w:val="-2"/>
              </w:rPr>
              <w:t>ALOCAÇÃO</w:t>
            </w:r>
          </w:p>
        </w:tc>
        <w:tc>
          <w:tcPr>
            <w:tcW w:w="4387" w:type="dxa"/>
          </w:tcPr>
          <w:p w14:paraId="3B76CF62">
            <w:pPr>
              <w:pStyle w:val="56"/>
              <w:keepNext w:val="0"/>
              <w:keepLines w:val="0"/>
              <w:pageBreakBefore w:val="0"/>
              <w:widowControl/>
              <w:numPr>
                <w:ilvl w:val="0"/>
                <w:numId w:val="0"/>
              </w:numPr>
              <w:pBdr>
                <w:bottom w:val="none" w:color="auto" w:sz="0" w:space="0"/>
              </w:pBdr>
              <w:kinsoku/>
              <w:wordWrap/>
              <w:overflowPunct/>
              <w:topLinePunct w:val="0"/>
              <w:autoSpaceDE/>
              <w:autoSpaceDN/>
              <w:bidi w:val="0"/>
              <w:adjustRightInd/>
              <w:snapToGrid/>
              <w:spacing w:before="0" w:after="0"/>
              <w:jc w:val="center"/>
              <w:textAlignment w:val="auto"/>
            </w:pPr>
            <w:r>
              <w:rPr>
                <w:spacing w:val="-2"/>
              </w:rPr>
              <w:t>CONSEQUÊNCIA</w:t>
            </w:r>
          </w:p>
        </w:tc>
      </w:tr>
      <w:tr w14:paraId="5010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3114" w:type="dxa"/>
          </w:tcPr>
          <w:p w14:paraId="3209B189">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Entrega</w:t>
            </w:r>
            <w:r>
              <w:rPr>
                <w:rFonts w:hint="default" w:ascii="Arial" w:hAnsi="Arial" w:cs="Arial"/>
                <w:b w:val="0"/>
                <w:bCs w:val="0"/>
                <w:spacing w:val="-10"/>
              </w:rPr>
              <w:t xml:space="preserve"> </w:t>
            </w:r>
            <w:r>
              <w:rPr>
                <w:rFonts w:hint="default" w:ascii="Arial" w:hAnsi="Arial" w:cs="Arial"/>
                <w:b w:val="0"/>
                <w:bCs w:val="0"/>
              </w:rPr>
              <w:t>parcial</w:t>
            </w:r>
            <w:r>
              <w:rPr>
                <w:rFonts w:hint="default" w:ascii="Arial" w:hAnsi="Arial" w:cs="Arial"/>
                <w:b w:val="0"/>
                <w:bCs w:val="0"/>
                <w:spacing w:val="-10"/>
              </w:rPr>
              <w:t xml:space="preserve"> </w:t>
            </w:r>
            <w:r>
              <w:rPr>
                <w:rFonts w:hint="default" w:ascii="Arial" w:hAnsi="Arial" w:cs="Arial"/>
                <w:b w:val="0"/>
                <w:bCs w:val="0"/>
              </w:rPr>
              <w:t>ou</w:t>
            </w:r>
            <w:r>
              <w:rPr>
                <w:rFonts w:hint="default" w:ascii="Arial" w:hAnsi="Arial" w:cs="Arial"/>
                <w:b w:val="0"/>
                <w:bCs w:val="0"/>
                <w:spacing w:val="-10"/>
              </w:rPr>
              <w:t xml:space="preserve"> </w:t>
            </w:r>
            <w:r>
              <w:rPr>
                <w:rFonts w:hint="default" w:ascii="Arial" w:hAnsi="Arial" w:cs="Arial"/>
                <w:b w:val="0"/>
                <w:bCs w:val="0"/>
              </w:rPr>
              <w:t>atrasada</w:t>
            </w:r>
            <w:r>
              <w:rPr>
                <w:rFonts w:hint="default" w:ascii="Arial" w:hAnsi="Arial" w:cs="Arial"/>
                <w:b w:val="0"/>
                <w:bCs w:val="0"/>
                <w:spacing w:val="-10"/>
              </w:rPr>
              <w:t xml:space="preserve"> </w:t>
            </w:r>
            <w:r>
              <w:rPr>
                <w:rFonts w:hint="default" w:ascii="Arial" w:hAnsi="Arial" w:cs="Arial"/>
                <w:b w:val="0"/>
                <w:bCs w:val="0"/>
              </w:rPr>
              <w:t>dos cartões físicos.</w:t>
            </w:r>
          </w:p>
        </w:tc>
        <w:tc>
          <w:tcPr>
            <w:tcW w:w="1843" w:type="dxa"/>
          </w:tcPr>
          <w:p w14:paraId="38ECAEE9">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spacing w:val="-2"/>
              </w:rPr>
              <w:t>Contratada</w:t>
            </w:r>
          </w:p>
        </w:tc>
        <w:tc>
          <w:tcPr>
            <w:tcW w:w="4387" w:type="dxa"/>
          </w:tcPr>
          <w:p w14:paraId="6AFEE7D3">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lang w:val="pt-BR"/>
              </w:rPr>
            </w:pPr>
            <w:r>
              <w:rPr>
                <w:rFonts w:hint="default" w:ascii="Arial" w:hAnsi="Arial" w:cs="Arial"/>
                <w:b w:val="0"/>
                <w:bCs w:val="0"/>
              </w:rPr>
              <w:t>Aplicação</w:t>
            </w:r>
            <w:r>
              <w:rPr>
                <w:rFonts w:hint="default" w:ascii="Arial" w:hAnsi="Arial" w:cs="Arial"/>
                <w:b w:val="0"/>
                <w:bCs w:val="0"/>
                <w:spacing w:val="-13"/>
              </w:rPr>
              <w:t xml:space="preserve"> </w:t>
            </w:r>
            <w:r>
              <w:rPr>
                <w:rFonts w:hint="default" w:ascii="Arial" w:hAnsi="Arial" w:cs="Arial"/>
                <w:b w:val="0"/>
                <w:bCs w:val="0"/>
              </w:rPr>
              <w:t>de</w:t>
            </w:r>
            <w:r>
              <w:rPr>
                <w:rFonts w:hint="default" w:ascii="Arial" w:hAnsi="Arial" w:cs="Arial"/>
                <w:b w:val="0"/>
                <w:bCs w:val="0"/>
                <w:spacing w:val="-13"/>
              </w:rPr>
              <w:t xml:space="preserve"> </w:t>
            </w:r>
            <w:r>
              <w:rPr>
                <w:rFonts w:hint="default" w:ascii="Arial" w:hAnsi="Arial" w:cs="Arial"/>
                <w:b w:val="0"/>
                <w:bCs w:val="0"/>
              </w:rPr>
              <w:t>multa</w:t>
            </w:r>
            <w:r>
              <w:rPr>
                <w:rFonts w:hint="default" w:ascii="Arial" w:hAnsi="Arial" w:cs="Arial"/>
                <w:b w:val="0"/>
                <w:bCs w:val="0"/>
                <w:spacing w:val="-13"/>
              </w:rPr>
              <w:t xml:space="preserve"> </w:t>
            </w:r>
            <w:r>
              <w:rPr>
                <w:rFonts w:hint="default" w:ascii="Arial" w:hAnsi="Arial" w:cs="Arial"/>
                <w:b w:val="0"/>
                <w:bCs w:val="0"/>
              </w:rPr>
              <w:t>moratória; possibilidade de rescisão contratual por inexecução parcial</w:t>
            </w:r>
            <w:r>
              <w:rPr>
                <w:rFonts w:hint="default" w:cs="Arial"/>
                <w:b w:val="0"/>
                <w:bCs w:val="0"/>
                <w:lang w:val="pt-BR"/>
              </w:rPr>
              <w:t>.</w:t>
            </w:r>
          </w:p>
        </w:tc>
      </w:tr>
      <w:tr w14:paraId="7F7A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3114" w:type="dxa"/>
          </w:tcPr>
          <w:p w14:paraId="22FBC589">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Falhas</w:t>
            </w:r>
            <w:r>
              <w:rPr>
                <w:rFonts w:hint="default" w:ascii="Arial" w:hAnsi="Arial" w:cs="Arial"/>
                <w:b w:val="0"/>
                <w:bCs w:val="0"/>
                <w:spacing w:val="-7"/>
              </w:rPr>
              <w:t xml:space="preserve"> </w:t>
            </w:r>
            <w:r>
              <w:rPr>
                <w:rFonts w:hint="default" w:ascii="Arial" w:hAnsi="Arial" w:cs="Arial"/>
                <w:b w:val="0"/>
                <w:bCs w:val="0"/>
              </w:rPr>
              <w:t>na</w:t>
            </w:r>
            <w:r>
              <w:rPr>
                <w:rFonts w:hint="default" w:ascii="Arial" w:hAnsi="Arial" w:cs="Arial"/>
                <w:b w:val="0"/>
                <w:bCs w:val="0"/>
                <w:spacing w:val="-7"/>
              </w:rPr>
              <w:t xml:space="preserve"> </w:t>
            </w:r>
            <w:r>
              <w:rPr>
                <w:rFonts w:hint="default" w:ascii="Arial" w:hAnsi="Arial" w:cs="Arial"/>
                <w:b w:val="0"/>
                <w:bCs w:val="0"/>
              </w:rPr>
              <w:t>recarga</w:t>
            </w:r>
            <w:r>
              <w:rPr>
                <w:rFonts w:hint="default" w:ascii="Arial" w:hAnsi="Arial" w:cs="Arial"/>
                <w:b w:val="0"/>
                <w:bCs w:val="0"/>
                <w:spacing w:val="-7"/>
              </w:rPr>
              <w:t xml:space="preserve"> </w:t>
            </w:r>
            <w:r>
              <w:rPr>
                <w:rFonts w:hint="default" w:ascii="Arial" w:hAnsi="Arial" w:cs="Arial"/>
                <w:b w:val="0"/>
                <w:bCs w:val="0"/>
              </w:rPr>
              <w:t>ou</w:t>
            </w:r>
            <w:r>
              <w:rPr>
                <w:rFonts w:hint="default" w:ascii="Arial" w:hAnsi="Arial" w:cs="Arial"/>
                <w:b w:val="0"/>
                <w:bCs w:val="0"/>
                <w:spacing w:val="-7"/>
              </w:rPr>
              <w:t xml:space="preserve"> </w:t>
            </w:r>
            <w:r>
              <w:rPr>
                <w:rFonts w:hint="default" w:ascii="Arial" w:hAnsi="Arial" w:cs="Arial"/>
                <w:b w:val="0"/>
                <w:bCs w:val="0"/>
              </w:rPr>
              <w:t>no</w:t>
            </w:r>
            <w:r>
              <w:rPr>
                <w:rFonts w:hint="default" w:ascii="Arial" w:hAnsi="Arial" w:cs="Arial"/>
                <w:b w:val="0"/>
                <w:bCs w:val="0"/>
                <w:spacing w:val="-7"/>
              </w:rPr>
              <w:t xml:space="preserve"> </w:t>
            </w:r>
            <w:r>
              <w:rPr>
                <w:rFonts w:hint="default" w:ascii="Arial" w:hAnsi="Arial" w:cs="Arial"/>
                <w:b w:val="0"/>
                <w:bCs w:val="0"/>
              </w:rPr>
              <w:t>bloqueio</w:t>
            </w:r>
            <w:r>
              <w:rPr>
                <w:rFonts w:hint="default" w:ascii="Arial" w:hAnsi="Arial" w:cs="Arial"/>
                <w:b w:val="0"/>
                <w:bCs w:val="0"/>
                <w:spacing w:val="-7"/>
              </w:rPr>
              <w:t xml:space="preserve"> </w:t>
            </w:r>
            <w:r>
              <w:rPr>
                <w:rFonts w:hint="default" w:ascii="Arial" w:hAnsi="Arial" w:cs="Arial"/>
                <w:b w:val="0"/>
                <w:bCs w:val="0"/>
              </w:rPr>
              <w:t xml:space="preserve">dos cartões, ocasionando inconsistências </w:t>
            </w:r>
            <w:r>
              <w:rPr>
                <w:rFonts w:hint="default" w:ascii="Arial" w:hAnsi="Arial" w:cs="Arial"/>
                <w:b w:val="0"/>
                <w:bCs w:val="0"/>
                <w:spacing w:val="-2"/>
              </w:rPr>
              <w:t>financeiras.</w:t>
            </w:r>
          </w:p>
        </w:tc>
        <w:tc>
          <w:tcPr>
            <w:tcW w:w="1843" w:type="dxa"/>
          </w:tcPr>
          <w:p w14:paraId="7F32DA46">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2FD5DD68">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spacing w:val="-2"/>
              </w:rPr>
              <w:t>Contratada</w:t>
            </w:r>
          </w:p>
        </w:tc>
        <w:tc>
          <w:tcPr>
            <w:tcW w:w="4387" w:type="dxa"/>
          </w:tcPr>
          <w:p w14:paraId="3A9BA0F2">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Recomposição dos valores eventualmente</w:t>
            </w:r>
            <w:r>
              <w:rPr>
                <w:rFonts w:hint="default" w:ascii="Arial" w:hAnsi="Arial" w:cs="Arial"/>
                <w:b w:val="0"/>
                <w:bCs w:val="0"/>
                <w:spacing w:val="-17"/>
              </w:rPr>
              <w:t xml:space="preserve"> </w:t>
            </w:r>
            <w:r>
              <w:rPr>
                <w:rFonts w:hint="default" w:ascii="Arial" w:hAnsi="Arial" w:cs="Arial"/>
                <w:b w:val="0"/>
                <w:bCs w:val="0"/>
              </w:rPr>
              <w:t xml:space="preserve">prejudicados; aplicação de penalidades </w:t>
            </w:r>
            <w:r>
              <w:rPr>
                <w:rFonts w:hint="default" w:ascii="Arial" w:hAnsi="Arial" w:cs="Arial"/>
                <w:b w:val="0"/>
                <w:bCs w:val="0"/>
                <w:spacing w:val="-2"/>
              </w:rPr>
              <w:t>contratuais.</w:t>
            </w:r>
          </w:p>
        </w:tc>
      </w:tr>
      <w:tr w14:paraId="6638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0C1C2F45">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Vazamento,</w:t>
            </w:r>
            <w:r>
              <w:rPr>
                <w:rFonts w:hint="default" w:ascii="Arial" w:hAnsi="Arial" w:cs="Arial"/>
                <w:b w:val="0"/>
                <w:bCs w:val="0"/>
                <w:spacing w:val="-9"/>
              </w:rPr>
              <w:t xml:space="preserve"> </w:t>
            </w:r>
            <w:r>
              <w:rPr>
                <w:rFonts w:hint="default" w:ascii="Arial" w:hAnsi="Arial" w:cs="Arial"/>
                <w:b w:val="0"/>
                <w:bCs w:val="0"/>
              </w:rPr>
              <w:t>uso</w:t>
            </w:r>
            <w:r>
              <w:rPr>
                <w:rFonts w:hint="default" w:ascii="Arial" w:hAnsi="Arial" w:cs="Arial"/>
                <w:b w:val="0"/>
                <w:bCs w:val="0"/>
                <w:spacing w:val="-8"/>
              </w:rPr>
              <w:t xml:space="preserve"> </w:t>
            </w:r>
            <w:r>
              <w:rPr>
                <w:rFonts w:hint="default" w:ascii="Arial" w:hAnsi="Arial" w:cs="Arial"/>
                <w:b w:val="0"/>
                <w:bCs w:val="0"/>
              </w:rPr>
              <w:t>indevido</w:t>
            </w:r>
            <w:r>
              <w:rPr>
                <w:rFonts w:hint="default" w:ascii="Arial" w:hAnsi="Arial" w:cs="Arial"/>
                <w:b w:val="0"/>
                <w:bCs w:val="0"/>
                <w:spacing w:val="-8"/>
              </w:rPr>
              <w:t xml:space="preserve"> </w:t>
            </w:r>
            <w:r>
              <w:rPr>
                <w:rFonts w:hint="default" w:ascii="Arial" w:hAnsi="Arial" w:cs="Arial"/>
                <w:b w:val="0"/>
                <w:bCs w:val="0"/>
              </w:rPr>
              <w:t>ou</w:t>
            </w:r>
            <w:r>
              <w:rPr>
                <w:rFonts w:hint="default" w:ascii="Arial" w:hAnsi="Arial" w:cs="Arial"/>
                <w:b w:val="0"/>
                <w:bCs w:val="0"/>
                <w:spacing w:val="-8"/>
              </w:rPr>
              <w:t xml:space="preserve"> </w:t>
            </w:r>
            <w:r>
              <w:rPr>
                <w:rFonts w:hint="default" w:ascii="Arial" w:hAnsi="Arial" w:cs="Arial"/>
                <w:b w:val="0"/>
                <w:bCs w:val="0"/>
              </w:rPr>
              <w:t>perda</w:t>
            </w:r>
            <w:r>
              <w:rPr>
                <w:rFonts w:hint="default" w:ascii="Arial" w:hAnsi="Arial" w:cs="Arial"/>
                <w:b w:val="0"/>
                <w:bCs w:val="0"/>
                <w:spacing w:val="-8"/>
              </w:rPr>
              <w:t xml:space="preserve"> </w:t>
            </w:r>
            <w:r>
              <w:rPr>
                <w:rFonts w:hint="default" w:ascii="Arial" w:hAnsi="Arial" w:cs="Arial"/>
                <w:b w:val="0"/>
                <w:bCs w:val="0"/>
              </w:rPr>
              <w:t xml:space="preserve">de dados pessoais e financeiros dos </w:t>
            </w:r>
            <w:r>
              <w:rPr>
                <w:rFonts w:hint="default" w:ascii="Arial" w:hAnsi="Arial" w:cs="Arial"/>
                <w:b w:val="0"/>
                <w:bCs w:val="0"/>
                <w:spacing w:val="-2"/>
              </w:rPr>
              <w:t>beneficiários.</w:t>
            </w:r>
          </w:p>
        </w:tc>
        <w:tc>
          <w:tcPr>
            <w:tcW w:w="1843" w:type="dxa"/>
          </w:tcPr>
          <w:p w14:paraId="1F4C32C1">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304E0EB5">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spacing w:val="-2"/>
              </w:rPr>
              <w:t>Contratada</w:t>
            </w:r>
          </w:p>
        </w:tc>
        <w:tc>
          <w:tcPr>
            <w:tcW w:w="4387" w:type="dxa"/>
          </w:tcPr>
          <w:p w14:paraId="3D9708C6">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Responsabilização civil e administrativa; sanções previstas</w:t>
            </w:r>
            <w:r>
              <w:rPr>
                <w:rFonts w:hint="default" w:ascii="Arial" w:hAnsi="Arial" w:cs="Arial"/>
                <w:b w:val="0"/>
                <w:bCs w:val="0"/>
                <w:spacing w:val="-7"/>
              </w:rPr>
              <w:t xml:space="preserve"> </w:t>
            </w:r>
            <w:r>
              <w:rPr>
                <w:rFonts w:hint="default" w:ascii="Arial" w:hAnsi="Arial" w:cs="Arial"/>
                <w:b w:val="0"/>
                <w:bCs w:val="0"/>
              </w:rPr>
              <w:t>na</w:t>
            </w:r>
            <w:r>
              <w:rPr>
                <w:rFonts w:hint="default" w:ascii="Arial" w:hAnsi="Arial" w:cs="Arial"/>
                <w:b w:val="0"/>
                <w:bCs w:val="0"/>
                <w:spacing w:val="-7"/>
              </w:rPr>
              <w:t xml:space="preserve"> </w:t>
            </w:r>
            <w:r>
              <w:rPr>
                <w:rFonts w:hint="default" w:ascii="Arial" w:hAnsi="Arial" w:cs="Arial"/>
                <w:b w:val="0"/>
                <w:bCs w:val="0"/>
              </w:rPr>
              <w:t>lgpd</w:t>
            </w:r>
            <w:r>
              <w:rPr>
                <w:rFonts w:hint="default" w:ascii="Arial" w:hAnsi="Arial" w:cs="Arial"/>
                <w:b w:val="0"/>
                <w:bCs w:val="0"/>
                <w:spacing w:val="-7"/>
              </w:rPr>
              <w:t xml:space="preserve"> </w:t>
            </w:r>
            <w:r>
              <w:rPr>
                <w:rFonts w:hint="default" w:ascii="Arial" w:hAnsi="Arial" w:cs="Arial"/>
                <w:b w:val="0"/>
                <w:bCs w:val="0"/>
              </w:rPr>
              <w:t>e</w:t>
            </w:r>
            <w:r>
              <w:rPr>
                <w:rFonts w:hint="default" w:ascii="Arial" w:hAnsi="Arial" w:cs="Arial"/>
                <w:b w:val="0"/>
                <w:bCs w:val="0"/>
                <w:spacing w:val="-7"/>
              </w:rPr>
              <w:t xml:space="preserve"> </w:t>
            </w:r>
            <w:r>
              <w:rPr>
                <w:rFonts w:hint="default" w:ascii="Arial" w:hAnsi="Arial" w:cs="Arial"/>
                <w:b w:val="0"/>
                <w:bCs w:val="0"/>
              </w:rPr>
              <w:t>na</w:t>
            </w:r>
            <w:r>
              <w:rPr>
                <w:rFonts w:hint="default" w:ascii="Arial" w:hAnsi="Arial" w:cs="Arial"/>
                <w:b w:val="0"/>
                <w:bCs w:val="0"/>
                <w:spacing w:val="-7"/>
              </w:rPr>
              <w:t xml:space="preserve"> </w:t>
            </w:r>
            <w:r>
              <w:rPr>
                <w:rFonts w:hint="default" w:ascii="Arial" w:hAnsi="Arial" w:cs="Arial"/>
                <w:b w:val="0"/>
                <w:bCs w:val="0"/>
              </w:rPr>
              <w:t>lei</w:t>
            </w:r>
            <w:r>
              <w:rPr>
                <w:rFonts w:hint="default" w:ascii="Arial" w:hAnsi="Arial" w:cs="Arial"/>
                <w:b w:val="0"/>
                <w:bCs w:val="0"/>
                <w:spacing w:val="-7"/>
              </w:rPr>
              <w:t xml:space="preserve"> </w:t>
            </w:r>
            <w:r>
              <w:rPr>
                <w:rFonts w:hint="default" w:ascii="Arial" w:hAnsi="Arial" w:cs="Arial"/>
                <w:b w:val="0"/>
                <w:bCs w:val="0"/>
              </w:rPr>
              <w:t xml:space="preserve">nº 14.133/2021; rescisão contratual e multa </w:t>
            </w:r>
            <w:r>
              <w:rPr>
                <w:rFonts w:hint="default" w:ascii="Arial" w:hAnsi="Arial" w:cs="Arial"/>
                <w:b w:val="0"/>
                <w:bCs w:val="0"/>
                <w:spacing w:val="-2"/>
              </w:rPr>
              <w:t>compensatória.</w:t>
            </w:r>
          </w:p>
        </w:tc>
      </w:tr>
      <w:tr w14:paraId="469F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1F535F2B">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Insuficiência</w:t>
            </w:r>
            <w:r>
              <w:rPr>
                <w:rFonts w:hint="default" w:ascii="Arial" w:hAnsi="Arial" w:cs="Arial"/>
                <w:b w:val="0"/>
                <w:bCs w:val="0"/>
                <w:spacing w:val="-10"/>
              </w:rPr>
              <w:t xml:space="preserve"> </w:t>
            </w:r>
            <w:r>
              <w:rPr>
                <w:rFonts w:hint="default" w:ascii="Arial" w:hAnsi="Arial" w:cs="Arial"/>
                <w:b w:val="0"/>
                <w:bCs w:val="0"/>
              </w:rPr>
              <w:t>na</w:t>
            </w:r>
            <w:r>
              <w:rPr>
                <w:rFonts w:hint="default" w:ascii="Arial" w:hAnsi="Arial" w:cs="Arial"/>
                <w:b w:val="0"/>
                <w:bCs w:val="0"/>
                <w:spacing w:val="-10"/>
              </w:rPr>
              <w:t xml:space="preserve"> </w:t>
            </w:r>
            <w:r>
              <w:rPr>
                <w:rFonts w:hint="default" w:ascii="Arial" w:hAnsi="Arial" w:cs="Arial"/>
                <w:b w:val="0"/>
                <w:bCs w:val="0"/>
              </w:rPr>
              <w:t>fiscalização</w:t>
            </w:r>
            <w:r>
              <w:rPr>
                <w:rFonts w:hint="default" w:ascii="Arial" w:hAnsi="Arial" w:cs="Arial"/>
                <w:b w:val="0"/>
                <w:bCs w:val="0"/>
                <w:spacing w:val="-10"/>
              </w:rPr>
              <w:t xml:space="preserve"> </w:t>
            </w:r>
            <w:r>
              <w:rPr>
                <w:rFonts w:hint="default" w:ascii="Arial" w:hAnsi="Arial" w:cs="Arial"/>
                <w:b w:val="0"/>
                <w:bCs w:val="0"/>
              </w:rPr>
              <w:t>ou</w:t>
            </w:r>
            <w:r>
              <w:rPr>
                <w:rFonts w:hint="default" w:ascii="Arial" w:hAnsi="Arial" w:cs="Arial"/>
                <w:b w:val="0"/>
                <w:bCs w:val="0"/>
                <w:spacing w:val="-10"/>
              </w:rPr>
              <w:t xml:space="preserve"> </w:t>
            </w:r>
            <w:r>
              <w:rPr>
                <w:rFonts w:hint="default" w:ascii="Arial" w:hAnsi="Arial" w:cs="Arial"/>
                <w:b w:val="0"/>
                <w:bCs w:val="0"/>
              </w:rPr>
              <w:t>análise dos relatórios operacionais.</w:t>
            </w:r>
          </w:p>
        </w:tc>
        <w:tc>
          <w:tcPr>
            <w:tcW w:w="1843" w:type="dxa"/>
          </w:tcPr>
          <w:p w14:paraId="6958A879">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5C76C71E">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spacing w:val="-2"/>
              </w:rPr>
              <w:t>Município</w:t>
            </w:r>
          </w:p>
        </w:tc>
        <w:tc>
          <w:tcPr>
            <w:tcW w:w="4387" w:type="dxa"/>
          </w:tcPr>
          <w:p w14:paraId="0A7B2946">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spacing w:val="-2"/>
              </w:rPr>
            </w:pPr>
            <w:r>
              <w:rPr>
                <w:rFonts w:hint="default" w:ascii="Arial" w:hAnsi="Arial" w:cs="Arial"/>
                <w:b w:val="0"/>
                <w:bCs w:val="0"/>
              </w:rPr>
              <w:t>Possíveis falhas não detectadas;</w:t>
            </w:r>
            <w:r>
              <w:rPr>
                <w:rFonts w:hint="default" w:ascii="Arial" w:hAnsi="Arial" w:cs="Arial"/>
                <w:b w:val="0"/>
                <w:bCs w:val="0"/>
                <w:spacing w:val="-5"/>
              </w:rPr>
              <w:t xml:space="preserve"> </w:t>
            </w:r>
            <w:r>
              <w:rPr>
                <w:rFonts w:hint="default" w:ascii="Arial" w:hAnsi="Arial" w:cs="Arial"/>
                <w:b w:val="0"/>
                <w:bCs w:val="0"/>
              </w:rPr>
              <w:t>glosa</w:t>
            </w:r>
            <w:r>
              <w:rPr>
                <w:rFonts w:hint="default" w:ascii="Arial" w:hAnsi="Arial" w:cs="Arial"/>
                <w:b w:val="0"/>
                <w:bCs w:val="0"/>
                <w:spacing w:val="-4"/>
              </w:rPr>
              <w:t xml:space="preserve"> </w:t>
            </w:r>
            <w:r>
              <w:rPr>
                <w:rFonts w:hint="default" w:ascii="Arial" w:hAnsi="Arial" w:cs="Arial"/>
                <w:b w:val="0"/>
                <w:bCs w:val="0"/>
              </w:rPr>
              <w:t>de</w:t>
            </w:r>
            <w:r>
              <w:rPr>
                <w:rFonts w:hint="default" w:ascii="Arial" w:hAnsi="Arial" w:cs="Arial"/>
                <w:b w:val="0"/>
                <w:bCs w:val="0"/>
                <w:spacing w:val="-4"/>
              </w:rPr>
              <w:t xml:space="preserve"> </w:t>
            </w:r>
            <w:r>
              <w:rPr>
                <w:rFonts w:hint="default" w:ascii="Arial" w:hAnsi="Arial" w:cs="Arial"/>
                <w:b w:val="0"/>
                <w:bCs w:val="0"/>
              </w:rPr>
              <w:t>valores; apontamentos</w:t>
            </w:r>
            <w:r>
              <w:rPr>
                <w:rFonts w:hint="default" w:ascii="Arial" w:hAnsi="Arial" w:cs="Arial"/>
                <w:b w:val="0"/>
                <w:bCs w:val="0"/>
                <w:spacing w:val="-4"/>
              </w:rPr>
              <w:t xml:space="preserve"> </w:t>
            </w:r>
            <w:r>
              <w:rPr>
                <w:rFonts w:hint="default" w:ascii="Arial" w:hAnsi="Arial" w:cs="Arial"/>
                <w:b w:val="0"/>
                <w:bCs w:val="0"/>
              </w:rPr>
              <w:t>do</w:t>
            </w:r>
            <w:r>
              <w:rPr>
                <w:rFonts w:hint="default" w:ascii="Arial" w:hAnsi="Arial" w:cs="Arial"/>
                <w:b w:val="0"/>
                <w:bCs w:val="0"/>
                <w:spacing w:val="-4"/>
              </w:rPr>
              <w:t xml:space="preserve"> </w:t>
            </w:r>
            <w:r>
              <w:rPr>
                <w:rFonts w:hint="default" w:ascii="Arial" w:hAnsi="Arial" w:cs="Arial"/>
                <w:b w:val="0"/>
                <w:bCs w:val="0"/>
              </w:rPr>
              <w:t>tribunal</w:t>
            </w:r>
            <w:r>
              <w:rPr>
                <w:rFonts w:hint="default" w:ascii="Arial" w:hAnsi="Arial" w:cs="Arial"/>
                <w:b w:val="0"/>
                <w:bCs w:val="0"/>
                <w:spacing w:val="-4"/>
              </w:rPr>
              <w:t xml:space="preserve"> </w:t>
            </w:r>
            <w:r>
              <w:rPr>
                <w:rFonts w:hint="default" w:ascii="Arial" w:hAnsi="Arial" w:cs="Arial"/>
                <w:b w:val="0"/>
                <w:bCs w:val="0"/>
              </w:rPr>
              <w:t>de contas;</w:t>
            </w:r>
            <w:r>
              <w:rPr>
                <w:rFonts w:hint="default" w:ascii="Arial" w:hAnsi="Arial" w:cs="Arial"/>
                <w:b w:val="0"/>
                <w:bCs w:val="0"/>
                <w:spacing w:val="-17"/>
              </w:rPr>
              <w:t xml:space="preserve"> </w:t>
            </w:r>
            <w:r>
              <w:rPr>
                <w:rFonts w:hint="default" w:ascii="Arial" w:hAnsi="Arial" w:cs="Arial"/>
                <w:b w:val="0"/>
                <w:bCs w:val="0"/>
              </w:rPr>
              <w:t>responsabilização</w:t>
            </w:r>
            <w:r>
              <w:rPr>
                <w:rFonts w:hint="default" w:ascii="Arial" w:hAnsi="Arial" w:cs="Arial"/>
                <w:b w:val="0"/>
                <w:bCs w:val="0"/>
                <w:spacing w:val="-17"/>
              </w:rPr>
              <w:t xml:space="preserve"> </w:t>
            </w:r>
            <w:r>
              <w:rPr>
                <w:rFonts w:hint="default" w:ascii="Arial" w:hAnsi="Arial" w:cs="Arial"/>
                <w:b w:val="0"/>
                <w:bCs w:val="0"/>
              </w:rPr>
              <w:t xml:space="preserve">do </w:t>
            </w:r>
            <w:r>
              <w:rPr>
                <w:rFonts w:hint="default" w:ascii="Arial" w:hAnsi="Arial" w:cs="Arial"/>
                <w:b w:val="0"/>
                <w:bCs w:val="0"/>
                <w:spacing w:val="-2"/>
              </w:rPr>
              <w:t>gestor.</w:t>
            </w:r>
          </w:p>
        </w:tc>
      </w:tr>
      <w:tr w14:paraId="4F6C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459CA88B">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Cobrança indevida de taxas ou divergência</w:t>
            </w:r>
            <w:r>
              <w:rPr>
                <w:rFonts w:hint="default" w:ascii="Arial" w:hAnsi="Arial" w:cs="Arial"/>
                <w:spacing w:val="-9"/>
              </w:rPr>
              <w:t xml:space="preserve"> </w:t>
            </w:r>
            <w:r>
              <w:rPr>
                <w:rFonts w:hint="default" w:ascii="Arial" w:hAnsi="Arial" w:cs="Arial"/>
              </w:rPr>
              <w:t>entre</w:t>
            </w:r>
            <w:r>
              <w:rPr>
                <w:rFonts w:hint="default" w:ascii="Arial" w:hAnsi="Arial" w:cs="Arial"/>
                <w:spacing w:val="-9"/>
              </w:rPr>
              <w:t xml:space="preserve"> </w:t>
            </w:r>
            <w:r>
              <w:rPr>
                <w:rFonts w:hint="default" w:ascii="Arial" w:hAnsi="Arial" w:cs="Arial"/>
              </w:rPr>
              <w:t>valores</w:t>
            </w:r>
            <w:r>
              <w:rPr>
                <w:rFonts w:hint="default" w:ascii="Arial" w:hAnsi="Arial" w:cs="Arial"/>
                <w:spacing w:val="-9"/>
              </w:rPr>
              <w:t xml:space="preserve"> </w:t>
            </w:r>
            <w:r>
              <w:rPr>
                <w:rFonts w:hint="default" w:ascii="Arial" w:hAnsi="Arial" w:cs="Arial"/>
              </w:rPr>
              <w:t>creditados</w:t>
            </w:r>
            <w:r>
              <w:rPr>
                <w:rFonts w:hint="default" w:ascii="Arial" w:hAnsi="Arial" w:cs="Arial"/>
                <w:spacing w:val="-10"/>
              </w:rPr>
              <w:t xml:space="preserve"> </w:t>
            </w:r>
            <w:r>
              <w:rPr>
                <w:rFonts w:hint="default" w:ascii="Arial" w:hAnsi="Arial" w:cs="Arial"/>
              </w:rPr>
              <w:t xml:space="preserve">e </w:t>
            </w:r>
            <w:r>
              <w:rPr>
                <w:rFonts w:hint="default" w:ascii="Arial" w:hAnsi="Arial" w:cs="Arial"/>
                <w:spacing w:val="-2"/>
              </w:rPr>
              <w:t>utilizados.</w:t>
            </w:r>
          </w:p>
        </w:tc>
        <w:tc>
          <w:tcPr>
            <w:tcW w:w="1843" w:type="dxa"/>
          </w:tcPr>
          <w:p w14:paraId="113143A7">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25FAA986">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Contratada</w:t>
            </w:r>
          </w:p>
        </w:tc>
        <w:tc>
          <w:tcPr>
            <w:tcW w:w="4387" w:type="dxa"/>
          </w:tcPr>
          <w:p w14:paraId="1C464908">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Restituição imediata dos valores indevidamente cobrados; glosa; multa contratual;</w:t>
            </w:r>
            <w:r>
              <w:rPr>
                <w:rFonts w:hint="default" w:ascii="Arial" w:hAnsi="Arial" w:cs="Arial"/>
                <w:b w:val="0"/>
                <w:bCs w:val="0"/>
                <w:spacing w:val="-17"/>
              </w:rPr>
              <w:t xml:space="preserve"> </w:t>
            </w:r>
            <w:r>
              <w:rPr>
                <w:rFonts w:hint="default" w:ascii="Arial" w:hAnsi="Arial" w:cs="Arial"/>
                <w:b w:val="0"/>
                <w:bCs w:val="0"/>
              </w:rPr>
              <w:t>possibilidade</w:t>
            </w:r>
            <w:r>
              <w:rPr>
                <w:rFonts w:hint="default" w:ascii="Arial" w:hAnsi="Arial" w:cs="Arial"/>
                <w:b w:val="0"/>
                <w:bCs w:val="0"/>
                <w:spacing w:val="-17"/>
              </w:rPr>
              <w:t xml:space="preserve"> </w:t>
            </w:r>
            <w:r>
              <w:rPr>
                <w:rFonts w:hint="default" w:ascii="Arial" w:hAnsi="Arial" w:cs="Arial"/>
                <w:b w:val="0"/>
                <w:bCs w:val="0"/>
              </w:rPr>
              <w:t xml:space="preserve">de </w:t>
            </w:r>
            <w:r>
              <w:rPr>
                <w:rFonts w:hint="default" w:ascii="Arial" w:hAnsi="Arial" w:cs="Arial"/>
                <w:b w:val="0"/>
                <w:bCs w:val="0"/>
                <w:spacing w:val="-2"/>
              </w:rPr>
              <w:t>rescisão.</w:t>
            </w:r>
          </w:p>
        </w:tc>
      </w:tr>
      <w:tr w14:paraId="5E2C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21465C3C">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Reemissão</w:t>
            </w:r>
            <w:r>
              <w:rPr>
                <w:rFonts w:hint="default" w:ascii="Arial" w:hAnsi="Arial" w:cs="Arial"/>
                <w:spacing w:val="-8"/>
              </w:rPr>
              <w:t xml:space="preserve"> </w:t>
            </w:r>
            <w:r>
              <w:rPr>
                <w:rFonts w:hint="default" w:ascii="Arial" w:hAnsi="Arial" w:cs="Arial"/>
              </w:rPr>
              <w:t>de</w:t>
            </w:r>
            <w:r>
              <w:rPr>
                <w:rFonts w:hint="default" w:ascii="Arial" w:hAnsi="Arial" w:cs="Arial"/>
                <w:spacing w:val="-8"/>
              </w:rPr>
              <w:t xml:space="preserve"> </w:t>
            </w:r>
            <w:r>
              <w:rPr>
                <w:rFonts w:hint="default" w:ascii="Arial" w:hAnsi="Arial" w:cs="Arial"/>
              </w:rPr>
              <w:t>cartões</w:t>
            </w:r>
            <w:r>
              <w:rPr>
                <w:rFonts w:hint="default" w:ascii="Arial" w:hAnsi="Arial" w:cs="Arial"/>
                <w:spacing w:val="-8"/>
              </w:rPr>
              <w:t xml:space="preserve"> </w:t>
            </w:r>
            <w:r>
              <w:rPr>
                <w:rFonts w:hint="default" w:ascii="Arial" w:hAnsi="Arial" w:cs="Arial"/>
              </w:rPr>
              <w:t>em</w:t>
            </w:r>
            <w:r>
              <w:rPr>
                <w:rFonts w:hint="default" w:ascii="Arial" w:hAnsi="Arial" w:cs="Arial"/>
                <w:spacing w:val="-8"/>
              </w:rPr>
              <w:t xml:space="preserve"> </w:t>
            </w:r>
            <w:r>
              <w:rPr>
                <w:rFonts w:hint="default" w:ascii="Arial" w:hAnsi="Arial" w:cs="Arial"/>
              </w:rPr>
              <w:t>caso</w:t>
            </w:r>
            <w:r>
              <w:rPr>
                <w:rFonts w:hint="default" w:ascii="Arial" w:hAnsi="Arial" w:cs="Arial"/>
                <w:spacing w:val="-8"/>
              </w:rPr>
              <w:t xml:space="preserve"> </w:t>
            </w:r>
            <w:r>
              <w:rPr>
                <w:rFonts w:hint="default" w:ascii="Arial" w:hAnsi="Arial" w:cs="Arial"/>
              </w:rPr>
              <w:t>de perda, roubo ou danificação.</w:t>
            </w:r>
          </w:p>
        </w:tc>
        <w:tc>
          <w:tcPr>
            <w:tcW w:w="1843" w:type="dxa"/>
          </w:tcPr>
          <w:p w14:paraId="61DF151F">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spacing w:val="-2"/>
              </w:rPr>
            </w:pPr>
          </w:p>
          <w:p w14:paraId="234D2A9D">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Contratada</w:t>
            </w:r>
          </w:p>
        </w:tc>
        <w:tc>
          <w:tcPr>
            <w:tcW w:w="4387" w:type="dxa"/>
          </w:tcPr>
          <w:p w14:paraId="62688114">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Contratada</w:t>
            </w:r>
            <w:r>
              <w:rPr>
                <w:rFonts w:hint="default" w:ascii="Arial" w:hAnsi="Arial" w:cs="Arial"/>
                <w:b w:val="0"/>
                <w:bCs w:val="0"/>
                <w:spacing w:val="-8"/>
              </w:rPr>
              <w:t xml:space="preserve"> </w:t>
            </w:r>
            <w:r>
              <w:rPr>
                <w:rFonts w:hint="default" w:ascii="Arial" w:hAnsi="Arial" w:cs="Arial"/>
                <w:b w:val="0"/>
                <w:bCs w:val="0"/>
              </w:rPr>
              <w:t>arca</w:t>
            </w:r>
            <w:r>
              <w:rPr>
                <w:rFonts w:hint="default" w:ascii="Arial" w:hAnsi="Arial" w:cs="Arial"/>
                <w:b w:val="0"/>
                <w:bCs w:val="0"/>
                <w:spacing w:val="-8"/>
              </w:rPr>
              <w:t xml:space="preserve"> </w:t>
            </w:r>
            <w:r>
              <w:rPr>
                <w:rFonts w:hint="default" w:ascii="Arial" w:hAnsi="Arial" w:cs="Arial"/>
                <w:b w:val="0"/>
                <w:bCs w:val="0"/>
              </w:rPr>
              <w:t>com</w:t>
            </w:r>
            <w:r>
              <w:rPr>
                <w:rFonts w:hint="default" w:ascii="Arial" w:hAnsi="Arial" w:cs="Arial"/>
                <w:b w:val="0"/>
                <w:bCs w:val="0"/>
                <w:spacing w:val="-8"/>
              </w:rPr>
              <w:t xml:space="preserve"> </w:t>
            </w:r>
            <w:r>
              <w:rPr>
                <w:rFonts w:hint="default" w:ascii="Arial" w:hAnsi="Arial" w:cs="Arial"/>
                <w:b w:val="0"/>
                <w:bCs w:val="0"/>
              </w:rPr>
              <w:t>até</w:t>
            </w:r>
            <w:r>
              <w:rPr>
                <w:rFonts w:hint="default" w:ascii="Arial" w:hAnsi="Arial" w:cs="Arial"/>
                <w:b w:val="0"/>
                <w:bCs w:val="0"/>
                <w:spacing w:val="-8"/>
              </w:rPr>
              <w:t xml:space="preserve"> </w:t>
            </w:r>
            <w:r>
              <w:rPr>
                <w:rFonts w:hint="default" w:ascii="Arial" w:hAnsi="Arial" w:cs="Arial"/>
                <w:b w:val="0"/>
                <w:bCs w:val="0"/>
              </w:rPr>
              <w:t>1%</w:t>
            </w:r>
            <w:r>
              <w:rPr>
                <w:rFonts w:hint="default" w:ascii="Arial" w:hAnsi="Arial" w:cs="Arial"/>
                <w:b w:val="0"/>
                <w:bCs w:val="0"/>
                <w:spacing w:val="-8"/>
              </w:rPr>
              <w:t xml:space="preserve"> </w:t>
            </w:r>
            <w:r>
              <w:rPr>
                <w:rFonts w:hint="default" w:ascii="Arial" w:hAnsi="Arial" w:cs="Arial"/>
                <w:b w:val="0"/>
                <w:bCs w:val="0"/>
              </w:rPr>
              <w:t>de reemissões gratuitas; custos adicionais além do percentual serão de sua responsabilidade.</w:t>
            </w:r>
          </w:p>
        </w:tc>
      </w:tr>
      <w:tr w14:paraId="796A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57F23F85">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Ausência de conta vinculada para controle</w:t>
            </w:r>
            <w:r>
              <w:rPr>
                <w:rFonts w:hint="default" w:ascii="Arial" w:hAnsi="Arial" w:cs="Arial"/>
                <w:spacing w:val="-10"/>
              </w:rPr>
              <w:t xml:space="preserve"> </w:t>
            </w:r>
            <w:r>
              <w:rPr>
                <w:rFonts w:hint="default" w:ascii="Arial" w:hAnsi="Arial" w:cs="Arial"/>
              </w:rPr>
              <w:t>dos</w:t>
            </w:r>
            <w:r>
              <w:rPr>
                <w:rFonts w:hint="default" w:ascii="Arial" w:hAnsi="Arial" w:cs="Arial"/>
                <w:spacing w:val="-10"/>
              </w:rPr>
              <w:t xml:space="preserve"> </w:t>
            </w:r>
            <w:r>
              <w:rPr>
                <w:rFonts w:hint="default" w:ascii="Arial" w:hAnsi="Arial" w:cs="Arial"/>
              </w:rPr>
              <w:t>recursos</w:t>
            </w:r>
            <w:r>
              <w:rPr>
                <w:rFonts w:hint="default" w:ascii="Arial" w:hAnsi="Arial" w:cs="Arial"/>
                <w:spacing w:val="-10"/>
              </w:rPr>
              <w:t xml:space="preserve"> </w:t>
            </w:r>
            <w:r>
              <w:rPr>
                <w:rFonts w:hint="default" w:ascii="Arial" w:hAnsi="Arial" w:cs="Arial"/>
              </w:rPr>
              <w:t>do</w:t>
            </w:r>
            <w:r>
              <w:rPr>
                <w:rFonts w:hint="default" w:ascii="Arial" w:hAnsi="Arial" w:cs="Arial"/>
                <w:spacing w:val="-10"/>
              </w:rPr>
              <w:t xml:space="preserve"> </w:t>
            </w:r>
            <w:r>
              <w:rPr>
                <w:rFonts w:hint="default" w:ascii="Arial" w:hAnsi="Arial" w:cs="Arial"/>
              </w:rPr>
              <w:t>programa.</w:t>
            </w:r>
          </w:p>
        </w:tc>
        <w:tc>
          <w:tcPr>
            <w:tcW w:w="1843" w:type="dxa"/>
          </w:tcPr>
          <w:p w14:paraId="632CA78D">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037BB43A">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Município</w:t>
            </w:r>
          </w:p>
        </w:tc>
        <w:tc>
          <w:tcPr>
            <w:tcW w:w="4387" w:type="dxa"/>
          </w:tcPr>
          <w:p w14:paraId="3BBDBF8E">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Risco de apontamentos dos órgãos de controle; necessidade</w:t>
            </w:r>
            <w:r>
              <w:rPr>
                <w:rFonts w:hint="default" w:ascii="Arial" w:hAnsi="Arial" w:cs="Arial"/>
                <w:b w:val="0"/>
                <w:bCs w:val="0"/>
                <w:spacing w:val="-13"/>
              </w:rPr>
              <w:t xml:space="preserve"> </w:t>
            </w:r>
            <w:r>
              <w:rPr>
                <w:rFonts w:hint="default" w:ascii="Arial" w:hAnsi="Arial" w:cs="Arial"/>
                <w:b w:val="0"/>
                <w:bCs w:val="0"/>
              </w:rPr>
              <w:t>de</w:t>
            </w:r>
            <w:r>
              <w:rPr>
                <w:rFonts w:hint="default" w:ascii="Arial" w:hAnsi="Arial" w:cs="Arial"/>
                <w:b w:val="0"/>
                <w:bCs w:val="0"/>
                <w:spacing w:val="-13"/>
              </w:rPr>
              <w:t xml:space="preserve"> </w:t>
            </w:r>
            <w:r>
              <w:rPr>
                <w:rFonts w:hint="default" w:ascii="Arial" w:hAnsi="Arial" w:cs="Arial"/>
                <w:b w:val="0"/>
                <w:bCs w:val="0"/>
              </w:rPr>
              <w:t>regularização</w:t>
            </w:r>
            <w:r>
              <w:rPr>
                <w:rFonts w:hint="default" w:ascii="Arial" w:hAnsi="Arial" w:cs="Arial"/>
                <w:b w:val="0"/>
                <w:bCs w:val="0"/>
                <w:spacing w:val="-13"/>
              </w:rPr>
              <w:t xml:space="preserve"> </w:t>
            </w:r>
            <w:r>
              <w:rPr>
                <w:rFonts w:hint="default" w:ascii="Arial" w:hAnsi="Arial" w:cs="Arial"/>
                <w:b w:val="0"/>
                <w:bCs w:val="0"/>
              </w:rPr>
              <w:t xml:space="preserve">e adoção imediata da conta vinculada; possível glosa de </w:t>
            </w:r>
            <w:r>
              <w:rPr>
                <w:rFonts w:hint="default" w:ascii="Arial" w:hAnsi="Arial" w:cs="Arial"/>
                <w:b w:val="0"/>
                <w:bCs w:val="0"/>
                <w:spacing w:val="-2"/>
              </w:rPr>
              <w:t>valores.</w:t>
            </w:r>
          </w:p>
        </w:tc>
      </w:tr>
      <w:tr w14:paraId="3B6F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3FE6C3CD">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Falta</w:t>
            </w:r>
            <w:r>
              <w:rPr>
                <w:rFonts w:hint="default" w:ascii="Arial" w:hAnsi="Arial" w:cs="Arial"/>
                <w:spacing w:val="-10"/>
              </w:rPr>
              <w:t xml:space="preserve"> </w:t>
            </w:r>
            <w:r>
              <w:rPr>
                <w:rFonts w:hint="default" w:ascii="Arial" w:hAnsi="Arial" w:cs="Arial"/>
              </w:rPr>
              <w:t>de</w:t>
            </w:r>
            <w:r>
              <w:rPr>
                <w:rFonts w:hint="default" w:ascii="Arial" w:hAnsi="Arial" w:cs="Arial"/>
                <w:spacing w:val="-10"/>
              </w:rPr>
              <w:t xml:space="preserve"> </w:t>
            </w:r>
            <w:r>
              <w:rPr>
                <w:rFonts w:hint="default" w:ascii="Arial" w:hAnsi="Arial" w:cs="Arial"/>
              </w:rPr>
              <w:t>previsão</w:t>
            </w:r>
            <w:r>
              <w:rPr>
                <w:rFonts w:hint="default" w:ascii="Arial" w:hAnsi="Arial" w:cs="Arial"/>
                <w:spacing w:val="-10"/>
              </w:rPr>
              <w:t xml:space="preserve"> </w:t>
            </w:r>
            <w:r>
              <w:rPr>
                <w:rFonts w:hint="default" w:ascii="Arial" w:hAnsi="Arial" w:cs="Arial"/>
              </w:rPr>
              <w:t>orçamentária</w:t>
            </w:r>
            <w:r>
              <w:rPr>
                <w:rFonts w:hint="default" w:ascii="Arial" w:hAnsi="Arial" w:cs="Arial"/>
                <w:spacing w:val="-10"/>
              </w:rPr>
              <w:t xml:space="preserve"> </w:t>
            </w:r>
            <w:r>
              <w:rPr>
                <w:rFonts w:hint="default" w:ascii="Arial" w:hAnsi="Arial" w:cs="Arial"/>
              </w:rPr>
              <w:t>ou incompatibilidade com ldo/ppa.</w:t>
            </w:r>
          </w:p>
        </w:tc>
        <w:tc>
          <w:tcPr>
            <w:tcW w:w="1843" w:type="dxa"/>
          </w:tcPr>
          <w:p w14:paraId="09BBE4C6">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12F25562">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Município</w:t>
            </w:r>
          </w:p>
        </w:tc>
        <w:tc>
          <w:tcPr>
            <w:tcW w:w="4387" w:type="dxa"/>
          </w:tcPr>
          <w:p w14:paraId="75C25622">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Suspensão da execução; necessidade de reequilíbrio contratual; risco de nulidade do contrato</w:t>
            </w:r>
            <w:r>
              <w:rPr>
                <w:rFonts w:hint="default" w:ascii="Arial" w:hAnsi="Arial" w:cs="Arial"/>
                <w:b w:val="0"/>
                <w:bCs w:val="0"/>
                <w:spacing w:val="-13"/>
              </w:rPr>
              <w:t xml:space="preserve"> </w:t>
            </w:r>
            <w:r>
              <w:rPr>
                <w:rFonts w:hint="default" w:ascii="Arial" w:hAnsi="Arial" w:cs="Arial"/>
                <w:b w:val="0"/>
                <w:bCs w:val="0"/>
              </w:rPr>
              <w:t>e</w:t>
            </w:r>
            <w:r>
              <w:rPr>
                <w:rFonts w:hint="default" w:ascii="Arial" w:hAnsi="Arial" w:cs="Arial"/>
                <w:b w:val="0"/>
                <w:bCs w:val="0"/>
                <w:spacing w:val="-13"/>
              </w:rPr>
              <w:t xml:space="preserve"> </w:t>
            </w:r>
            <w:r>
              <w:rPr>
                <w:rFonts w:hint="default" w:ascii="Arial" w:hAnsi="Arial" w:cs="Arial"/>
                <w:b w:val="0"/>
                <w:bCs w:val="0"/>
              </w:rPr>
              <w:t>responsabilização</w:t>
            </w:r>
            <w:r>
              <w:rPr>
                <w:rFonts w:hint="default" w:ascii="Arial" w:hAnsi="Arial" w:cs="Arial"/>
                <w:b w:val="0"/>
                <w:bCs w:val="0"/>
                <w:spacing w:val="-13"/>
              </w:rPr>
              <w:t xml:space="preserve"> </w:t>
            </w:r>
            <w:r>
              <w:rPr>
                <w:rFonts w:hint="default" w:ascii="Arial" w:hAnsi="Arial" w:cs="Arial"/>
                <w:b w:val="0"/>
                <w:bCs w:val="0"/>
              </w:rPr>
              <w:t>do ordenador de despesa.</w:t>
            </w:r>
          </w:p>
        </w:tc>
      </w:tr>
      <w:tr w14:paraId="2B22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64D47BBB">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Propostas</w:t>
            </w:r>
            <w:r>
              <w:rPr>
                <w:rFonts w:hint="default" w:ascii="Arial" w:hAnsi="Arial" w:cs="Arial"/>
                <w:spacing w:val="-10"/>
              </w:rPr>
              <w:t xml:space="preserve"> </w:t>
            </w:r>
            <w:r>
              <w:rPr>
                <w:rFonts w:hint="default" w:ascii="Arial" w:hAnsi="Arial" w:cs="Arial"/>
              </w:rPr>
              <w:t>inexequíveis</w:t>
            </w:r>
            <w:r>
              <w:rPr>
                <w:rFonts w:hint="default" w:ascii="Arial" w:hAnsi="Arial" w:cs="Arial"/>
                <w:spacing w:val="-10"/>
              </w:rPr>
              <w:t xml:space="preserve"> </w:t>
            </w:r>
            <w:r>
              <w:rPr>
                <w:rFonts w:hint="default" w:ascii="Arial" w:hAnsi="Arial" w:cs="Arial"/>
              </w:rPr>
              <w:t>ou</w:t>
            </w:r>
            <w:r>
              <w:rPr>
                <w:rFonts w:hint="default" w:ascii="Arial" w:hAnsi="Arial" w:cs="Arial"/>
                <w:spacing w:val="-10"/>
              </w:rPr>
              <w:t xml:space="preserve"> </w:t>
            </w:r>
            <w:r>
              <w:rPr>
                <w:rFonts w:hint="default" w:ascii="Arial" w:hAnsi="Arial" w:cs="Arial"/>
              </w:rPr>
              <w:t>com</w:t>
            </w:r>
            <w:r>
              <w:rPr>
                <w:rFonts w:hint="default" w:ascii="Arial" w:hAnsi="Arial" w:cs="Arial"/>
                <w:spacing w:val="-10"/>
              </w:rPr>
              <w:t xml:space="preserve"> </w:t>
            </w:r>
            <w:r>
              <w:rPr>
                <w:rFonts w:hint="default" w:ascii="Arial" w:hAnsi="Arial" w:cs="Arial"/>
              </w:rPr>
              <w:t xml:space="preserve">taxa </w:t>
            </w:r>
            <w:r>
              <w:rPr>
                <w:rFonts w:hint="default" w:ascii="Arial" w:hAnsi="Arial" w:cs="Arial"/>
                <w:spacing w:val="-2"/>
              </w:rPr>
              <w:t>negativa.</w:t>
            </w:r>
          </w:p>
        </w:tc>
        <w:tc>
          <w:tcPr>
            <w:tcW w:w="1843" w:type="dxa"/>
          </w:tcPr>
          <w:p w14:paraId="0E3455FE">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469B9B96">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Contratada</w:t>
            </w:r>
          </w:p>
        </w:tc>
        <w:tc>
          <w:tcPr>
            <w:tcW w:w="4387" w:type="dxa"/>
          </w:tcPr>
          <w:p w14:paraId="2DFC6182">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Glosa</w:t>
            </w:r>
            <w:r>
              <w:rPr>
                <w:rFonts w:hint="default" w:ascii="Arial" w:hAnsi="Arial" w:cs="Arial"/>
                <w:b w:val="0"/>
                <w:bCs w:val="0"/>
                <w:spacing w:val="-10"/>
              </w:rPr>
              <w:t xml:space="preserve"> </w:t>
            </w:r>
            <w:r>
              <w:rPr>
                <w:rFonts w:hint="default" w:ascii="Arial" w:hAnsi="Arial" w:cs="Arial"/>
                <w:b w:val="0"/>
                <w:bCs w:val="0"/>
              </w:rPr>
              <w:t>dos</w:t>
            </w:r>
            <w:r>
              <w:rPr>
                <w:rFonts w:hint="default" w:ascii="Arial" w:hAnsi="Arial" w:cs="Arial"/>
                <w:b w:val="0"/>
                <w:bCs w:val="0"/>
                <w:spacing w:val="-10"/>
              </w:rPr>
              <w:t xml:space="preserve"> </w:t>
            </w:r>
            <w:r>
              <w:rPr>
                <w:rFonts w:hint="default" w:ascii="Arial" w:hAnsi="Arial" w:cs="Arial"/>
                <w:b w:val="0"/>
                <w:bCs w:val="0"/>
              </w:rPr>
              <w:t>valores;</w:t>
            </w:r>
            <w:r>
              <w:rPr>
                <w:rFonts w:hint="default" w:ascii="Arial" w:hAnsi="Arial" w:cs="Arial"/>
                <w:b w:val="0"/>
                <w:bCs w:val="0"/>
                <w:spacing w:val="-10"/>
              </w:rPr>
              <w:t xml:space="preserve"> </w:t>
            </w:r>
            <w:r>
              <w:rPr>
                <w:rFonts w:hint="default" w:ascii="Arial" w:hAnsi="Arial" w:cs="Arial"/>
                <w:b w:val="0"/>
                <w:bCs w:val="0"/>
              </w:rPr>
              <w:t>aplicação</w:t>
            </w:r>
            <w:r>
              <w:rPr>
                <w:rFonts w:hint="default" w:ascii="Arial" w:hAnsi="Arial" w:cs="Arial"/>
                <w:b w:val="0"/>
                <w:bCs w:val="0"/>
                <w:spacing w:val="-10"/>
              </w:rPr>
              <w:t xml:space="preserve"> </w:t>
            </w:r>
            <w:r>
              <w:rPr>
                <w:rFonts w:hint="default" w:ascii="Arial" w:hAnsi="Arial" w:cs="Arial"/>
                <w:b w:val="0"/>
                <w:bCs w:val="0"/>
              </w:rPr>
              <w:t>de sanções; eventual rescisão contratual por inexecução total.</w:t>
            </w:r>
          </w:p>
        </w:tc>
      </w:tr>
      <w:tr w14:paraId="49140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7401DE37">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1AD1C2F1">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Instabilidade</w:t>
            </w:r>
            <w:r>
              <w:rPr>
                <w:rFonts w:hint="default" w:ascii="Arial" w:hAnsi="Arial" w:cs="Arial"/>
                <w:spacing w:val="-10"/>
              </w:rPr>
              <w:t xml:space="preserve"> </w:t>
            </w:r>
            <w:r>
              <w:rPr>
                <w:rFonts w:hint="default" w:ascii="Arial" w:hAnsi="Arial" w:cs="Arial"/>
              </w:rPr>
              <w:t>ou</w:t>
            </w:r>
            <w:r>
              <w:rPr>
                <w:rFonts w:hint="default" w:ascii="Arial" w:hAnsi="Arial" w:cs="Arial"/>
                <w:spacing w:val="-10"/>
              </w:rPr>
              <w:t xml:space="preserve"> </w:t>
            </w:r>
            <w:r>
              <w:rPr>
                <w:rFonts w:hint="default" w:ascii="Arial" w:hAnsi="Arial" w:cs="Arial"/>
              </w:rPr>
              <w:t>falha</w:t>
            </w:r>
            <w:r>
              <w:rPr>
                <w:rFonts w:hint="default" w:ascii="Arial" w:hAnsi="Arial" w:cs="Arial"/>
                <w:spacing w:val="-10"/>
              </w:rPr>
              <w:t xml:space="preserve"> </w:t>
            </w:r>
            <w:r>
              <w:rPr>
                <w:rFonts w:hint="default" w:ascii="Arial" w:hAnsi="Arial" w:cs="Arial"/>
              </w:rPr>
              <w:t>no</w:t>
            </w:r>
            <w:r>
              <w:rPr>
                <w:rFonts w:hint="default" w:ascii="Arial" w:hAnsi="Arial" w:cs="Arial"/>
                <w:spacing w:val="-10"/>
              </w:rPr>
              <w:t xml:space="preserve"> </w:t>
            </w:r>
            <w:r>
              <w:rPr>
                <w:rFonts w:hint="default" w:ascii="Arial" w:hAnsi="Arial" w:cs="Arial"/>
              </w:rPr>
              <w:t>sistema informatizado de gestão.</w:t>
            </w:r>
          </w:p>
        </w:tc>
        <w:tc>
          <w:tcPr>
            <w:tcW w:w="1843" w:type="dxa"/>
          </w:tcPr>
          <w:p w14:paraId="2FFE009A">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p>
          <w:p w14:paraId="7C30621A">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Contratada</w:t>
            </w:r>
          </w:p>
        </w:tc>
        <w:tc>
          <w:tcPr>
            <w:tcW w:w="4387" w:type="dxa"/>
          </w:tcPr>
          <w:p w14:paraId="67307561">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Interrupção temporária do programa; obrigação de correção imediata; multa contratual</w:t>
            </w:r>
            <w:r>
              <w:rPr>
                <w:rFonts w:hint="default" w:ascii="Arial" w:hAnsi="Arial" w:cs="Arial"/>
                <w:b w:val="0"/>
                <w:bCs w:val="0"/>
                <w:spacing w:val="-13"/>
              </w:rPr>
              <w:t xml:space="preserve"> </w:t>
            </w:r>
            <w:r>
              <w:rPr>
                <w:rFonts w:hint="default" w:ascii="Arial" w:hAnsi="Arial" w:cs="Arial"/>
                <w:b w:val="0"/>
                <w:bCs w:val="0"/>
              </w:rPr>
              <w:t>e</w:t>
            </w:r>
            <w:r>
              <w:rPr>
                <w:rFonts w:hint="default" w:ascii="Arial" w:hAnsi="Arial" w:cs="Arial"/>
                <w:b w:val="0"/>
                <w:bCs w:val="0"/>
                <w:spacing w:val="-13"/>
              </w:rPr>
              <w:t xml:space="preserve"> </w:t>
            </w:r>
            <w:r>
              <w:rPr>
                <w:rFonts w:hint="default" w:ascii="Arial" w:hAnsi="Arial" w:cs="Arial"/>
                <w:b w:val="0"/>
                <w:bCs w:val="0"/>
              </w:rPr>
              <w:t>possibilidade</w:t>
            </w:r>
            <w:r>
              <w:rPr>
                <w:rFonts w:hint="default" w:ascii="Arial" w:hAnsi="Arial" w:cs="Arial"/>
                <w:b w:val="0"/>
                <w:bCs w:val="0"/>
                <w:spacing w:val="-13"/>
              </w:rPr>
              <w:t xml:space="preserve"> </w:t>
            </w:r>
            <w:r>
              <w:rPr>
                <w:rFonts w:hint="default" w:ascii="Arial" w:hAnsi="Arial" w:cs="Arial"/>
                <w:b w:val="0"/>
                <w:bCs w:val="0"/>
              </w:rPr>
              <w:t>de substituição do sistema.</w:t>
            </w:r>
          </w:p>
        </w:tc>
      </w:tr>
      <w:tr w14:paraId="465D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14:paraId="3A5BEA3E">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rPr>
              <w:t>Falhas</w:t>
            </w:r>
            <w:r>
              <w:rPr>
                <w:rFonts w:hint="default" w:ascii="Arial" w:hAnsi="Arial" w:cs="Arial"/>
                <w:spacing w:val="-10"/>
              </w:rPr>
              <w:t xml:space="preserve"> </w:t>
            </w:r>
            <w:r>
              <w:rPr>
                <w:rFonts w:hint="default" w:ascii="Arial" w:hAnsi="Arial" w:cs="Arial"/>
              </w:rPr>
              <w:t>na</w:t>
            </w:r>
            <w:r>
              <w:rPr>
                <w:rFonts w:hint="default" w:ascii="Arial" w:hAnsi="Arial" w:cs="Arial"/>
                <w:spacing w:val="-10"/>
              </w:rPr>
              <w:t xml:space="preserve"> </w:t>
            </w:r>
            <w:r>
              <w:rPr>
                <w:rFonts w:hint="default" w:ascii="Arial" w:hAnsi="Arial" w:cs="Arial"/>
              </w:rPr>
              <w:t>divulgação</w:t>
            </w:r>
            <w:r>
              <w:rPr>
                <w:rFonts w:hint="default" w:ascii="Arial" w:hAnsi="Arial" w:cs="Arial"/>
                <w:spacing w:val="-10"/>
              </w:rPr>
              <w:t xml:space="preserve"> </w:t>
            </w:r>
            <w:r>
              <w:rPr>
                <w:rFonts w:hint="default" w:ascii="Arial" w:hAnsi="Arial" w:cs="Arial"/>
              </w:rPr>
              <w:t>ou</w:t>
            </w:r>
            <w:r>
              <w:rPr>
                <w:rFonts w:hint="default" w:ascii="Arial" w:hAnsi="Arial" w:cs="Arial"/>
                <w:spacing w:val="-10"/>
              </w:rPr>
              <w:t xml:space="preserve"> </w:t>
            </w:r>
            <w:r>
              <w:rPr>
                <w:rFonts w:hint="default" w:ascii="Arial" w:hAnsi="Arial" w:cs="Arial"/>
              </w:rPr>
              <w:t>comunicação pública do programa.</w:t>
            </w:r>
          </w:p>
        </w:tc>
        <w:tc>
          <w:tcPr>
            <w:tcW w:w="1843" w:type="dxa"/>
          </w:tcPr>
          <w:p w14:paraId="7336101B">
            <w:pPr>
              <w:pStyle w:val="57"/>
              <w:keepNext w:val="0"/>
              <w:keepLines w:val="0"/>
              <w:pageBreakBefore w:val="0"/>
              <w:kinsoku/>
              <w:wordWrap/>
              <w:overflowPunct/>
              <w:topLinePunct w:val="0"/>
              <w:autoSpaceDE/>
              <w:autoSpaceDN/>
              <w:bidi w:val="0"/>
              <w:adjustRightInd/>
              <w:snapToGrid/>
              <w:spacing w:before="0" w:after="0"/>
              <w:textAlignment w:val="auto"/>
              <w:rPr>
                <w:rFonts w:hint="default" w:ascii="Arial" w:hAnsi="Arial" w:cs="Arial"/>
              </w:rPr>
            </w:pPr>
            <w:r>
              <w:rPr>
                <w:rFonts w:hint="default" w:ascii="Arial" w:hAnsi="Arial" w:cs="Arial"/>
                <w:spacing w:val="-2"/>
              </w:rPr>
              <w:t>Município</w:t>
            </w:r>
          </w:p>
        </w:tc>
        <w:tc>
          <w:tcPr>
            <w:tcW w:w="4387" w:type="dxa"/>
          </w:tcPr>
          <w:p w14:paraId="7C14D5DD">
            <w:pPr>
              <w:pStyle w:val="56"/>
              <w:keepNext w:val="0"/>
              <w:keepLines w:val="0"/>
              <w:pageBreakBefore w:val="0"/>
              <w:numPr>
                <w:ilvl w:val="0"/>
                <w:numId w:val="0"/>
              </w:numPr>
              <w:pBdr>
                <w:bottom w:val="none" w:color="auto" w:sz="0" w:space="0"/>
              </w:pBdr>
              <w:kinsoku/>
              <w:wordWrap/>
              <w:overflowPunct/>
              <w:topLinePunct w:val="0"/>
              <w:autoSpaceDE/>
              <w:autoSpaceDN/>
              <w:bidi w:val="0"/>
              <w:adjustRightInd/>
              <w:snapToGrid/>
              <w:spacing w:before="0" w:after="0"/>
              <w:textAlignment w:val="auto"/>
              <w:rPr>
                <w:rFonts w:hint="default" w:ascii="Arial" w:hAnsi="Arial" w:cs="Arial"/>
                <w:b w:val="0"/>
                <w:bCs w:val="0"/>
              </w:rPr>
            </w:pPr>
            <w:r>
              <w:rPr>
                <w:rFonts w:hint="default" w:ascii="Arial" w:hAnsi="Arial" w:cs="Arial"/>
                <w:b w:val="0"/>
                <w:bCs w:val="0"/>
              </w:rPr>
              <w:t>Risco de insatisfação social e apontamentos de controle interno; correção e republicação</w:t>
            </w:r>
            <w:r>
              <w:rPr>
                <w:rFonts w:hint="default" w:ascii="Arial" w:hAnsi="Arial" w:cs="Arial"/>
                <w:b w:val="0"/>
                <w:bCs w:val="0"/>
                <w:spacing w:val="-17"/>
              </w:rPr>
              <w:t xml:space="preserve"> </w:t>
            </w:r>
            <w:r>
              <w:rPr>
                <w:rFonts w:hint="default" w:ascii="Arial" w:hAnsi="Arial" w:cs="Arial"/>
                <w:b w:val="0"/>
                <w:bCs w:val="0"/>
              </w:rPr>
              <w:t>das</w:t>
            </w:r>
            <w:r>
              <w:rPr>
                <w:rFonts w:hint="default" w:ascii="Arial" w:hAnsi="Arial" w:cs="Arial"/>
                <w:b w:val="0"/>
                <w:bCs w:val="0"/>
                <w:spacing w:val="-17"/>
              </w:rPr>
              <w:t xml:space="preserve"> </w:t>
            </w:r>
            <w:r>
              <w:rPr>
                <w:rFonts w:hint="default" w:ascii="Arial" w:hAnsi="Arial" w:cs="Arial"/>
                <w:b w:val="0"/>
                <w:bCs w:val="0"/>
              </w:rPr>
              <w:t>informações.</w:t>
            </w:r>
          </w:p>
        </w:tc>
      </w:tr>
    </w:tbl>
    <w:p w14:paraId="4A5E3FDB">
      <w:pPr>
        <w:pStyle w:val="54"/>
      </w:pPr>
      <w:r>
        <w:t xml:space="preserve">São considerados riscos que podem ocorrer ao longo da execução contratual com potencial de comprometer o equilíbrio econômico-financeiro, aqueles que estiverem preenchidos como riscos do </w:t>
      </w:r>
      <w:bookmarkEnd w:id="6"/>
      <w:r>
        <w:t>contratante, sendo aplicada a regra para reequilíbrio econômico-financeiro nestes casos.</w:t>
      </w:r>
    </w:p>
    <w:p w14:paraId="18A58866">
      <w:pPr>
        <w:pStyle w:val="54"/>
      </w:pPr>
      <w:r>
        <w:t>O contratado terá a obrigação de demonstrar, no prazo de 30 (trinta) dias contados da assinatura do contrato, o pagamento dos seguros eventualmente solicitados pela matriz de risco contratual.</w:t>
      </w:r>
    </w:p>
    <w:p w14:paraId="1DBA01ED">
      <w:pPr>
        <w:pStyle w:val="54"/>
      </w:pPr>
      <w:r>
        <w:t>O fiscal do contrato acompanhará os mecanismos de mitigação dos riscos previstos na matriz de risco contratual.</w:t>
      </w:r>
    </w:p>
    <w:p w14:paraId="218DAA53">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REEQUILÍBRIO ECONÔMICO-FINANCEIRO</w:t>
      </w:r>
    </w:p>
    <w:p w14:paraId="74F8C99E">
      <w:pPr>
        <w:pStyle w:val="25"/>
        <w:numPr>
          <w:ilvl w:val="1"/>
          <w:numId w:val="2"/>
        </w:numPr>
        <w:tabs>
          <w:tab w:val="left" w:pos="851"/>
          <w:tab w:val="left" w:pos="1843"/>
        </w:tabs>
        <w:spacing w:before="120" w:line="264" w:lineRule="auto"/>
        <w:ind w:left="0" w:firstLine="0"/>
        <w:contextualSpacing w:val="0"/>
        <w:jc w:val="both"/>
        <w:rPr>
          <w:rFonts w:ascii="Arial" w:hAnsi="Arial" w:cs="Arial"/>
        </w:rPr>
      </w:pPr>
      <w:bookmarkStart w:id="7" w:name="_Ref108270919"/>
      <w:r>
        <w:rPr>
          <w:rFonts w:ascii="Arial" w:hAnsi="Arial"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7"/>
    </w:p>
    <w:p w14:paraId="490550E6">
      <w:pPr>
        <w:pStyle w:val="55"/>
      </w:pPr>
      <w:r>
        <w:t>A solicitação será endereçada ao gestor do contrato na Diretoria de Compras da Secretaria Municipal de Fazenda.</w:t>
      </w:r>
    </w:p>
    <w:p w14:paraId="3D7CA201">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075BB06E">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indicado, será facultado ao contratado a suspensão da execução contratual até que sobrevenha resposta a sua solicitação.</w:t>
      </w:r>
    </w:p>
    <w:p w14:paraId="638C3384">
      <w:pPr>
        <w:pStyle w:val="54"/>
      </w:pPr>
      <w:r>
        <w:t xml:space="preserve">A necessidade de reequilíbrio econômico-financeiro do contrato em favor do contratante será comunicada previamente ao contratado, de forma devidamente fundamentada e demonstrada nos mesmos termos da cláusula </w:t>
      </w:r>
      <w:r>
        <w:fldChar w:fldCharType="begin"/>
      </w:r>
      <w:r>
        <w:instrText xml:space="preserve"> REF _Ref108270919 \r \h </w:instrText>
      </w:r>
      <w:r>
        <w:fldChar w:fldCharType="separate"/>
      </w:r>
      <w:r>
        <w:t>14.1</w:t>
      </w:r>
      <w:r>
        <w:fldChar w:fldCharType="end"/>
      </w:r>
      <w:r>
        <w:t xml:space="preserve">, deste contrato para a pertinente manifestação e concordância, levando à extinção contratual, sem penalidades, nos casos em que não houver acordo sobre o novo valor. </w:t>
      </w:r>
    </w:p>
    <w:p w14:paraId="575FDEE3">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Formalizado o reequilíbrio econômico-financeiro, este produzirá efeitos retroativos à data do fato gerador, devendo, as subsequentes notas fiscais emitidas pelo contratado e os pagamentos realizados pelo contratante, observar os novos valores.</w:t>
      </w:r>
    </w:p>
    <w:p w14:paraId="240974C8">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2ACA0AB4">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 hipótese de não ser possível o acordo entre as partes, o contrato será rescindido, sem ônus para nenhuma das partes.</w:t>
      </w:r>
    </w:p>
    <w:p w14:paraId="42742905">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pedido de restabelecimento do equilíbrio econômico-financeiro deverá ser formulado durante a vigência do contrato e antes de eventual prorrogação.</w:t>
      </w:r>
    </w:p>
    <w:p w14:paraId="048BD89B">
      <w:pPr>
        <w:pStyle w:val="25"/>
        <w:keepNext/>
        <w:numPr>
          <w:ilvl w:val="0"/>
          <w:numId w:val="2"/>
        </w:numPr>
        <w:pBdr>
          <w:bottom w:val="thinThickMediumGap" w:color="auto" w:sz="18" w:space="1"/>
        </w:pBdr>
        <w:tabs>
          <w:tab w:val="left" w:pos="2127"/>
        </w:tabs>
        <w:spacing w:before="360" w:line="264" w:lineRule="auto"/>
        <w:ind w:left="357" w:hanging="357"/>
        <w:contextualSpacing w:val="0"/>
        <w:jc w:val="both"/>
        <w:rPr>
          <w:rFonts w:ascii="Arial" w:hAnsi="Arial" w:cs="Arial"/>
          <w:b/>
          <w:bCs/>
        </w:rPr>
      </w:pPr>
      <w:r>
        <w:rPr>
          <w:rFonts w:ascii="Arial" w:hAnsi="Arial" w:cs="Arial"/>
          <w:b/>
          <w:bCs/>
        </w:rPr>
        <w:t>OBRIGAÇÕES DO CONTRATADO</w:t>
      </w:r>
    </w:p>
    <w:p w14:paraId="04015754">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Constituem obrigações do contratado: </w:t>
      </w:r>
    </w:p>
    <w:p w14:paraId="3DF407CB">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aceitar, nas mesmas condições de sua proposta, os acréscimos ou supressões determinadas pelo contratante nos termos da Lei nº 14.133/2021; </w:t>
      </w:r>
    </w:p>
    <w:p w14:paraId="55DBC964">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ao fiscal do contrato, de imediato, qualquer ocorrência que impeça a execução regular de suas obrigações; </w:t>
      </w:r>
    </w:p>
    <w:p w14:paraId="6BC9E894">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atender às determinações do fiscal do contrato, destinadas ao regular cumprimento do contrato; </w:t>
      </w:r>
    </w:p>
    <w:p w14:paraId="1B280F9C">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efetuar o pagamento de todos os impostos, taxas e demais obrigações fiscais incidentes ou que vierem a incidir sobre o objeto do contrato; </w:t>
      </w:r>
    </w:p>
    <w:p w14:paraId="24810F53">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declarar o descumprimento das condições de habilitação, sob pena de declaração de inidoneidade para licitar ou contratar;</w:t>
      </w:r>
    </w:p>
    <w:p w14:paraId="6AEB8ABE">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manter contatos com o contratante sempre por escrito, ressalvados os entendimentos verbais determinados pela urgência, que deverão ser registrados e confirmados por escrito no prazo de 3 (três) dias úteis;</w:t>
      </w:r>
    </w:p>
    <w:p w14:paraId="179F36F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manter atualizado, durante a vigência do presente contrato, o endereço, número de telefone fixo e celular, correio eletrônico e nome do representante legal com poder de decisão;</w:t>
      </w:r>
    </w:p>
    <w:p w14:paraId="4AD49846">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receber e processar os dados dos discentes, docentes e agentes de apoio educacional para a confecção e personalização dos cartões;</w:t>
      </w:r>
    </w:p>
    <w:p w14:paraId="4E85733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fornecer os cartões magnéticos de acordo com as especificações técnicas, de segurança e de identidade visual determinadas pelo Município;</w:t>
      </w:r>
    </w:p>
    <w:p w14:paraId="1E9A8A54">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disponibilizar e manter um sistema informatizado robusto e seguro para a gestão completa do programa, que permita o cadastro de beneficiários, o controle de saldos, o bloqueio e desbloqueio de cartões e a geração de relatórios gerenciais em tempo real;</w:t>
      </w:r>
    </w:p>
    <w:p w14:paraId="3C411601">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garantir a segurança e a inviolabilidade das transações eletrônicas realizadas por meio dos cartões;</w:t>
      </w:r>
    </w:p>
    <w:p w14:paraId="555E12D4">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realizar a carga dos valores nos cartões de forma precisa e pontual, conforme cronograma e autorização da Secretaria Municipal de Educação;</w:t>
      </w:r>
    </w:p>
    <w:p w14:paraId="565121EB">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implementar o bloqueio automático dos saldos não utilizados após o vencimento do prazo estipulado n</w:t>
      </w:r>
      <w:r>
        <w:rPr>
          <w:rFonts w:hint="default"/>
          <w:highlight w:val="none"/>
          <w:lang w:val="pt-BR"/>
        </w:rPr>
        <w:t>o</w:t>
      </w:r>
      <w:r>
        <w:rPr>
          <w:rFonts w:hint="default"/>
          <w:highlight w:val="none"/>
        </w:rPr>
        <w:t xml:space="preserve"> Decreto</w:t>
      </w:r>
      <w:r>
        <w:rPr>
          <w:rFonts w:hint="default"/>
          <w:highlight w:val="none"/>
          <w:lang w:val="pt-BR"/>
        </w:rPr>
        <w:t xml:space="preserve"> Municipal nº 27.526/2025</w:t>
      </w:r>
      <w:r>
        <w:rPr>
          <w:rFonts w:hint="default"/>
          <w:highlight w:val="none"/>
        </w:rPr>
        <w:t>;</w:t>
      </w:r>
    </w:p>
    <w:p w14:paraId="3422E9CA">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providenciar, com celeridade, a substituição de cartões em casos de perda, roubo, furto ou defeito, mediante solicitação formal da Secretaria Municipal de Educação;</w:t>
      </w:r>
    </w:p>
    <w:p w14:paraId="327B590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oferecer suporte técnico contínuo, por meio de canais diversificados, para os estabelecimentos credenciados, para os</w:t>
      </w:r>
      <w:r>
        <w:rPr>
          <w:rFonts w:hint="default"/>
          <w:highlight w:val="none"/>
          <w:lang w:val="pt-BR"/>
        </w:rPr>
        <w:t xml:space="preserve"> beneficiários e para a equipe de gestão da Secretaria Municipal de Educação;</w:t>
      </w:r>
    </w:p>
    <w:p w14:paraId="64F90D9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disponibilizar canais de atendimento acessíveis aos beneficiários para consulta de saldo, extrato e outras informações relevantes;</w:t>
      </w:r>
    </w:p>
    <w:p w14:paraId="6EA89DBF">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fornecer à Secretaria Municipal de Educação relatórios detalhados e customizáveis sobre a utilização dos recursos, incluindo dados por estabelecimento, por tipo de item adquirido e por beneficiário;</w:t>
      </w:r>
    </w:p>
    <w:p w14:paraId="0D93DFB6">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realizar o treinamento dos servidores municipais da Secretaria Municipal de Educação que farão a gestão e fiscalização do programa por meio do sistema disponibilizado;</w:t>
      </w:r>
    </w:p>
    <w:p w14:paraId="33C347F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rPr>
        <w:t>manter o mais absoluto sigilo sobre os dados cadastrais e financeiros dos beneficiários, em estrita conformidade com a Lei Geral de Proteção de Dados Pessoais (LGPD) e demais legislações aplicáveis</w:t>
      </w:r>
      <w:r>
        <w:rPr>
          <w:rFonts w:hint="default"/>
          <w:highlight w:val="none"/>
          <w:lang w:val="pt-BR"/>
        </w:rPr>
        <w:t>;</w:t>
      </w:r>
    </w:p>
    <w:p w14:paraId="247CB3DB">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arcará com 1% (um por cento) da quantidade total de cartões previstos na licitação para fins de reemisão gratuita para os casos de cartões danificados, perdidos ou furtados, arcando integralmente com os custos correspondentes;</w:t>
      </w:r>
    </w:p>
    <w:p w14:paraId="2B60642B">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os pagamentos e repasses do contrato deverão ser feitos por meio de conta vinculada, conforme o art. 142 da Lei nº 14.133/2021, referida conta será usada exclusivamente para movimentar os valores do Programa Cartão PVAI EDUCA, garantindo mais segurança, controle e transparência;</w:t>
      </w:r>
    </w:p>
    <w:p w14:paraId="2CC946C3">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lightGray"/>
        </w:rPr>
      </w:pPr>
      <w:r>
        <w:rPr>
          <w:rFonts w:hint="default"/>
          <w:i w:val="0"/>
          <w:iCs/>
          <w:color w:val="auto"/>
          <w:highlight w:val="none"/>
          <w:lang w:val="pt-BR"/>
        </w:rPr>
        <w:t>a</w:t>
      </w:r>
      <w:r>
        <w:rPr>
          <w:rFonts w:hint="default"/>
          <w:i w:val="0"/>
          <w:iCs/>
          <w:color w:val="auto"/>
          <w:highlight w:val="none"/>
        </w:rPr>
        <w:t xml:space="preserve"> CONTRA</w:t>
      </w:r>
      <w:r>
        <w:rPr>
          <w:rFonts w:hint="default"/>
          <w:i w:val="0"/>
          <w:iCs/>
          <w:color w:val="auto"/>
        </w:rPr>
        <w:t>TADA deverá comprovar e manter durante toda a execução contratual o cumprimento da reserva legal de cargos destinada a pessoas com deficiência ou reabilitadas e a aprendizes, conforme estabelecido na legislação trabalhista vigente e no art. 92, inciso XVII, da Lei nº 14.133/2021</w:t>
      </w:r>
      <w:r>
        <w:rPr>
          <w:rFonts w:hint="default"/>
          <w:i w:val="0"/>
          <w:iCs/>
          <w:color w:val="auto"/>
          <w:lang w:val="pt-BR"/>
        </w:rPr>
        <w:t>;</w:t>
      </w:r>
    </w:p>
    <w:p w14:paraId="27AA6B60">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a</w:t>
      </w:r>
      <w:r>
        <w:rPr>
          <w:rFonts w:hint="default" w:ascii="Arial" w:hAnsi="Arial"/>
          <w:highlight w:val="none"/>
        </w:rPr>
        <w:t xml:space="preserve"> CONTRATADA deverá efetuar o repasse financeiro à rede credenciada no prazo máximo de 15 (quinze) dias corridos, contados do fechamento mensal das transações realizadas com os cartões PVAI EDUCA, garantindo a regularidade dos pagamentos e a continuidade dos serviços prestados pelos estabelecimentos participantes do programa</w:t>
      </w:r>
      <w:r>
        <w:rPr>
          <w:rFonts w:hint="default"/>
          <w:highlight w:val="none"/>
          <w:lang w:val="pt-BR"/>
        </w:rPr>
        <w:t>;</w:t>
      </w:r>
    </w:p>
    <w:p w14:paraId="62731F2C">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t>Cobrar taxa máxima da rede credenciada de 3%, afim de assegurar a efetividade do programa</w:t>
      </w:r>
      <w:r>
        <w:rPr>
          <w:rFonts w:hint="default"/>
          <w:lang w:val="pt-BR"/>
        </w:rPr>
        <w:t>.</w:t>
      </w:r>
    </w:p>
    <w:p w14:paraId="7623A306">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OBRIGAÇÕES DO CONTRATANTE</w:t>
      </w:r>
    </w:p>
    <w:p w14:paraId="503219D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Constituem obrigações do contratante:</w:t>
      </w:r>
    </w:p>
    <w:p w14:paraId="3E6A1324">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realizar o empenho da respectiva dotação orçamentária;</w:t>
      </w:r>
    </w:p>
    <w:p w14:paraId="09F0E910">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publicar o contrato no Portal Nacional de Contratações Públicas;</w:t>
      </w:r>
    </w:p>
    <w:p w14:paraId="2D16F05A">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comunicar ao contratado a publicação do contrato no Portal Nacional de Contratações Públicas;</w:t>
      </w:r>
    </w:p>
    <w:p w14:paraId="640F87F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acompanhar e fiscalizar a execução do contrato, registrando as eventuais ocorrências; </w:t>
      </w:r>
    </w:p>
    <w:p w14:paraId="1FAE99C9">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comunicar imediatamente ao contratado qualquer defeito ou deficiência que venha a constatar, referente à execução do objeto deste contrato; </w:t>
      </w:r>
    </w:p>
    <w:p w14:paraId="42DFA4FC">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informar alterações no cronograma, com antecedência mínima de 24 (vinte e quatro) horas;</w:t>
      </w:r>
    </w:p>
    <w:p w14:paraId="67BA4193">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fornecer, em tempo hábil, todas as informações necessárias para o cumprimento das obrigações por parte do contratado;</w:t>
      </w:r>
    </w:p>
    <w:p w14:paraId="1B5CB544">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coordenar e supervisionar todas as ações estratégicas e operacionais relacionadas à implementação, execução e avaliação do programa;</w:t>
      </w:r>
    </w:p>
    <w:p w14:paraId="340EF5A7">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instruir e acompanhar o processo de contratação do agente financeiro ou empresa gestora responsável pela operacionalização dos cartões;</w:t>
      </w:r>
    </w:p>
    <w:p w14:paraId="71EFF956">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elaborar normas complementares e orientar a empresa gestora no processo de credenciamento dos estabelecimentos comerciais;</w:t>
      </w:r>
    </w:p>
    <w:p w14:paraId="61C16564">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fiscalizar o estrito cumprimento das normas do programa por todos os agentes envolvidos, incluindo beneficiários, unidades escolares, estabelecimentos comerciais e empresa gestora;</w:t>
      </w:r>
    </w:p>
    <w:p w14:paraId="4069D03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analisar e deliberar, em caráter terminativo, sobre os casos omissos e excepcionais relacionados à execução do programa;</w:t>
      </w:r>
    </w:p>
    <w:p w14:paraId="65EABB81">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planejar a logística de processamento e distribuição dos cartões para as unidades escolares em tempo hábil para o início do ano letivo;</w:t>
      </w:r>
    </w:p>
    <w:p w14:paraId="4E2A0F7F">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promover amplas campanhas de divulgação e orientação sobre o programa, utilizando os canais de comunicação oficiais do Município;</w:t>
      </w:r>
    </w:p>
    <w:p w14:paraId="37254B6C">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instaurar processos administrativos para apurar denúncias de irregularidades e, se for o caso, aplicar as sanções cabíveis, nos termos deste Decreto e da legislação pertinente;</w:t>
      </w:r>
    </w:p>
    <w:p w14:paraId="22B45F10">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elaborar e publicar relatórios periódicos de acompanhamento e avaliação da execução do programa, com indicadores de desempenho e financeiros;</w:t>
      </w:r>
    </w:p>
    <w:p w14:paraId="2517E2AA">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realizar reuniões de capacitação com as equipes gestoras das unidades de ensino e com os servidores envolvidos na fiscalização do programa;</w:t>
      </w:r>
    </w:p>
    <w:p w14:paraId="0EA2F098">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none"/>
        </w:rPr>
      </w:pPr>
      <w:r>
        <w:rPr>
          <w:rFonts w:hint="default"/>
          <w:highlight w:val="none"/>
          <w:lang w:val="pt-BR"/>
        </w:rPr>
        <w:t>disponibilizar os modelos de documentos necessários à operacionalização do programa, como o termo de responsabilidade e declarações de vínculo;</w:t>
      </w:r>
    </w:p>
    <w:p w14:paraId="5FEFBD24">
      <w:pPr>
        <w:pStyle w:val="25"/>
        <w:numPr>
          <w:ilvl w:val="2"/>
          <w:numId w:val="2"/>
        </w:numPr>
        <w:tabs>
          <w:tab w:val="left" w:pos="993"/>
          <w:tab w:val="left" w:pos="1843"/>
        </w:tabs>
        <w:spacing w:before="120" w:line="264" w:lineRule="auto"/>
        <w:ind w:left="0" w:firstLine="0"/>
        <w:contextualSpacing w:val="0"/>
        <w:jc w:val="both"/>
        <w:rPr>
          <w:rFonts w:ascii="Arial" w:hAnsi="Arial" w:cs="Arial"/>
          <w:highlight w:val="lightGray"/>
        </w:rPr>
      </w:pPr>
      <w:r>
        <w:rPr>
          <w:rFonts w:hint="default"/>
          <w:highlight w:val="none"/>
          <w:lang w:val="pt-BR"/>
        </w:rPr>
        <w:t>realizar o credenciamento dos estabelecimentos comerciais que atendam aos critérios esta</w:t>
      </w:r>
      <w:r>
        <w:rPr>
          <w:rFonts w:hint="default"/>
          <w:lang w:val="pt-BR"/>
        </w:rPr>
        <w:t>belecidos pelo Município, mantendo uma rede ampla e geograficamente distribuída.</w:t>
      </w:r>
    </w:p>
    <w:p w14:paraId="1D7EA81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FISCALIZAÇÃO</w:t>
      </w:r>
      <w:r>
        <w:rPr>
          <w:rFonts w:ascii="Arial" w:hAnsi="Arial" w:cs="Arial"/>
          <w:b/>
        </w:rPr>
        <w:t xml:space="preserve"> DO CONTRATO</w:t>
      </w:r>
    </w:p>
    <w:p w14:paraId="1F02578A">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fiscalização do contrato será realizada por ....., e-mail: ...... e a gestão do contrato por ....., e-mail: ......, sendo representante do contratado ....., na qualidade de preposto.</w:t>
      </w:r>
    </w:p>
    <w:p w14:paraId="4E4856C6">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ALTERAÇÃO</w:t>
      </w:r>
      <w:r>
        <w:rPr>
          <w:rFonts w:ascii="Arial" w:hAnsi="Arial" w:cs="Arial"/>
          <w:b/>
        </w:rPr>
        <w:t xml:space="preserve"> CONTRATUAL </w:t>
      </w:r>
    </w:p>
    <w:p w14:paraId="4835D84D">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54B7CACD">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Em caso de acréscimo de quantitativo, poderá ser realizado o ajuste no prazo de vigência e no cronograma. </w:t>
      </w:r>
    </w:p>
    <w:p w14:paraId="0A607C8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5F38CE0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SUBCONTRATAÇÃO </w:t>
      </w:r>
    </w:p>
    <w:p w14:paraId="71B4750B">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Não será admitida a subcontratação.</w:t>
      </w:r>
    </w:p>
    <w:p w14:paraId="2BA8814B">
      <w:pPr>
        <w:pStyle w:val="55"/>
        <w:bidi w:val="0"/>
        <w:ind w:left="0" w:leftChars="0" w:firstLine="0" w:firstLineChars="0"/>
      </w:pPr>
      <w:r>
        <w:rPr>
          <w:rFonts w:hint="default"/>
        </w:rPr>
        <w:t>A subcontratação será vedada em razão da indivisibilidade e da natureza técnica do objeto contratual, que envolve a gestão integrada de sistema informatizado, a emissão e o controle de cartões eletrônicos, além do suporte técnico e da segurança de dados sensíveis dos beneficiários. Tais atividades demandam controle operacional unificado, responsabilidade direta e qualificação técnica comprovada da contratada, sendo incompatíveis com a fragmentação das etapas de execução.</w:t>
      </w:r>
    </w:p>
    <w:p w14:paraId="4FE13B53">
      <w:pPr>
        <w:pStyle w:val="55"/>
        <w:numPr>
          <w:ilvl w:val="2"/>
          <w:numId w:val="0"/>
        </w:numPr>
        <w:bidi w:val="0"/>
        <w:ind w:leftChars="0"/>
      </w:pPr>
      <w:r>
        <w:rPr>
          <w:rFonts w:hint="default"/>
        </w:rPr>
        <w:t>A eventual subcontratação poderia comprometer a segurança das informações, a eficiência do sistema e a rastreabilidade das operações financeiras, contrariando os princípios da transparência e da responsabilidade previstos na Lei nº 14.133/2021, no Decreto Municipal nº 27.526/2025, e na Lei Geral de Proteção de Dados Pessoais (Lei nº 13.709/2018 – LGPD), que assegura o tratamento adequado e seguro dos dados pessoais dos beneficiários.</w:t>
      </w:r>
    </w:p>
    <w:p w14:paraId="0D437BBD">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MEIOS ALTERNATIVOS DE SOLUÇÃO DE CONTROVÉRSIA</w:t>
      </w:r>
    </w:p>
    <w:p w14:paraId="70EEB01D">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Dentre as possibilidades elencadas no art. 151 da Lei n° 14.133/2021, as partes buscarão a solução consensual das eventuais controvérsias, por meio da conciliação.</w:t>
      </w:r>
    </w:p>
    <w:p w14:paraId="34AAE5C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SANÇÕES ADMINISTRATIVAS </w:t>
      </w:r>
    </w:p>
    <w:p w14:paraId="43D275CA">
      <w:pPr>
        <w:pStyle w:val="54"/>
        <w:bidi w:val="0"/>
        <w:ind w:left="14" w:leftChars="0" w:hanging="14" w:firstLineChars="0"/>
        <w:rPr>
          <w:szCs w:val="20"/>
        </w:rPr>
      </w:pPr>
      <w:r>
        <w:t>As infrações praticadas pelo contratado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9"/>
          <w:szCs w:val="20"/>
        </w:rPr>
        <w:t>Processo Sancionatório</w:t>
      </w:r>
      <w:r>
        <w:rPr>
          <w:rStyle w:val="9"/>
          <w:szCs w:val="20"/>
        </w:rPr>
        <w:fldChar w:fldCharType="end"/>
      </w:r>
      <w:r>
        <w:t>”.</w:t>
      </w:r>
    </w:p>
    <w:p w14:paraId="13961185">
      <w:pPr>
        <w:pStyle w:val="54"/>
        <w:bidi w:val="0"/>
        <w:ind w:left="14" w:leftChars="0" w:hanging="14" w:firstLineChars="0"/>
        <w:rPr>
          <w:szCs w:val="20"/>
        </w:rPr>
      </w:pPr>
      <w:r>
        <w:rPr>
          <w:szCs w:val="20"/>
        </w:rPr>
        <w:t>Nos casos em que o contratado cometer ato de descumprimento parcial do contrato, sem que gere dano ao Município, o fiscal do contrato aplicará sanção de advertência ao contratado pelo inadimplemento.</w:t>
      </w:r>
    </w:p>
    <w:p w14:paraId="55C7EB0A">
      <w:pPr>
        <w:pStyle w:val="54"/>
        <w:bidi w:val="0"/>
        <w:ind w:left="14" w:leftChars="0" w:hanging="14" w:firstLineChars="0"/>
        <w:rPr>
          <w:szCs w:val="20"/>
        </w:rPr>
      </w:pPr>
      <w:r>
        <w:rPr>
          <w:szCs w:val="20"/>
        </w:rPr>
        <w:t>Será aplicada multa moratória de 0,5% (zero vírgula cinco por cento) por dia de atraso injustificado sobre o valor da parcela inadimplida, até o limite de 40 (quarenta) dias.</w:t>
      </w:r>
    </w:p>
    <w:p w14:paraId="516218B4">
      <w:pPr>
        <w:pStyle w:val="54"/>
        <w:bidi w:val="0"/>
        <w:ind w:left="14" w:leftChars="0" w:hanging="14" w:firstLineChars="0"/>
        <w:rPr>
          <w:szCs w:val="20"/>
        </w:rPr>
      </w:pPr>
      <w:r>
        <w:rPr>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4F39278F">
      <w:pPr>
        <w:pStyle w:val="54"/>
        <w:bidi w:val="0"/>
        <w:ind w:left="14" w:leftChars="0" w:hanging="14" w:firstLineChars="0"/>
        <w:rPr>
          <w:szCs w:val="20"/>
        </w:rPr>
      </w:pPr>
      <w:r>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3FBEFD8C">
      <w:pPr>
        <w:pStyle w:val="54"/>
        <w:bidi w:val="0"/>
        <w:ind w:left="14" w:leftChars="0" w:hanging="14" w:firstLineChars="0"/>
        <w:rPr>
          <w:szCs w:val="20"/>
        </w:rPr>
      </w:pPr>
      <w:r>
        <w:rPr>
          <w:szCs w:val="20"/>
        </w:rPr>
        <w:t>Nos casos de inexecução total do contrato, o Município aplicará multa de 20% (vinte por cento) sobre o valor do saldo contratual a executar.</w:t>
      </w:r>
    </w:p>
    <w:p w14:paraId="6EBA13DF">
      <w:pPr>
        <w:pStyle w:val="54"/>
        <w:bidi w:val="0"/>
        <w:ind w:left="14" w:leftChars="0" w:hanging="14" w:firstLineChars="0"/>
        <w:rPr>
          <w:szCs w:val="20"/>
        </w:rPr>
      </w:pPr>
      <w:r>
        <w:rPr>
          <w:szCs w:val="20"/>
        </w:rPr>
        <w:t>A penalidade de multa poderá ser cumulada com penalidade de impedimento de licitar e contratar, nos termos da tabela:</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395"/>
        <w:gridCol w:w="3402"/>
        <w:gridCol w:w="1559"/>
      </w:tblGrid>
      <w:tr w14:paraId="2BB6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1D63F7E5">
            <w:pPr>
              <w:widowControl/>
              <w:spacing w:before="80" w:after="80" w:line="264" w:lineRule="auto"/>
              <w:jc w:val="center"/>
              <w:rPr>
                <w:b/>
                <w:bCs/>
              </w:rPr>
            </w:pPr>
            <w:r>
              <w:rPr>
                <w:b/>
                <w:bCs/>
                <w:kern w:val="0"/>
                <w:lang w:val="pt-BR" w:eastAsia="pt-BR" w:bidi="ar-SA"/>
              </w:rPr>
              <w:t>INFRAÇÃO COMETIDA</w:t>
            </w:r>
          </w:p>
        </w:tc>
        <w:tc>
          <w:tcPr>
            <w:tcW w:w="3402" w:type="dxa"/>
            <w:vAlign w:val="center"/>
          </w:tcPr>
          <w:p w14:paraId="7A327AE0">
            <w:pPr>
              <w:widowControl/>
              <w:spacing w:before="80" w:after="80" w:line="264" w:lineRule="auto"/>
              <w:jc w:val="center"/>
              <w:rPr>
                <w:b/>
                <w:bCs/>
              </w:rPr>
            </w:pPr>
            <w:r>
              <w:rPr>
                <w:b/>
                <w:bCs/>
                <w:kern w:val="0"/>
                <w:lang w:val="pt-BR" w:eastAsia="pt-BR" w:bidi="ar-SA"/>
              </w:rPr>
              <w:t>PENALIDADE</w:t>
            </w:r>
          </w:p>
        </w:tc>
        <w:tc>
          <w:tcPr>
            <w:tcW w:w="1559" w:type="dxa"/>
            <w:vAlign w:val="center"/>
          </w:tcPr>
          <w:p w14:paraId="22B3C37B">
            <w:pPr>
              <w:widowControl/>
              <w:spacing w:before="80" w:after="80" w:line="264" w:lineRule="auto"/>
              <w:jc w:val="center"/>
              <w:rPr>
                <w:b/>
                <w:bCs/>
              </w:rPr>
            </w:pPr>
            <w:r>
              <w:rPr>
                <w:b/>
                <w:bCs/>
                <w:kern w:val="0"/>
                <w:lang w:val="pt-BR" w:eastAsia="pt-BR" w:bidi="ar-SA"/>
              </w:rPr>
              <w:t>PRAZO</w:t>
            </w:r>
          </w:p>
        </w:tc>
      </w:tr>
      <w:tr w14:paraId="6284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9662972">
            <w:pPr>
              <w:widowControl/>
              <w:spacing w:before="80" w:after="80" w:line="264" w:lineRule="auto"/>
              <w:jc w:val="center"/>
              <w:rPr>
                <w:kern w:val="0"/>
                <w:lang w:val="pt-BR" w:eastAsia="pt-BR" w:bidi="ar-SA"/>
              </w:rPr>
            </w:pPr>
            <w:r>
              <w:rPr>
                <w:kern w:val="0"/>
                <w:lang w:val="pt-BR" w:eastAsia="pt-BR" w:bidi="ar-SA"/>
              </w:rPr>
              <w:t>Ensejar o retardamento da execução do contrato sem motivo justificado</w:t>
            </w:r>
          </w:p>
        </w:tc>
        <w:tc>
          <w:tcPr>
            <w:tcW w:w="3402" w:type="dxa"/>
            <w:vAlign w:val="center"/>
          </w:tcPr>
          <w:p w14:paraId="5A89AEF4">
            <w:pPr>
              <w:widowControl/>
              <w:spacing w:before="80" w:after="80" w:line="264" w:lineRule="auto"/>
              <w:jc w:val="center"/>
              <w:rPr>
                <w:kern w:val="0"/>
                <w:lang w:val="pt-BR" w:eastAsia="pt-BR" w:bidi="ar-SA"/>
              </w:rPr>
            </w:pPr>
            <w:r>
              <w:rPr>
                <w:kern w:val="0"/>
                <w:lang w:val="pt-BR" w:eastAsia="pt-BR" w:bidi="ar-SA"/>
              </w:rPr>
              <w:t>Impedimento de licitar ou contratar com o município de Paranavaí</w:t>
            </w:r>
          </w:p>
        </w:tc>
        <w:tc>
          <w:tcPr>
            <w:tcW w:w="1559" w:type="dxa"/>
            <w:vAlign w:val="center"/>
          </w:tcPr>
          <w:p w14:paraId="730E0FC2">
            <w:pPr>
              <w:widowControl/>
              <w:spacing w:before="80" w:after="80" w:line="264" w:lineRule="auto"/>
              <w:jc w:val="center"/>
              <w:rPr>
                <w:kern w:val="0"/>
                <w:lang w:val="pt-BR" w:eastAsia="pt-BR" w:bidi="ar-SA"/>
              </w:rPr>
            </w:pPr>
            <w:r>
              <w:rPr>
                <w:kern w:val="0"/>
                <w:lang w:val="pt-BR" w:eastAsia="pt-BR" w:bidi="ar-SA"/>
              </w:rPr>
              <w:t>6 meses</w:t>
            </w:r>
          </w:p>
        </w:tc>
      </w:tr>
      <w:tr w14:paraId="2F52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7E7555D">
            <w:pPr>
              <w:widowControl/>
              <w:spacing w:before="80" w:after="80" w:line="264" w:lineRule="auto"/>
              <w:jc w:val="center"/>
              <w:rPr>
                <w:kern w:val="0"/>
                <w:lang w:val="pt-BR" w:eastAsia="pt-BR" w:bidi="ar-SA"/>
              </w:rPr>
            </w:pPr>
            <w:r>
              <w:rPr>
                <w:kern w:val="0"/>
                <w:lang w:val="pt-BR" w:eastAsia="pt-BR" w:bidi="ar-SA"/>
              </w:rPr>
              <w:t>Dar causa à inexecução parcial do contrato que cause grave dano à Administração, ao funcionamento dos serviços públicos ou ao interesse coletivo</w:t>
            </w:r>
          </w:p>
        </w:tc>
        <w:tc>
          <w:tcPr>
            <w:tcW w:w="3402" w:type="dxa"/>
            <w:vAlign w:val="center"/>
          </w:tcPr>
          <w:p w14:paraId="6092D784">
            <w:pPr>
              <w:widowControl/>
              <w:spacing w:before="80" w:after="80" w:line="264" w:lineRule="auto"/>
              <w:jc w:val="center"/>
              <w:rPr>
                <w:kern w:val="0"/>
                <w:lang w:val="pt-BR" w:eastAsia="pt-BR" w:bidi="ar-SA"/>
              </w:rPr>
            </w:pPr>
            <w:r>
              <w:rPr>
                <w:kern w:val="0"/>
                <w:lang w:val="pt-BR" w:eastAsia="pt-BR" w:bidi="ar-SA"/>
              </w:rPr>
              <w:t>Impedimento de licitar ou contratar com o município de Paranavaí</w:t>
            </w:r>
          </w:p>
        </w:tc>
        <w:tc>
          <w:tcPr>
            <w:tcW w:w="1559" w:type="dxa"/>
            <w:vAlign w:val="center"/>
          </w:tcPr>
          <w:p w14:paraId="336F00D9">
            <w:pPr>
              <w:widowControl/>
              <w:spacing w:before="80" w:after="80" w:line="264" w:lineRule="auto"/>
              <w:jc w:val="center"/>
              <w:rPr>
                <w:kern w:val="0"/>
                <w:lang w:val="pt-BR" w:eastAsia="pt-BR" w:bidi="ar-SA"/>
              </w:rPr>
            </w:pPr>
            <w:r>
              <w:rPr>
                <w:kern w:val="0"/>
                <w:lang w:val="pt-BR" w:eastAsia="pt-BR" w:bidi="ar-SA"/>
              </w:rPr>
              <w:t>12 meses</w:t>
            </w:r>
          </w:p>
        </w:tc>
      </w:tr>
      <w:tr w14:paraId="458F8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77E7143D">
            <w:pPr>
              <w:widowControl/>
              <w:spacing w:before="80" w:after="80" w:line="264" w:lineRule="auto"/>
              <w:jc w:val="center"/>
              <w:rPr>
                <w:kern w:val="0"/>
                <w:lang w:val="pt-BR" w:eastAsia="pt-BR" w:bidi="ar-SA"/>
              </w:rPr>
            </w:pPr>
            <w:r>
              <w:rPr>
                <w:kern w:val="0"/>
                <w:lang w:val="pt-BR" w:eastAsia="pt-BR" w:bidi="ar-SA"/>
              </w:rPr>
              <w:t>Dar causa à inexecução total do contrato</w:t>
            </w:r>
          </w:p>
        </w:tc>
        <w:tc>
          <w:tcPr>
            <w:tcW w:w="3402" w:type="dxa"/>
            <w:vAlign w:val="center"/>
          </w:tcPr>
          <w:p w14:paraId="7DA858EC">
            <w:pPr>
              <w:widowControl/>
              <w:spacing w:before="80" w:after="80" w:line="264" w:lineRule="auto"/>
              <w:jc w:val="center"/>
              <w:rPr>
                <w:kern w:val="0"/>
                <w:lang w:val="pt-BR" w:eastAsia="pt-BR" w:bidi="ar-SA"/>
              </w:rPr>
            </w:pPr>
            <w:r>
              <w:rPr>
                <w:kern w:val="0"/>
                <w:lang w:val="pt-BR" w:eastAsia="pt-BR" w:bidi="ar-SA"/>
              </w:rPr>
              <w:t>Impedimento de licitar ou contratar com o município de Paranavaí</w:t>
            </w:r>
          </w:p>
        </w:tc>
        <w:tc>
          <w:tcPr>
            <w:tcW w:w="1559" w:type="dxa"/>
            <w:vAlign w:val="center"/>
          </w:tcPr>
          <w:p w14:paraId="699A7786">
            <w:pPr>
              <w:widowControl/>
              <w:spacing w:before="80" w:after="80" w:line="264" w:lineRule="auto"/>
              <w:jc w:val="center"/>
              <w:rPr>
                <w:kern w:val="0"/>
                <w:lang w:val="pt-BR" w:eastAsia="pt-BR" w:bidi="ar-SA"/>
              </w:rPr>
            </w:pPr>
            <w:r>
              <w:rPr>
                <w:kern w:val="0"/>
                <w:lang w:val="pt-BR" w:eastAsia="pt-BR" w:bidi="ar-SA"/>
              </w:rPr>
              <w:t>18 meses</w:t>
            </w:r>
          </w:p>
        </w:tc>
      </w:tr>
      <w:tr w14:paraId="06467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BD2669E">
            <w:pPr>
              <w:widowControl/>
              <w:spacing w:before="80" w:after="80" w:line="264" w:lineRule="auto"/>
              <w:jc w:val="center"/>
              <w:rPr>
                <w:kern w:val="0"/>
                <w:lang w:val="pt-BR" w:eastAsia="pt-BR" w:bidi="ar-SA"/>
              </w:rPr>
            </w:pPr>
            <w:r>
              <w:rPr>
                <w:kern w:val="0"/>
                <w:lang w:val="pt-BR" w:eastAsia="pt-BR" w:bidi="ar-SA"/>
              </w:rPr>
              <w:t>Prestar declaração falsa durante a execução do contrato</w:t>
            </w:r>
          </w:p>
        </w:tc>
        <w:tc>
          <w:tcPr>
            <w:tcW w:w="3402" w:type="dxa"/>
            <w:vAlign w:val="center"/>
          </w:tcPr>
          <w:p w14:paraId="354316C4">
            <w:pPr>
              <w:widowControl/>
              <w:spacing w:before="80" w:after="80" w:line="264" w:lineRule="auto"/>
              <w:jc w:val="center"/>
              <w:rPr>
                <w:kern w:val="0"/>
                <w:lang w:val="pt-BR" w:eastAsia="pt-BR" w:bidi="ar-SA"/>
              </w:rPr>
            </w:pPr>
            <w:r>
              <w:rPr>
                <w:kern w:val="0"/>
                <w:lang w:val="pt-BR" w:eastAsia="pt-BR" w:bidi="ar-SA"/>
              </w:rPr>
              <w:t>Declaração de Inidoneidade para licitar ou contratar com todos os entes federativos</w:t>
            </w:r>
          </w:p>
        </w:tc>
        <w:tc>
          <w:tcPr>
            <w:tcW w:w="1559" w:type="dxa"/>
            <w:vAlign w:val="center"/>
          </w:tcPr>
          <w:p w14:paraId="056F9F70">
            <w:pPr>
              <w:widowControl/>
              <w:spacing w:before="80" w:after="80" w:line="264" w:lineRule="auto"/>
              <w:jc w:val="center"/>
              <w:rPr>
                <w:kern w:val="0"/>
                <w:lang w:val="pt-BR" w:eastAsia="pt-BR" w:bidi="ar-SA"/>
              </w:rPr>
            </w:pPr>
            <w:r>
              <w:rPr>
                <w:kern w:val="0"/>
                <w:lang w:val="pt-BR" w:eastAsia="pt-BR" w:bidi="ar-SA"/>
              </w:rPr>
              <w:t>4 anos e 6 meses</w:t>
            </w:r>
          </w:p>
        </w:tc>
      </w:tr>
      <w:tr w14:paraId="5750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666F9AE1">
            <w:pPr>
              <w:widowControl/>
              <w:spacing w:before="80" w:after="80" w:line="264" w:lineRule="auto"/>
              <w:jc w:val="center"/>
              <w:rPr>
                <w:kern w:val="0"/>
                <w:lang w:val="pt-BR" w:eastAsia="pt-BR" w:bidi="ar-SA"/>
              </w:rPr>
            </w:pPr>
            <w:r>
              <w:rPr>
                <w:kern w:val="0"/>
                <w:lang w:val="pt-BR" w:eastAsia="pt-BR" w:bidi="ar-SA"/>
              </w:rPr>
              <w:t>Praticar ato fraudulento na execução do contrato</w:t>
            </w:r>
          </w:p>
        </w:tc>
        <w:tc>
          <w:tcPr>
            <w:tcW w:w="3402" w:type="dxa"/>
            <w:vAlign w:val="center"/>
          </w:tcPr>
          <w:p w14:paraId="27E6A689">
            <w:pPr>
              <w:widowControl/>
              <w:spacing w:before="80" w:after="80" w:line="264" w:lineRule="auto"/>
              <w:jc w:val="center"/>
              <w:rPr>
                <w:kern w:val="0"/>
                <w:lang w:val="pt-BR" w:eastAsia="pt-BR" w:bidi="ar-SA"/>
              </w:rPr>
            </w:pPr>
            <w:r>
              <w:rPr>
                <w:kern w:val="0"/>
                <w:lang w:val="pt-BR" w:eastAsia="pt-BR" w:bidi="ar-SA"/>
              </w:rPr>
              <w:t>Declaração de Inidoneidade para licitar ou contratar com todos os entes federativos</w:t>
            </w:r>
          </w:p>
        </w:tc>
        <w:tc>
          <w:tcPr>
            <w:tcW w:w="1559" w:type="dxa"/>
            <w:vAlign w:val="center"/>
          </w:tcPr>
          <w:p w14:paraId="5BF080FA">
            <w:pPr>
              <w:widowControl/>
              <w:spacing w:before="80" w:after="80" w:line="264" w:lineRule="auto"/>
              <w:jc w:val="center"/>
              <w:rPr>
                <w:kern w:val="0"/>
                <w:lang w:val="pt-BR" w:eastAsia="pt-BR" w:bidi="ar-SA"/>
              </w:rPr>
            </w:pPr>
            <w:r>
              <w:rPr>
                <w:kern w:val="0"/>
                <w:lang w:val="pt-BR" w:eastAsia="pt-BR" w:bidi="ar-SA"/>
              </w:rPr>
              <w:t>4 anos e 6 meses</w:t>
            </w:r>
          </w:p>
        </w:tc>
      </w:tr>
      <w:tr w14:paraId="19F3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0B1C0736">
            <w:pPr>
              <w:widowControl/>
              <w:spacing w:before="80" w:after="80" w:line="264" w:lineRule="auto"/>
              <w:jc w:val="center"/>
              <w:rPr>
                <w:kern w:val="0"/>
                <w:lang w:val="pt-BR" w:eastAsia="pt-BR" w:bidi="ar-SA"/>
              </w:rPr>
            </w:pPr>
            <w:r>
              <w:rPr>
                <w:kern w:val="0"/>
                <w:lang w:val="pt-BR" w:eastAsia="pt-BR" w:bidi="ar-SA"/>
              </w:rPr>
              <w:t>Comportar-se de modo inidôneo ou cometer fraude de qualquer natureza</w:t>
            </w:r>
          </w:p>
        </w:tc>
        <w:tc>
          <w:tcPr>
            <w:tcW w:w="3402" w:type="dxa"/>
            <w:vAlign w:val="center"/>
          </w:tcPr>
          <w:p w14:paraId="34301F29">
            <w:pPr>
              <w:widowControl/>
              <w:spacing w:before="80" w:after="80" w:line="264" w:lineRule="auto"/>
              <w:jc w:val="center"/>
              <w:rPr>
                <w:kern w:val="0"/>
                <w:lang w:val="pt-BR" w:eastAsia="pt-BR" w:bidi="ar-SA"/>
              </w:rPr>
            </w:pPr>
            <w:r>
              <w:rPr>
                <w:kern w:val="0"/>
                <w:lang w:val="pt-BR" w:eastAsia="pt-BR" w:bidi="ar-SA"/>
              </w:rPr>
              <w:t>Declaração de Inidoneidade para licitar ou contratar com todos os entes federativos</w:t>
            </w:r>
          </w:p>
        </w:tc>
        <w:tc>
          <w:tcPr>
            <w:tcW w:w="1559" w:type="dxa"/>
            <w:vAlign w:val="center"/>
          </w:tcPr>
          <w:p w14:paraId="774D0F6B">
            <w:pPr>
              <w:widowControl/>
              <w:spacing w:before="80" w:after="80" w:line="264" w:lineRule="auto"/>
              <w:jc w:val="center"/>
              <w:rPr>
                <w:kern w:val="0"/>
                <w:lang w:val="pt-BR" w:eastAsia="pt-BR" w:bidi="ar-SA"/>
              </w:rPr>
            </w:pPr>
            <w:r>
              <w:rPr>
                <w:kern w:val="0"/>
                <w:lang w:val="pt-BR" w:eastAsia="pt-BR" w:bidi="ar-SA"/>
              </w:rPr>
              <w:t>4 anos e 6 meses</w:t>
            </w:r>
          </w:p>
        </w:tc>
      </w:tr>
      <w:tr w14:paraId="5CBEE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27132B11">
            <w:pPr>
              <w:widowControl/>
              <w:spacing w:before="80" w:after="80" w:line="264" w:lineRule="auto"/>
              <w:jc w:val="center"/>
              <w:rPr>
                <w:kern w:val="0"/>
                <w:lang w:val="pt-BR" w:eastAsia="pt-BR" w:bidi="ar-SA"/>
              </w:rPr>
            </w:pPr>
            <w:r>
              <w:rPr>
                <w:kern w:val="0"/>
                <w:lang w:val="pt-BR" w:eastAsia="pt-BR" w:bidi="ar-SA"/>
              </w:rPr>
              <w:t>Praticar ato lesivo previsto no art. 5º da Lei nº 12.846, de 1º de agosto de 2013</w:t>
            </w:r>
          </w:p>
        </w:tc>
        <w:tc>
          <w:tcPr>
            <w:tcW w:w="3402" w:type="dxa"/>
            <w:vAlign w:val="center"/>
          </w:tcPr>
          <w:p w14:paraId="29463235">
            <w:pPr>
              <w:widowControl/>
              <w:spacing w:before="80" w:after="80" w:line="264" w:lineRule="auto"/>
              <w:jc w:val="center"/>
              <w:rPr>
                <w:kern w:val="0"/>
                <w:lang w:val="pt-BR" w:eastAsia="pt-BR" w:bidi="ar-SA"/>
              </w:rPr>
            </w:pPr>
            <w:r>
              <w:rPr>
                <w:kern w:val="0"/>
                <w:lang w:val="pt-BR" w:eastAsia="pt-BR" w:bidi="ar-SA"/>
              </w:rPr>
              <w:t>Declaração de Inidoneidade para licitar ou contratar com todos os entes federativos</w:t>
            </w:r>
          </w:p>
        </w:tc>
        <w:tc>
          <w:tcPr>
            <w:tcW w:w="1559" w:type="dxa"/>
            <w:vAlign w:val="center"/>
          </w:tcPr>
          <w:p w14:paraId="7C79005A">
            <w:pPr>
              <w:widowControl/>
              <w:spacing w:before="80" w:after="80" w:line="264" w:lineRule="auto"/>
              <w:jc w:val="center"/>
              <w:rPr>
                <w:kern w:val="0"/>
                <w:lang w:val="pt-BR" w:eastAsia="pt-BR" w:bidi="ar-SA"/>
              </w:rPr>
            </w:pPr>
            <w:r>
              <w:rPr>
                <w:kern w:val="0"/>
                <w:lang w:val="pt-BR" w:eastAsia="pt-BR" w:bidi="ar-SA"/>
              </w:rPr>
              <w:t>4 anos e 6 meses</w:t>
            </w:r>
          </w:p>
        </w:tc>
      </w:tr>
    </w:tbl>
    <w:p w14:paraId="75B0B5AE">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FORMAS DE COMUNICAÇÃO ENTRE CONTRATANTE E CONTRATADO</w:t>
      </w:r>
    </w:p>
    <w:p w14:paraId="461A2AC0">
      <w:pPr>
        <w:pStyle w:val="54"/>
      </w:pPr>
      <w:r>
        <w:t xml:space="preserve">É facultada a qualquer das partes, a solicitação de reunião, prevista no art. 139 do Decreto municipal nº </w:t>
      </w:r>
      <w:r>
        <w:rPr>
          <w:rFonts w:hint="default"/>
          <w:lang w:val="pt-BR"/>
        </w:rPr>
        <w:t>24.731/2023</w:t>
      </w:r>
      <w:r>
        <w:t xml:space="preserve">, devendo ser observadas as exigências dos §§ 1º e 2º art. 139 do Decreto municipal nº </w:t>
      </w:r>
      <w:r>
        <w:rPr>
          <w:rFonts w:hint="default"/>
          <w:lang w:val="pt-BR"/>
        </w:rPr>
        <w:t>24.731/2023</w:t>
      </w:r>
      <w:r>
        <w:t>.</w:t>
      </w:r>
    </w:p>
    <w:p w14:paraId="1736D757">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O contratado deverá comunicar-se com o contratante através do fiscal do contrato e seu substituto, em regra por e-mail, sendo admitidos outros meios de comunicação, desde que posteriormente formalizado no processo. </w:t>
      </w:r>
    </w:p>
    <w:p w14:paraId="2DEFD34A">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7D671F5E">
      <w:pPr>
        <w:pStyle w:val="55"/>
      </w:pPr>
      <w:r>
        <w:t>O prazo de resposta será suspenso em caso de solicitação de informações ou realização de diligências pelo contratante, sendo retomado quando obtida a informação.</w:t>
      </w:r>
    </w:p>
    <w:p w14:paraId="5EE7CF08">
      <w:pPr>
        <w:pStyle w:val="25"/>
        <w:numPr>
          <w:ilvl w:val="2"/>
          <w:numId w:val="2"/>
        </w:numPr>
        <w:tabs>
          <w:tab w:val="left" w:pos="1134"/>
          <w:tab w:val="left" w:pos="1843"/>
        </w:tabs>
        <w:spacing w:before="120" w:line="264" w:lineRule="auto"/>
        <w:ind w:left="0" w:firstLine="0"/>
        <w:contextualSpacing w:val="0"/>
        <w:jc w:val="both"/>
        <w:rPr>
          <w:rFonts w:ascii="Arial" w:hAnsi="Arial" w:cs="Arial"/>
        </w:rPr>
      </w:pPr>
      <w:r>
        <w:rPr>
          <w:rFonts w:ascii="Arial" w:hAnsi="Arial" w:cs="Arial"/>
        </w:rPr>
        <w:t>Na hipótese de não ser cumprido o prazo de resposta, será facultado ao contratado apresentar denúncia à Controladoria-Geral do Município para fins de responsabilização do servidor.</w:t>
      </w:r>
    </w:p>
    <w:p w14:paraId="7DFE5339">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MANUTENÇÃO DAS CONDIÇÕES DE HABILITAÇÃO</w:t>
      </w:r>
    </w:p>
    <w:p w14:paraId="20CBB270">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41892890">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ausência ou omissão de declaração por parte do contratado corresponde, para todos os efeitos, à declaração da manutenção das condições de habilitação.</w:t>
      </w:r>
    </w:p>
    <w:p w14:paraId="45E5E6C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Nas hipóteses em que houver alteração de condição de habilitação:</w:t>
      </w:r>
    </w:p>
    <w:p w14:paraId="1FD3C25B">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o contratado deverá providenciar a regularização no prazo de 30 (trinta) dias, contados da ocorrência que gerou o não atendimento da condição de habilitação; e</w:t>
      </w:r>
    </w:p>
    <w:p w14:paraId="19D3D0E9">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será aplicada multa mensal de 5% (cinco por cento) sobre as faturas emitidas enquanto persistir a situação de irregularidade.</w:t>
      </w:r>
    </w:p>
    <w:p w14:paraId="6E0248C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68AF7EE4">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highlight w:val="none"/>
        </w:rPr>
      </w:pPr>
      <w:r>
        <w:rPr>
          <w:rFonts w:ascii="Arial" w:hAnsi="Arial" w:cs="Arial"/>
          <w:b/>
          <w:bCs/>
          <w:highlight w:val="none"/>
        </w:rPr>
        <w:t>NORMAS AMBIENTAIS E LOGÍSTICA REVERSA</w:t>
      </w:r>
    </w:p>
    <w:p w14:paraId="3DF2A222">
      <w:pPr>
        <w:pStyle w:val="25"/>
        <w:numPr>
          <w:ilvl w:val="1"/>
          <w:numId w:val="2"/>
        </w:numPr>
        <w:tabs>
          <w:tab w:val="left" w:pos="851"/>
          <w:tab w:val="left" w:pos="1843"/>
        </w:tabs>
        <w:spacing w:before="120" w:line="264" w:lineRule="auto"/>
        <w:ind w:left="0" w:firstLine="0"/>
        <w:contextualSpacing w:val="0"/>
        <w:jc w:val="both"/>
        <w:rPr>
          <w:rFonts w:ascii="Arial" w:hAnsi="Arial" w:cs="Arial"/>
          <w:highlight w:val="none"/>
        </w:rPr>
      </w:pPr>
      <w:r>
        <w:rPr>
          <w:rFonts w:ascii="Arial" w:hAnsi="Arial" w:cs="Arial"/>
          <w:highlight w:val="none"/>
        </w:rPr>
        <w:t xml:space="preserve">O contratado deverá cumprir as normas ambientais aplicáveis na produção, entrega e execução do objeto contratado. </w:t>
      </w:r>
    </w:p>
    <w:p w14:paraId="533A1DAD">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PROTEÇÃO DE DADOS</w:t>
      </w:r>
    </w:p>
    <w:p w14:paraId="7791524E">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As partes se obrigam a cumprir a Lei Geral de Proteção de Dados - Lei n° 13.709/2018, no que for cabível em face do objeto deste contrato, em especial a: </w:t>
      </w:r>
    </w:p>
    <w:p w14:paraId="1D0F8016">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guardar sigilo quanto aos dados pessoais aos quais eventualmente tenham acesso em razão da execução do objeto deste contrato; </w:t>
      </w:r>
    </w:p>
    <w:p w14:paraId="76B1884E">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3C72102">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garantir ao titular de dados a consulta gratuita e facilitada aos seus dados pessoais, bem como a forma, duração e finalidade do tratamento; </w:t>
      </w:r>
    </w:p>
    <w:p w14:paraId="594A0931">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não utilizar os dados pessoais recebidos ou tratá-los com fins discriminatórios, ilícitos, abusivos ou para finalidade distinta da contratação; </w:t>
      </w:r>
    </w:p>
    <w:p w14:paraId="084F70E0">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fazer uso somente dos dados pessoais que forem imprescindíveis à execução do objeto; </w:t>
      </w:r>
    </w:p>
    <w:p w14:paraId="6AA9ED3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adotar todas as medidas previstas em lei para evitar o vazamento de dados pessoais que receber ou o acesso por pessoal não autorizado; </w:t>
      </w:r>
    </w:p>
    <w:p w14:paraId="13FDEE10">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em caso de vazamento de dados pessoais, adotar as providências necessárias para mitigar as consequências do dano, informando ao contratante, no prazo de até 48 (quarenta e oito) horas: </w:t>
      </w:r>
    </w:p>
    <w:p w14:paraId="0FA28D32">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descrição da natureza dos dados pessoais afetados;</w:t>
      </w:r>
    </w:p>
    <w:p w14:paraId="6A0F5F2C">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as informações sobre os titulares envolvidos; </w:t>
      </w:r>
    </w:p>
    <w:p w14:paraId="6AC31B09">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 indicação das medidas técnicas e de segurança utilizadas para a proteção dos dados, observados os segredos comercial e industrial;</w:t>
      </w:r>
    </w:p>
    <w:p w14:paraId="59F1125E">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 xml:space="preserve">os riscos relacionados ao incidente; </w:t>
      </w:r>
    </w:p>
    <w:p w14:paraId="105A81C9">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os motivos da demora, no caso de a comunicação não ter sido imediata; e</w:t>
      </w:r>
    </w:p>
    <w:p w14:paraId="7B31A321">
      <w:pPr>
        <w:pStyle w:val="25"/>
        <w:numPr>
          <w:ilvl w:val="3"/>
          <w:numId w:val="2"/>
        </w:numPr>
        <w:tabs>
          <w:tab w:val="left" w:pos="1276"/>
          <w:tab w:val="left" w:pos="1843"/>
        </w:tabs>
        <w:spacing w:before="120" w:line="264" w:lineRule="auto"/>
        <w:ind w:left="0" w:firstLine="0"/>
        <w:contextualSpacing w:val="0"/>
        <w:jc w:val="both"/>
        <w:rPr>
          <w:rFonts w:ascii="Arial" w:hAnsi="Arial" w:cs="Arial"/>
        </w:rPr>
      </w:pPr>
      <w:r>
        <w:rPr>
          <w:rFonts w:ascii="Arial" w:hAnsi="Arial" w:cs="Arial"/>
        </w:rPr>
        <w:t>as medidas que foram ou que serão adotadas para reverter ou mitigar os efeitos do prejuízo.</w:t>
      </w:r>
    </w:p>
    <w:p w14:paraId="3A4C2226">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demonstrar, sempre que solicitado, a adoção de medidas eficazes para comprovar a observância e o cumprimento das normas de proteção de dados; </w:t>
      </w:r>
    </w:p>
    <w:p w14:paraId="15C6DAB5">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utilizar medidas técnicas e organizacionais de modo a proteger os dados pessoais de tratamento não autorizado; </w:t>
      </w:r>
    </w:p>
    <w:p w14:paraId="08C10F80">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armazenar os dados somente pelo período necessário para cumprir as obrigações contratuais e legais; </w:t>
      </w:r>
    </w:p>
    <w:p w14:paraId="717C4863">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 xml:space="preserve">apagar todos os dados pessoais quando solicitado pelo contratante ou, não sendo possível, justificar com a base legal ou contratual a retenção dos dados; </w:t>
      </w:r>
    </w:p>
    <w:p w14:paraId="47F1E238">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anonimizar os dados pessoais quando solicitado pelo contratante, ou, não sendo possível, justificar com a base legal ou contratual; e</w:t>
      </w:r>
    </w:p>
    <w:p w14:paraId="258059AF">
      <w:pPr>
        <w:pStyle w:val="25"/>
        <w:numPr>
          <w:ilvl w:val="2"/>
          <w:numId w:val="2"/>
        </w:numPr>
        <w:tabs>
          <w:tab w:val="left" w:pos="993"/>
          <w:tab w:val="left" w:pos="1843"/>
        </w:tabs>
        <w:spacing w:before="120" w:line="264" w:lineRule="auto"/>
        <w:ind w:left="0" w:firstLine="0"/>
        <w:contextualSpacing w:val="0"/>
        <w:jc w:val="both"/>
        <w:rPr>
          <w:rFonts w:ascii="Arial" w:hAnsi="Arial" w:cs="Arial"/>
        </w:rPr>
      </w:pPr>
      <w:r>
        <w:rPr>
          <w:rFonts w:ascii="Arial" w:hAnsi="Arial" w:cs="Arial"/>
        </w:rPr>
        <w:t>não compartilhar com terceiros, em hipótese alguma, os dados pessoais que receber em decorrência do contrato.</w:t>
      </w:r>
    </w:p>
    <w:p w14:paraId="1F8F303B">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EC1CEF5">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rPr>
      </w:pPr>
      <w:r>
        <w:rPr>
          <w:rFonts w:ascii="Arial" w:hAnsi="Arial" w:cs="Arial"/>
          <w:b/>
          <w:bCs/>
        </w:rPr>
        <w:t>CONDIÇÕES</w:t>
      </w:r>
      <w:r>
        <w:rPr>
          <w:rFonts w:ascii="Arial" w:hAnsi="Arial" w:cs="Arial"/>
          <w:b/>
        </w:rPr>
        <w:t xml:space="preserve"> DE RECEBIMENTO</w:t>
      </w:r>
    </w:p>
    <w:p w14:paraId="55C69AD3">
      <w:pPr>
        <w:pStyle w:val="25"/>
        <w:numPr>
          <w:ilvl w:val="1"/>
          <w:numId w:val="2"/>
        </w:numPr>
        <w:tabs>
          <w:tab w:val="left" w:pos="851"/>
          <w:tab w:val="left" w:pos="1843"/>
        </w:tabs>
        <w:spacing w:before="120" w:line="264" w:lineRule="auto"/>
        <w:ind w:left="0" w:firstLine="0"/>
        <w:contextualSpacing w:val="0"/>
        <w:jc w:val="both"/>
        <w:rPr>
          <w:rFonts w:ascii="Arial" w:hAnsi="Arial" w:cs="Arial"/>
          <w:color w:val="FFFFFF" w:themeColor="background1"/>
          <w:highlight w:val="none"/>
          <w14:textFill>
            <w14:solidFill>
              <w14:schemeClr w14:val="bg1"/>
            </w14:solidFill>
          </w14:textFill>
        </w:rPr>
      </w:pPr>
      <w:r>
        <w:rPr>
          <w:rFonts w:ascii="Arial" w:hAnsi="Arial" w:cs="Arial"/>
          <w:highlight w:val="none"/>
        </w:rPr>
        <w:t xml:space="preserve">O objeto será recebido provisoriamente pelo fiscal do contrato, em até </w:t>
      </w:r>
      <w:r>
        <w:rPr>
          <w:rFonts w:hint="default" w:cs="Arial"/>
          <w:highlight w:val="none"/>
          <w:lang w:val="pt-BR"/>
        </w:rPr>
        <w:t xml:space="preserve">10 (dez) </w:t>
      </w:r>
      <w:r>
        <w:rPr>
          <w:rFonts w:ascii="Arial" w:hAnsi="Arial" w:cs="Arial"/>
          <w:highlight w:val="none"/>
        </w:rPr>
        <w:t xml:space="preserve"> dias contados da </w:t>
      </w:r>
      <w:r>
        <w:rPr>
          <w:rFonts w:hint="default" w:cs="Arial"/>
          <w:highlight w:val="none"/>
          <w:lang w:val="pt-BR"/>
        </w:rPr>
        <w:t>comunicação formal de conclusão da implantação do sistema e da entrega dos cartões eletrônicos.</w:t>
      </w:r>
    </w:p>
    <w:p w14:paraId="4F8D704F">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rPr>
        <w:t xml:space="preserve">O objeto será recebido definitivamente pela comissão de recebimento, mediante termo de recebimento, em </w:t>
      </w:r>
      <w:r>
        <w:rPr>
          <w:rFonts w:hint="default"/>
          <w:lang w:val="pt-BR"/>
        </w:rPr>
        <w:t xml:space="preserve">20 (vinte) </w:t>
      </w:r>
      <w:r>
        <w:rPr>
          <w:rFonts w:ascii="Arial" w:hAnsi="Arial"/>
        </w:rPr>
        <w:t>dias, contados do recebimento provisório</w:t>
      </w:r>
      <w:r>
        <w:rPr>
          <w:rFonts w:ascii="Arial" w:hAnsi="Arial" w:cs="Arial"/>
        </w:rPr>
        <w:t>.</w:t>
      </w:r>
    </w:p>
    <w:p w14:paraId="5E56BAD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objeto será recebido parcialmente pelo contratante quando descumprida condição de execução que possibilite o aproveitamento do objeto para os objetivos da contratação, aplicando-se a sanção cabível pelo descumprimento contratual.</w:t>
      </w:r>
    </w:p>
    <w:p w14:paraId="49188BEC">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Caso o recebimento provisório ou o recebimento definitivo não ocorra no prazo estabelecido, o objeto será considerado tacitamente recebido.</w:t>
      </w:r>
    </w:p>
    <w:p w14:paraId="2230B405">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EXTINÇÃO DO CONTRATO</w:t>
      </w:r>
    </w:p>
    <w:p w14:paraId="092AF308">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A extinção do presente contrato será regulada pelas normas previstas nos arts. 137 a 139 da Lei nº 14.133/2021.</w:t>
      </w:r>
    </w:p>
    <w:p w14:paraId="4FBA2C68">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A extinção do contrato deverá ser formalmente motivada nos autos, assegurados o contraditório e a ampla defesa. </w:t>
      </w:r>
    </w:p>
    <w:p w14:paraId="34467BF5">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0F0E283E">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7A2F5BA1">
      <w:pPr>
        <w:pStyle w:val="25"/>
        <w:keepNext/>
        <w:numPr>
          <w:ilvl w:val="0"/>
          <w:numId w:val="2"/>
        </w:numPr>
        <w:pBdr>
          <w:bottom w:val="thinThickMediumGap" w:color="auto" w:sz="18" w:space="1"/>
        </w:pBdr>
        <w:tabs>
          <w:tab w:val="left" w:pos="2127"/>
        </w:tabs>
        <w:spacing w:before="360" w:line="264" w:lineRule="auto"/>
        <w:ind w:left="0" w:firstLine="0"/>
        <w:contextualSpacing w:val="0"/>
        <w:jc w:val="both"/>
        <w:rPr>
          <w:rFonts w:ascii="Arial" w:hAnsi="Arial" w:cs="Arial"/>
          <w:b/>
          <w:bCs/>
        </w:rPr>
      </w:pPr>
      <w:r>
        <w:rPr>
          <w:rFonts w:ascii="Arial" w:hAnsi="Arial" w:cs="Arial"/>
          <w:b/>
          <w:bCs/>
        </w:rPr>
        <w:t xml:space="preserve">FORO </w:t>
      </w:r>
    </w:p>
    <w:p w14:paraId="19690DA6">
      <w:pPr>
        <w:pStyle w:val="25"/>
        <w:numPr>
          <w:ilvl w:val="1"/>
          <w:numId w:val="2"/>
        </w:numPr>
        <w:tabs>
          <w:tab w:val="left" w:pos="851"/>
          <w:tab w:val="left" w:pos="1843"/>
        </w:tabs>
        <w:spacing w:before="120" w:line="264" w:lineRule="auto"/>
        <w:ind w:left="0" w:firstLine="0"/>
        <w:contextualSpacing w:val="0"/>
        <w:jc w:val="both"/>
        <w:rPr>
          <w:rFonts w:ascii="Arial" w:hAnsi="Arial" w:cs="Arial"/>
        </w:rPr>
      </w:pPr>
      <w:r>
        <w:rPr>
          <w:rFonts w:ascii="Arial" w:hAnsi="Arial" w:cs="Arial"/>
        </w:rPr>
        <w:t>O foro competente para dirimir qualquer questão contratual é o da comarca de Paranavaí.</w:t>
      </w:r>
    </w:p>
    <w:p w14:paraId="67A557D8">
      <w:pPr>
        <w:spacing w:before="120" w:line="264" w:lineRule="auto"/>
        <w:jc w:val="both"/>
        <w:rPr>
          <w:rFonts w:ascii="Arial" w:hAnsi="Arial" w:eastAsia="Times New Roman" w:cs="Arial"/>
          <w:color w:val="000000"/>
          <w:lang w:eastAsia="pt-BR"/>
        </w:rPr>
      </w:pPr>
    </w:p>
    <w:p w14:paraId="511B0992">
      <w:pPr>
        <w:spacing w:before="120" w:line="264" w:lineRule="auto"/>
        <w:jc w:val="both"/>
        <w:rPr>
          <w:rFonts w:ascii="Arial" w:hAnsi="Arial" w:eastAsia="Times New Roman" w:cs="Arial"/>
          <w:color w:val="000000"/>
          <w:lang w:eastAsia="pt-BR"/>
        </w:rPr>
      </w:pPr>
    </w:p>
    <w:p w14:paraId="55FC3057">
      <w:pPr>
        <w:spacing w:before="120" w:line="264" w:lineRule="auto"/>
        <w:jc w:val="both"/>
        <w:rPr>
          <w:rFonts w:ascii="Arial" w:hAnsi="Arial" w:eastAsia="Times New Roman" w:cs="Arial"/>
          <w:color w:val="000000"/>
          <w:lang w:eastAsia="pt-BR"/>
        </w:rPr>
      </w:pPr>
    </w:p>
    <w:p w14:paraId="65AE282D">
      <w:pPr>
        <w:spacing w:before="120" w:line="264" w:lineRule="auto"/>
        <w:jc w:val="both"/>
        <w:rPr>
          <w:rFonts w:ascii="Arial" w:hAnsi="Arial" w:eastAsia="Times New Roman" w:cs="Arial"/>
          <w:color w:val="000000"/>
          <w:lang w:eastAsia="pt-BR"/>
        </w:rPr>
      </w:pPr>
    </w:p>
    <w:p w14:paraId="1DF10DE1">
      <w:pPr>
        <w:spacing w:before="120" w:line="264" w:lineRule="auto"/>
        <w:jc w:val="both"/>
        <w:rPr>
          <w:rFonts w:ascii="Arial" w:hAnsi="Arial" w:eastAsia="Times New Roman" w:cs="Arial"/>
          <w:color w:val="000000"/>
          <w:lang w:eastAsia="pt-BR"/>
        </w:rPr>
      </w:pPr>
    </w:p>
    <w:p w14:paraId="7E727101">
      <w:pPr>
        <w:spacing w:before="120" w:line="264" w:lineRule="auto"/>
        <w:jc w:val="both"/>
        <w:rPr>
          <w:rFonts w:ascii="Arial" w:hAnsi="Arial" w:eastAsia="Times New Roman" w:cs="Arial"/>
          <w:color w:val="000000"/>
          <w:lang w:eastAsia="pt-BR"/>
        </w:rPr>
      </w:pPr>
    </w:p>
    <w:p w14:paraId="6C85F639">
      <w:pPr>
        <w:spacing w:before="120" w:line="264" w:lineRule="auto"/>
        <w:jc w:val="both"/>
        <w:rPr>
          <w:rFonts w:ascii="Arial" w:hAnsi="Arial" w:eastAsia="Times New Roman" w:cs="Arial"/>
          <w:color w:val="000000"/>
          <w:lang w:eastAsia="pt-BR"/>
        </w:rPr>
      </w:pPr>
    </w:p>
    <w:p w14:paraId="10E73591">
      <w:pPr>
        <w:spacing w:before="120" w:line="264" w:lineRule="auto"/>
        <w:jc w:val="center"/>
        <w:rPr>
          <w:rFonts w:ascii="Arial" w:hAnsi="Arial" w:eastAsia="Times New Roman" w:cs="Arial"/>
          <w:color w:val="000000"/>
          <w:lang w:eastAsia="pt-BR"/>
        </w:rPr>
      </w:pPr>
      <w:r>
        <w:rPr>
          <w:rFonts w:ascii="Arial" w:hAnsi="Arial" w:cs="Arial"/>
        </w:rPr>
        <w:t>Paranavaí</w:t>
      </w:r>
      <w:r>
        <w:rPr>
          <w:rFonts w:ascii="Arial" w:hAnsi="Arial" w:eastAsia="Times New Roman" w:cs="Arial"/>
          <w:color w:val="000000"/>
          <w:lang w:eastAsia="pt-BR"/>
        </w:rPr>
        <w:t>-PR, ...... de ........ de .......</w:t>
      </w:r>
    </w:p>
    <w:p w14:paraId="4DA24D03">
      <w:pPr>
        <w:spacing w:before="120" w:line="264" w:lineRule="auto"/>
        <w:jc w:val="both"/>
        <w:rPr>
          <w:rFonts w:ascii="Arial" w:hAnsi="Arial" w:eastAsia="Times New Roman" w:cs="Arial"/>
          <w:color w:val="000000"/>
          <w:lang w:eastAsia="pt-BR"/>
        </w:rPr>
      </w:pPr>
    </w:p>
    <w:p w14:paraId="221612D3">
      <w:pPr>
        <w:spacing w:before="120" w:line="264" w:lineRule="auto"/>
        <w:jc w:val="both"/>
        <w:rPr>
          <w:rFonts w:ascii="Arial" w:hAnsi="Arial" w:eastAsia="Times New Roman" w:cs="Arial"/>
          <w:color w:val="000000"/>
          <w:lang w:eastAsia="pt-BR"/>
        </w:rPr>
      </w:pPr>
    </w:p>
    <w:p w14:paraId="4C11A9FE">
      <w:pPr>
        <w:spacing w:before="120" w:line="264" w:lineRule="auto"/>
        <w:jc w:val="center"/>
        <w:rPr>
          <w:rFonts w:cs="Arial"/>
        </w:rPr>
      </w:pPr>
      <w:r>
        <w:rPr>
          <w:rFonts w:ascii="Arial" w:hAnsi="Arial" w:eastAsia="Times New Roman" w:cs="Arial"/>
          <w:color w:val="000000"/>
          <w:lang w:eastAsia="pt-BR"/>
        </w:rPr>
        <w:t xml:space="preserve">Município de </w:t>
      </w:r>
      <w:r>
        <w:rPr>
          <w:rFonts w:ascii="Arial" w:hAnsi="Arial" w:cs="Arial"/>
        </w:rPr>
        <w:t>Paranavaí</w:t>
      </w:r>
    </w:p>
    <w:p w14:paraId="5CB36118">
      <w:pPr>
        <w:pStyle w:val="25"/>
        <w:tabs>
          <w:tab w:val="left" w:pos="709"/>
        </w:tabs>
        <w:ind w:left="0"/>
        <w:contextualSpacing w:val="0"/>
        <w:jc w:val="center"/>
        <w:rPr>
          <w:rFonts w:ascii="Arial" w:hAnsi="Arial" w:cs="Arial"/>
        </w:rPr>
      </w:pPr>
      <w:r>
        <w:rPr>
          <w:rFonts w:ascii="Arial" w:hAnsi="Arial" w:cs="Arial"/>
        </w:rPr>
        <w:t>Secretário Municipal ordenador ou responsável pela entidade</w:t>
      </w:r>
    </w:p>
    <w:p w14:paraId="74690288">
      <w:pPr>
        <w:spacing w:before="120" w:line="264" w:lineRule="auto"/>
        <w:jc w:val="both"/>
        <w:rPr>
          <w:rFonts w:ascii="Arial" w:hAnsi="Arial" w:eastAsia="Times New Roman" w:cs="Arial"/>
          <w:color w:val="000000"/>
          <w:lang w:eastAsia="pt-BR"/>
        </w:rPr>
      </w:pPr>
    </w:p>
    <w:p w14:paraId="38741404">
      <w:pPr>
        <w:spacing w:before="120" w:line="264" w:lineRule="auto"/>
        <w:jc w:val="both"/>
        <w:rPr>
          <w:rFonts w:ascii="Arial" w:hAnsi="Arial" w:eastAsia="Times New Roman" w:cs="Arial"/>
          <w:color w:val="000000"/>
          <w:lang w:eastAsia="pt-BR"/>
        </w:rPr>
      </w:pPr>
    </w:p>
    <w:p w14:paraId="6030E733">
      <w:pPr>
        <w:spacing w:before="120" w:line="264" w:lineRule="auto"/>
        <w:jc w:val="center"/>
        <w:rPr>
          <w:rFonts w:ascii="Arial" w:hAnsi="Arial" w:eastAsia="Times New Roman" w:cs="Arial"/>
          <w:color w:val="000000"/>
          <w:lang w:eastAsia="pt-BR"/>
        </w:rPr>
      </w:pPr>
      <w:r>
        <w:rPr>
          <w:rFonts w:ascii="Arial" w:hAnsi="Arial" w:eastAsia="Times New Roman" w:cs="Arial"/>
          <w:color w:val="000000"/>
          <w:lang w:eastAsia="pt-BR"/>
        </w:rPr>
        <w:t>CONTRATADO</w:t>
      </w:r>
    </w:p>
    <w:p w14:paraId="6D5A91E0">
      <w:pPr>
        <w:spacing w:before="120" w:line="264" w:lineRule="auto"/>
        <w:jc w:val="both"/>
        <w:rPr>
          <w:rFonts w:ascii="Arial" w:hAnsi="Arial" w:eastAsia="Times New Roman" w:cs="Arial"/>
          <w:color w:val="000000"/>
          <w:lang w:eastAsia="pt-BR"/>
        </w:rPr>
      </w:pPr>
    </w:p>
    <w:p w14:paraId="19F01677">
      <w:pPr>
        <w:spacing w:before="120" w:line="264" w:lineRule="auto"/>
        <w:jc w:val="both"/>
        <w:rPr>
          <w:rFonts w:ascii="Arial" w:hAnsi="Arial" w:eastAsia="Times New Roman" w:cs="Arial"/>
          <w:color w:val="000000"/>
          <w:lang w:eastAsia="pt-BR"/>
        </w:rPr>
      </w:pPr>
    </w:p>
    <w:p w14:paraId="47E12EE4">
      <w:pPr>
        <w:spacing w:before="120" w:line="264" w:lineRule="auto"/>
        <w:jc w:val="both"/>
        <w:rPr>
          <w:rFonts w:ascii="Arial" w:hAnsi="Arial" w:eastAsia="Times New Roman" w:cs="Arial"/>
          <w:color w:val="000000"/>
          <w:lang w:eastAsia="pt-BR"/>
        </w:rPr>
      </w:pPr>
    </w:p>
    <w:p w14:paraId="72B0C6B9">
      <w:pPr>
        <w:spacing w:before="120" w:line="264" w:lineRule="auto"/>
        <w:jc w:val="both"/>
        <w:rPr>
          <w:rFonts w:ascii="Arial" w:hAnsi="Arial" w:cs="Arial"/>
        </w:rPr>
      </w:pPr>
      <w:r>
        <w:rPr>
          <w:rFonts w:ascii="Arial" w:hAnsi="Arial" w:cs="Arial"/>
        </w:rPr>
        <w:t>Testemunhas:</w:t>
      </w:r>
    </w:p>
    <w:p w14:paraId="02C48984">
      <w:pPr>
        <w:spacing w:before="240" w:line="264" w:lineRule="auto"/>
        <w:jc w:val="both"/>
        <w:rPr>
          <w:rFonts w:ascii="Arial" w:hAnsi="Arial" w:cs="Arial"/>
        </w:rPr>
      </w:pPr>
      <w:r>
        <w:rPr>
          <w:rFonts w:ascii="Arial" w:hAnsi="Arial" w:cs="Arial"/>
        </w:rPr>
        <w:t>Nome:</w:t>
      </w:r>
    </w:p>
    <w:p w14:paraId="48DC4C6B">
      <w:pPr>
        <w:spacing w:line="264" w:lineRule="auto"/>
        <w:jc w:val="both"/>
        <w:rPr>
          <w:rFonts w:ascii="Arial" w:hAnsi="Arial" w:cs="Arial"/>
        </w:rPr>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p w14:paraId="4A689EC0">
      <w:pPr>
        <w:spacing w:before="240" w:line="264" w:lineRule="auto"/>
        <w:jc w:val="both"/>
        <w:rPr>
          <w:rFonts w:ascii="Arial" w:hAnsi="Arial" w:cs="Arial"/>
        </w:rPr>
      </w:pPr>
      <w:r>
        <w:rPr>
          <w:rFonts w:ascii="Arial" w:hAnsi="Arial" w:cs="Arial"/>
        </w:rPr>
        <w:t>Nome:</w:t>
      </w:r>
    </w:p>
    <w:p w14:paraId="15A3CED2">
      <w:pPr>
        <w:spacing w:before="0" w:line="240" w:lineRule="auto"/>
        <w:jc w:val="center"/>
        <w:rPr>
          <w:rFonts w:ascii="Arial" w:hAnsi="Arial" w:cs="Arial"/>
        </w:rPr>
      </w:pPr>
      <w:r>
        <w:rPr>
          <w:rFonts w:ascii="Arial" w:hAnsi="Arial" w:cs="Arial"/>
        </w:rPr>
        <w:t>CPF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Assinatura:</w:t>
      </w:r>
    </w:p>
    <w:p w14:paraId="297BA4CD">
      <w:pPr>
        <w:spacing w:before="0" w:line="240" w:lineRule="auto"/>
        <w:jc w:val="center"/>
        <w:rPr>
          <w:rFonts w:ascii="Arial" w:hAnsi="Arial" w:cs="Arial"/>
        </w:rPr>
      </w:pPr>
    </w:p>
    <w:p w14:paraId="0C74A2B7">
      <w:pPr>
        <w:spacing w:before="0" w:line="240" w:lineRule="auto"/>
        <w:jc w:val="center"/>
      </w:pPr>
    </w:p>
    <w:sectPr>
      <w:headerReference r:id="rId6" w:type="default"/>
      <w:footerReference r:id="rId7" w:type="default"/>
      <w:pgSz w:w="11906" w:h="16838"/>
      <w:pgMar w:top="1418" w:right="1134" w:bottom="851" w:left="1418" w:header="113" w:footer="454"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Book Antiqua">
    <w:altName w:val="Segoe Print"/>
    <w:panose1 w:val="02040602050305030304"/>
    <w:charset w:val="00"/>
    <w:family w:val="roman"/>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7E15F">
    <w:pPr>
      <w:pStyle w:val="15"/>
      <w:jc w:val="center"/>
      <w:rPr>
        <w:sz w:val="20"/>
        <w:szCs w:val="18"/>
      </w:rPr>
    </w:pPr>
    <w:r>
      <w:rPr>
        <w:sz w:val="20"/>
        <w:szCs w:val="18"/>
      </w:rPr>
      <w:t xml:space="preserve">- </w:t>
    </w:r>
    <w:r>
      <w:rPr>
        <w:sz w:val="20"/>
        <w:szCs w:val="18"/>
      </w:rPr>
      <w:fldChar w:fldCharType="begin"/>
    </w:r>
    <w:r>
      <w:rPr>
        <w:sz w:val="20"/>
        <w:szCs w:val="18"/>
      </w:rPr>
      <w:instrText xml:space="preserve">PAGE  \* Arabic  \* MERGEFORMAT</w:instrText>
    </w:r>
    <w:r>
      <w:rPr>
        <w:sz w:val="20"/>
        <w:szCs w:val="18"/>
      </w:rPr>
      <w:fldChar w:fldCharType="separate"/>
    </w:r>
    <w:r>
      <w:rPr>
        <w:sz w:val="20"/>
        <w:szCs w:val="18"/>
      </w:rPr>
      <w:t>1</w:t>
    </w:r>
    <w:r>
      <w:rPr>
        <w:sz w:val="20"/>
        <w:szCs w:val="18"/>
      </w:rPr>
      <w:fldChar w:fldCharType="end"/>
    </w:r>
    <w:r>
      <w:rPr>
        <w:sz w:val="20"/>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08308">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59264"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4"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65E5D8A8">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004D1A36">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0F942C6F">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550C663E">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5AA85FEA">
    <w:pPr>
      <w:pStyle w:val="13"/>
      <w:tabs>
        <w:tab w:val="left" w:pos="4032"/>
        <w:tab w:val="clear" w:pos="4252"/>
        <w:tab w:val="clear" w:pos="8504"/>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FBF">
    <w:pPr>
      <w:pStyle w:val="51"/>
      <w:keepNext w:val="0"/>
      <w:keepLines w:val="0"/>
      <w:pageBreakBefore w:val="0"/>
      <w:kinsoku/>
      <w:wordWrap/>
      <w:overflowPunct/>
      <w:topLinePunct w:val="0"/>
      <w:bidi w:val="0"/>
      <w:adjustRightInd/>
      <w:snapToGrid/>
      <w:spacing w:line="240" w:lineRule="auto"/>
      <w:ind w:left="6240" w:leftChars="2600" w:firstLine="7560" w:firstLineChars="3150"/>
      <w:jc w:val="both"/>
      <w:textAlignment w:val="auto"/>
    </w:pPr>
    <w:r>
      <w:drawing>
        <wp:anchor distT="0" distB="0" distL="0" distR="0" simplePos="0" relativeHeight="251660288" behindDoc="1" locked="0" layoutInCell="0" allowOverlap="1">
          <wp:simplePos x="0" y="0"/>
          <wp:positionH relativeFrom="column">
            <wp:posOffset>136525</wp:posOffset>
          </wp:positionH>
          <wp:positionV relativeFrom="paragraph">
            <wp:posOffset>95885</wp:posOffset>
          </wp:positionV>
          <wp:extent cx="2959100" cy="591820"/>
          <wp:effectExtent l="0" t="0" r="12700" b="1778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a:xfrm>
                    <a:off x="0" y="0"/>
                    <a:ext cx="2959100" cy="591820"/>
                  </a:xfrm>
                  <a:prstGeom prst="rect">
                    <a:avLst/>
                  </a:prstGeom>
                </pic:spPr>
              </pic:pic>
            </a:graphicData>
          </a:graphic>
        </wp:anchor>
      </w:drawing>
    </w:r>
  </w:p>
  <w:p w14:paraId="501D9A86">
    <w:pPr>
      <w:pStyle w:val="51"/>
      <w:keepNext w:val="0"/>
      <w:keepLines w:val="0"/>
      <w:pageBreakBefore w:val="0"/>
      <w:kinsoku/>
      <w:wordWrap/>
      <w:overflowPunct/>
      <w:topLinePunct w:val="0"/>
      <w:bidi w:val="0"/>
      <w:adjustRightInd/>
      <w:snapToGrid/>
      <w:spacing w:line="240" w:lineRule="auto"/>
      <w:ind w:firstLine="6233" w:firstLineChars="4450"/>
      <w:jc w:val="both"/>
      <w:textAlignment w:val="auto"/>
      <w:rPr>
        <w:rFonts w:hint="default" w:ascii="Arial" w:hAnsi="Arial" w:eastAsia="Arial" w:cs="Arial"/>
        <w:b/>
        <w:sz w:val="14"/>
        <w:szCs w:val="14"/>
        <w:highlight w:val="white"/>
        <w:lang w:val="pt-BR"/>
      </w:rPr>
    </w:pPr>
    <w:r>
      <w:rPr>
        <w:rFonts w:hint="default" w:ascii="Arial" w:hAnsi="Arial" w:eastAsia="Arial" w:cs="Arial"/>
        <w:b/>
        <w:sz w:val="14"/>
        <w:szCs w:val="14"/>
        <w:highlight w:val="white"/>
        <w:lang w:val="pt-BR"/>
      </w:rPr>
      <w:t>Rua</w:t>
    </w:r>
    <w:r>
      <w:rPr>
        <w:rFonts w:ascii="Arial" w:hAnsi="Arial" w:eastAsia="Arial" w:cs="Arial"/>
        <w:b/>
        <w:sz w:val="14"/>
        <w:szCs w:val="14"/>
        <w:highlight w:val="white"/>
      </w:rPr>
      <w:t>: Getúlio Vargas, 900 - CEP 87.702.00</w:t>
    </w:r>
    <w:r>
      <w:rPr>
        <w:rFonts w:hint="default" w:ascii="Arial" w:hAnsi="Arial" w:eastAsia="Arial" w:cs="Arial"/>
        <w:b/>
        <w:sz w:val="14"/>
        <w:szCs w:val="14"/>
        <w:highlight w:val="white"/>
        <w:lang w:val="pt-BR"/>
      </w:rPr>
      <w:t>0</w:t>
    </w:r>
  </w:p>
  <w:p w14:paraId="5BFD2A05">
    <w:pPr>
      <w:keepNext w:val="0"/>
      <w:keepLines w:val="0"/>
      <w:pageBreakBefore w:val="0"/>
      <w:widowControl w:val="0"/>
      <w:kinsoku/>
      <w:wordWrap/>
      <w:overflowPunct/>
      <w:topLinePunct w:val="0"/>
      <w:bidi w:val="0"/>
      <w:adjustRightInd/>
      <w:snapToGrid/>
      <w:spacing w:before="0" w:line="240" w:lineRule="auto"/>
      <w:ind w:left="0" w:leftChars="0" w:right="-141"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Fone (44) 3421-2323</w:t>
    </w:r>
  </w:p>
  <w:p w14:paraId="7CB4EB16">
    <w:pPr>
      <w:keepNext w:val="0"/>
      <w:keepLines w:val="0"/>
      <w:pageBreakBefore w:val="0"/>
      <w:widowControl w:val="0"/>
      <w:kinsoku/>
      <w:wordWrap/>
      <w:overflowPunct/>
      <w:topLinePunct w:val="0"/>
      <w:bidi w:val="0"/>
      <w:adjustRightInd/>
      <w:snapToGrid/>
      <w:spacing w:before="0" w:line="240" w:lineRule="auto"/>
      <w:ind w:left="0" w:leftChars="0" w:firstLine="6243" w:firstLineChars="4457"/>
      <w:jc w:val="left"/>
      <w:textAlignment w:val="auto"/>
      <w:rPr>
        <w:rFonts w:ascii="Arial" w:hAnsi="Arial" w:eastAsia="Arial" w:cs="Arial"/>
        <w:b/>
        <w:sz w:val="14"/>
        <w:szCs w:val="14"/>
        <w:highlight w:val="white"/>
      </w:rPr>
    </w:pPr>
    <w:r>
      <w:rPr>
        <w:rFonts w:ascii="Arial" w:hAnsi="Arial" w:eastAsia="Arial" w:cs="Arial"/>
        <w:b/>
        <w:sz w:val="14"/>
        <w:szCs w:val="14"/>
        <w:highlight w:val="white"/>
      </w:rPr>
      <w:t>www.paranavai.pr.gov.br</w:t>
    </w:r>
  </w:p>
  <w:p w14:paraId="0701F72E">
    <w:pPr>
      <w:pStyle w:val="51"/>
      <w:keepNext w:val="0"/>
      <w:keepLines w:val="0"/>
      <w:pageBreakBefore w:val="0"/>
      <w:kinsoku/>
      <w:wordWrap/>
      <w:overflowPunct/>
      <w:topLinePunct w:val="0"/>
      <w:bidi w:val="0"/>
      <w:adjustRightInd/>
      <w:snapToGrid/>
      <w:spacing w:line="240" w:lineRule="auto"/>
      <w:ind w:left="0" w:leftChars="0" w:firstLine="6243" w:firstLineChars="4457"/>
      <w:jc w:val="left"/>
      <w:textAlignment w:val="auto"/>
      <w:rPr>
        <w:rFonts w:ascii="Arial" w:hAnsi="Arial" w:eastAsia="Book Antiqua" w:cs="Arial"/>
        <w:sz w:val="22"/>
        <w:szCs w:val="22"/>
      </w:rPr>
    </w:pPr>
    <w:r>
      <w:rPr>
        <w:rFonts w:ascii="Arial" w:hAnsi="Arial" w:eastAsia="Arial" w:cs="Arial"/>
        <w:b/>
        <w:sz w:val="14"/>
        <w:szCs w:val="14"/>
        <w:highlight w:val="white"/>
      </w:rPr>
      <w:t>compras@paranavai.pr.gov.br</w:t>
    </w:r>
  </w:p>
  <w:p w14:paraId="05999269">
    <w:pPr>
      <w:pStyle w:val="13"/>
      <w:tabs>
        <w:tab w:val="left" w:pos="4032"/>
        <w:tab w:val="clear" w:pos="4252"/>
        <w:tab w:val="clear" w:pos="85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lvlText w:val="%1."/>
      <w:lvlJc w:val="left"/>
      <w:pPr>
        <w:tabs>
          <w:tab w:val="left" w:pos="0"/>
        </w:tabs>
        <w:ind w:left="567" w:hanging="567"/>
      </w:pPr>
    </w:lvl>
    <w:lvl w:ilvl="1" w:tentative="0">
      <w:start w:val="1"/>
      <w:numFmt w:val="decimal"/>
      <w:pStyle w:val="56"/>
      <w:lvlText w:val="%1.%2."/>
      <w:lvlJc w:val="left"/>
      <w:pPr>
        <w:tabs>
          <w:tab w:val="left" w:pos="0"/>
        </w:tabs>
        <w:ind w:left="908" w:hanging="624"/>
      </w:pPr>
      <w:rPr>
        <w:color w:val="auto"/>
      </w:rPr>
    </w:lvl>
    <w:lvl w:ilvl="2" w:tentative="0">
      <w:start w:val="1"/>
      <w:numFmt w:val="decimal"/>
      <w:lvlText w:val="%1.%2.%3."/>
      <w:lvlJc w:val="left"/>
      <w:pPr>
        <w:tabs>
          <w:tab w:val="left" w:pos="0"/>
        </w:tabs>
        <w:ind w:left="737" w:hanging="737"/>
      </w:pPr>
    </w:lvl>
    <w:lvl w:ilvl="3" w:tentative="0">
      <w:start w:val="1"/>
      <w:numFmt w:val="decimal"/>
      <w:lvlText w:val="%1.%2.%3.%4."/>
      <w:lvlJc w:val="left"/>
      <w:pPr>
        <w:tabs>
          <w:tab w:val="left" w:pos="0"/>
        </w:tabs>
        <w:ind w:left="907" w:hanging="907"/>
      </w:pPr>
      <w:rPr>
        <w:rFonts w:hint="default"/>
        <w:b/>
        <w:bCs/>
      </w:rPr>
    </w:lvl>
    <w:lvl w:ilvl="4" w:tentative="0">
      <w:start w:val="1"/>
      <w:numFmt w:val="decimal"/>
      <w:lvlText w:val="%1.%2.%3.%4.%5."/>
      <w:lvlJc w:val="left"/>
      <w:pPr>
        <w:tabs>
          <w:tab w:val="left" w:pos="0"/>
        </w:tabs>
        <w:ind w:left="567" w:hanging="567"/>
      </w:pPr>
    </w:lvl>
    <w:lvl w:ilvl="5" w:tentative="0">
      <w:start w:val="1"/>
      <w:numFmt w:val="decimal"/>
      <w:lvlText w:val="%1.%2.%3.%4.%5.%6."/>
      <w:lvlJc w:val="left"/>
      <w:pPr>
        <w:tabs>
          <w:tab w:val="left" w:pos="0"/>
        </w:tabs>
        <w:ind w:left="567" w:hanging="567"/>
      </w:pPr>
    </w:lvl>
    <w:lvl w:ilvl="6" w:tentative="0">
      <w:start w:val="1"/>
      <w:numFmt w:val="decimal"/>
      <w:lvlText w:val="%1.%2.%3.%4.%5.%6.%7."/>
      <w:lvlJc w:val="left"/>
      <w:pPr>
        <w:tabs>
          <w:tab w:val="left" w:pos="0"/>
        </w:tabs>
        <w:ind w:left="567" w:hanging="567"/>
      </w:pPr>
    </w:lvl>
    <w:lvl w:ilvl="7" w:tentative="0">
      <w:start w:val="1"/>
      <w:numFmt w:val="decimal"/>
      <w:lvlText w:val="%1.%2.%3.%4.%5.%6.%7.%8."/>
      <w:lvlJc w:val="left"/>
      <w:pPr>
        <w:tabs>
          <w:tab w:val="left" w:pos="0"/>
        </w:tabs>
        <w:ind w:left="567" w:hanging="567"/>
      </w:pPr>
    </w:lvl>
    <w:lvl w:ilvl="8" w:tentative="0">
      <w:start w:val="1"/>
      <w:numFmt w:val="decimal"/>
      <w:lvlText w:val="%1.%2.%3.%4.%5.%6.%7.%8.%9."/>
      <w:lvlJc w:val="left"/>
      <w:pPr>
        <w:tabs>
          <w:tab w:val="left" w:pos="0"/>
        </w:tabs>
        <w:ind w:left="567" w:hanging="567"/>
      </w:pPr>
    </w:lvl>
  </w:abstractNum>
  <w:abstractNum w:abstractNumId="1">
    <w:nsid w:val="00BB2391"/>
    <w:multiLevelType w:val="multilevel"/>
    <w:tmpl w:val="00BB239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8314826"/>
    <w:multiLevelType w:val="singleLevel"/>
    <w:tmpl w:val="0831482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2A8E56F0"/>
    <w:multiLevelType w:val="multilevel"/>
    <w:tmpl w:val="2A8E56F0"/>
    <w:lvl w:ilvl="0" w:tentative="0">
      <w:start w:val="1"/>
      <w:numFmt w:val="decimal"/>
      <w:lvlText w:val="%1."/>
      <w:lvlJc w:val="left"/>
      <w:pPr>
        <w:ind w:left="360" w:hanging="360"/>
      </w:pPr>
    </w:lvl>
    <w:lvl w:ilvl="1" w:tentative="0">
      <w:start w:val="1"/>
      <w:numFmt w:val="decimal"/>
      <w:lvlText w:val="%1.%2."/>
      <w:lvlJc w:val="left"/>
      <w:pPr>
        <w:ind w:left="1850"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40E56398"/>
    <w:multiLevelType w:val="multilevel"/>
    <w:tmpl w:val="40E56398"/>
    <w:lvl w:ilvl="0" w:tentative="0">
      <w:start w:val="1"/>
      <w:numFmt w:val="decimal"/>
      <w:pStyle w:val="30"/>
      <w:lvlText w:val="%1."/>
      <w:lvlJc w:val="left"/>
      <w:pPr>
        <w:ind w:left="360" w:hanging="360"/>
      </w:pPr>
    </w:lvl>
    <w:lvl w:ilvl="1" w:tentative="0">
      <w:start w:val="1"/>
      <w:numFmt w:val="decimal"/>
      <w:lvlText w:val="%1.%2."/>
      <w:lvlJc w:val="left"/>
      <w:pPr>
        <w:ind w:left="1850" w:hanging="432"/>
      </w:pPr>
      <w:rPr>
        <w:rFonts w:hint="default"/>
        <w:color w:val="auto"/>
        <w:highlight w:val="none"/>
      </w:rPr>
    </w:lvl>
    <w:lvl w:ilvl="2" w:tentative="0">
      <w:start w:val="1"/>
      <w:numFmt w:val="decimal"/>
      <w:lvlText w:val="%1.%2.%3."/>
      <w:lvlJc w:val="left"/>
      <w:pPr>
        <w:ind w:left="1224" w:hanging="504"/>
      </w:pPr>
      <w:rPr>
        <w:rFonts w:hint="default"/>
        <w:highlight w:val="none"/>
      </w:r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467A01EF"/>
    <w:multiLevelType w:val="multilevel"/>
    <w:tmpl w:val="467A01EF"/>
    <w:lvl w:ilvl="0" w:tentative="0">
      <w:start w:val="1"/>
      <w:numFmt w:val="decimal"/>
      <w:lvlText w:val="%1."/>
      <w:lvlJc w:val="left"/>
      <w:pPr>
        <w:ind w:left="360" w:hanging="360"/>
      </w:pPr>
      <w:rPr>
        <w:rFonts w:hint="default"/>
        <w:highlight w:val="none"/>
      </w:rPr>
    </w:lvl>
    <w:lvl w:ilvl="1" w:tentative="0">
      <w:start w:val="1"/>
      <w:numFmt w:val="decimal"/>
      <w:lvlText w:val="%1.%2."/>
      <w:lvlJc w:val="left"/>
      <w:pPr>
        <w:ind w:left="2417" w:hanging="432"/>
      </w:pPr>
      <w:rPr>
        <w:color w:val="auto"/>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4EEC7614"/>
    <w:multiLevelType w:val="multilevel"/>
    <w:tmpl w:val="4EEC7614"/>
    <w:lvl w:ilvl="0" w:tentative="0">
      <w:start w:val="1"/>
      <w:numFmt w:val="decimal"/>
      <w:pStyle w:val="53"/>
      <w:lvlText w:val="CLÁUSULA %1ª:"/>
      <w:lvlJc w:val="left"/>
      <w:pPr>
        <w:ind w:left="360" w:hanging="360"/>
      </w:pPr>
      <w:rPr>
        <w:rFonts w:hint="default"/>
      </w:rPr>
    </w:lvl>
    <w:lvl w:ilvl="1" w:tentative="0">
      <w:start w:val="1"/>
      <w:numFmt w:val="decimal"/>
      <w:pStyle w:val="54"/>
      <w:lvlText w:val="%1.%2."/>
      <w:lvlJc w:val="left"/>
      <w:pPr>
        <w:ind w:left="574" w:hanging="432"/>
      </w:pPr>
      <w:rPr>
        <w:rFonts w:hint="default"/>
        <w:color w:val="auto"/>
      </w:rPr>
    </w:lvl>
    <w:lvl w:ilvl="2" w:tentative="0">
      <w:start w:val="1"/>
      <w:numFmt w:val="decimal"/>
      <w:pStyle w:val="55"/>
      <w:lvlText w:val="%1.%2.%3."/>
      <w:lvlJc w:val="left"/>
      <w:pPr>
        <w:ind w:left="1224" w:hanging="504"/>
      </w:pPr>
      <w:rPr>
        <w:rFonts w:hint="default"/>
        <w:highlight w:val="none"/>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7">
    <w:nsid w:val="63CC035D"/>
    <w:multiLevelType w:val="singleLevel"/>
    <w:tmpl w:val="63CC035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76D4707C"/>
    <w:multiLevelType w:val="multilevel"/>
    <w:tmpl w:val="76D4707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6"/>
  </w:num>
  <w:num w:numId="3">
    <w:abstractNumId w:val="0"/>
  </w:num>
  <w:num w:numId="4">
    <w:abstractNumId w:val="8"/>
  </w:num>
  <w:num w:numId="5">
    <w:abstractNumId w:val="1"/>
  </w:num>
  <w:num w:numId="6">
    <w:abstractNumId w:val="2"/>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82E"/>
    <w:rsid w:val="00000A18"/>
    <w:rsid w:val="00003289"/>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534E3"/>
    <w:rsid w:val="00166508"/>
    <w:rsid w:val="00170053"/>
    <w:rsid w:val="0017093C"/>
    <w:rsid w:val="00186319"/>
    <w:rsid w:val="00192C16"/>
    <w:rsid w:val="001936BF"/>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D409F"/>
    <w:rsid w:val="002D5336"/>
    <w:rsid w:val="002D6EDA"/>
    <w:rsid w:val="002F035E"/>
    <w:rsid w:val="00300128"/>
    <w:rsid w:val="00305B64"/>
    <w:rsid w:val="003077B3"/>
    <w:rsid w:val="00310893"/>
    <w:rsid w:val="00310AE2"/>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7E86"/>
    <w:rsid w:val="0056372E"/>
    <w:rsid w:val="005667FB"/>
    <w:rsid w:val="005673DF"/>
    <w:rsid w:val="0057504A"/>
    <w:rsid w:val="005753DD"/>
    <w:rsid w:val="00575B8A"/>
    <w:rsid w:val="00580387"/>
    <w:rsid w:val="00585A44"/>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647F"/>
    <w:rsid w:val="00704903"/>
    <w:rsid w:val="00710FF7"/>
    <w:rsid w:val="00720FC5"/>
    <w:rsid w:val="00724DDE"/>
    <w:rsid w:val="00731BF1"/>
    <w:rsid w:val="007362A9"/>
    <w:rsid w:val="00737689"/>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459B"/>
    <w:rsid w:val="007E56F1"/>
    <w:rsid w:val="007E5B21"/>
    <w:rsid w:val="007F14D0"/>
    <w:rsid w:val="007F2C76"/>
    <w:rsid w:val="007F2E9D"/>
    <w:rsid w:val="007F406A"/>
    <w:rsid w:val="00800E9E"/>
    <w:rsid w:val="0081198D"/>
    <w:rsid w:val="00811BF6"/>
    <w:rsid w:val="00813F00"/>
    <w:rsid w:val="008212C1"/>
    <w:rsid w:val="008223D4"/>
    <w:rsid w:val="00832D2C"/>
    <w:rsid w:val="00844D0D"/>
    <w:rsid w:val="00856094"/>
    <w:rsid w:val="008566CC"/>
    <w:rsid w:val="00861D9A"/>
    <w:rsid w:val="00862523"/>
    <w:rsid w:val="0086295D"/>
    <w:rsid w:val="008803BD"/>
    <w:rsid w:val="0089450B"/>
    <w:rsid w:val="00894BEB"/>
    <w:rsid w:val="008A35B0"/>
    <w:rsid w:val="008A704F"/>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6857"/>
    <w:rsid w:val="00AD0531"/>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F78E4"/>
    <w:rsid w:val="00C03EBF"/>
    <w:rsid w:val="00C057B9"/>
    <w:rsid w:val="00C0759B"/>
    <w:rsid w:val="00C10E8D"/>
    <w:rsid w:val="00C165C3"/>
    <w:rsid w:val="00C166DE"/>
    <w:rsid w:val="00C21F9F"/>
    <w:rsid w:val="00C32009"/>
    <w:rsid w:val="00C4146E"/>
    <w:rsid w:val="00C510BE"/>
    <w:rsid w:val="00C70C41"/>
    <w:rsid w:val="00C818FB"/>
    <w:rsid w:val="00C85530"/>
    <w:rsid w:val="00C85CA1"/>
    <w:rsid w:val="00C92758"/>
    <w:rsid w:val="00C94CA3"/>
    <w:rsid w:val="00C96D70"/>
    <w:rsid w:val="00CA039D"/>
    <w:rsid w:val="00CB1039"/>
    <w:rsid w:val="00CC175A"/>
    <w:rsid w:val="00CC262D"/>
    <w:rsid w:val="00CD2079"/>
    <w:rsid w:val="00CD2EAB"/>
    <w:rsid w:val="00CD7226"/>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04C51DAE"/>
    <w:rsid w:val="05F21F9E"/>
    <w:rsid w:val="0C5E0EC5"/>
    <w:rsid w:val="16AD3567"/>
    <w:rsid w:val="21411CFF"/>
    <w:rsid w:val="3F9E5255"/>
    <w:rsid w:val="48723147"/>
    <w:rsid w:val="4D3B4387"/>
    <w:rsid w:val="52F06942"/>
    <w:rsid w:val="62336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34" w:semiHidden="0" w:name="List Paragraph"/>
    <w:lsdException w:qFormat="1" w:unhideWhenUsed="0" w:uiPriority="64" w:semiHidden="0" w:name="Quote"/>
  </w:latentStyles>
  <w:style w:type="paragraph" w:default="1" w:styleId="1">
    <w:name w:val="Normal"/>
    <w:qFormat/>
    <w:uiPriority w:val="0"/>
    <w:pPr>
      <w:spacing w:before="240" w:line="312" w:lineRule="auto"/>
      <w:jc w:val="left"/>
    </w:pPr>
    <w:rPr>
      <w:rFonts w:ascii="Arial" w:hAnsi="Arial" w:eastAsia="Calibri" w:cs="Times New Roman"/>
      <w:sz w:val="24"/>
      <w:szCs w:val="22"/>
      <w:lang w:val="pt-BR" w:eastAsia="en-US" w:bidi="ar-SA"/>
    </w:rPr>
  </w:style>
  <w:style w:type="paragraph" w:styleId="2">
    <w:name w:val="heading 1"/>
    <w:basedOn w:val="1"/>
    <w:next w:val="1"/>
    <w:link w:val="45"/>
    <w:qFormat/>
    <w:uiPriority w:val="9"/>
    <w:pPr>
      <w:keepNext/>
      <w:keepLines/>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3"/>
    <w:unhideWhenUsed/>
    <w:qFormat/>
    <w:uiPriority w:val="9"/>
    <w:pPr>
      <w:keepNext/>
      <w:keepLines/>
      <w:spacing w:before="40" w:line="259" w:lineRule="auto"/>
      <w:outlineLvl w:val="1"/>
    </w:pPr>
    <w:rPr>
      <w:rFonts w:ascii="Bookman Old Style" w:hAnsi="Bookman Old Style" w:eastAsiaTheme="majorEastAsia" w:cstheme="majorBidi"/>
      <w:szCs w:val="26"/>
    </w:rPr>
  </w:style>
  <w:style w:type="paragraph" w:styleId="4">
    <w:name w:val="heading 3"/>
    <w:basedOn w:val="1"/>
    <w:next w:val="1"/>
    <w:link w:val="50"/>
    <w:semiHidden/>
    <w:unhideWhenUsed/>
    <w:qFormat/>
    <w:uiPriority w:val="9"/>
    <w:pPr>
      <w:keepNext/>
      <w:keepLines/>
      <w:spacing w:before="40"/>
      <w:outlineLvl w:val="2"/>
    </w:pPr>
    <w:rPr>
      <w:rFonts w:asciiTheme="majorHAnsi" w:hAnsiTheme="majorHAnsi" w:eastAsiaTheme="majorEastAsia" w:cstheme="majorBidi"/>
      <w:color w:val="203864" w:themeColor="accent1" w:themeShade="80"/>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qFormat/>
    <w:uiPriority w:val="99"/>
    <w:rPr>
      <w:sz w:val="16"/>
      <w:szCs w:val="16"/>
    </w:rPr>
  </w:style>
  <w:style w:type="character" w:styleId="8">
    <w:name w:val="FollowedHyperlink"/>
    <w:basedOn w:val="5"/>
    <w:semiHidden/>
    <w:unhideWhenUsed/>
    <w:qFormat/>
    <w:uiPriority w:val="99"/>
    <w:rPr>
      <w:color w:val="954F72" w:themeColor="followedHyperlink"/>
      <w:u w:val="single"/>
      <w14:textFill>
        <w14:solidFill>
          <w14:schemeClr w14:val="folHlink"/>
        </w14:solidFill>
      </w14:textFill>
    </w:rPr>
  </w:style>
  <w:style w:type="character" w:styleId="9">
    <w:name w:val="Hyperlink"/>
    <w:basedOn w:val="5"/>
    <w:unhideWhenUsed/>
    <w:qFormat/>
    <w:uiPriority w:val="99"/>
    <w:rPr>
      <w:color w:val="0563C1" w:themeColor="hyperlink"/>
      <w:u w:val="single"/>
      <w14:textFill>
        <w14:solidFill>
          <w14:schemeClr w14:val="hlink"/>
        </w14:solidFill>
      </w14:textFill>
    </w:rPr>
  </w:style>
  <w:style w:type="paragraph" w:styleId="10">
    <w:name w:val="annotation text"/>
    <w:basedOn w:val="1"/>
    <w:link w:val="26"/>
    <w:unhideWhenUsed/>
    <w:qFormat/>
    <w:uiPriority w:val="99"/>
    <w:pPr>
      <w:spacing w:line="240" w:lineRule="auto"/>
    </w:pPr>
    <w:rPr>
      <w:sz w:val="20"/>
      <w:szCs w:val="20"/>
    </w:rPr>
  </w:style>
  <w:style w:type="paragraph" w:styleId="11">
    <w:name w:val="Title"/>
    <w:basedOn w:val="1"/>
    <w:next w:val="1"/>
    <w:link w:val="49"/>
    <w:qFormat/>
    <w:uiPriority w:val="10"/>
    <w:pPr>
      <w:spacing w:before="0" w:after="120" w:line="259" w:lineRule="auto"/>
      <w:jc w:val="center"/>
    </w:pPr>
    <w:rPr>
      <w:rFonts w:eastAsia="Times New Roman" w:cs="Arial"/>
      <w:b/>
      <w:bCs/>
      <w:szCs w:val="24"/>
      <w:lang w:eastAsia="pt-BR"/>
    </w:rPr>
  </w:style>
  <w:style w:type="paragraph" w:styleId="12">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Cs w:val="24"/>
      <w:lang w:eastAsia="pt-BR"/>
    </w:rPr>
  </w:style>
  <w:style w:type="paragraph" w:styleId="13">
    <w:name w:val="header"/>
    <w:basedOn w:val="1"/>
    <w:link w:val="35"/>
    <w:unhideWhenUsed/>
    <w:qFormat/>
    <w:uiPriority w:val="99"/>
    <w:pPr>
      <w:tabs>
        <w:tab w:val="center" w:pos="4252"/>
        <w:tab w:val="right" w:pos="8504"/>
      </w:tabs>
      <w:spacing w:before="0" w:line="240" w:lineRule="auto"/>
    </w:pPr>
  </w:style>
  <w:style w:type="paragraph" w:styleId="14">
    <w:name w:val="annotation subject"/>
    <w:basedOn w:val="10"/>
    <w:next w:val="10"/>
    <w:link w:val="27"/>
    <w:semiHidden/>
    <w:unhideWhenUsed/>
    <w:qFormat/>
    <w:uiPriority w:val="99"/>
    <w:rPr>
      <w:b/>
      <w:bCs/>
    </w:rPr>
  </w:style>
  <w:style w:type="paragraph" w:styleId="15">
    <w:name w:val="footer"/>
    <w:basedOn w:val="1"/>
    <w:link w:val="36"/>
    <w:unhideWhenUsed/>
    <w:qFormat/>
    <w:uiPriority w:val="99"/>
    <w:pPr>
      <w:tabs>
        <w:tab w:val="center" w:pos="4252"/>
        <w:tab w:val="right" w:pos="8504"/>
      </w:tabs>
      <w:spacing w:before="0" w:line="240" w:lineRule="auto"/>
    </w:pPr>
  </w:style>
  <w:style w:type="paragraph" w:styleId="16">
    <w:name w:val="Balloon Text"/>
    <w:basedOn w:val="1"/>
    <w:link w:val="28"/>
    <w:semiHidden/>
    <w:unhideWhenUsed/>
    <w:qFormat/>
    <w:uiPriority w:val="99"/>
    <w:pPr>
      <w:spacing w:before="0" w:line="240" w:lineRule="auto"/>
    </w:pPr>
    <w:rPr>
      <w:rFonts w:ascii="Segoe UI" w:hAnsi="Segoe UI" w:cs="Segoe UI"/>
      <w:sz w:val="18"/>
      <w:szCs w:val="18"/>
    </w:rPr>
  </w:style>
  <w:style w:type="table" w:styleId="17">
    <w:name w:val="Table Grid"/>
    <w:basedOn w:val="6"/>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noticias"/>
    <w:link w:val="19"/>
    <w:qFormat/>
    <w:uiPriority w:val="0"/>
    <w:pPr>
      <w:spacing w:before="120" w:line="240" w:lineRule="auto"/>
      <w:jc w:val="both"/>
    </w:pPr>
    <w:rPr>
      <w:rFonts w:ascii="Arial" w:hAnsi="Arial" w:eastAsia="Calibri" w:cstheme="minorBidi"/>
      <w:sz w:val="22"/>
      <w:szCs w:val="22"/>
      <w:lang w:val="pt-BR" w:eastAsia="en-US" w:bidi="ar-SA"/>
    </w:rPr>
  </w:style>
  <w:style w:type="character" w:customStyle="1" w:styleId="19">
    <w:name w:val="noticias Char"/>
    <w:basedOn w:val="5"/>
    <w:link w:val="18"/>
    <w:qFormat/>
    <w:uiPriority w:val="0"/>
    <w:rPr>
      <w:rFonts w:ascii="Arial" w:hAnsi="Arial"/>
    </w:rPr>
  </w:style>
  <w:style w:type="paragraph" w:customStyle="1" w:styleId="20">
    <w:name w:val="citações"/>
    <w:basedOn w:val="1"/>
    <w:link w:val="21"/>
    <w:qFormat/>
    <w:uiPriority w:val="0"/>
    <w:pPr>
      <w:spacing w:before="120" w:line="264" w:lineRule="auto"/>
      <w:ind w:left="2268"/>
    </w:pPr>
    <w:rPr>
      <w:rFonts w:ascii="Times New Roman" w:hAnsi="Times New Roman"/>
    </w:rPr>
  </w:style>
  <w:style w:type="character" w:customStyle="1" w:styleId="21">
    <w:name w:val="citações Char"/>
    <w:basedOn w:val="5"/>
    <w:link w:val="20"/>
    <w:qFormat/>
    <w:uiPriority w:val="0"/>
    <w:rPr>
      <w:rFonts w:ascii="Times New Roman" w:hAnsi="Times New Roman"/>
      <w:szCs w:val="24"/>
    </w:rPr>
  </w:style>
  <w:style w:type="paragraph" w:styleId="22">
    <w:name w:val="Quote"/>
    <w:basedOn w:val="1"/>
    <w:next w:val="1"/>
    <w:link w:val="23"/>
    <w:qFormat/>
    <w:uiPriority w:val="64"/>
    <w:pPr>
      <w:autoSpaceDE w:val="0"/>
      <w:autoSpaceDN w:val="0"/>
      <w:adjustRightInd w:val="0"/>
      <w:spacing w:before="120" w:line="264" w:lineRule="auto"/>
      <w:ind w:left="2268"/>
    </w:pPr>
    <w:rPr>
      <w:rFonts w:ascii="Times New Roman" w:hAnsi="Times New Roman" w:cstheme="minorBidi"/>
      <w:color w:val="000000"/>
    </w:rPr>
  </w:style>
  <w:style w:type="character" w:customStyle="1" w:styleId="23">
    <w:name w:val="Citação Char"/>
    <w:basedOn w:val="5"/>
    <w:link w:val="22"/>
    <w:qFormat/>
    <w:uiPriority w:val="64"/>
    <w:rPr>
      <w:rFonts w:ascii="Times New Roman" w:hAnsi="Times New Roman"/>
      <w:color w:val="000000"/>
      <w:sz w:val="24"/>
      <w:szCs w:val="24"/>
    </w:rPr>
  </w:style>
  <w:style w:type="character" w:customStyle="1" w:styleId="24">
    <w:name w:val="Menção Pendente1"/>
    <w:basedOn w:val="5"/>
    <w:semiHidden/>
    <w:unhideWhenUsed/>
    <w:qFormat/>
    <w:uiPriority w:val="99"/>
    <w:rPr>
      <w:color w:val="605E5C"/>
      <w:shd w:val="clear" w:color="auto" w:fill="E1DFDD"/>
    </w:rPr>
  </w:style>
  <w:style w:type="paragraph" w:styleId="25">
    <w:name w:val="List Paragraph"/>
    <w:basedOn w:val="1"/>
    <w:link w:val="32"/>
    <w:qFormat/>
    <w:uiPriority w:val="34"/>
    <w:pPr>
      <w:ind w:left="720"/>
      <w:contextualSpacing/>
    </w:pPr>
  </w:style>
  <w:style w:type="character" w:customStyle="1" w:styleId="26">
    <w:name w:val="Texto de comentário Char"/>
    <w:basedOn w:val="5"/>
    <w:link w:val="10"/>
    <w:qFormat/>
    <w:uiPriority w:val="99"/>
    <w:rPr>
      <w:rFonts w:ascii="Arial" w:hAnsi="Arial" w:cs="Times New Roman"/>
      <w:sz w:val="20"/>
      <w:szCs w:val="20"/>
    </w:rPr>
  </w:style>
  <w:style w:type="character" w:customStyle="1" w:styleId="27">
    <w:name w:val="Assunto do comentário Char"/>
    <w:basedOn w:val="26"/>
    <w:link w:val="14"/>
    <w:semiHidden/>
    <w:qFormat/>
    <w:uiPriority w:val="99"/>
    <w:rPr>
      <w:rFonts w:ascii="Arial" w:hAnsi="Arial" w:cs="Times New Roman"/>
      <w:b/>
      <w:bCs/>
      <w:sz w:val="20"/>
      <w:szCs w:val="20"/>
    </w:rPr>
  </w:style>
  <w:style w:type="character" w:customStyle="1" w:styleId="28">
    <w:name w:val="Texto de balão Char"/>
    <w:basedOn w:val="5"/>
    <w:link w:val="16"/>
    <w:semiHidden/>
    <w:qFormat/>
    <w:uiPriority w:val="99"/>
    <w:rPr>
      <w:rFonts w:ascii="Segoe UI" w:hAnsi="Segoe UI" w:cs="Segoe UI"/>
      <w:sz w:val="18"/>
      <w:szCs w:val="18"/>
    </w:rPr>
  </w:style>
  <w:style w:type="paragraph" w:customStyle="1" w:styleId="29">
    <w:name w:val="Revision"/>
    <w:hidden/>
    <w:semiHidden/>
    <w:qFormat/>
    <w:uiPriority w:val="99"/>
    <w:pPr>
      <w:spacing w:before="0" w:line="240" w:lineRule="auto"/>
      <w:jc w:val="left"/>
    </w:pPr>
    <w:rPr>
      <w:rFonts w:ascii="Arial" w:hAnsi="Arial" w:eastAsia="Calibri" w:cs="Times New Roman"/>
      <w:sz w:val="24"/>
      <w:szCs w:val="22"/>
      <w:lang w:val="pt-BR" w:eastAsia="en-US" w:bidi="ar-SA"/>
    </w:rPr>
  </w:style>
  <w:style w:type="paragraph" w:customStyle="1" w:styleId="30">
    <w:name w:val="Títulos"/>
    <w:basedOn w:val="1"/>
    <w:next w:val="1"/>
    <w:qFormat/>
    <w:uiPriority w:val="0"/>
    <w:pPr>
      <w:keepNext/>
      <w:numPr>
        <w:ilvl w:val="0"/>
        <w:numId w:val="1"/>
      </w:numPr>
      <w:pBdr>
        <w:bottom w:val="thinThickSmallGap" w:color="auto" w:sz="18" w:space="1"/>
      </w:pBdr>
      <w:spacing w:before="360" w:line="240" w:lineRule="auto"/>
      <w:ind w:left="0" w:firstLine="0"/>
      <w:jc w:val="both"/>
    </w:pPr>
    <w:rPr>
      <w:rFonts w:eastAsia="Times New Roman" w:cs="Arial"/>
      <w:b/>
      <w:color w:val="000000"/>
      <w:szCs w:val="24"/>
      <w:lang w:eastAsia="pt-BR"/>
    </w:rPr>
  </w:style>
  <w:style w:type="paragraph" w:customStyle="1" w:styleId="31">
    <w:name w:val="item_nivel2"/>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character" w:customStyle="1" w:styleId="32">
    <w:name w:val="Parágrafo da Lista Char"/>
    <w:basedOn w:val="5"/>
    <w:link w:val="25"/>
    <w:qFormat/>
    <w:uiPriority w:val="34"/>
    <w:rPr>
      <w:rFonts w:ascii="Arial" w:hAnsi="Arial" w:cs="Times New Roman"/>
      <w:sz w:val="24"/>
    </w:rPr>
  </w:style>
  <w:style w:type="character" w:customStyle="1" w:styleId="33">
    <w:name w:val="Título 2 Char"/>
    <w:basedOn w:val="5"/>
    <w:link w:val="3"/>
    <w:qFormat/>
    <w:uiPriority w:val="9"/>
    <w:rPr>
      <w:rFonts w:ascii="Bookman Old Style" w:hAnsi="Bookman Old Style" w:eastAsiaTheme="majorEastAsia" w:cstheme="majorBidi"/>
      <w:sz w:val="24"/>
      <w:szCs w:val="26"/>
    </w:rPr>
  </w:style>
  <w:style w:type="character" w:customStyle="1" w:styleId="34">
    <w:name w:val="Unresolved Mention"/>
    <w:basedOn w:val="5"/>
    <w:semiHidden/>
    <w:unhideWhenUsed/>
    <w:qFormat/>
    <w:uiPriority w:val="99"/>
    <w:rPr>
      <w:color w:val="605E5C"/>
      <w:shd w:val="clear" w:color="auto" w:fill="E1DFDD"/>
    </w:rPr>
  </w:style>
  <w:style w:type="character" w:customStyle="1" w:styleId="35">
    <w:name w:val="Cabeçalho Char"/>
    <w:basedOn w:val="5"/>
    <w:link w:val="13"/>
    <w:qFormat/>
    <w:uiPriority w:val="99"/>
    <w:rPr>
      <w:rFonts w:ascii="Arial" w:hAnsi="Arial" w:cs="Times New Roman"/>
      <w:sz w:val="24"/>
    </w:rPr>
  </w:style>
  <w:style w:type="character" w:customStyle="1" w:styleId="36">
    <w:name w:val="Rodapé Char"/>
    <w:basedOn w:val="5"/>
    <w:link w:val="15"/>
    <w:qFormat/>
    <w:uiPriority w:val="99"/>
    <w:rPr>
      <w:rFonts w:ascii="Arial" w:hAnsi="Arial" w:cs="Times New Roman"/>
      <w:sz w:val="24"/>
    </w:rPr>
  </w:style>
  <w:style w:type="character" w:customStyle="1" w:styleId="37">
    <w:name w:val="cf01"/>
    <w:basedOn w:val="5"/>
    <w:qFormat/>
    <w:uiPriority w:val="0"/>
    <w:rPr>
      <w:rFonts w:hint="default" w:ascii="Segoe UI" w:hAnsi="Segoe UI" w:cs="Segoe UI"/>
      <w:sz w:val="18"/>
      <w:szCs w:val="18"/>
    </w:rPr>
  </w:style>
  <w:style w:type="paragraph" w:customStyle="1" w:styleId="38">
    <w:name w:val="pf0"/>
    <w:basedOn w:val="1"/>
    <w:qFormat/>
    <w:uiPriority w:val="0"/>
    <w:pPr>
      <w:spacing w:before="100" w:beforeAutospacing="1" w:after="100" w:afterAutospacing="1" w:line="240" w:lineRule="auto"/>
    </w:pPr>
    <w:rPr>
      <w:rFonts w:ascii="Times New Roman" w:hAnsi="Times New Roman" w:eastAsia="Times New Roman"/>
      <w:szCs w:val="24"/>
      <w:lang w:eastAsia="pt-BR"/>
    </w:rPr>
  </w:style>
  <w:style w:type="paragraph" w:customStyle="1" w:styleId="39">
    <w:name w:val="1o. nivel"/>
    <w:basedOn w:val="2"/>
    <w:qFormat/>
    <w:uiPriority w:val="0"/>
    <w:pPr>
      <w:pageBreakBefore/>
      <w:pBdr>
        <w:bottom w:val="single" w:color="auto" w:sz="4" w:space="1"/>
      </w:pBdr>
      <w:tabs>
        <w:tab w:val="left" w:pos="360"/>
      </w:tabs>
      <w:spacing w:line="240" w:lineRule="auto"/>
      <w:jc w:val="both"/>
    </w:pPr>
    <w:rPr>
      <w:rFonts w:ascii="Bookman Old Style" w:hAnsi="Bookman Old Style"/>
      <w:b/>
      <w:bCs/>
      <w:color w:val="auto"/>
      <w:sz w:val="24"/>
      <w:szCs w:val="24"/>
    </w:rPr>
  </w:style>
  <w:style w:type="paragraph" w:customStyle="1" w:styleId="40">
    <w:name w:val="2o. nivel simples"/>
    <w:basedOn w:val="25"/>
    <w:qFormat/>
    <w:uiPriority w:val="0"/>
    <w:pPr>
      <w:tabs>
        <w:tab w:val="left" w:pos="794"/>
        <w:tab w:val="left" w:pos="851"/>
      </w:tabs>
      <w:ind w:left="0"/>
      <w:contextualSpacing w:val="0"/>
      <w:jc w:val="both"/>
      <w:outlineLvl w:val="1"/>
    </w:pPr>
    <w:rPr>
      <w:rFonts w:ascii="Bookman Old Style" w:hAnsi="Bookman Old Style" w:eastAsiaTheme="majorEastAsia" w:cstheme="majorBidi"/>
      <w:szCs w:val="24"/>
    </w:rPr>
  </w:style>
  <w:style w:type="paragraph" w:customStyle="1" w:styleId="41">
    <w:name w:val="2o nivel Título"/>
    <w:basedOn w:val="40"/>
    <w:link w:val="42"/>
    <w:qFormat/>
    <w:uiPriority w:val="0"/>
    <w:pPr>
      <w:keepNext/>
    </w:pPr>
    <w:rPr>
      <w:b/>
      <w:bCs/>
    </w:rPr>
  </w:style>
  <w:style w:type="character" w:customStyle="1" w:styleId="42">
    <w:name w:val="2o nivel Título Char"/>
    <w:basedOn w:val="5"/>
    <w:link w:val="41"/>
    <w:qFormat/>
    <w:uiPriority w:val="0"/>
    <w:rPr>
      <w:rFonts w:ascii="Bookman Old Style" w:hAnsi="Bookman Old Style" w:eastAsiaTheme="majorEastAsia" w:cstheme="majorBidi"/>
      <w:b/>
      <w:bCs/>
      <w:sz w:val="24"/>
      <w:szCs w:val="24"/>
    </w:rPr>
  </w:style>
  <w:style w:type="paragraph" w:customStyle="1" w:styleId="43">
    <w:name w:val="3o. nivel"/>
    <w:basedOn w:val="1"/>
    <w:link w:val="46"/>
    <w:qFormat/>
    <w:uiPriority w:val="0"/>
    <w:pPr>
      <w:tabs>
        <w:tab w:val="left" w:pos="1134"/>
      </w:tabs>
      <w:jc w:val="both"/>
      <w:outlineLvl w:val="1"/>
    </w:pPr>
    <w:rPr>
      <w:rFonts w:ascii="Bookman Old Style" w:hAnsi="Bookman Old Style" w:eastAsia="Times New Roman"/>
      <w:szCs w:val="24"/>
      <w:lang w:eastAsia="pt-BR"/>
    </w:rPr>
  </w:style>
  <w:style w:type="paragraph" w:customStyle="1" w:styleId="44">
    <w:name w:val="4o. nivel"/>
    <w:basedOn w:val="43"/>
    <w:qFormat/>
    <w:uiPriority w:val="0"/>
  </w:style>
  <w:style w:type="character" w:customStyle="1" w:styleId="45">
    <w:name w:val="Título 1 Char"/>
    <w:basedOn w:val="5"/>
    <w:link w:val="2"/>
    <w:qFormat/>
    <w:uiPriority w:val="9"/>
    <w:rPr>
      <w:rFonts w:asciiTheme="majorHAnsi" w:hAnsiTheme="majorHAnsi" w:eastAsiaTheme="majorEastAsia" w:cstheme="majorBidi"/>
      <w:color w:val="2F5597" w:themeColor="accent1" w:themeShade="BF"/>
      <w:sz w:val="32"/>
      <w:szCs w:val="32"/>
    </w:rPr>
  </w:style>
  <w:style w:type="character" w:customStyle="1" w:styleId="46">
    <w:name w:val="3o. nivel Char"/>
    <w:basedOn w:val="5"/>
    <w:link w:val="43"/>
    <w:qFormat/>
    <w:uiPriority w:val="0"/>
    <w:rPr>
      <w:rFonts w:ascii="Bookman Old Style" w:hAnsi="Bookman Old Style" w:eastAsia="Times New Roman" w:cs="Times New Roman"/>
      <w:sz w:val="24"/>
      <w:szCs w:val="24"/>
      <w:lang w:eastAsia="pt-BR"/>
    </w:rPr>
  </w:style>
  <w:style w:type="character" w:styleId="47">
    <w:name w:val="Placeholder Text"/>
    <w:basedOn w:val="5"/>
    <w:semiHidden/>
    <w:qFormat/>
    <w:uiPriority w:val="99"/>
    <w:rPr>
      <w:color w:val="808080"/>
    </w:rPr>
  </w:style>
  <w:style w:type="character" w:customStyle="1" w:styleId="48">
    <w:name w:val="cf11"/>
    <w:basedOn w:val="5"/>
    <w:qFormat/>
    <w:uiPriority w:val="0"/>
    <w:rPr>
      <w:rFonts w:hint="default" w:ascii="Segoe UI" w:hAnsi="Segoe UI" w:cs="Segoe UI"/>
      <w:b/>
      <w:bCs/>
      <w:sz w:val="18"/>
      <w:szCs w:val="18"/>
    </w:rPr>
  </w:style>
  <w:style w:type="character" w:customStyle="1" w:styleId="49">
    <w:name w:val="Título Char"/>
    <w:basedOn w:val="5"/>
    <w:link w:val="11"/>
    <w:qFormat/>
    <w:uiPriority w:val="10"/>
    <w:rPr>
      <w:rFonts w:ascii="Arial" w:hAnsi="Arial" w:eastAsia="Times New Roman" w:cs="Arial"/>
      <w:b/>
      <w:bCs/>
      <w:sz w:val="24"/>
      <w:szCs w:val="24"/>
      <w:lang w:eastAsia="pt-BR"/>
    </w:rPr>
  </w:style>
  <w:style w:type="character" w:customStyle="1" w:styleId="50">
    <w:name w:val="Título 3 Char"/>
    <w:basedOn w:val="5"/>
    <w:link w:val="4"/>
    <w:semiHidden/>
    <w:qFormat/>
    <w:uiPriority w:val="99"/>
    <w:rPr>
      <w:rFonts w:asciiTheme="majorHAnsi" w:hAnsiTheme="majorHAnsi" w:eastAsiaTheme="majorEastAsia" w:cstheme="majorBidi"/>
      <w:color w:val="203864" w:themeColor="accent1" w:themeShade="80"/>
      <w:sz w:val="24"/>
      <w:szCs w:val="24"/>
    </w:rPr>
  </w:style>
  <w:style w:type="paragraph" w:customStyle="1" w:styleId="51">
    <w:name w:val="Normal1"/>
    <w:qFormat/>
    <w:uiPriority w:val="0"/>
    <w:pPr>
      <w:spacing w:after="0" w:line="240" w:lineRule="auto"/>
    </w:pPr>
    <w:rPr>
      <w:rFonts w:ascii="Times New Roman" w:hAnsi="Times New Roman" w:eastAsia="Times New Roman" w:cs="Times New Roman"/>
      <w:kern w:val="0"/>
      <w:sz w:val="24"/>
      <w:szCs w:val="24"/>
      <w:lang w:val="pt-BR" w:eastAsia="pt-BR" w:bidi="ar-SA"/>
      <w14:ligatures w14:val="none"/>
    </w:rPr>
  </w:style>
  <w:style w:type="paragraph" w:customStyle="1" w:styleId="52">
    <w:name w:val="Standard"/>
    <w:qFormat/>
    <w:uiPriority w:val="0"/>
    <w:pPr>
      <w:widowControl/>
      <w:suppressAutoHyphens/>
      <w:bidi w:val="0"/>
      <w:spacing w:before="0" w:after="0"/>
      <w:jc w:val="left"/>
      <w:textAlignment w:val="baseline"/>
    </w:pPr>
    <w:rPr>
      <w:rFonts w:ascii="Liberation Serif" w:hAnsi="Liberation Serif" w:eastAsia="NSimSun" w:cs="Arial"/>
      <w:color w:val="auto"/>
      <w:kern w:val="2"/>
      <w:sz w:val="24"/>
      <w:szCs w:val="24"/>
      <w:lang w:val="pt-BR" w:eastAsia="zh-CN" w:bidi="hi-IN"/>
    </w:rPr>
  </w:style>
  <w:style w:type="paragraph" w:customStyle="1" w:styleId="53">
    <w:name w:val="Cláusula"/>
    <w:basedOn w:val="25"/>
    <w:qFormat/>
    <w:uiPriority w:val="0"/>
    <w:pPr>
      <w:keepNext/>
      <w:numPr>
        <w:ilvl w:val="0"/>
        <w:numId w:val="2"/>
      </w:numPr>
      <w:pBdr>
        <w:bottom w:val="thinThickMediumGap" w:color="auto" w:sz="18" w:space="1"/>
      </w:pBdr>
      <w:tabs>
        <w:tab w:val="left" w:pos="2127"/>
      </w:tabs>
      <w:spacing w:before="360" w:line="264" w:lineRule="auto"/>
      <w:ind w:left="0" w:firstLine="0"/>
      <w:contextualSpacing w:val="0"/>
      <w:jc w:val="both"/>
    </w:pPr>
    <w:rPr>
      <w:rFonts w:ascii="Arial" w:hAnsi="Arial" w:cs="Arial"/>
      <w:b/>
    </w:rPr>
  </w:style>
  <w:style w:type="paragraph" w:customStyle="1" w:styleId="54">
    <w:name w:val="2o. Nível"/>
    <w:basedOn w:val="25"/>
    <w:qFormat/>
    <w:uiPriority w:val="0"/>
    <w:pPr>
      <w:numPr>
        <w:ilvl w:val="1"/>
        <w:numId w:val="2"/>
      </w:numPr>
      <w:tabs>
        <w:tab w:val="left" w:pos="851"/>
        <w:tab w:val="left" w:pos="1843"/>
      </w:tabs>
      <w:spacing w:before="120" w:line="264" w:lineRule="auto"/>
      <w:ind w:left="0" w:firstLine="0"/>
      <w:contextualSpacing w:val="0"/>
      <w:jc w:val="both"/>
    </w:pPr>
    <w:rPr>
      <w:rFonts w:ascii="Arial" w:hAnsi="Arial" w:cs="Arial"/>
      <w:lang w:eastAsia="pt-BR"/>
    </w:rPr>
  </w:style>
  <w:style w:type="paragraph" w:customStyle="1" w:styleId="55">
    <w:name w:val="3o. Nível"/>
    <w:basedOn w:val="25"/>
    <w:qFormat/>
    <w:uiPriority w:val="0"/>
    <w:pPr>
      <w:numPr>
        <w:ilvl w:val="2"/>
        <w:numId w:val="2"/>
      </w:numPr>
      <w:tabs>
        <w:tab w:val="left" w:pos="993"/>
        <w:tab w:val="left" w:pos="1843"/>
      </w:tabs>
      <w:spacing w:before="120" w:line="264" w:lineRule="auto"/>
      <w:ind w:left="0" w:firstLine="0"/>
      <w:contextualSpacing w:val="0"/>
      <w:jc w:val="both"/>
    </w:pPr>
    <w:rPr>
      <w:rFonts w:ascii="Arial" w:hAnsi="Arial" w:eastAsia="Times New Roman" w:cs="Arial"/>
      <w:color w:val="000000"/>
      <w:lang w:eastAsia="pt-BR"/>
    </w:rPr>
  </w:style>
  <w:style w:type="paragraph" w:customStyle="1" w:styleId="56">
    <w:name w:val="Tópico 2"/>
    <w:basedOn w:val="25"/>
    <w:qFormat/>
    <w:uiPriority w:val="0"/>
    <w:pPr>
      <w:numPr>
        <w:ilvl w:val="1"/>
        <w:numId w:val="3"/>
      </w:numPr>
      <w:pBdr>
        <w:bottom w:val="single" w:color="000000" w:sz="4" w:space="1"/>
      </w:pBdr>
      <w:spacing w:before="360" w:after="240" w:line="288" w:lineRule="auto"/>
      <w:ind w:left="624"/>
      <w:contextualSpacing w:val="0"/>
    </w:pPr>
    <w:rPr>
      <w:b/>
      <w:bCs/>
      <w:iCs/>
    </w:rPr>
  </w:style>
  <w:style w:type="paragraph" w:customStyle="1" w:styleId="57">
    <w:name w:val="Table Paragraph"/>
    <w:basedOn w:val="1"/>
    <w:qFormat/>
    <w:uiPriority w:val="1"/>
    <w:pPr>
      <w:widowControl w:val="0"/>
      <w:spacing w:before="0" w:after="0" w:line="240" w:lineRule="auto"/>
      <w:jc w:val="left"/>
    </w:pPr>
    <w:rPr>
      <w:rFonts w:ascii="Times New Roman" w:hAnsi="Times New Roman" w:cs="Times New Roman"/>
      <w:szCs w:val="2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435E7942">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4D23BEC1">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4515D468">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2343E5AA">
          <w:pPr>
            <w:pStyle w:val="8"/>
          </w:pPr>
          <w:r>
            <w:rPr>
              <w:rStyle w:val="4"/>
            </w:rPr>
            <w:t>Escolher um item.</w:t>
          </w:r>
        </w:p>
      </w:docPartBody>
    </w:docPart>
    <w:docPart>
      <w:docPartPr>
        <w:name w:val="{7354cbdb-bad5-4526-8b2b-846903bb8113}"/>
        <w:style w:val=""/>
        <w:category>
          <w:name w:val="Geral"/>
          <w:gallery w:val="placeholder"/>
        </w:category>
        <w:types>
          <w:type w:val="bbPlcHdr"/>
        </w:types>
        <w:behaviors>
          <w:behavior w:val="content"/>
        </w:behaviors>
        <w:description w:val=""/>
        <w:guid w:val="{7354cbdb-bad5-4526-8b2b-846903bb8113}"/>
      </w:docPartPr>
      <w:docPartBody>
        <w:p w14:paraId="0D7A8965">
          <w:pPr>
            <w:pStyle w:val="5"/>
          </w:pPr>
          <w:r>
            <w:rPr>
              <w:rStyle w:val="4"/>
            </w:rPr>
            <w:t>Clique ou toque aqui para inserir uma data.</w:t>
          </w:r>
        </w:p>
      </w:docPartBody>
    </w:docPart>
    <w:docPart>
      <w:docPartPr>
        <w:name w:val="{58720ca8-b69a-4e86-886f-a2400e680caa}"/>
        <w:style w:val=""/>
        <w:category>
          <w:name w:val="Geral"/>
          <w:gallery w:val="placeholder"/>
        </w:category>
        <w:types>
          <w:type w:val="bbPlcHdr"/>
        </w:types>
        <w:behaviors>
          <w:behavior w:val="content"/>
        </w:behaviors>
        <w:description w:val=""/>
        <w:guid w:val="{58720ca8-b69a-4e86-886f-a2400e680caa}"/>
      </w:docPartPr>
      <w:docPartBody>
        <w:p w14:paraId="103CCD23">
          <w:pPr>
            <w:pStyle w:val="8"/>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E04"/>
    <w:rsid w:val="00055606"/>
    <w:rsid w:val="00086814"/>
    <w:rsid w:val="000C02B1"/>
    <w:rsid w:val="000E6151"/>
    <w:rsid w:val="001B3A6B"/>
    <w:rsid w:val="00203E04"/>
    <w:rsid w:val="002643D9"/>
    <w:rsid w:val="002958A6"/>
    <w:rsid w:val="002B4EE0"/>
    <w:rsid w:val="00307D18"/>
    <w:rsid w:val="00333C55"/>
    <w:rsid w:val="00370D9D"/>
    <w:rsid w:val="003D17DD"/>
    <w:rsid w:val="003D69F7"/>
    <w:rsid w:val="004701C9"/>
    <w:rsid w:val="004A234D"/>
    <w:rsid w:val="004E7967"/>
    <w:rsid w:val="00531BEF"/>
    <w:rsid w:val="005539C5"/>
    <w:rsid w:val="00573148"/>
    <w:rsid w:val="00600306"/>
    <w:rsid w:val="006353B5"/>
    <w:rsid w:val="006C34D6"/>
    <w:rsid w:val="006E0869"/>
    <w:rsid w:val="0074727D"/>
    <w:rsid w:val="00790A5E"/>
    <w:rsid w:val="00800850"/>
    <w:rsid w:val="00972A39"/>
    <w:rsid w:val="00A2510B"/>
    <w:rsid w:val="00A77037"/>
    <w:rsid w:val="00A83EB1"/>
    <w:rsid w:val="00A95C57"/>
    <w:rsid w:val="00BF0637"/>
    <w:rsid w:val="00BF2B2B"/>
    <w:rsid w:val="00C9393B"/>
    <w:rsid w:val="00D41446"/>
    <w:rsid w:val="00D65917"/>
    <w:rsid w:val="00D6638A"/>
    <w:rsid w:val="00DE713D"/>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9">
    <w:name w:val="E9E1EA8921274205B097F31E9DC82875"/>
    <w:qFormat/>
    <w:uiPriority w:val="0"/>
    <w:pPr>
      <w:spacing w:before="120" w:after="120" w:line="280" w:lineRule="atLeast"/>
      <w:jc w:val="both"/>
    </w:pPr>
    <w:rPr>
      <w:rFonts w:ascii="Arial" w:hAnsi="Arial" w:eastAsia="Times New Roman" w:cs="Arial"/>
      <w:sz w:val="22"/>
      <w:szCs w:val="24"/>
      <w:lang w:val="pt-BR" w:eastAsia="pt-BR"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5835-AADF-48D2-996F-0A8369D61B05}">
  <ds:schemaRefs/>
</ds:datastoreItem>
</file>

<file path=docProps/app.xml><?xml version="1.0" encoding="utf-8"?>
<Properties xmlns="http://schemas.openxmlformats.org/officeDocument/2006/extended-properties" xmlns:vt="http://schemas.openxmlformats.org/officeDocument/2006/docPropsVTypes">
  <Template>Normal</Template>
  <Pages>29</Pages>
  <Words>6631</Words>
  <Characters>38506</Characters>
  <Lines>141</Lines>
  <Paragraphs>40</Paragraphs>
  <TotalTime>11</TotalTime>
  <ScaleCrop>false</ScaleCrop>
  <LinksUpToDate>false</LinksUpToDate>
  <CharactersWithSpaces>44758</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2023-02-19T17:24:00Z</dcterms:created>
  <dc:creator>Felipe Boselli</dc:creator>
  <cp:lastModifiedBy>Andrew Salme</cp:lastModifiedBy>
  <cp:lastPrinted>2022-10-01T14:03:00Z</cp:lastPrinted>
  <dcterms:modified xsi:type="dcterms:W3CDTF">2026-06-10T16:57:40Z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AB66CEA8EF84412E8C3F11C823A5384D_12</vt:lpwstr>
  </property>
  <property fmtid="{D5CDD505-2E9C-101B-9397-08002B2CF9AE}" pid="4" name="KSOTemplateDocerSaveRecord">
    <vt:lpwstr>eyJoZGlkIjoiNWI5MDE0Y2I0YTBhMDRmYTgyY2I3ZGYwYmRjZjIxZmYiLCJ1c2VySWQiOiIxMjM2OTUxMTQ2MTIyIn0=</vt:lpwstr>
  </property>
</Properties>
</file>