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    <Relationship Target="docProps/custom.xml" Type="http://schemas.openxmlformats.org/officeDocument/2006/relationships/custom-properties" Id="rId4"/>
</Relationships>

</file>

<file path=word/document.xml><?xml version="1.0" encoding="utf-8"?>
<w:document xmlns:w="http://schemas.openxmlformats.org/wordprocessingml/2006/main" xmlns:mc="http://schemas.openxmlformats.org/markup-compatibility/2006" xmlns:a="http://schemas.openxmlformats.org/drawingml/2006/main" xmlns:a13cmd="http://schemas.microsoft.com/office/drawing/2013/main/command" xmlns:a14="http://schemas.microsoft.com/office/drawing/2010/main" xmlns:a15="http://schemas.microsoft.com/office/drawing/2012/main" xmlns:a16="http://schemas.microsoft.com/office/drawing/2014/main" xmlns:a1611="http://schemas.microsoft.com/office/drawing/2016/11/main" xmlns:a16svg="http://schemas.microsoft.com/office/drawing/2016/SVG/main" xmlns:a18hc="http://schemas.microsoft.com/office/drawing/2018/hyperlinkcolor" xmlns:adec="http://schemas.microsoft.com/office/drawing/2017/decorative" xmlns:am3d="http://schemas.microsoft.com/office/drawing/2017/model3d" xmlns:an18="http://schemas.microsoft.com/office/drawing/2018/animation" xmlns:anam3d="http://schemas.microsoft.com/office/drawing/2018/animation/model3d" xmlns:b="http://schemas.openxmlformats.org/officeDocument/2006/bibliography" xmlns:c="http://schemas.openxmlformats.org/drawingml/2006/chart" xmlns:c14="http://schemas.microsoft.com/office/drawing/2007/8/2/chart" xmlns:c15="http://schemas.microsoft.com/office/drawing/2012/chart" xmlns:c16="http://schemas.microsoft.com/office/drawing/2014/chart" xmlns:c16ac="http://schemas.microsoft.com/office/drawing/2014/chart/ac" xmlns:c173="http://schemas.microsoft.com/office/drawing/2017/03/chart" xmlns:cdr="http://schemas.openxmlformats.org/drawingml/2006/chartDrawing" xmlns:cdr14="http://schemas.microsoft.com/office/drawing/2010/chartDrawing" xmlns:comp="http://schemas.openxmlformats.org/drawingml/2006/compatibility" xmlns:cppr="http://schemas.microsoft.com/office/2006/coverPageProps" xmlns:cs="http://schemas.microsoft.com/office/drawing/2012/chartStyle" xmlns:cx="http://schemas.microsoft.com/office/drawing/2014/chartex" xmlns:dgm="http://schemas.openxmlformats.org/drawingml/2006/diagram" xmlns:dgm14="http://schemas.microsoft.com/office/drawing/2010/diagram" xmlns:dgm1611="http://schemas.microsoft.com/office/drawing/2016/11/diagram" xmlns:dgm1612="http://schemas.microsoft.com/office/drawing/2016/12/diagram" xmlns:dsp="http://schemas.microsoft.com/office/drawing/2008/diagram" xmlns:iact="http://schemas.microsoft.com/office/powerpoint/2014/inkAction" xmlns:lc="http://schemas.openxmlformats.org/drawingml/2006/lockedCanvas" xmlns:m="http://schemas.openxmlformats.org/officeDocument/2006/math" xmlns:msink="http://schemas.microsoft.com/ink/2010/main" xmlns:ns38="http://www.w3.org/1998/Math/MathML" xmlns:ns39="http://www.w3.org/2003/InkML" xmlns:o="urn:schemas-microsoft-com:office:office" xmlns:oda="http://opendope.org/answers" xmlns:odc="http://opendope.org/conditions" xmlns:odgm="http://opendope.org/SmartArt/DataHierarchy" xmlns:odi="http://opendope.org/components" xmlns:odq="http://opendope.org/questions" xmlns:odx="http://opendope.org/xpaths" xmlns:pic="http://schemas.openxmlformats.org/drawingml/2006/picture" xmlns:pic14="http://schemas.microsoft.com/office/drawing/2010/picture" xmlns:pvml="urn:schemas-microsoft-com:office:powerpoint" xmlns:r="http://schemas.openxmlformats.org/officeDocument/2006/relationships" xmlns:sl="http://schemas.openxmlformats.org/schemaLibrary/2006/main" xmlns:thm15="http://schemas.microsoft.com/office/thememl/2012/main" xmlns:v="urn:schemas-microsoft-com:vml" xmlns:w10="urn:schemas-microsoft-com:office:word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e="http://schemas.microsoft.com/office/webextensions/webextension/2010/11" xmlns:wetp="http://schemas.microsoft.com/office/webextensions/taskpanes/2010/11" xmlns:wne="http://schemas.microsoft.com/office/word/2006/wordml" xmlns:wp="http://schemas.openxmlformats.org/drawingml/2006/wordprocessingDrawing" xmlns:wp14="http://schemas.microsoft.com/office/word/2010/wordprocessingDrawing" xmlns:wp15="http://schemas.microsoft.com/office/word/2012/wordprocessingDrawing" xmlns:wpc="http://schemas.microsoft.com/office/word/2010/wordprocessingCanvas" xmlns:wpg="http://schemas.microsoft.com/office/word/2010/wordprocessingGroup" xmlns:wps="http://schemas.microsoft.com/office/word/2010/wordprocessingShape" xmlns:xdr="http://schemas.openxmlformats.org/drawingml/2006/spreadsheetDrawing" xmlns:xvml="urn:schemas-microsoft-com:office:excel" mc:Ignorable="w14 w15 w16se w16cid wp14">
  <w:body>
    <!-- Modified by docx4j 11.1.0 (Apache licensed) using REFERENCE JAXB in Azul Systems, Inc. Java 11.0.23 on Linux -->
    <w:p w14:paraId="46434044" w14:textId="77777777" w:rsidR="00D818C8" w:rsidRDefault="00D818C8">
      <w:pPr>
        <w:jc w:val="center"/>
        <w:rPr>
          <w:rFonts w:ascii="Times New Roman" w:cs="Rockwell" w:hAnsi="Times New Roman"/>
          <w:sz w:val="22"/>
          <w:szCs w:val="22"/>
        </w:rPr>
      </w:pPr>
    </w:p>
    <w:p w14:paraId="1D055988" w14:textId="77777777" w:rsidR="00D818C8" w:rsidRDefault="00F86F5F">
      <w:pPr>
        <w:pStyle w:val="Normal0"/>
        <w:jc w:val="center"/>
      </w:pPr>
      <w:r>
        <w:rPr>
          <w:rFonts w:ascii="Times New Roman" w:cs="Rockwell" w:hAnsi="Times New Roman"/>
          <w:b/>
          <w:bCs/>
          <w:sz w:val="22"/>
          <w:szCs w:val="22"/>
        </w:rPr>
        <w:t>PARECER CONTÁBIL</w:t>
      </w:r>
    </w:p>
    <w:p w14:paraId="71486E4D" w14:textId="77777777" w:rsidR="00D818C8" w:rsidRDefault="00D818C8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</w:p>
    <w:p w14:paraId="02BC6D26" w14:textId="77777777" w:rsidR="00D818C8" w:rsidRDefault="00F86F5F">
      <w:pPr>
        <w:pStyle w:val="Normal0"/>
        <w:jc w:val="both"/>
      </w:pPr>
      <w:r>
        <w:rPr>
          <w:rFonts w:ascii="Times New Roman" w:cs="Rockwell" w:hAnsi="Times New Roman"/>
          <w:color w:val="000000"/>
          <w:sz w:val="22"/>
          <w:szCs w:val="22"/>
        </w:rPr>
        <w:t xml:space="preserve">Em atenção à solicitação do Sr.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DOUGLAS DIEMS MOROCKOSKI POTRICH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, Prefeito do Município de  </w:t>
      </w:r>
      <w:r>
        <w:rPr>
          <w:rFonts w:ascii="Times New Roman" w:cs="Times New Roman" w:hAnsi="Times New Roman"/>
          <w:color w:val="000000"/>
          <w:sz w:val="22"/>
          <w:szCs w:val="22"/>
        </w:rPr>
        <w:t xml:space="preserve">Ampére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, para verificar a existência de recursos orçamentários para assegurar o pagamento das obrigações decorrentes do objeto especificado abaixo, certifico que há recursos orçamentários para pagamento das obrigações conforme especificação abaixo:</w:t>
      </w:r>
    </w:p>
    <w:p w14:paraId="11B3F0F2" w14:textId="77777777" w:rsidR="00D818C8" w:rsidRDefault="00D818C8">
      <w:pPr>
        <w:pStyle w:val="Normal0"/>
        <w:rPr>
          <w:rFonts w:ascii="Times New Roman" w:cs="Rockwell" w:hAnsi="Times New Roman"/>
          <w:color w:val="000000"/>
          <w:sz w:val="22"/>
          <w:szCs w:val="22"/>
        </w:rPr>
      </w:pPr>
    </w:p>
    <w:p w14:paraId="3F2F38DA" w14:textId="77777777" w:rsidR="00D818C8" w:rsidRDefault="00F86F5F">
      <w:pPr>
        <w:pStyle w:val="Normal0"/>
        <w:jc w:val="both"/>
      </w:pPr>
      <w:r>
        <w:rPr>
          <w:rFonts w:ascii="Times New Roman" w:cs="Rockwell" w:hAnsi="Times New Roman"/>
          <w:b/>
          <w:bCs/>
          <w:color w:val="000000"/>
          <w:sz w:val="22"/>
          <w:szCs w:val="22"/>
        </w:rPr>
        <w:t>RECURSOS ORÇAMENTÁRIOS:</w:t>
      </w:r>
    </w:p>
    <w:p w14:paraId="11A4D1E0" w14:textId="77777777" w:rsidR="00D818C8" w:rsidRDefault="00D818C8">
      <w:pPr>
        <w:pStyle w:val="Normal0"/>
        <w:jc w:val="both"/>
        <w:rPr>
          <w:rFonts w:ascii="Times New Roman" w:cs="Rockwell" w:hAnsi="Times New Roman"/>
          <w:b/>
          <w:bCs/>
          <w:color w:val="000000"/>
          <w:sz w:val="22"/>
          <w:szCs w:val="22"/>
        </w:rPr>
      </w:pPr>
    </w:p>
    <w:tbl>
      <w:tblPr>
        <w:tblStyle w:val="Tabelacomgrade"/>
        <w:tblW w:type="auto" w:w="0"/>
        <w:tblLook w:firstColumn="1" w:firstRow="1" w:lastColumn="0" w:lastRow="0" w:noHBand="0" w:noVBand="1" w:val="04A0"/>
      </w:tblPr>
      <w:tblGrid>
        <w:gridCol w:w="1951"/>
        <w:gridCol w:w="7827"/>
      </w:tblGrid>
      <w:tr w14:paraId="2A14E691" w14:textId="77777777" w:rsidR="00AC08F8" w:rsidRPr="00BA222D" w:rsidTr="003F66BB">
        <w:tc>
          <w:tcPr>
            <w:tcW w:type="dxa" w:w="1951"/>
          </w:tcPr>
          <w:p w14:paraId="7B142735" w14:textId="77777777" w:rsidP="003F66BB" w:rsidR="00AC08F8" w:rsidRDefault="00AC08F8" w:rsidRPr="00BA222D">
            <w:pPr>
              <w:pStyle w:val="Normal0"/>
              <w:spacing w:line="276" w:lineRule="auto"/>
              <w:jc w:val="both"/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</w:pPr>
            <w:r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  <w:t>Có</w:t>
            </w:r>
            <w:r w:rsidRPr="00BA222D"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  <w:t>d. reduzido</w:t>
            </w:r>
          </w:p>
        </w:tc>
        <w:tc>
          <w:tcPr>
            <w:tcW w:type="dxa" w:w="7827"/>
          </w:tcPr>
          <w:p w14:paraId="4F311C3B" w14:textId="77777777" w:rsidP="003F66BB" w:rsidR="00AC08F8" w:rsidRDefault="00AC08F8" w:rsidRPr="00BA222D">
            <w:pPr>
              <w:pStyle w:val="Normal0"/>
              <w:spacing w:line="276" w:lineRule="auto"/>
              <w:jc w:val="both"/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</w:pPr>
            <w:r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  <w:t>D</w:t>
            </w:r>
            <w:r w:rsidRPr="00BA222D"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  <w:t>etalhamento da dotação</w:t>
            </w:r>
          </w:p>
        </w:tc>
      </w:tr>
      <w:tr w14:paraId="371D1730" w14:textId="77777777" w:rsidR="00AC08F8" w:rsidRPr="00BA222D" w:rsidTr="003F66BB">
        <w:tc>
          <w:tcPr>
            <w:tcW w:type="dxa" w:w="1951"/>
          </w:tcPr>
          <w:p w14:paraId="7EDE0810" w14:textId="77777777" w:rsidP="003F66BB" w:rsidR="00AC08F8" w:rsidRDefault="00AC08F8" w:rsidRPr="00BA222D">
            <w:pPr>
              <w:pStyle w:val="Normal0"/>
              <w:spacing w:line="276" w:lineRule="auto"/>
              <w:jc w:val="both"/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</w:pPr>
          </w:p>
        </w:tc>
        <w:tc>
          <w:tcPr>
            <w:tcW w:type="dxa" w:w="7827"/>
          </w:tcPr>
          <w:p w14:paraId="26E84147" w14:textId="77777777" w:rsidP="003F66BB" w:rsidR="00AC08F8" w:rsidRDefault="00AC08F8" w:rsidRPr="00BA222D">
            <w:pPr>
              <w:pStyle w:val="Normal0"/>
              <w:spacing w:line="276" w:lineRule="auto"/>
              <w:jc w:val="both"/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</w:pPr>
          </w:p>
        </w:tc>
      </w:tr>
      <w:tr w14:paraId="1A5CE784" w14:textId="77777777" w:rsidR="00AC08F8" w:rsidRPr="00BA222D" w:rsidTr="003F66BB">
        <w:tc>
          <w:tcPr>
            <w:tcW w:type="dxa" w:w="1951"/>
          </w:tcPr>
          <w:p w14:paraId="720F5078" w14:textId="77777777" w:rsidP="003F66BB" w:rsidR="00AC08F8" w:rsidRDefault="00AC08F8" w:rsidRPr="00BA222D">
            <w:pPr>
              <w:pStyle w:val="Normal0"/>
              <w:spacing w:line="276" w:lineRule="auto"/>
              <w:jc w:val="both"/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</w:pPr>
          </w:p>
        </w:tc>
        <w:tc>
          <w:tcPr>
            <w:tcW w:type="dxa" w:w="7827"/>
          </w:tcPr>
          <w:p w14:paraId="508F0919" w14:textId="77777777" w:rsidP="003F66BB" w:rsidR="00AC08F8" w:rsidRDefault="00AC08F8" w:rsidRPr="00BA222D">
            <w:pPr>
              <w:pStyle w:val="Normal0"/>
              <w:spacing w:line="276" w:lineRule="auto"/>
              <w:jc w:val="both"/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</w:pPr>
          </w:p>
        </w:tc>
      </w:tr>
      <w:tr w14:paraId="070A0B3E" w14:textId="77777777" w:rsidR="00AC08F8" w:rsidRPr="00BA222D" w:rsidTr="003F66BB">
        <w:tc>
          <w:tcPr>
            <w:tcW w:type="dxa" w:w="1951"/>
          </w:tcPr>
          <w:p w14:paraId="792A67D9" w14:textId="77777777" w:rsidP="003F66BB" w:rsidR="00AC08F8" w:rsidRDefault="00AC08F8" w:rsidRPr="00BA222D">
            <w:pPr>
              <w:pStyle w:val="Normal0"/>
              <w:spacing w:line="276" w:lineRule="auto"/>
              <w:jc w:val="both"/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</w:pPr>
          </w:p>
        </w:tc>
        <w:tc>
          <w:tcPr>
            <w:tcW w:type="dxa" w:w="7827"/>
          </w:tcPr>
          <w:p w14:paraId="6ADEF92C" w14:textId="77777777" w:rsidP="003F66BB" w:rsidR="00AC08F8" w:rsidRDefault="00AC08F8" w:rsidRPr="00BA222D">
            <w:pPr>
              <w:pStyle w:val="Normal0"/>
              <w:spacing w:line="276" w:lineRule="auto"/>
              <w:jc w:val="both"/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</w:pPr>
          </w:p>
        </w:tc>
      </w:tr>
      <w:tr w14:paraId="0AC34229" w14:textId="77777777" w:rsidR="00AC08F8" w:rsidRPr="00BA222D" w:rsidTr="003F66BB">
        <w:tc>
          <w:tcPr>
            <w:tcW w:type="dxa" w:w="1951"/>
          </w:tcPr>
          <w:p w14:paraId="275DFF8C" w14:textId="77777777" w:rsidP="003F66BB" w:rsidR="00AC08F8" w:rsidRDefault="00AC08F8" w:rsidRPr="00BA222D">
            <w:pPr>
              <w:pStyle w:val="Normal0"/>
              <w:spacing w:line="276" w:lineRule="auto"/>
              <w:jc w:val="both"/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</w:pPr>
          </w:p>
        </w:tc>
        <w:tc>
          <w:tcPr>
            <w:tcW w:type="dxa" w:w="7827"/>
          </w:tcPr>
          <w:p w14:paraId="5C217646" w14:textId="77777777" w:rsidP="003F66BB" w:rsidR="00AC08F8" w:rsidRDefault="00AC08F8" w:rsidRPr="00BA222D">
            <w:pPr>
              <w:pStyle w:val="Normal0"/>
              <w:spacing w:line="276" w:lineRule="auto"/>
              <w:jc w:val="both"/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</w:pPr>
          </w:p>
        </w:tc>
      </w:tr>
      <w:tr w14:paraId="68C010E5" w14:textId="77777777" w:rsidR="00AC08F8" w:rsidRPr="00BA222D" w:rsidTr="003F66BB">
        <w:tc>
          <w:tcPr>
            <w:tcW w:type="dxa" w:w="1951"/>
          </w:tcPr>
          <w:p w14:paraId="7FCDD37E" w14:textId="77777777" w:rsidP="003F66BB" w:rsidR="00AC08F8" w:rsidRDefault="00AC08F8" w:rsidRPr="00BA222D">
            <w:pPr>
              <w:pStyle w:val="Normal0"/>
              <w:spacing w:line="276" w:lineRule="auto"/>
              <w:jc w:val="both"/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</w:pPr>
          </w:p>
        </w:tc>
        <w:tc>
          <w:tcPr>
            <w:tcW w:type="dxa" w:w="7827"/>
          </w:tcPr>
          <w:p w14:paraId="1637763F" w14:textId="77777777" w:rsidP="003F66BB" w:rsidR="00AC08F8" w:rsidRDefault="00AC08F8" w:rsidRPr="00BA222D">
            <w:pPr>
              <w:pStyle w:val="Normal0"/>
              <w:spacing w:line="276" w:lineRule="auto"/>
              <w:jc w:val="both"/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</w:pPr>
          </w:p>
        </w:tc>
      </w:tr>
      <w:tr w14:paraId="3241B6C1" w14:textId="77777777" w:rsidR="00AC08F8" w:rsidRPr="00BA222D" w:rsidTr="003F66BB">
        <w:tc>
          <w:tcPr>
            <w:tcW w:type="dxa" w:w="1951"/>
          </w:tcPr>
          <w:p w14:paraId="2B55225F" w14:textId="77777777" w:rsidP="003F66BB" w:rsidR="00AC08F8" w:rsidRDefault="00AC08F8" w:rsidRPr="00BA222D">
            <w:pPr>
              <w:pStyle w:val="Normal0"/>
              <w:spacing w:line="276" w:lineRule="auto"/>
              <w:jc w:val="both"/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</w:pPr>
          </w:p>
        </w:tc>
        <w:tc>
          <w:tcPr>
            <w:tcW w:type="dxa" w:w="7827"/>
          </w:tcPr>
          <w:p w14:paraId="7C144FAE" w14:textId="77777777" w:rsidP="003F66BB" w:rsidR="00AC08F8" w:rsidRDefault="00AC08F8" w:rsidRPr="00BA222D">
            <w:pPr>
              <w:pStyle w:val="Normal0"/>
              <w:spacing w:line="276" w:lineRule="auto"/>
              <w:jc w:val="both"/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</w:pPr>
          </w:p>
        </w:tc>
      </w:tr>
      <w:tr w14:paraId="61164512" w14:textId="77777777" w:rsidR="00AC08F8" w:rsidRPr="00BA222D" w:rsidTr="003F66BB">
        <w:tc>
          <w:tcPr>
            <w:tcW w:type="dxa" w:w="1951"/>
          </w:tcPr>
          <w:p w14:paraId="1E0CDD5C" w14:textId="77777777" w:rsidP="003F66BB" w:rsidR="00AC08F8" w:rsidRDefault="00AC08F8" w:rsidRPr="00BA222D">
            <w:pPr>
              <w:pStyle w:val="Normal0"/>
              <w:spacing w:line="276" w:lineRule="auto"/>
              <w:jc w:val="both"/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</w:pPr>
          </w:p>
        </w:tc>
        <w:tc>
          <w:tcPr>
            <w:tcW w:type="dxa" w:w="7827"/>
          </w:tcPr>
          <w:p w14:paraId="6E94E4B1" w14:textId="77777777" w:rsidP="003F66BB" w:rsidR="00AC08F8" w:rsidRDefault="00AC08F8" w:rsidRPr="00BA222D">
            <w:pPr>
              <w:pStyle w:val="Normal0"/>
              <w:spacing w:line="276" w:lineRule="auto"/>
              <w:jc w:val="both"/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</w:pPr>
          </w:p>
        </w:tc>
      </w:tr>
    </w:tbl>
    <w:tbl>
      <w:tblPr>
        <w:tblStyle w:val="TableGrid"/>
        <w:tblW w:type="auto" w:w="0"/>
        <w:tblLook w:val="04A0"/>
      </w:tblPr>
      <w:tblGrid>
        <w:gridCol w:w="6778"/>
        <w:gridCol w:w="2859"/>
      </w:tblGrid>
      <w:tr>
        <w:trPr/>
        <w:tc>
          <w:tcPr>
            <w:tcW w:type="dxa" w:w="6778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Rockwell" w:hAnsi="Times New Roman" w:hint="eastAsia"/>
                <w:b/>
                <w:sz w:val="22"/>
              </w:rPr>
              <w:t xml:space="preserve">Despesa</w:t>
            </w:r>
          </w:p>
        </w:tc>
        <w:tc>
          <w:tcPr>
            <w:tcW w:type="dxa" w:w="2859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b/>
                <w:sz w:val="22"/>
              </w:rPr>
              <w:t xml:space="preserve">Valor indicado</w:t>
            </w:r>
          </w:p>
        </w:tc>
      </w:tr>
      <w:tr>
        <w:trPr/>
        <w:tc>
          <w:tcPr>
            <w:tcW w:type="dxa" w:w="6778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Rockwell" w:hAnsi="Times New Roman" w:hint="eastAsia"/>
                <w:sz w:val="22"/>
              </w:rPr>
              <w:t xml:space="preserve">504 - 1 . 6001 . 15 . 452 . 543 . 1.2 . 0 . 449051 Obras e Instalações</w:t>
            </w:r>
          </w:p>
        </w:tc>
        <w:tc>
          <w:tcPr>
            <w:tcW w:type="dxa" w:w="2859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R$ 1,00</w:t>
            </w:r>
          </w:p>
        </w:tc>
      </w:tr>
      <w:tr>
        <w:trPr/>
        <w:tc>
          <w:tcPr>
            <w:tcW w:type="dxa" w:w="6778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Rockwell" w:hAnsi="Times New Roman" w:hint="eastAsia"/>
                <w:sz w:val="22"/>
              </w:rPr>
              <w:t xml:space="preserve">126 - 1 . 6001 . 15 . 452 . 543 . 1.2 . 0 . 449051 Obras e Instalações</w:t>
            </w:r>
          </w:p>
        </w:tc>
        <w:tc>
          <w:tcPr>
            <w:tcW w:type="dxa" w:w="2859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R$ 1,00</w:t>
            </w:r>
          </w:p>
        </w:tc>
      </w:tr>
      <w:tr>
        <w:trPr/>
        <w:tc>
          <w:tcPr>
            <w:tcW w:type="dxa" w:w="6778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b/>
                <w:sz w:val="22"/>
              </w:rPr>
              <w:t xml:space="preserve">Total indicado:</w:t>
            </w:r>
          </w:p>
        </w:tc>
        <w:tc>
          <w:tcPr>
            <w:tcW w:type="dxa" w:w="2859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b/>
                <w:sz w:val="22"/>
              </w:rPr>
              <w:t xml:space="preserve">R$ 2,00</w:t>
            </w:r>
          </w:p>
        </w:tc>
      </w:tr>
    </w:tbl>
    <w:p w14:paraId="69CA6C4C" w14:textId="77777777" w:rsidR="00AD207C" w:rsidRDefault="00AD207C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</w:p>
    <w:p w14:paraId="15A99806" w14:textId="77777777" w:rsidR="00D818C8" w:rsidRDefault="00F86F5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hint="eastAsia"/>
        </w:rPr>
      </w:pPr>
      <w:r>
        <w:rPr>
          <w:rFonts w:ascii="Times New Roman" w:cs="Times New Roman" w:hAnsi="Times New Roman"/>
          <w:color w:val="000000"/>
          <w:sz w:val="22"/>
          <w:szCs w:val="22"/>
        </w:rPr>
        <w:t xml:space="preserve">Concorrência</w:t>
      </w:r>
      <w:r>
        <w:rPr>
          <w:rFonts w:ascii="Times New Roman" w:cs="Times New Roman" w:hAnsi="Times New Roman"/>
          <w:color w:val="000000"/>
          <w:sz w:val="22"/>
          <w:szCs w:val="22"/>
        </w:rPr>
        <w:t xml:space="preserve"> </w:t>
      </w:r>
      <w:r>
        <w:rPr>
          <w:rFonts w:ascii="Times New Roman" w:cs="Times New Roman" w:hAnsi="Times New Roman"/>
          <w:color w:val="000000"/>
          <w:sz w:val="22"/>
          <w:szCs w:val="22"/>
        </w:rPr>
        <w:t xml:space="preserve">&lt;SEM_VALOR&gt;</w:t>
      </w:r>
      <w:r>
        <w:rPr>
          <w:rFonts w:ascii="Times New Roman" w:cs="Times New Roman" w:hAnsi="Times New Roman"/>
          <w:color w:val="000000"/>
          <w:sz w:val="22"/>
          <w:szCs w:val="22"/>
        </w:rPr>
        <w:t xml:space="preserve">: </w:t>
      </w:r>
      <w:r>
        <w:rPr>
          <w:rFonts w:ascii="Times New Roman" w:cs="Times New Roman" w:hAnsi="Times New Roman"/>
          <w:b/>
          <w:bCs/>
          <w:color w:val="000000"/>
          <w:sz w:val="22"/>
          <w:szCs w:val="22"/>
        </w:rPr>
        <w:t xml:space="preserve">Pavimentação asfáltica SAM 63</w:t>
      </w:r>
    </w:p>
    <w:p w14:paraId="2639CDB0" w14:textId="77777777" w:rsidR="00D818C8" w:rsidRDefault="00D818C8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cs="Arial Narrow"/>
        </w:rPr>
      </w:pPr>
    </w:p>
    <w:p w14:paraId="1294928F" w14:textId="77777777" w:rsidR="00D818C8" w:rsidRDefault="00F86F5F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</w:pPr>
      <w:r>
        <w:rPr>
          <w:rFonts w:ascii="Times New Roman" w:cs="Arial Narrow" w:hAnsi="Times New Roman"/>
          <w:sz w:val="22"/>
          <w:szCs w:val="22"/>
        </w:rPr>
        <w:t xml:space="preserve">Forma de julgamento: </w:t>
      </w:r>
      <w:r>
        <w:rPr>
          <w:rFonts w:ascii="Times New Roman" w:cs="Arial Narrow" w:hAnsi="Times New Roman"/>
          <w:b/>
          <w:bCs/>
          <w:sz w:val="22"/>
          <w:szCs w:val="22"/>
        </w:rPr>
        <w:t xml:space="preserve">Global</w:t>
      </w:r>
    </w:p>
    <w:p w14:paraId="68C74593" w14:textId="77777777" w:rsidR="00D818C8" w:rsidRDefault="00D818C8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rPr>
          <w:rFonts w:ascii="Times New Roman" w:cs="Times New Roman" w:hAnsi="Times New Roman"/>
          <w:sz w:val="22"/>
          <w:szCs w:val="22"/>
        </w:rPr>
      </w:pPr>
    </w:p>
    <w:p w14:paraId="3FC4F923" w14:textId="77777777" w:rsidR="00D818C8" w:rsidRDefault="00F86F5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rPr>
          <w:rFonts w:hint="eastAsia"/>
        </w:rPr>
      </w:pPr>
      <w:r>
        <w:rPr>
          <w:rFonts w:ascii="Times New Roman" w:cs="Times New Roman" w:hAnsi="Times New Roman"/>
          <w:sz w:val="22"/>
          <w:szCs w:val="22"/>
        </w:rPr>
        <w:t xml:space="preserve">Tipo da licitação: </w:t>
      </w:r>
      <w:r>
        <w:rPr>
          <w:rFonts w:ascii="Times New Roman" w:cs="Times New Roman" w:hAnsi="Times New Roman"/>
          <w:b/>
          <w:bCs/>
          <w:sz w:val="22"/>
          <w:szCs w:val="22"/>
        </w:rPr>
        <w:t xml:space="preserve">Menor preço</w:t>
      </w:r>
    </w:p>
    <w:p w14:paraId="02967A4D" w14:textId="77777777" w:rsidR="00D818C8" w:rsidRDefault="00D818C8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b/>
          <w:bCs/>
          <w:sz w:val="22"/>
          <w:szCs w:val="22"/>
        </w:rPr>
      </w:pPr>
    </w:p>
    <w:p w14:paraId="61DE937E" w14:textId="77777777" w:rsidR="00D818C8" w:rsidRDefault="00F86F5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hint="eastAsia"/>
        </w:rPr>
      </w:pPr>
      <w:r>
        <w:rPr>
          <w:rFonts w:ascii="Times New Roman" w:cs="Times New Roman" w:hAnsi="Times New Roman"/>
          <w:sz w:val="22"/>
          <w:szCs w:val="22"/>
        </w:rPr>
        <w:t xml:space="preserve">Objeto da licitação: </w:t>
      </w:r>
      <w:r>
        <w:rPr>
          <w:rFonts w:ascii="Times New Roman" w:cs="Times New Roman" w:hAnsi="Times New Roman"/>
          <w:b/>
          <w:sz w:val="22"/>
          <w:szCs w:val="22"/>
        </w:rPr>
        <w:t xml:space="preserve">Pavimentação asfáltica sobre pedras irregulares de vias urbana em CBUQ, 2.808.,05m2, incluindo serviços preliminares, drenagem, revestimento, meio-fio e sarjeta, serviços de urbanização, sinalização de trânsito, ensaios tecnológicos e placa de comunicação visual. SAM 63. CONVÊNIO N° 1895/2025 - SECID.</w:t>
      </w:r>
    </w:p>
    <w:p w14:paraId="32CD3978" w14:textId="77777777" w:rsidR="00D818C8" w:rsidRDefault="00D818C8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rPr>
          <w:rFonts w:ascii="Times New Roman" w:cs="Times New Roman" w:hAnsi="Times New Roman"/>
          <w:sz w:val="22"/>
          <w:szCs w:val="22"/>
        </w:rPr>
      </w:pPr>
    </w:p>
    <w:tbl>
      <w:tblPr>
        <w:tblStyle w:val="TableGrid"/>
        <w:tblW w:type="auto" w:w="0"/>
        <w:tblLook w:val="04A0"/>
      </w:tblPr>
      <w:tblGrid>
        <w:gridCol w:w="953"/>
        <w:gridCol w:w="4872"/>
        <w:gridCol w:w="953"/>
        <w:gridCol w:w="953"/>
        <w:gridCol w:w="953"/>
        <w:gridCol w:w="953"/>
      </w:tblGrid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Item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Material/Serviço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Unid. medida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Qtd licitada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Valor unitário (R$)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Valor total (R$)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1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42404 - Pavimentação asfáltica sobre pedras irregulares de vias urbana em CBUQ, 2.808.,05m2,
Pavimentação asfáltica sobre pedras irregulares de vias urbana em CBUQ, 2.808.,05m2, incluindo serviços preliminares, drenagem, revestimento, meio-fio e sarjeta, serviços de urbanização, sinalização de trânsito, ensaios tecnológicos e placa de comunicação visual.
Trechos: 
 - Rua dos Lírios (entre Rua das Rosas e Rua José Perondi)
 - Rua José Perondi (entre Rua das Margaridas até o final)
Área Pavimentada: 2.808,05 m²
Colocação de placas de comunicação visual.
Prazo de execução: 300 (trezentos) dias;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Obra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1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745.447,20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745.447,20</w:t>
            </w:r>
          </w:p>
        </w:tc>
      </w:tr>
      <w:tr>
        <w:trPr/>
        <w:tc>
          <w:tcPr>
            <w:tcW w:type="dxa" w:w="953"/>
            <w:gridSpan w:val="5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Total Geral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 745.447,20</w:t>
            </w:r>
          </w:p>
        </w:tc>
      </w:tr>
    </w:tbl>
    <w:p w14:paraId="74EC4417" w14:textId="77777777" w:rsidR="00D818C8" w:rsidRDefault="00D818C8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cs="Rockwell" w:hint="eastAsia"/>
          <w:color w:val="000000"/>
        </w:rPr>
      </w:pPr>
    </w:p>
    <w:p w14:paraId="26FD1AF2" w14:textId="77777777" w:rsidR="00D818C8" w:rsidRDefault="00F86F5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hint="eastAsia"/>
        </w:rPr>
      </w:pPr>
      <w:r>
        <w:rPr>
          <w:rFonts w:ascii="Times New Roman" w:cs="Times New Roman" w:hAnsi="Times New Roman"/>
          <w:b/>
          <w:bCs/>
          <w:color w:val="000000"/>
          <w:sz w:val="22"/>
          <w:szCs w:val="22"/>
        </w:rPr>
        <w:t xml:space="preserve">Condições de Pagamento: </w:t>
      </w:r>
      <w:r>
        <w:rPr>
          <w:rFonts w:ascii="Times New Roman" w:cs="Times New Roman" w:hAnsi="Times New Roman"/>
          <w:color w:val="000000"/>
          <w:sz w:val="22"/>
          <w:szCs w:val="22"/>
        </w:rPr>
        <w:t xml:space="preserve">CONFORME MEDIÇÃO</w:t>
      </w:r>
    </w:p>
    <w:p w14:paraId="56FF81AA" w14:textId="77777777" w:rsidR="00D818C8" w:rsidRDefault="00F86F5F">
      <w:pPr>
        <w:pStyle w:val="Normal0"/>
        <w:jc w:val="both"/>
      </w:pPr>
      <w:r>
        <w:rPr>
          <w:rFonts w:ascii="Times New Roman" w:cs="Rockwell" w:hAnsi="Times New Roman"/>
          <w:color w:val="000000"/>
          <w:sz w:val="22"/>
          <w:szCs w:val="22"/>
        </w:rPr>
        <w:t xml:space="preserve"> </w:t>
      </w:r>
    </w:p>
    <w:p w14:paraId="231E491A" w14:textId="77777777" w:rsidR="00D818C8" w:rsidRDefault="00F86F5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hint="eastAsia"/>
        </w:rPr>
      </w:pPr>
      <w:r>
        <w:rPr>
          <w:rFonts w:ascii="Times New Roman" w:cs="Times New Roman" w:hAnsi="Times New Roman"/>
          <w:b/>
          <w:bCs/>
          <w:sz w:val="22"/>
          <w:szCs w:val="22"/>
        </w:rPr>
        <w:t xml:space="preserve">Prazo de Entrega: </w:t>
      </w:r>
      <w:r>
        <w:rPr>
          <w:rFonts w:ascii="Times New Roman" w:cs="Times New Roman" w:hAnsi="Times New Roman"/>
          <w:sz w:val="22"/>
          <w:szCs w:val="22"/>
        </w:rPr>
        <w:t xml:space="preserve">365</w:t>
      </w:r>
    </w:p>
    <w:p w14:paraId="5BE724F7" w14:textId="77777777" w:rsidR="00D818C8" w:rsidRDefault="00D818C8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sz w:val="22"/>
          <w:szCs w:val="22"/>
        </w:rPr>
      </w:pPr>
    </w:p>
    <w:p w14:paraId="4D81EC40" w14:textId="77777777" w:rsidR="00D818C8" w:rsidRDefault="00F86F5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hint="eastAsia"/>
        </w:rPr>
      </w:pPr>
      <w:r>
        <w:rPr>
          <w:rFonts w:ascii="Times New Roman" w:cs="Times New Roman" w:hAnsi="Times New Roman"/>
          <w:b/>
          <w:bCs/>
          <w:sz w:val="22"/>
          <w:szCs w:val="22"/>
        </w:rPr>
        <w:t xml:space="preserve">Forma de Reajuste:</w:t>
      </w:r>
      <w:r>
        <w:rPr>
          <w:rFonts w:ascii="Times New Roman" w:cs="Times New Roman" w:hAnsi="Times New Roman"/>
          <w:sz w:val="22"/>
          <w:szCs w:val="22"/>
        </w:rPr>
        <w:t xml:space="preserve"> </w:t>
      </w:r>
      <w:r>
        <w:rPr>
          <w:rFonts w:ascii="Times New Roman" w:cs="Times New Roman" w:hAnsi="Times New Roman"/>
          <w:sz w:val="22"/>
          <w:szCs w:val="22"/>
        </w:rPr>
        <w:t xml:space="preserve">SEM REAJUSTE</w:t>
      </w:r>
    </w:p>
    <w:p w14:paraId="0C5128E6" w14:textId="77777777" w:rsidR="00D818C8" w:rsidRDefault="00D818C8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sz w:val="22"/>
          <w:szCs w:val="22"/>
        </w:rPr>
      </w:pPr>
    </w:p>
    <w:p w14:paraId="209AA446" w14:textId="77777777" w:rsidR="00D818C8" w:rsidRDefault="00F86F5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hint="eastAsia"/>
        </w:rPr>
      </w:pPr>
      <w:r>
        <w:rPr>
          <w:rFonts w:ascii="Times New Roman" w:cs="Times New Roman" w:hAnsi="Times New Roman"/>
          <w:b/>
          <w:bCs/>
          <w:color w:val="000000"/>
          <w:sz w:val="22"/>
          <w:szCs w:val="22"/>
        </w:rPr>
        <w:t xml:space="preserve">Local de Entrega: </w:t>
      </w:r>
      <w:r>
        <w:rPr>
          <w:rFonts w:ascii="Times New Roman" w:cs="Times New Roman" w:hAnsi="Times New Roman"/>
          <w:color w:val="000000"/>
          <w:sz w:val="22"/>
          <w:szCs w:val="22"/>
        </w:rPr>
        <w:t xml:space="preserve">MUNICIPIO DE AMPÉRE</w:t>
      </w:r>
    </w:p>
    <w:p w14:paraId="679CC50E" w14:textId="77777777" w:rsidR="00D818C8" w:rsidRDefault="00D818C8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</w:p>
    <w:p w14:paraId="044089B3" w14:textId="77777777" w:rsidR="00D818C8" w:rsidRDefault="00F86F5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right"/>
        <w:rPr>
          <w:rFonts w:hint="eastAsia"/>
        </w:rPr>
      </w:pPr>
      <w:r>
        <w:rPr>
          <w:rFonts w:ascii="Times New Roman" w:cs="Times New Roman" w:hAnsi="Times New Roman"/>
          <w:sz w:val="22"/>
          <w:szCs w:val="22"/>
        </w:rPr>
        <w:t xml:space="preserve">Ampére</w:t>
      </w:r>
      <w:r>
        <w:rPr>
          <w:rFonts w:ascii="Times New Roman" w:cs="Times New Roman" w:hAnsi="Times New Roman"/>
          <w:sz w:val="22"/>
          <w:szCs w:val="22"/>
        </w:rPr>
        <w:t xml:space="preserve">-</w:t>
      </w:r>
      <w:r>
        <w:rPr>
          <w:rFonts w:ascii="Times New Roman" w:cs="Times New Roman" w:hAnsi="Times New Roman"/>
          <w:sz w:val="22"/>
          <w:szCs w:val="22"/>
        </w:rPr>
        <w:t xml:space="preserve">PR</w:t>
      </w:r>
      <w:r>
        <w:rPr>
          <w:rFonts w:ascii="Times New Roman" w:cs="Times New Roman" w:hAnsi="Times New Roman"/>
          <w:sz w:val="22"/>
          <w:szCs w:val="22"/>
        </w:rPr>
        <w:t xml:space="preserve">, </w:t>
      </w:r>
      <w:r>
        <w:rPr>
          <w:rFonts w:ascii="Times New Roman" w:cs="Times New Roman" w:hAnsi="Times New Roman"/>
          <w:sz w:val="22"/>
          <w:szCs w:val="22"/>
        </w:rPr>
        <w:t xml:space="preserve">23 de abril de 2026</w:t>
      </w:r>
    </w:p>
    <w:p w14:paraId="3AEF42D0" w14:textId="77777777" w:rsidR="00D818C8" w:rsidRDefault="00D818C8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right"/>
        <w:rPr>
          <w:rFonts w:ascii="Times New Roman" w:cs="Rockwell" w:hAnsi="Times New Roman"/>
          <w:color w:val="000000"/>
          <w:sz w:val="22"/>
          <w:szCs w:val="22"/>
        </w:rPr>
      </w:pPr>
    </w:p>
    <w:p w14:paraId="28CC16D8" w14:textId="77777777" w:rsidR="00CF2706" w:rsidRDefault="00CF2706">
      <w:pPr>
        <w:pStyle w:val="Normal0"/>
        <w:jc w:val="center"/>
        <w:rPr>
          <w:rFonts w:ascii="Times New Roman" w:cs="Rockwell" w:hAnsi="Times New Roman"/>
          <w:color w:val="000000"/>
          <w:sz w:val="22"/>
          <w:szCs w:val="22"/>
        </w:rPr>
      </w:pPr>
    </w:p>
    <w:p w14:paraId="5213F903" w14:textId="77777777" w:rsidP="008B7683" w:rsidR="008B7683" w:rsidRDefault="008B7683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  <w:rPr>
          <w:rFonts w:ascii="Times New Roman" w:cs="Rockwell" w:hAnsi="Times New Roman"/>
          <w:b/>
          <w:color w:val="000000"/>
          <w:sz w:val="22"/>
          <w:szCs w:val="22"/>
        </w:rPr>
      </w:pPr>
      <w:r w:rsidRPr="00D91CD2">
        <w:rPr>
          <w:rFonts w:ascii="Times New Roman" w:cs="Rockwell" w:hAnsi="Times New Roman" w:hint="eastAsia"/>
          <w:b/>
          <w:color w:val="000000"/>
          <w:sz w:val="22"/>
          <w:szCs w:val="22"/>
        </w:rPr>
        <w:t>ALAN ZABOT VERARDO</w:t>
      </w:r>
    </w:p>
    <w:p w14:paraId="4CD04336" w14:textId="77777777" w:rsidP="00D17ADC" w:rsidR="00D17ADC" w:rsidRDefault="00CF2706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  <w:rPr>
          <w:b/>
        </w:rPr>
      </w:pPr>
      <w:r>
        <w:rPr>
          <w:rFonts w:ascii="Times New Roman" w:cs="Rockwell" w:hAnsi="Times New Roman"/>
          <w:b/>
          <w:color w:val="000000"/>
          <w:sz w:val="22"/>
          <w:szCs w:val="22"/>
        </w:rPr>
        <w:t>CONTADOR</w:t>
      </w:r>
    </w:p>
    <w:p w14:paraId="6CAF4648" w14:textId="77777777" w:rsidR="00D818C8" w:rsidRDefault="00D818C8">
      <w:pPr>
        <w:pStyle w:val="Normal0"/>
        <w:jc w:val="center"/>
        <w:rPr>
          <w:rFonts w:ascii="Times New Roman" w:cs="Rockwell" w:hAnsi="Times New Roman"/>
          <w:color w:val="000000"/>
          <w:sz w:val="22"/>
          <w:szCs w:val="22"/>
        </w:rPr>
      </w:pPr>
    </w:p>
    <w:sectPr w:rsidR="00D818C8">
      <w:headerReference r:id="rId6" w:type="default"/>
      <w:footerReference r:id="rId7" w:type="default"/>
      <w:pgSz w:h="16838" w:w="11906"/>
      <w:pgMar w:bottom="1134" w:footer="0" w:gutter="0" w:header="283" w:left="1134" w:right="1134" w:top="1757"/>
      <w:cols w:space="720"/>
      <w:formProt w:val="false"/>
      <w:docGrid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98BD74" w14:textId="77777777" w:rsidR="00B86C01" w:rsidRDefault="00B86C01">
      <w:pPr>
        <w:rPr>
          <w:rFonts w:hint="eastAsia"/>
        </w:rPr>
      </w:pPr>
      <w:r>
        <w:separator/>
      </w:r>
    </w:p>
  </w:endnote>
  <w:endnote w:type="continuationSeparator" w:id="0">
    <w:p w14:paraId="233CADA6" w14:textId="77777777" w:rsidR="00B86C01" w:rsidRDefault="00B86C01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Rockwell">
    <w:panose1 w:val="02060603020205020403"/>
    <w:charset w:val="00"/>
    <w:family w:val="roman"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sdtfl w16du wp14">
  <w:p w:rsidR="00D818C8" w:rsidRDefault="00D818C8" w14:paraId="292B3C8A" w14:textId="77777777">
    <w:pPr>
      <w:pStyle w:val="Rodap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9806C9" w14:textId="77777777" w:rsidR="00B86C01" w:rsidRDefault="00B86C01">
      <w:pPr>
        <w:rPr>
          <w:rFonts w:hint="eastAsia"/>
        </w:rPr>
      </w:pPr>
      <w:r>
        <w:separator/>
      </w:r>
    </w:p>
  </w:footnote>
  <w:footnote w:type="continuationSeparator" w:id="0">
    <w:p w14:paraId="1398AC4A" w14:textId="77777777" w:rsidR="00B86C01" w:rsidRDefault="00B86C01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sdtfl w16du wp14">
  <w:tbl>
    <w:tblPr>
      <w:tblW w:w="11339" w:type="dxa"/>
      <w:tblInd w:w="-843" w:type="dxa"/>
      <w:tblBorders>
        <w:top w:val="single" w:color="000001" w:sz="2" w:space="0"/>
        <w:left w:val="single" w:color="000001" w:sz="2" w:space="0"/>
        <w:bottom w:val="single" w:color="000001" w:sz="2" w:space="0"/>
        <w:insideH w:val="single" w:color="000001" w:sz="2" w:space="0"/>
      </w:tblBorders>
      <w:tblCellMar>
        <w:top w:w="55" w:type="dxa"/>
        <w:left w:w="0" w:type="dxa"/>
        <w:bottom w:w="55" w:type="dxa"/>
        <w:right w:w="55" w:type="dxa"/>
      </w:tblCellMar>
      <w:tblLook w:firstRow="1" w:lastRow="0" w:firstColumn="1" w:lastColumn="0" w:noHBand="0" w:noVBand="1" w:val="04A0"/>
    </w:tblPr>
    <w:tblGrid>
      <w:gridCol w:w="1696"/>
      <w:gridCol w:w="7942"/>
      <w:gridCol w:w="1701"/>
    </w:tblGrid>
    <w:tr w:rsidR="00D818C8" w14:paraId="3CC39934" w14:textId="77777777">
      <w:tc>
        <w:tcPr>
          <w:tcW w:w="1696" w:type="dxa"/>
          <w:tcBorders>
            <w:top w:val="single" w:color="000001" w:sz="2" w:space="0"/>
            <w:left w:val="single" w:color="000001" w:sz="2" w:space="0"/>
            <w:bottom w:val="single" w:color="000001" w:sz="2" w:space="0"/>
          </w:tcBorders>
          <w:shd w:val="clear" w:color="auto" w:fill="auto"/>
        </w:tcPr>
        <w:p w:rsidR="00D818C8" w:rsidRDefault="00F86F5F" w14:paraId="259F32A6" w14:textId="77777777">
          <w:pPr>
            <w:pStyle w:val="Contedodatabela"/>
            <w:rPr>
              <w:rFonts w:hint="eastAsia"/>
            </w:rPr>
          </w:pPr>
          <w:r>
            <w:rPr>
              <w:noProof/>
              <w:lang w:eastAsia="pt-BR" w:bidi="ar-SA"/>
            </w:rPr>
            <w:drawing>
              <wp:anchor distT="0" distB="0" distL="0" distR="0" simplePos="false" relativeHeight="2" behindDoc="true" locked="false" layoutInCell="true" allowOverlap="true" wp14:anchorId="55717B9C" wp14:editId="7D9FE3AA">
                <wp:simplePos x="0" y="0"/>
                <wp:positionH relativeFrom="column">
                  <wp:align>center</wp:align>
                </wp:positionH>
                <wp:positionV relativeFrom="paragraph">
                  <wp:posOffset>635</wp:posOffset>
                </wp:positionV>
                <wp:extent cx="899795" cy="899795"/>
                <wp:effectExtent l="0" t="0" r="0" b="0"/>
                <wp:wrapSquare wrapText="largest"/>
                <wp:docPr id="1" name="Figura2"/>
                <wp:cNvGraphicFramePr>
                  <a:graphicFrameLocks noChangeAspect="true"/>
                </wp:cNvGraphicFramePr>
                <a:graphic>
                  <a:graphicData uri="http://schemas.openxmlformats.org/drawingml/2006/picture">
                    <pic:pic>
                      <pic:nvPicPr>
                        <pic:cNvPr id="1" name="Figura2"/>
                        <pic:cNvPicPr>
                          <a:picLocks noChangeAspect="true" noChangeArrowheads="true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99795" cy="89979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7942" w:type="dxa"/>
          <w:tcBorders>
            <w:top w:val="single" w:color="000001" w:sz="2" w:space="0"/>
            <w:left w:val="single" w:color="000001" w:sz="2" w:space="0"/>
            <w:bottom w:val="single" w:color="000001" w:sz="2" w:space="0"/>
          </w:tcBorders>
          <w:shd w:val="clear" w:color="auto" w:fill="auto"/>
        </w:tcPr>
        <w:p w:rsidR="00D818C8" w:rsidRDefault="00F86F5F" w14:paraId="6766D90D" w14:textId="77777777">
          <w:pPr>
            <w:rPr>
              <w:rFonts w:hint="eastAsia"/>
            </w:rPr>
          </w:pPr>
          <w:r>
            <w:rPr>
              <w:b/>
              <w:bCs/>
              <w:sz w:val="30"/>
              <w:szCs w:val="30"/>
            </w:rPr>
            <w:t xml:space="preserve">Prefeitura Municipal de Ampére</w:t>
          </w:r>
        </w:p>
        <w:p w:rsidR="00D818C8" w:rsidRDefault="00F86F5F" w14:paraId="6FA1C440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>R. Maringá</w:t>
          </w:r>
          <w:r>
            <w:t xml:space="preserve">, </w:t>
          </w:r>
          <w:r>
            <w:t xml:space="preserve">279</w:t>
          </w:r>
          <w:r>
            <w:t xml:space="preserve"> - </w:t>
          </w:r>
          <w:r>
            <w:t xml:space="preserve">Centro</w:t>
          </w:r>
        </w:p>
        <w:p w:rsidR="00D818C8" w:rsidRDefault="00F86F5F" w14:paraId="2BF2C71C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>85.640-000</w:t>
          </w:r>
          <w:r>
            <w:t xml:space="preserve"> - </w:t>
          </w:r>
          <w:r>
            <w:t xml:space="preserve">Ampére</w:t>
          </w:r>
          <w:r>
            <w:t xml:space="preserve"> - </w:t>
          </w:r>
          <w:r>
            <w:t xml:space="preserve">Paraná</w:t>
          </w:r>
        </w:p>
        <w:p w:rsidR="00D818C8" w:rsidRDefault="00F86F5F" w14:paraId="1BCD3A64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>77.817.054/0001-79</w:t>
          </w:r>
          <w:r>
            <w:t xml:space="preserve">          </w:t>
          </w:r>
          <w:r>
            <w:t xml:space="preserve">(46) 3547-1122</w:t>
          </w:r>
        </w:p>
        <w:p w:rsidR="00D818C8" w:rsidRDefault="00F86F5F" w14:paraId="2B45D12A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>adm@ampere.pr.gov.br</w:t>
          </w:r>
          <w:r>
            <w:t xml:space="preserve">          </w:t>
          </w:r>
          <w:r>
            <w:t xml:space="preserve">http://www.ampere.pr.gov.br</w:t>
          </w:r>
        </w:p>
      </w:tc>
      <w:tc>
        <w:tcPr>
          <w:tcW w:w="1701" w:type="dxa"/>
          <w:tcBorders>
            <w:top w:val="single" w:color="000001" w:sz="2" w:space="0"/>
            <w:left w:val="single" w:color="000001" w:sz="2" w:space="0"/>
            <w:bottom w:val="single" w:color="000001" w:sz="2" w:space="0"/>
            <w:right w:val="single" w:color="000001" w:sz="2" w:space="0"/>
          </w:tcBorders>
          <w:shd w:val="clear" w:color="auto" w:fill="auto"/>
        </w:tcPr>
        <w:p w:rsidR="00D818C8" w:rsidRDefault="00F86F5F" w14:paraId="307612FF" w14:textId="77777777">
          <w:pPr>
            <w:pStyle w:val="Contedodatabela"/>
            <w:rPr>
              <w:rFonts w:hint="eastAsia"/>
            </w:rPr>
          </w:pPr>
          <w:r>
            <w:rPr>
              <w:noProof/>
              <w:lang w:eastAsia="pt-BR" w:bidi="ar-SA"/>
            </w:rPr>
            <w:drawing>
              <wp:anchor distT="0" distB="0" distL="0" distR="0" simplePos="false" relativeHeight="3" behindDoc="true" locked="false" layoutInCell="true" allowOverlap="true" wp14:anchorId="79EDE259" wp14:editId="36115842">
                <wp:simplePos x="0" y="0"/>
                <wp:positionH relativeFrom="column">
                  <wp:align>center</wp:align>
                </wp:positionH>
                <wp:positionV relativeFrom="paragraph">
                  <wp:posOffset>635</wp:posOffset>
                </wp:positionV>
                <wp:extent cx="899795" cy="647700"/>
                <wp:effectExtent l="0" t="0" r="0" b="0"/>
                <wp:wrapSquare wrapText="largest"/>
                <wp:docPr id="2" name="Figura1"/>
                <wp:cNvGraphicFramePr>
                  <a:graphicFrameLocks noChangeAspect="true"/>
                </wp:cNvGraphicFramePr>
                <a:graphic>
                  <a:graphicData uri="http://schemas.openxmlformats.org/drawingml/2006/picture">
                    <pic:pic>
                      <pic:nvPicPr>
                        <pic:cNvPr id="2" name="Figura1"/>
                        <pic:cNvPicPr>
                          <a:picLocks noChangeAspect="true" noChangeArrowheads="true"/>
                        </pic:cNvPicPr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99795" cy="6477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</w:tc>
    </w:tr>
  </w:tbl>
  <w:p w:rsidR="00D818C8" w:rsidRDefault="00D818C8" w14:paraId="36D92E31" w14:textId="77777777">
    <w:pPr>
      <w:rPr>
        <w:rFonts w:hint="eastAsia"/>
      </w:rPr>
    </w:pPr>
  </w:p>
</w:hdr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818C8"/>
    <w:rsid w:val="000405D5"/>
    <w:rsid w:val="005223EF"/>
    <w:rsid w:val="00610446"/>
    <w:rsid w:val="008B7683"/>
    <w:rsid w:val="0096017B"/>
    <w:rsid w:val="00AC08F8"/>
    <w:rsid w:val="00AD207C"/>
    <w:rsid w:val="00B45A3D"/>
    <w:rsid w:val="00B86C01"/>
    <w:rsid w:val="00CF2706"/>
    <w:rsid w:val="00D17ADC"/>
    <w:rsid w:val="00D67B1F"/>
    <w:rsid w:val="00D818C8"/>
    <w:rsid w:val="00DD2DC4"/>
    <w:rsid w:val="00DF00E0"/>
    <w:rsid w:val="00F86F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  <w14:docId w14:val="3BB6E8BD"/>
  <w15:docId w15:val="{80CE8074-932B-4B95-92BA-318683AF3D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SimSun" w:hAnsi="Liberation Serif" w:cs="Arial"/>
        <w:kern w:val="2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74AF4"/>
    <w:pPr>
      <w:widowControl w:val="0"/>
      <w:suppressAutoHyphens/>
    </w:pPr>
    <w:rPr>
      <w:rFonts w:cs="Mangal"/>
      <w:color w:val="00000A"/>
      <w:kern w:val="0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sid w:val="00074AF4"/>
    <w:rPr>
      <w:color w:val="000080"/>
      <w:u w:val="single"/>
    </w:rPr>
  </w:style>
  <w:style w:type="character" w:customStyle="1" w:styleId="RodapChar">
    <w:name w:val="Rodapé Char"/>
    <w:basedOn w:val="Fontepargpadro"/>
    <w:link w:val="Rodap"/>
    <w:uiPriority w:val="99"/>
    <w:qFormat/>
    <w:rsid w:val="003021EB"/>
    <w:rPr>
      <w:color w:val="00000A"/>
      <w:sz w:val="24"/>
      <w:szCs w:val="21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8B46FC"/>
    <w:rPr>
      <w:rFonts w:ascii="Tahoma" w:hAnsi="Tahoma"/>
      <w:color w:val="00000A"/>
      <w:sz w:val="16"/>
      <w:szCs w:val="14"/>
    </w:rPr>
  </w:style>
  <w:style w:type="paragraph" w:styleId="Ttulo">
    <w:name w:val="Title"/>
    <w:basedOn w:val="Normal"/>
    <w:next w:val="Corpodetexto"/>
    <w:qFormat/>
    <w:rsid w:val="00074AF4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Normal"/>
    <w:rsid w:val="00074AF4"/>
  </w:style>
  <w:style w:type="paragraph" w:styleId="Legenda">
    <w:name w:val="caption"/>
    <w:basedOn w:val="Normal"/>
    <w:qFormat/>
    <w:rsid w:val="00074AF4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rsid w:val="00074AF4"/>
    <w:pPr>
      <w:suppressLineNumbers/>
    </w:pPr>
  </w:style>
  <w:style w:type="paragraph" w:customStyle="1" w:styleId="Corpodotexto">
    <w:name w:val="Corpo do texto"/>
    <w:basedOn w:val="Normal"/>
    <w:qFormat/>
    <w:rsid w:val="00074AF4"/>
    <w:pPr>
      <w:spacing w:after="140" w:line="288" w:lineRule="auto"/>
    </w:pPr>
  </w:style>
  <w:style w:type="paragraph" w:styleId="Cabealho">
    <w:name w:val="header"/>
    <w:basedOn w:val="Normal"/>
    <w:rsid w:val="00074AF4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rsid w:val="00074AF4"/>
    <w:pPr>
      <w:suppressLineNumbers/>
    </w:pPr>
  </w:style>
  <w:style w:type="paragraph" w:customStyle="1" w:styleId="Ttulodetabela">
    <w:name w:val="Título de tabela"/>
    <w:basedOn w:val="Contedodatabela"/>
    <w:qFormat/>
    <w:rsid w:val="00074AF4"/>
    <w:pPr>
      <w:jc w:val="center"/>
    </w:pPr>
    <w:rPr>
      <w:b/>
      <w:bCs/>
    </w:rPr>
  </w:style>
  <w:style w:type="paragraph" w:customStyle="1" w:styleId="Normal0">
    <w:name w:val="[Normal]"/>
    <w:qFormat/>
    <w:rsid w:val="00074AF4"/>
    <w:pPr>
      <w:widowControl w:val="0"/>
      <w:suppressAutoHyphens/>
    </w:pPr>
    <w:rPr>
      <w:rFonts w:ascii="Arial" w:eastAsiaTheme="minorHAnsi" w:hAnsi="Arial"/>
      <w:color w:val="00000A"/>
      <w:kern w:val="0"/>
      <w:sz w:val="24"/>
      <w:lang w:eastAsia="en-US" w:bidi="ar-SA"/>
    </w:rPr>
  </w:style>
  <w:style w:type="paragraph" w:styleId="Rodap">
    <w:name w:val="footer"/>
    <w:basedOn w:val="Normal"/>
    <w:link w:val="RodapChar"/>
    <w:uiPriority w:val="99"/>
    <w:unhideWhenUsed/>
    <w:rsid w:val="003021EB"/>
    <w:pPr>
      <w:tabs>
        <w:tab w:val="center" w:pos="4252"/>
        <w:tab w:val="right" w:pos="8504"/>
      </w:tabs>
    </w:pPr>
    <w:rPr>
      <w:szCs w:val="21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8B46FC"/>
    <w:rPr>
      <w:rFonts w:ascii="Tahoma" w:hAnsi="Tahoma"/>
      <w:sz w:val="16"/>
      <w:szCs w:val="14"/>
    </w:rPr>
  </w:style>
  <w:style w:type="table" w:styleId="Tabelacomgrade">
    <w:name w:val="Table Grid"/>
    <w:basedOn w:val="Tabelanormal"/>
    <w:uiPriority w:val="39"/>
    <w:rsid w:val="00AC08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702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
<Relationships xmlns="http://schemas.openxmlformats.org/package/2006/relationships">
    <Relationship Target="fontTable.xml" Type="http://schemas.openxmlformats.org/officeDocument/2006/relationships/fontTable" Id="rId8"/>
    <Relationship Target="webSettings.xml" Type="http://schemas.openxmlformats.org/officeDocument/2006/relationships/webSettings" Id="rId3"/>
    <Relationship Target="footer1.xml" Type="http://schemas.openxmlformats.org/officeDocument/2006/relationships/footer" Id="rId7"/>
    <Relationship Target="settings.xml" Type="http://schemas.openxmlformats.org/officeDocument/2006/relationships/settings" Id="rId2"/>
    <Relationship Target="styles.xml" Type="http://schemas.openxmlformats.org/officeDocument/2006/relationships/styles" Id="rId1"/>
    <Relationship Target="header1.xml" Type="http://schemas.openxmlformats.org/officeDocument/2006/relationships/header" Id="rId6"/>
    <Relationship Target="endnotes.xml" Type="http://schemas.openxmlformats.org/officeDocument/2006/relationships/endnotes" Id="rId5"/>
    <Relationship Target="footnotes.xml" Type="http://schemas.openxmlformats.org/officeDocument/2006/relationships/footnotes" Id="rId4"/>
    <Relationship Target="theme/theme1.xml" Type="http://schemas.openxmlformats.org/officeDocument/2006/relationships/theme" Id="rId9"/>
</Relationships>

</file>

<file path=word/_rels/header1.xml.rels><?xml version="1.0" encoding="UTF-8" standalone="yes"?>
<Relationships xmlns="http://schemas.openxmlformats.org/package/2006/relationships">
    <Relationship Target="media/image2.emf" Type="http://schemas.openxmlformats.org/officeDocument/2006/relationships/image" Id="rId2"/>
    <Relationship Target="media/image1.emf" Type="http://schemas.openxmlformats.org/officeDocument/2006/relationships/image" Id="rId1"/>
</Relationships>
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3673</TotalTime>
  <Pages>2</Pages>
  <Words>178</Words>
  <Characters>962</Characters>
  <Application>Microsoft Office Word</Application>
  <DocSecurity>0</DocSecurity>
  <Lines>8</Lines>
  <Paragraphs>2</Paragraphs>
  <ScaleCrop>false</ScaleCrop>
  <Company/>
  <LinksUpToDate>false</LinksUpToDate>
  <CharactersWithSpaces>1138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dc:description/>
  <cp:lastModifiedBy>Luiz Fernando</cp:lastModifiedBy>
  <cp:revision>33</cp:revision>
  <dcterms:created xsi:type="dcterms:W3CDTF">2018-01-23T13:52:00Z</dcterms:created>
  <dcterms:modified xsi:type="dcterms:W3CDTF">2025-03-18T11:56:00Z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