
<file path=[Content_Types].xml><?xml version="1.0" encoding="utf-8"?>
<Types xmlns="http://schemas.openxmlformats.org/package/2006/content-types">
  <Default Extension="rels" ContentType="application/vnd.openxmlformats-package.relationships+xml"/>
  <Override ContentType="application/vnd.openxmlformats-package.relationships+xml" PartName="/_rels/.rels"/>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package.relationships+xml" PartName="/word/_rels/document.xml.rels"/>
  <Override ContentType="application/vnd.openxmlformats-package.relationships+xml" PartName="/word/_rels/header1.xml.rels"/>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image/x-emf" PartName="/word/media/image1.emf"/>
  <Override ContentType="image/x-emf" PartName="/word/media/image2.emf"/>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docProps/core.xml" Type="http://schemas.openxmlformats.org/package/2006/relationships/metadata/core-properties" Id="rId1"/>
    <Relationship Target="docProps/app.xml" Type="http://schemas.openxmlformats.org/officeDocument/2006/relationships/extended-properties" Id="rId2"/>
    <Relationship Target="docProps/custom.xml" Type="http://schemas.openxmlformats.org/officeDocument/2006/relationships/custom-properties" Id="rId3"/>
    <Relationship Target="word/document.xml" Type="http://schemas.openxmlformats.org/officeDocument/2006/relationships/officeDocument"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p14">
  <w:body>
    <!-- Modified by docx4j 11.1.0 (Apache licensed) using REFERENCE JAXB in Azul Systems, Inc. Java 11.0.23 on Linux -->
    <w:p>
      <w:pPr>
        <w:pStyle w:val="Normal"/>
        <w:jc w:val="center"/>
        <w:rPr>
          <w:rFonts w:ascii="Times New Roman" w:cs="Rockwell" w:hAnsi="Times New Roman"/>
          <w:sz w:val="22"/>
          <w:szCs w:val="22"/>
        </w:rPr>
      </w:pPr>
      <w:r>
        <w:rPr>
          <w:rFonts w:ascii="Times New Roman" w:cs="Rockwell" w:hAnsi="Times New Roman"/>
          <w:sz w:val="22"/>
          <w:szCs w:val="22"/>
        </w:rPr>
      </w:r>
    </w:p>
    <w:p>
      <w:pPr>
        <w:pStyle w:val="Normal1"/>
        <w:jc w:val="center"/>
        <w:rPr/>
      </w:pPr>
      <w:r>
        <w:rPr>
          <w:rFonts w:ascii="Times New Roman" w:cs="Rockwell" w:hAnsi="Times New Roman"/>
          <w:b/>
          <w:bCs/>
          <w:sz w:val="22"/>
          <w:szCs w:val="22"/>
        </w:rPr>
        <w:t>AVISO DE LICITAÇÃO</w:t>
      </w:r>
    </w:p>
    <w:p>
      <w:pPr>
        <w:pStyle w:val="Normal1"/>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Ampére</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PR37/2026</w:t>
      </w:r>
      <w:r>
        <w:rPr>
          <w:rFonts w:ascii="Times New Roman" w:cs="Rockwell" w:hAnsi="Times New Roman"/>
          <w:color w:val="000000"/>
          <w:sz w:val="22"/>
          <w:szCs w:val="22"/>
        </w:rPr>
        <w:t xml:space="preserve">, cujo processamento e julgamento darão na forma da Lei 8.666, de 21 de junho de 1993 e alterações.</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Aquisição de um veículo utilitário novo com sete lugares utilizando a aplicação do recurso previsto na resolução SESA Nº 1357/2025.</w:t>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rFonts w:ascii="Times New Roman" w:cs="Times New Roman" w:hAnsi="Times New Roman"/>
          <w:b/>
          <w:bCs/>
          <w:color w:val="000000"/>
          <w:sz w:val="22"/>
          <w:szCs w:val="22"/>
        </w:rPr>
      </w:pPr>
      <w:r>
        <w:rPr>
          <w:rFonts w:ascii="Times New Roman" w:cs="Times New Roman" w:hAnsi="Times New Roman"/>
          <w:b/>
          <w:bCs/>
          <w:color w:val="000000"/>
          <w:sz w:val="22"/>
          <w:szCs w:val="22"/>
        </w:rPr>
      </w: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42922 - Veículo automotor utilitário 0 KM com sete lugares, Todos os acessórios a baixo deverão ser originais de fábrica, características mínimas:
fabricação 2026,  potência mínima 105cv, gasolina e etanol (flex), transmissão automática , direção hidráulica ou elétrica, pneus e estepe da linha de Montagem, sistemas de freios ABS com ebd, 7 passageiros, 4 portas, cor branca, vidros elétricos, trava elétrica, sistema de ar condicionado, espelhos retrovisores externos elétricos, roda aro 15, tanque de combustível mínimo 47 litros, kit ferramentas para troca de pneus, jogo de tapetes originais, itens de segurança conforme linha de produção, cinto de 3 pontas, encosto de cabeça. Veículo deve possuir garantia mínima de 03 anos e vir com plotagem (modelo definido pela contratante) e demais itens de segurança em conformidade com a legislação vigente. Veículo deverá ser entregue devidamente liberado para realização de emplacamento/registro junto ao DETRAN.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158.405,30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158.405,30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158.405,30</w:t>
            </w:r>
          </w:p>
        </w:tc>
      </w:tr>
    </w:tbl>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both"/>
        <w:rPr>
          <w:rFonts w:ascii="Times New Roman" w:cs="Times New Roman" w:hAnsi="Times New Roman"/>
          <w:b/>
          <w:color w:val="000000"/>
          <w:sz w:val="22"/>
          <w:szCs w:val="22"/>
        </w:rPr>
      </w:pPr>
      <w:r>
        <w:rPr>
          <w:rFonts w:ascii="Times New Roman" w:cs="Times New Roman" w:hAnsi="Times New Roman"/>
          <w:b/>
          <w:color w:val="000000"/>
          <w:sz w:val="22"/>
          <w:szCs w:val="22"/>
        </w:rPr>
      </w:r>
    </w:p>
    <w:p>
      <w:pPr>
        <w:pStyle w:val="Normal"/>
        <w:jc w:val="both"/>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17/07/2026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08:00</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ENDEREÇO ELETRÔNICO: WWW.COMPRAS.GOV.BR.</w:t>
      </w:r>
      <w:r>
        <w:rPr>
          <w:rFonts w:ascii="Times New Roman" w:cs="Rockwell" w:hAnsi="Times New Roman"/>
          <w:color w:val="000000"/>
          <w:sz w:val="22"/>
          <w:szCs w:val="22"/>
        </w:rPr>
        <w:t xml:space="preserve">.</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17/07/2026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08:00</w:t>
      </w:r>
      <w:r>
        <w:rPr>
          <w:rFonts w:ascii="Times New Roman" w:cs="Rockwell" w:hAnsi="Times New Roman"/>
          <w:color w:val="000000"/>
          <w:sz w:val="22"/>
          <w:szCs w:val="22"/>
        </w:rPr>
        <w:t xml:space="preserve"> horas na </w:t>
      </w:r>
      <w:r>
        <w:rPr>
          <w:rFonts w:ascii="Times New Roman" w:cs="Rockwell" w:hAnsi="Times New Roman"/>
          <w:color w:val="000000"/>
          <w:sz w:val="22"/>
          <w:szCs w:val="22"/>
        </w:rPr>
        <w:t xml:space="preserve">ENDEREÇO ELETRÔNICO: WWW.COMPRAS.GOV.BR.</w:t>
      </w:r>
      <w:r>
        <w:rPr>
          <w:rFonts w:ascii="Times New Roman" w:cs="Rockwell" w:hAnsi="Times New Roman"/>
          <w:color w:val="000000"/>
          <w:sz w:val="22"/>
          <w:szCs w:val="22"/>
        </w:rPr>
        <w:t xml:space="preserve">.</w:t>
      </w:r>
    </w:p>
    <w:p>
      <w:pPr>
        <w:pStyle w:val="Normal"/>
        <w:jc w:val="both"/>
        <w:rPr>
          <w:rFonts w:ascii="Times New Roman" w:cs="Rockwell" w:hAnsi="Times New Roman"/>
          <w:color w:val="000000"/>
          <w:sz w:val="22"/>
          <w:szCs w:val="22"/>
        </w:rPr>
      </w:pPr>
      <w:r>
        <w:rPr>
          <w:rFonts w:ascii="Times New Roman" w:cs="Rockwell" w:hAnsi="Times New Roman"/>
          <w:color w:val="000000"/>
          <w:sz w:val="22"/>
          <w:szCs w:val="22"/>
        </w:rPr>
      </w:r>
    </w:p>
    <w:p>
      <w:pPr>
        <w:pStyle w:val="Normal"/>
        <w:jc w:val="both"/>
        <w:rPr/>
      </w:pPr>
      <w:r>
        <w:rPr>
          <w:rFonts w:ascii="Times New Roman" w:cs="Rockwell" w:hAnsi="Times New Roman"/>
          <w:color w:val="000000"/>
          <w:sz w:val="22"/>
          <w:szCs w:val="22"/>
        </w:rPr>
        <w:t xml:space="preserve">Edital na integra e demais informações, poderão ser consultadas no site </w:t>
      </w:r>
      <w:r>
        <w:rPr>
          <w:rFonts w:ascii="Times New Roman" w:cs="Rockwell" w:hAnsi="Times New Roman"/>
          <w:color w:val="000000"/>
          <w:sz w:val="22"/>
          <w:szCs w:val="22"/>
        </w:rPr>
        <w:t xml:space="preserve">http://www.ampere.pr.gov.br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Ampére</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 3547-1122</w:t>
      </w:r>
      <w:r>
        <w:rPr>
          <w:rFonts w:ascii="Times New Roman" w:cs="Rockwell" w:hAnsi="Times New Roman"/>
          <w:color w:val="000000"/>
          <w:sz w:val="22"/>
          <w:szCs w:val="22"/>
        </w:rPr>
        <w:t xml:space="preserve"> ou e-mail </w:t>
      </w:r>
      <w:r>
        <w:rPr>
          <w:rFonts w:ascii="Times New Roman" w:cs="Rockwell" w:hAnsi="Times New Roman"/>
          <w:color w:val="000000"/>
          <w:sz w:val="22"/>
          <w:szCs w:val="22"/>
        </w:rPr>
        <w:t xml:space="preserve">adm@ampere.pr.gov.br</w:t>
      </w:r>
      <w:r>
        <w:rPr>
          <w:rFonts w:ascii="Times New Roman" w:cs="Rockwell" w:hAnsi="Times New Roman"/>
          <w:color w:val="000000"/>
          <w:sz w:val="22"/>
          <w:szCs w:val="22"/>
        </w:rPr>
        <w:t xml:space="preserve">.</w:t>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1"/>
        <w:rPr>
          <w:rFonts w:ascii="Times New Roman" w:cs="Rockwell" w:hAnsi="Times New Roman"/>
          <w:color w:val="000000"/>
          <w:sz w:val="22"/>
          <w:szCs w:val="22"/>
        </w:rPr>
      </w:pPr>
      <w:r>
        <w:rPr>
          <w:rFonts w:ascii="Times New Roman" w:cs="Rockwell" w:hAnsi="Times New Roman"/>
          <w:color w:val="000000"/>
          <w:sz w:val="22"/>
          <w:szCs w:val="22"/>
        </w:rPr>
      </w:r>
    </w:p>
    <w:p>
      <w:pPr>
        <w:pStyle w:val="Normal"/>
        <w:tabs>
          <w:tab w:leader="none" w:pos="708" w:val="left"/>
          <w:tab w:leader="none" w:pos="1416" w:val="left"/>
          <w:tab w:leader="none" w:pos="2124" w:val="left"/>
          <w:tab w:leader="none" w:pos="2832" w:val="left"/>
          <w:tab w:leader="none" w:pos="3540" w:val="left"/>
          <w:tab w:leader="none" w:pos="4248" w:val="left"/>
          <w:tab w:leader="none" w:pos="4956" w:val="left"/>
          <w:tab w:leader="none" w:pos="5664" w:val="left"/>
          <w:tab w:leader="none" w:pos="6372" w:val="left"/>
          <w:tab w:leader="none" w:pos="7080" w:val="left"/>
          <w:tab w:leader="none" w:pos="7788" w:val="left"/>
          <w:tab w:leader="none" w:pos="8496" w:val="left"/>
          <w:tab w:leader="none" w:pos="9204" w:val="left"/>
          <w:tab w:leader="none" w:pos="9912" w:val="left"/>
        </w:tabs>
        <w:jc w:val="right"/>
        <w:rPr/>
      </w:pPr>
      <w:r>
        <w:rPr>
          <w:rFonts w:ascii="Times New Roman" w:cs="Times New Roman" w:hAnsi="Times New Roman"/>
          <w:sz w:val="22"/>
          <w:szCs w:val="22"/>
        </w:rPr>
        <w:t xml:space="preserve">Ampére</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 de julho de 2026</w:t>
      </w:r>
    </w:p>
    <w:p>
      <w:pPr>
        <w:pStyle w:val="Normal1"/>
        <w:jc w:val="center"/>
        <w:rPr>
          <w:rFonts w:ascii="Times New Roman" w:cs="Rockwell" w:hAnsi="Times New Roman"/>
          <w:color w:val="000000"/>
          <w:sz w:val="22"/>
          <w:szCs w:val="22"/>
        </w:rPr>
      </w:pPr>
      <w:r>
        <w:rPr>
          <w:rFonts w:ascii="Times New Roman" w:cs="Rockwell" w:hAnsi="Times New Roman"/>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rFonts w:ascii="Times New Roman" w:cs="Rockwell" w:hAnsi="Times New Roman"/>
          <w:bCs/>
          <w:color w:val="000000"/>
          <w:sz w:val="22"/>
          <w:szCs w:val="22"/>
        </w:rPr>
      </w:pPr>
      <w:r>
        <w:rPr>
          <w:rFonts w:ascii="Times New Roman" w:cs="Rockwell" w:hAnsi="Times New Roman"/>
          <w:bCs/>
          <w:color w:val="000000"/>
          <w:sz w:val="22"/>
          <w:szCs w:val="22"/>
        </w:rPr>
      </w:r>
    </w:p>
    <w:p>
      <w:pPr>
        <w:pStyle w:val="Normal1"/>
        <w:jc w:val="center"/>
        <w:rPr/>
      </w:pPr>
      <w:r>
        <w:rPr>
          <w:rFonts w:ascii="Times New Roman" w:cs="Rockwell" w:hAnsi="Times New Roman"/>
          <w:bCs/>
          <w:color w:val="000000"/>
          <w:sz w:val="22"/>
          <w:szCs w:val="22"/>
        </w:rPr>
        <w:t>_______________________________________</w:t>
      </w:r>
    </w:p>
    <w:p>
      <w:pPr>
        <w:pStyle w:val="Normal1"/>
        <w:jc w:val="center"/>
        <w:rPr/>
      </w:pPr>
      <w:r>
        <w:rPr>
          <w:rFonts w:ascii="Times New Roman" w:cs="Rockwell" w:hAnsi="Times New Roman"/>
          <w:bCs/>
          <w:color w:val="000000"/>
          <w:sz w:val="22"/>
          <w:szCs w:val="22"/>
        </w:rPr>
        <w:t xml:space="preserve">DOUGLAS DIEMS MOROCKOSKI POTRICH</w:t>
      </w:r>
    </w:p>
    <w:p>
      <w:pPr>
        <w:pStyle w:val="Normal1"/>
        <w:jc w:val="center"/>
        <w:rPr/>
      </w:pPr>
      <w:r>
        <w:rPr>
          <w:rFonts w:ascii="Times New Roman" w:cs="Rockwell" w:hAnsi="Times New Roman"/>
          <w:bCs/>
          <w:color w:val="000000"/>
          <w:sz w:val="22"/>
          <w:szCs w:val="22"/>
        </w:rPr>
        <w:t xml:space="preserve">0 - Prefeito</w:t>
      </w:r>
    </w:p>
    <w:sectPr>
      <w:headerReference r:id="rId2" w:type="default"/>
      <w:type w:val="nextPage"/>
      <w:pgSz w:h="16838" w:w="11906"/>
      <w:pgMar w:bottom="1134" w:footer="0" w:gutter="0" w:header="283" w:left="1134" w:right="1134" w:top="1757"/>
      <w:pgNumType w:fmt="decimal"/>
      <w:formProt w:val="false"/>
      <w:textDirection w:val="lrTb"/>
      <w:docGrid w:charSpace="0" w:linePitch="312" w:type="default"/>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tbl>
    <w:tblPr>
      <w:tblW w:w="11339" w:type="dxa"/>
      <w:jc w:val="left"/>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trPr/>
      <w:tc>
        <w:tcPr>
          <w:tcW w:w="1696" w:type="dxa"/>
          <w:tcBorders>
            <w:top w:val="single" w:color="000001" w:sz="2" w:space="0"/>
            <w:left w:val="single" w:color="000001" w:sz="2" w:space="0"/>
            <w:bottom w:val="single" w:color="000001" w:sz="2" w:space="0"/>
            <w:insideH w:val="single" w:color="000001" w:sz="2" w:space="0"/>
          </w:tcBorders>
          <w:shd w:val="clear" w:fill="auto"/>
        </w:tcPr>
        <w:p>
          <w:pPr>
            <w:pStyle w:val="Contedodatabela"/>
            <w:rPr>
              <w:sz w:val="24"/>
              <w:szCs w:val="24"/>
            </w:rPr>
          </w:pPr>
          <w:r>
            <w:rPr>
              <w:sz w:val="24"/>
              <w:szCs w:val="24"/>
            </w:rPr>
            <w:drawing>
              <wp:anchor distT="0" distB="0" distL="0" distR="0" simplePos="false" relativeHeight="2" behindDoc="true" locked="false" layoutInCell="true" allowOverlap="true">
                <wp:simplePos x="0" y="0"/>
                <wp:positionH relativeFrom="column">
                  <wp:align>center</wp:align>
                </wp:positionH>
                <wp:positionV relativeFrom="paragraph">
                  <wp:posOffset>635</wp:posOffset>
                </wp:positionV>
                <wp:extent cx="899795" cy="899795"/>
                <wp:effectExtent l="0" t="0" r="0" b="0"/>
                <wp:wrapSquare wrapText="largest"/>
                <wp:docPr id="1" name="Figura2" descr=""/>
                <wp:cNvGraphicFramePr>
                  <a:graphicFrameLocks noChangeAspect="true"/>
                </wp:cNvGraphicFramePr>
                <a:graphic>
                  <a:graphicData uri="http://schemas.openxmlformats.org/drawingml/2006/picture">
                    <pic:pic>
                      <pic:nvPicPr>
                        <pic:cNvPr id="1" name="Figura2" descr=""/>
                        <pic:cNvPicPr>
                          <a:picLocks noChangeAspect="true" noChangeArrowheads="true"/>
                        </pic:cNvPicPr>
                      </pic:nvPicPr>
                      <pic:blipFill>
                        <a:blip r:embed="rId1"/>
                        <a:stretch>
                          <a:fillRect/>
                        </a:stretch>
                      </pic:blipFill>
                      <pic:spPr bwMode="auto">
                        <a:xfrm>
                          <a:off x="0" y="0"/>
                          <a:ext cx="899795" cy="899795"/>
                        </a:xfrm>
                        <a:prstGeom prst="rect">
                          <a:avLst/>
                        </a:prstGeom>
                      </pic:spPr>
                    </pic:pic>
                  </a:graphicData>
                </a:graphic>
              </wp:anchor>
            </w:drawing>
          </w:r>
        </w:p>
      </w:tc>
      <w:tc>
        <w:tcPr>
          <w:tcW w:w="7942" w:type="dxa"/>
          <w:tcBorders>
            <w:top w:val="single" w:color="000001" w:sz="2" w:space="0"/>
            <w:left w:val="single" w:color="000001" w:sz="2" w:space="0"/>
            <w:bottom w:val="single" w:color="000001" w:sz="2" w:space="0"/>
            <w:insideH w:val="single" w:color="000001" w:sz="2" w:space="0"/>
          </w:tcBorders>
          <w:shd w:val="clear" w:fill="auto"/>
        </w:tcPr>
        <w:p>
          <w:pPr>
            <w:pStyle w:val="Normal"/>
            <w:rPr/>
          </w:pPr>
          <w:r>
            <w:rPr>
              <w:b/>
              <w:bCs/>
              <w:sz w:val="30"/>
              <w:szCs w:val="30"/>
            </w:rPr>
            <w:t xml:space="preserve">Prefeitura Municipal de Ampére</w:t>
          </w:r>
        </w:p>
        <w:p>
          <w:pPr>
            <w:pStyle w:val="Normal"/>
            <w:tabs>
              <w:tab w:val="left" w:leader="none" w:pos="3969"/>
            </w:tabs>
            <w:rPr/>
          </w:pPr>
          <w:r>
            <w:rPr>
              <w:sz w:val="24"/>
              <w:szCs w:val="24"/>
            </w:rPr>
            <w:t xml:space="preserve">R. Maringá</w:t>
          </w:r>
          <w:r>
            <w:rPr>
              <w:sz w:val="24"/>
              <w:szCs w:val="24"/>
            </w:rPr>
            <w:t xml:space="preserve">, </w:t>
          </w:r>
          <w:r>
            <w:rPr>
              <w:sz w:val="24"/>
              <w:szCs w:val="24"/>
            </w:rPr>
            <w:t xml:space="preserve">279</w:t>
          </w:r>
          <w:r>
            <w:rPr>
              <w:sz w:val="24"/>
              <w:szCs w:val="24"/>
            </w:rPr>
            <w:t xml:space="preserve"> - </w:t>
          </w:r>
          <w:r>
            <w:rPr>
              <w:sz w:val="24"/>
              <w:szCs w:val="24"/>
            </w:rPr>
            <w:t xml:space="preserve">Centro</w:t>
          </w:r>
        </w:p>
        <w:p>
          <w:pPr>
            <w:pStyle w:val="Normal"/>
            <w:tabs>
              <w:tab w:val="left" w:leader="none" w:pos="3969"/>
            </w:tabs>
            <w:rPr/>
          </w:pPr>
          <w:r>
            <w:rPr>
              <w:sz w:val="24"/>
              <w:szCs w:val="24"/>
            </w:rPr>
            <w:t xml:space="preserve">85.640-000</w:t>
          </w:r>
          <w:r>
            <w:rPr>
              <w:sz w:val="24"/>
              <w:szCs w:val="24"/>
            </w:rPr>
            <w:t xml:space="preserve"> - </w:t>
          </w:r>
          <w:r>
            <w:rPr>
              <w:sz w:val="24"/>
              <w:szCs w:val="24"/>
            </w:rPr>
            <w:t xml:space="preserve">Ampére</w:t>
          </w:r>
          <w:r>
            <w:rPr>
              <w:sz w:val="24"/>
              <w:szCs w:val="24"/>
            </w:rPr>
            <w:t xml:space="preserve"> - </w:t>
          </w:r>
          <w:r>
            <w:rPr>
              <w:sz w:val="24"/>
              <w:szCs w:val="24"/>
            </w:rPr>
            <w:t xml:space="preserve">Paraná</w:t>
          </w:r>
        </w:p>
        <w:p>
          <w:pPr>
            <w:pStyle w:val="Normal"/>
            <w:tabs>
              <w:tab w:val="left" w:leader="none" w:pos="3969"/>
            </w:tabs>
            <w:rPr/>
          </w:pPr>
          <w:r>
            <w:rPr>
              <w:sz w:val="24"/>
              <w:szCs w:val="24"/>
            </w:rPr>
            <w:t xml:space="preserve">77.817.054/0001-79</w:t>
          </w:r>
          <w:r>
            <w:rPr>
              <w:sz w:val="24"/>
              <w:szCs w:val="24"/>
            </w:rPr>
            <w:t xml:space="preserve">          </w:t>
          </w:r>
          <w:r>
            <w:rPr>
              <w:sz w:val="24"/>
              <w:szCs w:val="24"/>
            </w:rPr>
            <w:t xml:space="preserve">(46) 3547-1122</w:t>
          </w:r>
        </w:p>
        <w:p>
          <w:pPr>
            <w:pStyle w:val="Normal"/>
            <w:tabs>
              <w:tab w:val="left" w:leader="none" w:pos="3969"/>
            </w:tabs>
            <w:rPr/>
          </w:pPr>
          <w:r>
            <w:rPr>
              <w:sz w:val="24"/>
              <w:szCs w:val="24"/>
            </w:rPr>
            <w:t xml:space="preserve">adm@ampere.pr.gov.br</w:t>
          </w:r>
          <w:r>
            <w:rPr>
              <w:sz w:val="24"/>
              <w:szCs w:val="24"/>
            </w:rPr>
            <w:t xml:space="preserve">          </w:t>
          </w:r>
          <w:r>
            <w:rPr>
              <w:sz w:val="24"/>
              <w:szCs w:val="24"/>
            </w:rPr>
            <w:t xml:space="preserve">http://www.ampere.pr.gov.br</w:t>
          </w:r>
        </w:p>
      </w:tc>
      <w:tc>
        <w:tcPr>
          <w:tcW w:w="1701" w:type="dxa"/>
          <w:tcBorders>
            <w:top w:val="single" w:color="000001" w:sz="2" w:space="0"/>
            <w:left w:val="single" w:color="000001" w:sz="2" w:space="0"/>
            <w:bottom w:val="single" w:color="000001" w:sz="2" w:space="0"/>
            <w:right w:val="single" w:color="000001" w:sz="2" w:space="0"/>
            <w:insideH w:val="single" w:color="000001" w:sz="2" w:space="0"/>
            <w:insideV w:val="single" w:color="000001" w:sz="2" w:space="0"/>
          </w:tcBorders>
          <w:shd w:val="clear" w:fill="auto"/>
        </w:tcPr>
        <w:p>
          <w:pPr>
            <w:pStyle w:val="Contedodatabela"/>
            <w:rPr>
              <w:sz w:val="24"/>
              <w:szCs w:val="24"/>
            </w:rPr>
          </w:pPr>
          <w:r>
            <w:rPr>
              <w:sz w:val="24"/>
              <w:szCs w:val="24"/>
            </w:rPr>
            <w:drawing>
              <wp:anchor distT="0" distB="0" distL="0" distR="0" simplePos="false" relativeHeight="3" behindDoc="true" locked="false" layoutInCell="true" allowOverlap="true">
                <wp:simplePos x="0" y="0"/>
                <wp:positionH relativeFrom="column">
                  <wp:align>center</wp:align>
                </wp:positionH>
                <wp:positionV relativeFrom="paragraph">
                  <wp:posOffset>635</wp:posOffset>
                </wp:positionV>
                <wp:extent cx="899795" cy="647700"/>
                <wp:effectExtent l="0" t="0" r="0" b="0"/>
                <wp:wrapSquare wrapText="largest"/>
                <wp:docPr id="2" name="Figura1" descr=""/>
                <wp:cNvGraphicFramePr>
                  <a:graphicFrameLocks noChangeAspect="true"/>
                </wp:cNvGraphicFramePr>
                <a:graphic>
                  <a:graphicData uri="http://schemas.openxmlformats.org/drawingml/2006/picture">
                    <pic:pic>
                      <pic:nvPicPr>
                        <pic:cNvPr id="2" name="Figura1" descr=""/>
                        <pic:cNvPicPr>
                          <a:picLocks noChangeAspect="true" noChangeArrowheads="true"/>
                        </pic:cNvPicPr>
                      </pic:nvPicPr>
                      <pic:blipFill>
                        <a:blip r:embed="rId2"/>
                        <a:stretch>
                          <a:fillRect/>
                        </a:stretch>
                      </pic:blipFill>
                      <pic:spPr bwMode="auto">
                        <a:xfrm>
                          <a:off x="0" y="0"/>
                          <a:ext cx="899795" cy="647700"/>
                        </a:xfrm>
                        <a:prstGeom prst="rect">
                          <a:avLst/>
                        </a:prstGeom>
                      </pic:spPr>
                    </pic:pic>
                  </a:graphicData>
                </a:graphic>
              </wp:anchor>
            </w:drawing>
          </w:r>
        </w:p>
      </w:tc>
    </w:tr>
  </w:tbl>
  <w:p>
    <w:pPr>
      <w:pStyle w:val="Normal"/>
      <w:rPr/>
    </w:pPr>
    <w:r>
      <w:rPr/>
    </w: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10"/>
  <w:defaultTabStop w:val="709"/>
  <w:autoHyphenation w:val="fals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false"/>
      <w:suppressAutoHyphens w:val="true"/>
      <w:overflowPunct w:val="true"/>
      <w:bidi w:val="0"/>
      <w:jc w:val="left"/>
    </w:pPr>
    <w:rPr>
      <w:rFonts w:ascii="Liberation Serif" w:hAnsi="Liberation Serif" w:eastAsia="SimSun" w:cs="Mangal"/>
      <w:color w:val="00000A"/>
      <w:kern w:val="0"/>
      <w:sz w:val="24"/>
      <w:szCs w:val="24"/>
      <w:lang w:val="pt-BR" w:eastAsia="zh-CN" w:bidi="hi-IN"/>
    </w:rPr>
  </w:style>
  <w:style w:type="character" w:styleId="DefaultParagraphFont" w:default="1">
    <w:name w:val="Default Paragraph Font"/>
    <w:uiPriority w:val="1"/>
    <w:semiHidden/>
    <w:unhideWhenUsed/>
    <w:qFormat/>
    <w:rPr/>
  </w:style>
  <w:style w:type="character" w:styleId="LinkdaInternet" w:customStyle="1">
    <w:name w:val="Link da Internet"/>
    <w:rPr>
      <w:color w:val="000080"/>
      <w:u w:val="single"/>
    </w:rPr>
  </w:style>
  <w:style w:type="character" w:styleId="RodapChar" w:customStyle="1">
    <w:name w:val="Rodapé Char"/>
    <w:basedOn w:val="DefaultParagraphFont"/>
    <w:link w:val="Rodap"/>
    <w:uiPriority w:val="99"/>
    <w:qFormat/>
    <w:rsid w:val="004f7c69"/>
    <w:rPr>
      <w:color w:val="00000A"/>
      <w:sz w:val="24"/>
      <w:szCs w:val="21"/>
    </w:rPr>
  </w:style>
  <w:style w:type="paragraph" w:styleId="Ttulo">
    <w:name w:val="Título"/>
    <w:basedOn w:val="Normal"/>
    <w:next w:val="Corpodetexto"/>
    <w:qFormat/>
    <w:pPr>
      <w:keepNext w:val="true"/>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76" w:before="0" w:after="140"/>
    </w:pPr>
    <w:rPr/>
  </w:style>
  <w:style w:type="paragraph" w:styleId="Lista">
    <w:name w:val="List"/>
    <w:basedOn w:val="Normal"/>
    <w:pPr>
      <w:widowControl w:val="false"/>
      <w:bidi w:val="0"/>
      <w:jc w:val="left"/>
    </w:pPr>
    <w:rPr>
      <w:rFonts w:ascii="Liberation Serif" w:hAnsi="Liberation Serif" w:eastAsia="SimSun" w:cs="Mangal"/>
      <w:color w:val="00000A"/>
      <w:kern w:val="0"/>
      <w:sz w:val="24"/>
      <w:szCs w:val="24"/>
      <w:lang w:val="pt-BR" w:eastAsia="zh-CN" w:bidi="hi-IN"/>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style>
  <w:style w:type="paragraph" w:styleId="Corpodotexto" w:customStyle="1">
    <w:name w:val="Corpo do texto"/>
    <w:basedOn w:val="Normal"/>
    <w:qFormat/>
    <w:pPr>
      <w:spacing w:lineRule="auto" w:line="288" w:before="0" w:after="140"/>
    </w:pPr>
    <w:rPr/>
  </w:style>
  <w:style w:type="paragraph" w:styleId="Ttulododocumento">
    <w:name w:val="Title"/>
    <w:basedOn w:val="Normal"/>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paragraph" w:styleId="Cabealho">
    <w:name w:val="Header"/>
    <w:basedOn w:val="Normal"/>
    <w:pPr>
      <w:suppressLineNumbers/>
      <w:tabs>
        <w:tab w:val="center" w:pos="4819" w:leader="none"/>
        <w:tab w:val="right" w:pos="9638" w:leader="none"/>
      </w:tabs>
    </w:pPr>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Normal1" w:customStyle="1">
    <w:name w:val="[Normal]"/>
    <w:qFormat/>
    <w:pPr>
      <w:widowControl w:val="false"/>
      <w:suppressAutoHyphens w:val="true"/>
      <w:bidi w:val="0"/>
      <w:jc w:val="left"/>
    </w:pPr>
    <w:rPr>
      <w:rFonts w:ascii="Arial" w:hAnsi="Arial" w:eastAsia="Calibri" w:cs="Arial" w:eastAsiaTheme="minorHAnsi"/>
      <w:color w:val="00000A"/>
      <w:kern w:val="0"/>
      <w:sz w:val="24"/>
      <w:szCs w:val="24"/>
      <w:lang w:val="pt-BR" w:eastAsia="en-US" w:bidi="ar-SA"/>
    </w:rPr>
  </w:style>
  <w:style w:type="paragraph" w:styleId="Rodap">
    <w:name w:val="Footer"/>
    <w:basedOn w:val="Normal"/>
    <w:link w:val="RodapChar"/>
    <w:uiPriority w:val="99"/>
    <w:unhideWhenUsed/>
    <w:rsid w:val="004f7c69"/>
    <w:pPr>
      <w:tabs>
        <w:tab w:val="center" w:pos="4252" w:leader="none"/>
        <w:tab w:val="right" w:pos="8504" w:leader="none"/>
      </w:tabs>
    </w:pPr>
    <w:rPr>
      <w:szCs w:val="21"/>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header1.xml" Type="http://schemas.openxmlformats.org/officeDocument/2006/relationships/header" Id="rId2"/>
    <Relationship Target="fontTable.xml" Type="http://schemas.openxmlformats.org/officeDocument/2006/relationships/fontTable" Id="rId3"/>
    <Relationship Target="settings.xml" Type="http://schemas.openxmlformats.org/officeDocument/2006/relationships/settings" Id="rId4"/>
    <Relationship Target="theme/theme1.xml" Type="http://schemas.openxmlformats.org/officeDocument/2006/relationships/theme" Id="rId5"/>
</Relationships>

</file>

<file path=word/_rels/header1.xml.rels><?xml version="1.0" encoding="UTF-8" standalone="yes"?>
<Relationships xmlns="http://schemas.openxmlformats.org/package/2006/relationships">
    <Relationship Target="media/image1.emf" Type="http://schemas.openxmlformats.org/officeDocument/2006/relationships/image" Id="rId1"/>
    <Relationship Target="media/image2.emf" Type="http://schemas.openxmlformats.org/officeDocument/2006/relationships/image" Id="rId2"/>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7109</TotalTime>
  <Application>LibreOffice/6.0.2.1$Windows_X86_64 LibreOffice_project/f7f06a8f319e4b62f9bc5095aa112a65d2f3ac89</Application>
  <Pages>1</Pages>
  <Words>112</Words>
  <Characters>1426</Characters>
  <CharactersWithSpaces>1542</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2018-01-23T13:52:00Z</dcterms:created>
  <dc:creator/>
  <dc:description/>
  <dc:language>pt-BR</dc:language>
  <cp:lastModifiedBy/>
  <dcterms:modified xsi:type="dcterms:W3CDTF">2019-01-17T09:25:09Z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