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2B9A8565" w:rsidR="001049A1" w:rsidRPr="00B86446" w:rsidRDefault="006A30F1" w:rsidP="00B86446">
      <w:pPr>
        <w:pBdr>
          <w:top w:val="nil"/>
          <w:left w:val="nil"/>
          <w:bottom w:val="nil"/>
          <w:right w:val="nil"/>
          <w:between w:val="nil"/>
        </w:pBdr>
        <w:spacing w:after="0" w:line="240" w:lineRule="auto"/>
        <w:jc w:val="center"/>
        <w:rPr>
          <w:rFonts w:asciiTheme="majorHAnsi" w:eastAsia="Arial" w:hAnsiTheme="majorHAnsi" w:cstheme="majorHAnsi"/>
          <w:b/>
          <w:sz w:val="24"/>
          <w:szCs w:val="24"/>
        </w:rPr>
      </w:pPr>
      <w:r w:rsidRPr="00B86446">
        <w:rPr>
          <w:rFonts w:asciiTheme="majorHAnsi" w:eastAsia="Arial" w:hAnsiTheme="majorHAnsi" w:cstheme="majorHAnsi"/>
          <w:b/>
          <w:sz w:val="24"/>
          <w:szCs w:val="24"/>
        </w:rPr>
        <w:t xml:space="preserve">DECRETO N.º </w:t>
      </w:r>
      <w:r w:rsidR="00B86446">
        <w:rPr>
          <w:rFonts w:asciiTheme="majorHAnsi" w:eastAsia="Arial" w:hAnsiTheme="majorHAnsi" w:cstheme="majorHAnsi"/>
          <w:b/>
          <w:sz w:val="24"/>
          <w:szCs w:val="24"/>
        </w:rPr>
        <w:t xml:space="preserve">2162 de 15 de Dezembro de </w:t>
      </w:r>
      <w:bookmarkStart w:id="0" w:name="_GoBack"/>
      <w:bookmarkEnd w:id="0"/>
      <w:r w:rsidR="00B527E2" w:rsidRPr="00B86446">
        <w:rPr>
          <w:rFonts w:asciiTheme="majorHAnsi" w:eastAsia="Arial" w:hAnsiTheme="majorHAnsi" w:cstheme="majorHAnsi"/>
          <w:b/>
          <w:sz w:val="24"/>
          <w:szCs w:val="24"/>
        </w:rPr>
        <w:t>2023.</w:t>
      </w:r>
    </w:p>
    <w:p w14:paraId="00000002" w14:textId="77777777" w:rsidR="001049A1" w:rsidRPr="00B86446" w:rsidRDefault="001049A1"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p>
    <w:p w14:paraId="00000003" w14:textId="77777777" w:rsidR="001049A1" w:rsidRPr="00B86446" w:rsidRDefault="00B527E2" w:rsidP="00B86446">
      <w:pPr>
        <w:pBdr>
          <w:top w:val="nil"/>
          <w:left w:val="nil"/>
          <w:bottom w:val="nil"/>
          <w:right w:val="nil"/>
          <w:between w:val="nil"/>
        </w:pBdr>
        <w:spacing w:after="0" w:line="240" w:lineRule="auto"/>
        <w:ind w:left="4253"/>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Regulamenta, no âmbito da Administração Pública do Município de Diamante d' Oeste, Estado do Paraná, as contratações diretas a que se refere a Lei nº 14.133, de 01 de abril de 2021, que “Estabelece normas gerais de licitação e contratação para as Administrações Públicas diretas, autárquicas e fundacionais da União, dos Estados, do Distrito Federal e dos Municípios”.</w:t>
      </w:r>
    </w:p>
    <w:p w14:paraId="00000004" w14:textId="77777777" w:rsidR="001049A1" w:rsidRPr="00B86446" w:rsidRDefault="001049A1"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p>
    <w:p w14:paraId="00000005"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O PREFEITO DO MUNICÍPIO DE DIAMANTE D' OESTE, no uso das atribuições que lhe confere o art. 76, V, da Lei Orgânica do Município e tendo em vista o disposto na Lei Federal nº 14.133, de 1º de abril de 2021,</w:t>
      </w:r>
    </w:p>
    <w:p w14:paraId="74311DEC" w14:textId="77777777" w:rsidR="006F0188" w:rsidRPr="00B86446" w:rsidRDefault="006F0188" w:rsidP="00B86446">
      <w:pPr>
        <w:pBdr>
          <w:top w:val="nil"/>
          <w:left w:val="nil"/>
          <w:bottom w:val="nil"/>
          <w:right w:val="nil"/>
          <w:between w:val="nil"/>
        </w:pBdr>
        <w:spacing w:after="0" w:line="240" w:lineRule="auto"/>
        <w:jc w:val="center"/>
        <w:rPr>
          <w:rFonts w:asciiTheme="majorHAnsi" w:eastAsia="Arial" w:hAnsiTheme="majorHAnsi" w:cstheme="majorHAnsi"/>
          <w:sz w:val="24"/>
          <w:szCs w:val="24"/>
        </w:rPr>
      </w:pPr>
    </w:p>
    <w:p w14:paraId="00000007" w14:textId="27103190" w:rsidR="001049A1" w:rsidRPr="00B86446" w:rsidRDefault="00B527E2" w:rsidP="00B86446">
      <w:pPr>
        <w:pBdr>
          <w:top w:val="nil"/>
          <w:left w:val="nil"/>
          <w:bottom w:val="nil"/>
          <w:right w:val="nil"/>
          <w:between w:val="nil"/>
        </w:pBdr>
        <w:spacing w:after="0" w:line="240" w:lineRule="auto"/>
        <w:rPr>
          <w:rFonts w:asciiTheme="majorHAnsi" w:eastAsia="Arial" w:hAnsiTheme="majorHAnsi" w:cstheme="majorHAnsi"/>
          <w:b/>
          <w:sz w:val="24"/>
          <w:szCs w:val="24"/>
        </w:rPr>
      </w:pPr>
      <w:r w:rsidRPr="00B86446">
        <w:rPr>
          <w:rFonts w:asciiTheme="majorHAnsi" w:eastAsia="Arial" w:hAnsiTheme="majorHAnsi" w:cstheme="majorHAnsi"/>
          <w:b/>
          <w:sz w:val="24"/>
          <w:szCs w:val="24"/>
        </w:rPr>
        <w:t>DECRETA:</w:t>
      </w:r>
    </w:p>
    <w:p w14:paraId="334A2B7E" w14:textId="77777777" w:rsidR="00113D8B" w:rsidRPr="00B86446" w:rsidRDefault="00113D8B" w:rsidP="00B86446">
      <w:pPr>
        <w:pBdr>
          <w:top w:val="nil"/>
          <w:left w:val="nil"/>
          <w:bottom w:val="nil"/>
          <w:right w:val="nil"/>
          <w:between w:val="nil"/>
        </w:pBdr>
        <w:spacing w:after="0" w:line="240" w:lineRule="auto"/>
        <w:rPr>
          <w:rFonts w:asciiTheme="majorHAnsi" w:eastAsia="Arial" w:hAnsiTheme="majorHAnsi" w:cstheme="majorHAnsi"/>
          <w:b/>
          <w:sz w:val="24"/>
          <w:szCs w:val="24"/>
        </w:rPr>
      </w:pPr>
    </w:p>
    <w:p w14:paraId="00000008" w14:textId="3F7353DF" w:rsidR="001049A1" w:rsidRPr="00B86446" w:rsidRDefault="00B527E2" w:rsidP="00B86446">
      <w:pPr>
        <w:pStyle w:val="Ttulo6"/>
        <w:spacing w:before="0" w:line="240" w:lineRule="auto"/>
        <w:jc w:val="center"/>
        <w:rPr>
          <w:rFonts w:asciiTheme="majorHAnsi" w:eastAsia="Arial" w:hAnsiTheme="majorHAnsi" w:cstheme="majorHAnsi"/>
          <w:b/>
          <w:color w:val="auto"/>
          <w:sz w:val="24"/>
          <w:szCs w:val="24"/>
        </w:rPr>
      </w:pPr>
      <w:bookmarkStart w:id="1" w:name="_heading=h.gjdgxs" w:colFirst="0" w:colLast="0"/>
      <w:bookmarkEnd w:id="1"/>
      <w:r w:rsidRPr="00B86446">
        <w:rPr>
          <w:rFonts w:asciiTheme="majorHAnsi" w:eastAsia="Arial" w:hAnsiTheme="majorHAnsi" w:cstheme="majorHAnsi"/>
          <w:b/>
          <w:color w:val="auto"/>
          <w:sz w:val="24"/>
          <w:szCs w:val="24"/>
        </w:rPr>
        <w:t>Do Processo de Contratação Direta</w:t>
      </w:r>
    </w:p>
    <w:p w14:paraId="46655659" w14:textId="77777777" w:rsidR="00113D8B" w:rsidRPr="00B86446" w:rsidRDefault="00113D8B" w:rsidP="00B86446">
      <w:pPr>
        <w:spacing w:after="0" w:line="240" w:lineRule="auto"/>
        <w:rPr>
          <w:rFonts w:asciiTheme="majorHAnsi" w:hAnsiTheme="majorHAnsi" w:cstheme="majorHAnsi"/>
          <w:sz w:val="24"/>
          <w:szCs w:val="24"/>
        </w:rPr>
      </w:pPr>
    </w:p>
    <w:p w14:paraId="00000009" w14:textId="4E0D92E6"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b/>
          <w:sz w:val="24"/>
          <w:szCs w:val="24"/>
        </w:rPr>
        <w:t xml:space="preserve">Art. 1º. </w:t>
      </w:r>
      <w:r w:rsidRPr="00B86446">
        <w:rPr>
          <w:rFonts w:asciiTheme="majorHAnsi" w:eastAsia="Arial" w:hAnsiTheme="majorHAnsi" w:cstheme="majorHAnsi"/>
          <w:sz w:val="24"/>
          <w:szCs w:val="24"/>
        </w:rPr>
        <w:t>O processo de contratação direta, que compreende os casos de inexigibilidade e de dispensa de licitação, além dos documentos previstos no art.</w:t>
      </w:r>
      <w:r w:rsidR="006A30F1" w:rsidRPr="00B86446">
        <w:rPr>
          <w:rFonts w:asciiTheme="majorHAnsi" w:eastAsia="Arial" w:hAnsiTheme="majorHAnsi" w:cstheme="majorHAnsi"/>
          <w:sz w:val="24"/>
          <w:szCs w:val="24"/>
        </w:rPr>
        <w:t xml:space="preserve"> </w:t>
      </w:r>
      <w:r w:rsidRPr="00B86446">
        <w:rPr>
          <w:rFonts w:asciiTheme="majorHAnsi" w:eastAsia="Arial" w:hAnsiTheme="majorHAnsi" w:cstheme="majorHAnsi"/>
          <w:sz w:val="24"/>
          <w:szCs w:val="24"/>
        </w:rPr>
        <w:t xml:space="preserve">72 da Lei Federal </w:t>
      </w:r>
      <w:proofErr w:type="gramStart"/>
      <w:r w:rsidRPr="00B86446">
        <w:rPr>
          <w:rFonts w:asciiTheme="majorHAnsi" w:eastAsia="Arial" w:hAnsiTheme="majorHAnsi" w:cstheme="majorHAnsi"/>
          <w:sz w:val="24"/>
          <w:szCs w:val="24"/>
        </w:rPr>
        <w:t>n.º</w:t>
      </w:r>
      <w:proofErr w:type="gramEnd"/>
      <w:r w:rsidRPr="00B86446">
        <w:rPr>
          <w:rFonts w:asciiTheme="majorHAnsi" w:eastAsia="Arial" w:hAnsiTheme="majorHAnsi" w:cstheme="majorHAnsi"/>
          <w:sz w:val="24"/>
          <w:szCs w:val="24"/>
        </w:rPr>
        <w:t xml:space="preserve"> 14.133, de 2021, deverá ser instruído com os seguintes elementos:</w:t>
      </w:r>
    </w:p>
    <w:p w14:paraId="0000000A"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I - </w:t>
      </w:r>
      <w:proofErr w:type="gramStart"/>
      <w:r w:rsidRPr="00B86446">
        <w:rPr>
          <w:rFonts w:asciiTheme="majorHAnsi" w:eastAsia="Arial" w:hAnsiTheme="majorHAnsi" w:cstheme="majorHAnsi"/>
          <w:sz w:val="24"/>
          <w:szCs w:val="24"/>
        </w:rPr>
        <w:t>indicação</w:t>
      </w:r>
      <w:proofErr w:type="gramEnd"/>
      <w:r w:rsidRPr="00B86446">
        <w:rPr>
          <w:rFonts w:asciiTheme="majorHAnsi" w:eastAsia="Arial" w:hAnsiTheme="majorHAnsi" w:cstheme="majorHAnsi"/>
          <w:sz w:val="24"/>
          <w:szCs w:val="24"/>
        </w:rPr>
        <w:t xml:space="preserve"> do dispositivo legal aplicável;</w:t>
      </w:r>
    </w:p>
    <w:p w14:paraId="0000000B"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II - </w:t>
      </w:r>
      <w:bookmarkStart w:id="2" w:name="bookmark=id.30j0zll" w:colFirst="0" w:colLast="0"/>
      <w:bookmarkEnd w:id="2"/>
      <w:proofErr w:type="gramStart"/>
      <w:r w:rsidRPr="00B86446">
        <w:rPr>
          <w:rFonts w:asciiTheme="majorHAnsi" w:eastAsia="Arial" w:hAnsiTheme="majorHAnsi" w:cstheme="majorHAnsi"/>
          <w:sz w:val="24"/>
          <w:szCs w:val="24"/>
        </w:rPr>
        <w:t>autorização</w:t>
      </w:r>
      <w:proofErr w:type="gramEnd"/>
      <w:r w:rsidRPr="00B86446">
        <w:rPr>
          <w:rFonts w:asciiTheme="majorHAnsi" w:eastAsia="Arial" w:hAnsiTheme="majorHAnsi" w:cstheme="majorHAnsi"/>
          <w:sz w:val="24"/>
          <w:szCs w:val="24"/>
        </w:rPr>
        <w:t xml:space="preserve"> do ordenador de despesa;</w:t>
      </w:r>
    </w:p>
    <w:p w14:paraId="0000000C"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III - </w:t>
      </w:r>
      <w:bookmarkStart w:id="3" w:name="bookmark=id.1fob9te" w:colFirst="0" w:colLast="0"/>
      <w:bookmarkEnd w:id="3"/>
      <w:r w:rsidRPr="00B86446">
        <w:rPr>
          <w:rFonts w:asciiTheme="majorHAnsi" w:eastAsia="Arial" w:hAnsiTheme="majorHAnsi" w:cstheme="majorHAnsi"/>
          <w:sz w:val="24"/>
          <w:szCs w:val="24"/>
        </w:rPr>
        <w:t>consulta prévia da relação das impedidas de licitar ou contratar com a Administração Pública do Município;</w:t>
      </w:r>
    </w:p>
    <w:p w14:paraId="0000000D" w14:textId="2EE07F20"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IV - </w:t>
      </w:r>
      <w:proofErr w:type="gramStart"/>
      <w:r w:rsidRPr="00B86446">
        <w:rPr>
          <w:rFonts w:asciiTheme="majorHAnsi" w:eastAsia="Arial" w:hAnsiTheme="majorHAnsi" w:cstheme="majorHAnsi"/>
          <w:sz w:val="24"/>
          <w:szCs w:val="24"/>
        </w:rPr>
        <w:t>no</w:t>
      </w:r>
      <w:proofErr w:type="gramEnd"/>
      <w:r w:rsidRPr="00B86446">
        <w:rPr>
          <w:rFonts w:asciiTheme="majorHAnsi" w:eastAsia="Arial" w:hAnsiTheme="majorHAnsi" w:cstheme="majorHAnsi"/>
          <w:sz w:val="24"/>
          <w:szCs w:val="24"/>
        </w:rPr>
        <w:t xml:space="preserve"> que couber, declarações exigidas na Lei Federal nº 14.133, de 2021, neste Regulamento ou em regulamentos específicos editados pela Administração Pública do Município;</w:t>
      </w:r>
    </w:p>
    <w:p w14:paraId="0000000E"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V - </w:t>
      </w:r>
      <w:proofErr w:type="gramStart"/>
      <w:r w:rsidRPr="00B86446">
        <w:rPr>
          <w:rFonts w:asciiTheme="majorHAnsi" w:eastAsia="Arial" w:hAnsiTheme="majorHAnsi" w:cstheme="majorHAnsi"/>
          <w:sz w:val="24"/>
          <w:szCs w:val="24"/>
        </w:rPr>
        <w:t>lista</w:t>
      </w:r>
      <w:proofErr w:type="gramEnd"/>
      <w:r w:rsidRPr="00B86446">
        <w:rPr>
          <w:rFonts w:asciiTheme="majorHAnsi" w:eastAsia="Arial" w:hAnsiTheme="majorHAnsi" w:cstheme="majorHAnsi"/>
          <w:sz w:val="24"/>
          <w:szCs w:val="24"/>
        </w:rPr>
        <w:t xml:space="preserve"> de verificação, quando houver sido aprovada pelo Município, devidamente atestada e assinada pelos responsáveis pela condução do procedimento.</w:t>
      </w:r>
    </w:p>
    <w:p w14:paraId="0000000F"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b/>
          <w:sz w:val="24"/>
          <w:szCs w:val="24"/>
        </w:rPr>
        <w:t xml:space="preserve">Art. 2º. </w:t>
      </w:r>
      <w:r w:rsidRPr="00B86446">
        <w:rPr>
          <w:rFonts w:asciiTheme="majorHAnsi" w:eastAsia="Arial" w:hAnsiTheme="majorHAnsi" w:cstheme="majorHAnsi"/>
          <w:sz w:val="24"/>
          <w:szCs w:val="24"/>
        </w:rPr>
        <w:t>São competentes para autorizar a inexigibilidade e a dispensa de licitação as autoridades máximas dos órgãos e entidades públicas, admitida a delegação.</w:t>
      </w:r>
    </w:p>
    <w:p w14:paraId="00000010" w14:textId="77777777" w:rsidR="001049A1" w:rsidRPr="00B86446" w:rsidRDefault="00B527E2" w:rsidP="00B86446">
      <w:pPr>
        <w:pBdr>
          <w:top w:val="nil"/>
          <w:left w:val="nil"/>
          <w:bottom w:val="nil"/>
          <w:right w:val="nil"/>
          <w:between w:val="nil"/>
        </w:pBdr>
        <w:tabs>
          <w:tab w:val="left" w:pos="426"/>
        </w:tabs>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1º. Autoridade máxima na Administração Direta, o Secretário de Municipal e outras autoridades com as mesmas prerrogativas; e nas entidades autárquicas e fundacionais, o Diretor-Geral ou equivalente;</w:t>
      </w:r>
    </w:p>
    <w:p w14:paraId="00000011"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2º. Aplica-se o disposto no art. 71 da Lei Federal nº 14.133, de 2021, no que couber, aos processos de contratação direta.</w:t>
      </w:r>
    </w:p>
    <w:p w14:paraId="00000012"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b/>
          <w:sz w:val="24"/>
          <w:szCs w:val="24"/>
        </w:rPr>
        <w:t xml:space="preserve">Art. 3º. </w:t>
      </w:r>
      <w:r w:rsidRPr="00B86446">
        <w:rPr>
          <w:rFonts w:asciiTheme="majorHAnsi" w:eastAsia="Arial" w:hAnsiTheme="majorHAnsi" w:cstheme="majorHAnsi"/>
          <w:sz w:val="24"/>
          <w:szCs w:val="24"/>
        </w:rPr>
        <w:t>Na contratação direta por inexigibilidade ou por dispensa de licitação, quando não for possível estimar o valor do objeto na forma estabelecida no art. 23 da Lei Federal nº 14.133, de 2021, o contratado deverá comprovar previamente que os preços estão em conformidade com os praticados em contratações semelhantes de objetos de mesma natureza, por meio da apresentação de notas fiscais emitidas para outros contratantes no período de até 1 (um) ano anterior à data da contratação pela Administração, ou por outro meio idôneo.</w:t>
      </w:r>
    </w:p>
    <w:p w14:paraId="00000013"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b/>
          <w:sz w:val="24"/>
          <w:szCs w:val="24"/>
        </w:rPr>
        <w:t xml:space="preserve">Art. 4º. </w:t>
      </w:r>
      <w:r w:rsidRPr="00B86446">
        <w:rPr>
          <w:rFonts w:asciiTheme="majorHAnsi" w:eastAsia="Arial" w:hAnsiTheme="majorHAnsi" w:cstheme="majorHAnsi"/>
          <w:sz w:val="24"/>
          <w:szCs w:val="24"/>
        </w:rPr>
        <w:t>Nas hipóteses de inexigibilidade e de dispensa de licitação para a aquisição de bens ou para a contratação de serviços por mais de um órgão ou entidade, poderá ser utilizado o sistema de registro de preços, na forma do Regulamento próprio.</w:t>
      </w:r>
    </w:p>
    <w:p w14:paraId="00000014"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b/>
          <w:sz w:val="24"/>
          <w:szCs w:val="24"/>
        </w:rPr>
        <w:lastRenderedPageBreak/>
        <w:t xml:space="preserve">Art. 5º. </w:t>
      </w:r>
      <w:r w:rsidRPr="00B86446">
        <w:rPr>
          <w:rFonts w:asciiTheme="majorHAnsi" w:eastAsia="Arial" w:hAnsiTheme="majorHAnsi" w:cstheme="majorHAnsi"/>
          <w:sz w:val="24"/>
          <w:szCs w:val="24"/>
        </w:rPr>
        <w:t xml:space="preserve">Fica dispensada a análise jurídica dos processos de contratação direta nas hipóteses previamente definidas por ato do Procurador-Geral do Município, nos termos do § 5º, do art. 53 da Lei Federal </w:t>
      </w:r>
      <w:proofErr w:type="gramStart"/>
      <w:r w:rsidRPr="00B86446">
        <w:rPr>
          <w:rFonts w:asciiTheme="majorHAnsi" w:eastAsia="Arial" w:hAnsiTheme="majorHAnsi" w:cstheme="majorHAnsi"/>
          <w:sz w:val="24"/>
          <w:szCs w:val="24"/>
        </w:rPr>
        <w:t>n.º</w:t>
      </w:r>
      <w:proofErr w:type="gramEnd"/>
      <w:r w:rsidRPr="00B86446">
        <w:rPr>
          <w:rFonts w:asciiTheme="majorHAnsi" w:eastAsia="Arial" w:hAnsiTheme="majorHAnsi" w:cstheme="majorHAnsi"/>
          <w:sz w:val="24"/>
          <w:szCs w:val="24"/>
        </w:rPr>
        <w:t xml:space="preserve"> 14.133, de 2021.</w:t>
      </w:r>
    </w:p>
    <w:p w14:paraId="00000015"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b/>
          <w:sz w:val="24"/>
          <w:szCs w:val="24"/>
        </w:rPr>
        <w:t xml:space="preserve">Art. 6º. </w:t>
      </w:r>
      <w:r w:rsidRPr="00B86446">
        <w:rPr>
          <w:rFonts w:asciiTheme="majorHAnsi" w:eastAsia="Arial" w:hAnsiTheme="majorHAnsi" w:cstheme="majorHAnsi"/>
          <w:sz w:val="24"/>
          <w:szCs w:val="24"/>
        </w:rPr>
        <w:t>No caso de contratação direta, a divulgação no Portal Nacional de Contratações Públicas (PNCP) e no Diário Oficial, deverá ocorrer no prazo de 10 (dez) dias úteis, contados da data de assinatura do contrato ou de seus aditamentos, como condição indispensável para a eficácia do ato.</w:t>
      </w:r>
    </w:p>
    <w:p w14:paraId="00000016"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b/>
          <w:sz w:val="24"/>
          <w:szCs w:val="24"/>
        </w:rPr>
        <w:t xml:space="preserve">§ 1º. </w:t>
      </w:r>
      <w:r w:rsidRPr="00B86446">
        <w:rPr>
          <w:rFonts w:asciiTheme="majorHAnsi" w:eastAsia="Arial" w:hAnsiTheme="majorHAnsi" w:cstheme="majorHAnsi"/>
          <w:sz w:val="24"/>
          <w:szCs w:val="24"/>
        </w:rPr>
        <w:t xml:space="preserve">Os contratos e eventuais aditivos celebrados em caso de urgência terão eficácia a partir de sua assinatura e deverão ser publicados no prazo previsto no </w:t>
      </w:r>
      <w:r w:rsidRPr="00B86446">
        <w:rPr>
          <w:rFonts w:asciiTheme="majorHAnsi" w:eastAsia="Arial" w:hAnsiTheme="majorHAnsi" w:cstheme="majorHAnsi"/>
          <w:i/>
          <w:sz w:val="24"/>
          <w:szCs w:val="24"/>
        </w:rPr>
        <w:t>caput</w:t>
      </w:r>
      <w:r w:rsidRPr="00B86446">
        <w:rPr>
          <w:rFonts w:asciiTheme="majorHAnsi" w:eastAsia="Arial" w:hAnsiTheme="majorHAnsi" w:cstheme="majorHAnsi"/>
          <w:sz w:val="24"/>
          <w:szCs w:val="24"/>
        </w:rPr>
        <w:t xml:space="preserve"> deste artigo, sob pena de nulidade.</w:t>
      </w:r>
    </w:p>
    <w:p w14:paraId="00000017" w14:textId="38AE60FC"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b/>
          <w:sz w:val="24"/>
          <w:szCs w:val="24"/>
        </w:rPr>
        <w:t xml:space="preserve">§ 2º. </w:t>
      </w:r>
      <w:r w:rsidRPr="00B86446">
        <w:rPr>
          <w:rFonts w:asciiTheme="majorHAnsi" w:eastAsia="Arial" w:hAnsiTheme="majorHAnsi" w:cstheme="majorHAnsi"/>
          <w:sz w:val="24"/>
          <w:szCs w:val="24"/>
        </w:rPr>
        <w:t xml:space="preserve">A divulgação de que trata o </w:t>
      </w:r>
      <w:r w:rsidRPr="00B86446">
        <w:rPr>
          <w:rFonts w:asciiTheme="majorHAnsi" w:eastAsia="Arial" w:hAnsiTheme="majorHAnsi" w:cstheme="majorHAnsi"/>
          <w:i/>
          <w:sz w:val="24"/>
          <w:szCs w:val="24"/>
        </w:rPr>
        <w:t>caput</w:t>
      </w:r>
      <w:r w:rsidRPr="00B86446">
        <w:rPr>
          <w:rFonts w:asciiTheme="majorHAnsi" w:eastAsia="Arial" w:hAnsiTheme="majorHAnsi" w:cstheme="majorHAnsi"/>
          <w:sz w:val="24"/>
          <w:szCs w:val="24"/>
        </w:rPr>
        <w:t xml:space="preserve"> deste artigo, quando referente à contratação de profissional do setor artístico por inexigibilidade, deverá identificar os custos do cachê do artista, dos músicos ou da banda, quando houver, do transporte, da hospedagem, da infraestrutura, da logística do evento e das demais despesas específicas.</w:t>
      </w:r>
    </w:p>
    <w:p w14:paraId="14CB766C" w14:textId="77777777" w:rsidR="00113D8B" w:rsidRPr="00B86446" w:rsidRDefault="00113D8B"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p>
    <w:p w14:paraId="00000018" w14:textId="5C8ABCAA" w:rsidR="001049A1" w:rsidRPr="00B86446" w:rsidRDefault="00B527E2" w:rsidP="00B86446">
      <w:pPr>
        <w:pStyle w:val="Ttulo6"/>
        <w:spacing w:before="0" w:line="240" w:lineRule="auto"/>
        <w:jc w:val="center"/>
        <w:rPr>
          <w:rFonts w:asciiTheme="majorHAnsi" w:eastAsia="Arial" w:hAnsiTheme="majorHAnsi" w:cstheme="majorHAnsi"/>
          <w:b/>
          <w:color w:val="auto"/>
          <w:sz w:val="24"/>
          <w:szCs w:val="24"/>
        </w:rPr>
      </w:pPr>
      <w:bookmarkStart w:id="4" w:name="_heading=h.3znysh7" w:colFirst="0" w:colLast="0"/>
      <w:bookmarkEnd w:id="4"/>
      <w:r w:rsidRPr="00B86446">
        <w:rPr>
          <w:rFonts w:asciiTheme="majorHAnsi" w:eastAsia="Arial" w:hAnsiTheme="majorHAnsi" w:cstheme="majorHAnsi"/>
          <w:b/>
          <w:color w:val="auto"/>
          <w:sz w:val="24"/>
          <w:szCs w:val="24"/>
        </w:rPr>
        <w:t>Da Inexigibilidade de Licitação</w:t>
      </w:r>
    </w:p>
    <w:p w14:paraId="51749EC6" w14:textId="77777777" w:rsidR="00113D8B" w:rsidRPr="00B86446" w:rsidRDefault="00113D8B" w:rsidP="00B86446">
      <w:pPr>
        <w:spacing w:after="0" w:line="240" w:lineRule="auto"/>
        <w:rPr>
          <w:rFonts w:asciiTheme="majorHAnsi" w:hAnsiTheme="majorHAnsi" w:cstheme="majorHAnsi"/>
          <w:sz w:val="24"/>
          <w:szCs w:val="24"/>
        </w:rPr>
      </w:pPr>
    </w:p>
    <w:p w14:paraId="00000019"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b/>
          <w:sz w:val="24"/>
          <w:szCs w:val="24"/>
        </w:rPr>
        <w:t xml:space="preserve">Art. 7º. </w:t>
      </w:r>
      <w:r w:rsidRPr="00B86446">
        <w:rPr>
          <w:rFonts w:asciiTheme="majorHAnsi" w:eastAsia="Arial" w:hAnsiTheme="majorHAnsi" w:cstheme="majorHAnsi"/>
          <w:sz w:val="24"/>
          <w:szCs w:val="24"/>
        </w:rPr>
        <w:t xml:space="preserve">As hipóteses previstas no artigo 74 da Lei Federal </w:t>
      </w:r>
      <w:proofErr w:type="gramStart"/>
      <w:r w:rsidRPr="00B86446">
        <w:rPr>
          <w:rFonts w:asciiTheme="majorHAnsi" w:eastAsia="Arial" w:hAnsiTheme="majorHAnsi" w:cstheme="majorHAnsi"/>
          <w:sz w:val="24"/>
          <w:szCs w:val="24"/>
        </w:rPr>
        <w:t>n.º</w:t>
      </w:r>
      <w:proofErr w:type="gramEnd"/>
      <w:r w:rsidRPr="00B86446">
        <w:rPr>
          <w:rFonts w:asciiTheme="majorHAnsi" w:eastAsia="Arial" w:hAnsiTheme="majorHAnsi" w:cstheme="majorHAnsi"/>
          <w:sz w:val="24"/>
          <w:szCs w:val="24"/>
        </w:rPr>
        <w:t xml:space="preserve"> 14.133, de 2021, são exemplificativas, sendo inexigível a licitação em todos os casos em que for inviável a competição.</w:t>
      </w:r>
    </w:p>
    <w:p w14:paraId="0000001A"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b/>
          <w:sz w:val="24"/>
          <w:szCs w:val="24"/>
        </w:rPr>
        <w:t xml:space="preserve">Art. 8º. </w:t>
      </w:r>
      <w:r w:rsidRPr="00B86446">
        <w:rPr>
          <w:rFonts w:asciiTheme="majorHAnsi" w:eastAsia="Arial" w:hAnsiTheme="majorHAnsi" w:cstheme="majorHAnsi"/>
          <w:sz w:val="24"/>
          <w:szCs w:val="24"/>
        </w:rPr>
        <w:t>As hipóteses de inexigibilidade previstas no inciso III do art. 74 da Lei Federal nº 14.133, de 2021, para que fiquem caracterizadas, dependem da comprovação dos requisitos da especialidade e predominância intelectual do serviço, aliados à notória especialização do contratado ou dos profissionais.</w:t>
      </w:r>
    </w:p>
    <w:p w14:paraId="0000001B"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b/>
          <w:sz w:val="24"/>
          <w:szCs w:val="24"/>
        </w:rPr>
        <w:t xml:space="preserve">Art. 9º. </w:t>
      </w:r>
      <w:r w:rsidRPr="00B86446">
        <w:rPr>
          <w:rFonts w:asciiTheme="majorHAnsi" w:eastAsia="Arial" w:hAnsiTheme="majorHAnsi" w:cstheme="majorHAnsi"/>
          <w:sz w:val="24"/>
          <w:szCs w:val="24"/>
        </w:rPr>
        <w:t>Compete ao agente público responsável pelo processo de contratação direta, no caso de inexigibilidade de licitação, a exigência de comprovação documental de exclusividade apresentado pela futura contratada, nos termos do § 1º</w:t>
      </w:r>
      <w:r w:rsidRPr="00B86446">
        <w:rPr>
          <w:rFonts w:asciiTheme="majorHAnsi" w:eastAsia="Arial" w:hAnsiTheme="majorHAnsi" w:cstheme="majorHAnsi"/>
          <w:b/>
          <w:sz w:val="24"/>
          <w:szCs w:val="24"/>
        </w:rPr>
        <w:t xml:space="preserve"> </w:t>
      </w:r>
      <w:r w:rsidRPr="00B86446">
        <w:rPr>
          <w:rFonts w:asciiTheme="majorHAnsi" w:eastAsia="Arial" w:hAnsiTheme="majorHAnsi" w:cstheme="majorHAnsi"/>
          <w:sz w:val="24"/>
          <w:szCs w:val="24"/>
        </w:rPr>
        <w:t xml:space="preserve">do art. 74 da Lei Federal </w:t>
      </w:r>
      <w:proofErr w:type="gramStart"/>
      <w:r w:rsidRPr="00B86446">
        <w:rPr>
          <w:rFonts w:asciiTheme="majorHAnsi" w:eastAsia="Arial" w:hAnsiTheme="majorHAnsi" w:cstheme="majorHAnsi"/>
          <w:sz w:val="24"/>
          <w:szCs w:val="24"/>
        </w:rPr>
        <w:t>n.º</w:t>
      </w:r>
      <w:proofErr w:type="gramEnd"/>
      <w:r w:rsidRPr="00B86446">
        <w:rPr>
          <w:rFonts w:asciiTheme="majorHAnsi" w:eastAsia="Arial" w:hAnsiTheme="majorHAnsi" w:cstheme="majorHAnsi"/>
          <w:sz w:val="24"/>
          <w:szCs w:val="24"/>
        </w:rPr>
        <w:t xml:space="preserve"> 14.133, de 2021.</w:t>
      </w:r>
    </w:p>
    <w:p w14:paraId="0000001C"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b/>
          <w:sz w:val="24"/>
          <w:szCs w:val="24"/>
        </w:rPr>
        <w:t xml:space="preserve">Art. 10. </w:t>
      </w:r>
      <w:r w:rsidRPr="00B86446">
        <w:rPr>
          <w:rFonts w:asciiTheme="majorHAnsi" w:eastAsia="Arial" w:hAnsiTheme="majorHAnsi" w:cstheme="majorHAnsi"/>
          <w:sz w:val="24"/>
          <w:szCs w:val="24"/>
        </w:rPr>
        <w:t>É vedada a inexigibilidade de licitação para serviços de publicidade e divulgação, bem como a preferência por marca específica.</w:t>
      </w:r>
    </w:p>
    <w:p w14:paraId="0000001D"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b/>
          <w:sz w:val="24"/>
          <w:szCs w:val="24"/>
        </w:rPr>
        <w:t>Art. 11.</w:t>
      </w:r>
      <w:r w:rsidRPr="00B86446">
        <w:rPr>
          <w:rFonts w:asciiTheme="majorHAnsi" w:eastAsia="Arial" w:hAnsiTheme="majorHAnsi" w:cstheme="majorHAnsi"/>
          <w:sz w:val="24"/>
          <w:szCs w:val="24"/>
        </w:rPr>
        <w:t xml:space="preserve"> Excepcionalmente, poderão ser adquiridos bens de marcas específicas ou contratados serviços com prestador específico para cumprimento de ordem judicial, quando a decisão indique a marca ou o prestador a ser contratado pela Administração.</w:t>
      </w:r>
    </w:p>
    <w:p w14:paraId="0000001E" w14:textId="01FBE3AE"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Parágrafo único. Sem prejuízo aos outros casos previstos em Lei ou nas demais regulamentações.</w:t>
      </w:r>
    </w:p>
    <w:p w14:paraId="375A4435" w14:textId="77777777" w:rsidR="00113D8B" w:rsidRPr="00B86446" w:rsidRDefault="00113D8B"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p>
    <w:p w14:paraId="00000020" w14:textId="1CF76F5D" w:rsidR="001049A1" w:rsidRPr="00B86446" w:rsidRDefault="00B527E2" w:rsidP="00B86446">
      <w:pPr>
        <w:pStyle w:val="Ttulo6"/>
        <w:spacing w:before="0" w:line="240" w:lineRule="auto"/>
        <w:jc w:val="center"/>
        <w:rPr>
          <w:rFonts w:asciiTheme="majorHAnsi" w:eastAsia="Arial" w:hAnsiTheme="majorHAnsi" w:cstheme="majorHAnsi"/>
          <w:b/>
          <w:color w:val="auto"/>
          <w:sz w:val="24"/>
          <w:szCs w:val="24"/>
        </w:rPr>
      </w:pPr>
      <w:bookmarkStart w:id="5" w:name="_heading=h.2et92p0" w:colFirst="0" w:colLast="0"/>
      <w:bookmarkEnd w:id="5"/>
      <w:r w:rsidRPr="00B86446">
        <w:rPr>
          <w:rFonts w:asciiTheme="majorHAnsi" w:eastAsia="Arial" w:hAnsiTheme="majorHAnsi" w:cstheme="majorHAnsi"/>
          <w:b/>
          <w:color w:val="auto"/>
          <w:sz w:val="24"/>
          <w:szCs w:val="24"/>
        </w:rPr>
        <w:t>Da Dispensa de Licitação</w:t>
      </w:r>
    </w:p>
    <w:p w14:paraId="5B77FF8D" w14:textId="77777777" w:rsidR="00113D8B" w:rsidRPr="00B86446" w:rsidRDefault="00113D8B" w:rsidP="00B86446">
      <w:pPr>
        <w:spacing w:after="0" w:line="240" w:lineRule="auto"/>
        <w:rPr>
          <w:rFonts w:asciiTheme="majorHAnsi" w:hAnsiTheme="majorHAnsi" w:cstheme="majorHAnsi"/>
          <w:sz w:val="24"/>
          <w:szCs w:val="24"/>
        </w:rPr>
      </w:pPr>
    </w:p>
    <w:p w14:paraId="00000021"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b/>
          <w:sz w:val="24"/>
          <w:szCs w:val="24"/>
        </w:rPr>
        <w:t xml:space="preserve">Art. 12. </w:t>
      </w:r>
      <w:r w:rsidRPr="00B86446">
        <w:rPr>
          <w:rFonts w:asciiTheme="majorHAnsi" w:eastAsia="Arial" w:hAnsiTheme="majorHAnsi" w:cstheme="majorHAnsi"/>
          <w:sz w:val="24"/>
          <w:szCs w:val="24"/>
        </w:rPr>
        <w:t>Nas hipóteses de dispensa de licitação em razão do valor, o instrumento do contrato poderá ser substituído por outro instrumento hábil, como carta-contrato, nota de empenho de despesa, autorização de compra ou ordem de execução de serviço.</w:t>
      </w:r>
    </w:p>
    <w:p w14:paraId="00000022"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Parágrafo único. Neste caso, ao instrumento substitutivo ao contrato aplica-se, no que couber, o disposto no art. 92 da Lei Federal </w:t>
      </w:r>
      <w:proofErr w:type="gramStart"/>
      <w:r w:rsidRPr="00B86446">
        <w:rPr>
          <w:rFonts w:asciiTheme="majorHAnsi" w:eastAsia="Arial" w:hAnsiTheme="majorHAnsi" w:cstheme="majorHAnsi"/>
          <w:sz w:val="24"/>
          <w:szCs w:val="24"/>
        </w:rPr>
        <w:t>n.º</w:t>
      </w:r>
      <w:proofErr w:type="gramEnd"/>
      <w:r w:rsidRPr="00B86446">
        <w:rPr>
          <w:rFonts w:asciiTheme="majorHAnsi" w:eastAsia="Arial" w:hAnsiTheme="majorHAnsi" w:cstheme="majorHAnsi"/>
          <w:sz w:val="24"/>
          <w:szCs w:val="24"/>
        </w:rPr>
        <w:t xml:space="preserve"> 14.133, de 2021.</w:t>
      </w:r>
    </w:p>
    <w:p w14:paraId="00000023"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b/>
          <w:sz w:val="24"/>
          <w:szCs w:val="24"/>
        </w:rPr>
        <w:t xml:space="preserve">Art. 13. </w:t>
      </w:r>
      <w:r w:rsidRPr="00B86446">
        <w:rPr>
          <w:rFonts w:asciiTheme="majorHAnsi" w:eastAsia="Arial" w:hAnsiTheme="majorHAnsi" w:cstheme="majorHAnsi"/>
          <w:sz w:val="24"/>
          <w:szCs w:val="24"/>
        </w:rPr>
        <w:t>Nas dispensas de licitação previstas nos incisos I e II do art. 75 da Lei Federal nº 14.133, de 2021, a contratação deverá ser feita preferencialmente com microempresa, empresa de pequeno porte ou microempreendedor individual, sendo aplicável tratamento diferenciado a aquelas locais ou regionais, nos moldes da legislação local.</w:t>
      </w:r>
    </w:p>
    <w:p w14:paraId="00000024"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1º Para fins de aferição dos valores que atendam aos limites referidos nos incisos I e II do artigo 75 da Lei Federal nº 14.133, de 2021, deverão ser observados:</w:t>
      </w:r>
    </w:p>
    <w:p w14:paraId="00000025" w14:textId="77777777" w:rsidR="001049A1" w:rsidRPr="00B86446" w:rsidRDefault="00B527E2" w:rsidP="00B86446">
      <w:pPr>
        <w:pBdr>
          <w:top w:val="nil"/>
          <w:left w:val="nil"/>
          <w:bottom w:val="nil"/>
          <w:right w:val="nil"/>
          <w:between w:val="nil"/>
        </w:pBdr>
        <w:spacing w:after="0" w:line="240" w:lineRule="auto"/>
        <w:rPr>
          <w:rFonts w:asciiTheme="majorHAnsi" w:eastAsia="Arial" w:hAnsiTheme="majorHAnsi" w:cstheme="majorHAnsi"/>
          <w:sz w:val="24"/>
          <w:szCs w:val="24"/>
        </w:rPr>
      </w:pPr>
      <w:r w:rsidRPr="00B86446">
        <w:rPr>
          <w:rFonts w:asciiTheme="majorHAnsi" w:eastAsia="Arial" w:hAnsiTheme="majorHAnsi" w:cstheme="majorHAnsi"/>
          <w:sz w:val="24"/>
          <w:szCs w:val="24"/>
        </w:rPr>
        <w:lastRenderedPageBreak/>
        <w:t xml:space="preserve">I - </w:t>
      </w:r>
      <w:proofErr w:type="gramStart"/>
      <w:r w:rsidRPr="00B86446">
        <w:rPr>
          <w:rFonts w:asciiTheme="majorHAnsi" w:eastAsia="Arial" w:hAnsiTheme="majorHAnsi" w:cstheme="majorHAnsi"/>
          <w:sz w:val="24"/>
          <w:szCs w:val="24"/>
        </w:rPr>
        <w:t>o</w:t>
      </w:r>
      <w:proofErr w:type="gramEnd"/>
      <w:r w:rsidRPr="00B86446">
        <w:rPr>
          <w:rFonts w:asciiTheme="majorHAnsi" w:eastAsia="Arial" w:hAnsiTheme="majorHAnsi" w:cstheme="majorHAnsi"/>
          <w:sz w:val="24"/>
          <w:szCs w:val="24"/>
        </w:rPr>
        <w:t xml:space="preserve"> somatório do que for despendido no exercício financeiro pela respectiva unidade gestora; e</w:t>
      </w:r>
    </w:p>
    <w:p w14:paraId="00000026"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II - </w:t>
      </w:r>
      <w:proofErr w:type="gramStart"/>
      <w:r w:rsidRPr="00B86446">
        <w:rPr>
          <w:rFonts w:asciiTheme="majorHAnsi" w:eastAsia="Arial" w:hAnsiTheme="majorHAnsi" w:cstheme="majorHAnsi"/>
          <w:sz w:val="24"/>
          <w:szCs w:val="24"/>
        </w:rPr>
        <w:t>o</w:t>
      </w:r>
      <w:proofErr w:type="gramEnd"/>
      <w:r w:rsidRPr="00B86446">
        <w:rPr>
          <w:rFonts w:asciiTheme="majorHAnsi" w:eastAsia="Arial" w:hAnsiTheme="majorHAnsi" w:cstheme="majorHAnsi"/>
          <w:sz w:val="24"/>
          <w:szCs w:val="24"/>
        </w:rPr>
        <w:t xml:space="preserve"> somatório da despesa realizada com objetos de mesma natureza, entendidos como tais aqueles relativos a contratações no mesmo ramo de atividade.</w:t>
      </w:r>
    </w:p>
    <w:p w14:paraId="00000027" w14:textId="1FB2442F"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2º Considera-se ramo de atividade a participação econômica do mercado, identificada pelo nível de subclasse da Classificação Nacional de Atividades Econômicas - CNAE ou poderá a administração optar por tabela de materiais e serviços editados por órgão governamentai</w:t>
      </w:r>
      <w:r w:rsidR="00BE69AB" w:rsidRPr="00B86446">
        <w:rPr>
          <w:rFonts w:asciiTheme="majorHAnsi" w:eastAsia="Arial" w:hAnsiTheme="majorHAnsi" w:cstheme="majorHAnsi"/>
          <w:sz w:val="24"/>
          <w:szCs w:val="24"/>
        </w:rPr>
        <w:t>s, inclusive de outros entes fed</w:t>
      </w:r>
      <w:r w:rsidRPr="00B86446">
        <w:rPr>
          <w:rFonts w:asciiTheme="majorHAnsi" w:eastAsia="Arial" w:hAnsiTheme="majorHAnsi" w:cstheme="majorHAnsi"/>
          <w:sz w:val="24"/>
          <w:szCs w:val="24"/>
        </w:rPr>
        <w:t>erativos.</w:t>
      </w:r>
    </w:p>
    <w:p w14:paraId="00000028"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I – </w:t>
      </w:r>
      <w:proofErr w:type="gramStart"/>
      <w:r w:rsidRPr="00B86446">
        <w:rPr>
          <w:rFonts w:asciiTheme="majorHAnsi" w:eastAsia="Arial" w:hAnsiTheme="majorHAnsi" w:cstheme="majorHAnsi"/>
          <w:sz w:val="24"/>
          <w:szCs w:val="24"/>
        </w:rPr>
        <w:t>a</w:t>
      </w:r>
      <w:proofErr w:type="gramEnd"/>
      <w:r w:rsidRPr="00B86446">
        <w:rPr>
          <w:rFonts w:asciiTheme="majorHAnsi" w:eastAsia="Arial" w:hAnsiTheme="majorHAnsi" w:cstheme="majorHAnsi"/>
          <w:sz w:val="24"/>
          <w:szCs w:val="24"/>
        </w:rPr>
        <w:t xml:space="preserve"> indicação de CNAE, como atividade será baseada em tabela oficial, de forma individualizar ou serviço de forma especifica.</w:t>
      </w:r>
    </w:p>
    <w:p w14:paraId="00000029"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II – </w:t>
      </w:r>
      <w:proofErr w:type="gramStart"/>
      <w:r w:rsidRPr="00B86446">
        <w:rPr>
          <w:rFonts w:asciiTheme="majorHAnsi" w:eastAsia="Arial" w:hAnsiTheme="majorHAnsi" w:cstheme="majorHAnsi"/>
          <w:sz w:val="24"/>
          <w:szCs w:val="24"/>
        </w:rPr>
        <w:t>a</w:t>
      </w:r>
      <w:proofErr w:type="gramEnd"/>
      <w:r w:rsidRPr="00B86446">
        <w:rPr>
          <w:rFonts w:asciiTheme="majorHAnsi" w:eastAsia="Arial" w:hAnsiTheme="majorHAnsi" w:cstheme="majorHAnsi"/>
          <w:sz w:val="24"/>
          <w:szCs w:val="24"/>
        </w:rPr>
        <w:t xml:space="preserve"> indicação do CNAE especifico será utilizada para classificação e caracterização do objeto, mas não será requisito restritivo a participação dos licitantes.</w:t>
      </w:r>
    </w:p>
    <w:p w14:paraId="0000002A"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III -  será permitida a participação de quaisquer licitantes que possuam objeto social compatível.</w:t>
      </w:r>
    </w:p>
    <w:p w14:paraId="0000002B"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IV - </w:t>
      </w:r>
      <w:proofErr w:type="gramStart"/>
      <w:r w:rsidRPr="00B86446">
        <w:rPr>
          <w:rFonts w:asciiTheme="majorHAnsi" w:eastAsia="Arial" w:hAnsiTheme="majorHAnsi" w:cstheme="majorHAnsi"/>
          <w:sz w:val="24"/>
          <w:szCs w:val="24"/>
        </w:rPr>
        <w:t>a</w:t>
      </w:r>
      <w:proofErr w:type="gramEnd"/>
      <w:r w:rsidRPr="00B86446">
        <w:rPr>
          <w:rFonts w:asciiTheme="majorHAnsi" w:eastAsia="Arial" w:hAnsiTheme="majorHAnsi" w:cstheme="majorHAnsi"/>
          <w:sz w:val="24"/>
          <w:szCs w:val="24"/>
        </w:rPr>
        <w:t xml:space="preserve"> opção do parágrafo segundo de escolhida para utilização durante todo o exercício fiscal, vedada a utilização mista dos critérios ou manipulação de critérios.</w:t>
      </w:r>
    </w:p>
    <w:p w14:paraId="0000002C" w14:textId="75101D3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3º</w:t>
      </w:r>
      <w:r w:rsidRPr="00B86446">
        <w:rPr>
          <w:rFonts w:asciiTheme="majorHAnsi" w:eastAsia="Arial" w:hAnsiTheme="majorHAnsi" w:cstheme="majorHAnsi"/>
          <w:b/>
          <w:sz w:val="24"/>
          <w:szCs w:val="24"/>
        </w:rPr>
        <w:t xml:space="preserve"> </w:t>
      </w:r>
      <w:r w:rsidRPr="00B86446">
        <w:rPr>
          <w:rFonts w:asciiTheme="majorHAnsi" w:eastAsia="Arial" w:hAnsiTheme="majorHAnsi" w:cstheme="majorHAnsi"/>
          <w:sz w:val="24"/>
          <w:szCs w:val="24"/>
        </w:rPr>
        <w:t xml:space="preserve">Não se aplica o disposto no § 1º do artigo 75 da Lei Federal </w:t>
      </w:r>
      <w:proofErr w:type="gramStart"/>
      <w:r w:rsidRPr="00B86446">
        <w:rPr>
          <w:rFonts w:asciiTheme="majorHAnsi" w:eastAsia="Arial" w:hAnsiTheme="majorHAnsi" w:cstheme="majorHAnsi"/>
          <w:sz w:val="24"/>
          <w:szCs w:val="24"/>
        </w:rPr>
        <w:t>n.º</w:t>
      </w:r>
      <w:proofErr w:type="gramEnd"/>
      <w:r w:rsidRPr="00B86446">
        <w:rPr>
          <w:rFonts w:asciiTheme="majorHAnsi" w:eastAsia="Arial" w:hAnsiTheme="majorHAnsi" w:cstheme="majorHAnsi"/>
          <w:sz w:val="24"/>
          <w:szCs w:val="24"/>
        </w:rPr>
        <w:t xml:space="preserve"> 14.133, de 2021, às contratações de até R$ </w:t>
      </w:r>
      <w:r w:rsidR="006925B6" w:rsidRPr="00B86446">
        <w:rPr>
          <w:rFonts w:asciiTheme="majorHAnsi" w:eastAsia="Arial" w:hAnsiTheme="majorHAnsi" w:cstheme="majorHAnsi"/>
          <w:sz w:val="24"/>
          <w:szCs w:val="24"/>
        </w:rPr>
        <w:t>8</w:t>
      </w:r>
      <w:r w:rsidRPr="00B86446">
        <w:rPr>
          <w:rFonts w:asciiTheme="majorHAnsi" w:eastAsia="Arial" w:hAnsiTheme="majorHAnsi" w:cstheme="majorHAnsi"/>
          <w:sz w:val="24"/>
          <w:szCs w:val="24"/>
        </w:rPr>
        <w:t>.000,00 (</w:t>
      </w:r>
      <w:r w:rsidR="006925B6" w:rsidRPr="00B86446">
        <w:rPr>
          <w:rFonts w:asciiTheme="majorHAnsi" w:eastAsia="Arial" w:hAnsiTheme="majorHAnsi" w:cstheme="majorHAnsi"/>
          <w:sz w:val="24"/>
          <w:szCs w:val="24"/>
        </w:rPr>
        <w:t>oito</w:t>
      </w:r>
      <w:r w:rsidRPr="00B86446">
        <w:rPr>
          <w:rFonts w:asciiTheme="majorHAnsi" w:eastAsia="Arial" w:hAnsiTheme="majorHAnsi" w:cstheme="majorHAnsi"/>
          <w:sz w:val="24"/>
          <w:szCs w:val="24"/>
        </w:rPr>
        <w:t xml:space="preserve"> mil reais) de serviços de manutenção de veículos automotores de propriedade do órgão ou entidade contratante, incluído o fornecimento de peças, salvo quando houver contrato ou ata de registro de preços vigentes.</w:t>
      </w:r>
    </w:p>
    <w:p w14:paraId="0000002D"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4º As contratações de que trata o § 3º deste artigo estão sujeitas ao regime de adiantamento, nos termos do disposto na Lei Municipal.</w:t>
      </w:r>
    </w:p>
    <w:p w14:paraId="0000002E"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 5º Os valores referidos nos incisos I e II do artigo 75 da Lei Federal </w:t>
      </w:r>
      <w:proofErr w:type="gramStart"/>
      <w:r w:rsidRPr="00B86446">
        <w:rPr>
          <w:rFonts w:asciiTheme="majorHAnsi" w:eastAsia="Arial" w:hAnsiTheme="majorHAnsi" w:cstheme="majorHAnsi"/>
          <w:sz w:val="24"/>
          <w:szCs w:val="24"/>
        </w:rPr>
        <w:t>n.º</w:t>
      </w:r>
      <w:proofErr w:type="gramEnd"/>
      <w:r w:rsidRPr="00B86446">
        <w:rPr>
          <w:rFonts w:asciiTheme="majorHAnsi" w:eastAsia="Arial" w:hAnsiTheme="majorHAnsi" w:cstheme="majorHAnsi"/>
          <w:sz w:val="24"/>
          <w:szCs w:val="24"/>
        </w:rPr>
        <w:t xml:space="preserve"> 14.133, de 2021, serão duplicados para compras, obras e serviços contratados por consórcio público ou por autarquia ou fundação qualificadas como agências executivas na forma da lei.</w:t>
      </w:r>
    </w:p>
    <w:p w14:paraId="0000002F"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6º</w:t>
      </w:r>
      <w:r w:rsidRPr="00B86446">
        <w:rPr>
          <w:rFonts w:asciiTheme="majorHAnsi" w:eastAsia="Arial" w:hAnsiTheme="majorHAnsi" w:cstheme="majorHAnsi"/>
          <w:b/>
          <w:sz w:val="24"/>
          <w:szCs w:val="24"/>
        </w:rPr>
        <w:t xml:space="preserve"> </w:t>
      </w:r>
      <w:r w:rsidRPr="00B86446">
        <w:rPr>
          <w:rFonts w:asciiTheme="majorHAnsi" w:eastAsia="Arial" w:hAnsiTheme="majorHAnsi" w:cstheme="majorHAnsi"/>
          <w:sz w:val="24"/>
          <w:szCs w:val="24"/>
        </w:rPr>
        <w:t xml:space="preserve">Quando do enquadramento de bens, serviços ou obras nos termos das hipóteses previstas neste artigo, a autoridade competente pela autorização e a autoridade superior responsável pela adjudicação e pela homologação da contratação devem observar o disposto no art. 73 da Lei Federal </w:t>
      </w:r>
      <w:proofErr w:type="gramStart"/>
      <w:r w:rsidRPr="00B86446">
        <w:rPr>
          <w:rFonts w:asciiTheme="majorHAnsi" w:eastAsia="Arial" w:hAnsiTheme="majorHAnsi" w:cstheme="majorHAnsi"/>
          <w:sz w:val="24"/>
          <w:szCs w:val="24"/>
        </w:rPr>
        <w:t>n.º</w:t>
      </w:r>
      <w:proofErr w:type="gramEnd"/>
      <w:r w:rsidRPr="00B86446">
        <w:rPr>
          <w:rFonts w:asciiTheme="majorHAnsi" w:eastAsia="Arial" w:hAnsiTheme="majorHAnsi" w:cstheme="majorHAnsi"/>
          <w:sz w:val="24"/>
          <w:szCs w:val="24"/>
        </w:rPr>
        <w:t xml:space="preserve"> 14.133, de 2021, e no art. 337-E do Decreto-Lei nº 2.848, de 7 de dezembro de 1940.</w:t>
      </w:r>
    </w:p>
    <w:p w14:paraId="00000030"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b/>
          <w:sz w:val="24"/>
          <w:szCs w:val="24"/>
        </w:rPr>
        <w:t xml:space="preserve">Art. 14. </w:t>
      </w:r>
      <w:r w:rsidRPr="00B86446">
        <w:rPr>
          <w:rFonts w:asciiTheme="majorHAnsi" w:eastAsia="Arial" w:hAnsiTheme="majorHAnsi" w:cstheme="majorHAnsi"/>
          <w:sz w:val="24"/>
          <w:szCs w:val="24"/>
        </w:rPr>
        <w:t>Os órgãos e entidades da Administração Pública direta, autárquica e fundacional do Município de Diamante d' Oeste poderão adotar o sistema de dispensa eletrônica, nas seguintes hipóteses:</w:t>
      </w:r>
    </w:p>
    <w:p w14:paraId="00000031"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I - contratação de obras e serviços de engenharia comuns ou serviços de manutenção de veículos automotores, no limite do disposto no inciso I do </w:t>
      </w:r>
      <w:r w:rsidRPr="00B86446">
        <w:rPr>
          <w:rFonts w:asciiTheme="majorHAnsi" w:eastAsia="Arial" w:hAnsiTheme="majorHAnsi" w:cstheme="majorHAnsi"/>
          <w:i/>
          <w:sz w:val="24"/>
          <w:szCs w:val="24"/>
        </w:rPr>
        <w:t>caput</w:t>
      </w:r>
      <w:r w:rsidRPr="00B86446">
        <w:rPr>
          <w:rFonts w:asciiTheme="majorHAnsi" w:eastAsia="Arial" w:hAnsiTheme="majorHAnsi" w:cstheme="majorHAnsi"/>
          <w:sz w:val="24"/>
          <w:szCs w:val="24"/>
        </w:rPr>
        <w:t xml:space="preserve"> do art. 75 da Lei Federal </w:t>
      </w:r>
      <w:proofErr w:type="gramStart"/>
      <w:r w:rsidRPr="00B86446">
        <w:rPr>
          <w:rFonts w:asciiTheme="majorHAnsi" w:eastAsia="Arial" w:hAnsiTheme="majorHAnsi" w:cstheme="majorHAnsi"/>
          <w:sz w:val="24"/>
          <w:szCs w:val="24"/>
        </w:rPr>
        <w:t>n.º</w:t>
      </w:r>
      <w:proofErr w:type="gramEnd"/>
      <w:r w:rsidRPr="00B86446">
        <w:rPr>
          <w:rFonts w:asciiTheme="majorHAnsi" w:eastAsia="Arial" w:hAnsiTheme="majorHAnsi" w:cstheme="majorHAnsi"/>
          <w:sz w:val="24"/>
          <w:szCs w:val="24"/>
        </w:rPr>
        <w:t xml:space="preserve"> 14.133, de 2021;</w:t>
      </w:r>
    </w:p>
    <w:p w14:paraId="00000032"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II - contratação de bens e serviços, no limite do disposto no inciso II do </w:t>
      </w:r>
      <w:r w:rsidRPr="00B86446">
        <w:rPr>
          <w:rFonts w:asciiTheme="majorHAnsi" w:eastAsia="Arial" w:hAnsiTheme="majorHAnsi" w:cstheme="majorHAnsi"/>
          <w:i/>
          <w:sz w:val="24"/>
          <w:szCs w:val="24"/>
        </w:rPr>
        <w:t>caput</w:t>
      </w:r>
      <w:r w:rsidRPr="00B86446">
        <w:rPr>
          <w:rFonts w:asciiTheme="majorHAnsi" w:eastAsia="Arial" w:hAnsiTheme="majorHAnsi" w:cstheme="majorHAnsi"/>
          <w:sz w:val="24"/>
          <w:szCs w:val="24"/>
        </w:rPr>
        <w:t xml:space="preserve"> do art. 75 da Lei Federal </w:t>
      </w:r>
      <w:proofErr w:type="gramStart"/>
      <w:r w:rsidRPr="00B86446">
        <w:rPr>
          <w:rFonts w:asciiTheme="majorHAnsi" w:eastAsia="Arial" w:hAnsiTheme="majorHAnsi" w:cstheme="majorHAnsi"/>
          <w:sz w:val="24"/>
          <w:szCs w:val="24"/>
        </w:rPr>
        <w:t>n.º</w:t>
      </w:r>
      <w:proofErr w:type="gramEnd"/>
      <w:r w:rsidRPr="00B86446">
        <w:rPr>
          <w:rFonts w:asciiTheme="majorHAnsi" w:eastAsia="Arial" w:hAnsiTheme="majorHAnsi" w:cstheme="majorHAnsi"/>
          <w:sz w:val="24"/>
          <w:szCs w:val="24"/>
        </w:rPr>
        <w:t xml:space="preserve"> 14.133, de 2021;</w:t>
      </w:r>
    </w:p>
    <w:p w14:paraId="00000033"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III - contratação de obras, bens e serviços, incluídos os serviços comuns de engenharia, nos termos do disposto no inciso III e seguintes do </w:t>
      </w:r>
      <w:r w:rsidRPr="00B86446">
        <w:rPr>
          <w:rFonts w:asciiTheme="majorHAnsi" w:eastAsia="Arial" w:hAnsiTheme="majorHAnsi" w:cstheme="majorHAnsi"/>
          <w:i/>
          <w:sz w:val="24"/>
          <w:szCs w:val="24"/>
        </w:rPr>
        <w:t>caput</w:t>
      </w:r>
      <w:r w:rsidRPr="00B86446">
        <w:rPr>
          <w:rFonts w:asciiTheme="majorHAnsi" w:eastAsia="Arial" w:hAnsiTheme="majorHAnsi" w:cstheme="majorHAnsi"/>
          <w:sz w:val="24"/>
          <w:szCs w:val="24"/>
        </w:rPr>
        <w:t xml:space="preserve"> do art. 75 da Lei Federal </w:t>
      </w:r>
      <w:proofErr w:type="gramStart"/>
      <w:r w:rsidRPr="00B86446">
        <w:rPr>
          <w:rFonts w:asciiTheme="majorHAnsi" w:eastAsia="Arial" w:hAnsiTheme="majorHAnsi" w:cstheme="majorHAnsi"/>
          <w:sz w:val="24"/>
          <w:szCs w:val="24"/>
        </w:rPr>
        <w:t>n.º</w:t>
      </w:r>
      <w:proofErr w:type="gramEnd"/>
      <w:r w:rsidRPr="00B86446">
        <w:rPr>
          <w:rFonts w:asciiTheme="majorHAnsi" w:eastAsia="Arial" w:hAnsiTheme="majorHAnsi" w:cstheme="majorHAnsi"/>
          <w:sz w:val="24"/>
          <w:szCs w:val="24"/>
        </w:rPr>
        <w:t xml:space="preserve"> 14.133, de 2021, quando cabível;</w:t>
      </w:r>
    </w:p>
    <w:p w14:paraId="00000034"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IV - registro de preços para a contratação de bens e serviços por mais de um órgão ou entidade, nos termos do § 6º do art. 82 da Lei Federal </w:t>
      </w:r>
      <w:proofErr w:type="gramStart"/>
      <w:r w:rsidRPr="00B86446">
        <w:rPr>
          <w:rFonts w:asciiTheme="majorHAnsi" w:eastAsia="Arial" w:hAnsiTheme="majorHAnsi" w:cstheme="majorHAnsi"/>
          <w:sz w:val="24"/>
          <w:szCs w:val="24"/>
        </w:rPr>
        <w:t>n.º</w:t>
      </w:r>
      <w:proofErr w:type="gramEnd"/>
      <w:r w:rsidRPr="00B86446">
        <w:rPr>
          <w:rFonts w:asciiTheme="majorHAnsi" w:eastAsia="Arial" w:hAnsiTheme="majorHAnsi" w:cstheme="majorHAnsi"/>
          <w:sz w:val="24"/>
          <w:szCs w:val="24"/>
        </w:rPr>
        <w:t xml:space="preserve"> 14.133, de 2021.</w:t>
      </w:r>
    </w:p>
    <w:p w14:paraId="00000035"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1º Ato do Secretário Municipal da Administração ou do órgão responsável a ser delegado pela Secretaria regulamentará o funcionamento do sistema de dispensa eletrônica.</w:t>
      </w:r>
    </w:p>
    <w:p w14:paraId="00000036"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2º A utilização do sistema de dispensa eletrônica poderá ocorrer a partir da data de publicação do ato de que trata o § 1º deste artigo.</w:t>
      </w:r>
    </w:p>
    <w:p w14:paraId="00000037"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3º Fica vedada a utilização do sistema de dispensa eletrônica nas seguintes hipóteses:</w:t>
      </w:r>
    </w:p>
    <w:p w14:paraId="00000038"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I - </w:t>
      </w:r>
      <w:proofErr w:type="gramStart"/>
      <w:r w:rsidRPr="00B86446">
        <w:rPr>
          <w:rFonts w:asciiTheme="majorHAnsi" w:eastAsia="Arial" w:hAnsiTheme="majorHAnsi" w:cstheme="majorHAnsi"/>
          <w:sz w:val="24"/>
          <w:szCs w:val="24"/>
        </w:rPr>
        <w:t>contratações</w:t>
      </w:r>
      <w:proofErr w:type="gramEnd"/>
      <w:r w:rsidRPr="00B86446">
        <w:rPr>
          <w:rFonts w:asciiTheme="majorHAnsi" w:eastAsia="Arial" w:hAnsiTheme="majorHAnsi" w:cstheme="majorHAnsi"/>
          <w:sz w:val="24"/>
          <w:szCs w:val="24"/>
        </w:rPr>
        <w:t xml:space="preserve"> de obras que não se incluam no inciso I do caput deste artigo;</w:t>
      </w:r>
    </w:p>
    <w:p w14:paraId="00000039"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lastRenderedPageBreak/>
        <w:t xml:space="preserve">II - </w:t>
      </w:r>
      <w:proofErr w:type="gramStart"/>
      <w:r w:rsidRPr="00B86446">
        <w:rPr>
          <w:rFonts w:asciiTheme="majorHAnsi" w:eastAsia="Arial" w:hAnsiTheme="majorHAnsi" w:cstheme="majorHAnsi"/>
          <w:sz w:val="24"/>
          <w:szCs w:val="24"/>
        </w:rPr>
        <w:t>locações</w:t>
      </w:r>
      <w:proofErr w:type="gramEnd"/>
      <w:r w:rsidRPr="00B86446">
        <w:rPr>
          <w:rFonts w:asciiTheme="majorHAnsi" w:eastAsia="Arial" w:hAnsiTheme="majorHAnsi" w:cstheme="majorHAnsi"/>
          <w:sz w:val="24"/>
          <w:szCs w:val="24"/>
        </w:rPr>
        <w:t xml:space="preserve"> imobiliárias e alienações; e</w:t>
      </w:r>
    </w:p>
    <w:p w14:paraId="0000003A"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sz w:val="24"/>
          <w:szCs w:val="24"/>
        </w:rPr>
        <w:t>III - bens e serviços especiais, incluídos os serviços de engenharia.</w:t>
      </w:r>
    </w:p>
    <w:p w14:paraId="0000003B" w14:textId="77777777" w:rsidR="001049A1" w:rsidRPr="00B86446" w:rsidRDefault="00B527E2"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r w:rsidRPr="00B86446">
        <w:rPr>
          <w:rFonts w:asciiTheme="majorHAnsi" w:eastAsia="Arial" w:hAnsiTheme="majorHAnsi" w:cstheme="majorHAnsi"/>
          <w:b/>
          <w:sz w:val="24"/>
          <w:szCs w:val="24"/>
        </w:rPr>
        <w:t>Art. 15.</w:t>
      </w:r>
      <w:r w:rsidRPr="00B86446">
        <w:rPr>
          <w:rFonts w:asciiTheme="majorHAnsi" w:eastAsia="Arial" w:hAnsiTheme="majorHAnsi" w:cstheme="majorHAnsi"/>
          <w:sz w:val="24"/>
          <w:szCs w:val="24"/>
        </w:rPr>
        <w:t xml:space="preserve"> Este Decreto entra em vigor na data da sua publicação.</w:t>
      </w:r>
    </w:p>
    <w:p w14:paraId="0000003D" w14:textId="78B5F344" w:rsidR="001049A1" w:rsidRPr="00B86446" w:rsidRDefault="00B527E2" w:rsidP="00B86446">
      <w:pPr>
        <w:pBdr>
          <w:top w:val="nil"/>
          <w:left w:val="nil"/>
          <w:bottom w:val="nil"/>
          <w:right w:val="nil"/>
          <w:between w:val="nil"/>
        </w:pBdr>
        <w:spacing w:after="0" w:line="240" w:lineRule="auto"/>
        <w:jc w:val="right"/>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Diamante d' Oeste, </w:t>
      </w:r>
      <w:r w:rsidR="00FF1F0B" w:rsidRPr="00B86446">
        <w:rPr>
          <w:rFonts w:asciiTheme="majorHAnsi" w:eastAsia="Arial" w:hAnsiTheme="majorHAnsi" w:cstheme="majorHAnsi"/>
          <w:sz w:val="24"/>
          <w:szCs w:val="24"/>
        </w:rPr>
        <w:t>1</w:t>
      </w:r>
      <w:r w:rsidR="00B86446">
        <w:rPr>
          <w:rFonts w:asciiTheme="majorHAnsi" w:eastAsia="Arial" w:hAnsiTheme="majorHAnsi" w:cstheme="majorHAnsi"/>
          <w:sz w:val="24"/>
          <w:szCs w:val="24"/>
        </w:rPr>
        <w:t>5</w:t>
      </w:r>
      <w:r w:rsidRPr="00B86446">
        <w:rPr>
          <w:rFonts w:asciiTheme="majorHAnsi" w:eastAsia="Arial" w:hAnsiTheme="majorHAnsi" w:cstheme="majorHAnsi"/>
          <w:sz w:val="24"/>
          <w:szCs w:val="24"/>
        </w:rPr>
        <w:t xml:space="preserve"> de </w:t>
      </w:r>
      <w:proofErr w:type="gramStart"/>
      <w:r w:rsidR="00FF1F0B" w:rsidRPr="00B86446">
        <w:rPr>
          <w:rFonts w:asciiTheme="majorHAnsi" w:eastAsia="Arial" w:hAnsiTheme="majorHAnsi" w:cstheme="majorHAnsi"/>
          <w:sz w:val="24"/>
          <w:szCs w:val="24"/>
        </w:rPr>
        <w:t>Dezembro</w:t>
      </w:r>
      <w:proofErr w:type="gramEnd"/>
      <w:r w:rsidRPr="00B86446">
        <w:rPr>
          <w:rFonts w:asciiTheme="majorHAnsi" w:eastAsia="Arial" w:hAnsiTheme="majorHAnsi" w:cstheme="majorHAnsi"/>
          <w:sz w:val="24"/>
          <w:szCs w:val="24"/>
        </w:rPr>
        <w:t xml:space="preserve"> de 2023.</w:t>
      </w:r>
    </w:p>
    <w:p w14:paraId="0000003E" w14:textId="77777777" w:rsidR="001049A1" w:rsidRPr="00B86446" w:rsidRDefault="001049A1"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p>
    <w:p w14:paraId="0000003F" w14:textId="77777777" w:rsidR="001049A1" w:rsidRPr="00B86446" w:rsidRDefault="001049A1" w:rsidP="00B86446">
      <w:pPr>
        <w:pBdr>
          <w:top w:val="nil"/>
          <w:left w:val="nil"/>
          <w:bottom w:val="nil"/>
          <w:right w:val="nil"/>
          <w:between w:val="nil"/>
        </w:pBdr>
        <w:spacing w:after="0" w:line="240" w:lineRule="auto"/>
        <w:jc w:val="both"/>
        <w:rPr>
          <w:rFonts w:asciiTheme="majorHAnsi" w:eastAsia="Arial" w:hAnsiTheme="majorHAnsi" w:cstheme="majorHAnsi"/>
          <w:sz w:val="24"/>
          <w:szCs w:val="24"/>
        </w:rPr>
      </w:pPr>
    </w:p>
    <w:p w14:paraId="00000040" w14:textId="53519F43" w:rsidR="001049A1" w:rsidRPr="00B86446" w:rsidRDefault="00B527E2" w:rsidP="00B86446">
      <w:pPr>
        <w:pBdr>
          <w:top w:val="nil"/>
          <w:left w:val="nil"/>
          <w:bottom w:val="nil"/>
          <w:right w:val="nil"/>
          <w:between w:val="nil"/>
        </w:pBdr>
        <w:spacing w:after="0" w:line="240" w:lineRule="auto"/>
        <w:jc w:val="center"/>
        <w:rPr>
          <w:rFonts w:asciiTheme="majorHAnsi" w:eastAsia="Arial" w:hAnsiTheme="majorHAnsi" w:cstheme="majorHAnsi"/>
          <w:sz w:val="24"/>
          <w:szCs w:val="24"/>
        </w:rPr>
      </w:pPr>
      <w:r w:rsidRPr="00B86446">
        <w:rPr>
          <w:rFonts w:asciiTheme="majorHAnsi" w:eastAsia="Arial" w:hAnsiTheme="majorHAnsi" w:cstheme="majorHAnsi"/>
          <w:sz w:val="24"/>
          <w:szCs w:val="24"/>
        </w:rPr>
        <w:t>_________________________</w:t>
      </w:r>
      <w:r w:rsidR="006925B6" w:rsidRPr="00B86446">
        <w:rPr>
          <w:rFonts w:asciiTheme="majorHAnsi" w:eastAsia="Arial" w:hAnsiTheme="majorHAnsi" w:cstheme="majorHAnsi"/>
          <w:sz w:val="24"/>
          <w:szCs w:val="24"/>
        </w:rPr>
        <w:t>_____________</w:t>
      </w:r>
    </w:p>
    <w:p w14:paraId="7D579FC2" w14:textId="113F6B85" w:rsidR="006925B6" w:rsidRPr="00B86446" w:rsidRDefault="006925B6" w:rsidP="00B86446">
      <w:pPr>
        <w:pBdr>
          <w:top w:val="nil"/>
          <w:left w:val="nil"/>
          <w:bottom w:val="nil"/>
          <w:right w:val="nil"/>
          <w:between w:val="nil"/>
        </w:pBdr>
        <w:spacing w:after="0" w:line="240" w:lineRule="auto"/>
        <w:jc w:val="center"/>
        <w:rPr>
          <w:rFonts w:asciiTheme="majorHAnsi" w:eastAsia="Arial" w:hAnsiTheme="majorHAnsi" w:cstheme="majorHAnsi"/>
          <w:sz w:val="24"/>
          <w:szCs w:val="24"/>
        </w:rPr>
      </w:pPr>
      <w:r w:rsidRPr="00B86446">
        <w:rPr>
          <w:rFonts w:asciiTheme="majorHAnsi" w:eastAsia="Arial" w:hAnsiTheme="majorHAnsi" w:cstheme="majorHAnsi"/>
          <w:sz w:val="24"/>
          <w:szCs w:val="24"/>
        </w:rPr>
        <w:t xml:space="preserve">Guilherme </w:t>
      </w:r>
      <w:proofErr w:type="spellStart"/>
      <w:r w:rsidRPr="00B86446">
        <w:rPr>
          <w:rFonts w:asciiTheme="majorHAnsi" w:eastAsia="Arial" w:hAnsiTheme="majorHAnsi" w:cstheme="majorHAnsi"/>
          <w:sz w:val="24"/>
          <w:szCs w:val="24"/>
        </w:rPr>
        <w:t>Pivatto</w:t>
      </w:r>
      <w:proofErr w:type="spellEnd"/>
      <w:r w:rsidRPr="00B86446">
        <w:rPr>
          <w:rFonts w:asciiTheme="majorHAnsi" w:eastAsia="Arial" w:hAnsiTheme="majorHAnsi" w:cstheme="majorHAnsi"/>
          <w:sz w:val="24"/>
          <w:szCs w:val="24"/>
        </w:rPr>
        <w:t xml:space="preserve"> Júnior</w:t>
      </w:r>
    </w:p>
    <w:p w14:paraId="00000041" w14:textId="77777777" w:rsidR="001049A1" w:rsidRPr="00B86446" w:rsidRDefault="00B527E2" w:rsidP="00B86446">
      <w:pPr>
        <w:pBdr>
          <w:top w:val="nil"/>
          <w:left w:val="nil"/>
          <w:bottom w:val="nil"/>
          <w:right w:val="nil"/>
          <w:between w:val="nil"/>
        </w:pBdr>
        <w:spacing w:after="0" w:line="240" w:lineRule="auto"/>
        <w:jc w:val="center"/>
        <w:rPr>
          <w:rFonts w:asciiTheme="majorHAnsi" w:eastAsia="Arial" w:hAnsiTheme="majorHAnsi" w:cstheme="majorHAnsi"/>
          <w:sz w:val="24"/>
          <w:szCs w:val="24"/>
        </w:rPr>
      </w:pPr>
      <w:r w:rsidRPr="00B86446">
        <w:rPr>
          <w:rFonts w:asciiTheme="majorHAnsi" w:eastAsia="Arial" w:hAnsiTheme="majorHAnsi" w:cstheme="majorHAnsi"/>
          <w:b/>
          <w:sz w:val="24"/>
          <w:szCs w:val="24"/>
        </w:rPr>
        <w:t>Prefeito do Município de Diamante d' Oeste</w:t>
      </w:r>
    </w:p>
    <w:p w14:paraId="00000042" w14:textId="77777777" w:rsidR="001049A1" w:rsidRPr="00B86446" w:rsidRDefault="001049A1" w:rsidP="00B86446">
      <w:pPr>
        <w:spacing w:after="0" w:line="240" w:lineRule="auto"/>
        <w:rPr>
          <w:rFonts w:asciiTheme="majorHAnsi" w:eastAsia="Arial" w:hAnsiTheme="majorHAnsi" w:cstheme="majorHAnsi"/>
          <w:sz w:val="24"/>
          <w:szCs w:val="24"/>
        </w:rPr>
      </w:pPr>
    </w:p>
    <w:p w14:paraId="00000043" w14:textId="77777777" w:rsidR="001049A1" w:rsidRPr="00B86446" w:rsidRDefault="001049A1" w:rsidP="00B86446">
      <w:pPr>
        <w:spacing w:after="0" w:line="240" w:lineRule="auto"/>
        <w:rPr>
          <w:rFonts w:asciiTheme="majorHAnsi" w:hAnsiTheme="majorHAnsi" w:cstheme="majorHAnsi"/>
          <w:sz w:val="24"/>
          <w:szCs w:val="24"/>
        </w:rPr>
      </w:pPr>
    </w:p>
    <w:sectPr w:rsidR="001049A1" w:rsidRPr="00B86446" w:rsidSect="006A30F1">
      <w:headerReference w:type="default" r:id="rId7"/>
      <w:pgSz w:w="11906" w:h="16838"/>
      <w:pgMar w:top="1417" w:right="707"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FDE3ED" w14:textId="77777777" w:rsidR="000D583F" w:rsidRDefault="000D583F" w:rsidP="00FF1F0B">
      <w:pPr>
        <w:spacing w:after="0" w:line="240" w:lineRule="auto"/>
      </w:pPr>
      <w:r>
        <w:separator/>
      </w:r>
    </w:p>
  </w:endnote>
  <w:endnote w:type="continuationSeparator" w:id="0">
    <w:p w14:paraId="6ABE8C8B" w14:textId="77777777" w:rsidR="000D583F" w:rsidRDefault="000D583F" w:rsidP="00FF1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3C8696" w14:textId="77777777" w:rsidR="000D583F" w:rsidRDefault="000D583F" w:rsidP="00FF1F0B">
      <w:pPr>
        <w:spacing w:after="0" w:line="240" w:lineRule="auto"/>
      </w:pPr>
      <w:r>
        <w:separator/>
      </w:r>
    </w:p>
  </w:footnote>
  <w:footnote w:type="continuationSeparator" w:id="0">
    <w:p w14:paraId="611C6593" w14:textId="77777777" w:rsidR="000D583F" w:rsidRDefault="000D583F" w:rsidP="00FF1F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D0593" w14:textId="2A611558" w:rsidR="00FF1F0B" w:rsidRDefault="00FF1F0B">
    <w:pPr>
      <w:pStyle w:val="Cabealho"/>
    </w:pPr>
    <w:r>
      <w:rPr>
        <w:noProof/>
      </w:rPr>
      <w:drawing>
        <wp:anchor distT="0" distB="0" distL="114300" distR="114300" simplePos="0" relativeHeight="251661312" behindDoc="0" locked="0" layoutInCell="1" allowOverlap="1" wp14:anchorId="697C8E7C" wp14:editId="677F8E5A">
          <wp:simplePos x="0" y="0"/>
          <wp:positionH relativeFrom="column">
            <wp:posOffset>196215</wp:posOffset>
          </wp:positionH>
          <wp:positionV relativeFrom="paragraph">
            <wp:posOffset>-373380</wp:posOffset>
          </wp:positionV>
          <wp:extent cx="904875" cy="809625"/>
          <wp:effectExtent l="0" t="0" r="9525" b="9525"/>
          <wp:wrapThrough wrapText="bothSides">
            <wp:wrapPolygon edited="0">
              <wp:start x="0" y="0"/>
              <wp:lineTo x="0" y="21346"/>
              <wp:lineTo x="21373" y="21346"/>
              <wp:lineTo x="21373" y="0"/>
              <wp:lineTo x="0" y="0"/>
            </wp:wrapPolygon>
          </wp:wrapThrough>
          <wp:docPr id="35" name="Imagem 35"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msotw9_temp0"/>
                  <pic:cNvPicPr>
                    <a:picLocks noChangeAspect="1" noChangeArrowheads="1"/>
                  </pic:cNvPicPr>
                </pic:nvPicPr>
                <pic:blipFill>
                  <a:blip r:embed="rId1">
                    <a:extLst>
                      <a:ext uri="{28A0092B-C50C-407E-A947-70E740481C1C}">
                        <a14:useLocalDpi xmlns:a14="http://schemas.microsoft.com/office/drawing/2010/main" val="0"/>
                      </a:ext>
                    </a:extLst>
                  </a:blip>
                  <a:srcRect l="3445" r="81807"/>
                  <a:stretch>
                    <a:fillRect/>
                  </a:stretch>
                </pic:blipFill>
                <pic:spPr bwMode="auto">
                  <a:xfrm>
                    <a:off x="0" y="0"/>
                    <a:ext cx="904875" cy="809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652" simplePos="0" relativeHeight="251659264" behindDoc="0" locked="0" layoutInCell="1" allowOverlap="1" wp14:anchorId="0AAE2C9A" wp14:editId="17306680">
          <wp:simplePos x="0" y="0"/>
          <wp:positionH relativeFrom="column">
            <wp:posOffset>1158240</wp:posOffset>
          </wp:positionH>
          <wp:positionV relativeFrom="paragraph">
            <wp:posOffset>-392430</wp:posOffset>
          </wp:positionV>
          <wp:extent cx="5057775" cy="828675"/>
          <wp:effectExtent l="0" t="0" r="9525" b="9525"/>
          <wp:wrapThrough wrapText="bothSides">
            <wp:wrapPolygon edited="0">
              <wp:start x="325" y="0"/>
              <wp:lineTo x="0" y="993"/>
              <wp:lineTo x="0" y="20855"/>
              <wp:lineTo x="325" y="21352"/>
              <wp:lineTo x="21234" y="21352"/>
              <wp:lineTo x="21559" y="20855"/>
              <wp:lineTo x="21559" y="993"/>
              <wp:lineTo x="21234" y="0"/>
              <wp:lineTo x="325" y="0"/>
            </wp:wrapPolygon>
          </wp:wrapThrough>
          <wp:docPr id="36" name="Imagem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2"/>
                  <a:srcRect l="17076" t="7201" r="3257" b="81744"/>
                  <a:stretch>
                    <a:fillRect/>
                  </a:stretch>
                </pic:blipFill>
                <pic:spPr>
                  <a:xfrm>
                    <a:off x="0" y="0"/>
                    <a:ext cx="5057775" cy="8286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9A1"/>
    <w:rsid w:val="00087E37"/>
    <w:rsid w:val="000D583F"/>
    <w:rsid w:val="001049A1"/>
    <w:rsid w:val="00113D8B"/>
    <w:rsid w:val="002038CA"/>
    <w:rsid w:val="0056057C"/>
    <w:rsid w:val="006537E9"/>
    <w:rsid w:val="006925B6"/>
    <w:rsid w:val="006A30F1"/>
    <w:rsid w:val="006F0188"/>
    <w:rsid w:val="007531DC"/>
    <w:rsid w:val="008E5F40"/>
    <w:rsid w:val="00B527E2"/>
    <w:rsid w:val="00B86446"/>
    <w:rsid w:val="00BE69AB"/>
    <w:rsid w:val="00C43825"/>
    <w:rsid w:val="00CC3708"/>
    <w:rsid w:val="00EC32CD"/>
    <w:rsid w:val="00FD4F43"/>
    <w:rsid w:val="00FF1F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7DF29"/>
  <w15:docId w15:val="{A8C9F297-85E5-4B7A-87BE-D636D065C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40" w:after="0"/>
      <w:outlineLvl w:val="5"/>
    </w:pPr>
    <w:rPr>
      <w:color w:val="1F386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FF1F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F1F0B"/>
  </w:style>
  <w:style w:type="paragraph" w:styleId="Rodap">
    <w:name w:val="footer"/>
    <w:basedOn w:val="Normal"/>
    <w:link w:val="RodapChar"/>
    <w:uiPriority w:val="99"/>
    <w:unhideWhenUsed/>
    <w:rsid w:val="00FF1F0B"/>
    <w:pPr>
      <w:tabs>
        <w:tab w:val="center" w:pos="4252"/>
        <w:tab w:val="right" w:pos="8504"/>
      </w:tabs>
      <w:spacing w:after="0" w:line="240" w:lineRule="auto"/>
    </w:pPr>
  </w:style>
  <w:style w:type="character" w:customStyle="1" w:styleId="RodapChar">
    <w:name w:val="Rodapé Char"/>
    <w:basedOn w:val="Fontepargpadro"/>
    <w:link w:val="Rodap"/>
    <w:uiPriority w:val="99"/>
    <w:rsid w:val="00FF1F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m+8sximzv2xOKjs2eKQKKGQRTQ==">CgMxLjAyCGguZ2pkZ3hzMgppZC4zMGowemxsMgppZC4xZm9iOXRlMgloLjN6bnlzaDcyCWguMmV0OTJwMDgAciExeFBLdFJrenZZVFZ6ZEZCMUU0VUxxZGdkVmNqQldXRHE=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1548</Words>
  <Characters>8360</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DJAMANTE D'OESTE</cp:lastModifiedBy>
  <cp:revision>16</cp:revision>
  <dcterms:created xsi:type="dcterms:W3CDTF">2023-12-11T14:38:00Z</dcterms:created>
  <dcterms:modified xsi:type="dcterms:W3CDTF">2023-12-15T12:09:00Z</dcterms:modified>
</cp:coreProperties>
</file>