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2C75" w14:textId="77777777" w:rsidR="00EB2BC7" w:rsidRPr="00EB2BC7" w:rsidRDefault="00EB2BC7" w:rsidP="00EB2BC7">
      <w:pPr>
        <w:widowControl w:val="0"/>
        <w:spacing w:after="0"/>
        <w:jc w:val="center"/>
        <w:outlineLvl w:val="0"/>
        <w:rPr>
          <w:rFonts w:eastAsia="Times New Roman" w:cstheme="minorHAnsi"/>
          <w:b/>
          <w:bCs/>
          <w:kern w:val="36"/>
          <w:lang w:eastAsia="pt-BR"/>
        </w:rPr>
      </w:pPr>
      <w:r w:rsidRPr="00EB2BC7">
        <w:rPr>
          <w:rFonts w:eastAsia="Times New Roman" w:cstheme="minorHAnsi"/>
          <w:b/>
          <w:bCs/>
          <w:kern w:val="36"/>
          <w:lang w:eastAsia="pt-BR"/>
        </w:rPr>
        <w:t>ESTUDO TÉCNICO PRELIMINAR</w:t>
      </w:r>
    </w:p>
    <w:p w14:paraId="20574F5C" w14:textId="54224AED"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A4CECB9">
          <v:rect id="_x0000_i1025" style="width:0;height:1.5pt" o:hralign="center" o:hrstd="t" o:hr="t" fillcolor="#a0a0a0" stroked="f"/>
        </w:pict>
      </w:r>
      <w:r w:rsidR="00EB2BC7" w:rsidRPr="00EB2BC7">
        <w:rPr>
          <w:rFonts w:eastAsia="Times New Roman" w:cstheme="minorHAnsi"/>
          <w:b/>
          <w:bCs/>
          <w:lang w:eastAsia="pt-BR"/>
        </w:rPr>
        <w:t>1. INFORMAÇÕES BÁSICAS</w:t>
      </w:r>
    </w:p>
    <w:p w14:paraId="508C4181" w14:textId="2D3401B0" w:rsid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1.1. NÚMERO DO PROCESSO:</w:t>
      </w:r>
      <w:r w:rsidRPr="00EB2BC7">
        <w:rPr>
          <w:rFonts w:eastAsia="Times New Roman" w:cstheme="minorHAnsi"/>
          <w:lang w:eastAsia="pt-BR"/>
        </w:rPr>
        <w:t xml:space="preserve"> 0</w:t>
      </w:r>
      <w:r w:rsidR="00896656">
        <w:rPr>
          <w:rFonts w:eastAsia="Times New Roman" w:cstheme="minorHAnsi"/>
          <w:lang w:eastAsia="pt-BR"/>
        </w:rPr>
        <w:t>2</w:t>
      </w:r>
      <w:r w:rsidR="00B16715">
        <w:rPr>
          <w:rFonts w:eastAsia="Times New Roman" w:cstheme="minorHAnsi"/>
          <w:lang w:eastAsia="pt-BR"/>
        </w:rPr>
        <w:t>8</w:t>
      </w:r>
      <w:r w:rsidRPr="00EB2BC7">
        <w:rPr>
          <w:rFonts w:eastAsia="Times New Roman" w:cstheme="minorHAnsi"/>
          <w:lang w:eastAsia="pt-BR"/>
        </w:rPr>
        <w:t>/2025 –</w:t>
      </w:r>
      <w:r w:rsidR="003B6B35">
        <w:rPr>
          <w:rFonts w:eastAsia="Times New Roman" w:cstheme="minorHAnsi"/>
          <w:lang w:eastAsia="pt-BR"/>
        </w:rPr>
        <w:t xml:space="preserve"> </w:t>
      </w:r>
      <w:r w:rsidRPr="00EB2BC7">
        <w:rPr>
          <w:rFonts w:eastAsia="Times New Roman" w:cstheme="minorHAnsi"/>
          <w:lang w:eastAsia="pt-BR"/>
        </w:rPr>
        <w:t>Fase Preparatória de Licitação.</w:t>
      </w:r>
    </w:p>
    <w:p w14:paraId="71D5981F" w14:textId="3E522355" w:rsidR="005566DE" w:rsidRPr="00EB2BC7" w:rsidRDefault="00A7784A" w:rsidP="00EB2BC7">
      <w:pPr>
        <w:widowControl w:val="0"/>
        <w:spacing w:after="0"/>
        <w:jc w:val="both"/>
        <w:rPr>
          <w:rFonts w:eastAsia="Times New Roman" w:cstheme="minorHAnsi"/>
          <w:lang w:eastAsia="pt-BR"/>
        </w:rPr>
      </w:pPr>
      <w:r w:rsidRPr="00A7784A">
        <w:rPr>
          <w:rFonts w:eastAsia="Times New Roman" w:cstheme="minorHAnsi"/>
          <w:b/>
          <w:bCs/>
          <w:lang w:eastAsia="pt-BR"/>
        </w:rPr>
        <w:t>1.2. PRIORIDADE</w:t>
      </w:r>
      <w:r w:rsidR="00B41752">
        <w:rPr>
          <w:rFonts w:eastAsia="Times New Roman" w:cstheme="minorHAnsi"/>
          <w:b/>
          <w:bCs/>
          <w:lang w:eastAsia="pt-BR"/>
        </w:rPr>
        <w:t xml:space="preserve"> n°</w:t>
      </w:r>
      <w:r>
        <w:rPr>
          <w:rFonts w:eastAsia="Times New Roman" w:cstheme="minorHAnsi"/>
          <w:lang w:eastAsia="pt-BR"/>
        </w:rPr>
        <w:t xml:space="preserve">: </w:t>
      </w:r>
      <w:r w:rsidR="00896656">
        <w:rPr>
          <w:rFonts w:eastAsia="Times New Roman" w:cstheme="minorHAnsi"/>
          <w:lang w:eastAsia="pt-BR"/>
        </w:rPr>
        <w:t>9</w:t>
      </w:r>
      <w:r w:rsidR="00AF4E35">
        <w:rPr>
          <w:rFonts w:eastAsia="Times New Roman" w:cstheme="minorHAnsi"/>
          <w:lang w:eastAsia="pt-BR"/>
        </w:rPr>
        <w:t>7</w:t>
      </w:r>
      <w:r w:rsidR="005566DE">
        <w:rPr>
          <w:rFonts w:eastAsia="Times New Roman" w:cstheme="minorHAnsi"/>
          <w:lang w:eastAsia="pt-BR"/>
        </w:rPr>
        <w:tab/>
      </w:r>
      <w:r w:rsidR="005566DE">
        <w:rPr>
          <w:rFonts w:eastAsia="Times New Roman" w:cstheme="minorHAnsi"/>
          <w:lang w:eastAsia="pt-BR"/>
        </w:rPr>
        <w:tab/>
      </w:r>
      <w:r w:rsidR="005566DE">
        <w:rPr>
          <w:rFonts w:eastAsia="Times New Roman" w:cstheme="minorHAnsi"/>
          <w:lang w:eastAsia="pt-BR"/>
        </w:rPr>
        <w:tab/>
      </w:r>
      <w:r w:rsidR="005566DE">
        <w:rPr>
          <w:rFonts w:eastAsia="Times New Roman" w:cstheme="minorHAnsi"/>
          <w:lang w:eastAsia="pt-BR"/>
        </w:rPr>
        <w:tab/>
      </w:r>
      <w:r w:rsidR="005566DE">
        <w:rPr>
          <w:rFonts w:eastAsia="Times New Roman" w:cstheme="minorHAnsi"/>
          <w:lang w:eastAsia="pt-BR"/>
        </w:rPr>
        <w:tab/>
      </w:r>
      <w:r w:rsidR="005566DE" w:rsidRPr="005566DE">
        <w:rPr>
          <w:rFonts w:eastAsia="Times New Roman" w:cstheme="minorHAnsi"/>
          <w:b/>
          <w:bCs/>
          <w:lang w:eastAsia="pt-BR"/>
        </w:rPr>
        <w:t>SAM</w:t>
      </w:r>
      <w:r w:rsidR="005566DE">
        <w:rPr>
          <w:rFonts w:eastAsia="Times New Roman" w:cstheme="minorHAnsi"/>
          <w:lang w:eastAsia="pt-BR"/>
        </w:rPr>
        <w:t xml:space="preserve"> n°</w:t>
      </w:r>
      <w:r w:rsidR="00B41752">
        <w:rPr>
          <w:rFonts w:eastAsia="Times New Roman" w:cstheme="minorHAnsi"/>
          <w:lang w:eastAsia="pt-BR"/>
        </w:rPr>
        <w:t>:</w:t>
      </w:r>
      <w:r w:rsidR="005566DE">
        <w:rPr>
          <w:rFonts w:eastAsia="Times New Roman" w:cstheme="minorHAnsi"/>
          <w:lang w:eastAsia="pt-BR"/>
        </w:rPr>
        <w:t xml:space="preserve"> </w:t>
      </w:r>
      <w:r w:rsidR="00AF4E35">
        <w:rPr>
          <w:rFonts w:eastAsia="Times New Roman" w:cstheme="minorHAnsi"/>
          <w:lang w:eastAsia="pt-BR"/>
        </w:rPr>
        <w:t>77</w:t>
      </w:r>
    </w:p>
    <w:p w14:paraId="2FB9DDD6" w14:textId="50760232" w:rsid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1.</w:t>
      </w:r>
      <w:r w:rsidR="00A7784A">
        <w:rPr>
          <w:rFonts w:eastAsia="Times New Roman" w:cstheme="minorHAnsi"/>
          <w:b/>
          <w:bCs/>
          <w:lang w:eastAsia="pt-BR"/>
        </w:rPr>
        <w:t>3</w:t>
      </w:r>
      <w:r w:rsidRPr="00EB2BC7">
        <w:rPr>
          <w:rFonts w:eastAsia="Times New Roman" w:cstheme="minorHAnsi"/>
          <w:b/>
          <w:bCs/>
          <w:lang w:eastAsia="pt-BR"/>
        </w:rPr>
        <w:t>. Objeto:</w:t>
      </w:r>
      <w:r w:rsidRPr="00EB2BC7">
        <w:rPr>
          <w:rFonts w:eastAsia="Times New Roman" w:cstheme="minorHAnsi"/>
          <w:lang w:eastAsia="pt-BR"/>
        </w:rPr>
        <w:t xml:space="preserve"> </w:t>
      </w:r>
      <w:r w:rsidR="00896656">
        <w:rPr>
          <w:rFonts w:eastAsia="Times New Roman" w:cstheme="minorHAnsi"/>
          <w:lang w:eastAsia="pt-BR"/>
        </w:rPr>
        <w:t xml:space="preserve">Contratação de Empresa Especializada na </w:t>
      </w:r>
      <w:r w:rsidR="00896656" w:rsidRPr="00EB2BC7">
        <w:rPr>
          <w:rFonts w:eastAsia="Times New Roman" w:cstheme="minorHAnsi"/>
          <w:lang w:eastAsia="pt-BR"/>
        </w:rPr>
        <w:t>Pavimentação</w:t>
      </w:r>
      <w:r w:rsidR="00896656">
        <w:rPr>
          <w:rFonts w:eastAsia="Times New Roman" w:cstheme="minorHAnsi"/>
          <w:lang w:eastAsia="pt-BR"/>
        </w:rPr>
        <w:t xml:space="preserve"> asfáltica em CBUQ – Concreto Betuminoso Usinado a Quente,</w:t>
      </w:r>
      <w:r w:rsidR="00896656" w:rsidRPr="00EB2BC7">
        <w:rPr>
          <w:rFonts w:eastAsia="Times New Roman" w:cstheme="minorHAnsi"/>
          <w:lang w:eastAsia="pt-BR"/>
        </w:rPr>
        <w:t xml:space="preserve"> </w:t>
      </w:r>
      <w:r w:rsidR="00896656">
        <w:rPr>
          <w:rFonts w:eastAsia="Times New Roman" w:cstheme="minorHAnsi"/>
          <w:lang w:eastAsia="pt-BR"/>
        </w:rPr>
        <w:t>sobre pedras irregulares</w:t>
      </w:r>
      <w:r w:rsidR="00332044">
        <w:rPr>
          <w:rFonts w:eastAsia="Times New Roman" w:cstheme="minorHAnsi"/>
          <w:lang w:eastAsia="pt-BR"/>
        </w:rPr>
        <w:t xml:space="preserve"> em vias urbanas do </w:t>
      </w:r>
      <w:proofErr w:type="spellStart"/>
      <w:r w:rsidR="00332044">
        <w:rPr>
          <w:rFonts w:eastAsia="Times New Roman" w:cstheme="minorHAnsi"/>
          <w:lang w:eastAsia="pt-BR"/>
        </w:rPr>
        <w:t>Municipio</w:t>
      </w:r>
      <w:proofErr w:type="spellEnd"/>
      <w:r w:rsidR="00332044">
        <w:rPr>
          <w:rFonts w:eastAsia="Times New Roman" w:cstheme="minorHAnsi"/>
          <w:lang w:eastAsia="pt-BR"/>
        </w:rPr>
        <w:t xml:space="preserve"> de Nova Prata do Iguaçu-PR</w:t>
      </w:r>
      <w:r w:rsidR="00896656" w:rsidRPr="00EB2BC7">
        <w:rPr>
          <w:rFonts w:eastAsia="Times New Roman" w:cstheme="minorHAnsi"/>
          <w:lang w:eastAsia="pt-BR"/>
        </w:rPr>
        <w:t xml:space="preserve">, área de </w:t>
      </w:r>
      <w:r w:rsidR="00640D0A">
        <w:rPr>
          <w:rFonts w:eastAsia="Times New Roman" w:cstheme="minorHAnsi"/>
          <w:lang w:eastAsia="pt-BR"/>
        </w:rPr>
        <w:t>8.678,12</w:t>
      </w:r>
      <w:r w:rsidR="00096745">
        <w:rPr>
          <w:rFonts w:eastAsia="Times New Roman" w:cstheme="minorHAnsi"/>
          <w:lang w:eastAsia="pt-BR"/>
        </w:rPr>
        <w:t xml:space="preserve"> </w:t>
      </w:r>
      <w:r w:rsidR="00896656" w:rsidRPr="00EB2BC7">
        <w:rPr>
          <w:rFonts w:eastAsia="Times New Roman" w:cstheme="minorHAnsi"/>
          <w:lang w:eastAsia="pt-BR"/>
        </w:rPr>
        <w:t xml:space="preserve">m², </w:t>
      </w:r>
      <w:r w:rsidR="00332044">
        <w:rPr>
          <w:rFonts w:eastAsia="Times New Roman" w:cstheme="minorHAnsi"/>
          <w:lang w:eastAsia="pt-BR"/>
        </w:rPr>
        <w:t xml:space="preserve">em vias urbanas </w:t>
      </w:r>
      <w:r w:rsidR="00896656" w:rsidRPr="00EB2BC7">
        <w:rPr>
          <w:rFonts w:eastAsia="Times New Roman" w:cstheme="minorHAnsi"/>
          <w:lang w:eastAsia="pt-BR"/>
        </w:rPr>
        <w:t xml:space="preserve">compreendendo: serviços preliminares; drenagem; </w:t>
      </w:r>
      <w:proofErr w:type="spellStart"/>
      <w:r w:rsidR="00896656">
        <w:rPr>
          <w:rFonts w:eastAsia="Times New Roman" w:cstheme="minorHAnsi"/>
          <w:lang w:eastAsia="pt-BR"/>
        </w:rPr>
        <w:t>reperfilagem</w:t>
      </w:r>
      <w:proofErr w:type="spellEnd"/>
      <w:r w:rsidR="00896656">
        <w:rPr>
          <w:rFonts w:eastAsia="Times New Roman" w:cstheme="minorHAnsi"/>
          <w:lang w:eastAsia="pt-BR"/>
        </w:rPr>
        <w:t>, capa</w:t>
      </w:r>
      <w:r w:rsidR="00896656" w:rsidRPr="00EB2BC7">
        <w:rPr>
          <w:rFonts w:eastAsia="Times New Roman" w:cstheme="minorHAnsi"/>
          <w:lang w:eastAsia="pt-BR"/>
        </w:rPr>
        <w:t>; meio-fio e sarjeta; serviços de urbanização; sinalização de trânsito; e ensaios de controle tecnológico</w:t>
      </w:r>
      <w:r w:rsidR="00640D0A">
        <w:rPr>
          <w:rFonts w:eastAsia="Times New Roman" w:cstheme="minorHAnsi"/>
          <w:lang w:eastAsia="pt-BR"/>
        </w:rPr>
        <w:t>, no Município de Nova Prata do Iguaçu-PR</w:t>
      </w:r>
      <w:r w:rsidR="00896656" w:rsidRPr="00EB2BC7">
        <w:rPr>
          <w:rFonts w:eastAsia="Times New Roman" w:cstheme="minorHAnsi"/>
          <w:lang w:eastAsia="pt-BR"/>
        </w:rPr>
        <w:t>.</w:t>
      </w:r>
    </w:p>
    <w:p w14:paraId="08802AC5" w14:textId="50E47120"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C26A067">
          <v:rect id="_x0000_i1026" style="width:0;height:1.5pt" o:hralign="center" o:hrstd="t" o:hr="t" fillcolor="#a0a0a0" stroked="f"/>
        </w:pict>
      </w:r>
      <w:r w:rsidR="00EB2BC7" w:rsidRPr="00EB2BC7">
        <w:rPr>
          <w:rFonts w:eastAsia="Times New Roman" w:cstheme="minorHAnsi"/>
          <w:b/>
          <w:bCs/>
          <w:lang w:eastAsia="pt-BR"/>
        </w:rPr>
        <w:t>2. DESIGNAÇÃO DA EQUIPE DE ELABORAÇÃO</w:t>
      </w:r>
    </w:p>
    <w:p w14:paraId="37F57AB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2.1. SERVIDORES:</w:t>
      </w:r>
    </w:p>
    <w:p w14:paraId="270898F4" w14:textId="77777777" w:rsidR="00D26D87" w:rsidRDefault="00EB2BC7" w:rsidP="001F4F70">
      <w:pPr>
        <w:widowControl w:val="0"/>
        <w:pBdr>
          <w:top w:val="nil"/>
          <w:left w:val="nil"/>
          <w:bottom w:val="nil"/>
          <w:right w:val="nil"/>
          <w:between w:val="nil"/>
        </w:pBdr>
        <w:spacing w:after="0"/>
        <w:jc w:val="both"/>
        <w:rPr>
          <w:rFonts w:ascii="Arial Narrow" w:hAnsi="Arial Narrow"/>
          <w:bCs/>
        </w:rPr>
      </w:pPr>
      <w:r w:rsidRPr="00D26D87">
        <w:rPr>
          <w:rFonts w:eastAsia="Times New Roman" w:cstheme="minorHAnsi"/>
          <w:b/>
          <w:bCs/>
          <w:lang w:eastAsia="pt-BR"/>
        </w:rPr>
        <w:t>SERVIDOR:</w:t>
      </w:r>
      <w:r w:rsidRPr="00D26D87">
        <w:rPr>
          <w:rFonts w:eastAsia="Times New Roman" w:cstheme="minorHAnsi"/>
          <w:lang w:eastAsia="pt-BR"/>
        </w:rPr>
        <w:t xml:space="preserve"> </w:t>
      </w:r>
      <w:r w:rsidR="00D26D87" w:rsidRPr="00D26D87">
        <w:rPr>
          <w:rFonts w:eastAsia="Times New Roman" w:cstheme="minorHAnsi"/>
          <w:lang w:eastAsia="pt-BR"/>
        </w:rPr>
        <w:t>Cleuza Castro de Jesus</w:t>
      </w:r>
      <w:r w:rsidRPr="00D26D87">
        <w:rPr>
          <w:rFonts w:eastAsia="Times New Roman" w:cstheme="minorHAnsi"/>
          <w:lang w:eastAsia="pt-BR"/>
        </w:rPr>
        <w:t xml:space="preserve"> </w:t>
      </w:r>
      <w:r w:rsidRPr="00D26D87">
        <w:rPr>
          <w:rFonts w:eastAsia="Times New Roman" w:cstheme="minorHAnsi"/>
          <w:b/>
          <w:bCs/>
          <w:lang w:eastAsia="pt-BR"/>
        </w:rPr>
        <w:t>MATRÍCULA:</w:t>
      </w:r>
      <w:r w:rsidRPr="00D26D87">
        <w:rPr>
          <w:rFonts w:eastAsia="Times New Roman" w:cstheme="minorHAnsi"/>
          <w:lang w:eastAsia="pt-BR"/>
        </w:rPr>
        <w:t xml:space="preserve"> </w:t>
      </w:r>
      <w:r w:rsidR="00D26D87" w:rsidRPr="00C4792D">
        <w:rPr>
          <w:rFonts w:ascii="Arial Narrow" w:hAnsi="Arial Narrow"/>
          <w:bCs/>
        </w:rPr>
        <w:t>15.211-1</w:t>
      </w:r>
    </w:p>
    <w:p w14:paraId="4C849FF3" w14:textId="1F4DF4BC" w:rsidR="00EB2BC7" w:rsidRPr="00D26D87" w:rsidRDefault="00EB2BC7" w:rsidP="001F4F70">
      <w:pPr>
        <w:widowControl w:val="0"/>
        <w:spacing w:after="0"/>
        <w:jc w:val="both"/>
        <w:rPr>
          <w:rFonts w:eastAsia="Times New Roman" w:cstheme="minorHAnsi"/>
          <w:lang w:eastAsia="pt-BR"/>
        </w:rPr>
      </w:pPr>
      <w:r w:rsidRPr="00D26D87">
        <w:rPr>
          <w:rFonts w:eastAsia="Times New Roman" w:cstheme="minorHAnsi"/>
          <w:b/>
          <w:bCs/>
          <w:lang w:eastAsia="pt-BR"/>
        </w:rPr>
        <w:t>SERVIDOR:</w:t>
      </w:r>
      <w:r w:rsidRPr="00D26D87">
        <w:rPr>
          <w:rFonts w:eastAsia="Times New Roman" w:cstheme="minorHAnsi"/>
          <w:lang w:eastAsia="pt-BR"/>
        </w:rPr>
        <w:t xml:space="preserve"> </w:t>
      </w:r>
      <w:r w:rsidR="00D26D87">
        <w:rPr>
          <w:rFonts w:eastAsia="Times New Roman" w:cstheme="minorHAnsi"/>
          <w:lang w:eastAsia="pt-BR"/>
        </w:rPr>
        <w:t>André Faust</w:t>
      </w:r>
      <w:r w:rsidRPr="00D26D87">
        <w:rPr>
          <w:rFonts w:eastAsia="Times New Roman" w:cstheme="minorHAnsi"/>
          <w:lang w:eastAsia="pt-BR"/>
        </w:rPr>
        <w:t xml:space="preserve"> </w:t>
      </w:r>
      <w:r w:rsidRPr="00D26D87">
        <w:rPr>
          <w:rFonts w:eastAsia="Times New Roman" w:cstheme="minorHAnsi"/>
          <w:b/>
          <w:bCs/>
          <w:lang w:eastAsia="pt-BR"/>
        </w:rPr>
        <w:t>MATRÍCULA:</w:t>
      </w:r>
      <w:r w:rsidRPr="00D26D87">
        <w:rPr>
          <w:rFonts w:eastAsia="Times New Roman" w:cstheme="minorHAnsi"/>
          <w:lang w:eastAsia="pt-BR"/>
        </w:rPr>
        <w:t xml:space="preserve"> </w:t>
      </w:r>
      <w:r w:rsidR="00D96C27">
        <w:rPr>
          <w:rFonts w:eastAsia="Times New Roman" w:cstheme="minorHAnsi"/>
          <w:lang w:eastAsia="pt-BR"/>
        </w:rPr>
        <w:t>142.381-01</w:t>
      </w:r>
    </w:p>
    <w:p w14:paraId="16F8FA02" w14:textId="5843CD07" w:rsidR="00EB2BC7" w:rsidRPr="00EB2BC7" w:rsidRDefault="00EB2BC7" w:rsidP="00D96C27">
      <w:pPr>
        <w:widowControl w:val="0"/>
        <w:spacing w:after="0"/>
        <w:ind w:left="360"/>
        <w:jc w:val="both"/>
        <w:rPr>
          <w:rFonts w:eastAsia="Times New Roman" w:cstheme="minorHAnsi"/>
          <w:lang w:eastAsia="pt-BR"/>
        </w:rPr>
      </w:pPr>
    </w:p>
    <w:p w14:paraId="689BD233" w14:textId="27B4BF96"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89D5AE4">
          <v:rect id="_x0000_i1027" style="width:0;height:1.5pt" o:hralign="center" o:hrstd="t" o:hr="t" fillcolor="#a0a0a0" stroked="f"/>
        </w:pict>
      </w:r>
      <w:r w:rsidR="00EB2BC7" w:rsidRPr="00EB2BC7">
        <w:rPr>
          <w:rFonts w:eastAsia="Times New Roman" w:cstheme="minorHAnsi"/>
          <w:b/>
          <w:bCs/>
          <w:lang w:eastAsia="pt-BR"/>
        </w:rPr>
        <w:t>3. NORMAS E DIRETRIZES QUE BASEIAM ESTE ETP</w:t>
      </w:r>
    </w:p>
    <w:p w14:paraId="3CDBE690"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3.1. Aplicam-se à contratação proposta os seguintes marcos normativos:</w:t>
      </w:r>
    </w:p>
    <w:p w14:paraId="5DF50C7A"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Lei de Licitações nº 14.133 de 01 de abril de 2021;</w:t>
      </w:r>
    </w:p>
    <w:p w14:paraId="1CEC8641"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Decretos Municipais nº 3746 a 3767 de 2023; (Regulamentação da Lei 14133/2021);</w:t>
      </w:r>
    </w:p>
    <w:p w14:paraId="38E72E9A"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Lei nº 13.709 de 14 de agosto de 2018 -- Lei Geral de Proteção de Dados;</w:t>
      </w:r>
    </w:p>
    <w:p w14:paraId="17F38C42"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NBR 15.114/2004 -- Resíduos Sólidos da Construção Civil;</w:t>
      </w:r>
    </w:p>
    <w:p w14:paraId="7558904C"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NBR 9050/2020 -- Acessibilidade a edificações, mobiliário, espaços e equipamentos urbanos;</w:t>
      </w:r>
    </w:p>
    <w:p w14:paraId="61A4A905"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Código de Trânsito Brasileiro -- Lei nº 9.503/1997;</w:t>
      </w:r>
    </w:p>
    <w:p w14:paraId="04F516F0"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Normas técnicas do DNIT, DER/PR e ABNT aplicáveis à pavimentação asfáltica;</w:t>
      </w:r>
    </w:p>
    <w:p w14:paraId="497D9ACD"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Manual de Sinalização Horizontal e Vertical do CONTRAN;</w:t>
      </w:r>
    </w:p>
    <w:p w14:paraId="72A88B5A" w14:textId="77777777" w:rsidR="00181202" w:rsidRPr="00181202" w:rsidRDefault="00181202" w:rsidP="00181202">
      <w:pPr>
        <w:numPr>
          <w:ilvl w:val="0"/>
          <w:numId w:val="16"/>
        </w:numPr>
        <w:spacing w:after="0"/>
        <w:jc w:val="both"/>
        <w:rPr>
          <w:rFonts w:eastAsia="Times New Roman" w:cstheme="minorHAnsi"/>
          <w:lang w:eastAsia="pt-BR"/>
        </w:rPr>
      </w:pPr>
      <w:r w:rsidRPr="00181202">
        <w:rPr>
          <w:rFonts w:eastAsia="Times New Roman" w:cstheme="minorHAnsi"/>
          <w:lang w:eastAsia="pt-BR"/>
        </w:rPr>
        <w:t>Lei nº 10.257/2001 - Estatuto da Cidade.</w:t>
      </w:r>
    </w:p>
    <w:p w14:paraId="799DD726" w14:textId="24BF6792" w:rsidR="00EB2BC7" w:rsidRPr="00181202" w:rsidRDefault="00EB2BC7" w:rsidP="00181202">
      <w:pPr>
        <w:widowControl w:val="0"/>
        <w:spacing w:after="0"/>
        <w:ind w:left="720"/>
        <w:jc w:val="both"/>
        <w:rPr>
          <w:rFonts w:eastAsia="Times New Roman" w:cstheme="minorHAnsi"/>
          <w:lang w:eastAsia="pt-BR"/>
        </w:rPr>
      </w:pPr>
    </w:p>
    <w:p w14:paraId="10D7788D" w14:textId="063E9D58"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7E89C45A">
          <v:rect id="_x0000_i1028" style="width:0;height:1.5pt" o:hralign="center" o:hrstd="t" o:hr="t" fillcolor="#a0a0a0" stroked="f"/>
        </w:pict>
      </w:r>
      <w:r w:rsidR="00EB2BC7" w:rsidRPr="00EB2BC7">
        <w:rPr>
          <w:rFonts w:eastAsia="Times New Roman" w:cstheme="minorHAnsi"/>
          <w:b/>
          <w:bCs/>
          <w:lang w:eastAsia="pt-BR"/>
        </w:rPr>
        <w:t>4. DESCRIÇÃO DA NECESSIDADE E JUSTIFICATIVA</w:t>
      </w:r>
    </w:p>
    <w:p w14:paraId="27EF3E41" w14:textId="77777777" w:rsidR="00FF3A83" w:rsidRPr="00FF3A83" w:rsidRDefault="00FF3A83" w:rsidP="00FF3A83">
      <w:pPr>
        <w:widowControl w:val="0"/>
        <w:spacing w:after="0"/>
        <w:jc w:val="both"/>
        <w:outlineLvl w:val="1"/>
        <w:rPr>
          <w:rFonts w:eastAsia="Times New Roman" w:cstheme="minorHAnsi"/>
          <w:lang w:eastAsia="pt-BR"/>
        </w:rPr>
      </w:pPr>
      <w:r w:rsidRPr="00FF3A83">
        <w:rPr>
          <w:rFonts w:eastAsia="Times New Roman" w:cstheme="minorHAnsi"/>
          <w:lang w:eastAsia="pt-BR"/>
        </w:rPr>
        <w:t>A infraestrutura viária constitui elemento essencial para o desenvolvimento socioeconômico municipal, sendo determinante para a mobilidade urbana, integração social e acesso aos serviços públicos essenciais. A melhoria das condições das vias públicas contribui diretamente para a redução de desigualdades, assegurando acesso equitativo às oportunidades de trabalho, educação, saúde e lazer, além de promover maior segurança e conforto aos usuários.</w:t>
      </w:r>
    </w:p>
    <w:p w14:paraId="20341789" w14:textId="77777777" w:rsidR="00FF3A83" w:rsidRPr="00FF3A83" w:rsidRDefault="00FF3A83" w:rsidP="00FF3A83">
      <w:pPr>
        <w:widowControl w:val="0"/>
        <w:spacing w:after="0"/>
        <w:jc w:val="both"/>
        <w:outlineLvl w:val="1"/>
        <w:rPr>
          <w:rFonts w:eastAsia="Times New Roman" w:cstheme="minorHAnsi"/>
          <w:lang w:eastAsia="pt-BR"/>
        </w:rPr>
      </w:pPr>
      <w:r w:rsidRPr="00FF3A83">
        <w:rPr>
          <w:rFonts w:eastAsia="Times New Roman" w:cstheme="minorHAnsi"/>
          <w:lang w:eastAsia="pt-BR"/>
        </w:rPr>
        <w:t xml:space="preserve">Com o crescimento urbano e a demanda por infraestrutura de melhor qualidade, torna-se indispensável a modernização da malha viária do município. A inexistência de pavimentação adequada em diversas ruas do perímetro urbano compromete a mobilidade, aumenta os custos de manutenção veicular, dificulta o adequado escoamento das águas pluviais e impacta negativamente a qualidade de vida da população. Nesse contexto, a pavimentação asfáltica em CBUQ apresenta-se como solução técnica eficiente, garantindo durabilidade, melhor </w:t>
      </w:r>
      <w:r w:rsidRPr="00FF3A83">
        <w:rPr>
          <w:rFonts w:eastAsia="Times New Roman" w:cstheme="minorHAnsi"/>
          <w:lang w:eastAsia="pt-BR"/>
        </w:rPr>
        <w:lastRenderedPageBreak/>
        <w:t>desempenho estrutural e valorização das áreas beneficiadas.</w:t>
      </w:r>
    </w:p>
    <w:p w14:paraId="0977A708" w14:textId="77777777" w:rsidR="00FF3A83" w:rsidRPr="00FF3A83" w:rsidRDefault="00FF3A83" w:rsidP="00FF3A83">
      <w:pPr>
        <w:widowControl w:val="0"/>
        <w:spacing w:after="0"/>
        <w:jc w:val="both"/>
        <w:outlineLvl w:val="1"/>
        <w:rPr>
          <w:rFonts w:eastAsia="Times New Roman" w:cstheme="minorHAnsi"/>
          <w:lang w:eastAsia="pt-BR"/>
        </w:rPr>
      </w:pPr>
      <w:r w:rsidRPr="00FF3A83">
        <w:rPr>
          <w:rFonts w:eastAsia="Times New Roman" w:cstheme="minorHAnsi"/>
          <w:lang w:eastAsia="pt-BR"/>
        </w:rPr>
        <w:t xml:space="preserve">O Município de Nova Prata do Iguaçu, por intermédio da Secretaria de Estado das Cidades – SECID, propõe a execução de pavimentação urbana em </w:t>
      </w:r>
      <w:r w:rsidRPr="00FF3A83">
        <w:rPr>
          <w:rFonts w:eastAsia="Times New Roman" w:cstheme="minorHAnsi"/>
          <w:b/>
          <w:bCs/>
          <w:lang w:eastAsia="pt-BR"/>
        </w:rPr>
        <w:t>9 vias do perímetro urbano</w:t>
      </w:r>
      <w:r w:rsidRPr="00FF3A83">
        <w:rPr>
          <w:rFonts w:eastAsia="Times New Roman" w:cstheme="minorHAnsi"/>
          <w:lang w:eastAsia="pt-BR"/>
        </w:rPr>
        <w:t xml:space="preserve">, contemplando uma </w:t>
      </w:r>
      <w:r w:rsidRPr="00FF3A83">
        <w:rPr>
          <w:rFonts w:eastAsia="Times New Roman" w:cstheme="minorHAnsi"/>
          <w:b/>
          <w:bCs/>
          <w:lang w:eastAsia="pt-BR"/>
        </w:rPr>
        <w:t>área total de 8.678,12 m²</w:t>
      </w:r>
      <w:r w:rsidRPr="00FF3A83">
        <w:rPr>
          <w:rFonts w:eastAsia="Times New Roman" w:cstheme="minorHAnsi"/>
          <w:lang w:eastAsia="pt-BR"/>
        </w:rPr>
        <w:t xml:space="preserve">, distribuída ao longo de </w:t>
      </w:r>
      <w:r w:rsidRPr="00FF3A83">
        <w:rPr>
          <w:rFonts w:eastAsia="Times New Roman" w:cstheme="minorHAnsi"/>
          <w:b/>
          <w:bCs/>
          <w:lang w:eastAsia="pt-BR"/>
        </w:rPr>
        <w:t>1.176,68 metros de extensão</w:t>
      </w:r>
      <w:r w:rsidRPr="00FF3A83">
        <w:rPr>
          <w:rFonts w:eastAsia="Times New Roman" w:cstheme="minorHAnsi"/>
          <w:lang w:eastAsia="pt-BR"/>
        </w:rPr>
        <w:t>, beneficiando diretamente a população local e fortalecendo a infraestrutura urbana existente. A intervenção integra as diretrizes de desenvolvimento urbano e mobilidade, alinhando-se às políticas públicas estaduais e federais voltadas à qualificação do espaço urbano.</w:t>
      </w:r>
    </w:p>
    <w:p w14:paraId="4E4FA397" w14:textId="77777777" w:rsidR="00FF3A83" w:rsidRPr="00FF3A83" w:rsidRDefault="00FF3A83" w:rsidP="00FF3A83">
      <w:pPr>
        <w:widowControl w:val="0"/>
        <w:spacing w:after="0"/>
        <w:jc w:val="both"/>
        <w:outlineLvl w:val="1"/>
        <w:rPr>
          <w:rFonts w:eastAsia="Times New Roman" w:cstheme="minorHAnsi"/>
          <w:lang w:eastAsia="pt-BR"/>
        </w:rPr>
      </w:pPr>
      <w:r w:rsidRPr="00FF3A83">
        <w:rPr>
          <w:rFonts w:eastAsia="Times New Roman" w:cstheme="minorHAnsi"/>
          <w:lang w:eastAsia="pt-BR"/>
        </w:rPr>
        <w:t>A presente contratação justifica-se pela necessidade de implantar um sistema viário adequado e funcional, abrangendo não apenas a pavimentação asfáltica sobre pedras irregulares, mas também a execução de drenagem pluvial, meio-fio e sarjeta, calçadas com acessibilidade, sinalização viária e a realização de ensaios tecnológicos para controle e garantia da qualidade dos serviços executados, em conformidade com a Lei Federal nº 14.133/2021.</w:t>
      </w:r>
    </w:p>
    <w:p w14:paraId="6043AED8" w14:textId="77777777" w:rsidR="00FF3A83" w:rsidRPr="00FF3A83" w:rsidRDefault="00FF3A83" w:rsidP="00FF3A83">
      <w:pPr>
        <w:widowControl w:val="0"/>
        <w:spacing w:after="0"/>
        <w:jc w:val="both"/>
        <w:outlineLvl w:val="1"/>
        <w:rPr>
          <w:rFonts w:eastAsia="Times New Roman" w:cstheme="minorHAnsi"/>
          <w:lang w:eastAsia="pt-BR"/>
        </w:rPr>
      </w:pPr>
      <w:r w:rsidRPr="00FF3A83">
        <w:rPr>
          <w:rFonts w:eastAsia="Times New Roman" w:cstheme="minorHAnsi"/>
          <w:lang w:eastAsia="pt-BR"/>
        </w:rPr>
        <w:t>Dessa forma, a pavimentação em CBUQ representa um investimento estratégico para o município, promovendo melhoria da trafegabilidade, redução dos custos de manutenção, valorização imobiliária e elevação da qualidade de vida da população, reafirmando o compromisso do Poder Público Municipal com o desenvolvimento urbano ordenado, seguro e inclusivo.</w:t>
      </w:r>
    </w:p>
    <w:p w14:paraId="49D275E8" w14:textId="161D5670"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73120A2D">
          <v:rect id="_x0000_i1029" style="width:0;height:1.5pt" o:hralign="center" o:hrstd="t" o:hr="t" fillcolor="#a0a0a0" stroked="f"/>
        </w:pict>
      </w:r>
      <w:bookmarkStart w:id="0" w:name="_Hlk215150964"/>
      <w:r w:rsidR="00EB2BC7" w:rsidRPr="00EB2BC7">
        <w:rPr>
          <w:rFonts w:eastAsia="Times New Roman" w:cstheme="minorHAnsi"/>
          <w:b/>
          <w:bCs/>
          <w:lang w:eastAsia="pt-BR"/>
        </w:rPr>
        <w:t>5. ÁREA REQUISITANTE</w:t>
      </w:r>
    </w:p>
    <w:p w14:paraId="2A0218D4"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ÁREA REQUISITANTE:</w:t>
      </w:r>
      <w:r w:rsidRPr="00EB2BC7">
        <w:rPr>
          <w:rFonts w:eastAsia="Times New Roman" w:cstheme="minorHAnsi"/>
          <w:lang w:eastAsia="pt-BR"/>
        </w:rPr>
        <w:t xml:space="preserve"> Secretaria Municipal de Obras e Urbanismo</w:t>
      </w:r>
    </w:p>
    <w:p w14:paraId="2D7F44CC" w14:textId="4C0DE78E"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RESPONSÁVEL:</w:t>
      </w:r>
      <w:r w:rsidRPr="00EB2BC7">
        <w:rPr>
          <w:rFonts w:eastAsia="Times New Roman" w:cstheme="minorHAnsi"/>
          <w:lang w:eastAsia="pt-BR"/>
        </w:rPr>
        <w:t xml:space="preserve"> </w:t>
      </w:r>
      <w:proofErr w:type="spellStart"/>
      <w:r w:rsidR="00813EE2">
        <w:rPr>
          <w:rFonts w:eastAsia="Times New Roman" w:cstheme="minorHAnsi"/>
          <w:lang w:eastAsia="pt-BR"/>
        </w:rPr>
        <w:t>N</w:t>
      </w:r>
      <w:r w:rsidR="00F97F2E">
        <w:rPr>
          <w:rFonts w:eastAsia="Times New Roman" w:cstheme="minorHAnsi"/>
          <w:lang w:eastAsia="pt-BR"/>
        </w:rPr>
        <w:t>eocir</w:t>
      </w:r>
      <w:proofErr w:type="spellEnd"/>
      <w:r w:rsidR="00F97F2E">
        <w:rPr>
          <w:rFonts w:eastAsia="Times New Roman" w:cstheme="minorHAnsi"/>
          <w:lang w:eastAsia="pt-BR"/>
        </w:rPr>
        <w:t xml:space="preserve"> </w:t>
      </w:r>
      <w:proofErr w:type="spellStart"/>
      <w:r w:rsidR="00F97F2E">
        <w:rPr>
          <w:rFonts w:eastAsia="Times New Roman" w:cstheme="minorHAnsi"/>
          <w:lang w:eastAsia="pt-BR"/>
        </w:rPr>
        <w:t>Belon</w:t>
      </w:r>
      <w:proofErr w:type="spellEnd"/>
      <w:r w:rsidR="00F31193">
        <w:rPr>
          <w:rFonts w:eastAsia="Times New Roman" w:cstheme="minorHAnsi"/>
          <w:lang w:eastAsia="pt-BR"/>
        </w:rPr>
        <w:t xml:space="preserve">   Matrícula: </w:t>
      </w:r>
      <w:r w:rsidR="00F31193" w:rsidRPr="00F31193">
        <w:rPr>
          <w:rFonts w:eastAsia="Times New Roman" w:cstheme="minorHAnsi"/>
          <w:lang w:eastAsia="pt-BR"/>
        </w:rPr>
        <w:t>142</w:t>
      </w:r>
      <w:r w:rsidR="00F31193">
        <w:rPr>
          <w:rFonts w:eastAsia="Times New Roman" w:cstheme="minorHAnsi"/>
          <w:lang w:eastAsia="pt-BR"/>
        </w:rPr>
        <w:t>.</w:t>
      </w:r>
      <w:r w:rsidR="00F31193" w:rsidRPr="00F31193">
        <w:rPr>
          <w:rFonts w:eastAsia="Times New Roman" w:cstheme="minorHAnsi"/>
          <w:lang w:eastAsia="pt-BR"/>
        </w:rPr>
        <w:t>607-1</w:t>
      </w:r>
      <w:bookmarkEnd w:id="0"/>
    </w:p>
    <w:p w14:paraId="067F2067" w14:textId="56E6E5FD"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45472F1B">
          <v:rect id="_x0000_i1030" style="width:0;height:1.5pt" o:hralign="center" o:hrstd="t" o:hr="t" fillcolor="#a0a0a0" stroked="f"/>
        </w:pict>
      </w:r>
      <w:r w:rsidR="00EB2BC7" w:rsidRPr="00EB2BC7">
        <w:rPr>
          <w:rFonts w:eastAsia="Times New Roman" w:cstheme="minorHAnsi"/>
          <w:b/>
          <w:bCs/>
          <w:lang w:eastAsia="pt-BR"/>
        </w:rPr>
        <w:t>6. DESCRIÇÃO DOS REQUISITOS DA CONTRATAÇÃO</w:t>
      </w:r>
    </w:p>
    <w:p w14:paraId="560ABE2C"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6.1 - Escopo Geral da Contratação</w:t>
      </w:r>
    </w:p>
    <w:p w14:paraId="752E8502" w14:textId="3E2D110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deverá contemplar, de forma integrada, o fornecimento de todos os materiais, equipamentos, mão de obra especializada e serviços necessários para a completa execução da pavimentação asfáltica, incluindo serviços preliminares, terraplenagem quando necessária, </w:t>
      </w:r>
      <w:proofErr w:type="spellStart"/>
      <w:r w:rsidR="00D019A8">
        <w:rPr>
          <w:rFonts w:eastAsia="Times New Roman" w:cstheme="minorHAnsi"/>
          <w:lang w:eastAsia="pt-BR"/>
        </w:rPr>
        <w:t>reperfilagem</w:t>
      </w:r>
      <w:proofErr w:type="spellEnd"/>
      <w:r w:rsidR="00D019A8">
        <w:rPr>
          <w:rFonts w:eastAsia="Times New Roman" w:cstheme="minorHAnsi"/>
          <w:lang w:eastAsia="pt-BR"/>
        </w:rPr>
        <w:t>, pintura de ligação</w:t>
      </w:r>
      <w:r w:rsidRPr="00EB2BC7">
        <w:rPr>
          <w:rFonts w:eastAsia="Times New Roman" w:cstheme="minorHAnsi"/>
          <w:lang w:eastAsia="pt-BR"/>
        </w:rPr>
        <w:t xml:space="preserve">, revestimento em CBUQ, meio-fio e sarjeta, urbanização de </w:t>
      </w:r>
      <w:r w:rsidR="00D019A8">
        <w:rPr>
          <w:rFonts w:eastAsia="Times New Roman" w:cstheme="minorHAnsi"/>
          <w:lang w:eastAsia="pt-BR"/>
        </w:rPr>
        <w:t>calçadas,</w:t>
      </w:r>
      <w:r w:rsidRPr="00EB2BC7">
        <w:rPr>
          <w:rFonts w:eastAsia="Times New Roman" w:cstheme="minorHAnsi"/>
          <w:lang w:eastAsia="pt-BR"/>
        </w:rPr>
        <w:t xml:space="preserve"> sinalização viária e ensaios tecnológicos, garantindo padrões mínimos de qualidade conforme normas técnicas do DER/PR e DNIT.</w:t>
      </w:r>
    </w:p>
    <w:p w14:paraId="14B1949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6.2 - Referência às Especificações Técnicas</w:t>
      </w:r>
    </w:p>
    <w:p w14:paraId="7B9D357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As especificações técnicas e exigências detalhadas constarão no Termo de Referência do edital, sendo permitidas especificações superiores desde que mantida a compatibilidade com os requisitos mínimos estabelecidos e conformidade com as normas técnicas aplicáveis.</w:t>
      </w:r>
    </w:p>
    <w:p w14:paraId="59184E2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6.3 - Profissionais Especializados</w:t>
      </w:r>
    </w:p>
    <w:p w14:paraId="147AEBD6"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empresa contratada deverá disponibilizar equipe técnica capacitada, incluindo engenheiro civil responsável técnico com experiência comprovada em pavimentação asfáltica, encarregado de obras, operadores de equipamentos especializados e equipe de apoio treinada, todos com domínio das técnicas de pavimentação e responsabilidades claramente definidas no cronograma de execução.</w:t>
      </w:r>
    </w:p>
    <w:p w14:paraId="4AB6370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6.4 - Equipamentos e Maquinário</w:t>
      </w:r>
    </w:p>
    <w:p w14:paraId="4B69C9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exige disponibilização completa de equipamentos em perfeito estado de </w:t>
      </w:r>
      <w:r w:rsidRPr="00EB2BC7">
        <w:rPr>
          <w:rFonts w:eastAsia="Times New Roman" w:cstheme="minorHAnsi"/>
          <w:lang w:eastAsia="pt-BR"/>
        </w:rPr>
        <w:lastRenderedPageBreak/>
        <w:t xml:space="preserve">funcionamento, incluindo </w:t>
      </w:r>
      <w:proofErr w:type="spellStart"/>
      <w:r w:rsidRPr="00EB2BC7">
        <w:rPr>
          <w:rFonts w:eastAsia="Times New Roman" w:cstheme="minorHAnsi"/>
          <w:lang w:eastAsia="pt-BR"/>
        </w:rPr>
        <w:t>vibroacabadora</w:t>
      </w:r>
      <w:proofErr w:type="spellEnd"/>
      <w:r w:rsidRPr="00EB2BC7">
        <w:rPr>
          <w:rFonts w:eastAsia="Times New Roman" w:cstheme="minorHAnsi"/>
          <w:lang w:eastAsia="pt-BR"/>
        </w:rPr>
        <w:t>, rolos compactadores (tandem e pneumático), caminhões basculantes, retroescavadeira, motoniveladora, caminhão espargidor, fresadora quando necessária, além de equipamentos de pequeno porte, todos com manuais de operação e manutenção atualizados.</w:t>
      </w:r>
    </w:p>
    <w:p w14:paraId="3466276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6.5 - Materiais e Insumos</w:t>
      </w:r>
    </w:p>
    <w:p w14:paraId="4E025396" w14:textId="0041323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Todos os materiais deverão atender às especificações técnicas, incluindo CAP 50/70 com certificação ANP, brita graduada conforme faixas granulométricas do DER/</w:t>
      </w:r>
      <w:proofErr w:type="gramStart"/>
      <w:r w:rsidRPr="00EB2BC7">
        <w:rPr>
          <w:rFonts w:eastAsia="Times New Roman" w:cstheme="minorHAnsi"/>
          <w:lang w:eastAsia="pt-BR"/>
        </w:rPr>
        <w:t>PR,  cal</w:t>
      </w:r>
      <w:proofErr w:type="gramEnd"/>
      <w:r w:rsidRPr="00EB2BC7">
        <w:rPr>
          <w:rFonts w:eastAsia="Times New Roman" w:cstheme="minorHAnsi"/>
          <w:lang w:eastAsia="pt-BR"/>
        </w:rPr>
        <w:t xml:space="preserve"> hidratada CH-1, cimento Portland,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intertravado com resistência mínima de </w:t>
      </w:r>
      <w:r w:rsidR="009B1A16">
        <w:rPr>
          <w:rFonts w:eastAsia="Times New Roman" w:cstheme="minorHAnsi"/>
          <w:lang w:eastAsia="pt-BR"/>
        </w:rPr>
        <w:t>20</w:t>
      </w:r>
      <w:r w:rsidRPr="00EB2BC7">
        <w:rPr>
          <w:rFonts w:eastAsia="Times New Roman" w:cstheme="minorHAnsi"/>
          <w:lang w:eastAsia="pt-BR"/>
        </w:rPr>
        <w:t xml:space="preserve"> MPa, meio-fio pré-moldado tipo 2 DER/PR, todos com certificações de qualidade e ensaios laboratoriais.</w:t>
      </w:r>
    </w:p>
    <w:p w14:paraId="4A4D920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6.6 - Controle de Qualidade</w:t>
      </w:r>
    </w:p>
    <w:p w14:paraId="1CE8365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empresa deverá implementar sistema de controle tecnológico completo, incluindo ensaios de granulometria, massa específica in situ, percentagem de betume, densidade do material betuminoso, tração por compressão diametral, controle de taxa de aplicação de ligante, grau de compactação da mistura asfáltica, com laboratório credenciado e emissão de laudos técnicos.</w:t>
      </w:r>
    </w:p>
    <w:p w14:paraId="137A787C"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6.7 - Sinalização e Segurança</w:t>
      </w:r>
    </w:p>
    <w:p w14:paraId="5C6CF9B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escopo inclui fornecimento e instalação de sinalização horizontal com tinta retrorrefletiva base acrílica, placas de sinalização vertical refletivas (regulamentação, advertência e indicação) com suportes metálicos, além de sinalização provisória de obra e dispositivos de segurança conforme normas do CONTRAN e manuais do DNIT.</w:t>
      </w:r>
    </w:p>
    <w:p w14:paraId="5BB41AE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6.8 - Urbanização e Acessibilidade</w:t>
      </w:r>
    </w:p>
    <w:p w14:paraId="2778BF5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contempla execução de calçadas em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intertravado colorido e natural, rampas de acessibilidade conforme NBR 9050, piso tátil direcional e alerta, meio-fio rebaixado para acesso de veículos, garantindo acessibilidade universal e conformidade com a legislação de inclusão.</w:t>
      </w:r>
    </w:p>
    <w:p w14:paraId="5E51925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6.9 - Vigência Contratual</w:t>
      </w:r>
    </w:p>
    <w:p w14:paraId="07DA4CA3" w14:textId="4E4112D6" w:rsidR="008F0613" w:rsidRPr="008F0613" w:rsidRDefault="008F0613" w:rsidP="008F0613">
      <w:pPr>
        <w:spacing w:after="0"/>
        <w:jc w:val="both"/>
      </w:pPr>
      <w:r w:rsidRPr="008F0613">
        <w:t xml:space="preserve">O prazo de vigência do presente Contrato é de </w:t>
      </w:r>
      <w:r w:rsidR="00E76A8C">
        <w:t>420</w:t>
      </w:r>
      <w:r w:rsidRPr="008F0613">
        <w:t xml:space="preserve"> (</w:t>
      </w:r>
      <w:r w:rsidR="00E76A8C">
        <w:t>quatrocentos e vinte</w:t>
      </w:r>
      <w:r w:rsidRPr="008F0613">
        <w:t xml:space="preserve">) dias, </w:t>
      </w:r>
      <w:r w:rsidRPr="008F0613">
        <w:rPr>
          <w:color w:val="000000"/>
        </w:rPr>
        <w:t xml:space="preserve">contados a partir da </w:t>
      </w:r>
      <w:r w:rsidRPr="008F0613">
        <w:rPr>
          <w:b/>
          <w:bCs/>
          <w:color w:val="000000"/>
        </w:rPr>
        <w:t>data da assinatura citada no extrato</w:t>
      </w:r>
      <w:r w:rsidRPr="008F0613">
        <w:rPr>
          <w:color w:val="000000"/>
        </w:rPr>
        <w:t xml:space="preserve"> do contrato publicado </w:t>
      </w:r>
      <w:r w:rsidRPr="008F0613">
        <w:t>no PNCP ou no Diário Oficial para aqueles municípios com até 20.000 habitantes que assim optarem, em conformidade com o prazo estabelecido no parágrafo único do art. 176 da Lei Federal 14.133/21.</w:t>
      </w:r>
    </w:p>
    <w:p w14:paraId="0A5609A1" w14:textId="77777777" w:rsidR="00EB2BC7" w:rsidRPr="00EB2BC7" w:rsidRDefault="00EB2BC7" w:rsidP="008F0613">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6.10 - Garantia e Manutenção</w:t>
      </w:r>
    </w:p>
    <w:p w14:paraId="21BC096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contratada deverá oferecer garantia mínima de 5 (cinco) anos para os serviços de pavimentação executados, com manutenção corretiva sem ônus para o município em casos de defeitos construtivos, sendo responsável pelo transporte de equipamentos e materiais necessários aos reparos, com prazo máximo de 15 dias para atendimento após notificação.</w:t>
      </w:r>
    </w:p>
    <w:p w14:paraId="45C0A84D"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6.11 - Prazo de Entrega dos Materiais</w:t>
      </w:r>
    </w:p>
    <w:p w14:paraId="0B0578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Os materiais deverão ser entregues conforme cronograma físico-financeiro, com antecedência mínima de 5 dias úteis do início de cada etapa, mediante ordem de compra específica emitida pela fiscalização.</w:t>
      </w:r>
    </w:p>
    <w:p w14:paraId="6BEE863F"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6.12 - Início dos Serviços</w:t>
      </w:r>
    </w:p>
    <w:p w14:paraId="6C4F1FC2" w14:textId="77777777" w:rsidR="00C15879" w:rsidRPr="00C15879" w:rsidRDefault="00C15879" w:rsidP="00C15879">
      <w:pPr>
        <w:spacing w:after="0"/>
        <w:jc w:val="both"/>
      </w:pPr>
      <w:r w:rsidRPr="00C15879">
        <w:lastRenderedPageBreak/>
        <w:t>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16A01936" w14:textId="77777777" w:rsidR="00EB2BC7" w:rsidRPr="00EB2BC7" w:rsidRDefault="00EB2BC7" w:rsidP="00C15879">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6.13 - Cronograma de Execução</w:t>
      </w:r>
    </w:p>
    <w:p w14:paraId="16F3E81D" w14:textId="18FB2685"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empresa será responsável pela elaboração do cronograma detalhado de execução, respeitando o prazo global de </w:t>
      </w:r>
      <w:r w:rsidR="00E76A8C">
        <w:rPr>
          <w:rFonts w:eastAsia="Times New Roman" w:cstheme="minorHAnsi"/>
          <w:lang w:eastAsia="pt-BR"/>
        </w:rPr>
        <w:t>210</w:t>
      </w:r>
      <w:r w:rsidR="009E06AD">
        <w:rPr>
          <w:rFonts w:eastAsia="Times New Roman" w:cstheme="minorHAnsi"/>
          <w:lang w:eastAsia="pt-BR"/>
        </w:rPr>
        <w:t xml:space="preserve"> (</w:t>
      </w:r>
      <w:r w:rsidR="00E76A8C">
        <w:rPr>
          <w:rFonts w:eastAsia="Times New Roman" w:cstheme="minorHAnsi"/>
          <w:lang w:eastAsia="pt-BR"/>
        </w:rPr>
        <w:t>duzentos e dez</w:t>
      </w:r>
      <w:r w:rsidR="009E06AD">
        <w:rPr>
          <w:rFonts w:eastAsia="Times New Roman" w:cstheme="minorHAnsi"/>
          <w:lang w:eastAsia="pt-BR"/>
        </w:rPr>
        <w:t>)</w:t>
      </w:r>
      <w:r w:rsidRPr="00EB2BC7">
        <w:rPr>
          <w:rFonts w:eastAsia="Times New Roman" w:cstheme="minorHAnsi"/>
          <w:lang w:eastAsia="pt-BR"/>
        </w:rPr>
        <w:t xml:space="preserve"> dias e as </w:t>
      </w:r>
      <w:r w:rsidR="00E76A8C">
        <w:rPr>
          <w:rFonts w:eastAsia="Times New Roman" w:cstheme="minorHAnsi"/>
          <w:lang w:eastAsia="pt-BR"/>
        </w:rPr>
        <w:t>7</w:t>
      </w:r>
      <w:r w:rsidRPr="00EB2BC7">
        <w:rPr>
          <w:rFonts w:eastAsia="Times New Roman" w:cstheme="minorHAnsi"/>
          <w:lang w:eastAsia="pt-BR"/>
        </w:rPr>
        <w:t xml:space="preserve"> etapas mensais previstas, com apresentação mínima de 15 dias antes do início das obras.</w:t>
      </w:r>
    </w:p>
    <w:p w14:paraId="261C5C8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6.14 - Medições e Pagamentos</w:t>
      </w:r>
    </w:p>
    <w:p w14:paraId="29177A0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As medições serão realizadas mensalmente, conforme cronograma físico-financeiro, com pagamento mediante apresentação de nota fiscal e relatório de medição aprovado pela fiscalização.</w:t>
      </w:r>
    </w:p>
    <w:p w14:paraId="04B0E1C5"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6.15 - Modalidade Licitatória</w:t>
      </w:r>
    </w:p>
    <w:p w14:paraId="10D1EEC7" w14:textId="376BC5B0"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Considerando o valor estimado de a modalidade licitatória será Concorrência, nos termos do art. 28, inciso II, alínea "b" da Lei 14.133/2021, sem aplicação de tratamento diferenciado para ME/EPP devido ao valor e complexidade técnica do objeto.</w:t>
      </w:r>
    </w:p>
    <w:p w14:paraId="60C2023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6.16 - Documentação de Habilitação</w:t>
      </w:r>
    </w:p>
    <w:p w14:paraId="0DDBBB1F"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habilitação contemplará documentação jurídica completa, regularidade fiscal federal, estadual e municipal, regularidade trabalhista, qualificação econômico-financeira com capital social mínimo de 10% do valor estimado e patrimônio líquido compatível com o porte da obra.</w:t>
      </w:r>
    </w:p>
    <w:p w14:paraId="41A63E2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6.17 - Índices Econômico-Financeiros</w:t>
      </w:r>
    </w:p>
    <w:p w14:paraId="21AAFFE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Serão exigidos índices de Liquidez Geral (LG) ≥ 1,0, Solvência Geral (SG) ≥ 1,0 e Liquidez Corrente (LC) ≥ 1,0, demonstrados através de balanço patrimonial do último exercício social.</w:t>
      </w:r>
    </w:p>
    <w:p w14:paraId="38277744"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6.18 - Qualificação Técnica Detalhada</w:t>
      </w:r>
    </w:p>
    <w:p w14:paraId="5D173056" w14:textId="63DE9ED0"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Atestados de capacidade técnica:</w:t>
      </w:r>
      <w:r w:rsidRPr="00EB2BC7">
        <w:rPr>
          <w:rFonts w:eastAsia="Times New Roman" w:cstheme="minorHAnsi"/>
          <w:lang w:eastAsia="pt-BR"/>
        </w:rPr>
        <w:t xml:space="preserve"> Comprovação de execução de pavimentação asfáltica em CBUQ de no mínimo </w:t>
      </w:r>
      <w:r w:rsidR="00E76A8C">
        <w:rPr>
          <w:rFonts w:eastAsia="Times New Roman" w:cstheme="minorHAnsi"/>
          <w:lang w:eastAsia="pt-BR"/>
        </w:rPr>
        <w:t>4.339,06</w:t>
      </w:r>
      <w:r w:rsidR="00536DE0" w:rsidRPr="00EB2BC7">
        <w:rPr>
          <w:rFonts w:eastAsia="Times New Roman" w:cstheme="minorHAnsi"/>
          <w:lang w:eastAsia="pt-BR"/>
        </w:rPr>
        <w:t xml:space="preserve"> m</w:t>
      </w:r>
      <w:proofErr w:type="gramStart"/>
      <w:r w:rsidR="00536DE0" w:rsidRPr="00EB2BC7">
        <w:rPr>
          <w:rFonts w:eastAsia="Times New Roman" w:cstheme="minorHAnsi"/>
          <w:lang w:eastAsia="pt-BR"/>
        </w:rPr>
        <w:t xml:space="preserve">² </w:t>
      </w:r>
      <w:r w:rsidRPr="00EB2BC7">
        <w:rPr>
          <w:rFonts w:eastAsia="Times New Roman" w:cstheme="minorHAnsi"/>
          <w:lang w:eastAsia="pt-BR"/>
        </w:rPr>
        <w:t xml:space="preserve"> (</w:t>
      </w:r>
      <w:proofErr w:type="gramEnd"/>
      <w:r w:rsidRPr="00EB2BC7">
        <w:rPr>
          <w:rFonts w:eastAsia="Times New Roman" w:cstheme="minorHAnsi"/>
          <w:lang w:eastAsia="pt-BR"/>
        </w:rPr>
        <w:t xml:space="preserve">50% do quantitativo), </w:t>
      </w:r>
      <w:r w:rsidR="0061060C">
        <w:rPr>
          <w:rFonts w:eastAsia="Times New Roman" w:cstheme="minorHAnsi"/>
          <w:lang w:eastAsia="pt-BR"/>
        </w:rPr>
        <w:t xml:space="preserve">sendo admitida a soma de atestados para atender a quantidade mínima exigida, </w:t>
      </w:r>
      <w:r w:rsidRPr="00EB2BC7">
        <w:rPr>
          <w:rFonts w:eastAsia="Times New Roman" w:cstheme="minorHAnsi"/>
          <w:lang w:eastAsia="pt-BR"/>
        </w:rPr>
        <w:t>registrados no CREA/CAU;</w:t>
      </w:r>
    </w:p>
    <w:p w14:paraId="5DA63BC4"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Formação acadêmica:</w:t>
      </w:r>
      <w:r w:rsidRPr="00EB2BC7">
        <w:rPr>
          <w:rFonts w:eastAsia="Times New Roman" w:cstheme="minorHAnsi"/>
          <w:lang w:eastAsia="pt-BR"/>
        </w:rPr>
        <w:t xml:space="preserve"> Engenheiro Civil responsável técnico com registro regular no CREA e ART de cargo/função;</w:t>
      </w:r>
    </w:p>
    <w:p w14:paraId="4D4FB6F4"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Capacitação específica:</w:t>
      </w:r>
      <w:r w:rsidRPr="00EB2BC7">
        <w:rPr>
          <w:rFonts w:eastAsia="Times New Roman" w:cstheme="minorHAnsi"/>
          <w:lang w:eastAsia="pt-BR"/>
        </w:rPr>
        <w:t xml:space="preserve"> Certificação da equipe de laboratório em ensaios de pavimentação, com carga horária mínima de 40 horas;</w:t>
      </w:r>
    </w:p>
    <w:p w14:paraId="062A85F0"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Documentação complementar:</w:t>
      </w:r>
      <w:r w:rsidRPr="00EB2BC7">
        <w:rPr>
          <w:rFonts w:eastAsia="Times New Roman" w:cstheme="minorHAnsi"/>
          <w:lang w:eastAsia="pt-BR"/>
        </w:rPr>
        <w:t xml:space="preserve"> Certidões negativas criminais dos sócios, com validade de 90 dias;</w:t>
      </w:r>
    </w:p>
    <w:p w14:paraId="2860ECC1"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Acervo técnico:</w:t>
      </w:r>
      <w:r w:rsidRPr="00EB2BC7">
        <w:rPr>
          <w:rFonts w:eastAsia="Times New Roman" w:cstheme="minorHAnsi"/>
          <w:lang w:eastAsia="pt-BR"/>
        </w:rPr>
        <w:t xml:space="preserve"> CAT (Certidão de Acervo Técnico) do responsável técnico em obras similares;</w:t>
      </w:r>
    </w:p>
    <w:p w14:paraId="2967742B"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Visita técnica:</w:t>
      </w:r>
      <w:r w:rsidRPr="00EB2BC7">
        <w:rPr>
          <w:rFonts w:eastAsia="Times New Roman" w:cstheme="minorHAnsi"/>
          <w:lang w:eastAsia="pt-BR"/>
        </w:rPr>
        <w:t xml:space="preserve"> Declaração de vistoria do local da obra ou declaração de conhecimento pleno das condições locais.</w:t>
      </w:r>
    </w:p>
    <w:p w14:paraId="00E0571D" w14:textId="07438B64"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76D93E9A">
          <v:rect id="_x0000_i1031" style="width:0;height:1.5pt" o:hralign="center" o:hrstd="t" o:hr="t" fillcolor="#a0a0a0" stroked="f"/>
        </w:pict>
      </w:r>
      <w:r w:rsidR="00EB2BC7" w:rsidRPr="00EB2BC7">
        <w:rPr>
          <w:rFonts w:eastAsia="Times New Roman" w:cstheme="minorHAnsi"/>
          <w:b/>
          <w:bCs/>
          <w:lang w:eastAsia="pt-BR"/>
        </w:rPr>
        <w:t>7. LEVANTAMENTO DE MERCADO</w:t>
      </w:r>
    </w:p>
    <w:p w14:paraId="397A9D92"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7.1 - Panorama Geral do Mercado</w:t>
      </w:r>
    </w:p>
    <w:p w14:paraId="2FFBC00F" w14:textId="08E0895E"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lastRenderedPageBreak/>
        <w:t xml:space="preserve">O mercado de pavimentação asfáltica na região apresenta diversas empresas capacitadas para execução de obras desta natureza, com disponibilidade de usinas de asfalto num raio de </w:t>
      </w:r>
      <w:r w:rsidR="009C3A36">
        <w:rPr>
          <w:rFonts w:eastAsia="Times New Roman" w:cstheme="minorHAnsi"/>
          <w:lang w:eastAsia="pt-BR"/>
        </w:rPr>
        <w:t>6</w:t>
      </w:r>
      <w:r w:rsidR="00E12992">
        <w:rPr>
          <w:rFonts w:eastAsia="Times New Roman" w:cstheme="minorHAnsi"/>
          <w:lang w:eastAsia="pt-BR"/>
        </w:rPr>
        <w:t>0</w:t>
      </w:r>
      <w:r w:rsidRPr="00EB2BC7">
        <w:rPr>
          <w:rFonts w:eastAsia="Times New Roman" w:cstheme="minorHAnsi"/>
          <w:lang w:eastAsia="pt-BR"/>
        </w:rPr>
        <w:t xml:space="preserve"> km do município. Identificou-se a existência de fornecedores locais para materiais pétreos (brita, areia) com distância média de transporte de 14 km para pedreira e 245 km para areal, conforme levantamento de DMT (Distância Média de Transporte) realizado.</w:t>
      </w:r>
    </w:p>
    <w:p w14:paraId="6803D27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7.2 - Justificativa da Escolha Técnica</w:t>
      </w:r>
    </w:p>
    <w:p w14:paraId="60F5F660" w14:textId="77777777" w:rsidR="006F10EA" w:rsidRPr="006F10EA" w:rsidRDefault="006F10EA" w:rsidP="006F10EA">
      <w:pPr>
        <w:widowControl w:val="0"/>
        <w:spacing w:after="0"/>
        <w:jc w:val="both"/>
        <w:outlineLvl w:val="1"/>
        <w:rPr>
          <w:rFonts w:eastAsia="Times New Roman" w:cstheme="minorHAnsi"/>
          <w:lang w:eastAsia="pt-BR"/>
        </w:rPr>
      </w:pPr>
      <w:r w:rsidRPr="006F10EA">
        <w:rPr>
          <w:rFonts w:eastAsia="Times New Roman" w:cstheme="minorHAnsi"/>
          <w:lang w:eastAsia="pt-BR"/>
        </w:rPr>
        <w:t>A escolha da pavimentação asfáltica em Concreto Betuminoso Usinado a Quente (CBUQ) sobre pavimento existente de pedras poliédricas fundamenta-se em critérios técnicos, operacionais e econômicos amplamente consolidados na engenharia de pavimentos. O aproveitamento da estrutura existente permite a utilização do pavimento de pedras como camada de base, desde que previamente regularizada e devidamente preparada, garantindo adequada capacidade de suporte e redução significativa de custos e prazos de execução quando comparada à reconstrução integral da via.</w:t>
      </w:r>
    </w:p>
    <w:p w14:paraId="56F9ACFF" w14:textId="77777777" w:rsidR="006F10EA" w:rsidRPr="006F10EA" w:rsidRDefault="006F10EA" w:rsidP="006F10EA">
      <w:pPr>
        <w:widowControl w:val="0"/>
        <w:spacing w:after="0"/>
        <w:jc w:val="both"/>
        <w:outlineLvl w:val="1"/>
        <w:rPr>
          <w:rFonts w:eastAsia="Times New Roman" w:cstheme="minorHAnsi"/>
          <w:lang w:eastAsia="pt-BR"/>
        </w:rPr>
      </w:pPr>
      <w:r w:rsidRPr="006F10EA">
        <w:rPr>
          <w:rFonts w:eastAsia="Times New Roman" w:cstheme="minorHAnsi"/>
          <w:lang w:eastAsia="pt-BR"/>
        </w:rPr>
        <w:t>Do ponto de vista estrutural, o pavimento em pedras poliédricas apresenta elevada resistência mecânica e boa capacidade de distribuição de cargas. Quando associado a uma camada de regularização e ao revestimento asfáltico em CBUQ, obtém-se um sistema composto com melhor desempenho estrutural, maior conforto de rolamento e aumento da vida útil do pavimento. O CBUQ, por sua vez, oferece elevada resistência à fadiga, boa impermeabilidade e excelente aderência pneu–pavimento, contribuindo para a segurança viária.</w:t>
      </w:r>
    </w:p>
    <w:p w14:paraId="436E9099" w14:textId="77777777" w:rsidR="006F10EA" w:rsidRPr="006F10EA" w:rsidRDefault="006F10EA" w:rsidP="006F10EA">
      <w:pPr>
        <w:widowControl w:val="0"/>
        <w:spacing w:after="0"/>
        <w:jc w:val="both"/>
        <w:outlineLvl w:val="1"/>
        <w:rPr>
          <w:rFonts w:eastAsia="Times New Roman" w:cstheme="minorHAnsi"/>
          <w:lang w:eastAsia="pt-BR"/>
        </w:rPr>
      </w:pPr>
      <w:r w:rsidRPr="006F10EA">
        <w:rPr>
          <w:rFonts w:eastAsia="Times New Roman" w:cstheme="minorHAnsi"/>
          <w:lang w:eastAsia="pt-BR"/>
        </w:rPr>
        <w:t>Sob o aspecto funcional, a aplicação do CBUQ elimina irregularidades superficiais típicas do pavimento em pedras, reduz níveis de vibração, ruído e poeira, melhora a drenagem superficial e proporciona melhores condições de trafegabilidade, especialmente em períodos chuvosos. Esses fatores resultam em menor desgaste dos veículos, redução de custos de manutenção e maior conforto aos usuários.</w:t>
      </w:r>
    </w:p>
    <w:p w14:paraId="03AE0EE2" w14:textId="77777777" w:rsidR="006F10EA" w:rsidRPr="006F10EA" w:rsidRDefault="006F10EA" w:rsidP="006F10EA">
      <w:pPr>
        <w:widowControl w:val="0"/>
        <w:spacing w:after="0"/>
        <w:jc w:val="both"/>
        <w:outlineLvl w:val="1"/>
        <w:rPr>
          <w:rFonts w:eastAsia="Times New Roman" w:cstheme="minorHAnsi"/>
          <w:lang w:eastAsia="pt-BR"/>
        </w:rPr>
      </w:pPr>
      <w:r w:rsidRPr="006F10EA">
        <w:rPr>
          <w:rFonts w:eastAsia="Times New Roman" w:cstheme="minorHAnsi"/>
          <w:lang w:eastAsia="pt-BR"/>
        </w:rPr>
        <w:t>Do ponto de vista construtivo, o CBUQ permite controle tecnológico rigoroso, execução rápida e liberação ágil do tráfego, minimizando interferências na rotina urbana. Além disso, sua aplicação sobre pavimento existente reduz a geração de resíduos e o consumo de materiais naturais, alinhando-se a princípios de sustentabilidade e eficiência no uso de recursos públicos.</w:t>
      </w:r>
    </w:p>
    <w:p w14:paraId="477DAAA6" w14:textId="77777777" w:rsidR="006F10EA" w:rsidRPr="006F10EA" w:rsidRDefault="006F10EA" w:rsidP="006F10EA">
      <w:pPr>
        <w:widowControl w:val="0"/>
        <w:spacing w:after="0"/>
        <w:jc w:val="both"/>
        <w:outlineLvl w:val="1"/>
        <w:rPr>
          <w:rFonts w:eastAsia="Times New Roman" w:cstheme="minorHAnsi"/>
          <w:lang w:eastAsia="pt-BR"/>
        </w:rPr>
      </w:pPr>
      <w:r w:rsidRPr="006F10EA">
        <w:rPr>
          <w:rFonts w:eastAsia="Times New Roman" w:cstheme="minorHAnsi"/>
          <w:lang w:eastAsia="pt-BR"/>
        </w:rPr>
        <w:t>Por fim, a adoção da pavimentação asfáltica em CBUQ sobre pedras poliédricas atende às normas técnicas vigentes e às diretrizes dos órgãos rodoviários e de infraestrutura urbana, configurando-se como solução tecnicamente adequada, economicamente vantajosa e compatível com as condições de tráfego urbano previstas, garantindo desempenho, segurança e durabilidade ao sistema viário municipal.</w:t>
      </w:r>
    </w:p>
    <w:p w14:paraId="357425ED" w14:textId="5372D16E"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8B92FFD">
          <v:rect id="_x0000_i1032" style="width:0;height:1.5pt" o:hralign="center" o:hrstd="t" o:hr="t" fillcolor="#a0a0a0" stroked="f"/>
        </w:pict>
      </w:r>
      <w:r w:rsidR="00EB2BC7" w:rsidRPr="00EB2BC7">
        <w:rPr>
          <w:rFonts w:eastAsia="Times New Roman" w:cstheme="minorHAnsi"/>
          <w:b/>
          <w:bCs/>
          <w:lang w:eastAsia="pt-BR"/>
        </w:rPr>
        <w:t>8. DESCRIÇÃO DA SOLUÇÃO COMO UM TODO</w:t>
      </w:r>
    </w:p>
    <w:p w14:paraId="43DFC7B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8.1 - Definição da Solução Adotada</w:t>
      </w:r>
    </w:p>
    <w:p w14:paraId="558D33FF" w14:textId="77777777" w:rsidR="00620E9E" w:rsidRPr="00620E9E" w:rsidRDefault="00620E9E" w:rsidP="00620E9E">
      <w:pPr>
        <w:widowControl w:val="0"/>
        <w:spacing w:after="0"/>
        <w:jc w:val="both"/>
        <w:rPr>
          <w:rFonts w:eastAsia="Times New Roman" w:cstheme="minorHAnsi"/>
          <w:lang w:eastAsia="pt-BR"/>
        </w:rPr>
      </w:pPr>
      <w:r w:rsidRPr="00620E9E">
        <w:rPr>
          <w:rFonts w:eastAsia="Times New Roman" w:cstheme="minorHAnsi"/>
          <w:lang w:eastAsia="pt-BR"/>
        </w:rPr>
        <w:t xml:space="preserve">A solução adotada consiste na execução de pavimentação asfáltica em Concreto Betuminoso Usinado a Quente (CBUQ) sobre o pavimento existente de pedras poliédricas, o qual será aproveitado como camada estrutural de base. Previamente à aplicação do revestimento definitivo, será executada a regularização da superfície por meio de </w:t>
      </w:r>
      <w:r w:rsidRPr="00620E9E">
        <w:rPr>
          <w:rFonts w:eastAsia="Times New Roman" w:cstheme="minorHAnsi"/>
          <w:b/>
          <w:bCs/>
          <w:lang w:eastAsia="pt-BR"/>
        </w:rPr>
        <w:t xml:space="preserve">camada de </w:t>
      </w:r>
      <w:proofErr w:type="spellStart"/>
      <w:r w:rsidRPr="00620E9E">
        <w:rPr>
          <w:rFonts w:eastAsia="Times New Roman" w:cstheme="minorHAnsi"/>
          <w:b/>
          <w:bCs/>
          <w:lang w:eastAsia="pt-BR"/>
        </w:rPr>
        <w:t>reperfilagem</w:t>
      </w:r>
      <w:proofErr w:type="spellEnd"/>
      <w:r w:rsidRPr="00620E9E">
        <w:rPr>
          <w:rFonts w:eastAsia="Times New Roman" w:cstheme="minorHAnsi"/>
          <w:b/>
          <w:bCs/>
          <w:lang w:eastAsia="pt-BR"/>
        </w:rPr>
        <w:t xml:space="preserve"> asfáltica com espessura média de 3,0 cm</w:t>
      </w:r>
      <w:r w:rsidRPr="00620E9E">
        <w:rPr>
          <w:rFonts w:eastAsia="Times New Roman" w:cstheme="minorHAnsi"/>
          <w:lang w:eastAsia="pt-BR"/>
        </w:rPr>
        <w:t>, destinada à correção de irregularidades, recomposição de níveis e melhoria das condições de rolamento e aderência.</w:t>
      </w:r>
    </w:p>
    <w:p w14:paraId="25109BAC" w14:textId="77777777" w:rsidR="00620E9E" w:rsidRPr="00620E9E" w:rsidRDefault="00620E9E" w:rsidP="00620E9E">
      <w:pPr>
        <w:widowControl w:val="0"/>
        <w:spacing w:after="0"/>
        <w:jc w:val="both"/>
        <w:rPr>
          <w:rFonts w:eastAsia="Times New Roman" w:cstheme="minorHAnsi"/>
          <w:lang w:eastAsia="pt-BR"/>
        </w:rPr>
      </w:pPr>
      <w:r w:rsidRPr="00620E9E">
        <w:rPr>
          <w:rFonts w:eastAsia="Times New Roman" w:cstheme="minorHAnsi"/>
          <w:lang w:eastAsia="pt-BR"/>
        </w:rPr>
        <w:lastRenderedPageBreak/>
        <w:t xml:space="preserve">Após a </w:t>
      </w:r>
      <w:proofErr w:type="spellStart"/>
      <w:r w:rsidRPr="00620E9E">
        <w:rPr>
          <w:rFonts w:eastAsia="Times New Roman" w:cstheme="minorHAnsi"/>
          <w:lang w:eastAsia="pt-BR"/>
        </w:rPr>
        <w:t>reperfilagem</w:t>
      </w:r>
      <w:proofErr w:type="spellEnd"/>
      <w:r w:rsidRPr="00620E9E">
        <w:rPr>
          <w:rFonts w:eastAsia="Times New Roman" w:cstheme="minorHAnsi"/>
          <w:lang w:eastAsia="pt-BR"/>
        </w:rPr>
        <w:t>, será aplicada pintura de ligação, seguida da execução da camada de revestimento em CBUQ, conforme especificações técnicas, projetos e normas vigentes. Complementarmente, a solução contempla a adequação do sistema de drenagem superficial, execução de meio-fio e sarjeta, implantação de calçadas com acessibilidade, sinalização horizontal e vertical, além da realização de ensaios tecnológicos para controle e garantia da qualidade dos serviços executados.</w:t>
      </w:r>
    </w:p>
    <w:p w14:paraId="0930EDC1" w14:textId="77777777" w:rsidR="00620E9E" w:rsidRPr="00620E9E" w:rsidRDefault="00620E9E" w:rsidP="00620E9E">
      <w:pPr>
        <w:widowControl w:val="0"/>
        <w:spacing w:after="0"/>
        <w:jc w:val="both"/>
        <w:rPr>
          <w:rFonts w:eastAsia="Times New Roman" w:cstheme="minorHAnsi"/>
          <w:lang w:eastAsia="pt-BR"/>
        </w:rPr>
      </w:pPr>
      <w:r w:rsidRPr="00620E9E">
        <w:rPr>
          <w:rFonts w:eastAsia="Times New Roman" w:cstheme="minorHAnsi"/>
          <w:lang w:eastAsia="pt-BR"/>
        </w:rPr>
        <w:t>A solução definida apresenta adequada relação custo-benefício, reduz prazos de execução e minimiza interferências no tráfego urbano, assegurando desempenho estrutural e funcional compatível com as condições de tráfego previstas, maior durabilidade do pavimento, conforto de rolamento e segurança aos usuários.</w:t>
      </w:r>
    </w:p>
    <w:p w14:paraId="2F9D6700" w14:textId="5839080C" w:rsidR="00562917" w:rsidRDefault="00562917" w:rsidP="00EB2BC7">
      <w:pPr>
        <w:widowControl w:val="0"/>
        <w:spacing w:after="0"/>
        <w:jc w:val="both"/>
        <w:rPr>
          <w:rFonts w:eastAsia="Times New Roman" w:cstheme="minorHAnsi"/>
          <w:b/>
          <w:bCs/>
          <w:lang w:eastAsia="pt-BR"/>
        </w:rPr>
      </w:pPr>
      <w:r w:rsidRPr="00562917">
        <w:rPr>
          <w:rFonts w:eastAsia="Times New Roman" w:cstheme="minorHAnsi"/>
          <w:b/>
          <w:bCs/>
          <w:lang w:eastAsia="pt-BR"/>
        </w:rPr>
        <w:t>8.2. Vias que receberão pavimentação sobre pedras poliédricas:</w:t>
      </w:r>
    </w:p>
    <w:p w14:paraId="29E06CA7" w14:textId="40DBE66C" w:rsidR="009C3A36" w:rsidRDefault="002261AE" w:rsidP="00EB2BC7">
      <w:pPr>
        <w:widowControl w:val="0"/>
        <w:spacing w:after="0"/>
        <w:jc w:val="both"/>
        <w:rPr>
          <w:rFonts w:eastAsia="Times New Roman" w:cstheme="minorHAnsi"/>
          <w:b/>
          <w:bCs/>
          <w:lang w:eastAsia="pt-BR"/>
        </w:rPr>
      </w:pPr>
      <w:r>
        <w:rPr>
          <w:rFonts w:eastAsia="Times New Roman" w:cstheme="minorHAnsi"/>
          <w:b/>
          <w:bCs/>
          <w:noProof/>
          <w:lang w:eastAsia="pt-BR"/>
        </w:rPr>
        <w:drawing>
          <wp:inline distT="0" distB="0" distL="0" distR="0" wp14:anchorId="4F239CC4" wp14:editId="1336D662">
            <wp:extent cx="5400040" cy="1986915"/>
            <wp:effectExtent l="0" t="0" r="0" b="0"/>
            <wp:docPr id="17871245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24535" name="Imagem 1787124535"/>
                    <pic:cNvPicPr/>
                  </pic:nvPicPr>
                  <pic:blipFill>
                    <a:blip r:embed="rId8">
                      <a:extLst>
                        <a:ext uri="{28A0092B-C50C-407E-A947-70E740481C1C}">
                          <a14:useLocalDpi xmlns:a14="http://schemas.microsoft.com/office/drawing/2010/main" val="0"/>
                        </a:ext>
                      </a:extLst>
                    </a:blip>
                    <a:stretch>
                      <a:fillRect/>
                    </a:stretch>
                  </pic:blipFill>
                  <pic:spPr>
                    <a:xfrm>
                      <a:off x="0" y="0"/>
                      <a:ext cx="5400040" cy="1986915"/>
                    </a:xfrm>
                    <a:prstGeom prst="rect">
                      <a:avLst/>
                    </a:prstGeom>
                  </pic:spPr>
                </pic:pic>
              </a:graphicData>
            </a:graphic>
          </wp:inline>
        </w:drawing>
      </w:r>
    </w:p>
    <w:p w14:paraId="35186F2E" w14:textId="458D51FD" w:rsidR="00EB2BC7" w:rsidRPr="00EB2BC7" w:rsidRDefault="00EB2BC7" w:rsidP="00EB2BC7">
      <w:pPr>
        <w:widowControl w:val="0"/>
        <w:spacing w:after="0"/>
        <w:jc w:val="both"/>
        <w:outlineLvl w:val="1"/>
        <w:rPr>
          <w:rFonts w:eastAsia="Times New Roman" w:cstheme="minorHAnsi"/>
          <w:b/>
          <w:bCs/>
          <w:lang w:eastAsia="pt-BR"/>
        </w:rPr>
      </w:pPr>
      <w:r w:rsidRPr="00EB2BC7">
        <w:rPr>
          <w:rFonts w:eastAsia="Times New Roman" w:cstheme="minorHAnsi"/>
          <w:b/>
          <w:bCs/>
          <w:lang w:eastAsia="pt-BR"/>
        </w:rPr>
        <w:t>9. ESTIMATIVA DAS QUANTIDADES A SEREM CONTRATADAS</w:t>
      </w:r>
    </w:p>
    <w:tbl>
      <w:tblPr>
        <w:tblStyle w:val="Tabelacomgrade"/>
        <w:tblW w:w="4938" w:type="pct"/>
        <w:tblInd w:w="108" w:type="dxa"/>
        <w:tblLook w:val="04A0" w:firstRow="1" w:lastRow="0" w:firstColumn="1" w:lastColumn="0" w:noHBand="0" w:noVBand="1"/>
      </w:tblPr>
      <w:tblGrid>
        <w:gridCol w:w="686"/>
        <w:gridCol w:w="4893"/>
        <w:gridCol w:w="1238"/>
        <w:gridCol w:w="1795"/>
      </w:tblGrid>
      <w:tr w:rsidR="00EB2BC7" w:rsidRPr="00EB2BC7" w14:paraId="2FB49EA0" w14:textId="77777777" w:rsidTr="00045617">
        <w:tc>
          <w:tcPr>
            <w:tcW w:w="398" w:type="pct"/>
            <w:hideMark/>
          </w:tcPr>
          <w:p w14:paraId="056E0DA8"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ITEM</w:t>
            </w:r>
          </w:p>
        </w:tc>
        <w:tc>
          <w:tcPr>
            <w:tcW w:w="2841" w:type="pct"/>
            <w:hideMark/>
          </w:tcPr>
          <w:p w14:paraId="6A0EA69E"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DESCRIÇÃO</w:t>
            </w:r>
          </w:p>
        </w:tc>
        <w:tc>
          <w:tcPr>
            <w:tcW w:w="719" w:type="pct"/>
            <w:hideMark/>
          </w:tcPr>
          <w:p w14:paraId="4F1AEB44"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UNIDADE</w:t>
            </w:r>
          </w:p>
        </w:tc>
        <w:tc>
          <w:tcPr>
            <w:tcW w:w="1042" w:type="pct"/>
            <w:hideMark/>
          </w:tcPr>
          <w:p w14:paraId="56C070CF"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QUANTIDADE</w:t>
            </w:r>
          </w:p>
        </w:tc>
      </w:tr>
      <w:tr w:rsidR="00EB2BC7" w:rsidRPr="00EB2BC7" w14:paraId="367215CE" w14:textId="77777777" w:rsidTr="00045617">
        <w:tc>
          <w:tcPr>
            <w:tcW w:w="398" w:type="pct"/>
            <w:hideMark/>
          </w:tcPr>
          <w:p w14:paraId="3F362968"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1</w:t>
            </w:r>
          </w:p>
        </w:tc>
        <w:tc>
          <w:tcPr>
            <w:tcW w:w="2841" w:type="pct"/>
            <w:hideMark/>
          </w:tcPr>
          <w:p w14:paraId="1BDF46FC" w14:textId="1800295E"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 xml:space="preserve">Serviços </w:t>
            </w:r>
            <w:proofErr w:type="gramStart"/>
            <w:r w:rsidRPr="00EB2BC7">
              <w:rPr>
                <w:rFonts w:eastAsia="Times New Roman" w:cstheme="minorHAnsi"/>
                <w:lang w:eastAsia="pt-BR"/>
              </w:rPr>
              <w:t>Preliminares  e</w:t>
            </w:r>
            <w:proofErr w:type="gramEnd"/>
            <w:r w:rsidRPr="00EB2BC7">
              <w:rPr>
                <w:rFonts w:eastAsia="Times New Roman" w:cstheme="minorHAnsi"/>
                <w:lang w:eastAsia="pt-BR"/>
              </w:rPr>
              <w:t xml:space="preserve"> placa</w:t>
            </w:r>
          </w:p>
        </w:tc>
        <w:tc>
          <w:tcPr>
            <w:tcW w:w="719" w:type="pct"/>
            <w:hideMark/>
          </w:tcPr>
          <w:p w14:paraId="5FB300F8" w14:textId="77777777" w:rsidR="00EB2BC7" w:rsidRPr="00EB2BC7" w:rsidRDefault="00EB2BC7" w:rsidP="00E84BFB">
            <w:pPr>
              <w:widowControl w:val="0"/>
              <w:spacing w:line="276" w:lineRule="auto"/>
              <w:jc w:val="center"/>
              <w:rPr>
                <w:rFonts w:eastAsia="Times New Roman" w:cstheme="minorHAnsi"/>
                <w:lang w:eastAsia="pt-BR"/>
              </w:rPr>
            </w:pPr>
            <w:r w:rsidRPr="00EB2BC7">
              <w:rPr>
                <w:rFonts w:eastAsia="Times New Roman" w:cstheme="minorHAnsi"/>
                <w:lang w:eastAsia="pt-BR"/>
              </w:rPr>
              <w:t>conjunto</w:t>
            </w:r>
          </w:p>
        </w:tc>
        <w:tc>
          <w:tcPr>
            <w:tcW w:w="1042" w:type="pct"/>
            <w:hideMark/>
          </w:tcPr>
          <w:p w14:paraId="7139189C" w14:textId="77777777" w:rsidR="00EB2BC7" w:rsidRPr="00EB2BC7" w:rsidRDefault="00EB2BC7" w:rsidP="00E84BFB">
            <w:pPr>
              <w:widowControl w:val="0"/>
              <w:spacing w:line="276" w:lineRule="auto"/>
              <w:jc w:val="center"/>
              <w:rPr>
                <w:rFonts w:eastAsia="Times New Roman" w:cstheme="minorHAnsi"/>
                <w:lang w:eastAsia="pt-BR"/>
              </w:rPr>
            </w:pPr>
            <w:r w:rsidRPr="00EB2BC7">
              <w:rPr>
                <w:rFonts w:eastAsia="Times New Roman" w:cstheme="minorHAnsi"/>
                <w:lang w:eastAsia="pt-BR"/>
              </w:rPr>
              <w:t>1,00</w:t>
            </w:r>
          </w:p>
        </w:tc>
      </w:tr>
      <w:tr w:rsidR="00EB2BC7" w:rsidRPr="00EB2BC7" w14:paraId="4C6273F4" w14:textId="77777777" w:rsidTr="00045617">
        <w:tc>
          <w:tcPr>
            <w:tcW w:w="398" w:type="pct"/>
            <w:hideMark/>
          </w:tcPr>
          <w:p w14:paraId="51BB4080"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2</w:t>
            </w:r>
          </w:p>
        </w:tc>
        <w:tc>
          <w:tcPr>
            <w:tcW w:w="2841" w:type="pct"/>
            <w:hideMark/>
          </w:tcPr>
          <w:p w14:paraId="17A63EFA" w14:textId="0F1F9BD7" w:rsidR="00EB2BC7" w:rsidRPr="00EB2BC7" w:rsidRDefault="00260C0B" w:rsidP="00EB2BC7">
            <w:pPr>
              <w:widowControl w:val="0"/>
              <w:spacing w:line="276" w:lineRule="auto"/>
              <w:jc w:val="both"/>
              <w:rPr>
                <w:rFonts w:eastAsia="Times New Roman" w:cstheme="minorHAnsi"/>
                <w:lang w:eastAsia="pt-BR"/>
              </w:rPr>
            </w:pPr>
            <w:r>
              <w:rPr>
                <w:rFonts w:eastAsia="Times New Roman" w:cstheme="minorHAnsi"/>
                <w:lang w:eastAsia="pt-BR"/>
              </w:rPr>
              <w:t>Locação de pavimentação</w:t>
            </w:r>
          </w:p>
        </w:tc>
        <w:tc>
          <w:tcPr>
            <w:tcW w:w="719" w:type="pct"/>
            <w:hideMark/>
          </w:tcPr>
          <w:p w14:paraId="5FCAB371" w14:textId="4AAA4C7D" w:rsidR="00EB2BC7" w:rsidRPr="00EB2BC7" w:rsidRDefault="00EB2BC7" w:rsidP="00E84BFB">
            <w:pPr>
              <w:widowControl w:val="0"/>
              <w:spacing w:line="276" w:lineRule="auto"/>
              <w:jc w:val="center"/>
              <w:rPr>
                <w:rFonts w:eastAsia="Times New Roman" w:cstheme="minorHAnsi"/>
                <w:lang w:eastAsia="pt-BR"/>
              </w:rPr>
            </w:pPr>
            <w:r w:rsidRPr="00EB2BC7">
              <w:rPr>
                <w:rFonts w:eastAsia="Times New Roman" w:cstheme="minorHAnsi"/>
                <w:lang w:eastAsia="pt-BR"/>
              </w:rPr>
              <w:t>m</w:t>
            </w:r>
          </w:p>
        </w:tc>
        <w:tc>
          <w:tcPr>
            <w:tcW w:w="1042" w:type="pct"/>
            <w:hideMark/>
          </w:tcPr>
          <w:p w14:paraId="7E52DFD9" w14:textId="27376F10" w:rsidR="00EB2BC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2.350,35</w:t>
            </w:r>
          </w:p>
        </w:tc>
      </w:tr>
      <w:tr w:rsidR="00EB2BC7" w:rsidRPr="00EB2BC7" w14:paraId="47B82190" w14:textId="77777777" w:rsidTr="00045617">
        <w:tc>
          <w:tcPr>
            <w:tcW w:w="398" w:type="pct"/>
            <w:hideMark/>
          </w:tcPr>
          <w:p w14:paraId="780735AC"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3</w:t>
            </w:r>
          </w:p>
        </w:tc>
        <w:tc>
          <w:tcPr>
            <w:tcW w:w="2841" w:type="pct"/>
            <w:hideMark/>
          </w:tcPr>
          <w:p w14:paraId="58C71AED" w14:textId="77777777" w:rsidR="00260C0B" w:rsidRDefault="00260C0B" w:rsidP="00260C0B">
            <w:pPr>
              <w:jc w:val="both"/>
              <w:rPr>
                <w:rFonts w:ascii="Arial" w:hAnsi="Arial" w:cs="Arial"/>
                <w:sz w:val="16"/>
                <w:szCs w:val="16"/>
              </w:rPr>
            </w:pPr>
            <w:r>
              <w:rPr>
                <w:rFonts w:ascii="Arial" w:hAnsi="Arial" w:cs="Arial"/>
                <w:sz w:val="16"/>
                <w:szCs w:val="16"/>
              </w:rPr>
              <w:t xml:space="preserve">Limpeza e Lavagem da pista </w:t>
            </w:r>
            <w:proofErr w:type="gramStart"/>
            <w:r>
              <w:rPr>
                <w:rFonts w:ascii="Arial" w:hAnsi="Arial" w:cs="Arial"/>
                <w:sz w:val="16"/>
                <w:szCs w:val="16"/>
              </w:rPr>
              <w:t>( Recape</w:t>
            </w:r>
            <w:proofErr w:type="gramEnd"/>
            <w:r>
              <w:rPr>
                <w:rFonts w:ascii="Arial" w:hAnsi="Arial" w:cs="Arial"/>
                <w:sz w:val="16"/>
                <w:szCs w:val="16"/>
              </w:rPr>
              <w:t xml:space="preserve"> )</w:t>
            </w:r>
          </w:p>
          <w:p w14:paraId="47A3061D" w14:textId="4803142A" w:rsidR="00EB2BC7" w:rsidRPr="00260C0B" w:rsidRDefault="00EB2BC7" w:rsidP="00260C0B">
            <w:pPr>
              <w:jc w:val="both"/>
              <w:rPr>
                <w:rFonts w:eastAsia="Times New Roman" w:cstheme="minorHAnsi"/>
                <w:sz w:val="20"/>
                <w:szCs w:val="20"/>
                <w:lang w:eastAsia="pt-BR"/>
              </w:rPr>
            </w:pPr>
          </w:p>
        </w:tc>
        <w:tc>
          <w:tcPr>
            <w:tcW w:w="719" w:type="pct"/>
            <w:hideMark/>
          </w:tcPr>
          <w:p w14:paraId="542E5F79" w14:textId="39C4A35A" w:rsidR="00EB2BC7" w:rsidRPr="00EB2BC7" w:rsidRDefault="00045617" w:rsidP="00E84BFB">
            <w:pPr>
              <w:widowControl w:val="0"/>
              <w:spacing w:line="276" w:lineRule="auto"/>
              <w:jc w:val="center"/>
              <w:rPr>
                <w:rFonts w:eastAsia="Times New Roman" w:cstheme="minorHAnsi"/>
                <w:lang w:eastAsia="pt-BR"/>
              </w:rPr>
            </w:pPr>
            <w:r>
              <w:rPr>
                <w:rFonts w:eastAsia="Times New Roman" w:cstheme="minorHAnsi"/>
                <w:lang w:eastAsia="pt-BR"/>
              </w:rPr>
              <w:t>m²</w:t>
            </w:r>
          </w:p>
        </w:tc>
        <w:tc>
          <w:tcPr>
            <w:tcW w:w="1042" w:type="pct"/>
            <w:hideMark/>
          </w:tcPr>
          <w:p w14:paraId="1211961A" w14:textId="2A6C59DE" w:rsidR="00EB2BC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8.678,12</w:t>
            </w:r>
          </w:p>
        </w:tc>
      </w:tr>
      <w:tr w:rsidR="00EB2BC7" w:rsidRPr="00EB2BC7" w14:paraId="0B08E3F8" w14:textId="77777777" w:rsidTr="00045617">
        <w:tc>
          <w:tcPr>
            <w:tcW w:w="398" w:type="pct"/>
            <w:hideMark/>
          </w:tcPr>
          <w:p w14:paraId="7DEC5B0A"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4</w:t>
            </w:r>
          </w:p>
        </w:tc>
        <w:tc>
          <w:tcPr>
            <w:tcW w:w="2841" w:type="pct"/>
            <w:hideMark/>
          </w:tcPr>
          <w:p w14:paraId="01322BE7" w14:textId="77777777" w:rsidR="00260C0B" w:rsidRDefault="00260C0B" w:rsidP="00260C0B">
            <w:pPr>
              <w:jc w:val="both"/>
              <w:rPr>
                <w:rFonts w:ascii="Arial" w:hAnsi="Arial" w:cs="Arial"/>
                <w:sz w:val="16"/>
                <w:szCs w:val="16"/>
              </w:rPr>
            </w:pPr>
            <w:r>
              <w:rPr>
                <w:rFonts w:ascii="Arial" w:hAnsi="Arial" w:cs="Arial"/>
                <w:sz w:val="16"/>
                <w:szCs w:val="16"/>
              </w:rPr>
              <w:t>Pintura de ligação com RR-1C - exclusive emulsão</w:t>
            </w:r>
          </w:p>
          <w:p w14:paraId="6F6D84A4" w14:textId="5A84004B" w:rsidR="00EB2BC7" w:rsidRPr="00EB2BC7" w:rsidRDefault="00EB2BC7" w:rsidP="00EB2BC7">
            <w:pPr>
              <w:widowControl w:val="0"/>
              <w:spacing w:line="276" w:lineRule="auto"/>
              <w:jc w:val="both"/>
              <w:rPr>
                <w:rFonts w:eastAsia="Times New Roman" w:cstheme="minorHAnsi"/>
                <w:lang w:eastAsia="pt-BR"/>
              </w:rPr>
            </w:pPr>
          </w:p>
        </w:tc>
        <w:tc>
          <w:tcPr>
            <w:tcW w:w="719" w:type="pct"/>
            <w:hideMark/>
          </w:tcPr>
          <w:p w14:paraId="57868B13" w14:textId="7D884A14" w:rsidR="00EB2BC7" w:rsidRPr="00EB2BC7" w:rsidRDefault="00045617" w:rsidP="00E84BFB">
            <w:pPr>
              <w:widowControl w:val="0"/>
              <w:spacing w:line="276" w:lineRule="auto"/>
              <w:jc w:val="center"/>
              <w:rPr>
                <w:rFonts w:eastAsia="Times New Roman" w:cstheme="minorHAnsi"/>
                <w:lang w:eastAsia="pt-BR"/>
              </w:rPr>
            </w:pPr>
            <w:r>
              <w:rPr>
                <w:rFonts w:eastAsia="Times New Roman" w:cstheme="minorHAnsi"/>
                <w:lang w:eastAsia="pt-BR"/>
              </w:rPr>
              <w:t>m²</w:t>
            </w:r>
          </w:p>
        </w:tc>
        <w:tc>
          <w:tcPr>
            <w:tcW w:w="1042" w:type="pct"/>
            <w:hideMark/>
          </w:tcPr>
          <w:p w14:paraId="5F924FB6" w14:textId="75111D04" w:rsidR="00EB2BC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17.302,24</w:t>
            </w:r>
          </w:p>
        </w:tc>
      </w:tr>
      <w:tr w:rsidR="00EB2BC7" w:rsidRPr="00EB2BC7" w14:paraId="59A96174" w14:textId="77777777" w:rsidTr="00045617">
        <w:tc>
          <w:tcPr>
            <w:tcW w:w="398" w:type="pct"/>
            <w:hideMark/>
          </w:tcPr>
          <w:p w14:paraId="6F1E5551"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5</w:t>
            </w:r>
          </w:p>
        </w:tc>
        <w:tc>
          <w:tcPr>
            <w:tcW w:w="2841" w:type="pct"/>
            <w:hideMark/>
          </w:tcPr>
          <w:p w14:paraId="0536F672" w14:textId="77777777" w:rsidR="00260C0B" w:rsidRDefault="00260C0B" w:rsidP="00260C0B">
            <w:pPr>
              <w:jc w:val="both"/>
              <w:rPr>
                <w:rFonts w:ascii="Arial" w:hAnsi="Arial" w:cs="Arial"/>
                <w:sz w:val="16"/>
                <w:szCs w:val="16"/>
              </w:rPr>
            </w:pPr>
            <w:r>
              <w:rPr>
                <w:rFonts w:ascii="Arial" w:hAnsi="Arial" w:cs="Arial"/>
                <w:sz w:val="16"/>
                <w:szCs w:val="16"/>
              </w:rPr>
              <w:t>Fornecimento de emulsão RR-1C - pintura de ligação</w:t>
            </w:r>
          </w:p>
          <w:p w14:paraId="79BBF56A" w14:textId="5C866E07" w:rsidR="00EB2BC7" w:rsidRPr="00EB2BC7" w:rsidRDefault="00EB2BC7" w:rsidP="00EB2BC7">
            <w:pPr>
              <w:widowControl w:val="0"/>
              <w:spacing w:line="276" w:lineRule="auto"/>
              <w:jc w:val="both"/>
              <w:rPr>
                <w:rFonts w:eastAsia="Times New Roman" w:cstheme="minorHAnsi"/>
                <w:lang w:eastAsia="pt-BR"/>
              </w:rPr>
            </w:pPr>
          </w:p>
        </w:tc>
        <w:tc>
          <w:tcPr>
            <w:tcW w:w="719" w:type="pct"/>
            <w:hideMark/>
          </w:tcPr>
          <w:p w14:paraId="3AC2E06A" w14:textId="77777777" w:rsidR="00EB2BC7" w:rsidRPr="00EB2BC7" w:rsidRDefault="00EB2BC7" w:rsidP="00E84BFB">
            <w:pPr>
              <w:widowControl w:val="0"/>
              <w:spacing w:line="276" w:lineRule="auto"/>
              <w:jc w:val="center"/>
              <w:rPr>
                <w:rFonts w:eastAsia="Times New Roman" w:cstheme="minorHAnsi"/>
                <w:lang w:eastAsia="pt-BR"/>
              </w:rPr>
            </w:pPr>
            <w:proofErr w:type="spellStart"/>
            <w:r w:rsidRPr="00EB2BC7">
              <w:rPr>
                <w:rFonts w:eastAsia="Times New Roman" w:cstheme="minorHAnsi"/>
                <w:lang w:eastAsia="pt-BR"/>
              </w:rPr>
              <w:t>ton</w:t>
            </w:r>
            <w:proofErr w:type="spellEnd"/>
          </w:p>
        </w:tc>
        <w:tc>
          <w:tcPr>
            <w:tcW w:w="1042" w:type="pct"/>
            <w:hideMark/>
          </w:tcPr>
          <w:p w14:paraId="6128148D" w14:textId="1659BD68" w:rsidR="00EB2BC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8,66</w:t>
            </w:r>
          </w:p>
        </w:tc>
      </w:tr>
      <w:tr w:rsidR="00EB2BC7" w:rsidRPr="00EB2BC7" w14:paraId="65950D05" w14:textId="77777777" w:rsidTr="00045617">
        <w:tc>
          <w:tcPr>
            <w:tcW w:w="398" w:type="pct"/>
            <w:hideMark/>
          </w:tcPr>
          <w:p w14:paraId="520C7F1F"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6</w:t>
            </w:r>
          </w:p>
        </w:tc>
        <w:tc>
          <w:tcPr>
            <w:tcW w:w="2841" w:type="pct"/>
            <w:hideMark/>
          </w:tcPr>
          <w:p w14:paraId="7A1CE175" w14:textId="764ACB6E" w:rsidR="00260C0B" w:rsidRPr="009F6F86" w:rsidRDefault="00260C0B" w:rsidP="00260C0B">
            <w:pPr>
              <w:jc w:val="both"/>
              <w:rPr>
                <w:rFonts w:ascii="Arial" w:hAnsi="Arial" w:cs="Arial"/>
                <w:sz w:val="16"/>
                <w:szCs w:val="16"/>
              </w:rPr>
            </w:pPr>
            <w:r w:rsidRPr="009F6F86">
              <w:rPr>
                <w:rFonts w:ascii="Arial" w:hAnsi="Arial" w:cs="Arial"/>
                <w:sz w:val="16"/>
                <w:szCs w:val="16"/>
              </w:rPr>
              <w:t xml:space="preserve">CBUQ - Novo traço - Reperfilamento 2 - "FAIXA </w:t>
            </w:r>
            <w:r w:rsidR="00B43EC5">
              <w:rPr>
                <w:rFonts w:ascii="Arial" w:hAnsi="Arial" w:cs="Arial"/>
                <w:sz w:val="16"/>
                <w:szCs w:val="16"/>
              </w:rPr>
              <w:t>C</w:t>
            </w:r>
            <w:r w:rsidRPr="009F6F86">
              <w:rPr>
                <w:rFonts w:ascii="Arial" w:hAnsi="Arial" w:cs="Arial"/>
                <w:sz w:val="16"/>
                <w:szCs w:val="16"/>
              </w:rPr>
              <w:t xml:space="preserve">" - (Quant. menor que 10.000 </w:t>
            </w:r>
            <w:proofErr w:type="spellStart"/>
            <w:r w:rsidRPr="009F6F86">
              <w:rPr>
                <w:rFonts w:ascii="Arial" w:hAnsi="Arial" w:cs="Arial"/>
                <w:sz w:val="16"/>
                <w:szCs w:val="16"/>
              </w:rPr>
              <w:t>ton</w:t>
            </w:r>
            <w:proofErr w:type="spellEnd"/>
            <w:r w:rsidRPr="009F6F86">
              <w:rPr>
                <w:rFonts w:ascii="Arial" w:hAnsi="Arial" w:cs="Arial"/>
                <w:sz w:val="16"/>
                <w:szCs w:val="16"/>
              </w:rPr>
              <w:t>)</w:t>
            </w:r>
          </w:p>
          <w:p w14:paraId="4475BC40" w14:textId="7D7DE402" w:rsidR="00EB2BC7" w:rsidRPr="009F6F86" w:rsidRDefault="00EB2BC7" w:rsidP="00EB2BC7">
            <w:pPr>
              <w:widowControl w:val="0"/>
              <w:spacing w:line="276" w:lineRule="auto"/>
              <w:jc w:val="both"/>
              <w:rPr>
                <w:rFonts w:eastAsia="Times New Roman" w:cstheme="minorHAnsi"/>
                <w:lang w:eastAsia="pt-BR"/>
              </w:rPr>
            </w:pPr>
          </w:p>
        </w:tc>
        <w:tc>
          <w:tcPr>
            <w:tcW w:w="719" w:type="pct"/>
            <w:hideMark/>
          </w:tcPr>
          <w:p w14:paraId="73C3C3FB" w14:textId="77777777" w:rsidR="00EB2BC7" w:rsidRPr="00EB2BC7" w:rsidRDefault="00EB2BC7" w:rsidP="00E84BFB">
            <w:pPr>
              <w:widowControl w:val="0"/>
              <w:spacing w:line="276" w:lineRule="auto"/>
              <w:jc w:val="center"/>
              <w:rPr>
                <w:rFonts w:eastAsia="Times New Roman" w:cstheme="minorHAnsi"/>
                <w:lang w:eastAsia="pt-BR"/>
              </w:rPr>
            </w:pPr>
            <w:proofErr w:type="spellStart"/>
            <w:r w:rsidRPr="00EB2BC7">
              <w:rPr>
                <w:rFonts w:eastAsia="Times New Roman" w:cstheme="minorHAnsi"/>
                <w:lang w:eastAsia="pt-BR"/>
              </w:rPr>
              <w:t>ton</w:t>
            </w:r>
            <w:proofErr w:type="spellEnd"/>
          </w:p>
        </w:tc>
        <w:tc>
          <w:tcPr>
            <w:tcW w:w="1042" w:type="pct"/>
            <w:hideMark/>
          </w:tcPr>
          <w:p w14:paraId="38426121" w14:textId="56EC1E1D" w:rsidR="00EB2BC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665,39</w:t>
            </w:r>
          </w:p>
        </w:tc>
      </w:tr>
      <w:tr w:rsidR="00EB2BC7" w:rsidRPr="00EB2BC7" w14:paraId="05477409" w14:textId="77777777" w:rsidTr="00045617">
        <w:tc>
          <w:tcPr>
            <w:tcW w:w="398" w:type="pct"/>
            <w:hideMark/>
          </w:tcPr>
          <w:p w14:paraId="22217773" w14:textId="77777777" w:rsidR="00EB2BC7" w:rsidRPr="00EB2BC7" w:rsidRDefault="00EB2BC7" w:rsidP="00EB2BC7">
            <w:pPr>
              <w:widowControl w:val="0"/>
              <w:spacing w:line="276" w:lineRule="auto"/>
              <w:jc w:val="both"/>
              <w:rPr>
                <w:rFonts w:eastAsia="Times New Roman" w:cstheme="minorHAnsi"/>
                <w:lang w:eastAsia="pt-BR"/>
              </w:rPr>
            </w:pPr>
            <w:r w:rsidRPr="00EB2BC7">
              <w:rPr>
                <w:rFonts w:eastAsia="Times New Roman" w:cstheme="minorHAnsi"/>
                <w:lang w:eastAsia="pt-BR"/>
              </w:rPr>
              <w:t>7</w:t>
            </w:r>
          </w:p>
        </w:tc>
        <w:tc>
          <w:tcPr>
            <w:tcW w:w="2841" w:type="pct"/>
            <w:hideMark/>
          </w:tcPr>
          <w:p w14:paraId="538EFF8A" w14:textId="627BEF6B" w:rsidR="00260C0B" w:rsidRPr="009F6F86" w:rsidRDefault="00260C0B" w:rsidP="00260C0B">
            <w:pPr>
              <w:jc w:val="both"/>
              <w:rPr>
                <w:rFonts w:ascii="Arial" w:hAnsi="Arial" w:cs="Arial"/>
                <w:sz w:val="16"/>
                <w:szCs w:val="16"/>
              </w:rPr>
            </w:pPr>
            <w:r w:rsidRPr="009F6F86">
              <w:rPr>
                <w:rFonts w:ascii="Arial" w:hAnsi="Arial" w:cs="Arial"/>
                <w:sz w:val="16"/>
                <w:szCs w:val="16"/>
              </w:rPr>
              <w:t>CBUQ - Novos traços - TRAÇO 4 - FAIXA "</w:t>
            </w:r>
            <w:r w:rsidR="00B43EC5">
              <w:rPr>
                <w:rFonts w:ascii="Arial" w:hAnsi="Arial" w:cs="Arial"/>
                <w:sz w:val="16"/>
                <w:szCs w:val="16"/>
              </w:rPr>
              <w:t>C</w:t>
            </w:r>
            <w:proofErr w:type="gramStart"/>
            <w:r w:rsidRPr="009F6F86">
              <w:rPr>
                <w:rFonts w:ascii="Arial" w:hAnsi="Arial" w:cs="Arial"/>
                <w:sz w:val="16"/>
                <w:szCs w:val="16"/>
              </w:rPr>
              <w:t>"  -</w:t>
            </w:r>
            <w:proofErr w:type="gramEnd"/>
            <w:r w:rsidRPr="009F6F86">
              <w:rPr>
                <w:rFonts w:ascii="Arial" w:hAnsi="Arial" w:cs="Arial"/>
                <w:sz w:val="16"/>
                <w:szCs w:val="16"/>
              </w:rPr>
              <w:t xml:space="preserve"> (Quant. menor que 10.000 </w:t>
            </w:r>
            <w:proofErr w:type="spellStart"/>
            <w:r w:rsidRPr="009F6F86">
              <w:rPr>
                <w:rFonts w:ascii="Arial" w:hAnsi="Arial" w:cs="Arial"/>
                <w:sz w:val="16"/>
                <w:szCs w:val="16"/>
              </w:rPr>
              <w:t>ton</w:t>
            </w:r>
            <w:proofErr w:type="spellEnd"/>
            <w:r w:rsidRPr="009F6F86">
              <w:rPr>
                <w:rFonts w:ascii="Arial" w:hAnsi="Arial" w:cs="Arial"/>
                <w:sz w:val="16"/>
                <w:szCs w:val="16"/>
              </w:rPr>
              <w:t>)</w:t>
            </w:r>
          </w:p>
          <w:p w14:paraId="78F02933" w14:textId="61040802" w:rsidR="00EB2BC7" w:rsidRPr="009F6F86" w:rsidRDefault="00EB2BC7" w:rsidP="00EB2BC7">
            <w:pPr>
              <w:widowControl w:val="0"/>
              <w:spacing w:line="276" w:lineRule="auto"/>
              <w:jc w:val="both"/>
              <w:rPr>
                <w:rFonts w:eastAsia="Times New Roman" w:cstheme="minorHAnsi"/>
                <w:lang w:eastAsia="pt-BR"/>
              </w:rPr>
            </w:pPr>
          </w:p>
        </w:tc>
        <w:tc>
          <w:tcPr>
            <w:tcW w:w="719" w:type="pct"/>
            <w:hideMark/>
          </w:tcPr>
          <w:p w14:paraId="30699319" w14:textId="30808977" w:rsidR="00EB2BC7" w:rsidRPr="00EB2BC7" w:rsidRDefault="00045617" w:rsidP="00E84BFB">
            <w:pPr>
              <w:widowControl w:val="0"/>
              <w:spacing w:line="276" w:lineRule="auto"/>
              <w:jc w:val="center"/>
              <w:rPr>
                <w:rFonts w:eastAsia="Times New Roman" w:cstheme="minorHAnsi"/>
                <w:lang w:eastAsia="pt-BR"/>
              </w:rPr>
            </w:pPr>
            <w:proofErr w:type="spellStart"/>
            <w:r>
              <w:rPr>
                <w:rFonts w:eastAsia="Times New Roman" w:cstheme="minorHAnsi"/>
                <w:lang w:eastAsia="pt-BR"/>
              </w:rPr>
              <w:t>ton</w:t>
            </w:r>
            <w:proofErr w:type="spellEnd"/>
          </w:p>
        </w:tc>
        <w:tc>
          <w:tcPr>
            <w:tcW w:w="1042" w:type="pct"/>
            <w:hideMark/>
          </w:tcPr>
          <w:p w14:paraId="5D3CEC70" w14:textId="2887BC4C" w:rsidR="00EB2BC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665,39</w:t>
            </w:r>
          </w:p>
        </w:tc>
      </w:tr>
      <w:tr w:rsidR="00045617" w:rsidRPr="00EB2BC7" w14:paraId="03412EC3" w14:textId="77777777" w:rsidTr="00045617">
        <w:tc>
          <w:tcPr>
            <w:tcW w:w="398" w:type="pct"/>
          </w:tcPr>
          <w:p w14:paraId="4B8011C9" w14:textId="76ABAADB" w:rsidR="00045617" w:rsidRPr="00EB2BC7" w:rsidRDefault="00045617" w:rsidP="00EB2BC7">
            <w:pPr>
              <w:widowControl w:val="0"/>
              <w:jc w:val="both"/>
              <w:rPr>
                <w:rFonts w:eastAsia="Times New Roman" w:cstheme="minorHAnsi"/>
                <w:lang w:eastAsia="pt-BR"/>
              </w:rPr>
            </w:pPr>
            <w:r>
              <w:rPr>
                <w:rFonts w:eastAsia="Times New Roman" w:cstheme="minorHAnsi"/>
                <w:lang w:eastAsia="pt-BR"/>
              </w:rPr>
              <w:t>8</w:t>
            </w:r>
          </w:p>
        </w:tc>
        <w:tc>
          <w:tcPr>
            <w:tcW w:w="2841" w:type="pct"/>
          </w:tcPr>
          <w:p w14:paraId="3752471D" w14:textId="77777777" w:rsidR="00045617" w:rsidRDefault="00045617" w:rsidP="00045617">
            <w:pPr>
              <w:jc w:val="both"/>
              <w:rPr>
                <w:rFonts w:ascii="Arial" w:hAnsi="Arial" w:cs="Arial"/>
                <w:sz w:val="16"/>
                <w:szCs w:val="16"/>
              </w:rPr>
            </w:pPr>
            <w:r>
              <w:rPr>
                <w:rFonts w:ascii="Arial" w:hAnsi="Arial" w:cs="Arial"/>
                <w:sz w:val="16"/>
                <w:szCs w:val="16"/>
              </w:rPr>
              <w:t xml:space="preserve">Fornecimento de CAP - CBUQ (Quantidade menor que 10.000 </w:t>
            </w:r>
            <w:proofErr w:type="spellStart"/>
            <w:r>
              <w:rPr>
                <w:rFonts w:ascii="Arial" w:hAnsi="Arial" w:cs="Arial"/>
                <w:sz w:val="16"/>
                <w:szCs w:val="16"/>
              </w:rPr>
              <w:t>ton</w:t>
            </w:r>
            <w:proofErr w:type="spellEnd"/>
            <w:r>
              <w:rPr>
                <w:rFonts w:ascii="Arial" w:hAnsi="Arial" w:cs="Arial"/>
                <w:sz w:val="16"/>
                <w:szCs w:val="16"/>
              </w:rPr>
              <w:t>)</w:t>
            </w:r>
          </w:p>
          <w:p w14:paraId="0B37221E" w14:textId="77777777" w:rsidR="00045617" w:rsidRDefault="00045617" w:rsidP="00260C0B">
            <w:pPr>
              <w:jc w:val="both"/>
              <w:rPr>
                <w:rFonts w:ascii="Arial" w:hAnsi="Arial" w:cs="Arial"/>
                <w:b/>
                <w:bCs/>
                <w:color w:val="0000FF"/>
                <w:sz w:val="16"/>
                <w:szCs w:val="16"/>
              </w:rPr>
            </w:pPr>
          </w:p>
        </w:tc>
        <w:tc>
          <w:tcPr>
            <w:tcW w:w="719" w:type="pct"/>
          </w:tcPr>
          <w:p w14:paraId="5D24810F" w14:textId="2000F3EB" w:rsidR="00045617" w:rsidRDefault="00045617" w:rsidP="00E84BFB">
            <w:pPr>
              <w:widowControl w:val="0"/>
              <w:jc w:val="center"/>
              <w:rPr>
                <w:rFonts w:eastAsia="Times New Roman" w:cstheme="minorHAnsi"/>
                <w:lang w:eastAsia="pt-BR"/>
              </w:rPr>
            </w:pPr>
            <w:proofErr w:type="spellStart"/>
            <w:r>
              <w:rPr>
                <w:rFonts w:eastAsia="Times New Roman" w:cstheme="minorHAnsi"/>
                <w:lang w:eastAsia="pt-BR"/>
              </w:rPr>
              <w:t>ton</w:t>
            </w:r>
            <w:proofErr w:type="spellEnd"/>
          </w:p>
        </w:tc>
        <w:tc>
          <w:tcPr>
            <w:tcW w:w="1042" w:type="pct"/>
          </w:tcPr>
          <w:p w14:paraId="5C780413" w14:textId="7BA7D1F9" w:rsidR="00045617" w:rsidRDefault="002261AE" w:rsidP="00E84BFB">
            <w:pPr>
              <w:widowControl w:val="0"/>
              <w:jc w:val="center"/>
              <w:rPr>
                <w:rFonts w:eastAsia="Times New Roman" w:cstheme="minorHAnsi"/>
                <w:lang w:eastAsia="pt-BR"/>
              </w:rPr>
            </w:pPr>
            <w:r>
              <w:rPr>
                <w:rFonts w:eastAsia="Times New Roman" w:cstheme="minorHAnsi"/>
                <w:lang w:eastAsia="pt-BR"/>
              </w:rPr>
              <w:t>68,53</w:t>
            </w:r>
          </w:p>
        </w:tc>
      </w:tr>
      <w:tr w:rsidR="00045617" w:rsidRPr="00EB2BC7" w14:paraId="5B437E01" w14:textId="77777777" w:rsidTr="00045617">
        <w:tc>
          <w:tcPr>
            <w:tcW w:w="398" w:type="pct"/>
            <w:hideMark/>
          </w:tcPr>
          <w:p w14:paraId="213B2D9A" w14:textId="37CB481B" w:rsidR="00045617" w:rsidRPr="00EB2BC7" w:rsidRDefault="00045617" w:rsidP="00045617">
            <w:pPr>
              <w:widowControl w:val="0"/>
              <w:spacing w:line="276" w:lineRule="auto"/>
              <w:jc w:val="both"/>
              <w:rPr>
                <w:rFonts w:eastAsia="Times New Roman" w:cstheme="minorHAnsi"/>
                <w:lang w:eastAsia="pt-BR"/>
              </w:rPr>
            </w:pPr>
            <w:r w:rsidRPr="00EB2BC7">
              <w:rPr>
                <w:rFonts w:eastAsia="Times New Roman" w:cstheme="minorHAnsi"/>
                <w:lang w:eastAsia="pt-BR"/>
              </w:rPr>
              <w:t>9</w:t>
            </w:r>
          </w:p>
        </w:tc>
        <w:tc>
          <w:tcPr>
            <w:tcW w:w="2841" w:type="pct"/>
            <w:hideMark/>
          </w:tcPr>
          <w:p w14:paraId="7524D275" w14:textId="77777777" w:rsidR="00045617" w:rsidRDefault="00045617" w:rsidP="00045617">
            <w:pPr>
              <w:jc w:val="both"/>
              <w:rPr>
                <w:rFonts w:ascii="Arial" w:hAnsi="Arial" w:cs="Arial"/>
                <w:sz w:val="16"/>
                <w:szCs w:val="16"/>
              </w:rPr>
            </w:pPr>
            <w:r>
              <w:rPr>
                <w:rFonts w:ascii="Arial" w:hAnsi="Arial" w:cs="Arial"/>
                <w:sz w:val="16"/>
                <w:szCs w:val="16"/>
              </w:rPr>
              <w:t>Arrancamento de Meio-Fio</w:t>
            </w:r>
          </w:p>
          <w:p w14:paraId="7651267D" w14:textId="4D1C6C10" w:rsidR="00045617" w:rsidRPr="00EB2BC7" w:rsidRDefault="00045617" w:rsidP="00045617">
            <w:pPr>
              <w:widowControl w:val="0"/>
              <w:spacing w:line="276" w:lineRule="auto"/>
              <w:jc w:val="both"/>
              <w:rPr>
                <w:rFonts w:eastAsia="Times New Roman" w:cstheme="minorHAnsi"/>
                <w:lang w:eastAsia="pt-BR"/>
              </w:rPr>
            </w:pPr>
          </w:p>
        </w:tc>
        <w:tc>
          <w:tcPr>
            <w:tcW w:w="719" w:type="pct"/>
            <w:hideMark/>
          </w:tcPr>
          <w:p w14:paraId="223E766F" w14:textId="17DC2A9A" w:rsidR="00045617" w:rsidRPr="00EB2BC7" w:rsidRDefault="00045617" w:rsidP="00E84BFB">
            <w:pPr>
              <w:widowControl w:val="0"/>
              <w:spacing w:line="276" w:lineRule="auto"/>
              <w:jc w:val="center"/>
              <w:rPr>
                <w:rFonts w:eastAsia="Times New Roman" w:cstheme="minorHAnsi"/>
                <w:lang w:eastAsia="pt-BR"/>
              </w:rPr>
            </w:pPr>
            <w:r>
              <w:rPr>
                <w:rFonts w:eastAsia="Times New Roman" w:cstheme="minorHAnsi"/>
                <w:lang w:eastAsia="pt-BR"/>
              </w:rPr>
              <w:t>m</w:t>
            </w:r>
          </w:p>
        </w:tc>
        <w:tc>
          <w:tcPr>
            <w:tcW w:w="1042" w:type="pct"/>
            <w:hideMark/>
          </w:tcPr>
          <w:p w14:paraId="51523EE3" w14:textId="2809E2C8" w:rsidR="0004561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2.353,35</w:t>
            </w:r>
          </w:p>
        </w:tc>
      </w:tr>
      <w:tr w:rsidR="00045617" w:rsidRPr="00EB2BC7" w14:paraId="5470BE20" w14:textId="77777777" w:rsidTr="00045617">
        <w:tc>
          <w:tcPr>
            <w:tcW w:w="398" w:type="pct"/>
            <w:hideMark/>
          </w:tcPr>
          <w:p w14:paraId="4745C9A6" w14:textId="0E4C5C7F" w:rsidR="00045617" w:rsidRPr="00EB2BC7" w:rsidRDefault="00045617" w:rsidP="00045617">
            <w:pPr>
              <w:widowControl w:val="0"/>
              <w:spacing w:line="276" w:lineRule="auto"/>
              <w:jc w:val="both"/>
              <w:rPr>
                <w:rFonts w:eastAsia="Times New Roman" w:cstheme="minorHAnsi"/>
                <w:lang w:eastAsia="pt-BR"/>
              </w:rPr>
            </w:pPr>
            <w:r w:rsidRPr="00EB2BC7">
              <w:rPr>
                <w:rFonts w:eastAsia="Times New Roman" w:cstheme="minorHAnsi"/>
                <w:lang w:eastAsia="pt-BR"/>
              </w:rPr>
              <w:t>10</w:t>
            </w:r>
          </w:p>
        </w:tc>
        <w:tc>
          <w:tcPr>
            <w:tcW w:w="2841" w:type="pct"/>
            <w:hideMark/>
          </w:tcPr>
          <w:p w14:paraId="05A9C354" w14:textId="77777777" w:rsidR="00045617" w:rsidRDefault="00045617" w:rsidP="00045617">
            <w:pPr>
              <w:jc w:val="both"/>
              <w:rPr>
                <w:rFonts w:ascii="Arial" w:hAnsi="Arial" w:cs="Arial"/>
                <w:sz w:val="16"/>
                <w:szCs w:val="16"/>
              </w:rPr>
            </w:pPr>
            <w:r>
              <w:rPr>
                <w:rFonts w:ascii="Arial" w:hAnsi="Arial" w:cs="Arial"/>
                <w:sz w:val="16"/>
                <w:szCs w:val="16"/>
              </w:rPr>
              <w:t>Meio-Fio com Sarjeta DER - Tipo 2 - (0,042 m3) - Pré-Moldado</w:t>
            </w:r>
          </w:p>
          <w:p w14:paraId="5B55C49D" w14:textId="7CD28BAE" w:rsidR="00045617" w:rsidRPr="00EB2BC7" w:rsidRDefault="00045617" w:rsidP="00045617">
            <w:pPr>
              <w:widowControl w:val="0"/>
              <w:spacing w:line="276" w:lineRule="auto"/>
              <w:jc w:val="both"/>
              <w:rPr>
                <w:rFonts w:eastAsia="Times New Roman" w:cstheme="minorHAnsi"/>
                <w:lang w:eastAsia="pt-BR"/>
              </w:rPr>
            </w:pPr>
          </w:p>
        </w:tc>
        <w:tc>
          <w:tcPr>
            <w:tcW w:w="719" w:type="pct"/>
            <w:hideMark/>
          </w:tcPr>
          <w:p w14:paraId="046496AD" w14:textId="2D6C7887" w:rsidR="00045617" w:rsidRPr="00EB2BC7" w:rsidRDefault="00045617" w:rsidP="00E84BFB">
            <w:pPr>
              <w:widowControl w:val="0"/>
              <w:spacing w:line="276" w:lineRule="auto"/>
              <w:jc w:val="center"/>
              <w:rPr>
                <w:rFonts w:eastAsia="Times New Roman" w:cstheme="minorHAnsi"/>
                <w:lang w:eastAsia="pt-BR"/>
              </w:rPr>
            </w:pPr>
            <w:r>
              <w:rPr>
                <w:rFonts w:eastAsia="Times New Roman" w:cstheme="minorHAnsi"/>
                <w:lang w:eastAsia="pt-BR"/>
              </w:rPr>
              <w:t>m</w:t>
            </w:r>
          </w:p>
        </w:tc>
        <w:tc>
          <w:tcPr>
            <w:tcW w:w="1042" w:type="pct"/>
            <w:hideMark/>
          </w:tcPr>
          <w:p w14:paraId="21F523F2" w14:textId="62E2DAAD" w:rsidR="0004561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2.353,35</w:t>
            </w:r>
          </w:p>
        </w:tc>
      </w:tr>
      <w:tr w:rsidR="00045617" w:rsidRPr="00EB2BC7" w14:paraId="1999B9F0" w14:textId="77777777" w:rsidTr="00045617">
        <w:tc>
          <w:tcPr>
            <w:tcW w:w="398" w:type="pct"/>
            <w:hideMark/>
          </w:tcPr>
          <w:p w14:paraId="043AA8D8" w14:textId="690E468D" w:rsidR="00045617" w:rsidRPr="00EB2BC7" w:rsidRDefault="00045617" w:rsidP="00045617">
            <w:pPr>
              <w:widowControl w:val="0"/>
              <w:spacing w:line="276" w:lineRule="auto"/>
              <w:jc w:val="both"/>
              <w:rPr>
                <w:rFonts w:eastAsia="Times New Roman" w:cstheme="minorHAnsi"/>
                <w:lang w:eastAsia="pt-BR"/>
              </w:rPr>
            </w:pPr>
            <w:r w:rsidRPr="00EB2BC7">
              <w:rPr>
                <w:rFonts w:eastAsia="Times New Roman" w:cstheme="minorHAnsi"/>
                <w:lang w:eastAsia="pt-BR"/>
              </w:rPr>
              <w:t>11</w:t>
            </w:r>
          </w:p>
        </w:tc>
        <w:tc>
          <w:tcPr>
            <w:tcW w:w="2841" w:type="pct"/>
            <w:hideMark/>
          </w:tcPr>
          <w:p w14:paraId="5BA5F5A1" w14:textId="77777777" w:rsidR="00045617" w:rsidRDefault="00045617" w:rsidP="00045617">
            <w:pPr>
              <w:jc w:val="both"/>
              <w:rPr>
                <w:rFonts w:ascii="Arial" w:hAnsi="Arial" w:cs="Arial"/>
                <w:sz w:val="16"/>
                <w:szCs w:val="16"/>
              </w:rPr>
            </w:pPr>
            <w:r>
              <w:rPr>
                <w:rFonts w:ascii="Arial" w:hAnsi="Arial" w:cs="Arial"/>
                <w:sz w:val="16"/>
                <w:szCs w:val="16"/>
              </w:rPr>
              <w:t>Meio-Fio com Sarjeta DER - Tipo 7 - (0,031 m3) - Pré-Moldado</w:t>
            </w:r>
          </w:p>
          <w:p w14:paraId="596C2A6D" w14:textId="43629B2E" w:rsidR="00045617" w:rsidRPr="00EB2BC7" w:rsidRDefault="00045617" w:rsidP="00045617">
            <w:pPr>
              <w:widowControl w:val="0"/>
              <w:spacing w:line="276" w:lineRule="auto"/>
              <w:jc w:val="both"/>
              <w:rPr>
                <w:rFonts w:eastAsia="Times New Roman" w:cstheme="minorHAnsi"/>
                <w:lang w:eastAsia="pt-BR"/>
              </w:rPr>
            </w:pPr>
          </w:p>
        </w:tc>
        <w:tc>
          <w:tcPr>
            <w:tcW w:w="719" w:type="pct"/>
            <w:hideMark/>
          </w:tcPr>
          <w:p w14:paraId="25A48E23" w14:textId="3558AEE8" w:rsidR="00045617" w:rsidRPr="00EB2BC7" w:rsidRDefault="00045617" w:rsidP="00E84BFB">
            <w:pPr>
              <w:widowControl w:val="0"/>
              <w:spacing w:line="276" w:lineRule="auto"/>
              <w:jc w:val="center"/>
              <w:rPr>
                <w:rFonts w:eastAsia="Times New Roman" w:cstheme="minorHAnsi"/>
                <w:lang w:eastAsia="pt-BR"/>
              </w:rPr>
            </w:pPr>
            <w:r w:rsidRPr="00EB2BC7">
              <w:rPr>
                <w:rFonts w:eastAsia="Times New Roman" w:cstheme="minorHAnsi"/>
                <w:lang w:eastAsia="pt-BR"/>
              </w:rPr>
              <w:t>m</w:t>
            </w:r>
          </w:p>
        </w:tc>
        <w:tc>
          <w:tcPr>
            <w:tcW w:w="1042" w:type="pct"/>
            <w:hideMark/>
          </w:tcPr>
          <w:p w14:paraId="34ED95D4" w14:textId="173F2906" w:rsidR="0004561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54,00</w:t>
            </w:r>
          </w:p>
        </w:tc>
      </w:tr>
      <w:tr w:rsidR="00045617" w:rsidRPr="00EB2BC7" w14:paraId="23E2C125" w14:textId="77777777" w:rsidTr="00045617">
        <w:tc>
          <w:tcPr>
            <w:tcW w:w="398" w:type="pct"/>
            <w:hideMark/>
          </w:tcPr>
          <w:p w14:paraId="397EF073" w14:textId="4391C535" w:rsidR="00045617" w:rsidRPr="00EB2BC7" w:rsidRDefault="00045617" w:rsidP="00045617">
            <w:pPr>
              <w:widowControl w:val="0"/>
              <w:spacing w:line="276" w:lineRule="auto"/>
              <w:jc w:val="both"/>
              <w:rPr>
                <w:rFonts w:eastAsia="Times New Roman" w:cstheme="minorHAnsi"/>
                <w:lang w:eastAsia="pt-BR"/>
              </w:rPr>
            </w:pPr>
            <w:r w:rsidRPr="00EB2BC7">
              <w:rPr>
                <w:rFonts w:eastAsia="Times New Roman" w:cstheme="minorHAnsi"/>
                <w:lang w:eastAsia="pt-BR"/>
              </w:rPr>
              <w:t>12</w:t>
            </w:r>
          </w:p>
        </w:tc>
        <w:tc>
          <w:tcPr>
            <w:tcW w:w="2841" w:type="pct"/>
            <w:hideMark/>
          </w:tcPr>
          <w:p w14:paraId="27452620" w14:textId="77777777" w:rsidR="00045617" w:rsidRDefault="00045617" w:rsidP="00045617">
            <w:pPr>
              <w:jc w:val="both"/>
              <w:rPr>
                <w:rFonts w:ascii="Arial" w:hAnsi="Arial" w:cs="Arial"/>
                <w:sz w:val="16"/>
                <w:szCs w:val="16"/>
              </w:rPr>
            </w:pPr>
            <w:r>
              <w:rPr>
                <w:rFonts w:ascii="Arial" w:hAnsi="Arial" w:cs="Arial"/>
                <w:sz w:val="16"/>
                <w:szCs w:val="16"/>
              </w:rPr>
              <w:t>Regularização, conformação e compactação de leito p/ assentamento de calçadas/lajotas/blocos</w:t>
            </w:r>
          </w:p>
          <w:p w14:paraId="55DB3176" w14:textId="2C742810" w:rsidR="00045617" w:rsidRPr="00EB2BC7" w:rsidRDefault="00045617" w:rsidP="00045617">
            <w:pPr>
              <w:widowControl w:val="0"/>
              <w:spacing w:line="276" w:lineRule="auto"/>
              <w:jc w:val="both"/>
              <w:rPr>
                <w:rFonts w:eastAsia="Times New Roman" w:cstheme="minorHAnsi"/>
                <w:lang w:eastAsia="pt-BR"/>
              </w:rPr>
            </w:pPr>
          </w:p>
        </w:tc>
        <w:tc>
          <w:tcPr>
            <w:tcW w:w="719" w:type="pct"/>
            <w:hideMark/>
          </w:tcPr>
          <w:p w14:paraId="550552DC" w14:textId="77777777" w:rsidR="00045617" w:rsidRPr="00EB2BC7" w:rsidRDefault="00045617" w:rsidP="00E84BFB">
            <w:pPr>
              <w:widowControl w:val="0"/>
              <w:spacing w:line="276" w:lineRule="auto"/>
              <w:jc w:val="center"/>
              <w:rPr>
                <w:rFonts w:eastAsia="Times New Roman" w:cstheme="minorHAnsi"/>
                <w:lang w:eastAsia="pt-BR"/>
              </w:rPr>
            </w:pPr>
            <w:r w:rsidRPr="00EB2BC7">
              <w:rPr>
                <w:rFonts w:eastAsia="Times New Roman" w:cstheme="minorHAnsi"/>
                <w:lang w:eastAsia="pt-BR"/>
              </w:rPr>
              <w:t>m²</w:t>
            </w:r>
          </w:p>
        </w:tc>
        <w:tc>
          <w:tcPr>
            <w:tcW w:w="1042" w:type="pct"/>
            <w:hideMark/>
          </w:tcPr>
          <w:p w14:paraId="48489757" w14:textId="00676FA4" w:rsidR="0004561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4.460,10</w:t>
            </w:r>
          </w:p>
        </w:tc>
      </w:tr>
      <w:tr w:rsidR="00045617" w:rsidRPr="00EB2BC7" w14:paraId="2BFF6541" w14:textId="77777777" w:rsidTr="00045617">
        <w:tc>
          <w:tcPr>
            <w:tcW w:w="398" w:type="pct"/>
            <w:hideMark/>
          </w:tcPr>
          <w:p w14:paraId="4D18686E" w14:textId="2CA52D69" w:rsidR="00045617" w:rsidRPr="00EB2BC7" w:rsidRDefault="00045617" w:rsidP="00045617">
            <w:pPr>
              <w:widowControl w:val="0"/>
              <w:spacing w:line="276" w:lineRule="auto"/>
              <w:jc w:val="both"/>
              <w:rPr>
                <w:rFonts w:eastAsia="Times New Roman" w:cstheme="minorHAnsi"/>
                <w:lang w:eastAsia="pt-BR"/>
              </w:rPr>
            </w:pPr>
            <w:r w:rsidRPr="00EB2BC7">
              <w:rPr>
                <w:rFonts w:eastAsia="Times New Roman" w:cstheme="minorHAnsi"/>
                <w:lang w:eastAsia="pt-BR"/>
              </w:rPr>
              <w:t>13</w:t>
            </w:r>
          </w:p>
        </w:tc>
        <w:tc>
          <w:tcPr>
            <w:tcW w:w="2841" w:type="pct"/>
            <w:hideMark/>
          </w:tcPr>
          <w:p w14:paraId="2F50A872" w14:textId="77777777" w:rsidR="00045617" w:rsidRDefault="00045617" w:rsidP="00045617">
            <w:pPr>
              <w:jc w:val="both"/>
              <w:rPr>
                <w:rFonts w:ascii="Arial" w:hAnsi="Arial" w:cs="Arial"/>
                <w:sz w:val="16"/>
                <w:szCs w:val="16"/>
              </w:rPr>
            </w:pPr>
            <w:proofErr w:type="spellStart"/>
            <w:r>
              <w:rPr>
                <w:rFonts w:ascii="Arial" w:hAnsi="Arial" w:cs="Arial"/>
                <w:sz w:val="16"/>
                <w:szCs w:val="16"/>
              </w:rPr>
              <w:t>Paver</w:t>
            </w:r>
            <w:proofErr w:type="spellEnd"/>
            <w:r>
              <w:rPr>
                <w:rFonts w:ascii="Arial" w:hAnsi="Arial" w:cs="Arial"/>
                <w:sz w:val="16"/>
                <w:szCs w:val="16"/>
              </w:rPr>
              <w:t xml:space="preserve"> ou </w:t>
            </w:r>
            <w:proofErr w:type="spellStart"/>
            <w:proofErr w:type="gramStart"/>
            <w:r>
              <w:rPr>
                <w:rFonts w:ascii="Arial" w:hAnsi="Arial" w:cs="Arial"/>
                <w:sz w:val="16"/>
                <w:szCs w:val="16"/>
              </w:rPr>
              <w:t>Bloket</w:t>
            </w:r>
            <w:proofErr w:type="spellEnd"/>
            <w:r>
              <w:rPr>
                <w:rFonts w:ascii="Arial" w:hAnsi="Arial" w:cs="Arial"/>
                <w:sz w:val="16"/>
                <w:szCs w:val="16"/>
              </w:rPr>
              <w:t xml:space="preserve">  e</w:t>
            </w:r>
            <w:proofErr w:type="gramEnd"/>
            <w:r>
              <w:rPr>
                <w:rFonts w:ascii="Arial" w:hAnsi="Arial" w:cs="Arial"/>
                <w:sz w:val="16"/>
                <w:szCs w:val="16"/>
              </w:rPr>
              <w:t>=6cm - com colchão de areia</w:t>
            </w:r>
          </w:p>
          <w:p w14:paraId="3C6B2272" w14:textId="4F761BF6" w:rsidR="00045617" w:rsidRPr="00EB2BC7" w:rsidRDefault="00045617" w:rsidP="00045617">
            <w:pPr>
              <w:widowControl w:val="0"/>
              <w:spacing w:line="276" w:lineRule="auto"/>
              <w:jc w:val="both"/>
              <w:rPr>
                <w:rFonts w:eastAsia="Times New Roman" w:cstheme="minorHAnsi"/>
                <w:lang w:eastAsia="pt-BR"/>
              </w:rPr>
            </w:pPr>
          </w:p>
        </w:tc>
        <w:tc>
          <w:tcPr>
            <w:tcW w:w="719" w:type="pct"/>
            <w:hideMark/>
          </w:tcPr>
          <w:p w14:paraId="75154B20" w14:textId="311BE351" w:rsidR="00045617" w:rsidRPr="00EB2BC7" w:rsidRDefault="009F6F86" w:rsidP="00E84BFB">
            <w:pPr>
              <w:widowControl w:val="0"/>
              <w:spacing w:line="276" w:lineRule="auto"/>
              <w:jc w:val="center"/>
              <w:rPr>
                <w:rFonts w:eastAsia="Times New Roman" w:cstheme="minorHAnsi"/>
                <w:lang w:eastAsia="pt-BR"/>
              </w:rPr>
            </w:pPr>
            <w:r>
              <w:rPr>
                <w:rFonts w:eastAsia="Times New Roman" w:cstheme="minorHAnsi"/>
                <w:lang w:eastAsia="pt-BR"/>
              </w:rPr>
              <w:t>m²</w:t>
            </w:r>
          </w:p>
        </w:tc>
        <w:tc>
          <w:tcPr>
            <w:tcW w:w="1042" w:type="pct"/>
            <w:hideMark/>
          </w:tcPr>
          <w:p w14:paraId="4CEFF10D" w14:textId="4770D55A" w:rsidR="0004561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3.620,86</w:t>
            </w:r>
          </w:p>
        </w:tc>
      </w:tr>
      <w:tr w:rsidR="00045617" w:rsidRPr="00EB2BC7" w14:paraId="1AFECE9D" w14:textId="77777777" w:rsidTr="00045617">
        <w:tc>
          <w:tcPr>
            <w:tcW w:w="398" w:type="pct"/>
            <w:hideMark/>
          </w:tcPr>
          <w:p w14:paraId="7FDC26CE" w14:textId="463D03FA" w:rsidR="00045617" w:rsidRPr="00EB2BC7" w:rsidRDefault="00045617" w:rsidP="00045617">
            <w:pPr>
              <w:widowControl w:val="0"/>
              <w:spacing w:line="276" w:lineRule="auto"/>
              <w:jc w:val="both"/>
              <w:rPr>
                <w:rFonts w:eastAsia="Times New Roman" w:cstheme="minorHAnsi"/>
                <w:lang w:eastAsia="pt-BR"/>
              </w:rPr>
            </w:pPr>
            <w:r>
              <w:rPr>
                <w:rFonts w:eastAsia="Times New Roman" w:cstheme="minorHAnsi"/>
                <w:lang w:eastAsia="pt-BR"/>
              </w:rPr>
              <w:t>14</w:t>
            </w:r>
          </w:p>
        </w:tc>
        <w:tc>
          <w:tcPr>
            <w:tcW w:w="2841" w:type="pct"/>
            <w:hideMark/>
          </w:tcPr>
          <w:p w14:paraId="4F8A1D79" w14:textId="77777777" w:rsidR="00045617" w:rsidRDefault="00045617" w:rsidP="00045617">
            <w:pPr>
              <w:jc w:val="both"/>
              <w:rPr>
                <w:rFonts w:ascii="Arial" w:hAnsi="Arial" w:cs="Arial"/>
                <w:sz w:val="16"/>
                <w:szCs w:val="16"/>
              </w:rPr>
            </w:pPr>
            <w:r>
              <w:rPr>
                <w:rFonts w:ascii="Arial" w:hAnsi="Arial" w:cs="Arial"/>
                <w:sz w:val="16"/>
                <w:szCs w:val="16"/>
              </w:rPr>
              <w:t>Rampa para PNE com Piso Tátil (NBR 9050) - Modelo 02 - 5,94 m2</w:t>
            </w:r>
          </w:p>
          <w:p w14:paraId="3BC9B5E1" w14:textId="40BB2CE8" w:rsidR="00045617" w:rsidRPr="00EB2BC7" w:rsidRDefault="00045617" w:rsidP="00045617">
            <w:pPr>
              <w:widowControl w:val="0"/>
              <w:spacing w:line="276" w:lineRule="auto"/>
              <w:jc w:val="both"/>
              <w:rPr>
                <w:rFonts w:eastAsia="Times New Roman" w:cstheme="minorHAnsi"/>
                <w:lang w:eastAsia="pt-BR"/>
              </w:rPr>
            </w:pPr>
          </w:p>
        </w:tc>
        <w:tc>
          <w:tcPr>
            <w:tcW w:w="719" w:type="pct"/>
            <w:hideMark/>
          </w:tcPr>
          <w:p w14:paraId="44535B1F" w14:textId="3C244972" w:rsidR="00045617" w:rsidRPr="00EB2BC7" w:rsidRDefault="009F6F86" w:rsidP="00E84BFB">
            <w:pPr>
              <w:widowControl w:val="0"/>
              <w:spacing w:line="276" w:lineRule="auto"/>
              <w:jc w:val="center"/>
              <w:rPr>
                <w:rFonts w:eastAsia="Times New Roman" w:cstheme="minorHAnsi"/>
                <w:lang w:eastAsia="pt-BR"/>
              </w:rPr>
            </w:pPr>
            <w:r>
              <w:rPr>
                <w:rFonts w:eastAsia="Times New Roman" w:cstheme="minorHAnsi"/>
                <w:lang w:eastAsia="pt-BR"/>
              </w:rPr>
              <w:t>m²</w:t>
            </w:r>
          </w:p>
        </w:tc>
        <w:tc>
          <w:tcPr>
            <w:tcW w:w="1042" w:type="pct"/>
            <w:hideMark/>
          </w:tcPr>
          <w:p w14:paraId="4CDB7AB2" w14:textId="68E8CC04" w:rsidR="00045617" w:rsidRPr="00EB2BC7" w:rsidRDefault="002261AE" w:rsidP="00E84BFB">
            <w:pPr>
              <w:widowControl w:val="0"/>
              <w:spacing w:line="276" w:lineRule="auto"/>
              <w:jc w:val="center"/>
              <w:rPr>
                <w:rFonts w:eastAsia="Times New Roman" w:cstheme="minorHAnsi"/>
                <w:lang w:eastAsia="pt-BR"/>
              </w:rPr>
            </w:pPr>
            <w:r>
              <w:rPr>
                <w:rFonts w:eastAsia="Times New Roman" w:cstheme="minorHAnsi"/>
                <w:lang w:eastAsia="pt-BR"/>
              </w:rPr>
              <w:t>34,00</w:t>
            </w:r>
          </w:p>
        </w:tc>
      </w:tr>
      <w:tr w:rsidR="00045617" w:rsidRPr="00EB2BC7" w14:paraId="15ABEA83" w14:textId="77777777" w:rsidTr="00045617">
        <w:tc>
          <w:tcPr>
            <w:tcW w:w="398" w:type="pct"/>
          </w:tcPr>
          <w:p w14:paraId="6400588F" w14:textId="624351E0" w:rsidR="00045617" w:rsidRPr="00EB2BC7" w:rsidRDefault="00045617" w:rsidP="00045617">
            <w:pPr>
              <w:widowControl w:val="0"/>
              <w:jc w:val="both"/>
              <w:rPr>
                <w:rFonts w:eastAsia="Times New Roman" w:cstheme="minorHAnsi"/>
                <w:lang w:eastAsia="pt-BR"/>
              </w:rPr>
            </w:pPr>
            <w:r>
              <w:rPr>
                <w:rFonts w:eastAsia="Times New Roman" w:cstheme="minorHAnsi"/>
                <w:lang w:eastAsia="pt-BR"/>
              </w:rPr>
              <w:t>15</w:t>
            </w:r>
          </w:p>
        </w:tc>
        <w:tc>
          <w:tcPr>
            <w:tcW w:w="2841" w:type="pct"/>
          </w:tcPr>
          <w:p w14:paraId="2C6CF4FD" w14:textId="77777777" w:rsidR="00045617" w:rsidRDefault="00045617" w:rsidP="00045617">
            <w:pPr>
              <w:jc w:val="both"/>
              <w:rPr>
                <w:rFonts w:ascii="Arial" w:hAnsi="Arial" w:cs="Arial"/>
                <w:sz w:val="16"/>
                <w:szCs w:val="16"/>
              </w:rPr>
            </w:pPr>
            <w:r>
              <w:rPr>
                <w:rFonts w:ascii="Arial" w:hAnsi="Arial" w:cs="Arial"/>
                <w:sz w:val="16"/>
                <w:szCs w:val="16"/>
              </w:rPr>
              <w:t>Fornecimento e assentamento de piso tátil de concreto alerta/direcional 20x20cm vermelho</w:t>
            </w:r>
          </w:p>
          <w:p w14:paraId="7C5245B4" w14:textId="77777777" w:rsidR="00045617" w:rsidRDefault="00045617" w:rsidP="00045617">
            <w:pPr>
              <w:jc w:val="both"/>
              <w:rPr>
                <w:rFonts w:ascii="Arial" w:hAnsi="Arial" w:cs="Arial"/>
                <w:sz w:val="16"/>
                <w:szCs w:val="16"/>
              </w:rPr>
            </w:pPr>
          </w:p>
        </w:tc>
        <w:tc>
          <w:tcPr>
            <w:tcW w:w="719" w:type="pct"/>
          </w:tcPr>
          <w:p w14:paraId="7B490FD6" w14:textId="3491FA39" w:rsidR="00045617" w:rsidRPr="00EB2BC7" w:rsidRDefault="009F6F86" w:rsidP="00E84BFB">
            <w:pPr>
              <w:widowControl w:val="0"/>
              <w:jc w:val="center"/>
              <w:rPr>
                <w:rFonts w:eastAsia="Times New Roman" w:cstheme="minorHAnsi"/>
                <w:lang w:eastAsia="pt-BR"/>
              </w:rPr>
            </w:pPr>
            <w:r>
              <w:rPr>
                <w:rFonts w:eastAsia="Times New Roman" w:cstheme="minorHAnsi"/>
                <w:lang w:eastAsia="pt-BR"/>
              </w:rPr>
              <w:t>m²</w:t>
            </w:r>
          </w:p>
        </w:tc>
        <w:tc>
          <w:tcPr>
            <w:tcW w:w="1042" w:type="pct"/>
          </w:tcPr>
          <w:p w14:paraId="3CF171EA" w14:textId="578BE68D" w:rsidR="00045617" w:rsidRPr="00EB2BC7" w:rsidRDefault="00B26C24" w:rsidP="00E84BFB">
            <w:pPr>
              <w:widowControl w:val="0"/>
              <w:jc w:val="center"/>
              <w:rPr>
                <w:rFonts w:eastAsia="Times New Roman" w:cstheme="minorHAnsi"/>
                <w:lang w:eastAsia="pt-BR"/>
              </w:rPr>
            </w:pPr>
            <w:r>
              <w:rPr>
                <w:rFonts w:eastAsia="Times New Roman" w:cstheme="minorHAnsi"/>
                <w:lang w:eastAsia="pt-BR"/>
              </w:rPr>
              <w:t>652,75</w:t>
            </w:r>
          </w:p>
        </w:tc>
      </w:tr>
      <w:tr w:rsidR="00045617" w:rsidRPr="00EB2BC7" w14:paraId="337FC56F" w14:textId="77777777" w:rsidTr="00045617">
        <w:tc>
          <w:tcPr>
            <w:tcW w:w="398" w:type="pct"/>
          </w:tcPr>
          <w:p w14:paraId="7EEA3806" w14:textId="2A4FE710" w:rsidR="00045617" w:rsidRDefault="00045617" w:rsidP="00045617">
            <w:pPr>
              <w:widowControl w:val="0"/>
              <w:jc w:val="both"/>
              <w:rPr>
                <w:rFonts w:eastAsia="Times New Roman" w:cstheme="minorHAnsi"/>
                <w:lang w:eastAsia="pt-BR"/>
              </w:rPr>
            </w:pPr>
            <w:r>
              <w:rPr>
                <w:rFonts w:eastAsia="Times New Roman" w:cstheme="minorHAnsi"/>
                <w:lang w:eastAsia="pt-BR"/>
              </w:rPr>
              <w:lastRenderedPageBreak/>
              <w:t>16</w:t>
            </w:r>
          </w:p>
        </w:tc>
        <w:tc>
          <w:tcPr>
            <w:tcW w:w="2841" w:type="pct"/>
          </w:tcPr>
          <w:p w14:paraId="00BB2305" w14:textId="77777777" w:rsidR="00045617" w:rsidRDefault="00045617" w:rsidP="00045617">
            <w:pPr>
              <w:jc w:val="both"/>
              <w:rPr>
                <w:rFonts w:ascii="Arial" w:hAnsi="Arial" w:cs="Arial"/>
                <w:sz w:val="16"/>
                <w:szCs w:val="16"/>
              </w:rPr>
            </w:pPr>
            <w:r>
              <w:rPr>
                <w:rFonts w:ascii="Arial" w:hAnsi="Arial" w:cs="Arial"/>
                <w:sz w:val="16"/>
                <w:szCs w:val="16"/>
              </w:rPr>
              <w:t>Assentamento de guia (meio-fio) em trecho reto, confeccionado em concreto pré-fabricado, dimensões 80x8x8x25 cm (</w:t>
            </w:r>
            <w:proofErr w:type="spellStart"/>
            <w:r>
              <w:rPr>
                <w:rFonts w:ascii="Arial" w:hAnsi="Arial" w:cs="Arial"/>
                <w:sz w:val="16"/>
                <w:szCs w:val="16"/>
              </w:rPr>
              <w:t>comprimentoxbase</w:t>
            </w:r>
            <w:proofErr w:type="spellEnd"/>
            <w:r>
              <w:rPr>
                <w:rFonts w:ascii="Arial" w:hAnsi="Arial" w:cs="Arial"/>
                <w:sz w:val="16"/>
                <w:szCs w:val="16"/>
              </w:rPr>
              <w:t xml:space="preserve"> </w:t>
            </w:r>
            <w:proofErr w:type="spellStart"/>
            <w:r>
              <w:rPr>
                <w:rFonts w:ascii="Arial" w:hAnsi="Arial" w:cs="Arial"/>
                <w:sz w:val="16"/>
                <w:szCs w:val="16"/>
              </w:rPr>
              <w:t>superiorxbase</w:t>
            </w:r>
            <w:proofErr w:type="spellEnd"/>
            <w:r>
              <w:rPr>
                <w:rFonts w:ascii="Arial" w:hAnsi="Arial" w:cs="Arial"/>
                <w:sz w:val="16"/>
                <w:szCs w:val="16"/>
              </w:rPr>
              <w:t xml:space="preserve"> </w:t>
            </w:r>
            <w:proofErr w:type="spellStart"/>
            <w:r>
              <w:rPr>
                <w:rFonts w:ascii="Arial" w:hAnsi="Arial" w:cs="Arial"/>
                <w:sz w:val="16"/>
                <w:szCs w:val="16"/>
              </w:rPr>
              <w:t>inferiorxaltura</w:t>
            </w:r>
            <w:proofErr w:type="spellEnd"/>
            <w:r>
              <w:rPr>
                <w:rFonts w:ascii="Arial" w:hAnsi="Arial" w:cs="Arial"/>
                <w:sz w:val="16"/>
                <w:szCs w:val="16"/>
              </w:rPr>
              <w:t>), para urbanização interna de empreendimentos.</w:t>
            </w:r>
          </w:p>
          <w:p w14:paraId="7A74450C" w14:textId="77777777" w:rsidR="00045617" w:rsidRDefault="00045617" w:rsidP="00045617">
            <w:pPr>
              <w:jc w:val="both"/>
              <w:rPr>
                <w:rFonts w:ascii="Arial" w:hAnsi="Arial" w:cs="Arial"/>
                <w:sz w:val="16"/>
                <w:szCs w:val="16"/>
              </w:rPr>
            </w:pPr>
          </w:p>
        </w:tc>
        <w:tc>
          <w:tcPr>
            <w:tcW w:w="719" w:type="pct"/>
          </w:tcPr>
          <w:p w14:paraId="5989DBC3" w14:textId="3AE8668D" w:rsidR="00045617" w:rsidRPr="00EB2BC7" w:rsidRDefault="009F6F86" w:rsidP="00E84BFB">
            <w:pPr>
              <w:widowControl w:val="0"/>
              <w:jc w:val="center"/>
              <w:rPr>
                <w:rFonts w:eastAsia="Times New Roman" w:cstheme="minorHAnsi"/>
                <w:lang w:eastAsia="pt-BR"/>
              </w:rPr>
            </w:pPr>
            <w:r>
              <w:rPr>
                <w:rFonts w:eastAsia="Times New Roman" w:cstheme="minorHAnsi"/>
                <w:lang w:eastAsia="pt-BR"/>
              </w:rPr>
              <w:t>m</w:t>
            </w:r>
          </w:p>
        </w:tc>
        <w:tc>
          <w:tcPr>
            <w:tcW w:w="1042" w:type="pct"/>
          </w:tcPr>
          <w:p w14:paraId="18C0B22A" w14:textId="7070D0FE" w:rsidR="00045617" w:rsidRPr="00EB2BC7" w:rsidRDefault="00B26C24" w:rsidP="00E84BFB">
            <w:pPr>
              <w:widowControl w:val="0"/>
              <w:jc w:val="center"/>
              <w:rPr>
                <w:rFonts w:eastAsia="Times New Roman" w:cstheme="minorHAnsi"/>
                <w:lang w:eastAsia="pt-BR"/>
              </w:rPr>
            </w:pPr>
            <w:r>
              <w:rPr>
                <w:rFonts w:eastAsia="Times New Roman" w:cstheme="minorHAnsi"/>
                <w:lang w:eastAsia="pt-BR"/>
              </w:rPr>
              <w:t>2.127,60</w:t>
            </w:r>
          </w:p>
        </w:tc>
      </w:tr>
      <w:tr w:rsidR="00045617" w:rsidRPr="00EB2BC7" w14:paraId="323645C1" w14:textId="77777777" w:rsidTr="00045617">
        <w:tc>
          <w:tcPr>
            <w:tcW w:w="398" w:type="pct"/>
          </w:tcPr>
          <w:p w14:paraId="7BFC06B5" w14:textId="41D85FC6" w:rsidR="00045617" w:rsidRDefault="00045617" w:rsidP="00045617">
            <w:pPr>
              <w:widowControl w:val="0"/>
              <w:jc w:val="both"/>
              <w:rPr>
                <w:rFonts w:eastAsia="Times New Roman" w:cstheme="minorHAnsi"/>
                <w:lang w:eastAsia="pt-BR"/>
              </w:rPr>
            </w:pPr>
            <w:r>
              <w:rPr>
                <w:rFonts w:eastAsia="Times New Roman" w:cstheme="minorHAnsi"/>
                <w:lang w:eastAsia="pt-BR"/>
              </w:rPr>
              <w:t>17</w:t>
            </w:r>
          </w:p>
        </w:tc>
        <w:tc>
          <w:tcPr>
            <w:tcW w:w="2841" w:type="pct"/>
          </w:tcPr>
          <w:p w14:paraId="30906C44" w14:textId="77777777" w:rsidR="00045617" w:rsidRDefault="00045617" w:rsidP="00045617">
            <w:pPr>
              <w:jc w:val="both"/>
              <w:rPr>
                <w:rFonts w:ascii="Arial" w:hAnsi="Arial" w:cs="Arial"/>
                <w:sz w:val="16"/>
                <w:szCs w:val="16"/>
              </w:rPr>
            </w:pPr>
            <w:r>
              <w:rPr>
                <w:rFonts w:ascii="Arial" w:hAnsi="Arial" w:cs="Arial"/>
                <w:sz w:val="16"/>
                <w:szCs w:val="16"/>
              </w:rPr>
              <w:t xml:space="preserve">Colchão de argila p/ </w:t>
            </w:r>
            <w:proofErr w:type="spellStart"/>
            <w:r>
              <w:rPr>
                <w:rFonts w:ascii="Arial" w:hAnsi="Arial" w:cs="Arial"/>
                <w:sz w:val="16"/>
                <w:szCs w:val="16"/>
              </w:rPr>
              <w:t>pav</w:t>
            </w:r>
            <w:proofErr w:type="spellEnd"/>
            <w:r>
              <w:rPr>
                <w:rFonts w:ascii="Arial" w:hAnsi="Arial" w:cs="Arial"/>
                <w:sz w:val="16"/>
                <w:szCs w:val="16"/>
              </w:rPr>
              <w:t>. Poliédrico (</w:t>
            </w:r>
            <w:proofErr w:type="spellStart"/>
            <w:r>
              <w:rPr>
                <w:rFonts w:ascii="Arial" w:hAnsi="Arial" w:cs="Arial"/>
                <w:sz w:val="16"/>
                <w:szCs w:val="16"/>
              </w:rPr>
              <w:t>paver</w:t>
            </w:r>
            <w:proofErr w:type="spellEnd"/>
            <w:r>
              <w:rPr>
                <w:rFonts w:ascii="Arial" w:hAnsi="Arial" w:cs="Arial"/>
                <w:sz w:val="16"/>
                <w:szCs w:val="16"/>
              </w:rPr>
              <w:t>)</w:t>
            </w:r>
          </w:p>
          <w:p w14:paraId="0E9A5288" w14:textId="77777777" w:rsidR="00045617" w:rsidRDefault="00045617" w:rsidP="00045617">
            <w:pPr>
              <w:jc w:val="both"/>
              <w:rPr>
                <w:rFonts w:ascii="Arial" w:hAnsi="Arial" w:cs="Arial"/>
                <w:sz w:val="16"/>
                <w:szCs w:val="16"/>
              </w:rPr>
            </w:pPr>
          </w:p>
        </w:tc>
        <w:tc>
          <w:tcPr>
            <w:tcW w:w="719" w:type="pct"/>
          </w:tcPr>
          <w:p w14:paraId="515CD9C9" w14:textId="766570BC" w:rsidR="00045617" w:rsidRPr="00EB2BC7" w:rsidRDefault="009F6F86" w:rsidP="00E84BFB">
            <w:pPr>
              <w:widowControl w:val="0"/>
              <w:jc w:val="center"/>
              <w:rPr>
                <w:rFonts w:eastAsia="Times New Roman" w:cstheme="minorHAnsi"/>
                <w:lang w:eastAsia="pt-BR"/>
              </w:rPr>
            </w:pPr>
            <w:r>
              <w:rPr>
                <w:rFonts w:eastAsia="Times New Roman" w:cstheme="minorHAnsi"/>
                <w:lang w:eastAsia="pt-BR"/>
              </w:rPr>
              <w:t>m²</w:t>
            </w:r>
          </w:p>
        </w:tc>
        <w:tc>
          <w:tcPr>
            <w:tcW w:w="1042" w:type="pct"/>
          </w:tcPr>
          <w:p w14:paraId="721BDE91" w14:textId="18D44ABD" w:rsidR="00045617" w:rsidRPr="00EB2BC7" w:rsidRDefault="008129F1" w:rsidP="00E84BFB">
            <w:pPr>
              <w:widowControl w:val="0"/>
              <w:jc w:val="center"/>
              <w:rPr>
                <w:rFonts w:eastAsia="Times New Roman" w:cstheme="minorHAnsi"/>
                <w:lang w:eastAsia="pt-BR"/>
              </w:rPr>
            </w:pPr>
            <w:r>
              <w:rPr>
                <w:rFonts w:eastAsia="Times New Roman" w:cstheme="minorHAnsi"/>
                <w:lang w:eastAsia="pt-BR"/>
              </w:rPr>
              <w:t>4.460,10</w:t>
            </w:r>
          </w:p>
        </w:tc>
      </w:tr>
      <w:tr w:rsidR="00045617" w:rsidRPr="00EB2BC7" w14:paraId="6354DD9F" w14:textId="77777777" w:rsidTr="00045617">
        <w:tc>
          <w:tcPr>
            <w:tcW w:w="398" w:type="pct"/>
          </w:tcPr>
          <w:p w14:paraId="79AB828B" w14:textId="18806059" w:rsidR="00045617" w:rsidRDefault="00045617" w:rsidP="00045617">
            <w:pPr>
              <w:widowControl w:val="0"/>
              <w:jc w:val="both"/>
              <w:rPr>
                <w:rFonts w:eastAsia="Times New Roman" w:cstheme="minorHAnsi"/>
                <w:lang w:eastAsia="pt-BR"/>
              </w:rPr>
            </w:pPr>
            <w:r>
              <w:rPr>
                <w:rFonts w:eastAsia="Times New Roman" w:cstheme="minorHAnsi"/>
                <w:lang w:eastAsia="pt-BR"/>
              </w:rPr>
              <w:t>18</w:t>
            </w:r>
          </w:p>
        </w:tc>
        <w:tc>
          <w:tcPr>
            <w:tcW w:w="2841" w:type="pct"/>
          </w:tcPr>
          <w:p w14:paraId="6A2B0141" w14:textId="77777777" w:rsidR="00045617" w:rsidRDefault="00045617" w:rsidP="00045617">
            <w:pPr>
              <w:jc w:val="both"/>
              <w:rPr>
                <w:rFonts w:ascii="Arial" w:hAnsi="Arial" w:cs="Arial"/>
                <w:sz w:val="16"/>
                <w:szCs w:val="16"/>
              </w:rPr>
            </w:pPr>
            <w:r>
              <w:rPr>
                <w:rFonts w:ascii="Arial" w:hAnsi="Arial" w:cs="Arial"/>
                <w:sz w:val="16"/>
                <w:szCs w:val="16"/>
              </w:rPr>
              <w:t xml:space="preserve">Faixa de Sinalização Horizontal c/tinta resina acrílica base solvente- (0,034 m2/m2) </w:t>
            </w:r>
          </w:p>
          <w:p w14:paraId="43BBFF6A" w14:textId="77777777" w:rsidR="00045617" w:rsidRDefault="00045617" w:rsidP="00045617">
            <w:pPr>
              <w:jc w:val="both"/>
              <w:rPr>
                <w:rFonts w:ascii="Arial" w:hAnsi="Arial" w:cs="Arial"/>
                <w:sz w:val="16"/>
                <w:szCs w:val="16"/>
              </w:rPr>
            </w:pPr>
          </w:p>
        </w:tc>
        <w:tc>
          <w:tcPr>
            <w:tcW w:w="719" w:type="pct"/>
          </w:tcPr>
          <w:p w14:paraId="1E425529" w14:textId="7C9A475E" w:rsidR="00045617" w:rsidRPr="00EB2BC7" w:rsidRDefault="009F6F86" w:rsidP="00E84BFB">
            <w:pPr>
              <w:widowControl w:val="0"/>
              <w:jc w:val="center"/>
              <w:rPr>
                <w:rFonts w:eastAsia="Times New Roman" w:cstheme="minorHAnsi"/>
                <w:lang w:eastAsia="pt-BR"/>
              </w:rPr>
            </w:pPr>
            <w:r>
              <w:rPr>
                <w:rFonts w:eastAsia="Times New Roman" w:cstheme="minorHAnsi"/>
                <w:lang w:eastAsia="pt-BR"/>
              </w:rPr>
              <w:t>m²</w:t>
            </w:r>
          </w:p>
        </w:tc>
        <w:tc>
          <w:tcPr>
            <w:tcW w:w="1042" w:type="pct"/>
          </w:tcPr>
          <w:p w14:paraId="71C9BC97" w14:textId="72868502"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560,00</w:t>
            </w:r>
          </w:p>
        </w:tc>
      </w:tr>
      <w:tr w:rsidR="00045617" w:rsidRPr="00EB2BC7" w14:paraId="17900661" w14:textId="77777777" w:rsidTr="00045617">
        <w:tc>
          <w:tcPr>
            <w:tcW w:w="398" w:type="pct"/>
          </w:tcPr>
          <w:p w14:paraId="4D5CC829" w14:textId="77711B89" w:rsidR="00045617" w:rsidRDefault="00045617" w:rsidP="00045617">
            <w:pPr>
              <w:widowControl w:val="0"/>
              <w:jc w:val="both"/>
              <w:rPr>
                <w:rFonts w:eastAsia="Times New Roman" w:cstheme="minorHAnsi"/>
                <w:lang w:eastAsia="pt-BR"/>
              </w:rPr>
            </w:pPr>
            <w:r>
              <w:rPr>
                <w:rFonts w:eastAsia="Times New Roman" w:cstheme="minorHAnsi"/>
                <w:lang w:eastAsia="pt-BR"/>
              </w:rPr>
              <w:t>19</w:t>
            </w:r>
          </w:p>
        </w:tc>
        <w:tc>
          <w:tcPr>
            <w:tcW w:w="2841" w:type="pct"/>
          </w:tcPr>
          <w:p w14:paraId="2ABB4481" w14:textId="77777777" w:rsidR="00045617" w:rsidRDefault="00045617" w:rsidP="00045617">
            <w:pPr>
              <w:jc w:val="both"/>
              <w:rPr>
                <w:rFonts w:ascii="Arial" w:hAnsi="Arial" w:cs="Arial"/>
                <w:sz w:val="16"/>
                <w:szCs w:val="16"/>
              </w:rPr>
            </w:pPr>
            <w:r>
              <w:rPr>
                <w:rFonts w:ascii="Arial" w:hAnsi="Arial" w:cs="Arial"/>
                <w:sz w:val="16"/>
                <w:szCs w:val="16"/>
              </w:rPr>
              <w:t>Placa sinalização refletiva-triângulo (0,1219 m2/</w:t>
            </w:r>
            <w:proofErr w:type="spellStart"/>
            <w:r>
              <w:rPr>
                <w:rFonts w:ascii="Arial" w:hAnsi="Arial" w:cs="Arial"/>
                <w:sz w:val="16"/>
                <w:szCs w:val="16"/>
              </w:rPr>
              <w:t>ud</w:t>
            </w:r>
            <w:proofErr w:type="spellEnd"/>
            <w:r>
              <w:rPr>
                <w:rFonts w:ascii="Arial" w:hAnsi="Arial" w:cs="Arial"/>
                <w:sz w:val="16"/>
                <w:szCs w:val="16"/>
              </w:rPr>
              <w:t>) + suporte MADEIRA</w:t>
            </w:r>
          </w:p>
          <w:p w14:paraId="7B77B604" w14:textId="77777777" w:rsidR="00045617" w:rsidRDefault="00045617" w:rsidP="00045617">
            <w:pPr>
              <w:jc w:val="both"/>
              <w:rPr>
                <w:rFonts w:ascii="Arial" w:hAnsi="Arial" w:cs="Arial"/>
                <w:sz w:val="16"/>
                <w:szCs w:val="16"/>
              </w:rPr>
            </w:pPr>
          </w:p>
        </w:tc>
        <w:tc>
          <w:tcPr>
            <w:tcW w:w="719" w:type="pct"/>
          </w:tcPr>
          <w:p w14:paraId="3A8EB196" w14:textId="5897ECCE"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0F3FA455" w14:textId="39672FCA"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13</w:t>
            </w:r>
          </w:p>
        </w:tc>
      </w:tr>
      <w:tr w:rsidR="00045617" w:rsidRPr="00EB2BC7" w14:paraId="233105DD" w14:textId="77777777" w:rsidTr="00045617">
        <w:tc>
          <w:tcPr>
            <w:tcW w:w="398" w:type="pct"/>
          </w:tcPr>
          <w:p w14:paraId="7382A798" w14:textId="5EEAD768" w:rsidR="00045617" w:rsidRDefault="00045617" w:rsidP="00045617">
            <w:pPr>
              <w:widowControl w:val="0"/>
              <w:jc w:val="both"/>
              <w:rPr>
                <w:rFonts w:eastAsia="Times New Roman" w:cstheme="minorHAnsi"/>
                <w:lang w:eastAsia="pt-BR"/>
              </w:rPr>
            </w:pPr>
            <w:r>
              <w:rPr>
                <w:rFonts w:eastAsia="Times New Roman" w:cstheme="minorHAnsi"/>
                <w:lang w:eastAsia="pt-BR"/>
              </w:rPr>
              <w:t>20</w:t>
            </w:r>
          </w:p>
        </w:tc>
        <w:tc>
          <w:tcPr>
            <w:tcW w:w="2841" w:type="pct"/>
          </w:tcPr>
          <w:p w14:paraId="211564F9" w14:textId="77777777" w:rsidR="00045617" w:rsidRDefault="00045617" w:rsidP="00045617">
            <w:pPr>
              <w:jc w:val="both"/>
              <w:rPr>
                <w:rFonts w:ascii="Arial" w:hAnsi="Arial" w:cs="Arial"/>
                <w:sz w:val="16"/>
                <w:szCs w:val="16"/>
              </w:rPr>
            </w:pPr>
            <w:r>
              <w:rPr>
                <w:rFonts w:ascii="Arial" w:hAnsi="Arial" w:cs="Arial"/>
                <w:sz w:val="16"/>
                <w:szCs w:val="16"/>
              </w:rPr>
              <w:t>Placa sinalização refletiva-círculo (0,1964 m2/</w:t>
            </w:r>
            <w:proofErr w:type="spellStart"/>
            <w:r>
              <w:rPr>
                <w:rFonts w:ascii="Arial" w:hAnsi="Arial" w:cs="Arial"/>
                <w:sz w:val="16"/>
                <w:szCs w:val="16"/>
              </w:rPr>
              <w:t>ud</w:t>
            </w:r>
            <w:proofErr w:type="spellEnd"/>
            <w:r>
              <w:rPr>
                <w:rFonts w:ascii="Arial" w:hAnsi="Arial" w:cs="Arial"/>
                <w:sz w:val="16"/>
                <w:szCs w:val="16"/>
              </w:rPr>
              <w:t>) + suporte METÁLICO</w:t>
            </w:r>
          </w:p>
          <w:p w14:paraId="76645C64" w14:textId="77777777" w:rsidR="00045617" w:rsidRDefault="00045617" w:rsidP="00045617">
            <w:pPr>
              <w:jc w:val="both"/>
              <w:rPr>
                <w:rFonts w:ascii="Arial" w:hAnsi="Arial" w:cs="Arial"/>
                <w:sz w:val="16"/>
                <w:szCs w:val="16"/>
              </w:rPr>
            </w:pPr>
          </w:p>
        </w:tc>
        <w:tc>
          <w:tcPr>
            <w:tcW w:w="719" w:type="pct"/>
          </w:tcPr>
          <w:p w14:paraId="03395102" w14:textId="3180995B"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48E563C3" w14:textId="12CF747E"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22</w:t>
            </w:r>
          </w:p>
        </w:tc>
      </w:tr>
      <w:tr w:rsidR="00045617" w:rsidRPr="00EB2BC7" w14:paraId="0C4AB142" w14:textId="77777777" w:rsidTr="00045617">
        <w:tc>
          <w:tcPr>
            <w:tcW w:w="398" w:type="pct"/>
          </w:tcPr>
          <w:p w14:paraId="1254FECF" w14:textId="020A2E25" w:rsidR="00045617" w:rsidRDefault="00045617" w:rsidP="00045617">
            <w:pPr>
              <w:widowControl w:val="0"/>
              <w:jc w:val="both"/>
              <w:rPr>
                <w:rFonts w:eastAsia="Times New Roman" w:cstheme="minorHAnsi"/>
                <w:lang w:eastAsia="pt-BR"/>
              </w:rPr>
            </w:pPr>
            <w:r>
              <w:rPr>
                <w:rFonts w:eastAsia="Times New Roman" w:cstheme="minorHAnsi"/>
                <w:lang w:eastAsia="pt-BR"/>
              </w:rPr>
              <w:t>21</w:t>
            </w:r>
          </w:p>
        </w:tc>
        <w:tc>
          <w:tcPr>
            <w:tcW w:w="2841" w:type="pct"/>
          </w:tcPr>
          <w:p w14:paraId="0301C6F4" w14:textId="77777777" w:rsidR="00045617" w:rsidRDefault="00045617" w:rsidP="00045617">
            <w:pPr>
              <w:jc w:val="both"/>
              <w:rPr>
                <w:rFonts w:ascii="Arial" w:hAnsi="Arial" w:cs="Arial"/>
                <w:sz w:val="16"/>
                <w:szCs w:val="16"/>
              </w:rPr>
            </w:pPr>
            <w:r>
              <w:rPr>
                <w:rFonts w:ascii="Arial" w:hAnsi="Arial" w:cs="Arial"/>
                <w:sz w:val="16"/>
                <w:szCs w:val="16"/>
              </w:rPr>
              <w:t>Placa sinalização refletiva-retangular dupla (duas de-0,20x060) em L (0,2400 m2/</w:t>
            </w:r>
            <w:proofErr w:type="spellStart"/>
            <w:r>
              <w:rPr>
                <w:rFonts w:ascii="Arial" w:hAnsi="Arial" w:cs="Arial"/>
                <w:sz w:val="16"/>
                <w:szCs w:val="16"/>
              </w:rPr>
              <w:t>ud</w:t>
            </w:r>
            <w:proofErr w:type="spellEnd"/>
            <w:r>
              <w:rPr>
                <w:rFonts w:ascii="Arial" w:hAnsi="Arial" w:cs="Arial"/>
                <w:sz w:val="16"/>
                <w:szCs w:val="16"/>
              </w:rPr>
              <w:t>) + suporte METÁLICO</w:t>
            </w:r>
          </w:p>
          <w:p w14:paraId="61C0062B" w14:textId="77777777" w:rsidR="00045617" w:rsidRDefault="00045617" w:rsidP="00045617">
            <w:pPr>
              <w:jc w:val="both"/>
              <w:rPr>
                <w:rFonts w:ascii="Arial" w:hAnsi="Arial" w:cs="Arial"/>
                <w:sz w:val="16"/>
                <w:szCs w:val="16"/>
              </w:rPr>
            </w:pPr>
          </w:p>
        </w:tc>
        <w:tc>
          <w:tcPr>
            <w:tcW w:w="719" w:type="pct"/>
          </w:tcPr>
          <w:p w14:paraId="1EB97797" w14:textId="57B4B8C1"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4C2D98C6" w14:textId="1F8311DB"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17</w:t>
            </w:r>
          </w:p>
        </w:tc>
      </w:tr>
      <w:tr w:rsidR="00045617" w:rsidRPr="00EB2BC7" w14:paraId="054EAF6F" w14:textId="77777777" w:rsidTr="00045617">
        <w:tc>
          <w:tcPr>
            <w:tcW w:w="398" w:type="pct"/>
          </w:tcPr>
          <w:p w14:paraId="0ED0ECE7" w14:textId="1848D268" w:rsidR="00045617" w:rsidRDefault="00045617" w:rsidP="00045617">
            <w:pPr>
              <w:widowControl w:val="0"/>
              <w:jc w:val="both"/>
              <w:rPr>
                <w:rFonts w:eastAsia="Times New Roman" w:cstheme="minorHAnsi"/>
                <w:lang w:eastAsia="pt-BR"/>
              </w:rPr>
            </w:pPr>
            <w:r>
              <w:rPr>
                <w:rFonts w:eastAsia="Times New Roman" w:cstheme="minorHAnsi"/>
                <w:lang w:eastAsia="pt-BR"/>
              </w:rPr>
              <w:t>22</w:t>
            </w:r>
          </w:p>
        </w:tc>
        <w:tc>
          <w:tcPr>
            <w:tcW w:w="2841" w:type="pct"/>
          </w:tcPr>
          <w:p w14:paraId="658EB57B" w14:textId="77777777" w:rsidR="00045617" w:rsidRDefault="00045617" w:rsidP="00045617">
            <w:pPr>
              <w:jc w:val="both"/>
              <w:rPr>
                <w:rFonts w:ascii="Arial" w:hAnsi="Arial" w:cs="Arial"/>
                <w:sz w:val="16"/>
                <w:szCs w:val="16"/>
              </w:rPr>
            </w:pPr>
            <w:r>
              <w:rPr>
                <w:rFonts w:ascii="Arial" w:hAnsi="Arial" w:cs="Arial"/>
                <w:sz w:val="16"/>
                <w:szCs w:val="16"/>
              </w:rPr>
              <w:t>Ensaio de Controle de Taxa de Aplicação de Ligante Betuminoso</w:t>
            </w:r>
          </w:p>
          <w:p w14:paraId="001D22FA" w14:textId="77777777" w:rsidR="00045617" w:rsidRDefault="00045617" w:rsidP="00045617">
            <w:pPr>
              <w:jc w:val="both"/>
              <w:rPr>
                <w:rFonts w:ascii="Arial" w:hAnsi="Arial" w:cs="Arial"/>
                <w:b/>
                <w:bCs/>
                <w:color w:val="000000"/>
                <w:sz w:val="16"/>
                <w:szCs w:val="16"/>
              </w:rPr>
            </w:pPr>
          </w:p>
        </w:tc>
        <w:tc>
          <w:tcPr>
            <w:tcW w:w="719" w:type="pct"/>
          </w:tcPr>
          <w:p w14:paraId="78D3881D" w14:textId="2D7B0EA6"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6619C2AF" w14:textId="51C03C12"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50</w:t>
            </w:r>
          </w:p>
        </w:tc>
      </w:tr>
      <w:tr w:rsidR="00045617" w:rsidRPr="00EB2BC7" w14:paraId="42F47AEA" w14:textId="77777777" w:rsidTr="00045617">
        <w:tc>
          <w:tcPr>
            <w:tcW w:w="398" w:type="pct"/>
          </w:tcPr>
          <w:p w14:paraId="597FADA3" w14:textId="2C0D9E42" w:rsidR="00045617" w:rsidRDefault="00045617" w:rsidP="00045617">
            <w:pPr>
              <w:widowControl w:val="0"/>
              <w:jc w:val="both"/>
              <w:rPr>
                <w:rFonts w:eastAsia="Times New Roman" w:cstheme="minorHAnsi"/>
                <w:lang w:eastAsia="pt-BR"/>
              </w:rPr>
            </w:pPr>
            <w:r>
              <w:rPr>
                <w:rFonts w:eastAsia="Times New Roman" w:cstheme="minorHAnsi"/>
                <w:lang w:eastAsia="pt-BR"/>
              </w:rPr>
              <w:t>23</w:t>
            </w:r>
          </w:p>
        </w:tc>
        <w:tc>
          <w:tcPr>
            <w:tcW w:w="2841" w:type="pct"/>
          </w:tcPr>
          <w:p w14:paraId="3ECA0E0D" w14:textId="77777777" w:rsidR="00045617" w:rsidRDefault="00045617" w:rsidP="00045617">
            <w:pPr>
              <w:jc w:val="both"/>
              <w:rPr>
                <w:rFonts w:ascii="Arial" w:hAnsi="Arial" w:cs="Arial"/>
                <w:sz w:val="16"/>
                <w:szCs w:val="16"/>
              </w:rPr>
            </w:pPr>
            <w:r>
              <w:rPr>
                <w:rFonts w:ascii="Arial" w:hAnsi="Arial" w:cs="Arial"/>
                <w:sz w:val="16"/>
                <w:szCs w:val="16"/>
              </w:rPr>
              <w:t>Ensaio de Percentagem de Betume - Misturas Betuminosas</w:t>
            </w:r>
          </w:p>
          <w:p w14:paraId="12353171" w14:textId="77777777" w:rsidR="00045617" w:rsidRDefault="00045617" w:rsidP="00045617">
            <w:pPr>
              <w:jc w:val="both"/>
              <w:rPr>
                <w:rFonts w:ascii="Arial" w:hAnsi="Arial" w:cs="Arial"/>
                <w:b/>
                <w:bCs/>
                <w:color w:val="000000"/>
                <w:sz w:val="16"/>
                <w:szCs w:val="16"/>
              </w:rPr>
            </w:pPr>
          </w:p>
        </w:tc>
        <w:tc>
          <w:tcPr>
            <w:tcW w:w="719" w:type="pct"/>
          </w:tcPr>
          <w:p w14:paraId="1DB66CC2" w14:textId="64EDB6D1"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7A77047F" w14:textId="44B1EB0C"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50</w:t>
            </w:r>
          </w:p>
        </w:tc>
      </w:tr>
      <w:tr w:rsidR="00045617" w:rsidRPr="00EB2BC7" w14:paraId="57FF861F" w14:textId="77777777" w:rsidTr="00045617">
        <w:tc>
          <w:tcPr>
            <w:tcW w:w="398" w:type="pct"/>
          </w:tcPr>
          <w:p w14:paraId="1F8DFE54" w14:textId="575B4B8A" w:rsidR="00045617" w:rsidRDefault="00045617" w:rsidP="00045617">
            <w:pPr>
              <w:widowControl w:val="0"/>
              <w:jc w:val="both"/>
              <w:rPr>
                <w:rFonts w:eastAsia="Times New Roman" w:cstheme="minorHAnsi"/>
                <w:lang w:eastAsia="pt-BR"/>
              </w:rPr>
            </w:pPr>
            <w:r>
              <w:rPr>
                <w:rFonts w:eastAsia="Times New Roman" w:cstheme="minorHAnsi"/>
                <w:lang w:eastAsia="pt-BR"/>
              </w:rPr>
              <w:t>24</w:t>
            </w:r>
          </w:p>
        </w:tc>
        <w:tc>
          <w:tcPr>
            <w:tcW w:w="2841" w:type="pct"/>
          </w:tcPr>
          <w:p w14:paraId="256299CF" w14:textId="247EB382" w:rsidR="00045617" w:rsidRDefault="00045617" w:rsidP="00E84BFB">
            <w:pPr>
              <w:jc w:val="both"/>
              <w:rPr>
                <w:rFonts w:ascii="Arial" w:hAnsi="Arial" w:cs="Arial"/>
                <w:b/>
                <w:bCs/>
                <w:color w:val="000000"/>
                <w:sz w:val="16"/>
                <w:szCs w:val="16"/>
              </w:rPr>
            </w:pPr>
            <w:r>
              <w:rPr>
                <w:rFonts w:ascii="Arial" w:hAnsi="Arial" w:cs="Arial"/>
                <w:sz w:val="16"/>
                <w:szCs w:val="16"/>
              </w:rPr>
              <w:t>Ensaio de Controle do Grau de Compactação da Mistura Asfáltica</w:t>
            </w:r>
          </w:p>
        </w:tc>
        <w:tc>
          <w:tcPr>
            <w:tcW w:w="719" w:type="pct"/>
          </w:tcPr>
          <w:p w14:paraId="52B36401" w14:textId="0E8B58D4"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471050FB" w14:textId="391FA4F1" w:rsidR="009F6F86" w:rsidRPr="00EB2BC7" w:rsidRDefault="0062656E" w:rsidP="00E84BFB">
            <w:pPr>
              <w:widowControl w:val="0"/>
              <w:jc w:val="center"/>
              <w:rPr>
                <w:rFonts w:eastAsia="Times New Roman" w:cstheme="minorHAnsi"/>
                <w:lang w:eastAsia="pt-BR"/>
              </w:rPr>
            </w:pPr>
            <w:r>
              <w:rPr>
                <w:rFonts w:eastAsia="Times New Roman" w:cstheme="minorHAnsi"/>
                <w:lang w:eastAsia="pt-BR"/>
              </w:rPr>
              <w:t>50</w:t>
            </w:r>
          </w:p>
        </w:tc>
      </w:tr>
      <w:tr w:rsidR="00045617" w:rsidRPr="00EB2BC7" w14:paraId="5FF34987" w14:textId="77777777" w:rsidTr="00045617">
        <w:tc>
          <w:tcPr>
            <w:tcW w:w="398" w:type="pct"/>
          </w:tcPr>
          <w:p w14:paraId="651506E5" w14:textId="62D02C1E" w:rsidR="00045617" w:rsidRDefault="00045617" w:rsidP="00045617">
            <w:pPr>
              <w:widowControl w:val="0"/>
              <w:jc w:val="both"/>
              <w:rPr>
                <w:rFonts w:eastAsia="Times New Roman" w:cstheme="minorHAnsi"/>
                <w:lang w:eastAsia="pt-BR"/>
              </w:rPr>
            </w:pPr>
            <w:r>
              <w:rPr>
                <w:rFonts w:eastAsia="Times New Roman" w:cstheme="minorHAnsi"/>
                <w:lang w:eastAsia="pt-BR"/>
              </w:rPr>
              <w:t>25</w:t>
            </w:r>
          </w:p>
        </w:tc>
        <w:tc>
          <w:tcPr>
            <w:tcW w:w="2841" w:type="pct"/>
          </w:tcPr>
          <w:p w14:paraId="18B1F145" w14:textId="77777777" w:rsidR="00045617" w:rsidRDefault="00045617" w:rsidP="00045617">
            <w:pPr>
              <w:jc w:val="both"/>
              <w:rPr>
                <w:rFonts w:ascii="Arial" w:hAnsi="Arial" w:cs="Arial"/>
                <w:sz w:val="16"/>
                <w:szCs w:val="16"/>
              </w:rPr>
            </w:pPr>
            <w:r>
              <w:rPr>
                <w:rFonts w:ascii="Arial" w:hAnsi="Arial" w:cs="Arial"/>
                <w:sz w:val="16"/>
                <w:szCs w:val="16"/>
              </w:rPr>
              <w:t>Ensaio de Densidade do Material Betuminoso</w:t>
            </w:r>
          </w:p>
          <w:p w14:paraId="72B65F52" w14:textId="77777777" w:rsidR="00045617" w:rsidRDefault="00045617" w:rsidP="00045617">
            <w:pPr>
              <w:jc w:val="both"/>
              <w:rPr>
                <w:rFonts w:ascii="Arial" w:hAnsi="Arial" w:cs="Arial"/>
                <w:b/>
                <w:bCs/>
                <w:color w:val="000000"/>
                <w:sz w:val="16"/>
                <w:szCs w:val="16"/>
              </w:rPr>
            </w:pPr>
          </w:p>
        </w:tc>
        <w:tc>
          <w:tcPr>
            <w:tcW w:w="719" w:type="pct"/>
          </w:tcPr>
          <w:p w14:paraId="5973CEB7" w14:textId="12DB7BE2"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4ACE1B1F" w14:textId="37E5C0F0"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50</w:t>
            </w:r>
          </w:p>
        </w:tc>
      </w:tr>
      <w:tr w:rsidR="00045617" w:rsidRPr="00EB2BC7" w14:paraId="3E4AF145" w14:textId="77777777" w:rsidTr="00045617">
        <w:tc>
          <w:tcPr>
            <w:tcW w:w="398" w:type="pct"/>
          </w:tcPr>
          <w:p w14:paraId="64555FA9" w14:textId="213D5CC0" w:rsidR="00045617" w:rsidRDefault="00045617" w:rsidP="00045617">
            <w:pPr>
              <w:widowControl w:val="0"/>
              <w:jc w:val="both"/>
              <w:rPr>
                <w:rFonts w:eastAsia="Times New Roman" w:cstheme="minorHAnsi"/>
                <w:lang w:eastAsia="pt-BR"/>
              </w:rPr>
            </w:pPr>
            <w:r>
              <w:rPr>
                <w:rFonts w:eastAsia="Times New Roman" w:cstheme="minorHAnsi"/>
                <w:lang w:eastAsia="pt-BR"/>
              </w:rPr>
              <w:t>26</w:t>
            </w:r>
          </w:p>
        </w:tc>
        <w:tc>
          <w:tcPr>
            <w:tcW w:w="2841" w:type="pct"/>
          </w:tcPr>
          <w:p w14:paraId="3A43BDB9" w14:textId="2BB9357B" w:rsidR="00045617" w:rsidRDefault="00045617" w:rsidP="00E84BFB">
            <w:pPr>
              <w:jc w:val="both"/>
              <w:rPr>
                <w:rFonts w:ascii="Arial" w:hAnsi="Arial" w:cs="Arial"/>
                <w:b/>
                <w:bCs/>
                <w:color w:val="000000"/>
                <w:sz w:val="16"/>
                <w:szCs w:val="16"/>
              </w:rPr>
            </w:pPr>
            <w:r>
              <w:rPr>
                <w:rFonts w:ascii="Arial" w:hAnsi="Arial" w:cs="Arial"/>
                <w:sz w:val="16"/>
                <w:szCs w:val="16"/>
              </w:rPr>
              <w:t xml:space="preserve">Ensaio de </w:t>
            </w:r>
            <w:proofErr w:type="spellStart"/>
            <w:r>
              <w:rPr>
                <w:rFonts w:ascii="Arial" w:hAnsi="Arial" w:cs="Arial"/>
                <w:sz w:val="16"/>
                <w:szCs w:val="16"/>
              </w:rPr>
              <w:t>tracao</w:t>
            </w:r>
            <w:proofErr w:type="spellEnd"/>
            <w:r>
              <w:rPr>
                <w:rFonts w:ascii="Arial" w:hAnsi="Arial" w:cs="Arial"/>
                <w:sz w:val="16"/>
                <w:szCs w:val="16"/>
              </w:rPr>
              <w:t xml:space="preserve"> por </w:t>
            </w:r>
            <w:proofErr w:type="spellStart"/>
            <w:r>
              <w:rPr>
                <w:rFonts w:ascii="Arial" w:hAnsi="Arial" w:cs="Arial"/>
                <w:sz w:val="16"/>
                <w:szCs w:val="16"/>
              </w:rPr>
              <w:t>compressao</w:t>
            </w:r>
            <w:proofErr w:type="spellEnd"/>
            <w:r>
              <w:rPr>
                <w:rFonts w:ascii="Arial" w:hAnsi="Arial" w:cs="Arial"/>
                <w:sz w:val="16"/>
                <w:szCs w:val="16"/>
              </w:rPr>
              <w:t xml:space="preserve"> diametral - misturas betuminosas</w:t>
            </w:r>
          </w:p>
        </w:tc>
        <w:tc>
          <w:tcPr>
            <w:tcW w:w="719" w:type="pct"/>
          </w:tcPr>
          <w:p w14:paraId="53D22830" w14:textId="092C4FCB"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405CAC4E" w14:textId="1CAE220E"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50</w:t>
            </w:r>
          </w:p>
        </w:tc>
      </w:tr>
      <w:tr w:rsidR="00045617" w:rsidRPr="00EB2BC7" w14:paraId="095EF530" w14:textId="77777777" w:rsidTr="00045617">
        <w:tc>
          <w:tcPr>
            <w:tcW w:w="398" w:type="pct"/>
          </w:tcPr>
          <w:p w14:paraId="1D192544" w14:textId="2FBC1FA0" w:rsidR="00045617" w:rsidRDefault="00045617" w:rsidP="00045617">
            <w:pPr>
              <w:widowControl w:val="0"/>
              <w:jc w:val="both"/>
              <w:rPr>
                <w:rFonts w:eastAsia="Times New Roman" w:cstheme="minorHAnsi"/>
                <w:lang w:eastAsia="pt-BR"/>
              </w:rPr>
            </w:pPr>
            <w:r>
              <w:rPr>
                <w:rFonts w:eastAsia="Times New Roman" w:cstheme="minorHAnsi"/>
                <w:lang w:eastAsia="pt-BR"/>
              </w:rPr>
              <w:t>27</w:t>
            </w:r>
          </w:p>
        </w:tc>
        <w:tc>
          <w:tcPr>
            <w:tcW w:w="2841" w:type="pct"/>
          </w:tcPr>
          <w:p w14:paraId="68B772A0" w14:textId="7B456C72" w:rsidR="00045617" w:rsidRDefault="00045617" w:rsidP="00E84BFB">
            <w:pPr>
              <w:jc w:val="both"/>
              <w:rPr>
                <w:rFonts w:ascii="Arial" w:hAnsi="Arial" w:cs="Arial"/>
                <w:b/>
                <w:bCs/>
                <w:color w:val="000000"/>
                <w:sz w:val="16"/>
                <w:szCs w:val="16"/>
              </w:rPr>
            </w:pPr>
            <w:r>
              <w:rPr>
                <w:rFonts w:ascii="Arial" w:hAnsi="Arial" w:cs="Arial"/>
                <w:sz w:val="16"/>
                <w:szCs w:val="16"/>
              </w:rPr>
              <w:t>Extração de corpo de prova de concreto asfáltico com sonda rotativa</w:t>
            </w:r>
          </w:p>
        </w:tc>
        <w:tc>
          <w:tcPr>
            <w:tcW w:w="719" w:type="pct"/>
          </w:tcPr>
          <w:p w14:paraId="60B5448E" w14:textId="03FDC530"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und</w:t>
            </w:r>
            <w:proofErr w:type="spellEnd"/>
          </w:p>
        </w:tc>
        <w:tc>
          <w:tcPr>
            <w:tcW w:w="1042" w:type="pct"/>
          </w:tcPr>
          <w:p w14:paraId="2513F306" w14:textId="249FBB38"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50</w:t>
            </w:r>
          </w:p>
        </w:tc>
      </w:tr>
      <w:tr w:rsidR="00045617" w:rsidRPr="00EB2BC7" w14:paraId="36F069D6" w14:textId="77777777" w:rsidTr="00045617">
        <w:tc>
          <w:tcPr>
            <w:tcW w:w="398" w:type="pct"/>
          </w:tcPr>
          <w:p w14:paraId="5A1597EA" w14:textId="7DC7D2C0" w:rsidR="00045617" w:rsidRDefault="00045617" w:rsidP="00045617">
            <w:pPr>
              <w:widowControl w:val="0"/>
              <w:jc w:val="both"/>
              <w:rPr>
                <w:rFonts w:eastAsia="Times New Roman" w:cstheme="minorHAnsi"/>
                <w:lang w:eastAsia="pt-BR"/>
              </w:rPr>
            </w:pPr>
            <w:r>
              <w:rPr>
                <w:rFonts w:eastAsia="Times New Roman" w:cstheme="minorHAnsi"/>
                <w:lang w:eastAsia="pt-BR"/>
              </w:rPr>
              <w:t>28</w:t>
            </w:r>
          </w:p>
        </w:tc>
        <w:tc>
          <w:tcPr>
            <w:tcW w:w="2841" w:type="pct"/>
          </w:tcPr>
          <w:p w14:paraId="32DB7C9E" w14:textId="77777777" w:rsidR="00045617" w:rsidRDefault="00045617" w:rsidP="00045617">
            <w:pPr>
              <w:jc w:val="both"/>
              <w:rPr>
                <w:rFonts w:ascii="Arial" w:hAnsi="Arial" w:cs="Arial"/>
                <w:sz w:val="16"/>
                <w:szCs w:val="16"/>
              </w:rPr>
            </w:pPr>
            <w:r>
              <w:rPr>
                <w:rFonts w:ascii="Arial" w:hAnsi="Arial" w:cs="Arial"/>
                <w:sz w:val="16"/>
                <w:szCs w:val="16"/>
              </w:rPr>
              <w:t xml:space="preserve">Mobilização e desmobilização de equipamento e equipe para extração de corpos de prova da capa asfáltica - (para cada 25 extrações de </w:t>
            </w:r>
            <w:proofErr w:type="spellStart"/>
            <w:r>
              <w:rPr>
                <w:rFonts w:ascii="Arial" w:hAnsi="Arial" w:cs="Arial"/>
                <w:sz w:val="16"/>
                <w:szCs w:val="16"/>
              </w:rPr>
              <w:t>CP´s</w:t>
            </w:r>
            <w:proofErr w:type="spellEnd"/>
            <w:r>
              <w:rPr>
                <w:rFonts w:ascii="Arial" w:hAnsi="Arial" w:cs="Arial"/>
                <w:sz w:val="16"/>
                <w:szCs w:val="16"/>
              </w:rPr>
              <w:t xml:space="preserve"> corresponde a 1 mobilização)</w:t>
            </w:r>
          </w:p>
          <w:p w14:paraId="0971C926" w14:textId="77777777" w:rsidR="00045617" w:rsidRDefault="00045617" w:rsidP="00045617">
            <w:pPr>
              <w:jc w:val="both"/>
              <w:rPr>
                <w:rFonts w:ascii="Arial" w:hAnsi="Arial" w:cs="Arial"/>
                <w:sz w:val="16"/>
                <w:szCs w:val="16"/>
              </w:rPr>
            </w:pPr>
          </w:p>
        </w:tc>
        <w:tc>
          <w:tcPr>
            <w:tcW w:w="719" w:type="pct"/>
          </w:tcPr>
          <w:p w14:paraId="6D3E61D0" w14:textId="1647BF11" w:rsidR="00045617" w:rsidRPr="00EB2BC7" w:rsidRDefault="009F6F86" w:rsidP="00E84BFB">
            <w:pPr>
              <w:widowControl w:val="0"/>
              <w:jc w:val="center"/>
              <w:rPr>
                <w:rFonts w:eastAsia="Times New Roman" w:cstheme="minorHAnsi"/>
                <w:lang w:eastAsia="pt-BR"/>
              </w:rPr>
            </w:pPr>
            <w:proofErr w:type="spellStart"/>
            <w:r>
              <w:rPr>
                <w:rFonts w:eastAsia="Times New Roman" w:cstheme="minorHAnsi"/>
                <w:lang w:eastAsia="pt-BR"/>
              </w:rPr>
              <w:t>gb</w:t>
            </w:r>
            <w:proofErr w:type="spellEnd"/>
          </w:p>
        </w:tc>
        <w:tc>
          <w:tcPr>
            <w:tcW w:w="1042" w:type="pct"/>
          </w:tcPr>
          <w:p w14:paraId="0D3B4C72" w14:textId="490B7D31" w:rsidR="00045617" w:rsidRPr="00EB2BC7" w:rsidRDefault="0062656E" w:rsidP="00E84BFB">
            <w:pPr>
              <w:widowControl w:val="0"/>
              <w:jc w:val="center"/>
              <w:rPr>
                <w:rFonts w:eastAsia="Times New Roman" w:cstheme="minorHAnsi"/>
                <w:lang w:eastAsia="pt-BR"/>
              </w:rPr>
            </w:pPr>
            <w:r>
              <w:rPr>
                <w:rFonts w:eastAsia="Times New Roman" w:cstheme="minorHAnsi"/>
                <w:lang w:eastAsia="pt-BR"/>
              </w:rPr>
              <w:t>2</w:t>
            </w:r>
          </w:p>
        </w:tc>
      </w:tr>
    </w:tbl>
    <w:p w14:paraId="3C492F9B" w14:textId="7F06F585"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B55A0CE">
          <v:rect id="_x0000_i1033" style="width:0;height:1.5pt" o:hralign="center" o:hrstd="t" o:hr="t" fillcolor="#a0a0a0" stroked="f"/>
        </w:pict>
      </w:r>
      <w:r w:rsidR="00EB2BC7" w:rsidRPr="00EB2BC7">
        <w:rPr>
          <w:rFonts w:eastAsia="Times New Roman" w:cstheme="minorHAnsi"/>
          <w:b/>
          <w:bCs/>
          <w:lang w:eastAsia="pt-BR"/>
        </w:rPr>
        <w:t>10. ESTIMATIVA DO VALOR DA CONTRATAÇÃO</w:t>
      </w:r>
    </w:p>
    <w:p w14:paraId="5EB42D97"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10.1 - Composição do Valor Estimado</w:t>
      </w:r>
    </w:p>
    <w:p w14:paraId="4145E35B" w14:textId="77777777" w:rsid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valor estimado para a contratação de pavimentação de vias urbanas leva em consideração todos os componentes necessários:</w:t>
      </w:r>
    </w:p>
    <w:p w14:paraId="14B5E6D0" w14:textId="13F1481A" w:rsidR="009F6F86" w:rsidRDefault="009F6F86" w:rsidP="009F6F86">
      <w:pPr>
        <w:pStyle w:val="PargrafodaLista"/>
        <w:widowControl w:val="0"/>
        <w:numPr>
          <w:ilvl w:val="0"/>
          <w:numId w:val="26"/>
        </w:numPr>
        <w:spacing w:after="0"/>
        <w:jc w:val="both"/>
        <w:rPr>
          <w:rFonts w:eastAsia="Times New Roman" w:cstheme="minorHAnsi"/>
          <w:lang w:eastAsia="pt-BR"/>
        </w:rPr>
      </w:pPr>
      <w:r>
        <w:rPr>
          <w:rFonts w:eastAsia="Times New Roman" w:cstheme="minorHAnsi"/>
          <w:lang w:eastAsia="pt-BR"/>
        </w:rPr>
        <w:t xml:space="preserve">Serviços preliminares (placa da obra e locação): R$ </w:t>
      </w:r>
      <w:r w:rsidR="00D72F69">
        <w:rPr>
          <w:rFonts w:eastAsia="Times New Roman" w:cstheme="minorHAnsi"/>
          <w:lang w:eastAsia="pt-BR"/>
        </w:rPr>
        <w:t>4.453,47</w:t>
      </w:r>
    </w:p>
    <w:p w14:paraId="312FEA4F" w14:textId="0E73E11C" w:rsidR="00EB2BC7" w:rsidRDefault="00D72F69" w:rsidP="00EB2BC7">
      <w:pPr>
        <w:widowControl w:val="0"/>
        <w:numPr>
          <w:ilvl w:val="0"/>
          <w:numId w:val="19"/>
        </w:numPr>
        <w:spacing w:after="0"/>
        <w:jc w:val="both"/>
        <w:rPr>
          <w:rFonts w:eastAsia="Times New Roman" w:cstheme="minorHAnsi"/>
          <w:lang w:eastAsia="pt-BR"/>
        </w:rPr>
      </w:pPr>
      <w:r>
        <w:rPr>
          <w:rFonts w:eastAsia="Times New Roman" w:cstheme="minorHAnsi"/>
          <w:lang w:eastAsia="pt-BR"/>
        </w:rPr>
        <w:t>Revestimento</w:t>
      </w:r>
      <w:r w:rsidR="00EB2BC7" w:rsidRPr="00EB2BC7">
        <w:rPr>
          <w:rFonts w:eastAsia="Times New Roman" w:cstheme="minorHAnsi"/>
          <w:lang w:eastAsia="pt-BR"/>
        </w:rPr>
        <w:t xml:space="preserve"> (CAP, emulsões, CBUQ): R$ </w:t>
      </w:r>
      <w:r>
        <w:rPr>
          <w:rFonts w:eastAsia="Times New Roman" w:cstheme="minorHAnsi"/>
          <w:lang w:eastAsia="pt-BR"/>
        </w:rPr>
        <w:t>865.801,93</w:t>
      </w:r>
    </w:p>
    <w:p w14:paraId="7535EF34" w14:textId="5DA53F5E" w:rsidR="009F6F86" w:rsidRPr="00EB2BC7" w:rsidRDefault="009F6F86" w:rsidP="00EB2BC7">
      <w:pPr>
        <w:widowControl w:val="0"/>
        <w:numPr>
          <w:ilvl w:val="0"/>
          <w:numId w:val="19"/>
        </w:numPr>
        <w:spacing w:after="0"/>
        <w:jc w:val="both"/>
        <w:rPr>
          <w:rFonts w:eastAsia="Times New Roman" w:cstheme="minorHAnsi"/>
          <w:lang w:eastAsia="pt-BR"/>
        </w:rPr>
      </w:pPr>
      <w:r>
        <w:rPr>
          <w:rFonts w:eastAsia="Times New Roman" w:cstheme="minorHAnsi"/>
          <w:lang w:eastAsia="pt-BR"/>
        </w:rPr>
        <w:t xml:space="preserve">Meio fio e </w:t>
      </w:r>
      <w:proofErr w:type="gramStart"/>
      <w:r>
        <w:rPr>
          <w:rFonts w:eastAsia="Times New Roman" w:cstheme="minorHAnsi"/>
          <w:lang w:eastAsia="pt-BR"/>
        </w:rPr>
        <w:t>sarjeta :</w:t>
      </w:r>
      <w:proofErr w:type="gramEnd"/>
      <w:r>
        <w:rPr>
          <w:rFonts w:eastAsia="Times New Roman" w:cstheme="minorHAnsi"/>
          <w:lang w:eastAsia="pt-BR"/>
        </w:rPr>
        <w:t xml:space="preserve"> R$ </w:t>
      </w:r>
      <w:r w:rsidR="00D72F69">
        <w:rPr>
          <w:rFonts w:eastAsia="Times New Roman" w:cstheme="minorHAnsi"/>
          <w:lang w:eastAsia="pt-BR"/>
        </w:rPr>
        <w:t>209.197,91</w:t>
      </w:r>
    </w:p>
    <w:p w14:paraId="163CA0C8" w14:textId="5DD51236" w:rsidR="00EB2BC7" w:rsidRPr="00EB2BC7" w:rsidRDefault="00EB2BC7" w:rsidP="00EB2BC7">
      <w:pPr>
        <w:widowControl w:val="0"/>
        <w:numPr>
          <w:ilvl w:val="0"/>
          <w:numId w:val="19"/>
        </w:numPr>
        <w:spacing w:after="0"/>
        <w:jc w:val="both"/>
        <w:rPr>
          <w:rFonts w:eastAsia="Times New Roman" w:cstheme="minorHAnsi"/>
          <w:lang w:eastAsia="pt-BR"/>
        </w:rPr>
      </w:pPr>
      <w:r w:rsidRPr="00EB2BC7">
        <w:rPr>
          <w:rFonts w:eastAsia="Times New Roman" w:cstheme="minorHAnsi"/>
          <w:lang w:eastAsia="pt-BR"/>
        </w:rPr>
        <w:t xml:space="preserve">Materiais para base e urbanização: R$ </w:t>
      </w:r>
      <w:r w:rsidR="00D72F69">
        <w:rPr>
          <w:rFonts w:eastAsia="Times New Roman" w:cstheme="minorHAnsi"/>
          <w:lang w:eastAsia="pt-BR"/>
        </w:rPr>
        <w:t>590.731,69</w:t>
      </w:r>
    </w:p>
    <w:p w14:paraId="2EF0E875" w14:textId="3666725F" w:rsidR="00EB2BC7" w:rsidRPr="00EB2BC7" w:rsidRDefault="009F6F86" w:rsidP="00EB2BC7">
      <w:pPr>
        <w:widowControl w:val="0"/>
        <w:numPr>
          <w:ilvl w:val="0"/>
          <w:numId w:val="19"/>
        </w:numPr>
        <w:spacing w:after="0"/>
        <w:jc w:val="both"/>
        <w:rPr>
          <w:rFonts w:eastAsia="Times New Roman" w:cstheme="minorHAnsi"/>
          <w:lang w:eastAsia="pt-BR"/>
        </w:rPr>
      </w:pPr>
      <w:r>
        <w:rPr>
          <w:rFonts w:eastAsia="Times New Roman" w:cstheme="minorHAnsi"/>
          <w:lang w:eastAsia="pt-BR"/>
        </w:rPr>
        <w:t>Sinalização de trânsito</w:t>
      </w:r>
      <w:r w:rsidR="00EB2BC7" w:rsidRPr="00EB2BC7">
        <w:rPr>
          <w:rFonts w:eastAsia="Times New Roman" w:cstheme="minorHAnsi"/>
          <w:lang w:eastAsia="pt-BR"/>
        </w:rPr>
        <w:t xml:space="preserve">: R$ </w:t>
      </w:r>
      <w:r w:rsidR="00D72F69">
        <w:rPr>
          <w:rFonts w:eastAsia="Times New Roman" w:cstheme="minorHAnsi"/>
          <w:lang w:eastAsia="pt-BR"/>
        </w:rPr>
        <w:t>50.909,77</w:t>
      </w:r>
    </w:p>
    <w:p w14:paraId="6B129523" w14:textId="77777777" w:rsidR="00EB2BC7" w:rsidRPr="00EB2BC7" w:rsidRDefault="00EB2BC7" w:rsidP="00EB2BC7">
      <w:pPr>
        <w:widowControl w:val="0"/>
        <w:numPr>
          <w:ilvl w:val="0"/>
          <w:numId w:val="19"/>
        </w:numPr>
        <w:spacing w:after="0"/>
        <w:jc w:val="both"/>
        <w:rPr>
          <w:rFonts w:eastAsia="Times New Roman" w:cstheme="minorHAnsi"/>
          <w:lang w:eastAsia="pt-BR"/>
        </w:rPr>
      </w:pPr>
      <w:r w:rsidRPr="00EB2BC7">
        <w:rPr>
          <w:rFonts w:eastAsia="Times New Roman" w:cstheme="minorHAnsi"/>
          <w:lang w:eastAsia="pt-BR"/>
        </w:rPr>
        <w:t>Equipamentos e maquinário: inclusos nos custos de serviço</w:t>
      </w:r>
    </w:p>
    <w:p w14:paraId="42F0483D" w14:textId="2A675F97" w:rsidR="00EB2BC7" w:rsidRPr="009F6F86" w:rsidRDefault="00EB2BC7" w:rsidP="00EB2BC7">
      <w:pPr>
        <w:widowControl w:val="0"/>
        <w:numPr>
          <w:ilvl w:val="0"/>
          <w:numId w:val="19"/>
        </w:numPr>
        <w:spacing w:after="0"/>
        <w:jc w:val="both"/>
        <w:rPr>
          <w:rFonts w:eastAsia="Times New Roman" w:cstheme="minorHAnsi"/>
          <w:sz w:val="20"/>
          <w:szCs w:val="20"/>
          <w:lang w:eastAsia="pt-BR"/>
        </w:rPr>
      </w:pPr>
      <w:r w:rsidRPr="009F6F86">
        <w:rPr>
          <w:rFonts w:eastAsia="Times New Roman" w:cstheme="minorHAnsi"/>
          <w:sz w:val="20"/>
          <w:szCs w:val="20"/>
          <w:lang w:eastAsia="pt-BR"/>
        </w:rPr>
        <w:t>Ensaios laboratoriais e controle tecnológico</w:t>
      </w:r>
      <w:r w:rsidR="009F6F86" w:rsidRPr="009F6F86">
        <w:rPr>
          <w:rFonts w:eastAsia="Times New Roman" w:cstheme="minorHAnsi"/>
          <w:sz w:val="20"/>
          <w:szCs w:val="20"/>
          <w:lang w:eastAsia="pt-BR"/>
        </w:rPr>
        <w:t xml:space="preserve"> incluso mobilização e desmobilização</w:t>
      </w:r>
      <w:r w:rsidRPr="009F6F86">
        <w:rPr>
          <w:rFonts w:eastAsia="Times New Roman" w:cstheme="minorHAnsi"/>
          <w:sz w:val="20"/>
          <w:szCs w:val="20"/>
          <w:lang w:eastAsia="pt-BR"/>
        </w:rPr>
        <w:t xml:space="preserve">: R$ </w:t>
      </w:r>
      <w:r w:rsidR="00D72F69">
        <w:rPr>
          <w:rFonts w:eastAsia="Times New Roman" w:cstheme="minorHAnsi"/>
          <w:sz w:val="20"/>
          <w:szCs w:val="20"/>
          <w:lang w:eastAsia="pt-BR"/>
        </w:rPr>
        <w:t>62.269,34</w:t>
      </w:r>
    </w:p>
    <w:p w14:paraId="5E931D0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10.2 - Metodologia de Pesquisa de Preços</w:t>
      </w:r>
    </w:p>
    <w:p w14:paraId="4CCCA227"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valor estimado para tal contratação se baseou em:</w:t>
      </w:r>
    </w:p>
    <w:p w14:paraId="6175967F" w14:textId="3282E27E"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 xml:space="preserve">Tabelas oficiais de referência: DER/PR de </w:t>
      </w:r>
      <w:r w:rsidR="00BB7788">
        <w:rPr>
          <w:rFonts w:eastAsia="Times New Roman" w:cstheme="minorHAnsi"/>
          <w:lang w:eastAsia="pt-BR"/>
        </w:rPr>
        <w:t>agosto</w:t>
      </w:r>
      <w:r w:rsidRPr="00EB2BC7">
        <w:rPr>
          <w:rFonts w:eastAsia="Times New Roman" w:cstheme="minorHAnsi"/>
          <w:lang w:eastAsia="pt-BR"/>
        </w:rPr>
        <w:t xml:space="preserve">/2025 e SINAPI de </w:t>
      </w:r>
      <w:r w:rsidR="00BB7788">
        <w:rPr>
          <w:rFonts w:eastAsia="Times New Roman" w:cstheme="minorHAnsi"/>
          <w:lang w:eastAsia="pt-BR"/>
        </w:rPr>
        <w:t>set</w:t>
      </w:r>
      <w:r w:rsidRPr="00EB2BC7">
        <w:rPr>
          <w:rFonts w:eastAsia="Times New Roman" w:cstheme="minorHAnsi"/>
          <w:lang w:eastAsia="pt-BR"/>
        </w:rPr>
        <w:t>/2025;</w:t>
      </w:r>
    </w:p>
    <w:p w14:paraId="771B684A"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Composições de custos unitários sem desoneração;</w:t>
      </w:r>
    </w:p>
    <w:p w14:paraId="717CDD22"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Cotações de insumos com fornecedores regionais para cálculo de DMT;</w:t>
      </w:r>
    </w:p>
    <w:p w14:paraId="5E3C641A"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Análise de contratos similares executados em municípios vizinhos;</w:t>
      </w:r>
    </w:p>
    <w:p w14:paraId="4DD911EF"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Banco de Preços do Sistema PARANACIDADE;</w:t>
      </w:r>
    </w:p>
    <w:p w14:paraId="1B91EB86"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Adequação aos valores praticados no mercado regional paranaense.</w:t>
      </w:r>
    </w:p>
    <w:p w14:paraId="4805242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10.3 - Fundamentação Legal e Disponibilização</w:t>
      </w:r>
    </w:p>
    <w:p w14:paraId="0849006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lastRenderedPageBreak/>
        <w:t>O valor final conforme critérios de formação de preço estabelecidos no art. 23 da Lei 14.133/2021 constará detalhadamente no Termo de Referência, com planilha de custos unitários, composições de BDI e memória de cálculo completa disponibilizada como anexo do edital, servindo como valor base máximo aceitável para a licitação.</w:t>
      </w:r>
    </w:p>
    <w:p w14:paraId="73A047A7"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10.4 - Valor Total Estimado</w:t>
      </w:r>
    </w:p>
    <w:p w14:paraId="66E9B745" w14:textId="08C6B653"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 xml:space="preserve">Valor Global: R$ </w:t>
      </w:r>
      <w:r w:rsidR="008021C4">
        <w:rPr>
          <w:rFonts w:eastAsia="Times New Roman" w:cstheme="minorHAnsi"/>
          <w:b/>
          <w:bCs/>
          <w:lang w:eastAsia="pt-BR"/>
        </w:rPr>
        <w:t>1.783.364,11</w:t>
      </w:r>
      <w:r w:rsidRPr="00EB2BC7">
        <w:rPr>
          <w:rFonts w:eastAsia="Times New Roman" w:cstheme="minorHAnsi"/>
          <w:lang w:eastAsia="pt-BR"/>
        </w:rPr>
        <w:t xml:space="preserve"> (</w:t>
      </w:r>
      <w:r w:rsidR="008021C4">
        <w:rPr>
          <w:rFonts w:eastAsia="Times New Roman" w:cstheme="minorHAnsi"/>
          <w:lang w:eastAsia="pt-BR"/>
        </w:rPr>
        <w:t>um milhão</w:t>
      </w:r>
      <w:r w:rsidR="004C3258">
        <w:rPr>
          <w:rFonts w:eastAsia="Times New Roman" w:cstheme="minorHAnsi"/>
          <w:lang w:eastAsia="pt-BR"/>
        </w:rPr>
        <w:t xml:space="preserve">, </w:t>
      </w:r>
      <w:r w:rsidR="008021C4">
        <w:rPr>
          <w:rFonts w:eastAsia="Times New Roman" w:cstheme="minorHAnsi"/>
          <w:lang w:eastAsia="pt-BR"/>
        </w:rPr>
        <w:t>setecentos e oitenta e três mil, trezentos e sessenta e quatro reais e onze centavos)</w:t>
      </w:r>
      <w:r w:rsidRPr="00EB2BC7">
        <w:rPr>
          <w:rFonts w:eastAsia="Times New Roman" w:cstheme="minorHAnsi"/>
          <w:lang w:eastAsia="pt-BR"/>
        </w:rPr>
        <w:t xml:space="preserve">, sendo o valor global para execução completa em </w:t>
      </w:r>
      <w:r w:rsidR="008021C4">
        <w:rPr>
          <w:rFonts w:eastAsia="Times New Roman" w:cstheme="minorHAnsi"/>
          <w:lang w:eastAsia="pt-BR"/>
        </w:rPr>
        <w:t>210</w:t>
      </w:r>
      <w:r w:rsidRPr="00EB2BC7">
        <w:rPr>
          <w:rFonts w:eastAsia="Times New Roman" w:cstheme="minorHAnsi"/>
          <w:lang w:eastAsia="pt-BR"/>
        </w:rPr>
        <w:t xml:space="preserve"> dias, incluindo todos os custos diretos, indiretos, impostos, encargos sociais e BDI de 20,</w:t>
      </w:r>
      <w:r w:rsidR="00CC70ED">
        <w:rPr>
          <w:rFonts w:eastAsia="Times New Roman" w:cstheme="minorHAnsi"/>
          <w:lang w:eastAsia="pt-BR"/>
        </w:rPr>
        <w:t>38</w:t>
      </w:r>
      <w:r w:rsidRPr="00EB2BC7">
        <w:rPr>
          <w:rFonts w:eastAsia="Times New Roman" w:cstheme="minorHAnsi"/>
          <w:lang w:eastAsia="pt-BR"/>
        </w:rPr>
        <w:t>% para mão de obra e transporte.</w:t>
      </w:r>
    </w:p>
    <w:p w14:paraId="2F28B798" w14:textId="286F928B"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6F6247F6">
          <v:rect id="_x0000_i1034" style="width:0;height:1.5pt" o:hralign="center" o:hrstd="t" o:hr="t" fillcolor="#a0a0a0" stroked="f"/>
        </w:pict>
      </w:r>
      <w:r w:rsidR="00EB2BC7" w:rsidRPr="00EB2BC7">
        <w:rPr>
          <w:rFonts w:eastAsia="Times New Roman" w:cstheme="minorHAnsi"/>
          <w:b/>
          <w:bCs/>
          <w:lang w:eastAsia="pt-BR"/>
        </w:rPr>
        <w:t>11. JUSTIFICATIVA PARA O PARCELAMENTO OU NÃO DA SOLUÇÃO</w:t>
      </w:r>
    </w:p>
    <w:p w14:paraId="481820C7"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11.1 - Definição da Estrutura Adotada</w:t>
      </w:r>
    </w:p>
    <w:p w14:paraId="60AE54F9" w14:textId="0F01798F"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presente contratação será estruturada em lote único, não sendo realizado o parcelamento do objeto, que contempla a pavimentação completa de </w:t>
      </w:r>
      <w:r w:rsidR="0015196F">
        <w:rPr>
          <w:rFonts w:eastAsia="Times New Roman" w:cstheme="minorHAnsi"/>
          <w:lang w:eastAsia="pt-BR"/>
        </w:rPr>
        <w:t>07</w:t>
      </w:r>
      <w:r w:rsidRPr="00EB2BC7">
        <w:rPr>
          <w:rFonts w:eastAsia="Times New Roman" w:cstheme="minorHAnsi"/>
          <w:lang w:eastAsia="pt-BR"/>
        </w:rPr>
        <w:t xml:space="preserve"> vias urbanas com todos os serviços correlatos </w:t>
      </w:r>
      <w:r w:rsidR="00390483">
        <w:rPr>
          <w:rFonts w:eastAsia="Times New Roman" w:cstheme="minorHAnsi"/>
          <w:lang w:eastAsia="pt-BR"/>
        </w:rPr>
        <w:t>de reperfilamento</w:t>
      </w:r>
      <w:r w:rsidRPr="00EB2BC7">
        <w:rPr>
          <w:rFonts w:eastAsia="Times New Roman" w:cstheme="minorHAnsi"/>
          <w:lang w:eastAsia="pt-BR"/>
        </w:rPr>
        <w:t>, revestimento, urbanização e sinalização, visando garantir a uniformidade técnica e qualidade final do empreendimento.</w:t>
      </w:r>
    </w:p>
    <w:p w14:paraId="1AFEB6C4"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11.2 - Análise da Interdependência Técnica</w:t>
      </w:r>
    </w:p>
    <w:p w14:paraId="38B63CAB" w14:textId="10CD32BC"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Os serviços de</w:t>
      </w:r>
      <w:r w:rsidR="00390483">
        <w:rPr>
          <w:rFonts w:eastAsia="Times New Roman" w:cstheme="minorHAnsi"/>
          <w:lang w:eastAsia="pt-BR"/>
        </w:rPr>
        <w:t xml:space="preserve"> </w:t>
      </w:r>
      <w:r w:rsidRPr="00EB2BC7">
        <w:rPr>
          <w:rFonts w:eastAsia="Times New Roman" w:cstheme="minorHAnsi"/>
          <w:lang w:eastAsia="pt-BR"/>
        </w:rPr>
        <w:t xml:space="preserve">pavimentação, drenagem, urbanização e sinalização compõem um conjunto funcional único e tecnicamente indissociável. A </w:t>
      </w:r>
      <w:r w:rsidR="000572D4">
        <w:rPr>
          <w:rFonts w:eastAsia="Times New Roman" w:cstheme="minorHAnsi"/>
          <w:lang w:eastAsia="pt-BR"/>
        </w:rPr>
        <w:t xml:space="preserve">execução da drenagem, meio-fio com sarjeta </w:t>
      </w:r>
      <w:r w:rsidRPr="00EB2BC7">
        <w:rPr>
          <w:rFonts w:eastAsia="Times New Roman" w:cstheme="minorHAnsi"/>
          <w:lang w:eastAsia="pt-BR"/>
        </w:rPr>
        <w:t>deve ser executado em sincronia com a pavimentação; a urbanização das calçadas precisa estar alinhada com os níveis da pista; e a sinalização deve ser aplicada imediatamente após a conclusão do pavimento. O fracionamento comprometeria a coerência técnica, podendo gerar incompatibilidades de níveis, problemas de drenagem e perda de garantia do conjunto.</w:t>
      </w:r>
    </w:p>
    <w:p w14:paraId="4242403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11.3 - Aspectos Operacionais e de Execução</w:t>
      </w:r>
    </w:p>
    <w:p w14:paraId="02A56A00" w14:textId="20F234C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atuação da equipe de pavimentação pressupõe conhecimento integrado de todas as etapas construtivas, desde a preparação da base até a aplicação da sinalização definitiva. A uniformidade na execução garante padrões consistentes de qualidade, controle tecnológico unificado e responsabilidade única sobre o resultado final. A coordenação e sincronização entre as diferentes frentes de serviço são essenciais para o cumprimento do cronograma de 3</w:t>
      </w:r>
      <w:r w:rsidR="00457BEE">
        <w:rPr>
          <w:rFonts w:eastAsia="Times New Roman" w:cstheme="minorHAnsi"/>
          <w:lang w:eastAsia="pt-BR"/>
        </w:rPr>
        <w:t>0</w:t>
      </w:r>
      <w:r w:rsidR="000572D4">
        <w:rPr>
          <w:rFonts w:eastAsia="Times New Roman" w:cstheme="minorHAnsi"/>
          <w:lang w:eastAsia="pt-BR"/>
        </w:rPr>
        <w:t>0</w:t>
      </w:r>
      <w:r w:rsidRPr="00EB2BC7">
        <w:rPr>
          <w:rFonts w:eastAsia="Times New Roman" w:cstheme="minorHAnsi"/>
          <w:lang w:eastAsia="pt-BR"/>
        </w:rPr>
        <w:t xml:space="preserve"> dias, sendo que a mobilização de múltiplos contratados geraria conflitos de programação e atrasos nas interfaces.</w:t>
      </w:r>
    </w:p>
    <w:p w14:paraId="1EE03F72"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11.4 - Análise de Riscos</w:t>
      </w:r>
    </w:p>
    <w:p w14:paraId="3FDED9F6" w14:textId="77777777" w:rsidR="000572D4" w:rsidRDefault="000572D4" w:rsidP="00EB2BC7">
      <w:pPr>
        <w:widowControl w:val="0"/>
        <w:spacing w:after="0"/>
        <w:jc w:val="both"/>
        <w:outlineLvl w:val="2"/>
        <w:rPr>
          <w:rFonts w:eastAsia="Times New Roman" w:cstheme="minorHAnsi"/>
          <w:lang w:eastAsia="pt-BR"/>
        </w:rPr>
      </w:pPr>
      <w:r w:rsidRPr="000572D4">
        <w:rPr>
          <w:rFonts w:eastAsia="Times New Roman" w:cstheme="minorHAnsi"/>
          <w:lang w:eastAsia="pt-BR"/>
        </w:rPr>
        <w:t xml:space="preserve">O projeto não prevê execução de base, contemplando apenas </w:t>
      </w:r>
      <w:proofErr w:type="spellStart"/>
      <w:r w:rsidRPr="000572D4">
        <w:rPr>
          <w:rFonts w:eastAsia="Times New Roman" w:cstheme="minorHAnsi"/>
          <w:lang w:eastAsia="pt-BR"/>
        </w:rPr>
        <w:t>reperfilagem</w:t>
      </w:r>
      <w:proofErr w:type="spellEnd"/>
      <w:r w:rsidRPr="000572D4">
        <w:rPr>
          <w:rFonts w:eastAsia="Times New Roman" w:cstheme="minorHAnsi"/>
          <w:lang w:eastAsia="pt-BR"/>
        </w:rPr>
        <w:t xml:space="preserve"> e aplicação de capa em CBUQ. A eventual divisão do objeto poderia gerar fornecimentos desconexos entre base e pavimentação, incompatibilidades entre o sistema de drenagem e o pavimento, dificuldades de integração entre calçadas e pista, além de fragmentar responsabilidades, comprometendo a garantia quinquenal. Também implicaria aumento significativo dos custos de administração e fiscalização contratual. Esses fatores representariam risco ao interesse público e poderiam comprometer a qualidade final da obra.</w:t>
      </w:r>
    </w:p>
    <w:p w14:paraId="2DF4B620" w14:textId="5533D0D2"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11.5 - Fundamentação Legal</w:t>
      </w:r>
    </w:p>
    <w:p w14:paraId="1FFBBA40"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Assim, com fundamento no art. 40, §1º da Lei nº 14.133/2021, que estabelece que o parcelamento do objeto deve ser evitado quando houver prejuízo ao conjunto da solução ou </w:t>
      </w:r>
      <w:r w:rsidRPr="00EB2BC7">
        <w:rPr>
          <w:rFonts w:eastAsia="Times New Roman" w:cstheme="minorHAnsi"/>
          <w:lang w:eastAsia="pt-BR"/>
        </w:rPr>
        <w:lastRenderedPageBreak/>
        <w:t>perda de economia de escala, justifica-se tecnicamente a manutenção do lote único, garantindo-se a integridade técnica, operacional e econômica da pavimentação urbana proposta.</w:t>
      </w:r>
    </w:p>
    <w:p w14:paraId="1724EDD0" w14:textId="36A4E7ED"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FBED2AC">
          <v:rect id="_x0000_i1035" style="width:0;height:1.5pt" o:hralign="center" o:hrstd="t" o:hr="t" fillcolor="#a0a0a0" stroked="f"/>
        </w:pict>
      </w:r>
      <w:r w:rsidR="00EB2BC7" w:rsidRPr="00EB2BC7">
        <w:rPr>
          <w:rFonts w:eastAsia="Times New Roman" w:cstheme="minorHAnsi"/>
          <w:b/>
          <w:bCs/>
          <w:lang w:eastAsia="pt-BR"/>
        </w:rPr>
        <w:t>12. CONTRATAÇÕES CORRELATAS E/OU INTERDEPENDENTES</w:t>
      </w:r>
    </w:p>
    <w:p w14:paraId="7EC3FFC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12.1 - Declaração sobre Contratações Correlatas</w:t>
      </w:r>
    </w:p>
    <w:p w14:paraId="40377BFC"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Não há contratações correlatas ou interdependentes diretas para a execução do objeto. A pavimentação contempla integralmente todos os serviços necessários, desde a preparação da base até a sinalização final, constituindo-se em contratação autossuficiente que não depende de outros contratos para seu pleno funcionamento.</w:t>
      </w:r>
    </w:p>
    <w:p w14:paraId="2B9C498A"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12.2 - Análise de Infraestrutura Existente</w:t>
      </w:r>
    </w:p>
    <w:p w14:paraId="25BE08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espaço onde serão realizadas as obras de pavimentação consiste nas vias públicas urbanas já consolidadas, com infraestrutura básica de energia elétrica e iluminação pública existentes. As ruas possuem largura adequada para execução dos serviços, sistema de distribuição de água implantado (não será afetado), e não há necessidade de desapropriações ou relocações. O canteiro de obras poderá ser instalado em área pública disponível, com acesso a água e energia. As vias continuarão sendo utilizadas pela população durante a obra, com desvios temporários programados conforme plano de ataque a ser apresentado pela contratada.</w:t>
      </w:r>
    </w:p>
    <w:p w14:paraId="065AE5C3" w14:textId="15A717E6"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4ACC2B54">
          <v:rect id="_x0000_i1036" style="width:0;height:1.5pt" o:hralign="center" o:hrstd="t" o:hr="t" fillcolor="#a0a0a0" stroked="f"/>
        </w:pict>
      </w:r>
      <w:r w:rsidR="00EB2BC7" w:rsidRPr="00EB2BC7">
        <w:rPr>
          <w:rFonts w:eastAsia="Times New Roman" w:cstheme="minorHAnsi"/>
          <w:b/>
          <w:bCs/>
          <w:lang w:eastAsia="pt-BR"/>
        </w:rPr>
        <w:t>13. ALINHAMENTO ENTRE A CONTRATAÇÃO E O PLANEJAMENTO</w:t>
      </w:r>
    </w:p>
    <w:p w14:paraId="682D29D4"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13.1 - Situação do Planejamento Institucional</w:t>
      </w:r>
    </w:p>
    <w:p w14:paraId="27AA888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presente contratação está alinhada com o Plano de Aceleração Municipal (PAM) e integra as prioridades estabelecidas pela administração municipal para o exercício de 2025. Embora o município ainda esteja finalizando a elaboração do PPA 2026-2029, a pavimentação urbana já consta como ação prioritária no planejamento preliminar, sendo essencial para atender as necessidades operacionais imediatas da população e não comprometendo o planejamento futuro, pelo contrário, estabelecendo bases sólidas para o desenvolvimento urbano sustentável.</w:t>
      </w:r>
    </w:p>
    <w:p w14:paraId="5443723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13.2 - Fundamentação Orçamentária</w:t>
      </w:r>
    </w:p>
    <w:p w14:paraId="3A81680B" w14:textId="42A99DC5"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Tal contratação possui fulcro na Lei Orçamentária Anual (LOA) de 2025, com dotação orçamentária específica na ação de pavimentação urbana, programa de trabalho vinculado à Secretaria de Obras, com recursos identificados através do convênio com a SECID</w:t>
      </w:r>
      <w:r w:rsidR="00904F39">
        <w:rPr>
          <w:rFonts w:eastAsia="Times New Roman" w:cstheme="minorHAnsi"/>
          <w:lang w:eastAsia="pt-BR"/>
        </w:rPr>
        <w:t xml:space="preserve"> no valor </w:t>
      </w:r>
      <w:proofErr w:type="gramStart"/>
      <w:r w:rsidR="00904F39">
        <w:rPr>
          <w:rFonts w:eastAsia="Times New Roman" w:cstheme="minorHAnsi"/>
          <w:lang w:eastAsia="pt-BR"/>
        </w:rPr>
        <w:t xml:space="preserve">de </w:t>
      </w:r>
      <w:r w:rsidRPr="00EB2BC7">
        <w:rPr>
          <w:rFonts w:eastAsia="Times New Roman" w:cstheme="minorHAnsi"/>
          <w:lang w:eastAsia="pt-BR"/>
        </w:rPr>
        <w:t xml:space="preserve"> (</w:t>
      </w:r>
      <w:proofErr w:type="gramEnd"/>
      <w:r w:rsidRPr="00EB2BC7">
        <w:rPr>
          <w:rFonts w:eastAsia="Times New Roman" w:cstheme="minorHAnsi"/>
          <w:lang w:eastAsia="pt-BR"/>
        </w:rPr>
        <w:t xml:space="preserve">R$ </w:t>
      </w:r>
      <w:r w:rsidR="00904F39">
        <w:rPr>
          <w:rFonts w:eastAsia="Times New Roman" w:cstheme="minorHAnsi"/>
          <w:lang w:eastAsia="pt-BR"/>
        </w:rPr>
        <w:t>1.672.000,00</w:t>
      </w:r>
      <w:proofErr w:type="gramStart"/>
      <w:r w:rsidRPr="00EB2BC7">
        <w:rPr>
          <w:rFonts w:eastAsia="Times New Roman" w:cstheme="minorHAnsi"/>
          <w:lang w:eastAsia="pt-BR"/>
        </w:rPr>
        <w:t>)</w:t>
      </w:r>
      <w:r w:rsidR="004C47B6">
        <w:rPr>
          <w:rFonts w:eastAsia="Times New Roman" w:cstheme="minorHAnsi"/>
          <w:lang w:eastAsia="pt-BR"/>
        </w:rPr>
        <w:t xml:space="preserve"> </w:t>
      </w:r>
      <w:r w:rsidR="00904F39">
        <w:rPr>
          <w:rFonts w:eastAsia="Times New Roman" w:cstheme="minorHAnsi"/>
          <w:lang w:eastAsia="pt-BR"/>
        </w:rPr>
        <w:t xml:space="preserve"> e</w:t>
      </w:r>
      <w:proofErr w:type="gramEnd"/>
      <w:r w:rsidR="00904F39">
        <w:rPr>
          <w:rFonts w:eastAsia="Times New Roman" w:cstheme="minorHAnsi"/>
          <w:lang w:eastAsia="pt-BR"/>
        </w:rPr>
        <w:t xml:space="preserve"> como </w:t>
      </w:r>
      <w:r w:rsidR="004C47B6">
        <w:rPr>
          <w:rFonts w:eastAsia="Times New Roman" w:cstheme="minorHAnsi"/>
          <w:lang w:eastAsia="pt-BR"/>
        </w:rPr>
        <w:t xml:space="preserve">contrapartida do </w:t>
      </w:r>
      <w:proofErr w:type="spellStart"/>
      <w:r w:rsidR="004C47B6">
        <w:rPr>
          <w:rFonts w:eastAsia="Times New Roman" w:cstheme="minorHAnsi"/>
          <w:lang w:eastAsia="pt-BR"/>
        </w:rPr>
        <w:t>Municipio</w:t>
      </w:r>
      <w:proofErr w:type="spellEnd"/>
      <w:r w:rsidR="00904F39">
        <w:rPr>
          <w:rFonts w:eastAsia="Times New Roman" w:cstheme="minorHAnsi"/>
          <w:lang w:eastAsia="pt-BR"/>
        </w:rPr>
        <w:t xml:space="preserve"> o valor de R$ 111.364,11, totalizando R$ 1.783.364,11 de investimento</w:t>
      </w:r>
      <w:r w:rsidRPr="00EB2BC7">
        <w:rPr>
          <w:rFonts w:eastAsia="Times New Roman" w:cstheme="minorHAnsi"/>
          <w:lang w:eastAsia="pt-BR"/>
        </w:rPr>
        <w:t xml:space="preserve">. </w:t>
      </w:r>
    </w:p>
    <w:p w14:paraId="11815374" w14:textId="7FADD4DD"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5B1CEC9B">
          <v:rect id="_x0000_i1037" style="width:0;height:1.5pt" o:hralign="center" o:hrstd="t" o:hr="t" fillcolor="#a0a0a0" stroked="f"/>
        </w:pict>
      </w:r>
      <w:r w:rsidR="00EB2BC7" w:rsidRPr="00EB2BC7">
        <w:rPr>
          <w:rFonts w:eastAsia="Times New Roman" w:cstheme="minorHAnsi"/>
          <w:b/>
          <w:bCs/>
          <w:lang w:eastAsia="pt-BR"/>
        </w:rPr>
        <w:t>14. RESULTADOS PRETENDIDOS</w:t>
      </w:r>
    </w:p>
    <w:p w14:paraId="296B3A5F"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14.1 - Objetivos Principais e Benefícios Esperados</w:t>
      </w:r>
    </w:p>
    <w:p w14:paraId="11AB0EF4"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contratação de pavimentação urbana em CBUQ visa alcançar uma série de objetivos essenciais:</w:t>
      </w:r>
    </w:p>
    <w:p w14:paraId="6A69623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Resultados Imediatos:</w:t>
      </w:r>
    </w:p>
    <w:p w14:paraId="67E9749A" w14:textId="391D67D3"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 xml:space="preserve">Pavimentação completa de </w:t>
      </w:r>
      <w:r w:rsidR="003B6895">
        <w:rPr>
          <w:rFonts w:eastAsia="Times New Roman" w:cstheme="minorHAnsi"/>
          <w:lang w:eastAsia="pt-BR"/>
        </w:rPr>
        <w:t>1.176,68</w:t>
      </w:r>
      <w:r w:rsidRPr="00EB2BC7">
        <w:rPr>
          <w:rFonts w:eastAsia="Times New Roman" w:cstheme="minorHAnsi"/>
          <w:lang w:eastAsia="pt-BR"/>
        </w:rPr>
        <w:t xml:space="preserve"> metros lineares de vias urbanas;</w:t>
      </w:r>
    </w:p>
    <w:p w14:paraId="022B20A0" w14:textId="5ED65C21"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 xml:space="preserve">Melhoria das condições de trafegabilidade para </w:t>
      </w:r>
      <w:r w:rsidR="00BF1DCD">
        <w:rPr>
          <w:rFonts w:eastAsia="Times New Roman" w:cstheme="minorHAnsi"/>
          <w:lang w:eastAsia="pt-BR"/>
        </w:rPr>
        <w:t>600</w:t>
      </w:r>
      <w:r w:rsidRPr="00EB2BC7">
        <w:rPr>
          <w:rFonts w:eastAsia="Times New Roman" w:cstheme="minorHAnsi"/>
          <w:lang w:eastAsia="pt-BR"/>
        </w:rPr>
        <w:t xml:space="preserve"> habitantes;</w:t>
      </w:r>
    </w:p>
    <w:p w14:paraId="4B8F4416" w14:textId="77777777"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Redução de 60% no tempo médio de deslocamento nas vias beneficiadas;</w:t>
      </w:r>
    </w:p>
    <w:p w14:paraId="5233CF0B" w14:textId="77777777"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lastRenderedPageBreak/>
        <w:t>Eliminação de poeira e lama em 100% das ruas contempladas;</w:t>
      </w:r>
    </w:p>
    <w:p w14:paraId="289ABBAE" w14:textId="77777777"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Implantação de sistema eficiente de drenagem superficial.</w:t>
      </w:r>
    </w:p>
    <w:p w14:paraId="531EBE27"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Resultados de Médio Prazo:</w:t>
      </w:r>
    </w:p>
    <w:p w14:paraId="5D71C3FE"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Valorização imobiliária estimada entre 15% e 30% nos imóveis lindeiros;</w:t>
      </w:r>
    </w:p>
    <w:p w14:paraId="7078E1B4"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Redução de 40% nos custos de manutenção da frota municipal;</w:t>
      </w:r>
    </w:p>
    <w:p w14:paraId="6877AEF3"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Diminuição de 50% nas despesas com manutenção viária;</w:t>
      </w:r>
    </w:p>
    <w:p w14:paraId="527F8428"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Melhoria nos índices de saúde respiratória da população local;</w:t>
      </w:r>
    </w:p>
    <w:p w14:paraId="00FDD13F"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Aumento da atividade econômica nas áreas beneficiadas.</w:t>
      </w:r>
    </w:p>
    <w:p w14:paraId="245101C8"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Resultados de Longo Prazo:</w:t>
      </w:r>
    </w:p>
    <w:p w14:paraId="52BE095B"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Consolidação de um sistema viário moderno e sustentável;</w:t>
      </w:r>
    </w:p>
    <w:p w14:paraId="5F79DA23"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Integração urbana completa dos bairros periféricos;</w:t>
      </w:r>
    </w:p>
    <w:p w14:paraId="60B24C6D"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Estabelecimento de padrão de qualidade para futuras intervenções;</w:t>
      </w:r>
    </w:p>
    <w:p w14:paraId="332AD807"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Criação de modelo replicável para outras áreas do município;</w:t>
      </w:r>
    </w:p>
    <w:p w14:paraId="0DAE43A3"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Contribuição para os indicadores de desenvolvimento urbano sustentável.</w:t>
      </w:r>
    </w:p>
    <w:p w14:paraId="71657571" w14:textId="5A070A24"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123A1A13">
          <v:rect id="_x0000_i1038" style="width:0;height:1.5pt" o:hralign="center" o:hrstd="t" o:hr="t" fillcolor="#a0a0a0" stroked="f"/>
        </w:pict>
      </w:r>
      <w:r w:rsidR="00EB2BC7" w:rsidRPr="00EB2BC7">
        <w:rPr>
          <w:rFonts w:eastAsia="Times New Roman" w:cstheme="minorHAnsi"/>
          <w:b/>
          <w:bCs/>
          <w:lang w:eastAsia="pt-BR"/>
        </w:rPr>
        <w:t>15. PROVIDÊNCIAS A SEREM ADOTADAS</w:t>
      </w:r>
    </w:p>
    <w:p w14:paraId="5C5756DA"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15.1 - Adequações de Infraestrutura</w:t>
      </w:r>
    </w:p>
    <w:p w14:paraId="1DABCB2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Para esta solução não há necessidade de ajustes ou adequações significativas na infraestrutura existente. As vias já possuem definição de greide, sistema de distribuição de água implantado abaixo do leito e rede de energia elétrica aérea que não será afetada. Os serviços serão executados no leito carroçável existente, com compartilhamento temporário do uso através de meia pista durante a execução, organizando-se o fluxo através de sinalização provisória adequada.</w:t>
      </w:r>
    </w:p>
    <w:p w14:paraId="629C73F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15.2 - Responsabilidades da Contratada</w:t>
      </w:r>
    </w:p>
    <w:p w14:paraId="271A002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Os materiais, equipamentos e serviços serão de inteira responsabilidade da contratada, incluindo fornecimento completo de todos os insumos necessários, garantia de qualidade conforme especificações técnicas do DER/PR, instalação e execução com equipe própria especializada, treinamento do pessoal da prefeitura para manutenção básica, suporte técnico durante o período de garantia e manutenção corretiva quando necessária, assegurando a integralidade e funcionalidade da solução fornecida.</w:t>
      </w:r>
    </w:p>
    <w:p w14:paraId="2B83E8AD"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15.3 - Providências da Administração</w:t>
      </w:r>
    </w:p>
    <w:p w14:paraId="7E8203E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Cabe à Administração Municipal indicar servidor para gestão contratual e equipe de fiscalização técnica, formalizando através de Portaria específica a designação dos responsáveis. Será necessária capacitação básica dos fiscais em controle tecnológico de pavimentação, com acompanhamento sistemático das etapas através de relatórios mensais e diário de obras, além da avaliação periódica do cumprimento do cronograma e qualidade dos serviços executados.</w:t>
      </w:r>
    </w:p>
    <w:p w14:paraId="5CDC5A3B" w14:textId="3D30BFC7"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75684BCC">
          <v:rect id="_x0000_i1039" style="width:0;height:1.5pt" o:hralign="center" o:hrstd="t" o:hr="t" fillcolor="#a0a0a0" stroked="f"/>
        </w:pict>
      </w:r>
      <w:r w:rsidR="00EB2BC7" w:rsidRPr="00EB2BC7">
        <w:rPr>
          <w:rFonts w:eastAsia="Times New Roman" w:cstheme="minorHAnsi"/>
          <w:b/>
          <w:bCs/>
          <w:lang w:eastAsia="pt-BR"/>
        </w:rPr>
        <w:t>16. POSSÍVEIS IMPACTOS AMBIENTAIS</w:t>
      </w:r>
    </w:p>
    <w:p w14:paraId="0C7E74F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16.1 - Identificação dos Impactos Ambientais Negativos</w:t>
      </w:r>
    </w:p>
    <w:p w14:paraId="6A59A794" w14:textId="5FC0398F"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fabricação e aplicação de concreto asfáltico pode gerar diversos impactos negativos ao ambiente, incluindo: extração de recursos minerais (brita, areia) com alteração da paisagem e ecossistemas locais; processo de usinagem do asfalto com emissões atmosféricas de COV (compostos orgânicos voláteis) e material particulado; consumo energético significativo no </w:t>
      </w:r>
      <w:r w:rsidRPr="00EB2BC7">
        <w:rPr>
          <w:rFonts w:eastAsia="Times New Roman" w:cstheme="minorHAnsi"/>
          <w:lang w:eastAsia="pt-BR"/>
        </w:rPr>
        <w:lastRenderedPageBreak/>
        <w:t xml:space="preserve">aquecimento do CAP e agregados; emissões de CO2 no transporte de materiais com DMT médio de </w:t>
      </w:r>
      <w:r w:rsidR="009B0638">
        <w:rPr>
          <w:rFonts w:eastAsia="Times New Roman" w:cstheme="minorHAnsi"/>
          <w:lang w:eastAsia="pt-BR"/>
        </w:rPr>
        <w:t>6</w:t>
      </w:r>
      <w:r w:rsidR="00E8782D">
        <w:rPr>
          <w:rFonts w:eastAsia="Times New Roman" w:cstheme="minorHAnsi"/>
          <w:lang w:eastAsia="pt-BR"/>
        </w:rPr>
        <w:t>0</w:t>
      </w:r>
      <w:r w:rsidRPr="00EB2BC7">
        <w:rPr>
          <w:rFonts w:eastAsia="Times New Roman" w:cstheme="minorHAnsi"/>
          <w:lang w:eastAsia="pt-BR"/>
        </w:rPr>
        <w:t xml:space="preserve"> km para massa asfáltica; impermeabilização do solo reduzindo infiltração natural e aumentando escoamento superficial; geração de resíduos de fresagem e sobras de material asfáltico com potencial contaminante.</w:t>
      </w:r>
    </w:p>
    <w:p w14:paraId="0C7ECB0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16.2 - Impactos Ambientais Positivos e Oportunidades</w:t>
      </w:r>
    </w:p>
    <w:p w14:paraId="773FCBD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Porém, se forem geridos de forma sustentável, também podem provocar impactos positivos significativos. O uso de materiais pétreos de pedreiras licenciadas garante exploração controlada; a pavimentação adequada reduz emissão de material particulado (poeira) melhorando a qualidade do ar; o sistema de drenagem previne erosões e assoreamento de corpos d'água; a urbanização com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permite maior permeabilidade que o asfalto convencional; a durabilidade de 10 anos reduz necessidade de intervenções frequentes; e a possibilidade futura de reciclagem do pavimento através de fresagem e reaproveitamento em novas misturas promove economia circular.</w:t>
      </w:r>
    </w:p>
    <w:p w14:paraId="657B0FED"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16.3 - Medidas de Mitigação e Controle</w:t>
      </w:r>
    </w:p>
    <w:p w14:paraId="3D1EF2C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Para reduzir impactos negativos serão exigidos: utilização de usina de asfalto com filtros e sistemas de controle de emissões; aplicação de técnicas de pavimentação "morna" quando possível, reduzindo temperatura e emissões; exigência de licenças ambientais válidas de todos os fornecedores; implementação de programa de gerenciamento de resíduos da construção civil; utilização de agregados reciclados quando tecnicamente viável; compensação através de plantio de árvores nas calçadas urbanizadas; e monitor</w:t>
      </w:r>
    </w:p>
    <w:p w14:paraId="198CF1B5"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16.3 - Medidas de Mitigação e Controle (continuação)</w:t>
      </w:r>
    </w:p>
    <w:p w14:paraId="4F21640D" w14:textId="382D01A4" w:rsidR="00EB2BC7" w:rsidRPr="00EB2BC7" w:rsidRDefault="00091FEB" w:rsidP="00EB2BC7">
      <w:pPr>
        <w:widowControl w:val="0"/>
        <w:spacing w:after="0"/>
        <w:jc w:val="both"/>
        <w:rPr>
          <w:rFonts w:eastAsia="Times New Roman" w:cstheme="minorHAnsi"/>
          <w:lang w:eastAsia="pt-BR"/>
        </w:rPr>
      </w:pPr>
      <w:r>
        <w:rPr>
          <w:rFonts w:eastAsia="Times New Roman" w:cstheme="minorHAnsi"/>
          <w:lang w:eastAsia="pt-BR"/>
        </w:rPr>
        <w:t>M</w:t>
      </w:r>
      <w:r w:rsidR="00EB2BC7" w:rsidRPr="00EB2BC7">
        <w:rPr>
          <w:rFonts w:eastAsia="Times New Roman" w:cstheme="minorHAnsi"/>
          <w:lang w:eastAsia="pt-BR"/>
        </w:rPr>
        <w:t>onitoramento da qualidade do ar durante a execução; uso prioritário de fornecedores locais para redução de emissões de transporte; e implementação de sistema de gestão ambiental da obra com responsável técnico específico.</w:t>
      </w:r>
    </w:p>
    <w:p w14:paraId="4F082282"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16.4 - Conformidade Legal e Normativa</w:t>
      </w:r>
    </w:p>
    <w:p w14:paraId="0620C2A0"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execução deverá atender integralmente à legislação ambiental aplicável: Resolução CONAMA nº 307/2002 sobre gestão de resíduos da construção civil; Política Nacional de Resíduos Sólidos (Lei 12.305/2010); licenciamento ambiental das jazidas e usina de asfalto conforme legislação estadual do Paraná; normas técnicas ABNT NBR 10004 para classificação de resíduos; e legislação municipal de meio ambiente. Serão exigidas certificações ambientais dos fornecedores principais, relatórios mensais de gestão ambiental e PGRS (Plano de Gerenciamento de Resíduos Sólidos) específico para a obra.</w:t>
      </w:r>
    </w:p>
    <w:p w14:paraId="31D72F18" w14:textId="2AA0C9BE" w:rsidR="00EB2BC7" w:rsidRPr="00EB2BC7" w:rsidRDefault="0061060C" w:rsidP="00EB2BC7">
      <w:pPr>
        <w:widowControl w:val="0"/>
        <w:spacing w:after="0"/>
        <w:jc w:val="both"/>
        <w:outlineLvl w:val="1"/>
        <w:rPr>
          <w:rFonts w:eastAsia="Times New Roman" w:cstheme="minorHAnsi"/>
          <w:b/>
          <w:bCs/>
          <w:lang w:eastAsia="pt-BR"/>
        </w:rPr>
      </w:pPr>
      <w:r>
        <w:rPr>
          <w:rFonts w:cstheme="minorHAnsi"/>
        </w:rPr>
        <w:pict w14:anchorId="39311288">
          <v:rect id="_x0000_i1040" style="width:0;height:1.5pt" o:hralign="center" o:hrstd="t" o:hr="t" fillcolor="#a0a0a0" stroked="f"/>
        </w:pict>
      </w:r>
      <w:r w:rsidR="00EB2BC7" w:rsidRPr="00EB2BC7">
        <w:rPr>
          <w:rFonts w:eastAsia="Times New Roman" w:cstheme="minorHAnsi"/>
          <w:b/>
          <w:bCs/>
          <w:lang w:eastAsia="pt-BR"/>
        </w:rPr>
        <w:t>17. DECLARAÇÃO DE VIABILIDADE</w:t>
      </w:r>
    </w:p>
    <w:p w14:paraId="273683B0"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17.1 - Justificativa da Essencialidade</w:t>
      </w:r>
    </w:p>
    <w:p w14:paraId="7166B3DA" w14:textId="7B732001"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dos serviços de pavimentação descritos neste estudo técnico preliminar é essencial para o desenvolvimento urbano sustentável de Nova Prata do Iguaçu, proporcionando infraestrutura viária de qualidade que beneficiará diretamente </w:t>
      </w:r>
      <w:r w:rsidR="00306175">
        <w:rPr>
          <w:rFonts w:eastAsia="Times New Roman" w:cstheme="minorHAnsi"/>
          <w:lang w:eastAsia="pt-BR"/>
        </w:rPr>
        <w:t>600</w:t>
      </w:r>
      <w:r w:rsidRPr="00EB2BC7">
        <w:rPr>
          <w:rFonts w:eastAsia="Times New Roman" w:cstheme="minorHAnsi"/>
          <w:lang w:eastAsia="pt-BR"/>
        </w:rPr>
        <w:t xml:space="preserve"> habitantes e indiretamente toda a população municipal. Os benefícios esperados incluem melhoria significativa na mobilidade urbana, valorização imobiliária, redução de custos de manutenção veicular e viária, além do impacto positivo na saúde pública pela eliminação de poeira e melhoria da drenagem urbana.</w:t>
      </w:r>
    </w:p>
    <w:p w14:paraId="0C0EA5E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lastRenderedPageBreak/>
        <w:t>A implementação representa modernização através de tecnologias consagradas de pavimentação asfáltica, metodologias de controle tecnológico rigoroso e padrões de qualidade alinhados com as melhores práticas nacionais. A solução proposta resolve problemas crônicos de trafegabilidade, aproveita oportunidades de financiamento estadual através do PAM e desenvolve competências locais em gestão de infraestrutura urbana moderna.</w:t>
      </w:r>
    </w:p>
    <w:p w14:paraId="28FEBA53"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17.2 - Declaração Formal de Viabilidade</w:t>
      </w:r>
    </w:p>
    <w:p w14:paraId="4F3ED938"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Face ao exposto, a equipe designada para elaboração deste documento declara que:</w:t>
      </w:r>
    </w:p>
    <w:p w14:paraId="392015BB"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a) Viabilidade Técnica:</w:t>
      </w:r>
      <w:r w:rsidRPr="00EB2BC7">
        <w:rPr>
          <w:rFonts w:eastAsia="Times New Roman" w:cstheme="minorHAnsi"/>
          <w:lang w:eastAsia="pt-BR"/>
        </w:rPr>
        <w:t xml:space="preserve"> A contratação é tecnicamente viável, existindo no mercado regional empresas capacitadas, materiais disponíveis, tecnologia consolidada e normas técnicas estabelecidas para garantir a qualidade da execução;</w:t>
      </w:r>
    </w:p>
    <w:p w14:paraId="1EEE7F5A" w14:textId="6830854B"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b) Viabilidade Econômica:</w:t>
      </w:r>
      <w:r w:rsidRPr="00EB2BC7">
        <w:rPr>
          <w:rFonts w:eastAsia="Times New Roman" w:cstheme="minorHAnsi"/>
          <w:lang w:eastAsia="pt-BR"/>
        </w:rPr>
        <w:t xml:space="preserve"> O investimento de R$ </w:t>
      </w:r>
      <w:r w:rsidR="00091FEB">
        <w:rPr>
          <w:rFonts w:eastAsia="Times New Roman" w:cstheme="minorHAnsi"/>
          <w:lang w:eastAsia="pt-BR"/>
        </w:rPr>
        <w:t>1.783.364,11</w:t>
      </w:r>
      <w:r w:rsidRPr="00EB2BC7">
        <w:rPr>
          <w:rFonts w:eastAsia="Times New Roman" w:cstheme="minorHAnsi"/>
          <w:lang w:eastAsia="pt-BR"/>
        </w:rPr>
        <w:t xml:space="preserve"> apresenta excelente relação custo-benefício, com retorno social mensurável através da valorização imobiliária, redução de custos operacionais e melhoria da qualidade de vida, além de contar com </w:t>
      </w:r>
      <w:r w:rsidR="00C3574D">
        <w:rPr>
          <w:rFonts w:eastAsia="Times New Roman" w:cstheme="minorHAnsi"/>
          <w:lang w:eastAsia="pt-BR"/>
        </w:rPr>
        <w:t>100</w:t>
      </w:r>
      <w:r w:rsidRPr="00EB2BC7">
        <w:rPr>
          <w:rFonts w:eastAsia="Times New Roman" w:cstheme="minorHAnsi"/>
          <w:lang w:eastAsia="pt-BR"/>
        </w:rPr>
        <w:t>% de recursos estaduais, minimizando o impacto no orçamento municipal;</w:t>
      </w:r>
    </w:p>
    <w:p w14:paraId="3E98600F"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c) Viabilidade Legal:</w:t>
      </w:r>
      <w:r w:rsidRPr="00EB2BC7">
        <w:rPr>
          <w:rFonts w:eastAsia="Times New Roman" w:cstheme="minorHAnsi"/>
          <w:lang w:eastAsia="pt-BR"/>
        </w:rPr>
        <w:t xml:space="preserve"> A contratação está plenamente amparada pela Lei 14.133/2021, com processo licitatório na modalidade Concorrência, atendendo todos os requisitos legais e normativos aplicáveis;</w:t>
      </w:r>
    </w:p>
    <w:p w14:paraId="76A9FA6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d) Viabilidade Ambiental:</w:t>
      </w:r>
      <w:r w:rsidRPr="00EB2BC7">
        <w:rPr>
          <w:rFonts w:eastAsia="Times New Roman" w:cstheme="minorHAnsi"/>
          <w:lang w:eastAsia="pt-BR"/>
        </w:rPr>
        <w:t xml:space="preserve"> Os impactos ambientais são mitigáveis através das medidas de controle propostas, com benefícios ambientais de longo prazo superiores aos impactos temporários da execução;</w:t>
      </w:r>
    </w:p>
    <w:p w14:paraId="71F87B9D"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e) Viabilidade Social:</w:t>
      </w:r>
      <w:r w:rsidRPr="00EB2BC7">
        <w:rPr>
          <w:rFonts w:eastAsia="Times New Roman" w:cstheme="minorHAnsi"/>
          <w:lang w:eastAsia="pt-BR"/>
        </w:rPr>
        <w:t xml:space="preserve"> O projeto conta com forte apoio da comunidade, atende demanda histórica da população e promove inclusão social através da acessibilidade universal implementada.</w:t>
      </w:r>
    </w:p>
    <w:p w14:paraId="64AB1E6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17.3 - Recomendações Finais</w:t>
      </w:r>
    </w:p>
    <w:p w14:paraId="13BA7D0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Recomenda-se o prosseguimento do processo licitatório com a maior brevidade possível, aproveitando a disponibilidade de recursos do PAM e as condições favoráveis de mercado. Sugere-se especial atenção à fiscalização técnica durante a execução, garantindo o cumprimento rigoroso das especificações e prazos estabelecidos.</w:t>
      </w:r>
    </w:p>
    <w:p w14:paraId="745B826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17.4 - Conclusão</w:t>
      </w:r>
    </w:p>
    <w:p w14:paraId="75A6BC3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Considerando todos os aspectos analisados neste Estudo Técnico Preliminar, conclui-se pela </w:t>
      </w:r>
      <w:r w:rsidRPr="00EB2BC7">
        <w:rPr>
          <w:rFonts w:eastAsia="Times New Roman" w:cstheme="minorHAnsi"/>
          <w:b/>
          <w:bCs/>
          <w:lang w:eastAsia="pt-BR"/>
        </w:rPr>
        <w:t>VIABILIDADE INTEGRAL</w:t>
      </w:r>
      <w:r w:rsidRPr="00EB2BC7">
        <w:rPr>
          <w:rFonts w:eastAsia="Times New Roman" w:cstheme="minorHAnsi"/>
          <w:lang w:eastAsia="pt-BR"/>
        </w:rPr>
        <w:t xml:space="preserve"> da contratação proposta, recomendando-se sua aprovação e continuidade do processo licitatório, com elaboração do Termo de Referência detalhado e publicação do edital de Concorrência Pública.</w:t>
      </w:r>
    </w:p>
    <w:p w14:paraId="188EEA70" w14:textId="77777777" w:rsidR="00EB2BC7" w:rsidRPr="00EB2BC7" w:rsidRDefault="0061060C" w:rsidP="00EB2BC7">
      <w:pPr>
        <w:widowControl w:val="0"/>
        <w:spacing w:after="0"/>
        <w:jc w:val="both"/>
        <w:rPr>
          <w:rFonts w:eastAsia="Times New Roman" w:cstheme="minorHAnsi"/>
          <w:lang w:eastAsia="pt-BR"/>
        </w:rPr>
      </w:pPr>
      <w:r>
        <w:rPr>
          <w:rFonts w:eastAsia="Times New Roman" w:cstheme="minorHAnsi"/>
          <w:lang w:eastAsia="pt-BR"/>
        </w:rPr>
        <w:pict w14:anchorId="47C18D94">
          <v:rect id="_x0000_i1041" style="width:0;height:1.5pt" o:hralign="center" o:hrstd="t" o:hr="t" fillcolor="#a0a0a0" stroked="f"/>
        </w:pict>
      </w:r>
    </w:p>
    <w:p w14:paraId="3DC4928B" w14:textId="3691093C"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 xml:space="preserve">Nova Prata do Iguaçu/PR, </w:t>
      </w:r>
      <w:r w:rsidR="00007B46">
        <w:rPr>
          <w:rFonts w:eastAsia="Times New Roman" w:cstheme="minorHAnsi"/>
          <w:b/>
          <w:bCs/>
          <w:lang w:eastAsia="pt-BR"/>
        </w:rPr>
        <w:t>1</w:t>
      </w:r>
      <w:r w:rsidR="00A875AB">
        <w:rPr>
          <w:rFonts w:eastAsia="Times New Roman" w:cstheme="minorHAnsi"/>
          <w:b/>
          <w:bCs/>
          <w:lang w:eastAsia="pt-BR"/>
        </w:rPr>
        <w:t>9</w:t>
      </w:r>
      <w:r w:rsidR="0075730E">
        <w:rPr>
          <w:rFonts w:eastAsia="Times New Roman" w:cstheme="minorHAnsi"/>
          <w:b/>
          <w:bCs/>
          <w:lang w:eastAsia="pt-BR"/>
        </w:rPr>
        <w:t xml:space="preserve"> </w:t>
      </w:r>
      <w:r w:rsidR="00007B46">
        <w:rPr>
          <w:rFonts w:eastAsia="Times New Roman" w:cstheme="minorHAnsi"/>
          <w:b/>
          <w:bCs/>
          <w:lang w:eastAsia="pt-BR"/>
        </w:rPr>
        <w:t xml:space="preserve">de </w:t>
      </w:r>
      <w:r w:rsidR="006D0E99">
        <w:rPr>
          <w:rFonts w:eastAsia="Times New Roman" w:cstheme="minorHAnsi"/>
          <w:b/>
          <w:bCs/>
          <w:lang w:eastAsia="pt-BR"/>
        </w:rPr>
        <w:t>setembro</w:t>
      </w:r>
      <w:r w:rsidR="00007B46">
        <w:rPr>
          <w:rFonts w:eastAsia="Times New Roman" w:cstheme="minorHAnsi"/>
          <w:b/>
          <w:bCs/>
          <w:lang w:eastAsia="pt-BR"/>
        </w:rPr>
        <w:t xml:space="preserve"> de 20255.</w:t>
      </w:r>
    </w:p>
    <w:p w14:paraId="3936BFC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Equipe de Elaboração:</w:t>
      </w:r>
    </w:p>
    <w:p w14:paraId="0467201D" w14:textId="77777777" w:rsidR="00EB2BC7" w:rsidRPr="00EB2BC7" w:rsidRDefault="0061060C" w:rsidP="00EB2BC7">
      <w:pPr>
        <w:widowControl w:val="0"/>
        <w:spacing w:after="0"/>
        <w:jc w:val="both"/>
        <w:rPr>
          <w:rFonts w:eastAsia="Times New Roman" w:cstheme="minorHAnsi"/>
          <w:lang w:eastAsia="pt-BR"/>
        </w:rPr>
      </w:pPr>
      <w:r>
        <w:rPr>
          <w:rFonts w:eastAsia="Times New Roman" w:cstheme="minorHAnsi"/>
          <w:lang w:eastAsia="pt-BR"/>
        </w:rPr>
        <w:pict w14:anchorId="67615522">
          <v:rect id="_x0000_i1042" style="width:0;height:1.5pt" o:hralign="center" o:hrstd="t" o:hr="t" fillcolor="#a0a0a0" stroked="f"/>
        </w:pict>
      </w:r>
    </w:p>
    <w:p w14:paraId="0347B994" w14:textId="10D266F8" w:rsidR="00EB2BC7" w:rsidRPr="00EB2BC7" w:rsidRDefault="00B50F69" w:rsidP="00EB2BC7">
      <w:pPr>
        <w:widowControl w:val="0"/>
        <w:spacing w:after="0"/>
        <w:jc w:val="both"/>
        <w:rPr>
          <w:rFonts w:eastAsia="Times New Roman" w:cstheme="minorHAnsi"/>
          <w:lang w:eastAsia="pt-BR"/>
        </w:rPr>
      </w:pPr>
      <w:r>
        <w:rPr>
          <w:rFonts w:eastAsia="Times New Roman" w:cstheme="minorHAnsi"/>
          <w:b/>
          <w:bCs/>
          <w:lang w:eastAsia="pt-BR"/>
        </w:rPr>
        <w:t xml:space="preserve">Cleuza Castro de </w:t>
      </w:r>
      <w:proofErr w:type="gramStart"/>
      <w:r>
        <w:rPr>
          <w:rFonts w:eastAsia="Times New Roman" w:cstheme="minorHAnsi"/>
          <w:b/>
          <w:bCs/>
          <w:lang w:eastAsia="pt-BR"/>
        </w:rPr>
        <w:t xml:space="preserve">Jesus </w:t>
      </w:r>
      <w:r w:rsidR="00EB2BC7" w:rsidRPr="00EB2BC7">
        <w:rPr>
          <w:rFonts w:eastAsia="Times New Roman" w:cstheme="minorHAnsi"/>
          <w:lang w:eastAsia="pt-BR"/>
        </w:rPr>
        <w:t xml:space="preserve"> Matrícula</w:t>
      </w:r>
      <w:proofErr w:type="gramEnd"/>
      <w:r w:rsidR="00EB2BC7" w:rsidRPr="00EB2BC7">
        <w:rPr>
          <w:rFonts w:eastAsia="Times New Roman" w:cstheme="minorHAnsi"/>
          <w:lang w:eastAsia="pt-BR"/>
        </w:rPr>
        <w:t xml:space="preserve">: </w:t>
      </w:r>
      <w:r>
        <w:rPr>
          <w:rFonts w:eastAsia="Times New Roman" w:cstheme="minorHAnsi"/>
          <w:lang w:eastAsia="pt-BR"/>
        </w:rPr>
        <w:t>15.211-1</w:t>
      </w:r>
    </w:p>
    <w:p w14:paraId="71A7095A" w14:textId="77777777" w:rsidR="00EB2BC7" w:rsidRPr="00EB2BC7" w:rsidRDefault="0061060C" w:rsidP="00EB2BC7">
      <w:pPr>
        <w:widowControl w:val="0"/>
        <w:spacing w:after="0"/>
        <w:jc w:val="both"/>
        <w:rPr>
          <w:rFonts w:eastAsia="Times New Roman" w:cstheme="minorHAnsi"/>
          <w:lang w:eastAsia="pt-BR"/>
        </w:rPr>
      </w:pPr>
      <w:r>
        <w:rPr>
          <w:rFonts w:eastAsia="Times New Roman" w:cstheme="minorHAnsi"/>
          <w:lang w:eastAsia="pt-BR"/>
        </w:rPr>
        <w:pict w14:anchorId="1C0BE88C">
          <v:rect id="_x0000_i1043" style="width:0;height:1.5pt" o:hralign="center" o:hrstd="t" o:hr="t" fillcolor="#a0a0a0" stroked="f"/>
        </w:pict>
      </w:r>
    </w:p>
    <w:p w14:paraId="301EB071" w14:textId="3EDF6D82" w:rsidR="00EB2BC7" w:rsidRPr="00EB2BC7" w:rsidRDefault="00B50F69" w:rsidP="00EB2BC7">
      <w:pPr>
        <w:widowControl w:val="0"/>
        <w:spacing w:after="0"/>
        <w:jc w:val="both"/>
        <w:rPr>
          <w:rFonts w:eastAsia="Times New Roman" w:cstheme="minorHAnsi"/>
          <w:lang w:eastAsia="pt-BR"/>
        </w:rPr>
      </w:pPr>
      <w:r>
        <w:rPr>
          <w:rFonts w:eastAsia="Times New Roman" w:cstheme="minorHAnsi"/>
          <w:b/>
          <w:bCs/>
          <w:lang w:eastAsia="pt-BR"/>
        </w:rPr>
        <w:t>André Faust</w:t>
      </w:r>
      <w:r w:rsidR="00EB2BC7" w:rsidRPr="00EB2BC7">
        <w:rPr>
          <w:rFonts w:eastAsia="Times New Roman" w:cstheme="minorHAnsi"/>
          <w:lang w:eastAsia="pt-BR"/>
        </w:rPr>
        <w:t xml:space="preserve"> Matrícula: </w:t>
      </w:r>
      <w:r>
        <w:rPr>
          <w:rFonts w:eastAsia="Times New Roman" w:cstheme="minorHAnsi"/>
          <w:lang w:eastAsia="pt-BR"/>
        </w:rPr>
        <w:t>142.381-01</w:t>
      </w:r>
    </w:p>
    <w:p w14:paraId="2463BB70" w14:textId="77777777" w:rsidR="00EB2BC7" w:rsidRPr="00EB2BC7" w:rsidRDefault="0061060C" w:rsidP="00EB2BC7">
      <w:pPr>
        <w:widowControl w:val="0"/>
        <w:spacing w:after="0"/>
        <w:jc w:val="both"/>
        <w:rPr>
          <w:rFonts w:eastAsia="Times New Roman" w:cstheme="minorHAnsi"/>
          <w:lang w:eastAsia="pt-BR"/>
        </w:rPr>
      </w:pPr>
      <w:r>
        <w:rPr>
          <w:rFonts w:eastAsia="Times New Roman" w:cstheme="minorHAnsi"/>
          <w:lang w:eastAsia="pt-BR"/>
        </w:rPr>
        <w:pict w14:anchorId="0FE50B9E">
          <v:rect id="_x0000_i1044" style="width:0;height:1.5pt" o:hralign="center" o:hrstd="t" o:hr="t" fillcolor="#a0a0a0" stroked="f"/>
        </w:pict>
      </w:r>
    </w:p>
    <w:p w14:paraId="44FE976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lastRenderedPageBreak/>
        <w:t>Cleuza Castro de Jesus</w:t>
      </w:r>
      <w:r w:rsidRPr="00EB2BC7">
        <w:rPr>
          <w:rFonts w:eastAsia="Times New Roman" w:cstheme="minorHAnsi"/>
          <w:lang w:eastAsia="pt-BR"/>
        </w:rPr>
        <w:t xml:space="preserve"> Engenheira Civil - CREA PR-45.442/D Responsável Técnica</w:t>
      </w:r>
    </w:p>
    <w:p w14:paraId="760272F9" w14:textId="77777777" w:rsidR="00EB2BC7" w:rsidRPr="00EB2BC7" w:rsidRDefault="0061060C" w:rsidP="00EB2BC7">
      <w:pPr>
        <w:widowControl w:val="0"/>
        <w:spacing w:after="0"/>
        <w:jc w:val="both"/>
        <w:rPr>
          <w:rFonts w:eastAsia="Times New Roman" w:cstheme="minorHAnsi"/>
          <w:lang w:eastAsia="pt-BR"/>
        </w:rPr>
      </w:pPr>
      <w:r>
        <w:rPr>
          <w:rFonts w:eastAsia="Times New Roman" w:cstheme="minorHAnsi"/>
          <w:lang w:eastAsia="pt-BR"/>
        </w:rPr>
        <w:pict w14:anchorId="28BEED59">
          <v:rect id="_x0000_i1045" style="width:0;height:1.5pt" o:hralign="center" o:hrstd="t" o:hr="t" fillcolor="#a0a0a0" stroked="f"/>
        </w:pict>
      </w:r>
    </w:p>
    <w:p w14:paraId="5701BBA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ELIZETE CAVAZIN</w:t>
      </w:r>
      <w:r w:rsidRPr="00EB2BC7">
        <w:rPr>
          <w:rFonts w:eastAsia="Times New Roman" w:cstheme="minorHAnsi"/>
          <w:lang w:eastAsia="pt-BR"/>
        </w:rPr>
        <w:t xml:space="preserve"> Prefeita Municipal</w:t>
      </w:r>
    </w:p>
    <w:p w14:paraId="78881562" w14:textId="77777777" w:rsidR="00EB2BC7" w:rsidRPr="00EB2BC7" w:rsidRDefault="0061060C" w:rsidP="00EB2BC7">
      <w:pPr>
        <w:widowControl w:val="0"/>
        <w:spacing w:after="0"/>
        <w:jc w:val="both"/>
        <w:rPr>
          <w:rFonts w:eastAsia="Times New Roman" w:cstheme="minorHAnsi"/>
          <w:lang w:eastAsia="pt-BR"/>
        </w:rPr>
      </w:pPr>
      <w:r>
        <w:rPr>
          <w:rFonts w:eastAsia="Times New Roman" w:cstheme="minorHAnsi"/>
          <w:lang w:eastAsia="pt-BR"/>
        </w:rPr>
        <w:pict w14:anchorId="3FA434DE">
          <v:rect id="_x0000_i1046" style="width:0;height:1.5pt" o:hralign="center" o:hrstd="t" o:hr="t" fillcolor="#a0a0a0" stroked="f"/>
        </w:pict>
      </w:r>
    </w:p>
    <w:p w14:paraId="17A94126"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ANEXOS:</w:t>
      </w:r>
    </w:p>
    <w:p w14:paraId="5334FBB0"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Planilha de Serviços e Quantitativos</w:t>
      </w:r>
    </w:p>
    <w:p w14:paraId="32A86136"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Cronograma Físico-Financeiro</w:t>
      </w:r>
    </w:p>
    <w:p w14:paraId="00A61908"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Projetos Básicos de Engenharia</w:t>
      </w:r>
    </w:p>
    <w:p w14:paraId="7F1AF529"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Mapas de Localização das Vias</w:t>
      </w:r>
    </w:p>
    <w:p w14:paraId="483C1B02"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Planilha de Composição de BDI</w:t>
      </w:r>
    </w:p>
    <w:p w14:paraId="44E4FD82"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Memória de Cálculo de Quantitativos</w:t>
      </w:r>
    </w:p>
    <w:p w14:paraId="1FDE3FA4" w14:textId="77777777" w:rsidR="00EB2BC7" w:rsidRPr="00EB2BC7" w:rsidRDefault="00EB2BC7" w:rsidP="00EB2BC7">
      <w:pPr>
        <w:widowControl w:val="0"/>
        <w:numPr>
          <w:ilvl w:val="0"/>
          <w:numId w:val="24"/>
        </w:numPr>
        <w:spacing w:after="0"/>
        <w:jc w:val="both"/>
        <w:rPr>
          <w:rFonts w:eastAsia="Times New Roman" w:cstheme="minorHAnsi"/>
          <w:lang w:eastAsia="pt-BR"/>
        </w:rPr>
      </w:pPr>
      <w:r w:rsidRPr="00EB2BC7">
        <w:rPr>
          <w:rFonts w:eastAsia="Times New Roman" w:cstheme="minorHAnsi"/>
          <w:lang w:eastAsia="pt-BR"/>
        </w:rPr>
        <w:t>ART do Responsável Técnico</w:t>
      </w:r>
    </w:p>
    <w:sectPr w:rsidR="00EB2BC7" w:rsidRPr="00EB2BC7" w:rsidSect="005F61EE">
      <w:headerReference w:type="default" r:id="rId9"/>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54EE1" w14:textId="77777777" w:rsidR="001073C7" w:rsidRDefault="001073C7" w:rsidP="002823B1">
      <w:pPr>
        <w:spacing w:after="0" w:line="240" w:lineRule="auto"/>
      </w:pPr>
      <w:r>
        <w:separator/>
      </w:r>
    </w:p>
  </w:endnote>
  <w:endnote w:type="continuationSeparator" w:id="0">
    <w:p w14:paraId="5E867970" w14:textId="77777777" w:rsidR="001073C7" w:rsidRDefault="001073C7"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B85ED" w14:textId="77777777" w:rsidR="001073C7" w:rsidRDefault="001073C7" w:rsidP="002823B1">
      <w:pPr>
        <w:spacing w:after="0" w:line="240" w:lineRule="auto"/>
      </w:pPr>
      <w:r>
        <w:separator/>
      </w:r>
    </w:p>
  </w:footnote>
  <w:footnote w:type="continuationSeparator" w:id="0">
    <w:p w14:paraId="37E21090" w14:textId="77777777" w:rsidR="001073C7" w:rsidRDefault="001073C7"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0DD98732" w14:textId="77777777" w:rsidTr="00285B0A">
      <w:tc>
        <w:tcPr>
          <w:tcW w:w="1483" w:type="dxa"/>
        </w:tcPr>
        <w:p w14:paraId="73D174C7" w14:textId="77777777" w:rsidR="005C620C" w:rsidRDefault="005C620C" w:rsidP="00A8039A">
          <w:pPr>
            <w:rPr>
              <w:b/>
            </w:rPr>
          </w:pPr>
          <w:r w:rsidRPr="00A16EED">
            <w:rPr>
              <w:b/>
              <w:noProof/>
              <w:lang w:eastAsia="pt-BR"/>
            </w:rPr>
            <w:drawing>
              <wp:inline distT="0" distB="0" distL="0" distR="0" wp14:anchorId="031A345B" wp14:editId="1F5735B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4579E81C"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70CA50B6" w14:textId="77777777" w:rsidR="005C620C" w:rsidRPr="004E5AE2" w:rsidRDefault="005C620C" w:rsidP="00A8039A">
          <w:pPr>
            <w:pStyle w:val="Cabealho"/>
            <w:ind w:right="360" w:firstLine="34"/>
            <w:jc w:val="center"/>
            <w:rPr>
              <w:b/>
            </w:rPr>
          </w:pPr>
          <w:r w:rsidRPr="004E5AE2">
            <w:rPr>
              <w:b/>
            </w:rPr>
            <w:t>Estado do Paraná</w:t>
          </w:r>
        </w:p>
        <w:p w14:paraId="1C874E74"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6D242E7A"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D31BE"/>
    <w:multiLevelType w:val="multilevel"/>
    <w:tmpl w:val="1F6A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C2426"/>
    <w:multiLevelType w:val="hybridMultilevel"/>
    <w:tmpl w:val="0BD2BD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8C4C86"/>
    <w:multiLevelType w:val="hybridMultilevel"/>
    <w:tmpl w:val="DB805E7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22B81C98"/>
    <w:multiLevelType w:val="multilevel"/>
    <w:tmpl w:val="D124C9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E22201"/>
    <w:multiLevelType w:val="multilevel"/>
    <w:tmpl w:val="7E1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460230"/>
    <w:multiLevelType w:val="multilevel"/>
    <w:tmpl w:val="2116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B0EA8"/>
    <w:multiLevelType w:val="multilevel"/>
    <w:tmpl w:val="E474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E77799"/>
    <w:multiLevelType w:val="multilevel"/>
    <w:tmpl w:val="0FE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07651D"/>
    <w:multiLevelType w:val="multilevel"/>
    <w:tmpl w:val="C354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262BFD"/>
    <w:multiLevelType w:val="multilevel"/>
    <w:tmpl w:val="A6EE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1D16EA"/>
    <w:multiLevelType w:val="multilevel"/>
    <w:tmpl w:val="6FE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B3D8D"/>
    <w:multiLevelType w:val="multilevel"/>
    <w:tmpl w:val="FEF8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A6527A"/>
    <w:multiLevelType w:val="multilevel"/>
    <w:tmpl w:val="955A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36576A"/>
    <w:multiLevelType w:val="multilevel"/>
    <w:tmpl w:val="9140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400B6"/>
    <w:multiLevelType w:val="multilevel"/>
    <w:tmpl w:val="E49A76D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7" w15:restartNumberingAfterBreak="0">
    <w:nsid w:val="4C8137F1"/>
    <w:multiLevelType w:val="multilevel"/>
    <w:tmpl w:val="8BF0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8A4F38"/>
    <w:multiLevelType w:val="multilevel"/>
    <w:tmpl w:val="E23A6B8C"/>
    <w:lvl w:ilvl="0">
      <w:start w:val="1"/>
      <w:numFmt w:val="decimal"/>
      <w:lvlText w:val="%1."/>
      <w:lvlJc w:val="left"/>
      <w:pPr>
        <w:ind w:left="360" w:hanging="360"/>
      </w:pPr>
      <w:rPr>
        <w:rFonts w:hint="default"/>
        <w:b/>
        <w:bCs w:val="0"/>
      </w:rPr>
    </w:lvl>
    <w:lvl w:ilvl="1">
      <w:start w:val="1"/>
      <w:numFmt w:val="decimal"/>
      <w:lvlText w:val="%1.%2."/>
      <w:lvlJc w:val="left"/>
      <w:pPr>
        <w:ind w:left="3693" w:hanging="432"/>
      </w:pPr>
      <w:rPr>
        <w:rFonts w:hint="default"/>
        <w:b/>
        <w:bCs w:val="0"/>
      </w:rPr>
    </w:lvl>
    <w:lvl w:ilvl="2">
      <w:start w:val="1"/>
      <w:numFmt w:val="decimal"/>
      <w:lvlText w:val="%1.%2.%3."/>
      <w:lvlJc w:val="left"/>
      <w:pPr>
        <w:ind w:left="3623"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C97686F"/>
    <w:multiLevelType w:val="multilevel"/>
    <w:tmpl w:val="9094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C13F2B"/>
    <w:multiLevelType w:val="multilevel"/>
    <w:tmpl w:val="086E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FE00E7"/>
    <w:multiLevelType w:val="multilevel"/>
    <w:tmpl w:val="BA36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BF149E"/>
    <w:multiLevelType w:val="multilevel"/>
    <w:tmpl w:val="42AC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031179"/>
    <w:multiLevelType w:val="multilevel"/>
    <w:tmpl w:val="DE92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442831"/>
    <w:multiLevelType w:val="multilevel"/>
    <w:tmpl w:val="5966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654BBA"/>
    <w:multiLevelType w:val="multilevel"/>
    <w:tmpl w:val="AE9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99242">
    <w:abstractNumId w:val="7"/>
  </w:num>
  <w:num w:numId="2" w16cid:durableId="1614826844">
    <w:abstractNumId w:val="0"/>
  </w:num>
  <w:num w:numId="3" w16cid:durableId="1995139828">
    <w:abstractNumId w:val="21"/>
  </w:num>
  <w:num w:numId="4" w16cid:durableId="1071850658">
    <w:abstractNumId w:val="22"/>
  </w:num>
  <w:num w:numId="5" w16cid:durableId="1299410068">
    <w:abstractNumId w:val="23"/>
  </w:num>
  <w:num w:numId="6" w16cid:durableId="688793206">
    <w:abstractNumId w:val="6"/>
  </w:num>
  <w:num w:numId="7" w16cid:durableId="674184079">
    <w:abstractNumId w:val="19"/>
  </w:num>
  <w:num w:numId="8" w16cid:durableId="873422782">
    <w:abstractNumId w:val="11"/>
  </w:num>
  <w:num w:numId="9" w16cid:durableId="1496536082">
    <w:abstractNumId w:val="17"/>
  </w:num>
  <w:num w:numId="10" w16cid:durableId="1231117838">
    <w:abstractNumId w:val="8"/>
  </w:num>
  <w:num w:numId="11" w16cid:durableId="54549623">
    <w:abstractNumId w:val="25"/>
  </w:num>
  <w:num w:numId="12" w16cid:durableId="581108949">
    <w:abstractNumId w:val="1"/>
  </w:num>
  <w:num w:numId="13" w16cid:durableId="257446400">
    <w:abstractNumId w:val="14"/>
  </w:num>
  <w:num w:numId="14" w16cid:durableId="680818472">
    <w:abstractNumId w:val="20"/>
  </w:num>
  <w:num w:numId="15" w16cid:durableId="927693611">
    <w:abstractNumId w:val="15"/>
  </w:num>
  <w:num w:numId="16" w16cid:durableId="1692954935">
    <w:abstractNumId w:val="26"/>
  </w:num>
  <w:num w:numId="17" w16cid:durableId="1727995339">
    <w:abstractNumId w:val="4"/>
  </w:num>
  <w:num w:numId="18" w16cid:durableId="661935138">
    <w:abstractNumId w:val="5"/>
  </w:num>
  <w:num w:numId="19" w16cid:durableId="1088381249">
    <w:abstractNumId w:val="10"/>
  </w:num>
  <w:num w:numId="20" w16cid:durableId="354577256">
    <w:abstractNumId w:val="12"/>
  </w:num>
  <w:num w:numId="21" w16cid:durableId="1102072536">
    <w:abstractNumId w:val="9"/>
  </w:num>
  <w:num w:numId="22" w16cid:durableId="1022709025">
    <w:abstractNumId w:val="24"/>
  </w:num>
  <w:num w:numId="23" w16cid:durableId="198475732">
    <w:abstractNumId w:val="13"/>
  </w:num>
  <w:num w:numId="24" w16cid:durableId="2078819155">
    <w:abstractNumId w:val="16"/>
  </w:num>
  <w:num w:numId="25" w16cid:durableId="46610173">
    <w:abstractNumId w:val="18"/>
  </w:num>
  <w:num w:numId="26" w16cid:durableId="934047304">
    <w:abstractNumId w:val="2"/>
  </w:num>
  <w:num w:numId="27" w16cid:durableId="997345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72"/>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07B46"/>
    <w:rsid w:val="00045617"/>
    <w:rsid w:val="000572D4"/>
    <w:rsid w:val="00067C15"/>
    <w:rsid w:val="00070961"/>
    <w:rsid w:val="00091FEB"/>
    <w:rsid w:val="00096745"/>
    <w:rsid w:val="000B43C4"/>
    <w:rsid w:val="000B4F53"/>
    <w:rsid w:val="000C2590"/>
    <w:rsid w:val="000C4E3A"/>
    <w:rsid w:val="000D7BE7"/>
    <w:rsid w:val="000D7E9D"/>
    <w:rsid w:val="000F53B4"/>
    <w:rsid w:val="001073C7"/>
    <w:rsid w:val="00117B7D"/>
    <w:rsid w:val="0012232B"/>
    <w:rsid w:val="001463C6"/>
    <w:rsid w:val="0015196F"/>
    <w:rsid w:val="00165121"/>
    <w:rsid w:val="0017344C"/>
    <w:rsid w:val="00174FB0"/>
    <w:rsid w:val="00181202"/>
    <w:rsid w:val="001871F3"/>
    <w:rsid w:val="001B3BCE"/>
    <w:rsid w:val="001B4502"/>
    <w:rsid w:val="001F4F70"/>
    <w:rsid w:val="00202BED"/>
    <w:rsid w:val="00206B90"/>
    <w:rsid w:val="002248EA"/>
    <w:rsid w:val="002261AE"/>
    <w:rsid w:val="00237FB3"/>
    <w:rsid w:val="0025492F"/>
    <w:rsid w:val="00260C0B"/>
    <w:rsid w:val="00267072"/>
    <w:rsid w:val="002736B6"/>
    <w:rsid w:val="00280BD6"/>
    <w:rsid w:val="002823B1"/>
    <w:rsid w:val="00285B0A"/>
    <w:rsid w:val="002E1307"/>
    <w:rsid w:val="002E1656"/>
    <w:rsid w:val="002F2137"/>
    <w:rsid w:val="002F505A"/>
    <w:rsid w:val="00306175"/>
    <w:rsid w:val="00332044"/>
    <w:rsid w:val="00337FB9"/>
    <w:rsid w:val="00341A20"/>
    <w:rsid w:val="00342596"/>
    <w:rsid w:val="003703EF"/>
    <w:rsid w:val="00371BC6"/>
    <w:rsid w:val="00376B32"/>
    <w:rsid w:val="00390483"/>
    <w:rsid w:val="00393223"/>
    <w:rsid w:val="003B6895"/>
    <w:rsid w:val="003B6B35"/>
    <w:rsid w:val="003E2D5B"/>
    <w:rsid w:val="003F430C"/>
    <w:rsid w:val="003F482F"/>
    <w:rsid w:val="00403FBF"/>
    <w:rsid w:val="004127C1"/>
    <w:rsid w:val="00415567"/>
    <w:rsid w:val="00417E8D"/>
    <w:rsid w:val="00426B50"/>
    <w:rsid w:val="00434007"/>
    <w:rsid w:val="004359BF"/>
    <w:rsid w:val="004423E9"/>
    <w:rsid w:val="00457BEE"/>
    <w:rsid w:val="004649EE"/>
    <w:rsid w:val="00476364"/>
    <w:rsid w:val="004768FB"/>
    <w:rsid w:val="00497763"/>
    <w:rsid w:val="004A51A3"/>
    <w:rsid w:val="004C3258"/>
    <w:rsid w:val="004C47B6"/>
    <w:rsid w:val="004C518F"/>
    <w:rsid w:val="004C763E"/>
    <w:rsid w:val="004D0EC2"/>
    <w:rsid w:val="004F5E02"/>
    <w:rsid w:val="005260E8"/>
    <w:rsid w:val="00535A82"/>
    <w:rsid w:val="00536DE0"/>
    <w:rsid w:val="005516C9"/>
    <w:rsid w:val="005566DE"/>
    <w:rsid w:val="00557F5A"/>
    <w:rsid w:val="0056059C"/>
    <w:rsid w:val="00562917"/>
    <w:rsid w:val="0056316F"/>
    <w:rsid w:val="0056644B"/>
    <w:rsid w:val="00574ABC"/>
    <w:rsid w:val="00590A0F"/>
    <w:rsid w:val="00596624"/>
    <w:rsid w:val="005A1822"/>
    <w:rsid w:val="005A6CE5"/>
    <w:rsid w:val="005A71BE"/>
    <w:rsid w:val="005C620C"/>
    <w:rsid w:val="005C65AE"/>
    <w:rsid w:val="005F61EE"/>
    <w:rsid w:val="006006C7"/>
    <w:rsid w:val="0061060C"/>
    <w:rsid w:val="00620E9E"/>
    <w:rsid w:val="00624C67"/>
    <w:rsid w:val="00625C20"/>
    <w:rsid w:val="0062656E"/>
    <w:rsid w:val="00634D8F"/>
    <w:rsid w:val="00640D0A"/>
    <w:rsid w:val="00642DFD"/>
    <w:rsid w:val="006773E4"/>
    <w:rsid w:val="006D0E99"/>
    <w:rsid w:val="006F10EA"/>
    <w:rsid w:val="006F2760"/>
    <w:rsid w:val="0070415B"/>
    <w:rsid w:val="007303F3"/>
    <w:rsid w:val="00744A50"/>
    <w:rsid w:val="00746A27"/>
    <w:rsid w:val="007555BF"/>
    <w:rsid w:val="0075730E"/>
    <w:rsid w:val="007767B8"/>
    <w:rsid w:val="0078449E"/>
    <w:rsid w:val="007A0AD0"/>
    <w:rsid w:val="007A4A94"/>
    <w:rsid w:val="007B0327"/>
    <w:rsid w:val="007C021F"/>
    <w:rsid w:val="007F49CE"/>
    <w:rsid w:val="007F5953"/>
    <w:rsid w:val="008021C4"/>
    <w:rsid w:val="008129F1"/>
    <w:rsid w:val="00813667"/>
    <w:rsid w:val="00813EE2"/>
    <w:rsid w:val="00820F7B"/>
    <w:rsid w:val="00826C41"/>
    <w:rsid w:val="00883AA3"/>
    <w:rsid w:val="00890A36"/>
    <w:rsid w:val="00896656"/>
    <w:rsid w:val="00896B36"/>
    <w:rsid w:val="008A5431"/>
    <w:rsid w:val="008C1ABF"/>
    <w:rsid w:val="008D46B2"/>
    <w:rsid w:val="008E79ED"/>
    <w:rsid w:val="008F0613"/>
    <w:rsid w:val="00904F39"/>
    <w:rsid w:val="00907673"/>
    <w:rsid w:val="00934432"/>
    <w:rsid w:val="0095589B"/>
    <w:rsid w:val="00963B94"/>
    <w:rsid w:val="00983936"/>
    <w:rsid w:val="00984F4F"/>
    <w:rsid w:val="009960C7"/>
    <w:rsid w:val="009A2E94"/>
    <w:rsid w:val="009B0638"/>
    <w:rsid w:val="009B1A16"/>
    <w:rsid w:val="009B548A"/>
    <w:rsid w:val="009B5A7F"/>
    <w:rsid w:val="009C3A36"/>
    <w:rsid w:val="009E06AD"/>
    <w:rsid w:val="009E0855"/>
    <w:rsid w:val="009F6F86"/>
    <w:rsid w:val="00A2267D"/>
    <w:rsid w:val="00A3350C"/>
    <w:rsid w:val="00A36B00"/>
    <w:rsid w:val="00A45CF1"/>
    <w:rsid w:val="00A62D39"/>
    <w:rsid w:val="00A67015"/>
    <w:rsid w:val="00A71261"/>
    <w:rsid w:val="00A7784A"/>
    <w:rsid w:val="00A80330"/>
    <w:rsid w:val="00A875AB"/>
    <w:rsid w:val="00AA1B84"/>
    <w:rsid w:val="00AA49ED"/>
    <w:rsid w:val="00AA5C41"/>
    <w:rsid w:val="00AB32D4"/>
    <w:rsid w:val="00AC35CA"/>
    <w:rsid w:val="00AC4B9D"/>
    <w:rsid w:val="00AE533B"/>
    <w:rsid w:val="00AF4E35"/>
    <w:rsid w:val="00AF683F"/>
    <w:rsid w:val="00B00A47"/>
    <w:rsid w:val="00B150EC"/>
    <w:rsid w:val="00B16715"/>
    <w:rsid w:val="00B16AD0"/>
    <w:rsid w:val="00B26C24"/>
    <w:rsid w:val="00B37AE4"/>
    <w:rsid w:val="00B41752"/>
    <w:rsid w:val="00B43EC5"/>
    <w:rsid w:val="00B50D62"/>
    <w:rsid w:val="00B50F69"/>
    <w:rsid w:val="00B7224B"/>
    <w:rsid w:val="00B80628"/>
    <w:rsid w:val="00BA1C27"/>
    <w:rsid w:val="00BA6849"/>
    <w:rsid w:val="00BA714F"/>
    <w:rsid w:val="00BB3E2A"/>
    <w:rsid w:val="00BB5E4A"/>
    <w:rsid w:val="00BB6B80"/>
    <w:rsid w:val="00BB7788"/>
    <w:rsid w:val="00BC3BAB"/>
    <w:rsid w:val="00BC4386"/>
    <w:rsid w:val="00BE3F93"/>
    <w:rsid w:val="00BF1DCD"/>
    <w:rsid w:val="00BF2D9B"/>
    <w:rsid w:val="00C05618"/>
    <w:rsid w:val="00C128DC"/>
    <w:rsid w:val="00C137B0"/>
    <w:rsid w:val="00C15879"/>
    <w:rsid w:val="00C27EBF"/>
    <w:rsid w:val="00C331C8"/>
    <w:rsid w:val="00C3574D"/>
    <w:rsid w:val="00C71AB4"/>
    <w:rsid w:val="00C77C92"/>
    <w:rsid w:val="00C82A52"/>
    <w:rsid w:val="00C8738F"/>
    <w:rsid w:val="00C962CB"/>
    <w:rsid w:val="00CC70ED"/>
    <w:rsid w:val="00CF71B3"/>
    <w:rsid w:val="00D019A8"/>
    <w:rsid w:val="00D05532"/>
    <w:rsid w:val="00D20CF0"/>
    <w:rsid w:val="00D26D87"/>
    <w:rsid w:val="00D27088"/>
    <w:rsid w:val="00D44D6D"/>
    <w:rsid w:val="00D46252"/>
    <w:rsid w:val="00D505A5"/>
    <w:rsid w:val="00D55925"/>
    <w:rsid w:val="00D72F69"/>
    <w:rsid w:val="00D903CB"/>
    <w:rsid w:val="00D9647B"/>
    <w:rsid w:val="00D96C27"/>
    <w:rsid w:val="00DB1C70"/>
    <w:rsid w:val="00DB6698"/>
    <w:rsid w:val="00DD1C90"/>
    <w:rsid w:val="00DD2537"/>
    <w:rsid w:val="00DF1BF7"/>
    <w:rsid w:val="00E02BE2"/>
    <w:rsid w:val="00E06423"/>
    <w:rsid w:val="00E12992"/>
    <w:rsid w:val="00E23719"/>
    <w:rsid w:val="00E46AF1"/>
    <w:rsid w:val="00E55240"/>
    <w:rsid w:val="00E60EE3"/>
    <w:rsid w:val="00E638E4"/>
    <w:rsid w:val="00E65FB3"/>
    <w:rsid w:val="00E67CD3"/>
    <w:rsid w:val="00E76A8C"/>
    <w:rsid w:val="00E84BFB"/>
    <w:rsid w:val="00E8782D"/>
    <w:rsid w:val="00E90D31"/>
    <w:rsid w:val="00EB2BC7"/>
    <w:rsid w:val="00EB4146"/>
    <w:rsid w:val="00EB5CAC"/>
    <w:rsid w:val="00EB5E08"/>
    <w:rsid w:val="00ED1D24"/>
    <w:rsid w:val="00EE06F8"/>
    <w:rsid w:val="00EE3169"/>
    <w:rsid w:val="00EE59A2"/>
    <w:rsid w:val="00F31193"/>
    <w:rsid w:val="00F82599"/>
    <w:rsid w:val="00F86232"/>
    <w:rsid w:val="00F87E29"/>
    <w:rsid w:val="00F97F2E"/>
    <w:rsid w:val="00FA03F4"/>
    <w:rsid w:val="00FA0A1C"/>
    <w:rsid w:val="00FB461E"/>
    <w:rsid w:val="00FD6320"/>
    <w:rsid w:val="00FE11E7"/>
    <w:rsid w:val="00FE5ED2"/>
    <w:rsid w:val="00FF3A83"/>
    <w:rsid w:val="00FF65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shapelayout>
  </w:shapeDefaults>
  <w:decimalSymbol w:val=","/>
  <w:listSeparator w:val=";"/>
  <w14:docId w14:val="1F254571"/>
  <w15:docId w15:val="{273FD711-EE59-4A70-BA64-7B4D7866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styleId="nfase">
    <w:name w:val="Emphasis"/>
    <w:basedOn w:val="Fontepargpadro"/>
    <w:uiPriority w:val="20"/>
    <w:qFormat/>
    <w:rsid w:val="00EE06F8"/>
    <w:rPr>
      <w:i/>
      <w:iCs/>
    </w:rPr>
  </w:style>
  <w:style w:type="paragraph" w:styleId="PargrafodaLista">
    <w:name w:val="List Paragraph"/>
    <w:basedOn w:val="Normal"/>
    <w:uiPriority w:val="1"/>
    <w:qFormat/>
    <w:rsid w:val="009F6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92555952">
      <w:bodyDiv w:val="1"/>
      <w:marLeft w:val="0"/>
      <w:marRight w:val="0"/>
      <w:marTop w:val="0"/>
      <w:marBottom w:val="0"/>
      <w:divBdr>
        <w:top w:val="none" w:sz="0" w:space="0" w:color="auto"/>
        <w:left w:val="none" w:sz="0" w:space="0" w:color="auto"/>
        <w:bottom w:val="none" w:sz="0" w:space="0" w:color="auto"/>
        <w:right w:val="none" w:sz="0" w:space="0" w:color="auto"/>
      </w:divBdr>
    </w:div>
    <w:div w:id="121770888">
      <w:bodyDiv w:val="1"/>
      <w:marLeft w:val="0"/>
      <w:marRight w:val="0"/>
      <w:marTop w:val="0"/>
      <w:marBottom w:val="0"/>
      <w:divBdr>
        <w:top w:val="none" w:sz="0" w:space="0" w:color="auto"/>
        <w:left w:val="none" w:sz="0" w:space="0" w:color="auto"/>
        <w:bottom w:val="none" w:sz="0" w:space="0" w:color="auto"/>
        <w:right w:val="none" w:sz="0" w:space="0" w:color="auto"/>
      </w:divBdr>
      <w:divsChild>
        <w:div w:id="182165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7876">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89854289">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1BBB5-140A-4151-8BDB-5D3A71EEF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13</Pages>
  <Words>5138</Words>
  <Characters>27750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 SAS</dc:creator>
  <cp:lastModifiedBy>PMNPI</cp:lastModifiedBy>
  <cp:revision>119</cp:revision>
  <dcterms:created xsi:type="dcterms:W3CDTF">2025-07-31T12:09:00Z</dcterms:created>
  <dcterms:modified xsi:type="dcterms:W3CDTF">2025-12-19T20:05:00Z</dcterms:modified>
</cp:coreProperties>
</file>