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D85C3F" w14:textId="77777777" w:rsidR="00527B1F" w:rsidRDefault="00527B1F" w:rsidP="00527B1F">
      <w:pPr>
        <w:spacing w:after="0"/>
        <w:jc w:val="center"/>
        <w:outlineLvl w:val="0"/>
        <w:rPr>
          <w:rFonts w:eastAsia="Times New Roman" w:cstheme="minorHAnsi"/>
          <w:b/>
          <w:bCs/>
          <w:kern w:val="36"/>
          <w:lang w:eastAsia="pt-BR"/>
        </w:rPr>
      </w:pPr>
      <w:r w:rsidRPr="00527B1F">
        <w:rPr>
          <w:rFonts w:eastAsia="Times New Roman" w:cstheme="minorHAnsi"/>
          <w:b/>
          <w:bCs/>
          <w:kern w:val="36"/>
          <w:lang w:eastAsia="pt-BR"/>
        </w:rPr>
        <w:t>TERMO DE REFERÊNCIA</w:t>
      </w:r>
    </w:p>
    <w:p w14:paraId="74D63913" w14:textId="77777777" w:rsidR="0065005B" w:rsidRPr="00527B1F" w:rsidRDefault="0065005B" w:rsidP="00527B1F">
      <w:pPr>
        <w:spacing w:after="0"/>
        <w:jc w:val="center"/>
        <w:outlineLvl w:val="0"/>
        <w:rPr>
          <w:rFonts w:eastAsia="Times New Roman" w:cstheme="minorHAnsi"/>
          <w:b/>
          <w:bCs/>
          <w:kern w:val="36"/>
          <w:lang w:eastAsia="pt-BR"/>
        </w:rPr>
      </w:pPr>
    </w:p>
    <w:p w14:paraId="7057EA59" w14:textId="6008A2B1" w:rsidR="00527B1F" w:rsidRPr="00527B1F" w:rsidRDefault="00527B1F" w:rsidP="00527B1F">
      <w:pPr>
        <w:spacing w:after="0"/>
        <w:jc w:val="both"/>
        <w:outlineLvl w:val="1"/>
        <w:rPr>
          <w:rFonts w:eastAsia="Times New Roman" w:cstheme="minorHAnsi"/>
          <w:b/>
          <w:bCs/>
          <w:lang w:eastAsia="pt-BR"/>
        </w:rPr>
      </w:pPr>
      <w:r w:rsidRPr="00527B1F">
        <w:rPr>
          <w:rFonts w:eastAsia="Times New Roman" w:cstheme="minorHAnsi"/>
          <w:b/>
          <w:bCs/>
          <w:lang w:eastAsia="pt-BR"/>
        </w:rPr>
        <w:t>1. OBJETO</w:t>
      </w:r>
    </w:p>
    <w:p w14:paraId="31078280" w14:textId="77777777" w:rsidR="004E25D3" w:rsidRDefault="00527B1F" w:rsidP="004E25D3">
      <w:pPr>
        <w:widowControl w:val="0"/>
        <w:spacing w:after="0"/>
        <w:jc w:val="both"/>
        <w:rPr>
          <w:rFonts w:eastAsia="Times New Roman" w:cstheme="minorHAnsi"/>
          <w:lang w:eastAsia="pt-BR"/>
        </w:rPr>
      </w:pPr>
      <w:r w:rsidRPr="00527B1F">
        <w:rPr>
          <w:rFonts w:eastAsia="Times New Roman" w:cstheme="minorHAnsi"/>
          <w:lang w:eastAsia="pt-BR"/>
        </w:rPr>
        <w:t xml:space="preserve">1.1. </w:t>
      </w:r>
      <w:r w:rsidR="004E25D3">
        <w:rPr>
          <w:rFonts w:eastAsia="Times New Roman" w:cstheme="minorHAnsi"/>
          <w:lang w:eastAsia="pt-BR"/>
        </w:rPr>
        <w:t xml:space="preserve">Contratação de Empresa Especializada na </w:t>
      </w:r>
      <w:r w:rsidR="004E25D3" w:rsidRPr="00EB2BC7">
        <w:rPr>
          <w:rFonts w:eastAsia="Times New Roman" w:cstheme="minorHAnsi"/>
          <w:lang w:eastAsia="pt-BR"/>
        </w:rPr>
        <w:t>Pavimentação</w:t>
      </w:r>
      <w:r w:rsidR="004E25D3">
        <w:rPr>
          <w:rFonts w:eastAsia="Times New Roman" w:cstheme="minorHAnsi"/>
          <w:lang w:eastAsia="pt-BR"/>
        </w:rPr>
        <w:t xml:space="preserve"> asfáltica em CBUQ – Concreto Betuminoso Usinado a Quente,</w:t>
      </w:r>
      <w:r w:rsidR="004E25D3" w:rsidRPr="00EB2BC7">
        <w:rPr>
          <w:rFonts w:eastAsia="Times New Roman" w:cstheme="minorHAnsi"/>
          <w:lang w:eastAsia="pt-BR"/>
        </w:rPr>
        <w:t xml:space="preserve"> </w:t>
      </w:r>
      <w:r w:rsidR="004E25D3">
        <w:rPr>
          <w:rFonts w:eastAsia="Times New Roman" w:cstheme="minorHAnsi"/>
          <w:lang w:eastAsia="pt-BR"/>
        </w:rPr>
        <w:t xml:space="preserve">sobre pedras irregulares em vias urbanas do </w:t>
      </w:r>
      <w:proofErr w:type="spellStart"/>
      <w:r w:rsidR="004E25D3">
        <w:rPr>
          <w:rFonts w:eastAsia="Times New Roman" w:cstheme="minorHAnsi"/>
          <w:lang w:eastAsia="pt-BR"/>
        </w:rPr>
        <w:t>Municipio</w:t>
      </w:r>
      <w:proofErr w:type="spellEnd"/>
      <w:r w:rsidR="004E25D3">
        <w:rPr>
          <w:rFonts w:eastAsia="Times New Roman" w:cstheme="minorHAnsi"/>
          <w:lang w:eastAsia="pt-BR"/>
        </w:rPr>
        <w:t xml:space="preserve"> de Nova Prata do Iguaçu-PR</w:t>
      </w:r>
      <w:r w:rsidR="004E25D3" w:rsidRPr="00EB2BC7">
        <w:rPr>
          <w:rFonts w:eastAsia="Times New Roman" w:cstheme="minorHAnsi"/>
          <w:lang w:eastAsia="pt-BR"/>
        </w:rPr>
        <w:t xml:space="preserve">, área de </w:t>
      </w:r>
      <w:r w:rsidR="004E25D3">
        <w:rPr>
          <w:rFonts w:eastAsia="Times New Roman" w:cstheme="minorHAnsi"/>
          <w:lang w:eastAsia="pt-BR"/>
        </w:rPr>
        <w:t xml:space="preserve">8.678,12 </w:t>
      </w:r>
      <w:r w:rsidR="004E25D3" w:rsidRPr="00EB2BC7">
        <w:rPr>
          <w:rFonts w:eastAsia="Times New Roman" w:cstheme="minorHAnsi"/>
          <w:lang w:eastAsia="pt-BR"/>
        </w:rPr>
        <w:t xml:space="preserve">m², </w:t>
      </w:r>
      <w:r w:rsidR="004E25D3">
        <w:rPr>
          <w:rFonts w:eastAsia="Times New Roman" w:cstheme="minorHAnsi"/>
          <w:lang w:eastAsia="pt-BR"/>
        </w:rPr>
        <w:t xml:space="preserve">em vias urbanas </w:t>
      </w:r>
      <w:r w:rsidR="004E25D3" w:rsidRPr="00EB2BC7">
        <w:rPr>
          <w:rFonts w:eastAsia="Times New Roman" w:cstheme="minorHAnsi"/>
          <w:lang w:eastAsia="pt-BR"/>
        </w:rPr>
        <w:t xml:space="preserve">compreendendo: serviços preliminares; drenagem; </w:t>
      </w:r>
      <w:proofErr w:type="spellStart"/>
      <w:r w:rsidR="004E25D3">
        <w:rPr>
          <w:rFonts w:eastAsia="Times New Roman" w:cstheme="minorHAnsi"/>
          <w:lang w:eastAsia="pt-BR"/>
        </w:rPr>
        <w:t>reperfilagem</w:t>
      </w:r>
      <w:proofErr w:type="spellEnd"/>
      <w:r w:rsidR="004E25D3">
        <w:rPr>
          <w:rFonts w:eastAsia="Times New Roman" w:cstheme="minorHAnsi"/>
          <w:lang w:eastAsia="pt-BR"/>
        </w:rPr>
        <w:t>, capa</w:t>
      </w:r>
      <w:r w:rsidR="004E25D3" w:rsidRPr="00EB2BC7">
        <w:rPr>
          <w:rFonts w:eastAsia="Times New Roman" w:cstheme="minorHAnsi"/>
          <w:lang w:eastAsia="pt-BR"/>
        </w:rPr>
        <w:t>; meio-fio e sarjeta; serviços de urbanização; sinalização de trânsito; e ensaios de controle tecnológico</w:t>
      </w:r>
      <w:r w:rsidR="004E25D3">
        <w:rPr>
          <w:rFonts w:eastAsia="Times New Roman" w:cstheme="minorHAnsi"/>
          <w:lang w:eastAsia="pt-BR"/>
        </w:rPr>
        <w:t>, no Município de Nova Prata do Iguaçu-PR</w:t>
      </w:r>
      <w:r w:rsidR="004E25D3" w:rsidRPr="00EB2BC7">
        <w:rPr>
          <w:rFonts w:eastAsia="Times New Roman" w:cstheme="minorHAnsi"/>
          <w:lang w:eastAsia="pt-BR"/>
        </w:rPr>
        <w:t>.</w:t>
      </w:r>
    </w:p>
    <w:tbl>
      <w:tblPr>
        <w:tblStyle w:val="Tabelacomgrade"/>
        <w:tblW w:w="8789" w:type="dxa"/>
        <w:tblInd w:w="250" w:type="dxa"/>
        <w:tblLayout w:type="fixed"/>
        <w:tblLook w:val="04A0" w:firstRow="1" w:lastRow="0" w:firstColumn="1" w:lastColumn="0" w:noHBand="0" w:noVBand="1"/>
      </w:tblPr>
      <w:tblGrid>
        <w:gridCol w:w="641"/>
        <w:gridCol w:w="4887"/>
        <w:gridCol w:w="851"/>
        <w:gridCol w:w="567"/>
        <w:gridCol w:w="1843"/>
      </w:tblGrid>
      <w:tr w:rsidR="00527B1F" w:rsidRPr="00527B1F" w14:paraId="1DBD12F6" w14:textId="77777777" w:rsidTr="00665A14">
        <w:tc>
          <w:tcPr>
            <w:tcW w:w="641" w:type="dxa"/>
            <w:hideMark/>
          </w:tcPr>
          <w:p w14:paraId="0EE355A8" w14:textId="77777777" w:rsidR="00527B1F" w:rsidRPr="00527B1F" w:rsidRDefault="00527B1F" w:rsidP="00527B1F">
            <w:pPr>
              <w:spacing w:line="276" w:lineRule="auto"/>
              <w:jc w:val="both"/>
              <w:rPr>
                <w:rFonts w:eastAsia="Times New Roman" w:cstheme="minorHAnsi"/>
                <w:b/>
                <w:bCs/>
                <w:lang w:eastAsia="pt-BR"/>
              </w:rPr>
            </w:pPr>
            <w:r w:rsidRPr="00527B1F">
              <w:rPr>
                <w:rFonts w:eastAsia="Times New Roman" w:cstheme="minorHAnsi"/>
                <w:b/>
                <w:bCs/>
                <w:lang w:eastAsia="pt-BR"/>
              </w:rPr>
              <w:t>Item</w:t>
            </w:r>
          </w:p>
        </w:tc>
        <w:tc>
          <w:tcPr>
            <w:tcW w:w="4887" w:type="dxa"/>
            <w:hideMark/>
          </w:tcPr>
          <w:p w14:paraId="4259D8E3" w14:textId="77777777" w:rsidR="00527B1F" w:rsidRPr="00527B1F" w:rsidRDefault="00527B1F" w:rsidP="00527B1F">
            <w:pPr>
              <w:spacing w:line="276" w:lineRule="auto"/>
              <w:jc w:val="both"/>
              <w:rPr>
                <w:rFonts w:eastAsia="Times New Roman" w:cstheme="minorHAnsi"/>
                <w:b/>
                <w:bCs/>
                <w:lang w:eastAsia="pt-BR"/>
              </w:rPr>
            </w:pPr>
            <w:r w:rsidRPr="00527B1F">
              <w:rPr>
                <w:rFonts w:eastAsia="Times New Roman" w:cstheme="minorHAnsi"/>
                <w:b/>
                <w:bCs/>
                <w:lang w:eastAsia="pt-BR"/>
              </w:rPr>
              <w:t>Descrição</w:t>
            </w:r>
          </w:p>
        </w:tc>
        <w:tc>
          <w:tcPr>
            <w:tcW w:w="851" w:type="dxa"/>
            <w:hideMark/>
          </w:tcPr>
          <w:p w14:paraId="0BE2418D" w14:textId="77777777" w:rsidR="00527B1F" w:rsidRPr="00527B1F" w:rsidRDefault="00527B1F" w:rsidP="00527B1F">
            <w:pPr>
              <w:spacing w:line="276" w:lineRule="auto"/>
              <w:jc w:val="both"/>
              <w:rPr>
                <w:rFonts w:eastAsia="Times New Roman" w:cstheme="minorHAnsi"/>
                <w:b/>
                <w:bCs/>
                <w:lang w:eastAsia="pt-BR"/>
              </w:rPr>
            </w:pPr>
            <w:proofErr w:type="spellStart"/>
            <w:r w:rsidRPr="00527B1F">
              <w:rPr>
                <w:rFonts w:eastAsia="Times New Roman" w:cstheme="minorHAnsi"/>
                <w:b/>
                <w:bCs/>
                <w:lang w:eastAsia="pt-BR"/>
              </w:rPr>
              <w:t>Und</w:t>
            </w:r>
            <w:proofErr w:type="spellEnd"/>
          </w:p>
        </w:tc>
        <w:tc>
          <w:tcPr>
            <w:tcW w:w="567" w:type="dxa"/>
            <w:hideMark/>
          </w:tcPr>
          <w:p w14:paraId="01F983D6" w14:textId="77777777" w:rsidR="00527B1F" w:rsidRPr="00527B1F" w:rsidRDefault="00527B1F" w:rsidP="00527B1F">
            <w:pPr>
              <w:spacing w:line="276" w:lineRule="auto"/>
              <w:jc w:val="both"/>
              <w:rPr>
                <w:rFonts w:eastAsia="Times New Roman" w:cstheme="minorHAnsi"/>
                <w:b/>
                <w:bCs/>
                <w:lang w:eastAsia="pt-BR"/>
              </w:rPr>
            </w:pPr>
            <w:proofErr w:type="spellStart"/>
            <w:r w:rsidRPr="00527B1F">
              <w:rPr>
                <w:rFonts w:eastAsia="Times New Roman" w:cstheme="minorHAnsi"/>
                <w:b/>
                <w:bCs/>
                <w:lang w:eastAsia="pt-BR"/>
              </w:rPr>
              <w:t>Qtd</w:t>
            </w:r>
            <w:proofErr w:type="spellEnd"/>
          </w:p>
        </w:tc>
        <w:tc>
          <w:tcPr>
            <w:tcW w:w="1843" w:type="dxa"/>
            <w:hideMark/>
          </w:tcPr>
          <w:p w14:paraId="5C435267" w14:textId="77777777" w:rsidR="00527B1F" w:rsidRPr="00527B1F" w:rsidRDefault="00527B1F" w:rsidP="00527B1F">
            <w:pPr>
              <w:spacing w:line="276" w:lineRule="auto"/>
              <w:jc w:val="both"/>
              <w:rPr>
                <w:rFonts w:eastAsia="Times New Roman" w:cstheme="minorHAnsi"/>
                <w:b/>
                <w:bCs/>
                <w:lang w:eastAsia="pt-BR"/>
              </w:rPr>
            </w:pPr>
            <w:r w:rsidRPr="00527B1F">
              <w:rPr>
                <w:rFonts w:eastAsia="Times New Roman" w:cstheme="minorHAnsi"/>
                <w:b/>
                <w:bCs/>
                <w:lang w:eastAsia="pt-BR"/>
              </w:rPr>
              <w:t>Valor Total</w:t>
            </w:r>
          </w:p>
        </w:tc>
      </w:tr>
      <w:tr w:rsidR="00527B1F" w:rsidRPr="00527B1F" w14:paraId="3288C55A" w14:textId="77777777" w:rsidTr="00665A14">
        <w:tc>
          <w:tcPr>
            <w:tcW w:w="641" w:type="dxa"/>
            <w:hideMark/>
          </w:tcPr>
          <w:p w14:paraId="798D342A" w14:textId="77777777" w:rsidR="00527B1F" w:rsidRPr="00527B1F" w:rsidRDefault="00527B1F" w:rsidP="00527B1F">
            <w:pPr>
              <w:spacing w:line="276" w:lineRule="auto"/>
              <w:jc w:val="both"/>
              <w:rPr>
                <w:rFonts w:eastAsia="Times New Roman" w:cstheme="minorHAnsi"/>
                <w:lang w:eastAsia="pt-BR"/>
              </w:rPr>
            </w:pPr>
            <w:r w:rsidRPr="00527B1F">
              <w:rPr>
                <w:rFonts w:eastAsia="Times New Roman" w:cstheme="minorHAnsi"/>
                <w:lang w:eastAsia="pt-BR"/>
              </w:rPr>
              <w:t>01</w:t>
            </w:r>
          </w:p>
        </w:tc>
        <w:tc>
          <w:tcPr>
            <w:tcW w:w="4887" w:type="dxa"/>
            <w:hideMark/>
          </w:tcPr>
          <w:p w14:paraId="357F8651" w14:textId="307EA329" w:rsidR="004E25D3" w:rsidRDefault="004E25D3" w:rsidP="004E25D3">
            <w:pPr>
              <w:widowControl w:val="0"/>
              <w:jc w:val="both"/>
              <w:rPr>
                <w:rFonts w:eastAsia="Times New Roman" w:cstheme="minorHAnsi"/>
                <w:lang w:eastAsia="pt-BR"/>
              </w:rPr>
            </w:pPr>
            <w:r w:rsidRPr="00EB2BC7">
              <w:rPr>
                <w:rFonts w:eastAsia="Times New Roman" w:cstheme="minorHAnsi"/>
                <w:lang w:eastAsia="pt-BR"/>
              </w:rPr>
              <w:t>Pavimentação</w:t>
            </w:r>
            <w:r>
              <w:rPr>
                <w:rFonts w:eastAsia="Times New Roman" w:cstheme="minorHAnsi"/>
                <w:lang w:eastAsia="pt-BR"/>
              </w:rPr>
              <w:t xml:space="preserve"> asfáltica em CBUQ – Concreto Betuminoso Usinado a Quente,</w:t>
            </w:r>
            <w:r w:rsidRPr="00EB2BC7">
              <w:rPr>
                <w:rFonts w:eastAsia="Times New Roman" w:cstheme="minorHAnsi"/>
                <w:lang w:eastAsia="pt-BR"/>
              </w:rPr>
              <w:t xml:space="preserve"> </w:t>
            </w:r>
            <w:r>
              <w:rPr>
                <w:rFonts w:eastAsia="Times New Roman" w:cstheme="minorHAnsi"/>
                <w:lang w:eastAsia="pt-BR"/>
              </w:rPr>
              <w:t xml:space="preserve">sobre pedras irregulares em vias urbanas do </w:t>
            </w:r>
            <w:proofErr w:type="spellStart"/>
            <w:r>
              <w:rPr>
                <w:rFonts w:eastAsia="Times New Roman" w:cstheme="minorHAnsi"/>
                <w:lang w:eastAsia="pt-BR"/>
              </w:rPr>
              <w:t>Municipio</w:t>
            </w:r>
            <w:proofErr w:type="spellEnd"/>
            <w:r>
              <w:rPr>
                <w:rFonts w:eastAsia="Times New Roman" w:cstheme="minorHAnsi"/>
                <w:lang w:eastAsia="pt-BR"/>
              </w:rPr>
              <w:t xml:space="preserve"> de Nova Prata do Iguaçu-PR</w:t>
            </w:r>
            <w:r w:rsidRPr="00EB2BC7">
              <w:rPr>
                <w:rFonts w:eastAsia="Times New Roman" w:cstheme="minorHAnsi"/>
                <w:lang w:eastAsia="pt-BR"/>
              </w:rPr>
              <w:t xml:space="preserve">, área de </w:t>
            </w:r>
            <w:r>
              <w:rPr>
                <w:rFonts w:eastAsia="Times New Roman" w:cstheme="minorHAnsi"/>
                <w:lang w:eastAsia="pt-BR"/>
              </w:rPr>
              <w:t xml:space="preserve">8.678,12 </w:t>
            </w:r>
            <w:r w:rsidRPr="00EB2BC7">
              <w:rPr>
                <w:rFonts w:eastAsia="Times New Roman" w:cstheme="minorHAnsi"/>
                <w:lang w:eastAsia="pt-BR"/>
              </w:rPr>
              <w:t xml:space="preserve">m², </w:t>
            </w:r>
            <w:r>
              <w:rPr>
                <w:rFonts w:eastAsia="Times New Roman" w:cstheme="minorHAnsi"/>
                <w:lang w:eastAsia="pt-BR"/>
              </w:rPr>
              <w:t xml:space="preserve">em vias urbanas </w:t>
            </w:r>
            <w:r w:rsidRPr="00EB2BC7">
              <w:rPr>
                <w:rFonts w:eastAsia="Times New Roman" w:cstheme="minorHAnsi"/>
                <w:lang w:eastAsia="pt-BR"/>
              </w:rPr>
              <w:t xml:space="preserve">compreendendo: serviços preliminares; drenagem; </w:t>
            </w:r>
            <w:proofErr w:type="spellStart"/>
            <w:r>
              <w:rPr>
                <w:rFonts w:eastAsia="Times New Roman" w:cstheme="minorHAnsi"/>
                <w:lang w:eastAsia="pt-BR"/>
              </w:rPr>
              <w:t>reperfilagem</w:t>
            </w:r>
            <w:proofErr w:type="spellEnd"/>
            <w:r>
              <w:rPr>
                <w:rFonts w:eastAsia="Times New Roman" w:cstheme="minorHAnsi"/>
                <w:lang w:eastAsia="pt-BR"/>
              </w:rPr>
              <w:t>, capa</w:t>
            </w:r>
            <w:r w:rsidRPr="00EB2BC7">
              <w:rPr>
                <w:rFonts w:eastAsia="Times New Roman" w:cstheme="minorHAnsi"/>
                <w:lang w:eastAsia="pt-BR"/>
              </w:rPr>
              <w:t>; meio-fio e sarjeta; serviços de urbanização; sinalização de trânsito; e ensaios de controle tecnológico</w:t>
            </w:r>
            <w:r>
              <w:rPr>
                <w:rFonts w:eastAsia="Times New Roman" w:cstheme="minorHAnsi"/>
                <w:lang w:eastAsia="pt-BR"/>
              </w:rPr>
              <w:t>, no Município de Nova Prata do Iguaçu-PR</w:t>
            </w:r>
            <w:r w:rsidRPr="00EB2BC7">
              <w:rPr>
                <w:rFonts w:eastAsia="Times New Roman" w:cstheme="minorHAnsi"/>
                <w:lang w:eastAsia="pt-BR"/>
              </w:rPr>
              <w:t>.</w:t>
            </w:r>
          </w:p>
          <w:p w14:paraId="2D297ED7" w14:textId="77777777" w:rsidR="00ED6D2C" w:rsidRDefault="00ED6D2C" w:rsidP="004E25D3">
            <w:pPr>
              <w:widowControl w:val="0"/>
              <w:jc w:val="both"/>
              <w:rPr>
                <w:rFonts w:eastAsia="Times New Roman" w:cstheme="minorHAnsi"/>
                <w:lang w:eastAsia="pt-BR"/>
              </w:rPr>
            </w:pPr>
          </w:p>
          <w:p w14:paraId="423D8CC7" w14:textId="043B5106" w:rsidR="00ED6D2C" w:rsidRDefault="00ED6D2C" w:rsidP="004E25D3">
            <w:pPr>
              <w:widowControl w:val="0"/>
              <w:jc w:val="both"/>
              <w:rPr>
                <w:rFonts w:eastAsia="Times New Roman" w:cstheme="minorHAnsi"/>
                <w:lang w:eastAsia="pt-BR"/>
              </w:rPr>
            </w:pPr>
            <w:r>
              <w:rPr>
                <w:rFonts w:eastAsia="Times New Roman" w:cstheme="minorHAnsi"/>
                <w:lang w:eastAsia="pt-BR"/>
              </w:rPr>
              <w:t>SAM 77</w:t>
            </w:r>
          </w:p>
          <w:p w14:paraId="3917366E" w14:textId="594B36BB" w:rsidR="00527B1F" w:rsidRPr="00527B1F" w:rsidRDefault="00527B1F" w:rsidP="00046B70">
            <w:pPr>
              <w:widowControl w:val="0"/>
              <w:jc w:val="both"/>
              <w:rPr>
                <w:rFonts w:eastAsia="Times New Roman" w:cstheme="minorHAnsi"/>
                <w:lang w:eastAsia="pt-BR"/>
              </w:rPr>
            </w:pPr>
          </w:p>
        </w:tc>
        <w:tc>
          <w:tcPr>
            <w:tcW w:w="851" w:type="dxa"/>
            <w:vAlign w:val="center"/>
            <w:hideMark/>
          </w:tcPr>
          <w:p w14:paraId="4A8FE783" w14:textId="77777777" w:rsidR="00527B1F" w:rsidRPr="00527B1F" w:rsidRDefault="00527B1F" w:rsidP="00527B1F">
            <w:pPr>
              <w:spacing w:line="276" w:lineRule="auto"/>
              <w:jc w:val="center"/>
              <w:rPr>
                <w:rFonts w:eastAsia="Times New Roman" w:cstheme="minorHAnsi"/>
                <w:lang w:eastAsia="pt-BR"/>
              </w:rPr>
            </w:pPr>
            <w:r w:rsidRPr="00527B1F">
              <w:rPr>
                <w:rFonts w:eastAsia="Times New Roman" w:cstheme="minorHAnsi"/>
                <w:lang w:eastAsia="pt-BR"/>
              </w:rPr>
              <w:t>Global</w:t>
            </w:r>
          </w:p>
        </w:tc>
        <w:tc>
          <w:tcPr>
            <w:tcW w:w="567" w:type="dxa"/>
            <w:vAlign w:val="center"/>
            <w:hideMark/>
          </w:tcPr>
          <w:p w14:paraId="0DB1665B" w14:textId="77777777" w:rsidR="00527B1F" w:rsidRPr="00527B1F" w:rsidRDefault="00527B1F" w:rsidP="00527B1F">
            <w:pPr>
              <w:spacing w:line="276" w:lineRule="auto"/>
              <w:jc w:val="center"/>
              <w:rPr>
                <w:rFonts w:eastAsia="Times New Roman" w:cstheme="minorHAnsi"/>
                <w:lang w:eastAsia="pt-BR"/>
              </w:rPr>
            </w:pPr>
            <w:r w:rsidRPr="00527B1F">
              <w:rPr>
                <w:rFonts w:eastAsia="Times New Roman" w:cstheme="minorHAnsi"/>
                <w:lang w:eastAsia="pt-BR"/>
              </w:rPr>
              <w:t>01</w:t>
            </w:r>
          </w:p>
        </w:tc>
        <w:tc>
          <w:tcPr>
            <w:tcW w:w="1843" w:type="dxa"/>
            <w:vAlign w:val="center"/>
            <w:hideMark/>
          </w:tcPr>
          <w:p w14:paraId="69B07BC3" w14:textId="486FF906" w:rsidR="00527B1F" w:rsidRPr="00527B1F" w:rsidRDefault="00527B1F" w:rsidP="00527B1F">
            <w:pPr>
              <w:spacing w:line="276" w:lineRule="auto"/>
              <w:jc w:val="center"/>
              <w:rPr>
                <w:rFonts w:eastAsia="Times New Roman" w:cstheme="minorHAnsi"/>
                <w:lang w:eastAsia="pt-BR"/>
              </w:rPr>
            </w:pPr>
            <w:r w:rsidRPr="00527B1F">
              <w:rPr>
                <w:rFonts w:eastAsia="Times New Roman" w:cstheme="minorHAnsi"/>
                <w:lang w:eastAsia="pt-BR"/>
              </w:rPr>
              <w:t>R$</w:t>
            </w:r>
            <w:r w:rsidR="00413D2D" w:rsidRPr="00EB2BC7">
              <w:rPr>
                <w:rFonts w:eastAsia="Times New Roman" w:cstheme="minorHAnsi"/>
                <w:lang w:eastAsia="pt-BR"/>
              </w:rPr>
              <w:t xml:space="preserve"> </w:t>
            </w:r>
            <w:r w:rsidR="004E25D3">
              <w:rPr>
                <w:rFonts w:eastAsia="Times New Roman" w:cstheme="minorHAnsi"/>
                <w:lang w:eastAsia="pt-BR"/>
              </w:rPr>
              <w:t>1.783.364,11</w:t>
            </w:r>
          </w:p>
        </w:tc>
      </w:tr>
    </w:tbl>
    <w:p w14:paraId="4407DB8C"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1.2. O objeto desta contratação é caracterizado como "obra de engenharia", conforme alínea "b" do inciso XXI do art. 6° da Lei nº 14.133/2021.</w:t>
      </w:r>
    </w:p>
    <w:p w14:paraId="30F00A72" w14:textId="1168B430" w:rsidR="000F190C" w:rsidRPr="000F190C" w:rsidRDefault="00527B1F" w:rsidP="000F190C">
      <w:pPr>
        <w:keepNext/>
        <w:jc w:val="both"/>
      </w:pPr>
      <w:r w:rsidRPr="00527B1F">
        <w:rPr>
          <w:rFonts w:eastAsia="Times New Roman" w:cstheme="minorHAnsi"/>
          <w:lang w:eastAsia="pt-BR"/>
        </w:rPr>
        <w:t xml:space="preserve">1.3. </w:t>
      </w:r>
      <w:r w:rsidR="000F190C" w:rsidRPr="000F190C">
        <w:t xml:space="preserve">O prazo de vigência do presente é de </w:t>
      </w:r>
      <w:r w:rsidR="00ED6D2C">
        <w:t>4</w:t>
      </w:r>
      <w:r w:rsidR="005E55A1">
        <w:t>20</w:t>
      </w:r>
      <w:r w:rsidR="000F190C" w:rsidRPr="000F190C">
        <w:t xml:space="preserve"> (</w:t>
      </w:r>
      <w:r w:rsidR="005E55A1">
        <w:t>setecentos e vinte</w:t>
      </w:r>
      <w:r w:rsidR="000F190C" w:rsidRPr="000F190C">
        <w:t xml:space="preserve">) dias, </w:t>
      </w:r>
      <w:r w:rsidR="000F190C" w:rsidRPr="000F190C">
        <w:rPr>
          <w:color w:val="000000"/>
        </w:rPr>
        <w:t xml:space="preserve">contados a partir da </w:t>
      </w:r>
      <w:r w:rsidR="000F190C" w:rsidRPr="000F190C">
        <w:rPr>
          <w:b/>
          <w:bCs/>
          <w:color w:val="000000"/>
        </w:rPr>
        <w:t>data da assinatura, citada no extrato</w:t>
      </w:r>
      <w:r w:rsidR="000F190C" w:rsidRPr="000F190C">
        <w:rPr>
          <w:color w:val="000000"/>
        </w:rPr>
        <w:t xml:space="preserve"> do contrato </w:t>
      </w:r>
      <w:r w:rsidR="000F190C" w:rsidRPr="000F190C">
        <w:t>publicado no PNCP ou no Diário Oficial para aqueles municípios com até 20.000 habitantes que assim optarem, em conformidade com o prazo estabelecido no parágrafo único do art. 176 da Lei Federal 14.133/21.</w:t>
      </w:r>
    </w:p>
    <w:p w14:paraId="162E4DF0" w14:textId="5A161D68" w:rsidR="00527B1F" w:rsidRPr="00527B1F" w:rsidRDefault="00527B1F" w:rsidP="00527B1F">
      <w:pPr>
        <w:spacing w:after="0"/>
        <w:jc w:val="both"/>
        <w:outlineLvl w:val="1"/>
        <w:rPr>
          <w:rFonts w:eastAsia="Times New Roman" w:cstheme="minorHAnsi"/>
          <w:b/>
          <w:bCs/>
          <w:lang w:eastAsia="pt-BR"/>
        </w:rPr>
      </w:pPr>
      <w:r w:rsidRPr="00527B1F">
        <w:rPr>
          <w:rFonts w:eastAsia="Times New Roman" w:cstheme="minorHAnsi"/>
          <w:b/>
          <w:bCs/>
          <w:lang w:eastAsia="pt-BR"/>
        </w:rPr>
        <w:t>2. FUNDAMENTAÇÃO LEGAL</w:t>
      </w:r>
    </w:p>
    <w:p w14:paraId="0970A8E9" w14:textId="3697EE52" w:rsidR="00527B1F" w:rsidRDefault="00527B1F" w:rsidP="00527B1F">
      <w:pPr>
        <w:spacing w:after="0"/>
        <w:jc w:val="both"/>
        <w:rPr>
          <w:rFonts w:eastAsia="Times New Roman" w:cstheme="minorHAnsi"/>
          <w:lang w:eastAsia="pt-BR"/>
        </w:rPr>
      </w:pPr>
      <w:r w:rsidRPr="00527B1F">
        <w:rPr>
          <w:rFonts w:eastAsia="Times New Roman" w:cstheme="minorHAnsi"/>
          <w:lang w:eastAsia="pt-BR"/>
        </w:rPr>
        <w:t>2.1. Aplicam-se à contratação proposta a Lei n° 14.133/2021 - Lei de Licitações e Contratos Administrativos, os Decretos Municipais nº 3746 a 3767 de 2023 (Regulamentação da Lei 14.133/2021), Lei nº 13.709/2018 (LGPD), Código Civil art. 618, normas técnicas do DER/PR e DNIT, instruções normativas do SINAPI e o Decreto Estadual nº 10.086/22 do Paraná.</w:t>
      </w:r>
    </w:p>
    <w:p w14:paraId="44B71169" w14:textId="77777777" w:rsidR="00545566" w:rsidRPr="00527B1F" w:rsidRDefault="00545566" w:rsidP="00527B1F">
      <w:pPr>
        <w:spacing w:after="0"/>
        <w:jc w:val="both"/>
        <w:rPr>
          <w:rFonts w:eastAsia="Times New Roman" w:cstheme="minorHAnsi"/>
          <w:lang w:eastAsia="pt-BR"/>
        </w:rPr>
      </w:pPr>
    </w:p>
    <w:p w14:paraId="420CB961" w14:textId="1D7303DD" w:rsidR="00527B1F" w:rsidRPr="00527B1F" w:rsidRDefault="00527B1F" w:rsidP="00527B1F">
      <w:pPr>
        <w:spacing w:after="0"/>
        <w:jc w:val="both"/>
        <w:outlineLvl w:val="1"/>
        <w:rPr>
          <w:rFonts w:eastAsia="Times New Roman" w:cstheme="minorHAnsi"/>
          <w:b/>
          <w:bCs/>
          <w:lang w:eastAsia="pt-BR"/>
        </w:rPr>
      </w:pPr>
      <w:r w:rsidRPr="00527B1F">
        <w:rPr>
          <w:rFonts w:eastAsia="Times New Roman" w:cstheme="minorHAnsi"/>
          <w:b/>
          <w:bCs/>
          <w:lang w:eastAsia="pt-BR"/>
        </w:rPr>
        <w:t>3. JUSTIFICATIVA E OBJETIVO DA CONTRATAÇÃO</w:t>
      </w:r>
    </w:p>
    <w:p w14:paraId="2C042A57" w14:textId="77777777" w:rsidR="004E25D3" w:rsidRPr="00FF3A83" w:rsidRDefault="00527B1F" w:rsidP="004E25D3">
      <w:pPr>
        <w:widowControl w:val="0"/>
        <w:spacing w:after="0"/>
        <w:jc w:val="both"/>
        <w:outlineLvl w:val="1"/>
        <w:rPr>
          <w:rFonts w:eastAsia="Times New Roman" w:cstheme="minorHAnsi"/>
          <w:lang w:eastAsia="pt-BR"/>
        </w:rPr>
      </w:pPr>
      <w:r w:rsidRPr="00527B1F">
        <w:rPr>
          <w:rFonts w:eastAsia="Times New Roman" w:cstheme="minorHAnsi"/>
          <w:lang w:eastAsia="pt-BR"/>
        </w:rPr>
        <w:t xml:space="preserve">3.1. </w:t>
      </w:r>
      <w:r w:rsidR="004E25D3" w:rsidRPr="00FF3A83">
        <w:rPr>
          <w:rFonts w:eastAsia="Times New Roman" w:cstheme="minorHAnsi"/>
          <w:lang w:eastAsia="pt-BR"/>
        </w:rPr>
        <w:t>A infraestrutura viária constitui elemento essencial para o desenvolvimento socioeconômico municipal, sendo determinante para a mobilidade urbana, integração social e acesso aos serviços públicos essenciais. A melhoria das condições das vias públicas contribui diretamente para a redução de desigualdades, assegurando acesso equitativo às oportunidades de trabalho, educação, saúde e lazer, além de promover maior segurança e conforto aos usuários.</w:t>
      </w:r>
    </w:p>
    <w:p w14:paraId="36D92898" w14:textId="4BCFE12F" w:rsidR="004E25D3" w:rsidRPr="00FF3A83" w:rsidRDefault="004E25D3" w:rsidP="004E25D3">
      <w:pPr>
        <w:widowControl w:val="0"/>
        <w:spacing w:after="0"/>
        <w:jc w:val="both"/>
        <w:outlineLvl w:val="1"/>
        <w:rPr>
          <w:rFonts w:eastAsia="Times New Roman" w:cstheme="minorHAnsi"/>
          <w:lang w:eastAsia="pt-BR"/>
        </w:rPr>
      </w:pPr>
      <w:r>
        <w:rPr>
          <w:rFonts w:eastAsia="Times New Roman" w:cstheme="minorHAnsi"/>
          <w:lang w:eastAsia="pt-BR"/>
        </w:rPr>
        <w:t xml:space="preserve">3.2. </w:t>
      </w:r>
      <w:r w:rsidRPr="00FF3A83">
        <w:rPr>
          <w:rFonts w:eastAsia="Times New Roman" w:cstheme="minorHAnsi"/>
          <w:lang w:eastAsia="pt-BR"/>
        </w:rPr>
        <w:t xml:space="preserve">Com o crescimento urbano e a demanda por infraestrutura de melhor qualidade, torna-se indispensável a modernização da malha viária do município. A inexistência de pavimentação adequada em diversas ruas do perímetro urbano compromete a mobilidade, aumenta os custos de manutenção veicular, dificulta o adequado escoamento das águas pluviais e impacta negativamente </w:t>
      </w:r>
      <w:r w:rsidRPr="00FF3A83">
        <w:rPr>
          <w:rFonts w:eastAsia="Times New Roman" w:cstheme="minorHAnsi"/>
          <w:lang w:eastAsia="pt-BR"/>
        </w:rPr>
        <w:lastRenderedPageBreak/>
        <w:t>a qualidade de vida da população. Nesse contexto, a pavimentação asfáltica em CBUQ apresenta-se como solução técnica eficiente, garantindo durabilidade, melhor desempenho estrutural e valorização das áreas beneficiadas.</w:t>
      </w:r>
    </w:p>
    <w:p w14:paraId="43F712A8" w14:textId="5F418E5A" w:rsidR="004E25D3" w:rsidRPr="00FF3A83" w:rsidRDefault="004E25D3" w:rsidP="004E25D3">
      <w:pPr>
        <w:widowControl w:val="0"/>
        <w:spacing w:after="0"/>
        <w:jc w:val="both"/>
        <w:outlineLvl w:val="1"/>
        <w:rPr>
          <w:rFonts w:eastAsia="Times New Roman" w:cstheme="minorHAnsi"/>
          <w:lang w:eastAsia="pt-BR"/>
        </w:rPr>
      </w:pPr>
      <w:r>
        <w:rPr>
          <w:rFonts w:eastAsia="Times New Roman" w:cstheme="minorHAnsi"/>
          <w:lang w:eastAsia="pt-BR"/>
        </w:rPr>
        <w:t xml:space="preserve">3.3. </w:t>
      </w:r>
      <w:r w:rsidRPr="00FF3A83">
        <w:rPr>
          <w:rFonts w:eastAsia="Times New Roman" w:cstheme="minorHAnsi"/>
          <w:lang w:eastAsia="pt-BR"/>
        </w:rPr>
        <w:t xml:space="preserve">O Município de Nova Prata do Iguaçu, por intermédio da Secretaria de Estado das Cidades – SECID, propõe a execução de pavimentação urbana em </w:t>
      </w:r>
      <w:r w:rsidRPr="00FF3A83">
        <w:rPr>
          <w:rFonts w:eastAsia="Times New Roman" w:cstheme="minorHAnsi"/>
          <w:b/>
          <w:bCs/>
          <w:lang w:eastAsia="pt-BR"/>
        </w:rPr>
        <w:t>9 vias do perímetro urbano</w:t>
      </w:r>
      <w:r w:rsidRPr="00FF3A83">
        <w:rPr>
          <w:rFonts w:eastAsia="Times New Roman" w:cstheme="minorHAnsi"/>
          <w:lang w:eastAsia="pt-BR"/>
        </w:rPr>
        <w:t xml:space="preserve">, contemplando uma </w:t>
      </w:r>
      <w:r w:rsidRPr="00FF3A83">
        <w:rPr>
          <w:rFonts w:eastAsia="Times New Roman" w:cstheme="minorHAnsi"/>
          <w:b/>
          <w:bCs/>
          <w:lang w:eastAsia="pt-BR"/>
        </w:rPr>
        <w:t>área total de 8.678,12 m²</w:t>
      </w:r>
      <w:r w:rsidRPr="00FF3A83">
        <w:rPr>
          <w:rFonts w:eastAsia="Times New Roman" w:cstheme="minorHAnsi"/>
          <w:lang w:eastAsia="pt-BR"/>
        </w:rPr>
        <w:t xml:space="preserve">, distribuída ao longo de </w:t>
      </w:r>
      <w:r w:rsidRPr="00FF3A83">
        <w:rPr>
          <w:rFonts w:eastAsia="Times New Roman" w:cstheme="minorHAnsi"/>
          <w:b/>
          <w:bCs/>
          <w:lang w:eastAsia="pt-BR"/>
        </w:rPr>
        <w:t>1.176,68 metros de extensão</w:t>
      </w:r>
      <w:r w:rsidRPr="00FF3A83">
        <w:rPr>
          <w:rFonts w:eastAsia="Times New Roman" w:cstheme="minorHAnsi"/>
          <w:lang w:eastAsia="pt-BR"/>
        </w:rPr>
        <w:t>, beneficiando diretamente a população local e fortalecendo a infraestrutura urbana existente. A intervenção integra as diretrizes de desenvolvimento urbano e mobilidade, alinhando-se às políticas públicas estaduais e federais voltadas à qualificação do espaço urbano.</w:t>
      </w:r>
    </w:p>
    <w:p w14:paraId="78937CC9" w14:textId="282C5CF0" w:rsidR="004E25D3" w:rsidRPr="00FF3A83" w:rsidRDefault="004E25D3" w:rsidP="004E25D3">
      <w:pPr>
        <w:widowControl w:val="0"/>
        <w:spacing w:after="0"/>
        <w:jc w:val="both"/>
        <w:outlineLvl w:val="1"/>
        <w:rPr>
          <w:rFonts w:eastAsia="Times New Roman" w:cstheme="minorHAnsi"/>
          <w:lang w:eastAsia="pt-BR"/>
        </w:rPr>
      </w:pPr>
      <w:r>
        <w:rPr>
          <w:rFonts w:eastAsia="Times New Roman" w:cstheme="minorHAnsi"/>
          <w:lang w:eastAsia="pt-BR"/>
        </w:rPr>
        <w:t xml:space="preserve">3.4. </w:t>
      </w:r>
      <w:r w:rsidRPr="00FF3A83">
        <w:rPr>
          <w:rFonts w:eastAsia="Times New Roman" w:cstheme="minorHAnsi"/>
          <w:lang w:eastAsia="pt-BR"/>
        </w:rPr>
        <w:t>A presente contratação justifica-se pela necessidade de implantar um sistema viário adequado e funcional, abrangendo não apenas a pavimentação asfáltica sobre pedras irregulares, mas também a execução de drenagem pluvial, meio-fio e sarjeta, calçadas com acessibilidade, sinalização viária e a realização de ensaios tecnológicos para controle e garantia da qualidade dos serviços executados, em conformidade com a Lei Federal nº 14.133/2021.</w:t>
      </w:r>
    </w:p>
    <w:p w14:paraId="4D272F58" w14:textId="3E1B1594" w:rsidR="004E25D3" w:rsidRPr="00FF3A83" w:rsidRDefault="004E25D3" w:rsidP="004E25D3">
      <w:pPr>
        <w:widowControl w:val="0"/>
        <w:spacing w:after="0"/>
        <w:jc w:val="both"/>
        <w:outlineLvl w:val="1"/>
        <w:rPr>
          <w:rFonts w:eastAsia="Times New Roman" w:cstheme="minorHAnsi"/>
          <w:lang w:eastAsia="pt-BR"/>
        </w:rPr>
      </w:pPr>
      <w:r>
        <w:rPr>
          <w:rFonts w:eastAsia="Times New Roman" w:cstheme="minorHAnsi"/>
          <w:lang w:eastAsia="pt-BR"/>
        </w:rPr>
        <w:t xml:space="preserve">3.5. </w:t>
      </w:r>
      <w:r w:rsidRPr="00FF3A83">
        <w:rPr>
          <w:rFonts w:eastAsia="Times New Roman" w:cstheme="minorHAnsi"/>
          <w:lang w:eastAsia="pt-BR"/>
        </w:rPr>
        <w:t>Dessa forma, a pavimentação em CBUQ representa um investimento estratégico para o município, promovendo melhoria da trafegabilidade, redução dos custos de manutenção, valorização imobiliária e elevação da qualidade de vida da população, reafirmando o compromisso do Poder Público Municipal com o desenvolvimento urbano ordenado, seguro e inclusivo.</w:t>
      </w:r>
    </w:p>
    <w:p w14:paraId="7E90F95F" w14:textId="7350146A" w:rsidR="00527B1F" w:rsidRPr="00527B1F" w:rsidRDefault="00527B1F" w:rsidP="004E25D3">
      <w:pPr>
        <w:spacing w:after="0"/>
        <w:jc w:val="both"/>
        <w:rPr>
          <w:rFonts w:eastAsia="Times New Roman" w:cstheme="minorHAnsi"/>
          <w:b/>
          <w:bCs/>
          <w:lang w:eastAsia="pt-BR"/>
        </w:rPr>
      </w:pPr>
      <w:r w:rsidRPr="00527B1F">
        <w:rPr>
          <w:rFonts w:eastAsia="Times New Roman" w:cstheme="minorHAnsi"/>
          <w:b/>
          <w:bCs/>
          <w:lang w:eastAsia="pt-BR"/>
        </w:rPr>
        <w:t>4. ÁREA REQUISITANTE</w:t>
      </w:r>
    </w:p>
    <w:p w14:paraId="1ABBA6ED"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4.1. Setor requisitante: Secretaria Municipal de Obras e Urbanismo;</w:t>
      </w:r>
    </w:p>
    <w:p w14:paraId="2BFF9DDA" w14:textId="004A43D7" w:rsidR="00527B1F" w:rsidRDefault="00527B1F" w:rsidP="00527B1F">
      <w:pPr>
        <w:spacing w:after="0"/>
        <w:jc w:val="both"/>
        <w:rPr>
          <w:rFonts w:eastAsia="Times New Roman" w:cstheme="minorHAnsi"/>
          <w:lang w:eastAsia="pt-BR"/>
        </w:rPr>
      </w:pPr>
      <w:r w:rsidRPr="00527B1F">
        <w:rPr>
          <w:rFonts w:eastAsia="Times New Roman" w:cstheme="minorHAnsi"/>
          <w:lang w:eastAsia="pt-BR"/>
        </w:rPr>
        <w:t xml:space="preserve">4.2. Responsável: </w:t>
      </w:r>
      <w:r w:rsidR="00391FE3" w:rsidRPr="00EB2BC7">
        <w:rPr>
          <w:rFonts w:eastAsia="Times New Roman" w:cstheme="minorHAnsi"/>
          <w:lang w:eastAsia="pt-BR"/>
        </w:rPr>
        <w:t xml:space="preserve"> </w:t>
      </w:r>
      <w:proofErr w:type="spellStart"/>
      <w:r w:rsidR="00391FE3">
        <w:rPr>
          <w:rFonts w:eastAsia="Times New Roman" w:cstheme="minorHAnsi"/>
          <w:lang w:eastAsia="pt-BR"/>
        </w:rPr>
        <w:t>Neocir</w:t>
      </w:r>
      <w:proofErr w:type="spellEnd"/>
      <w:r w:rsidR="00391FE3">
        <w:rPr>
          <w:rFonts w:eastAsia="Times New Roman" w:cstheme="minorHAnsi"/>
          <w:lang w:eastAsia="pt-BR"/>
        </w:rPr>
        <w:t xml:space="preserve"> </w:t>
      </w:r>
      <w:proofErr w:type="spellStart"/>
      <w:proofErr w:type="gramStart"/>
      <w:r w:rsidR="00391FE3">
        <w:rPr>
          <w:rFonts w:eastAsia="Times New Roman" w:cstheme="minorHAnsi"/>
          <w:lang w:eastAsia="pt-BR"/>
        </w:rPr>
        <w:t>Belon</w:t>
      </w:r>
      <w:proofErr w:type="spellEnd"/>
      <w:r w:rsidR="00560751">
        <w:rPr>
          <w:rFonts w:eastAsia="Times New Roman" w:cstheme="minorHAnsi"/>
          <w:lang w:eastAsia="pt-BR"/>
        </w:rPr>
        <w:t xml:space="preserve">  Matrícula</w:t>
      </w:r>
      <w:proofErr w:type="gramEnd"/>
      <w:r w:rsidR="00560751">
        <w:rPr>
          <w:rFonts w:eastAsia="Times New Roman" w:cstheme="minorHAnsi"/>
          <w:lang w:eastAsia="pt-BR"/>
        </w:rPr>
        <w:t xml:space="preserve">: </w:t>
      </w:r>
      <w:r w:rsidR="00560751" w:rsidRPr="00560751">
        <w:rPr>
          <w:rFonts w:eastAsia="Times New Roman" w:cstheme="minorHAnsi"/>
          <w:lang w:eastAsia="pt-BR"/>
        </w:rPr>
        <w:t>142</w:t>
      </w:r>
      <w:r w:rsidR="00560751">
        <w:rPr>
          <w:rFonts w:eastAsia="Times New Roman" w:cstheme="minorHAnsi"/>
          <w:lang w:eastAsia="pt-BR"/>
        </w:rPr>
        <w:t>.</w:t>
      </w:r>
      <w:r w:rsidR="00560751" w:rsidRPr="00560751">
        <w:rPr>
          <w:rFonts w:eastAsia="Times New Roman" w:cstheme="minorHAnsi"/>
          <w:lang w:eastAsia="pt-BR"/>
        </w:rPr>
        <w:t>607-1</w:t>
      </w:r>
    </w:p>
    <w:p w14:paraId="0857802D" w14:textId="7DDC4521" w:rsidR="00527B1F" w:rsidRPr="00527B1F" w:rsidRDefault="00527B1F" w:rsidP="00527B1F">
      <w:pPr>
        <w:spacing w:after="0"/>
        <w:jc w:val="both"/>
        <w:outlineLvl w:val="1"/>
        <w:rPr>
          <w:rFonts w:eastAsia="Times New Roman" w:cstheme="minorHAnsi"/>
          <w:b/>
          <w:bCs/>
          <w:lang w:eastAsia="pt-BR"/>
        </w:rPr>
      </w:pPr>
      <w:r w:rsidRPr="00527B1F">
        <w:rPr>
          <w:rFonts w:eastAsia="Times New Roman" w:cstheme="minorHAnsi"/>
          <w:b/>
          <w:bCs/>
          <w:lang w:eastAsia="pt-BR"/>
        </w:rPr>
        <w:t>5. DESCRIÇÃO DOS REQUISITOS DA CONTRATAÇÃO</w:t>
      </w:r>
    </w:p>
    <w:p w14:paraId="1FDCF8DE" w14:textId="77777777" w:rsidR="00527B1F" w:rsidRPr="00527B1F" w:rsidRDefault="00527B1F" w:rsidP="00527B1F">
      <w:pPr>
        <w:spacing w:after="0"/>
        <w:jc w:val="both"/>
        <w:outlineLvl w:val="2"/>
        <w:rPr>
          <w:rFonts w:eastAsia="Times New Roman" w:cstheme="minorHAnsi"/>
          <w:b/>
          <w:bCs/>
          <w:lang w:eastAsia="pt-BR"/>
        </w:rPr>
      </w:pPr>
      <w:r w:rsidRPr="00527B1F">
        <w:rPr>
          <w:rFonts w:eastAsia="Times New Roman" w:cstheme="minorHAnsi"/>
          <w:b/>
          <w:bCs/>
          <w:lang w:eastAsia="pt-BR"/>
        </w:rPr>
        <w:t>5.1. Natureza do objeto da contratação e forma de seleção do fornecedor</w:t>
      </w:r>
    </w:p>
    <w:p w14:paraId="7B44312A" w14:textId="4B850025"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 xml:space="preserve">5.1.1. O objeto é classificado como "obra </w:t>
      </w:r>
      <w:r w:rsidR="00391FE3">
        <w:rPr>
          <w:rFonts w:eastAsia="Times New Roman" w:cstheme="minorHAnsi"/>
          <w:lang w:eastAsia="pt-BR"/>
        </w:rPr>
        <w:t xml:space="preserve">comum </w:t>
      </w:r>
      <w:r w:rsidRPr="00527B1F">
        <w:rPr>
          <w:rFonts w:eastAsia="Times New Roman" w:cstheme="minorHAnsi"/>
          <w:lang w:eastAsia="pt-BR"/>
        </w:rPr>
        <w:t>de engenharia", conforme alínea "b" do inciso XXI do art. 6° da Lei nº 14.133/2021.</w:t>
      </w:r>
    </w:p>
    <w:p w14:paraId="037CE5EA" w14:textId="77777777" w:rsidR="00F902CA" w:rsidRDefault="00527B1F" w:rsidP="00527B1F">
      <w:pPr>
        <w:spacing w:after="0"/>
        <w:jc w:val="both"/>
        <w:rPr>
          <w:rFonts w:eastAsia="Times New Roman" w:cstheme="minorHAnsi"/>
          <w:lang w:eastAsia="pt-BR"/>
        </w:rPr>
      </w:pPr>
      <w:r w:rsidRPr="00527B1F">
        <w:rPr>
          <w:rFonts w:eastAsia="Times New Roman" w:cstheme="minorHAnsi"/>
          <w:lang w:eastAsia="pt-BR"/>
        </w:rPr>
        <w:t xml:space="preserve">5.1.2. A Contratada será selecionada por meio da realização de procedimento de </w:t>
      </w:r>
      <w:r w:rsidRPr="00527B1F">
        <w:rPr>
          <w:rFonts w:eastAsia="Times New Roman" w:cstheme="minorHAnsi"/>
          <w:b/>
          <w:bCs/>
          <w:lang w:eastAsia="pt-BR"/>
        </w:rPr>
        <w:t>LICITAÇÃO</w:t>
      </w:r>
      <w:r w:rsidRPr="00527B1F">
        <w:rPr>
          <w:rFonts w:eastAsia="Times New Roman" w:cstheme="minorHAnsi"/>
          <w:lang w:eastAsia="pt-BR"/>
        </w:rPr>
        <w:t xml:space="preserve">, na modalidade </w:t>
      </w:r>
      <w:r w:rsidRPr="00527B1F">
        <w:rPr>
          <w:rFonts w:eastAsia="Times New Roman" w:cstheme="minorHAnsi"/>
          <w:b/>
          <w:bCs/>
          <w:lang w:eastAsia="pt-BR"/>
        </w:rPr>
        <w:t>CONCORRÊNCIA</w:t>
      </w:r>
      <w:r w:rsidRPr="00527B1F">
        <w:rPr>
          <w:rFonts w:eastAsia="Times New Roman" w:cstheme="minorHAnsi"/>
          <w:lang w:eastAsia="pt-BR"/>
        </w:rPr>
        <w:t xml:space="preserve">, sob a forma </w:t>
      </w:r>
      <w:r w:rsidRPr="00527B1F">
        <w:rPr>
          <w:rFonts w:eastAsia="Times New Roman" w:cstheme="minorHAnsi"/>
          <w:b/>
          <w:bCs/>
          <w:lang w:eastAsia="pt-BR"/>
        </w:rPr>
        <w:t>PRESENCIAL</w:t>
      </w:r>
      <w:r w:rsidRPr="00527B1F">
        <w:rPr>
          <w:rFonts w:eastAsia="Times New Roman" w:cstheme="minorHAnsi"/>
          <w:lang w:eastAsia="pt-BR"/>
        </w:rPr>
        <w:t xml:space="preserve">, com adoção do critério de julgamento pelo </w:t>
      </w:r>
      <w:r w:rsidRPr="00527B1F">
        <w:rPr>
          <w:rFonts w:eastAsia="Times New Roman" w:cstheme="minorHAnsi"/>
          <w:b/>
          <w:bCs/>
          <w:lang w:eastAsia="pt-BR"/>
        </w:rPr>
        <w:t>MENOR PREÇO GLOBAL</w:t>
      </w:r>
      <w:r w:rsidRPr="00527B1F">
        <w:rPr>
          <w:rFonts w:eastAsia="Times New Roman" w:cstheme="minorHAnsi"/>
          <w:lang w:eastAsia="pt-BR"/>
        </w:rPr>
        <w:t xml:space="preserve">, no modo de disputa </w:t>
      </w:r>
      <w:r w:rsidRPr="00527B1F">
        <w:rPr>
          <w:rFonts w:eastAsia="Times New Roman" w:cstheme="minorHAnsi"/>
          <w:b/>
          <w:bCs/>
          <w:lang w:eastAsia="pt-BR"/>
        </w:rPr>
        <w:t>ABERTO</w:t>
      </w:r>
      <w:r w:rsidRPr="00527B1F">
        <w:rPr>
          <w:rFonts w:eastAsia="Times New Roman" w:cstheme="minorHAnsi"/>
          <w:lang w:eastAsia="pt-BR"/>
        </w:rPr>
        <w:t xml:space="preserve">, sob a execução de </w:t>
      </w:r>
    </w:p>
    <w:p w14:paraId="021F1445" w14:textId="69C69CDE" w:rsidR="00527B1F" w:rsidRDefault="00527B1F" w:rsidP="00527B1F">
      <w:pPr>
        <w:spacing w:after="0"/>
        <w:jc w:val="both"/>
        <w:rPr>
          <w:rFonts w:eastAsia="Times New Roman" w:cstheme="minorHAnsi"/>
          <w:lang w:eastAsia="pt-BR"/>
        </w:rPr>
      </w:pPr>
      <w:r w:rsidRPr="00527B1F">
        <w:rPr>
          <w:rFonts w:eastAsia="Times New Roman" w:cstheme="minorHAnsi"/>
          <w:b/>
          <w:bCs/>
          <w:lang w:eastAsia="pt-BR"/>
        </w:rPr>
        <w:t>EMPREITADA POR PREÇO GLOBAL</w:t>
      </w:r>
      <w:r w:rsidRPr="00527B1F">
        <w:rPr>
          <w:rFonts w:eastAsia="Times New Roman" w:cstheme="minorHAnsi"/>
          <w:lang w:eastAsia="pt-BR"/>
        </w:rPr>
        <w:t>.</w:t>
      </w:r>
    </w:p>
    <w:p w14:paraId="6B553F36" w14:textId="77777777" w:rsidR="000F190C" w:rsidRPr="006C49F9" w:rsidRDefault="000F190C" w:rsidP="000F190C">
      <w:pPr>
        <w:autoSpaceDN w:val="0"/>
        <w:spacing w:after="0" w:line="240" w:lineRule="auto"/>
        <w:jc w:val="both"/>
        <w:textAlignment w:val="baseline"/>
        <w:rPr>
          <w:rFonts w:cstheme="minorHAnsi"/>
        </w:rPr>
      </w:pPr>
      <w:r w:rsidRPr="006C49F9">
        <w:rPr>
          <w:rFonts w:cstheme="minorHAnsi"/>
        </w:rPr>
        <w:t xml:space="preserve">A proposta a ser apresentada pelo licitante, deverá oferecer um percentual de desconto uniforme sobre todos os itens ou serviços previstos no edital. A adoção do método de </w:t>
      </w:r>
      <w:r w:rsidRPr="006C49F9">
        <w:rPr>
          <w:rFonts w:cstheme="minorHAnsi"/>
          <w:b/>
          <w:bCs/>
        </w:rPr>
        <w:t>desconto linear adotado pela municipalidade</w:t>
      </w:r>
      <w:r w:rsidRPr="006C49F9">
        <w:rPr>
          <w:rFonts w:cstheme="minorHAnsi"/>
        </w:rPr>
        <w:t xml:space="preserve"> visa buscar garantir que o abatimento seja aplicado de forma equilibrada em toda a planilha orçamentária, evitando distorções com descontos excessivos em alguns itens e irrelevantes em outros, reduzindo o risco de superfaturamento em itens específicos.</w:t>
      </w:r>
    </w:p>
    <w:p w14:paraId="7D593FDA" w14:textId="77777777" w:rsidR="00527B1F" w:rsidRPr="00527B1F" w:rsidRDefault="00527B1F" w:rsidP="00527B1F">
      <w:pPr>
        <w:spacing w:after="0"/>
        <w:jc w:val="both"/>
        <w:outlineLvl w:val="3"/>
        <w:rPr>
          <w:rFonts w:eastAsia="Times New Roman" w:cstheme="minorHAnsi"/>
          <w:b/>
          <w:bCs/>
          <w:lang w:eastAsia="pt-BR"/>
        </w:rPr>
      </w:pPr>
      <w:r w:rsidRPr="00527B1F">
        <w:rPr>
          <w:rFonts w:eastAsia="Times New Roman" w:cstheme="minorHAnsi"/>
          <w:b/>
          <w:bCs/>
          <w:lang w:eastAsia="pt-BR"/>
        </w:rPr>
        <w:t>5.1.2.1. Justificativa específica para Concorrência Presencial</w:t>
      </w:r>
    </w:p>
    <w:p w14:paraId="63F39584"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 xml:space="preserve">O Município de Nova Prata do Iguaçu/PR, em estrita observância aos princípios e diretrizes do art. 5º da Lei nº 14.133/2021 (legalidade, impessoalidade, moralidade, publicidade, eficiência, interesse público, probidade, igualdade, planejamento, transparência, eficácia, segregação de funções, motivação, vinculação ao edital, julgamento objetivo, segurança jurídica, razoabilidade, competitividade, proporcionalidade, celeridade, economicidade e desenvolvimento nacional sustentável), </w:t>
      </w:r>
      <w:r w:rsidRPr="00527B1F">
        <w:rPr>
          <w:rFonts w:eastAsia="Times New Roman" w:cstheme="minorHAnsi"/>
          <w:b/>
          <w:bCs/>
          <w:lang w:eastAsia="pt-BR"/>
        </w:rPr>
        <w:t>motiva</w:t>
      </w:r>
      <w:r w:rsidRPr="00527B1F">
        <w:rPr>
          <w:rFonts w:eastAsia="Times New Roman" w:cstheme="minorHAnsi"/>
          <w:lang w:eastAsia="pt-BR"/>
        </w:rPr>
        <w:t xml:space="preserve"> a adoção do </w:t>
      </w:r>
      <w:r w:rsidRPr="00527B1F">
        <w:rPr>
          <w:rFonts w:eastAsia="Times New Roman" w:cstheme="minorHAnsi"/>
          <w:b/>
          <w:bCs/>
          <w:lang w:eastAsia="pt-BR"/>
        </w:rPr>
        <w:t>procedimento de inversão de fases</w:t>
      </w:r>
      <w:r w:rsidRPr="00527B1F">
        <w:rPr>
          <w:rFonts w:eastAsia="Times New Roman" w:cstheme="minorHAnsi"/>
          <w:lang w:eastAsia="pt-BR"/>
        </w:rPr>
        <w:t xml:space="preserve"> nos certames em que tal solução se mostrar mais adequada à maximização do interesse público. A providência encontra amparo direto no </w:t>
      </w:r>
      <w:r w:rsidRPr="00527B1F">
        <w:rPr>
          <w:rFonts w:eastAsia="Times New Roman" w:cstheme="minorHAnsi"/>
          <w:b/>
          <w:bCs/>
          <w:lang w:eastAsia="pt-BR"/>
        </w:rPr>
        <w:t>art. 17, § 1º, da Lei nº 14.133/2021</w:t>
      </w:r>
      <w:r w:rsidRPr="00527B1F">
        <w:rPr>
          <w:rFonts w:eastAsia="Times New Roman" w:cstheme="minorHAnsi"/>
          <w:lang w:eastAsia="pt-BR"/>
        </w:rPr>
        <w:t>.</w:t>
      </w:r>
    </w:p>
    <w:p w14:paraId="12BBDB86"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lastRenderedPageBreak/>
        <w:t xml:space="preserve">A inversão de fases qualifica o resultado do certame e racionaliza o esforço administrativo ao direcionar a análise, desde logo, para proponentes </w:t>
      </w:r>
      <w:r w:rsidRPr="00527B1F">
        <w:rPr>
          <w:rFonts w:eastAsia="Times New Roman" w:cstheme="minorHAnsi"/>
          <w:b/>
          <w:bCs/>
          <w:lang w:eastAsia="pt-BR"/>
        </w:rPr>
        <w:t>efetivamente aptos</w:t>
      </w:r>
      <w:r w:rsidRPr="00527B1F">
        <w:rPr>
          <w:rFonts w:eastAsia="Times New Roman" w:cstheme="minorHAnsi"/>
          <w:lang w:eastAsia="pt-BR"/>
        </w:rPr>
        <w:t xml:space="preserve">, evitando dispêndio de tempo e recursos com propostas de licitantes que seriam inabilitados mais adiante. Tal arranjo procedimental </w:t>
      </w:r>
      <w:r w:rsidRPr="00527B1F">
        <w:rPr>
          <w:rFonts w:eastAsia="Times New Roman" w:cstheme="minorHAnsi"/>
          <w:b/>
          <w:bCs/>
          <w:lang w:eastAsia="pt-BR"/>
        </w:rPr>
        <w:t>reduz retrabalhos e a litigiosidade</w:t>
      </w:r>
      <w:r w:rsidRPr="00527B1F">
        <w:rPr>
          <w:rFonts w:eastAsia="Times New Roman" w:cstheme="minorHAnsi"/>
          <w:lang w:eastAsia="pt-BR"/>
        </w:rPr>
        <w:t xml:space="preserve"> (recursos protelatórios), incrementa </w:t>
      </w:r>
      <w:r w:rsidRPr="00527B1F">
        <w:rPr>
          <w:rFonts w:eastAsia="Times New Roman" w:cstheme="minorHAnsi"/>
          <w:b/>
          <w:bCs/>
          <w:lang w:eastAsia="pt-BR"/>
        </w:rPr>
        <w:t>celeridade e economicidade</w:t>
      </w:r>
      <w:r w:rsidRPr="00527B1F">
        <w:rPr>
          <w:rFonts w:eastAsia="Times New Roman" w:cstheme="minorHAnsi"/>
          <w:lang w:eastAsia="pt-BR"/>
        </w:rPr>
        <w:t xml:space="preserve">, e preserva a </w:t>
      </w:r>
      <w:r w:rsidRPr="00527B1F">
        <w:rPr>
          <w:rFonts w:eastAsia="Times New Roman" w:cstheme="minorHAnsi"/>
          <w:b/>
          <w:bCs/>
          <w:lang w:eastAsia="pt-BR"/>
        </w:rPr>
        <w:t>isonomia e a competitividade</w:t>
      </w:r>
      <w:r w:rsidRPr="00527B1F">
        <w:rPr>
          <w:rFonts w:eastAsia="Times New Roman" w:cstheme="minorHAnsi"/>
          <w:lang w:eastAsia="pt-BR"/>
        </w:rPr>
        <w:t xml:space="preserve">, porquanto não favorece participante específico, antes </w:t>
      </w:r>
      <w:r w:rsidRPr="00527B1F">
        <w:rPr>
          <w:rFonts w:eastAsia="Times New Roman" w:cstheme="minorHAnsi"/>
          <w:b/>
          <w:bCs/>
          <w:lang w:eastAsia="pt-BR"/>
        </w:rPr>
        <w:t>qualifica a disputa</w:t>
      </w:r>
      <w:r w:rsidRPr="00527B1F">
        <w:rPr>
          <w:rFonts w:eastAsia="Times New Roman" w:cstheme="minorHAnsi"/>
          <w:lang w:eastAsia="pt-BR"/>
        </w:rPr>
        <w:t xml:space="preserve"> ao concentrá-la entre agentes que atendem aos requisitos técnicos, jurídicos, fiscais e econômico-financeiros.</w:t>
      </w:r>
    </w:p>
    <w:p w14:paraId="4BE14CBD"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 xml:space="preserve">Não obstante as virtudes da inversão de fases, verifica-se, no presente momento, </w:t>
      </w:r>
      <w:r w:rsidRPr="00527B1F">
        <w:rPr>
          <w:rFonts w:eastAsia="Times New Roman" w:cstheme="minorHAnsi"/>
          <w:b/>
          <w:bCs/>
          <w:lang w:eastAsia="pt-BR"/>
        </w:rPr>
        <w:t>insuficiência funcional do ambiente eletrônico disponível</w:t>
      </w:r>
      <w:r w:rsidRPr="00527B1F">
        <w:rPr>
          <w:rFonts w:eastAsia="Times New Roman" w:cstheme="minorHAnsi"/>
          <w:lang w:eastAsia="pt-BR"/>
        </w:rPr>
        <w:t xml:space="preserve"> para dar suporte </w:t>
      </w:r>
      <w:r w:rsidRPr="00527B1F">
        <w:rPr>
          <w:rFonts w:eastAsia="Times New Roman" w:cstheme="minorHAnsi"/>
          <w:b/>
          <w:bCs/>
          <w:lang w:eastAsia="pt-BR"/>
        </w:rPr>
        <w:t>completamente auditável</w:t>
      </w:r>
      <w:r w:rsidRPr="00527B1F">
        <w:rPr>
          <w:rFonts w:eastAsia="Times New Roman" w:cstheme="minorHAnsi"/>
          <w:lang w:eastAsia="pt-BR"/>
        </w:rPr>
        <w:t xml:space="preserve"> ao rito especial. Em particular, a plataforma eletrônica em uso pelo Município -- </w:t>
      </w:r>
      <w:r w:rsidRPr="00527B1F">
        <w:rPr>
          <w:rFonts w:eastAsia="Times New Roman" w:cstheme="minorHAnsi"/>
          <w:b/>
          <w:bCs/>
          <w:lang w:eastAsia="pt-BR"/>
        </w:rPr>
        <w:t>inclusive o Compras.gov.br, quando adotado</w:t>
      </w:r>
      <w:r w:rsidRPr="00527B1F">
        <w:rPr>
          <w:rFonts w:eastAsia="Times New Roman" w:cstheme="minorHAnsi"/>
          <w:lang w:eastAsia="pt-BR"/>
        </w:rPr>
        <w:t xml:space="preserve"> -- </w:t>
      </w:r>
      <w:r w:rsidRPr="00527B1F">
        <w:rPr>
          <w:rFonts w:eastAsia="Times New Roman" w:cstheme="minorHAnsi"/>
          <w:b/>
          <w:bCs/>
          <w:lang w:eastAsia="pt-BR"/>
        </w:rPr>
        <w:t>não disponibiliza, com a robustez exigida</w:t>
      </w:r>
      <w:r w:rsidRPr="00527B1F">
        <w:rPr>
          <w:rFonts w:eastAsia="Times New Roman" w:cstheme="minorHAnsi"/>
          <w:lang w:eastAsia="pt-BR"/>
        </w:rPr>
        <w:t xml:space="preserve">, funcionalidades essenciais ao fluxo de </w:t>
      </w:r>
      <w:r w:rsidRPr="00527B1F">
        <w:rPr>
          <w:rFonts w:eastAsia="Times New Roman" w:cstheme="minorHAnsi"/>
          <w:b/>
          <w:bCs/>
          <w:lang w:eastAsia="pt-BR"/>
        </w:rPr>
        <w:t>Concorrência</w:t>
      </w:r>
      <w:r w:rsidRPr="00527B1F">
        <w:rPr>
          <w:rFonts w:eastAsia="Times New Roman" w:cstheme="minorHAnsi"/>
          <w:lang w:eastAsia="pt-BR"/>
        </w:rPr>
        <w:t xml:space="preserve"> com inversão de fases, tais como módulo de </w:t>
      </w:r>
      <w:proofErr w:type="spellStart"/>
      <w:r w:rsidRPr="00527B1F">
        <w:rPr>
          <w:rFonts w:eastAsia="Times New Roman" w:cstheme="minorHAnsi"/>
          <w:lang w:eastAsia="pt-BR"/>
        </w:rPr>
        <w:t>pré</w:t>
      </w:r>
      <w:proofErr w:type="spellEnd"/>
      <w:r w:rsidRPr="00527B1F">
        <w:rPr>
          <w:rFonts w:eastAsia="Times New Roman" w:cstheme="minorHAnsi"/>
          <w:lang w:eastAsia="pt-BR"/>
        </w:rPr>
        <w:t>-habilitação com controle de sigilo, abertura seletiva automatizada das propostas apenas dos previamente habilitados, dupla rotina recursal com trilhas de auditoria completas, cadeia de custódia e gestão de versões, integração transparente com o PNCP e relatórios de conformidade imutáveis.</w:t>
      </w:r>
    </w:p>
    <w:p w14:paraId="1D49DD2F"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 xml:space="preserve">A tentativa de suprir tais lacunas por meio de arranjos improvisados no meio digital </w:t>
      </w:r>
      <w:r w:rsidRPr="00527B1F">
        <w:rPr>
          <w:rFonts w:eastAsia="Times New Roman" w:cstheme="minorHAnsi"/>
          <w:b/>
          <w:bCs/>
          <w:lang w:eastAsia="pt-BR"/>
        </w:rPr>
        <w:t>ampliaria o risco de falhas procedimentais</w:t>
      </w:r>
      <w:r w:rsidRPr="00527B1F">
        <w:rPr>
          <w:rFonts w:eastAsia="Times New Roman" w:cstheme="minorHAnsi"/>
          <w:lang w:eastAsia="pt-BR"/>
        </w:rPr>
        <w:t xml:space="preserve">, contrariando os princípios do julgamento objetivo, da transparência e da segurança jurídica. </w:t>
      </w:r>
      <w:r w:rsidRPr="00527B1F">
        <w:rPr>
          <w:rFonts w:eastAsia="Times New Roman" w:cstheme="minorHAnsi"/>
          <w:b/>
          <w:bCs/>
          <w:lang w:eastAsia="pt-BR"/>
        </w:rPr>
        <w:t>Por isso</w:t>
      </w:r>
      <w:r w:rsidRPr="00527B1F">
        <w:rPr>
          <w:rFonts w:eastAsia="Times New Roman" w:cstheme="minorHAnsi"/>
          <w:lang w:eastAsia="pt-BR"/>
        </w:rPr>
        <w:t xml:space="preserve">, e </w:t>
      </w:r>
      <w:r w:rsidRPr="00527B1F">
        <w:rPr>
          <w:rFonts w:eastAsia="Times New Roman" w:cstheme="minorHAnsi"/>
          <w:b/>
          <w:bCs/>
          <w:lang w:eastAsia="pt-BR"/>
        </w:rPr>
        <w:t>tão somente enquanto perdurar o impedimento técnico</w:t>
      </w:r>
      <w:r w:rsidRPr="00527B1F">
        <w:rPr>
          <w:rFonts w:eastAsia="Times New Roman" w:cstheme="minorHAnsi"/>
          <w:lang w:eastAsia="pt-BR"/>
        </w:rPr>
        <w:t xml:space="preserve">, impõe-se, </w:t>
      </w:r>
      <w:r w:rsidRPr="00527B1F">
        <w:rPr>
          <w:rFonts w:eastAsia="Times New Roman" w:cstheme="minorHAnsi"/>
          <w:b/>
          <w:bCs/>
          <w:lang w:eastAsia="pt-BR"/>
        </w:rPr>
        <w:t>em caráter excepcional, proporcional e temporário</w:t>
      </w:r>
      <w:r w:rsidRPr="00527B1F">
        <w:rPr>
          <w:rFonts w:eastAsia="Times New Roman" w:cstheme="minorHAnsi"/>
          <w:lang w:eastAsia="pt-BR"/>
        </w:rPr>
        <w:t xml:space="preserve">, a realização </w:t>
      </w:r>
      <w:r w:rsidRPr="00527B1F">
        <w:rPr>
          <w:rFonts w:eastAsia="Times New Roman" w:cstheme="minorHAnsi"/>
          <w:b/>
          <w:bCs/>
          <w:lang w:eastAsia="pt-BR"/>
        </w:rPr>
        <w:t>presencial</w:t>
      </w:r>
      <w:r w:rsidRPr="00527B1F">
        <w:rPr>
          <w:rFonts w:eastAsia="Times New Roman" w:cstheme="minorHAnsi"/>
          <w:lang w:eastAsia="pt-BR"/>
        </w:rPr>
        <w:t xml:space="preserve"> dos certames que demandem inversão de fases, como meio </w:t>
      </w:r>
      <w:r w:rsidRPr="00527B1F">
        <w:rPr>
          <w:rFonts w:eastAsia="Times New Roman" w:cstheme="minorHAnsi"/>
          <w:b/>
          <w:bCs/>
          <w:lang w:eastAsia="pt-BR"/>
        </w:rPr>
        <w:t>menos gravoso</w:t>
      </w:r>
      <w:r w:rsidRPr="00527B1F">
        <w:rPr>
          <w:rFonts w:eastAsia="Times New Roman" w:cstheme="minorHAnsi"/>
          <w:lang w:eastAsia="pt-BR"/>
        </w:rPr>
        <w:t xml:space="preserve"> e mais aderente aos Decretos Municipais nº 3746 a 3767/2023 e ao art. 17, § 1º, da Lei nº 14.133/2021.</w:t>
      </w:r>
    </w:p>
    <w:p w14:paraId="35B7047B" w14:textId="77777777" w:rsidR="00527B1F" w:rsidRPr="00527B1F" w:rsidRDefault="00527B1F" w:rsidP="00527B1F">
      <w:pPr>
        <w:spacing w:after="0"/>
        <w:jc w:val="both"/>
        <w:outlineLvl w:val="2"/>
        <w:rPr>
          <w:rFonts w:eastAsia="Times New Roman" w:cstheme="minorHAnsi"/>
          <w:b/>
          <w:bCs/>
          <w:lang w:eastAsia="pt-BR"/>
        </w:rPr>
      </w:pPr>
      <w:r w:rsidRPr="00527B1F">
        <w:rPr>
          <w:rFonts w:eastAsia="Times New Roman" w:cstheme="minorHAnsi"/>
          <w:b/>
          <w:bCs/>
          <w:lang w:eastAsia="pt-BR"/>
        </w:rPr>
        <w:t>5.2. Duração do contrato -- Prazo da Execução dos Serviços e Vigência Contratual</w:t>
      </w:r>
    </w:p>
    <w:p w14:paraId="34A318D5" w14:textId="6B783832" w:rsidR="00C570D5" w:rsidRPr="00D04541" w:rsidRDefault="00527B1F" w:rsidP="00C570D5">
      <w:pPr>
        <w:keepNext/>
        <w:spacing w:after="0"/>
        <w:jc w:val="both"/>
      </w:pPr>
      <w:r w:rsidRPr="00D04541">
        <w:rPr>
          <w:rFonts w:eastAsia="Times New Roman" w:cstheme="minorHAnsi"/>
          <w:lang w:eastAsia="pt-BR"/>
        </w:rPr>
        <w:t xml:space="preserve">5.2.1. </w:t>
      </w:r>
      <w:r w:rsidR="00C570D5" w:rsidRPr="00D04541">
        <w:t xml:space="preserve">O prazo de execução do objeto, será de até </w:t>
      </w:r>
      <w:r w:rsidR="00F452CB">
        <w:t>210</w:t>
      </w:r>
      <w:r w:rsidR="00D04541">
        <w:t xml:space="preserve"> </w:t>
      </w:r>
      <w:r w:rsidR="00C570D5" w:rsidRPr="00D04541">
        <w:t>(</w:t>
      </w:r>
      <w:r w:rsidR="00F452CB">
        <w:t>duzentos e dez</w:t>
      </w:r>
      <w:r w:rsidR="00C570D5" w:rsidRPr="00D04541">
        <w:t xml:space="preserve">) dias, contados a partir da data da assinatura, citada no extrato do contrato </w:t>
      </w:r>
      <w:proofErr w:type="spellStart"/>
      <w:r w:rsidR="00C570D5" w:rsidRPr="00D04541">
        <w:t>puclicado</w:t>
      </w:r>
      <w:proofErr w:type="spellEnd"/>
      <w:r w:rsidR="00C570D5" w:rsidRPr="00D04541">
        <w:t xml:space="preserve"> no PNCP ou no Diário Oficial para aqueles municípios </w:t>
      </w:r>
      <w:proofErr w:type="spellStart"/>
      <w:r w:rsidR="00C570D5" w:rsidRPr="00D04541">
        <w:t>co</w:t>
      </w:r>
      <w:proofErr w:type="spellEnd"/>
      <w:r w:rsidR="00C570D5" w:rsidRPr="00D04541">
        <w:t xml:space="preserve"> até 20.000 habitantes que assim oparem, em </w:t>
      </w:r>
      <w:proofErr w:type="spellStart"/>
      <w:r w:rsidR="00C570D5" w:rsidRPr="00D04541">
        <w:t>conformeidade</w:t>
      </w:r>
      <w:proofErr w:type="spellEnd"/>
      <w:r w:rsidR="00C570D5" w:rsidRPr="00D04541">
        <w:t xml:space="preserve"> com o prazo </w:t>
      </w:r>
      <w:proofErr w:type="spellStart"/>
      <w:r w:rsidR="00C570D5" w:rsidRPr="00D04541">
        <w:t>establecido</w:t>
      </w:r>
      <w:proofErr w:type="spellEnd"/>
      <w:r w:rsidR="00C570D5" w:rsidRPr="00D04541">
        <w:t xml:space="preserve"> no parágrafo único do art. 176 da Lei Federal 14.133/21.</w:t>
      </w:r>
    </w:p>
    <w:p w14:paraId="7560280E" w14:textId="77777777" w:rsidR="00C570D5" w:rsidRPr="00C570D5" w:rsidRDefault="00527B1F" w:rsidP="00C570D5">
      <w:pPr>
        <w:keepNext/>
        <w:spacing w:after="0"/>
        <w:jc w:val="both"/>
      </w:pPr>
      <w:r w:rsidRPr="00C570D5">
        <w:rPr>
          <w:rFonts w:eastAsia="Times New Roman" w:cstheme="minorHAnsi"/>
          <w:lang w:eastAsia="pt-BR"/>
        </w:rPr>
        <w:t xml:space="preserve">5.2.2. </w:t>
      </w:r>
      <w:r w:rsidR="00C570D5" w:rsidRPr="00C570D5">
        <w:t>O início da execução do objeto, sem prejuízo do estabelecido no item anterior, deverá ocorrer em, no máximo 21 (vinte e um) dias da data da assinatura, citada no extrato do contrato publicado no PNCP ou no Diário Oficial para aqueles municípios com até 20.000 habitantes que assim optarem, em conformidade com o prazo estabelecido no parágrafo único do art. 176 da Lei Federal 14.133/21.</w:t>
      </w:r>
    </w:p>
    <w:p w14:paraId="18E5FEC3" w14:textId="2D58CC41" w:rsidR="00C570D5" w:rsidRPr="00C570D5" w:rsidRDefault="00527B1F" w:rsidP="00C570D5">
      <w:pPr>
        <w:keepNext/>
        <w:spacing w:after="0"/>
        <w:jc w:val="both"/>
      </w:pPr>
      <w:r w:rsidRPr="00C570D5">
        <w:rPr>
          <w:rFonts w:eastAsia="Times New Roman" w:cstheme="minorHAnsi"/>
          <w:lang w:eastAsia="pt-BR"/>
        </w:rPr>
        <w:t xml:space="preserve">5.2.3. </w:t>
      </w:r>
      <w:r w:rsidR="00C570D5" w:rsidRPr="00C570D5">
        <w:t xml:space="preserve">O prazo de vigência </w:t>
      </w:r>
      <w:proofErr w:type="gramStart"/>
      <w:r w:rsidR="00C570D5" w:rsidRPr="00C570D5">
        <w:t>do  Contrato</w:t>
      </w:r>
      <w:proofErr w:type="gramEnd"/>
      <w:r w:rsidR="00C570D5" w:rsidRPr="00C570D5">
        <w:t xml:space="preserve"> é de </w:t>
      </w:r>
      <w:r w:rsidR="00F452CB">
        <w:t xml:space="preserve">420 </w:t>
      </w:r>
      <w:r w:rsidR="00C570D5" w:rsidRPr="00C570D5">
        <w:t>(</w:t>
      </w:r>
      <w:r w:rsidR="00F452CB">
        <w:t>quatrocentos e vinte</w:t>
      </w:r>
      <w:r w:rsidR="00C570D5" w:rsidRPr="00C570D5">
        <w:t xml:space="preserve">) dias, </w:t>
      </w:r>
      <w:r w:rsidR="00C570D5" w:rsidRPr="00C570D5">
        <w:rPr>
          <w:color w:val="000000"/>
        </w:rPr>
        <w:t xml:space="preserve">contados a partir da </w:t>
      </w:r>
      <w:r w:rsidR="00C570D5" w:rsidRPr="00C570D5">
        <w:rPr>
          <w:b/>
          <w:bCs/>
          <w:color w:val="000000"/>
        </w:rPr>
        <w:t>data da assinatura, citada no extrato</w:t>
      </w:r>
      <w:r w:rsidR="00C570D5" w:rsidRPr="00C570D5">
        <w:rPr>
          <w:color w:val="000000"/>
        </w:rPr>
        <w:t xml:space="preserve"> do contrato </w:t>
      </w:r>
      <w:r w:rsidR="00C570D5" w:rsidRPr="00C570D5">
        <w:t>publicado no PNCP ou no Diário Oficial para aqueles municípios com até 20.000 habitantes que assim optarem, em conformidade com o prazo estabelecido no parágrafo único do art. 176 da Lei Federal 14.133/21.</w:t>
      </w:r>
    </w:p>
    <w:p w14:paraId="57CEC760" w14:textId="77777777" w:rsidR="00527B1F" w:rsidRPr="00527B1F" w:rsidRDefault="00527B1F" w:rsidP="00527B1F">
      <w:pPr>
        <w:spacing w:after="0"/>
        <w:jc w:val="both"/>
        <w:outlineLvl w:val="2"/>
        <w:rPr>
          <w:rFonts w:eastAsia="Times New Roman" w:cstheme="minorHAnsi"/>
          <w:b/>
          <w:bCs/>
          <w:lang w:eastAsia="pt-BR"/>
        </w:rPr>
      </w:pPr>
      <w:r w:rsidRPr="00527B1F">
        <w:rPr>
          <w:rFonts w:eastAsia="Times New Roman" w:cstheme="minorHAnsi"/>
          <w:b/>
          <w:bCs/>
          <w:lang w:eastAsia="pt-BR"/>
        </w:rPr>
        <w:t>5.3. Vistoria dos locais</w:t>
      </w:r>
    </w:p>
    <w:p w14:paraId="32C38EC2"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5.3.1. A avaliação prévia do local de execução dos serviços é imprescindível para o conhecimento pleno das condições e peculiaridades do objeto a ser contratado, sendo assegurado ao interessado o direito de realização de vistoria prévia, acompanhado por servidor designado para esse fim, de segunda à sexta-feira, das 08:00 às 12:00 e das 13:30 às 17:30.</w:t>
      </w:r>
    </w:p>
    <w:p w14:paraId="13487D00"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5.3.2. Serão disponibilizados data e horário diferentes aos interessados em realizar a vistoria prévia.</w:t>
      </w:r>
    </w:p>
    <w:p w14:paraId="5EF01847"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5.3.3. Para a vistoria, o representante legal da empresa ou responsável técnico deverá estar devidamente identificado, apresentando documento de identidade civil e documento expedido pela empresa, comprovando sua habilitação para a realização da vistoria.</w:t>
      </w:r>
    </w:p>
    <w:p w14:paraId="3BE04D3C"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5.3.4. 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26FFD0CA" w14:textId="77777777" w:rsidR="00527B1F" w:rsidRPr="00527B1F" w:rsidRDefault="00527B1F" w:rsidP="00527B1F">
      <w:pPr>
        <w:spacing w:after="0"/>
        <w:jc w:val="both"/>
        <w:outlineLvl w:val="2"/>
        <w:rPr>
          <w:rFonts w:eastAsia="Times New Roman" w:cstheme="minorHAnsi"/>
          <w:b/>
          <w:bCs/>
          <w:lang w:eastAsia="pt-BR"/>
        </w:rPr>
      </w:pPr>
      <w:r w:rsidRPr="00527B1F">
        <w:rPr>
          <w:rFonts w:eastAsia="Times New Roman" w:cstheme="minorHAnsi"/>
          <w:b/>
          <w:bCs/>
          <w:lang w:eastAsia="pt-BR"/>
        </w:rPr>
        <w:t>5.4. Licitação exclusiva ME/MEI/EPP</w:t>
      </w:r>
    </w:p>
    <w:p w14:paraId="3EF98EA1" w14:textId="5D3AFCF9" w:rsidR="00527B1F" w:rsidRDefault="00527B1F" w:rsidP="00527B1F">
      <w:pPr>
        <w:spacing w:after="0"/>
        <w:jc w:val="both"/>
        <w:rPr>
          <w:rFonts w:eastAsia="Times New Roman" w:cstheme="minorHAnsi"/>
          <w:lang w:eastAsia="pt-BR"/>
        </w:rPr>
      </w:pPr>
      <w:r w:rsidRPr="00527B1F">
        <w:rPr>
          <w:rFonts w:eastAsia="Times New Roman" w:cstheme="minorHAnsi"/>
          <w:lang w:eastAsia="pt-BR"/>
        </w:rPr>
        <w:t>5.4.1. Não</w:t>
      </w:r>
      <w:r w:rsidR="00BC3D21">
        <w:rPr>
          <w:rFonts w:eastAsia="Times New Roman" w:cstheme="minorHAnsi"/>
          <w:lang w:eastAsia="pt-BR"/>
        </w:rPr>
        <w:t>.</w:t>
      </w:r>
    </w:p>
    <w:p w14:paraId="06E187A4" w14:textId="6C48AF1A" w:rsidR="00527B1F" w:rsidRPr="00527B1F" w:rsidRDefault="00527B1F" w:rsidP="00527B1F">
      <w:pPr>
        <w:spacing w:after="0"/>
        <w:jc w:val="both"/>
        <w:outlineLvl w:val="1"/>
        <w:rPr>
          <w:rFonts w:eastAsia="Times New Roman" w:cstheme="minorHAnsi"/>
          <w:b/>
          <w:bCs/>
          <w:lang w:eastAsia="pt-BR"/>
        </w:rPr>
      </w:pPr>
      <w:r w:rsidRPr="00527B1F">
        <w:rPr>
          <w:rFonts w:eastAsia="Times New Roman" w:cstheme="minorHAnsi"/>
          <w:b/>
          <w:bCs/>
          <w:lang w:eastAsia="pt-BR"/>
        </w:rPr>
        <w:t>6. DESCRIÇÃO DA SOLUÇÃO COMO UM TODO CONSIDERADO O CICLO DE VIDA DO OBJETO</w:t>
      </w:r>
    </w:p>
    <w:p w14:paraId="151D4731" w14:textId="70929631"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 xml:space="preserve">6.1. A execução de pavimentação </w:t>
      </w:r>
      <w:r w:rsidR="00592867">
        <w:rPr>
          <w:rFonts w:eastAsia="Times New Roman" w:cstheme="minorHAnsi"/>
          <w:lang w:eastAsia="pt-BR"/>
        </w:rPr>
        <w:t>sobre pedras irregulares em</w:t>
      </w:r>
      <w:r w:rsidRPr="00527B1F">
        <w:rPr>
          <w:rFonts w:eastAsia="Times New Roman" w:cstheme="minorHAnsi"/>
          <w:lang w:eastAsia="pt-BR"/>
        </w:rPr>
        <w:t xml:space="preserve"> vias urbanas em concreto betuminoso usinado a quente (CBUQ) com área de </w:t>
      </w:r>
      <w:r w:rsidR="003C0331">
        <w:rPr>
          <w:rFonts w:eastAsia="Times New Roman" w:cstheme="minorHAnsi"/>
          <w:lang w:eastAsia="pt-BR"/>
        </w:rPr>
        <w:t>8.678,12</w:t>
      </w:r>
      <w:r w:rsidRPr="00527B1F">
        <w:rPr>
          <w:rFonts w:eastAsia="Times New Roman" w:cstheme="minorHAnsi"/>
          <w:lang w:eastAsia="pt-BR"/>
        </w:rPr>
        <w:t xml:space="preserve"> m², </w:t>
      </w:r>
      <w:r w:rsidR="00592867">
        <w:rPr>
          <w:rFonts w:eastAsia="Times New Roman" w:cstheme="minorHAnsi"/>
          <w:lang w:eastAsia="pt-BR"/>
        </w:rPr>
        <w:t xml:space="preserve">utilizando serviços de </w:t>
      </w:r>
      <w:proofErr w:type="spellStart"/>
      <w:r w:rsidR="00592867">
        <w:rPr>
          <w:rFonts w:eastAsia="Times New Roman" w:cstheme="minorHAnsi"/>
          <w:lang w:eastAsia="pt-BR"/>
        </w:rPr>
        <w:t>reperfilagem</w:t>
      </w:r>
      <w:proofErr w:type="spellEnd"/>
      <w:r w:rsidR="00592867">
        <w:rPr>
          <w:rFonts w:eastAsia="Times New Roman" w:cstheme="minorHAnsi"/>
          <w:lang w:eastAsia="pt-BR"/>
        </w:rPr>
        <w:t xml:space="preserve"> e capa em CBUQ – Concreto Betuminosos Usinado a Quente,</w:t>
      </w:r>
      <w:r w:rsidRPr="00527B1F">
        <w:rPr>
          <w:rFonts w:eastAsia="Times New Roman" w:cstheme="minorHAnsi"/>
          <w:lang w:eastAsia="pt-BR"/>
        </w:rPr>
        <w:t xml:space="preserve"> sistema de drenagem com meio-fio e sarjeta, urbanização em </w:t>
      </w:r>
      <w:proofErr w:type="spellStart"/>
      <w:r w:rsidRPr="00527B1F">
        <w:rPr>
          <w:rFonts w:eastAsia="Times New Roman" w:cstheme="minorHAnsi"/>
          <w:lang w:eastAsia="pt-BR"/>
        </w:rPr>
        <w:t>paver</w:t>
      </w:r>
      <w:proofErr w:type="spellEnd"/>
      <w:r w:rsidRPr="00527B1F">
        <w:rPr>
          <w:rFonts w:eastAsia="Times New Roman" w:cstheme="minorHAnsi"/>
          <w:lang w:eastAsia="pt-BR"/>
        </w:rPr>
        <w:t xml:space="preserve"> e sinalização viária completa, representa uma solução técnica consolidada e amplamente adotada na engenharia urbana. Essa abordagem garante durabilidade superior a 10 anos, conforto de rolamento, eficiência na execução e adequação às condições de tráfego urbano.</w:t>
      </w:r>
    </w:p>
    <w:p w14:paraId="1F40E783"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6.2. Os serviços para execução da pavimentação deverão obedecer às normas técnicas do DER/PR, DNIT, ABNT e instruções normativas do SINAPI, garantindo padrões de qualidade, segurança e desempenho adequados ao ambiente urbano.</w:t>
      </w:r>
    </w:p>
    <w:p w14:paraId="17FE55B9" w14:textId="77777777" w:rsidR="00527B1F" w:rsidRDefault="00527B1F" w:rsidP="00527B1F">
      <w:pPr>
        <w:spacing w:after="0"/>
        <w:jc w:val="both"/>
        <w:rPr>
          <w:rFonts w:eastAsia="Times New Roman" w:cstheme="minorHAnsi"/>
          <w:lang w:eastAsia="pt-BR"/>
        </w:rPr>
      </w:pPr>
      <w:r w:rsidRPr="00527B1F">
        <w:rPr>
          <w:rFonts w:eastAsia="Times New Roman" w:cstheme="minorHAnsi"/>
          <w:lang w:eastAsia="pt-BR"/>
        </w:rPr>
        <w:t>6.3. A solução integrada em lote único maximiza padronização e controle de qualidade, aproveita economia de escala na aquisição de materiais e logística, e simplifica a coordenação de múltiplas frentes de obra, refletindo-se em cronogramas mais estáveis e menor custo transacional.</w:t>
      </w:r>
    </w:p>
    <w:p w14:paraId="48527285" w14:textId="77777777" w:rsidR="00545566" w:rsidRPr="00527B1F" w:rsidRDefault="00545566" w:rsidP="00527B1F">
      <w:pPr>
        <w:spacing w:after="0"/>
        <w:jc w:val="both"/>
        <w:rPr>
          <w:rFonts w:eastAsia="Times New Roman" w:cstheme="minorHAnsi"/>
          <w:lang w:eastAsia="pt-BR"/>
        </w:rPr>
      </w:pPr>
    </w:p>
    <w:p w14:paraId="132B587A" w14:textId="633E16D4" w:rsidR="00527B1F" w:rsidRPr="00527B1F" w:rsidRDefault="00527B1F" w:rsidP="00527B1F">
      <w:pPr>
        <w:spacing w:after="0"/>
        <w:jc w:val="both"/>
        <w:outlineLvl w:val="1"/>
        <w:rPr>
          <w:rFonts w:eastAsia="Times New Roman" w:cstheme="minorHAnsi"/>
          <w:b/>
          <w:bCs/>
          <w:lang w:eastAsia="pt-BR"/>
        </w:rPr>
      </w:pPr>
      <w:r w:rsidRPr="00527B1F">
        <w:rPr>
          <w:rFonts w:eastAsia="Times New Roman" w:cstheme="minorHAnsi"/>
          <w:b/>
          <w:bCs/>
          <w:lang w:eastAsia="pt-BR"/>
        </w:rPr>
        <w:t>7. REQUISITOS DA CONTRATAÇÃO</w:t>
      </w:r>
    </w:p>
    <w:p w14:paraId="00EDF1A1" w14:textId="77777777" w:rsidR="00527B1F" w:rsidRPr="00527B1F" w:rsidRDefault="00527B1F" w:rsidP="00527B1F">
      <w:pPr>
        <w:spacing w:after="0"/>
        <w:jc w:val="both"/>
        <w:outlineLvl w:val="2"/>
        <w:rPr>
          <w:rFonts w:eastAsia="Times New Roman" w:cstheme="minorHAnsi"/>
          <w:b/>
          <w:bCs/>
          <w:lang w:eastAsia="pt-BR"/>
        </w:rPr>
      </w:pPr>
      <w:r w:rsidRPr="00527B1F">
        <w:rPr>
          <w:rFonts w:eastAsia="Times New Roman" w:cstheme="minorHAnsi"/>
          <w:b/>
          <w:bCs/>
          <w:lang w:eastAsia="pt-BR"/>
        </w:rPr>
        <w:t>7.1. Sustentabilidade</w:t>
      </w:r>
    </w:p>
    <w:p w14:paraId="435B4E88"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7.1.1. A execução dos serviços deve estar aderente com a legislação ambiental e critérios de sustentabilidade, em especial a Lei nº 12.305, de 2010, que trata da Política Nacional de Resíduos Sólidos, e a Resolução CONAMA nº 307/2002 sobre gestão de resíduos da construção civil.</w:t>
      </w:r>
    </w:p>
    <w:p w14:paraId="20E09538"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7.1.2. A empresa contratada deverá utilizar na execução das obras as boas práticas de sustentabilidade ambiental, respeitando-se, dentre outros, os critérios ambientais indicados abaixo:</w:t>
      </w:r>
    </w:p>
    <w:p w14:paraId="62C9542B"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7.1.2.1. Utilização de usina de asfalto com filtros e sistemas de controle de emissões atmosféricas conforme normas ambientais;</w:t>
      </w:r>
    </w:p>
    <w:p w14:paraId="60AED2C1"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7.1.2.2. Implementação de programa de treinamento de seus empregados visando o uso racional de consumo de energia e água, bem como redução de resíduos sólidos;</w:t>
      </w:r>
    </w:p>
    <w:p w14:paraId="2DD82DDA"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7.1.2.3. Sempre que possível, fazer uso de materiais reciclados e agregados de origem sustentável;</w:t>
      </w:r>
    </w:p>
    <w:p w14:paraId="5963C1B6"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7.1.2.4. Classificação e destinação adequada dos resíduos recicláveis produzidos durante a execução dos serviços, incluindo sobras de material asfáltico e resíduos de fresagem;</w:t>
      </w:r>
    </w:p>
    <w:p w14:paraId="630B41D3"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7.1.2.5. Utilização de fornecedores locais para redução das emissões de transporte, priorizando materiais pétreos num raio de 50 km;</w:t>
      </w:r>
    </w:p>
    <w:p w14:paraId="41E92C45"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7.1.2.6. Adoção e promoção de medidas de proteção para a redução ou neutralização dos riscos ocupacionais aos seus empregados, além de fornecimento de equipamentos de proteção individuais -- EPIs necessários, tais como óculos, luvas, aventais, máscaras, calçados apropriados, protetores auriculares, etc.</w:t>
      </w:r>
    </w:p>
    <w:p w14:paraId="29542D22" w14:textId="77777777" w:rsidR="00527B1F" w:rsidRPr="00527B1F" w:rsidRDefault="00527B1F" w:rsidP="00527B1F">
      <w:pPr>
        <w:spacing w:after="0"/>
        <w:jc w:val="both"/>
        <w:outlineLvl w:val="2"/>
        <w:rPr>
          <w:rFonts w:eastAsia="Times New Roman" w:cstheme="minorHAnsi"/>
          <w:b/>
          <w:bCs/>
          <w:lang w:eastAsia="pt-BR"/>
        </w:rPr>
      </w:pPr>
      <w:r w:rsidRPr="00527B1F">
        <w:rPr>
          <w:rFonts w:eastAsia="Times New Roman" w:cstheme="minorHAnsi"/>
          <w:b/>
          <w:bCs/>
          <w:lang w:eastAsia="pt-BR"/>
        </w:rPr>
        <w:t>7.2. Subcontratação</w:t>
      </w:r>
    </w:p>
    <w:p w14:paraId="1D543191"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7.2.1. É vedada a subcontratação de pessoa física ou jurídica para o objeto desta contratação.</w:t>
      </w:r>
    </w:p>
    <w:p w14:paraId="41FE54B4" w14:textId="77777777" w:rsidR="00527B1F" w:rsidRPr="00527B1F" w:rsidRDefault="00527B1F" w:rsidP="00527B1F">
      <w:pPr>
        <w:spacing w:after="0"/>
        <w:jc w:val="both"/>
        <w:outlineLvl w:val="2"/>
        <w:rPr>
          <w:rFonts w:eastAsia="Times New Roman" w:cstheme="minorHAnsi"/>
          <w:b/>
          <w:bCs/>
          <w:lang w:eastAsia="pt-BR"/>
        </w:rPr>
      </w:pPr>
      <w:r w:rsidRPr="00527B1F">
        <w:rPr>
          <w:rFonts w:eastAsia="Times New Roman" w:cstheme="minorHAnsi"/>
          <w:b/>
          <w:bCs/>
          <w:lang w:eastAsia="pt-BR"/>
        </w:rPr>
        <w:t>7.3. Alteração subjetiva</w:t>
      </w:r>
    </w:p>
    <w:p w14:paraId="55044CBD"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7.3.1. É admissível a continuidade do contrato administrativo quando houver fusão, cisão ou incorporação do CONTRATADO com outra pessoa jurídica, desde que:</w:t>
      </w:r>
    </w:p>
    <w:p w14:paraId="2100D637"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7.3.1.1. Sejam observados pela nova pessoa jurídica todos os requisitos de habilitação exigidos na licitação original;</w:t>
      </w:r>
    </w:p>
    <w:p w14:paraId="3826B082"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7.3.1.2. Sejam mantidas as demais cláusulas e condições do contrato; e</w:t>
      </w:r>
    </w:p>
    <w:p w14:paraId="3F4E2B5E"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7.3.1.3. Não haja prejuízo à execução do objeto pactuado e haja anuência expressa da Administração à continuidade do contrato.</w:t>
      </w:r>
    </w:p>
    <w:p w14:paraId="34E27B35"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7.3.2. A alteração subjetiva a que se refere o item anterior deverá ser formalizada através de termo aditivo ao contrato.</w:t>
      </w:r>
    </w:p>
    <w:p w14:paraId="6F9D73B9" w14:textId="77777777" w:rsidR="00527B1F" w:rsidRPr="00527B1F" w:rsidRDefault="00527B1F" w:rsidP="00527B1F">
      <w:pPr>
        <w:spacing w:after="0"/>
        <w:jc w:val="both"/>
        <w:outlineLvl w:val="2"/>
        <w:rPr>
          <w:rFonts w:eastAsia="Times New Roman" w:cstheme="minorHAnsi"/>
          <w:b/>
          <w:bCs/>
          <w:lang w:eastAsia="pt-BR"/>
        </w:rPr>
      </w:pPr>
      <w:r w:rsidRPr="00527B1F">
        <w:rPr>
          <w:rFonts w:eastAsia="Times New Roman" w:cstheme="minorHAnsi"/>
          <w:b/>
          <w:bCs/>
          <w:lang w:eastAsia="pt-BR"/>
        </w:rPr>
        <w:t>7.4. Garantia da contratação</w:t>
      </w:r>
    </w:p>
    <w:p w14:paraId="066D6763"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7.4.1. Haverá exigência de garantia contratual da execução, nos seguintes termos:</w:t>
      </w:r>
    </w:p>
    <w:p w14:paraId="2E23F916"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 xml:space="preserve">7.4.1.1. O adjudicatário, no prazo de 03 (três) dias úteis após a assinatura do Contrato prestará </w:t>
      </w:r>
      <w:r w:rsidRPr="00527B1F">
        <w:rPr>
          <w:rFonts w:eastAsia="Times New Roman" w:cstheme="minorHAnsi"/>
          <w:b/>
          <w:bCs/>
          <w:lang w:eastAsia="pt-BR"/>
        </w:rPr>
        <w:t>garantia no valor correspondente a 5% (cinco por cento) do valor do Contrato</w:t>
      </w:r>
      <w:r w:rsidRPr="00527B1F">
        <w:rPr>
          <w:rFonts w:eastAsia="Times New Roman" w:cstheme="minorHAnsi"/>
          <w:lang w:eastAsia="pt-BR"/>
        </w:rPr>
        <w:t>, que será liberada de acordo com as condições previstas no Edital, conforme disposto no art. 96 da Lei Federal n.º 14.133, de 2021, desde que cumpridas as obrigações contratuais.</w:t>
      </w:r>
    </w:p>
    <w:p w14:paraId="35179CB5"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7.4.1.2. Caberá ao Contratado optar por uma das modalidades de garantia previstas na lei 14.133 de 2021.</w:t>
      </w:r>
    </w:p>
    <w:p w14:paraId="65E38BD1"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7.4.2. No caso de alteração do valor do contrato, ou prorrogação de sua vigência, a garantia deverá ser readequada ou renovada nas mesmas condições.</w:t>
      </w:r>
    </w:p>
    <w:p w14:paraId="6577B660"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7.4.3. Se o valor da garantia for utilizado total ou parcialmente em pagamento de qualquer obrigação, o Contratado obriga-se a fazer a respectiva reposição no prazo máximo de 07 (sete) dias úteis, contados da data em que for notificado.</w:t>
      </w:r>
    </w:p>
    <w:p w14:paraId="3C9C7ED4"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7.4.4. A garantia prestada pelo Contratado será liberada ou restituída após a fiel execução do contrato ou após a sua extinção por culpa exclusiva da Administração e, quando em dinheiro, atualizada monetariamente, nos termos do art. 100 da Lei Federal n.º 14.133, de 2021.</w:t>
      </w:r>
    </w:p>
    <w:p w14:paraId="5ABA71D1"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7.4.5. No caso de seguro-garantia, o adjudicatário terá até 1 (um) mês, contado da data de homologação da licitação, para a prestação da garantia.</w:t>
      </w:r>
    </w:p>
    <w:p w14:paraId="3DAD40DC" w14:textId="77777777" w:rsidR="00527B1F" w:rsidRPr="00527B1F" w:rsidRDefault="00527B1F" w:rsidP="00527B1F">
      <w:pPr>
        <w:spacing w:after="0"/>
        <w:jc w:val="both"/>
        <w:outlineLvl w:val="2"/>
        <w:rPr>
          <w:rFonts w:eastAsia="Times New Roman" w:cstheme="minorHAnsi"/>
          <w:b/>
          <w:bCs/>
          <w:lang w:eastAsia="pt-BR"/>
        </w:rPr>
      </w:pPr>
      <w:r w:rsidRPr="00527B1F">
        <w:rPr>
          <w:rFonts w:eastAsia="Times New Roman" w:cstheme="minorHAnsi"/>
          <w:b/>
          <w:bCs/>
          <w:lang w:eastAsia="pt-BR"/>
        </w:rPr>
        <w:t>7.5. Proteção de Dados (LGPD)</w:t>
      </w:r>
    </w:p>
    <w:p w14:paraId="3A9DFAE9"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7.5.1. A contratada deverá observar rigorosamente a Lei nº 13.709/2018 (Lei Geral de Proteção de Dados - LGPD) no tratamento de dados pessoais relacionados à execução dos serviços.</w:t>
      </w:r>
    </w:p>
    <w:p w14:paraId="59AF7EF4"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7.5.2. Uso de meios digitais para comunicações formais com interface adequada e recursos de proteção de dados, observando funcionalidades de segurança.</w:t>
      </w:r>
    </w:p>
    <w:p w14:paraId="4087BD8E" w14:textId="77777777" w:rsidR="00545566" w:rsidRDefault="009D2001" w:rsidP="00527B1F">
      <w:pPr>
        <w:spacing w:after="0"/>
        <w:jc w:val="both"/>
        <w:outlineLvl w:val="1"/>
        <w:rPr>
          <w:rFonts w:cstheme="minorHAnsi"/>
        </w:rPr>
      </w:pPr>
      <w:r>
        <w:rPr>
          <w:rFonts w:cstheme="minorHAnsi"/>
        </w:rPr>
        <w:pict w14:anchorId="60899C38">
          <v:rect id="_x0000_i1025" style="width:0;height:1.5pt" o:hralign="center" o:hrstd="t" o:hr="t" fillcolor="#a0a0a0" stroked="f"/>
        </w:pict>
      </w:r>
    </w:p>
    <w:p w14:paraId="3CA64D54" w14:textId="35881483" w:rsidR="00527B1F" w:rsidRPr="00527B1F" w:rsidRDefault="00527B1F" w:rsidP="00527B1F">
      <w:pPr>
        <w:spacing w:after="0"/>
        <w:jc w:val="both"/>
        <w:outlineLvl w:val="1"/>
        <w:rPr>
          <w:rFonts w:eastAsia="Times New Roman" w:cstheme="minorHAnsi"/>
          <w:b/>
          <w:bCs/>
          <w:lang w:eastAsia="pt-BR"/>
        </w:rPr>
      </w:pPr>
      <w:r w:rsidRPr="00527B1F">
        <w:rPr>
          <w:rFonts w:eastAsia="Times New Roman" w:cstheme="minorHAnsi"/>
          <w:b/>
          <w:bCs/>
          <w:lang w:eastAsia="pt-BR"/>
        </w:rPr>
        <w:t>8. MODELO DE EXECUÇÃO DO OBJETO</w:t>
      </w:r>
    </w:p>
    <w:p w14:paraId="52F15E90" w14:textId="77777777" w:rsidR="00527B1F" w:rsidRPr="00527B1F" w:rsidRDefault="00527B1F" w:rsidP="00527B1F">
      <w:pPr>
        <w:spacing w:after="0"/>
        <w:jc w:val="both"/>
        <w:outlineLvl w:val="2"/>
        <w:rPr>
          <w:rFonts w:eastAsia="Times New Roman" w:cstheme="minorHAnsi"/>
          <w:b/>
          <w:bCs/>
          <w:lang w:eastAsia="pt-BR"/>
        </w:rPr>
      </w:pPr>
      <w:r w:rsidRPr="00527B1F">
        <w:rPr>
          <w:rFonts w:eastAsia="Times New Roman" w:cstheme="minorHAnsi"/>
          <w:b/>
          <w:bCs/>
          <w:lang w:eastAsia="pt-BR"/>
        </w:rPr>
        <w:t>8.1. Condições e prazo de execução</w:t>
      </w:r>
    </w:p>
    <w:p w14:paraId="2C193D3D" w14:textId="67D28F7A" w:rsidR="002E11C0" w:rsidRPr="002E11C0" w:rsidRDefault="00527B1F" w:rsidP="00D04541">
      <w:pPr>
        <w:keepNext/>
        <w:spacing w:after="0"/>
        <w:jc w:val="both"/>
      </w:pPr>
      <w:r w:rsidRPr="00527B1F">
        <w:rPr>
          <w:rFonts w:eastAsia="Times New Roman" w:cstheme="minorHAnsi"/>
          <w:lang w:eastAsia="pt-BR"/>
        </w:rPr>
        <w:t>8.1.1</w:t>
      </w:r>
      <w:r w:rsidRPr="002E11C0">
        <w:rPr>
          <w:rFonts w:eastAsia="Times New Roman" w:cstheme="minorHAnsi"/>
          <w:lang w:eastAsia="pt-BR"/>
        </w:rPr>
        <w:t xml:space="preserve">. </w:t>
      </w:r>
      <w:r w:rsidR="002E11C0" w:rsidRPr="002E11C0">
        <w:t>O início da execução do objeto, deverá ocorrer em, no máximo 21 (vinte e um) dias da data da assinatura, citada no extrato do contrato publicado no PNCP ou no Diário Oficial para aqueles municípios com até 20.000 habitantes que assim optarem, em conformidade com o prazo estabelecido no parágrafo único do art. 176 da Lei Federal 14.133/21.</w:t>
      </w:r>
    </w:p>
    <w:p w14:paraId="11612913" w14:textId="3D870142" w:rsidR="002E11C0" w:rsidRPr="002E11C0" w:rsidRDefault="00527B1F" w:rsidP="00D04541">
      <w:pPr>
        <w:keepNext/>
        <w:spacing w:after="0"/>
        <w:jc w:val="both"/>
      </w:pPr>
      <w:r w:rsidRPr="00527B1F">
        <w:rPr>
          <w:rFonts w:eastAsia="Times New Roman" w:cstheme="minorHAnsi"/>
          <w:lang w:eastAsia="pt-BR"/>
        </w:rPr>
        <w:t>8.1.2</w:t>
      </w:r>
      <w:r w:rsidRPr="002E11C0">
        <w:rPr>
          <w:rFonts w:eastAsia="Times New Roman" w:cstheme="minorHAnsi"/>
          <w:lang w:eastAsia="pt-BR"/>
        </w:rPr>
        <w:t xml:space="preserve">. </w:t>
      </w:r>
      <w:r w:rsidR="002E11C0">
        <w:rPr>
          <w:rFonts w:eastAsia="Times New Roman" w:cstheme="minorHAnsi"/>
          <w:lang w:eastAsia="pt-BR"/>
        </w:rPr>
        <w:t xml:space="preserve">O prazo de execução do objeto será de </w:t>
      </w:r>
      <w:r w:rsidR="002E11C0" w:rsidRPr="002E11C0">
        <w:t xml:space="preserve">até </w:t>
      </w:r>
      <w:r w:rsidR="003C0331">
        <w:t>210</w:t>
      </w:r>
      <w:r w:rsidR="002E11C0" w:rsidRPr="002E11C0">
        <w:t xml:space="preserve"> (</w:t>
      </w:r>
      <w:r w:rsidR="003C0331">
        <w:t xml:space="preserve">duzentos e </w:t>
      </w:r>
      <w:proofErr w:type="gramStart"/>
      <w:r w:rsidR="003C0331">
        <w:t>dez</w:t>
      </w:r>
      <w:r w:rsidR="002E11C0" w:rsidRPr="002E11C0">
        <w:t>)  dias</w:t>
      </w:r>
      <w:proofErr w:type="gramEnd"/>
      <w:r w:rsidR="002E11C0" w:rsidRPr="002E11C0">
        <w:t xml:space="preserve"> contados a partir da data da assinatura, citada no extrato do contrato publicado no PNCP ou no Diário Oficial para aqueles municípios com até 20.000 habitantes que assim optarem, em conformidade com o prazo estabelecido no parágrafo único do art. 176 da Lei Federal 14.133/21.</w:t>
      </w:r>
    </w:p>
    <w:p w14:paraId="4E47452E" w14:textId="3A2A18A4" w:rsidR="00527B1F" w:rsidRPr="00527B1F" w:rsidRDefault="00527B1F" w:rsidP="00D04541">
      <w:pPr>
        <w:keepNext/>
        <w:spacing w:after="0"/>
        <w:jc w:val="both"/>
        <w:rPr>
          <w:rFonts w:eastAsia="Times New Roman" w:cstheme="minorHAnsi"/>
          <w:lang w:eastAsia="pt-BR"/>
        </w:rPr>
      </w:pPr>
      <w:r w:rsidRPr="00527B1F">
        <w:rPr>
          <w:rFonts w:eastAsia="Times New Roman" w:cstheme="minorHAnsi"/>
          <w:lang w:eastAsia="pt-BR"/>
        </w:rPr>
        <w:t xml:space="preserve">8.1.3. Se a contratada deixar de assinar o aceite da Ordem de Serviço após </w:t>
      </w:r>
      <w:r w:rsidR="002E11C0">
        <w:rPr>
          <w:rFonts w:eastAsia="Times New Roman" w:cstheme="minorHAnsi"/>
          <w:lang w:eastAsia="pt-BR"/>
        </w:rPr>
        <w:t>21</w:t>
      </w:r>
      <w:r w:rsidRPr="00527B1F">
        <w:rPr>
          <w:rFonts w:eastAsia="Times New Roman" w:cstheme="minorHAnsi"/>
          <w:lang w:eastAsia="pt-BR"/>
        </w:rPr>
        <w:t xml:space="preserve"> (</w:t>
      </w:r>
      <w:r w:rsidR="002E11C0">
        <w:rPr>
          <w:rFonts w:eastAsia="Times New Roman" w:cstheme="minorHAnsi"/>
          <w:lang w:eastAsia="pt-BR"/>
        </w:rPr>
        <w:t>vinte e um)</w:t>
      </w:r>
      <w:r w:rsidRPr="00527B1F">
        <w:rPr>
          <w:rFonts w:eastAsia="Times New Roman" w:cstheme="minorHAnsi"/>
          <w:lang w:eastAsia="pt-BR"/>
        </w:rPr>
        <w:t xml:space="preserve"> dias corridos contados da data da assinatura da mesma pelo representante do município, dar-se-á início a contagem do prazo de execução.</w:t>
      </w:r>
    </w:p>
    <w:p w14:paraId="1F35C9DC" w14:textId="77777777" w:rsidR="00527B1F" w:rsidRPr="00527B1F" w:rsidRDefault="00527B1F" w:rsidP="00D04541">
      <w:pPr>
        <w:spacing w:after="0"/>
        <w:jc w:val="both"/>
        <w:outlineLvl w:val="2"/>
        <w:rPr>
          <w:rFonts w:eastAsia="Times New Roman" w:cstheme="minorHAnsi"/>
          <w:b/>
          <w:bCs/>
          <w:lang w:eastAsia="pt-BR"/>
        </w:rPr>
      </w:pPr>
      <w:r w:rsidRPr="00527B1F">
        <w:rPr>
          <w:rFonts w:eastAsia="Times New Roman" w:cstheme="minorHAnsi"/>
          <w:b/>
          <w:bCs/>
          <w:lang w:eastAsia="pt-BR"/>
        </w:rPr>
        <w:t>8.2. Especificações dos serviços e o local de execução dos serviços</w:t>
      </w:r>
    </w:p>
    <w:p w14:paraId="6D8DAFB9"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8.2.1. O objeto deverá ser executado de acordo com os projetos (desenhos técnicos, memoriais descritivos e especificações), observando os critérios de qualidade técnica que atendam as determinações das normas técnicas do DER/PR, DNIT, ABNT e SINAPI-PR.</w:t>
      </w:r>
    </w:p>
    <w:p w14:paraId="6F9B2BE3"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8.2.2. Deverão ser utilizados os equipamentos de proteção individual e coletiva apropriados para o tipo de serviço a ser executado, conforme normas de segurança do trabalho.</w:t>
      </w:r>
    </w:p>
    <w:p w14:paraId="2EEFA205" w14:textId="60E5F62D" w:rsidR="00527B1F" w:rsidRDefault="00527B1F" w:rsidP="00527B1F">
      <w:pPr>
        <w:spacing w:after="0"/>
        <w:jc w:val="both"/>
        <w:rPr>
          <w:rFonts w:eastAsia="Times New Roman" w:cstheme="minorHAnsi"/>
          <w:lang w:eastAsia="pt-BR"/>
        </w:rPr>
      </w:pPr>
      <w:r w:rsidRPr="00527B1F">
        <w:rPr>
          <w:rFonts w:eastAsia="Times New Roman" w:cstheme="minorHAnsi"/>
          <w:lang w:eastAsia="pt-BR"/>
        </w:rPr>
        <w:t>8.2.3. O local de execução dos serviços</w:t>
      </w:r>
      <w:r w:rsidR="00BB539D">
        <w:rPr>
          <w:rFonts w:eastAsia="Times New Roman" w:cstheme="minorHAnsi"/>
          <w:lang w:eastAsia="pt-BR"/>
        </w:rPr>
        <w:t>:</w:t>
      </w:r>
    </w:p>
    <w:p w14:paraId="5C522772" w14:textId="1E0D4257" w:rsidR="00592867" w:rsidRDefault="003C0331" w:rsidP="00527B1F">
      <w:pPr>
        <w:spacing w:after="0"/>
        <w:jc w:val="both"/>
        <w:rPr>
          <w:rFonts w:eastAsia="Times New Roman" w:cstheme="minorHAnsi"/>
          <w:lang w:eastAsia="pt-BR"/>
        </w:rPr>
      </w:pPr>
      <w:r>
        <w:rPr>
          <w:rFonts w:eastAsia="Times New Roman" w:cstheme="minorHAnsi"/>
          <w:b/>
          <w:bCs/>
          <w:noProof/>
          <w:lang w:eastAsia="pt-BR"/>
        </w:rPr>
        <w:drawing>
          <wp:inline distT="0" distB="0" distL="0" distR="0" wp14:anchorId="7DB6B7E7" wp14:editId="77F7AAA1">
            <wp:extent cx="5400040" cy="1986915"/>
            <wp:effectExtent l="0" t="0" r="0" b="0"/>
            <wp:docPr id="1787124535"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124535" name="Imagem 1787124535"/>
                    <pic:cNvPicPr/>
                  </pic:nvPicPr>
                  <pic:blipFill>
                    <a:blip r:embed="rId8">
                      <a:extLst>
                        <a:ext uri="{28A0092B-C50C-407E-A947-70E740481C1C}">
                          <a14:useLocalDpi xmlns:a14="http://schemas.microsoft.com/office/drawing/2010/main" val="0"/>
                        </a:ext>
                      </a:extLst>
                    </a:blip>
                    <a:stretch>
                      <a:fillRect/>
                    </a:stretch>
                  </pic:blipFill>
                  <pic:spPr>
                    <a:xfrm>
                      <a:off x="0" y="0"/>
                      <a:ext cx="5400040" cy="1986915"/>
                    </a:xfrm>
                    <a:prstGeom prst="rect">
                      <a:avLst/>
                    </a:prstGeom>
                  </pic:spPr>
                </pic:pic>
              </a:graphicData>
            </a:graphic>
          </wp:inline>
        </w:drawing>
      </w:r>
    </w:p>
    <w:p w14:paraId="3A276BB7" w14:textId="77777777" w:rsidR="00527B1F" w:rsidRPr="00527B1F" w:rsidRDefault="00527B1F" w:rsidP="00527B1F">
      <w:pPr>
        <w:spacing w:after="0"/>
        <w:jc w:val="both"/>
        <w:outlineLvl w:val="2"/>
        <w:rPr>
          <w:rFonts w:eastAsia="Times New Roman" w:cstheme="minorHAnsi"/>
          <w:b/>
          <w:bCs/>
          <w:lang w:eastAsia="pt-BR"/>
        </w:rPr>
      </w:pPr>
      <w:r w:rsidRPr="00527B1F">
        <w:rPr>
          <w:rFonts w:eastAsia="Times New Roman" w:cstheme="minorHAnsi"/>
          <w:b/>
          <w:bCs/>
          <w:lang w:eastAsia="pt-BR"/>
        </w:rPr>
        <w:t>8.3. Materiais a serem disponibilizados</w:t>
      </w:r>
    </w:p>
    <w:p w14:paraId="155C136A"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8.3.1. Para a perfeita execução dos serviços, a Contratada deverá disponibilizar os materiais, equipamentos, ferramentas e utensílios necessários, nas quantidades estimadas e qualidades estabelecidas no Memorial Técnico Descritivo, promovendo sua substituição quando necessário.</w:t>
      </w:r>
    </w:p>
    <w:p w14:paraId="08618B60"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8.3.2. Todos os materiais deverão ser novos, de primeira qualidade, com manuais e certificados quando aplicável, em conformidade com as normas DER/PR, DNIT e ABNT aplicáveis, incluindo CAP 50/70 com certificação ANP, emulsões asfálticas, agregados pétreos com certificação de qualidade e ensaios laboratoriais.</w:t>
      </w:r>
    </w:p>
    <w:p w14:paraId="212C8864" w14:textId="77777777" w:rsidR="00527B1F" w:rsidRPr="00527B1F" w:rsidRDefault="00527B1F" w:rsidP="00527B1F">
      <w:pPr>
        <w:spacing w:after="0"/>
        <w:jc w:val="both"/>
        <w:outlineLvl w:val="2"/>
        <w:rPr>
          <w:rFonts w:eastAsia="Times New Roman" w:cstheme="minorHAnsi"/>
          <w:b/>
          <w:bCs/>
          <w:lang w:eastAsia="pt-BR"/>
        </w:rPr>
      </w:pPr>
      <w:r w:rsidRPr="00527B1F">
        <w:rPr>
          <w:rFonts w:eastAsia="Times New Roman" w:cstheme="minorHAnsi"/>
          <w:b/>
          <w:bCs/>
          <w:lang w:eastAsia="pt-BR"/>
        </w:rPr>
        <w:t>8.4. Especificação da garantia do serviço</w:t>
      </w:r>
    </w:p>
    <w:p w14:paraId="447925BE"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8.4.1. O prazo de garantia contratual dos serviços é de 5 (cinco) anos para a pavimentação asfáltica, conforme estabelecido no art. 618 do Código Civil e na Lei nº 8.078, de 11 de setembro de 1990 (Código de Defesa do Consumidor), observados os prazos específicos para sistemas de drenagem e sinalização viária.</w:t>
      </w:r>
    </w:p>
    <w:p w14:paraId="76A9B373" w14:textId="77777777" w:rsidR="00527B1F" w:rsidRPr="00527B1F" w:rsidRDefault="00527B1F" w:rsidP="00527B1F">
      <w:pPr>
        <w:spacing w:after="0"/>
        <w:jc w:val="both"/>
        <w:outlineLvl w:val="2"/>
        <w:rPr>
          <w:rFonts w:eastAsia="Times New Roman" w:cstheme="minorHAnsi"/>
          <w:b/>
          <w:bCs/>
          <w:lang w:eastAsia="pt-BR"/>
        </w:rPr>
      </w:pPr>
      <w:r w:rsidRPr="00527B1F">
        <w:rPr>
          <w:rFonts w:eastAsia="Times New Roman" w:cstheme="minorHAnsi"/>
          <w:b/>
          <w:bCs/>
          <w:lang w:eastAsia="pt-BR"/>
        </w:rPr>
        <w:t>8.5. Procedimentos de transição e finalização do contrato</w:t>
      </w:r>
    </w:p>
    <w:p w14:paraId="67564347" w14:textId="77777777" w:rsidR="00527B1F" w:rsidRDefault="00527B1F" w:rsidP="00527B1F">
      <w:pPr>
        <w:spacing w:after="0"/>
        <w:jc w:val="both"/>
        <w:rPr>
          <w:rFonts w:eastAsia="Times New Roman" w:cstheme="minorHAnsi"/>
          <w:lang w:eastAsia="pt-BR"/>
        </w:rPr>
      </w:pPr>
      <w:r w:rsidRPr="00527B1F">
        <w:rPr>
          <w:rFonts w:eastAsia="Times New Roman" w:cstheme="minorHAnsi"/>
          <w:lang w:eastAsia="pt-BR"/>
        </w:rPr>
        <w:t>8.5.1. Procedimentos de transição do contrato serão realizados mediante Termo de Recebimento Provisório emitido pelo Fiscal referente à última medição e a finalização do contrato se dará mediante Termo de Recebimento da Obra emitido pelo Fiscal 30 dias após a emissão do Termo de Recebimento Provisório.</w:t>
      </w:r>
    </w:p>
    <w:p w14:paraId="735FE869" w14:textId="2C8814B5" w:rsidR="00527B1F" w:rsidRPr="00527B1F" w:rsidRDefault="00527B1F" w:rsidP="00527B1F">
      <w:pPr>
        <w:spacing w:after="0"/>
        <w:jc w:val="both"/>
        <w:outlineLvl w:val="1"/>
        <w:rPr>
          <w:rFonts w:eastAsia="Times New Roman" w:cstheme="minorHAnsi"/>
          <w:b/>
          <w:bCs/>
          <w:lang w:eastAsia="pt-BR"/>
        </w:rPr>
      </w:pPr>
      <w:r w:rsidRPr="00527B1F">
        <w:rPr>
          <w:rFonts w:eastAsia="Times New Roman" w:cstheme="minorHAnsi"/>
          <w:b/>
          <w:bCs/>
          <w:lang w:eastAsia="pt-BR"/>
        </w:rPr>
        <w:t>9. MODELO DE GESTÃO E FISCALIZAÇÃO DO CONTRATO</w:t>
      </w:r>
    </w:p>
    <w:p w14:paraId="4163FA62"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9.1. O contrato deverá ser executado fielmente pelas partes, de acordo com as cláusulas avençadas e as normas da Lei nº 14.133, de 2021, e cada parte responderá pelas consequências de sua inexecução total ou parcial.</w:t>
      </w:r>
    </w:p>
    <w:p w14:paraId="33894D5B"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9.2. Em caso de impedimento, ordem de paralisação ou suspensão do contrato, o cronograma de execução será prorrogado automaticamente pelo tempo correspondente, anotadas tais circunstâncias mediante simples apostila.</w:t>
      </w:r>
    </w:p>
    <w:p w14:paraId="35696809"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9.3. As comunicações entre o órgão ou entidade e a contratada devem ser realizadas por escrito sempre que o ato exigir tal formalidade, admitindo-se o uso de mensagem eletrônica para esse fim.</w:t>
      </w:r>
    </w:p>
    <w:p w14:paraId="27C90227"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9.4. O órgão ou entidade poderá convocar representante da empresa para adoção de providências que devam ser cumpridas de imediato.</w:t>
      </w:r>
    </w:p>
    <w:p w14:paraId="656466AF"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9.5.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7C44394" w14:textId="77777777" w:rsidR="00527B1F" w:rsidRPr="00527B1F" w:rsidRDefault="00527B1F" w:rsidP="00527B1F">
      <w:pPr>
        <w:spacing w:after="0"/>
        <w:jc w:val="both"/>
        <w:outlineLvl w:val="2"/>
        <w:rPr>
          <w:rFonts w:eastAsia="Times New Roman" w:cstheme="minorHAnsi"/>
          <w:b/>
          <w:bCs/>
          <w:lang w:eastAsia="pt-BR"/>
        </w:rPr>
      </w:pPr>
      <w:r w:rsidRPr="00527B1F">
        <w:rPr>
          <w:rFonts w:eastAsia="Times New Roman" w:cstheme="minorHAnsi"/>
          <w:b/>
          <w:bCs/>
          <w:lang w:eastAsia="pt-BR"/>
        </w:rPr>
        <w:t>9.6. Preposto</w:t>
      </w:r>
    </w:p>
    <w:p w14:paraId="1F617636"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9.6.1. A Contratada designará formalmente o preposto da empresa, antes do início da prestação dos serviços, indicando no instrumento os poderes e deveres em relação à execução do objeto contratado.</w:t>
      </w:r>
    </w:p>
    <w:p w14:paraId="7900A93D"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9.6.2. A Contratada deverá manter preposto da empresa no local da execução do objeto durante o período.</w:t>
      </w:r>
    </w:p>
    <w:p w14:paraId="29698F22"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9.6.3. A Contratante poderá recusar, desde que justificadamente, a indicação ou a manutenção do preposto da empresa, hipótese em que a Contratada designará outro para o exercício da atividade.</w:t>
      </w:r>
    </w:p>
    <w:p w14:paraId="51A4DC80" w14:textId="77777777" w:rsidR="00527B1F" w:rsidRPr="00527B1F" w:rsidRDefault="00527B1F" w:rsidP="00527B1F">
      <w:pPr>
        <w:spacing w:after="0"/>
        <w:jc w:val="both"/>
        <w:outlineLvl w:val="2"/>
        <w:rPr>
          <w:rFonts w:eastAsia="Times New Roman" w:cstheme="minorHAnsi"/>
          <w:b/>
          <w:bCs/>
          <w:lang w:eastAsia="pt-BR"/>
        </w:rPr>
      </w:pPr>
      <w:r w:rsidRPr="00527B1F">
        <w:rPr>
          <w:rFonts w:eastAsia="Times New Roman" w:cstheme="minorHAnsi"/>
          <w:b/>
          <w:bCs/>
          <w:lang w:eastAsia="pt-BR"/>
        </w:rPr>
        <w:t>9.7. Do gestor</w:t>
      </w:r>
    </w:p>
    <w:p w14:paraId="3CABE97A"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9.7.1. Caberá ao gestor do contrato e, nos seus afastamentos e seus impedimentos legais, ao seu substituto, em especial:</w:t>
      </w:r>
    </w:p>
    <w:p w14:paraId="2A28B208"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9.7.2. Coordenar as atividades relacionadas à fiscalização;</w:t>
      </w:r>
    </w:p>
    <w:p w14:paraId="7642A609"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9.7.3. Acompanhar os registros realizados pelos fiscais do contrato das ocorrências relacionadas à execução do contrato e as medidas adotadas, e informar à autoridade superior aquelas que ultrapassarem a sua competência;</w:t>
      </w:r>
    </w:p>
    <w:p w14:paraId="75E88BE5"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9.7.4. Acompanhar a manutenção das condições de habilitação do contratado, para fins de empenho de despesa e de pagamento, e anotar os problemas que obstem o fluxo normal da liquidação e do pagamento da despesa no relatório de riscos eventuais;</w:t>
      </w:r>
    </w:p>
    <w:p w14:paraId="754BCE4B"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9.7.5.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7836080E"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9.7.6. Coordenar os atos preparatórios à instrução processual e ao envio da documentação pertinente ao Departamento de Compras, Patrimônio e Material para a formalização dos procedimentos de que trata o art. 91 da Lei nº. 14.133, de 2021, no prazo de, no mínimo, 30 (trinta) dias ou em tempo hábil;</w:t>
      </w:r>
    </w:p>
    <w:p w14:paraId="4BE0082E"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9.7.7. Elaborar o relatório final de que trata a alínea "d" do inciso VI do § 3º do art. 174 da Lei nº 14.133, de 2021, com as informações obtidas durante a execução do contrato, quando cabível;</w:t>
      </w:r>
    </w:p>
    <w:p w14:paraId="6CA6B9BB"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9.7.8. Coordenar a atualização contínua do relatório de riscos durante a gestão do contrato, com apoio do(s) fiscal(</w:t>
      </w:r>
      <w:proofErr w:type="spellStart"/>
      <w:r w:rsidRPr="00527B1F">
        <w:rPr>
          <w:rFonts w:eastAsia="Times New Roman" w:cstheme="minorHAnsi"/>
          <w:lang w:eastAsia="pt-BR"/>
        </w:rPr>
        <w:t>is</w:t>
      </w:r>
      <w:proofErr w:type="spellEnd"/>
      <w:r w:rsidRPr="00527B1F">
        <w:rPr>
          <w:rFonts w:eastAsia="Times New Roman" w:cstheme="minorHAnsi"/>
          <w:lang w:eastAsia="pt-BR"/>
        </w:rPr>
        <w:t>);</w:t>
      </w:r>
    </w:p>
    <w:p w14:paraId="53301FC9"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9.7.9. Analisar a documentação que antecede o pagamento;</w:t>
      </w:r>
    </w:p>
    <w:p w14:paraId="78404EBD"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9.7.10. Analisar os pedidos de reequilíbrio econômico-financeiro do contrato;</w:t>
      </w:r>
    </w:p>
    <w:p w14:paraId="56199801"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9.7.11. Analisar eventuais alterações contratuais, após ouvido o fiscal do contrato;</w:t>
      </w:r>
    </w:p>
    <w:p w14:paraId="2EE93535"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9.7.12. Realizar o recebimento definitivo do objeto do contrato, mediante termo detalhado que comprove o atendimento das exigências contratuais;</w:t>
      </w:r>
    </w:p>
    <w:p w14:paraId="43AAF9BC"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9.7.13. Tomar providências para a formalização de processo administrativo de responsabilização para fins de aplicação de sanções, a ser conduzido pela comissão de que trata o art. 158 da Lei nº 14.133, de 2021, ou pelo agente ou pelo setor competente para tal, conforme o caso;</w:t>
      </w:r>
    </w:p>
    <w:p w14:paraId="113B8614"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9.7.14. Responder a solicitações e reclamações relacionadas à execução dos contratos;</w:t>
      </w:r>
    </w:p>
    <w:p w14:paraId="33936C82"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9.7.15. Outras atividades compatíveis com a função.</w:t>
      </w:r>
    </w:p>
    <w:p w14:paraId="39B67664" w14:textId="77777777" w:rsidR="00527B1F" w:rsidRPr="00527B1F" w:rsidRDefault="00527B1F" w:rsidP="00527B1F">
      <w:pPr>
        <w:spacing w:after="0"/>
        <w:jc w:val="both"/>
        <w:outlineLvl w:val="2"/>
        <w:rPr>
          <w:rFonts w:eastAsia="Times New Roman" w:cstheme="minorHAnsi"/>
          <w:b/>
          <w:bCs/>
          <w:lang w:eastAsia="pt-BR"/>
        </w:rPr>
      </w:pPr>
      <w:r w:rsidRPr="00527B1F">
        <w:rPr>
          <w:rFonts w:eastAsia="Times New Roman" w:cstheme="minorHAnsi"/>
          <w:b/>
          <w:bCs/>
          <w:lang w:eastAsia="pt-BR"/>
        </w:rPr>
        <w:t>9.8. Do fiscal de Contrato</w:t>
      </w:r>
    </w:p>
    <w:p w14:paraId="27E8B8E4"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9.8.1. O fiscal de contrato é, preferencialmente, o servidor efetivo ou empregado público dos quadros permanentes da Administração Pública designado pela autoridade máxima, ou por quem ela delegar, para acompanhar e fiscalizar a prestação dos serviços, a entrega dos materiais e a execução das obras e serviços de engenharia.</w:t>
      </w:r>
    </w:p>
    <w:p w14:paraId="2609BF26"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9.8.2. O fiscal de contrato deve anotar, em registro, próprio todas as ocorrências relacionadas com a execução e determinará o que for necessário à regularização de falhas ou defeitos observados.</w:t>
      </w:r>
    </w:p>
    <w:p w14:paraId="5EF6D0BF"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9.8.3. A verificação da adequação do cumprimento do contrato deverá ser realizada com base nos critérios previstos na legislação aplicável.</w:t>
      </w:r>
    </w:p>
    <w:p w14:paraId="3DB31537"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9.8.4. O fiscal de contrato de obras e serviços de engenharia deverá ter formação nas áreas de engenharia e demais áreas correlatas, sendo que essa figura não se confunde com o fiscal da obra em si, o qual deverá ser engenheiro ou arquiteto com conhecimentos técnicos na área afim de aferir se a quantidade, qualidade, tempo e modo de prestação de serviços são compatíveis com os indicadores de níveis mínimos de desempenho estipulados, podendo ser auxiliado pelo fiscal do contrato.</w:t>
      </w:r>
    </w:p>
    <w:p w14:paraId="1A41B30D"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9.8.5. O fiscal de contrato terá as seguintes atribuições:</w:t>
      </w:r>
    </w:p>
    <w:p w14:paraId="657ECBEB"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9.8.6. 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14:paraId="4C61DA2D"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9.8.7. Anotar no histórico de gerenciamento do contrato todas as ocorrências relacionadas à execução do contrato, com a descrição do que for necessário para a regularização das faltas ou dos defeitos observados;</w:t>
      </w:r>
    </w:p>
    <w:p w14:paraId="60FBC816"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9.8.8. Emitir notificações para a correção de rotinas ou de qualquer inexatidão ou irregularidade constatada, com a definição de prazo para a correção;</w:t>
      </w:r>
    </w:p>
    <w:p w14:paraId="3637E8BB"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9.8.9. Informar ao gestor do contato, em tempo hábil, a situação que demandar decisão ou adoção de medidas que ultrapassem a sua competência, para que adote as medidas necessárias e saneadoras, se for o caso;</w:t>
      </w:r>
    </w:p>
    <w:p w14:paraId="19E827A0"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9.8.10. Comunicar imediatamente ao gestor do contrato quaisquer ocorrências que possam inviabilizar a execução do contrato nas datas estabelecidas;</w:t>
      </w:r>
    </w:p>
    <w:p w14:paraId="7A44E8DB"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9.8.11.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40A6218E"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9.8.12. Comunicar ao gestor do contrato, em tempo hábil, o término do contrato sob sua responsabilidade, com vistas à renovação tempestiva ou à prorrogação contratual;</w:t>
      </w:r>
    </w:p>
    <w:p w14:paraId="40621223"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9.8.13. Atuar tempestivamente na solução de eventuais problemas relacionados ao descumprimento das obrigações contratuais e reportar ao gestor do contrato para que tome as providências cabíveis, quando ultrapassar a sua competência;</w:t>
      </w:r>
    </w:p>
    <w:p w14:paraId="0D5EA27B"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9.8.14. Convocar o representante da empresa contratada para reunião inicial, com a finalidade de apresentação do plano de fiscalização, que conterá informações acerca das obrigações contratuais, dos mecanismos de fiscalização, das estratégias para a execução do objeto, dentre outros que julgar pertinente, se for o caso.</w:t>
      </w:r>
    </w:p>
    <w:p w14:paraId="028C1364"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9.8.15. Caberá ainda ao fiscal do contrato:</w:t>
      </w:r>
    </w:p>
    <w:p w14:paraId="52D09A79"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9.8.15.1. Esclarecer prontamente as dúvidas administrativas e técnicas e divergências surgidas na execução do objeto contratado;</w:t>
      </w:r>
    </w:p>
    <w:p w14:paraId="27C3082D"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9.8.15.2. Expedir, através de notificações e/ou relatório de vistoria, as ocorrências e fazer as determinações e comunicações necessárias à perfeita execução dos serviços;</w:t>
      </w:r>
    </w:p>
    <w:p w14:paraId="001D6644"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9.8.15.3. Proceder, conforme cronograma físico-financeiro, as medições dos serviços executados e aprovar a planilha de medição emitida pela contratada ou conforme disposto em contrato;</w:t>
      </w:r>
    </w:p>
    <w:p w14:paraId="02E8EFDC"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9.8.15.4. Adotar as medidas preventivas de controle dos contratos, inclusive manifestar-se a respeito da suspensão da entrega de bens, a realização de serviços ou a execução de obras;</w:t>
      </w:r>
    </w:p>
    <w:p w14:paraId="3D468465"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9.8.15.5. Conferir e certificar as faturas relativas às aquisições, serviços ou obras;</w:t>
      </w:r>
    </w:p>
    <w:p w14:paraId="5551E4C1"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9.8.15.6. Proceder as avaliações dos serviços executados pela contratada;</w:t>
      </w:r>
    </w:p>
    <w:p w14:paraId="41C1A45E"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9.8.15.7. Determinar por todos os meios adequados a observância das normas técnicas e legais, especificações e métodos de execução dos serviços exigíveis para a perfeita execução do objeto;</w:t>
      </w:r>
    </w:p>
    <w:p w14:paraId="3CCB8556"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9.8.15.8. Exigir o uso correto dos equipamentos de proteção individual e coletiva de segurança do trabalho;</w:t>
      </w:r>
    </w:p>
    <w:p w14:paraId="66C71041"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9.8.15.9. Determinar a retirada de qualquer empregado subordinado direta ou indiretamente à contratada, inclusive empregados de eventuais subcontratadas, ou as próprias subcontratadas, que, a seu critério, comprometam o bom andamento dos serviços;</w:t>
      </w:r>
    </w:p>
    <w:p w14:paraId="7DC7698C"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9.8.15.10. Receber designação e manter contato com o preposto da contratada, e se for necessário, promover reuniões periódicas ou especiais para a resolução de problemas na entrega dos bens ou na execução dos serviços ou das obras;</w:t>
      </w:r>
    </w:p>
    <w:p w14:paraId="66291B30"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9.8.15.11. Dar parecer técnico nos pedidos de alterações contratuais;</w:t>
      </w:r>
    </w:p>
    <w:p w14:paraId="5205000A"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9.8.15.12. Verificar a correta aplicação dos materiais;</w:t>
      </w:r>
    </w:p>
    <w:p w14:paraId="24DF6649"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9.8.15.13. Requerer das empresas testes, exames e ensaios quando necessários, no sentido de promoção de controle de qualidade da execução das obras e serviços ou dos bens a serem adquiridos;</w:t>
      </w:r>
    </w:p>
    <w:p w14:paraId="2963D284"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9.8.15.14. Realizar, na forma do art. 140 da Lei Federal n.º 14.133, de 2021, o recebimento provisório do objeto contratado, quando for o caso;</w:t>
      </w:r>
    </w:p>
    <w:p w14:paraId="758FDD2E"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9.8.15.15. Propor à autoridade competente a abertura de procedimento administrativo para apuração de responsabilidade;</w:t>
      </w:r>
    </w:p>
    <w:p w14:paraId="2B2515A3"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9.8.15.16. Anotar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48BBE5A8"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 xml:space="preserve">9.8.15.17. No caso de obras e serviços de engenharia, manter pasta atualizada, com projetos, alvarás, </w:t>
      </w:r>
      <w:proofErr w:type="spellStart"/>
      <w:r w:rsidRPr="00527B1F">
        <w:rPr>
          <w:rFonts w:eastAsia="Times New Roman" w:cstheme="minorHAnsi"/>
          <w:lang w:eastAsia="pt-BR"/>
        </w:rPr>
        <w:t>ART's</w:t>
      </w:r>
      <w:proofErr w:type="spellEnd"/>
      <w:r w:rsidRPr="00527B1F">
        <w:rPr>
          <w:rFonts w:eastAsia="Times New Roman" w:cstheme="minorHAnsi"/>
          <w:lang w:eastAsia="pt-BR"/>
        </w:rPr>
        <w:t xml:space="preserve"> do CREA e/ou </w:t>
      </w:r>
      <w:proofErr w:type="spellStart"/>
      <w:r w:rsidRPr="00527B1F">
        <w:rPr>
          <w:rFonts w:eastAsia="Times New Roman" w:cstheme="minorHAnsi"/>
          <w:lang w:eastAsia="pt-BR"/>
        </w:rPr>
        <w:t>RRT's</w:t>
      </w:r>
      <w:proofErr w:type="spellEnd"/>
      <w:r w:rsidRPr="00527B1F">
        <w:rPr>
          <w:rFonts w:eastAsia="Times New Roman" w:cstheme="minorHAnsi"/>
          <w:lang w:eastAsia="pt-BR"/>
        </w:rPr>
        <w:t xml:space="preserve"> do CAU referente aos projetos de pavimentação e complementares, orçamentos e fiscalização, edital da licitação e respectivo contrato, cronograma físico-financeiro e os demais elementos instrutores;</w:t>
      </w:r>
    </w:p>
    <w:p w14:paraId="6B6636E5"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 xml:space="preserve">9.8.15.18. </w:t>
      </w:r>
      <w:proofErr w:type="spellStart"/>
      <w:r w:rsidRPr="00527B1F">
        <w:rPr>
          <w:rFonts w:eastAsia="Times New Roman" w:cstheme="minorHAnsi"/>
          <w:lang w:eastAsia="pt-BR"/>
        </w:rPr>
        <w:t>Vistar</w:t>
      </w:r>
      <w:proofErr w:type="spellEnd"/>
      <w:r w:rsidRPr="00527B1F">
        <w:rPr>
          <w:rFonts w:eastAsia="Times New Roman" w:cstheme="minorHAnsi"/>
          <w:lang w:eastAsia="pt-BR"/>
        </w:rPr>
        <w:t xml:space="preserve"> o diário de obras, certificando-se de seu correto preenchimento;</w:t>
      </w:r>
    </w:p>
    <w:p w14:paraId="4B54D95D"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9.8.15.19. Verificar a correta construção do canteiro de obras, inclusive quanto aos aspectos ambientais e de controle tecnológico;</w:t>
      </w:r>
    </w:p>
    <w:p w14:paraId="1123AD77"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9.8.15.20. Acompanhar a execução dos ensaios tecnológicos e verificar o cumprimento das especificações técnicas do DER/PR e DNIT;</w:t>
      </w:r>
    </w:p>
    <w:p w14:paraId="20C25831"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9.8.15.21. Outras atividades compatíveis com a função.</w:t>
      </w:r>
    </w:p>
    <w:p w14:paraId="5ABE1ED9"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9.9.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4AB25CDF"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9.10.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37A1C263"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9.11. A execução dos contratos deverá ser acompanhada e fiscalizada por meio de instrumentos de controle, que compreendam a mensuração dos seguintes aspectos, no que couber:</w:t>
      </w:r>
    </w:p>
    <w:p w14:paraId="53AB0E9B"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9.11.1. Os resultados alcançados em relação à contratada, com a verificação dos prazos de execução e da qualidade demandada;</w:t>
      </w:r>
    </w:p>
    <w:p w14:paraId="645C2474"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9.11.2. Os recursos humanos empregados, em função da quantidade e da formação profissional exigidas;</w:t>
      </w:r>
    </w:p>
    <w:p w14:paraId="3DEF4F4E"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9.11.3. A qualidade e quantidade dos recursos materiais utilizados;</w:t>
      </w:r>
    </w:p>
    <w:p w14:paraId="20C24306"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9.11.4. A adequação dos serviços prestados à rotina de execução estabelecida;</w:t>
      </w:r>
    </w:p>
    <w:p w14:paraId="5791EEEE"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9.11.5. O cumprimento das demais obrigações decorrentes do contrato; e</w:t>
      </w:r>
    </w:p>
    <w:p w14:paraId="148811AE"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9.11.6. A satisfação do público usuário.</w:t>
      </w:r>
    </w:p>
    <w:p w14:paraId="431B054C"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9.12. O fiscal do contrato deverá verificar se houve subdimensionamento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7EA6FA37"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9.13. 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e forma de uso.</w:t>
      </w:r>
    </w:p>
    <w:p w14:paraId="66DA065D"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9.14. 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n.º 14.133, de 2021.</w:t>
      </w:r>
    </w:p>
    <w:p w14:paraId="55331DB0"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9.15. Na fiscalização do cumprimento das obrigações trabalhistas e sociais nas contratações continuadas com dedicação exclusiva dos trabalhadores da contratada, exigir-se-á, dentre outras, as seguintes comprovações:</w:t>
      </w:r>
    </w:p>
    <w:p w14:paraId="2506C51A"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9.16. No caso de empresas regidas pela Consolidação das Leis Trabalhistas:</w:t>
      </w:r>
    </w:p>
    <w:p w14:paraId="0FC439F5"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9.16.1. Recolhimento da contribuição previdenciária estabelecida para o empregador e de seus empregados, conforme dispõe o artigo 195, §3º da Constituição Federal, sob pena de rescisão contratual;</w:t>
      </w:r>
    </w:p>
    <w:p w14:paraId="75F038BA"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9.16.2. Recolhimento do FGTS, referente ao mês anterior;</w:t>
      </w:r>
    </w:p>
    <w:p w14:paraId="1BBD37C6"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9.16.3. Pagamento de salários no prazo previsto em Lei, referente ao mês anterior;</w:t>
      </w:r>
    </w:p>
    <w:p w14:paraId="451178AD"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9.16.4. Fornecimento de vale-transporte e auxílio-alimentação, quando cabível;</w:t>
      </w:r>
    </w:p>
    <w:p w14:paraId="4A4F6535"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9.16.5. Pagamento do 13º salário;</w:t>
      </w:r>
    </w:p>
    <w:p w14:paraId="62EA6C5B"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9.16.6. Concessão de férias e correspondente pagamento do adicional de férias, na forma da Lei;</w:t>
      </w:r>
    </w:p>
    <w:p w14:paraId="564BD18C"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9.16.7. Realização de exames admissionais e demissionais e periódicos, quando for o caso;</w:t>
      </w:r>
    </w:p>
    <w:p w14:paraId="35B2D6AE"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9.16.8. Eventuais cursos de treinamento e reciclagem;</w:t>
      </w:r>
    </w:p>
    <w:p w14:paraId="28E29D7D"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9.16.9. Encaminhamento das informações trabalhistas exigidas pela legislação, tais como a RAIS e o CAGED;</w:t>
      </w:r>
    </w:p>
    <w:p w14:paraId="18C09ACE"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9.16.10. Cumprimento das obrigações contidas em convenção coletiva, acordo coletivo ou sentença normativa em dissídio coletivo de trabalho; e</w:t>
      </w:r>
    </w:p>
    <w:p w14:paraId="2FFF94DF" w14:textId="77777777" w:rsidR="00527B1F" w:rsidRDefault="00527B1F" w:rsidP="00527B1F">
      <w:pPr>
        <w:spacing w:after="0"/>
        <w:jc w:val="both"/>
        <w:rPr>
          <w:rFonts w:eastAsia="Times New Roman" w:cstheme="minorHAnsi"/>
          <w:lang w:eastAsia="pt-BR"/>
        </w:rPr>
      </w:pPr>
      <w:r w:rsidRPr="00527B1F">
        <w:rPr>
          <w:rFonts w:eastAsia="Times New Roman" w:cstheme="minorHAnsi"/>
          <w:lang w:eastAsia="pt-BR"/>
        </w:rPr>
        <w:t>9.16.11. Cumprimento das demais obrigações dispostas na Consolidação das Leis do Trabalho (CLT) em relação aos empregados vinculados ao contrato.</w:t>
      </w:r>
    </w:p>
    <w:p w14:paraId="7AFF0626" w14:textId="7B8F31D3" w:rsidR="00527B1F" w:rsidRPr="00527B1F" w:rsidRDefault="00527B1F" w:rsidP="00527B1F">
      <w:pPr>
        <w:spacing w:after="0"/>
        <w:jc w:val="both"/>
        <w:outlineLvl w:val="1"/>
        <w:rPr>
          <w:rFonts w:eastAsia="Times New Roman" w:cstheme="minorHAnsi"/>
          <w:b/>
          <w:bCs/>
          <w:lang w:eastAsia="pt-BR"/>
        </w:rPr>
      </w:pPr>
      <w:r w:rsidRPr="00527B1F">
        <w:rPr>
          <w:rFonts w:eastAsia="Times New Roman" w:cstheme="minorHAnsi"/>
          <w:b/>
          <w:bCs/>
          <w:lang w:eastAsia="pt-BR"/>
        </w:rPr>
        <w:t>10. CRITÉRIOS DE MEDIÇÃO E PAGAMENTO</w:t>
      </w:r>
    </w:p>
    <w:p w14:paraId="249BE986"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10.1. A avaliação da execução do objeto utilizará os critérios de medição conforme disposto a seguir:</w:t>
      </w:r>
    </w:p>
    <w:p w14:paraId="0C5A8E21"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10.2. Será indicada a retenção ou glosa no pagamento, proporcional à irregularidade verificada, sem prejuízo das sanções cabíveis, caso se constate que a Contratada:</w:t>
      </w:r>
    </w:p>
    <w:p w14:paraId="090B304E"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10.2.1. Não produzir os resultados acordados,</w:t>
      </w:r>
    </w:p>
    <w:p w14:paraId="0D48C92D"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10.2.2. Deixar de executar, ou não executar com a qualidade mínima exigida as atividades contratadas; ou</w:t>
      </w:r>
    </w:p>
    <w:p w14:paraId="3C5A7699"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10.2.3. Deixar de utilizar materiais e recursos humanos exigidos para a execução do serviço, ou utilizá-los com qualidade ou quantidade inferior à demandada.</w:t>
      </w:r>
    </w:p>
    <w:p w14:paraId="7584AEB6"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10.2.4. A utilização dos critérios acima não impede a aplicação concomitante de outros mecanismos para a avaliação da prestação dos serviços.</w:t>
      </w:r>
    </w:p>
    <w:p w14:paraId="7E2F61DE"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10.2.5. A sistemática de medição e pagamento será associada à execução de etapas do cronograma físico-financeiro vinculadas ao cumprimento de metas de resultado.</w:t>
      </w:r>
    </w:p>
    <w:p w14:paraId="7ACA7542"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10.2.6. As medições serão efetuadas na data prevista da conclusão das parcelas constantes do cronograma físico financeiro. Para efeito de medição e de faturamento relativo aos serviços executados, deverá ser considerado o cumprimento do avanço das etapas construtivas definidas no cronograma físico financeiro, que será peça integrante do contrato.</w:t>
      </w:r>
    </w:p>
    <w:p w14:paraId="44016FAB"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10.2.7. As medições da obra ou serviços serão efetuadas a cada 30 (trinta) dias, a contar da data da emissão da ordem de serviço. A Contratada deverá apresentar a planilha de medição compatível com o cronograma físico e financeiro, tendo a Secretaria Municipal de Obras prazo de 10 (dez) dias úteis para análise e conferência da mesma.</w:t>
      </w:r>
    </w:p>
    <w:p w14:paraId="0625D55B"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10.2.8. A contratada é obrigada a manter o histórico dos serviços executados e condições climáticas para execução dos trabalhos, tais medidas serão observadas através do preenchimento dos diários de obras (conforme modelo disponibilizado em anexo).</w:t>
      </w:r>
    </w:p>
    <w:p w14:paraId="7476BC8D"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10.2.9. Uma etapa será considerada efetivamente concluída quando os serviços previstos para aquela etapa, no Cronograma Físico-Financeiro, estiverem executados em sua totalidade.</w:t>
      </w:r>
    </w:p>
    <w:p w14:paraId="0A2C6BC8"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10.2.10. O contratado também apresentará, a cada medição, os documentos comprobatórios da procedência legal dos produtos e subprodutos florestais utilizados naquela etapa da execução contratual, quando for o caso.</w:t>
      </w:r>
    </w:p>
    <w:p w14:paraId="652F8330"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10.2.11. O recebimento desse documento por parte da municipalidade se dará pela seguinte forma:</w:t>
      </w:r>
    </w:p>
    <w:p w14:paraId="6AC8B6BB"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10.2.11.1. Os Diários de Obra serão preenchidos pela empresa diariamente, sendo entregues à Secretaria Municipal de Obras, por intermédio do fiscal da obra, mensalmente, junto com a solicitação de cada medição ou sempre que solicitado pela fiscalização.</w:t>
      </w:r>
    </w:p>
    <w:p w14:paraId="31170C29"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10.2.11.2. O pagamento será efetuado conforme cronograma físico/financeiro aprovado. Vinculadas as medições, com o Laudo de Liberação.</w:t>
      </w:r>
    </w:p>
    <w:p w14:paraId="5C3A4DD8"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10.2.12. Será retido 15% (quinze por cento) do valor da última parcela caso tenha necessidade de sanar alguma pendência apontada pela fiscalização;</w:t>
      </w:r>
    </w:p>
    <w:p w14:paraId="43C94636"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10.2.13. Vencida a vigência do prazo de execução com atraso, sem justificativa prévia, a última parcela somente será paga após executado 100% dos serviços contratados.</w:t>
      </w:r>
    </w:p>
    <w:p w14:paraId="1B97714B" w14:textId="77777777" w:rsidR="00527B1F" w:rsidRPr="00527B1F" w:rsidRDefault="00527B1F" w:rsidP="00527B1F">
      <w:pPr>
        <w:spacing w:after="0"/>
        <w:jc w:val="both"/>
        <w:outlineLvl w:val="2"/>
        <w:rPr>
          <w:rFonts w:eastAsia="Times New Roman" w:cstheme="minorHAnsi"/>
          <w:b/>
          <w:bCs/>
          <w:lang w:eastAsia="pt-BR"/>
        </w:rPr>
      </w:pPr>
      <w:r w:rsidRPr="00527B1F">
        <w:rPr>
          <w:rFonts w:eastAsia="Times New Roman" w:cstheme="minorHAnsi"/>
          <w:b/>
          <w:bCs/>
          <w:lang w:eastAsia="pt-BR"/>
        </w:rPr>
        <w:t>10.3. Do recebimento</w:t>
      </w:r>
    </w:p>
    <w:p w14:paraId="1BE1FE66"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10.3.1. Ao final de cada etapa da execução contratual, conforme previsto no Cronograma Físico-Financeiro, o Contratado apresentará a medição prévia dos serviços executados no período, por meio de planilha e memória de cálculo detalhada.</w:t>
      </w:r>
    </w:p>
    <w:p w14:paraId="47E952B7"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10.3.2. Uma etapa será considerada efetivamente concluída quando os serviços previstos para aquela etapa, no Cronograma Físico-Financeiro, estiverem executados em sua totalidade.</w:t>
      </w:r>
    </w:p>
    <w:p w14:paraId="5D171124"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10.3.3. O contratado também apresentará, a cada medição, os documentos comprobatórios da procedência legal dos produtos e subprodutos florestais utilizados naquela etapa da execução contratual, quando for o caso.</w:t>
      </w:r>
    </w:p>
    <w:p w14:paraId="58F98A0A"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10.3.4. Os serviços serão recebidos provisoriamente, no prazo de 15 (quinze) dias, pelo fiscal, mediante termos detalhados, quando verificado o cumprimento das exigências de caráter técnico e administrativo.</w:t>
      </w:r>
    </w:p>
    <w:p w14:paraId="7831740D"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10.3.5. O prazo da disposição acima será contado do recebimento de comunicação de cobrança oriunda do contratado com a comprovação da prestação dos serviços a que se referem a parcela a ser paga.</w:t>
      </w:r>
    </w:p>
    <w:p w14:paraId="1C3E0F6F"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10.3.6. Para efeito de recebimento provisório, ao final de cada período de faturamento, o fiscal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14:paraId="13E2E0C8"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10.3.7. Será considerado como ocorrido o recebimento provisório com a entrega do termo detalhado ou, em havendo mais de um a ser feito, com a entrega do último.</w:t>
      </w:r>
    </w:p>
    <w:p w14:paraId="01D608C4"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10.3.8. 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0B1AEBD9"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10.3.9. A fiscalização não efetuará o ateste da última e/ou única medição de serviços até que sejam sanadas todas as eventuais pendências que possam vir a ser apontadas no Recebimento Provisório. (Art. 119 c/c art. 140 da Lei nº 14133, de 2021).</w:t>
      </w:r>
    </w:p>
    <w:p w14:paraId="22D6907E"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10.3.10. O recebimento provisório também ficará sujeito, quando cabível, à conclusão de todos os testes de campo e à entrega dos manuais e instruções exigíveis.</w:t>
      </w:r>
    </w:p>
    <w:p w14:paraId="1C720623"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10.3.11. Os serviços poderão ser rejeitados, no todo ou em parte, quando em desacordo com as especificações constantes neste Termo de Referência e na proposta, sem prejuízo da aplicação das penalidades.</w:t>
      </w:r>
    </w:p>
    <w:p w14:paraId="5D62252C"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10.3.12. 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1938F0E0"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10.3.13. Os serviços serão recebidos definitivamente no prazo de 30 (trinta) dias, contados do recebimento provisório, por servidor ou comissão designada pela autoridade competente, após a verificação da qualidade e quantidade do serviço e consequente aceitação mediante termo detalhado, obedecendo os seguintes procedimentos:</w:t>
      </w:r>
    </w:p>
    <w:p w14:paraId="387D821D"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10.3.14. Emitir documento comprobatório da avaliação realizada pelo fiscal, no cumprimento de obrigações assumidas pelo contratado, com menção ao seu desempenho na execução contratual, baseado em indicadores objetivamente definidos e aferidos, e a eventuais penalidades aplicadas, devendo constar do cadastro de atesto de cumprimento de obrigações.</w:t>
      </w:r>
    </w:p>
    <w:p w14:paraId="41F569FA"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10.3.15.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7EEF74AF"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10.3.16. Emitir Termo Detalhado para efeito de recebimento definitivo dos serviços prestados, com base nos relatórios e documentações apresentadas;</w:t>
      </w:r>
    </w:p>
    <w:p w14:paraId="435C47BF"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10.3.17. Comunicar a empresa para que emita a Nota Fiscal ou Fatura, com o valor exato dimensionado pela fiscalização.</w:t>
      </w:r>
    </w:p>
    <w:p w14:paraId="46395310"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10.3.18. Enviar a documentação pertinente ao setor financeiro para a formalização dos procedimentos de liquidação e pagamento, no valor dimensionado pela fiscalização e gestão.</w:t>
      </w:r>
    </w:p>
    <w:p w14:paraId="20345D23"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 xml:space="preserve">10.3.19. No caso de controvérsia sobre a execução do objeto, quanto à dimensão, qualidade e quantidade, deverá ser observado o teor do </w:t>
      </w:r>
      <w:hyperlink r:id="rId9" w:anchor="art143" w:history="1">
        <w:r w:rsidRPr="00527B1F">
          <w:rPr>
            <w:rFonts w:eastAsia="Times New Roman" w:cstheme="minorHAnsi"/>
            <w:color w:val="0000FF"/>
            <w:u w:val="single"/>
            <w:lang w:eastAsia="pt-BR"/>
          </w:rPr>
          <w:t>art. 143 da Lei nº 14.133, de 2021</w:t>
        </w:r>
      </w:hyperlink>
      <w:r w:rsidRPr="00527B1F">
        <w:rPr>
          <w:rFonts w:eastAsia="Times New Roman" w:cstheme="minorHAnsi"/>
          <w:lang w:eastAsia="pt-BR"/>
        </w:rPr>
        <w:t>, comunicando-se à empresa para emissão de Nota Fiscal no que pertence à parcela incontroversa da execução do objeto, para efeito de liquidação e pagamento.</w:t>
      </w:r>
    </w:p>
    <w:p w14:paraId="13E5D6C4"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10.3.20. Nenhum prazo de recebimento ocorrerá enquanto pendente a solução, pelo contratado, de inconsistências verificadas na execução do objeto ou no instrumento de cobrança.</w:t>
      </w:r>
    </w:p>
    <w:p w14:paraId="736CE8E1"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10.3.21. O recebimento provisório ou definitivo não excluirá a responsabilidade civil pela solidez e pela segurança do serviço nem a responsabilidade ético-profissional pela perfeita execução do contrato.</w:t>
      </w:r>
    </w:p>
    <w:p w14:paraId="342EEB1D" w14:textId="77777777" w:rsidR="00527B1F" w:rsidRPr="00527B1F" w:rsidRDefault="00527B1F" w:rsidP="00527B1F">
      <w:pPr>
        <w:spacing w:after="0"/>
        <w:jc w:val="both"/>
        <w:outlineLvl w:val="2"/>
        <w:rPr>
          <w:rFonts w:eastAsia="Times New Roman" w:cstheme="minorHAnsi"/>
          <w:b/>
          <w:bCs/>
          <w:lang w:eastAsia="pt-BR"/>
        </w:rPr>
      </w:pPr>
      <w:r w:rsidRPr="00527B1F">
        <w:rPr>
          <w:rFonts w:eastAsia="Times New Roman" w:cstheme="minorHAnsi"/>
          <w:b/>
          <w:bCs/>
          <w:lang w:eastAsia="pt-BR"/>
        </w:rPr>
        <w:t>10.4. Liquidação</w:t>
      </w:r>
    </w:p>
    <w:p w14:paraId="06FE7641"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10.4.1. Recebida a Nota Fiscal ou documento de cobrança equivalente, correrá o prazo de dez dias úteis para fins de liquidação, na forma desta seção, prorrogáveis por igual período.</w:t>
      </w:r>
    </w:p>
    <w:p w14:paraId="6B0B505C"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10.4.2. Para fins de liquidação, o setor competente deve verificar se a Nota Fiscal ou Fatura apresentada expressa os elementos necessários e essenciais do documento, tais como:</w:t>
      </w:r>
    </w:p>
    <w:p w14:paraId="2C16D4D5"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10.4.2.1. o prazo de validade;</w:t>
      </w:r>
    </w:p>
    <w:p w14:paraId="02EFA927"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10.4.2.2. a data da emissão;</w:t>
      </w:r>
    </w:p>
    <w:p w14:paraId="3F38F25E"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10.4.2.3. os dados do contrato e do órgão contratante;</w:t>
      </w:r>
    </w:p>
    <w:p w14:paraId="06B6D8A5"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10.4.2.4. o período respectivo de execução do contrato;</w:t>
      </w:r>
    </w:p>
    <w:p w14:paraId="2FA1E9EA"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10.4.2.5. o valor a pagar; e</w:t>
      </w:r>
    </w:p>
    <w:p w14:paraId="719783C8"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10.4.2.6. eventual destaque do valor de retenções tributárias cabíveis.</w:t>
      </w:r>
    </w:p>
    <w:p w14:paraId="5CA77E53"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10.4.3. 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20A61AEF"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 xml:space="preserve">10.4.4. A Nota Fiscal ou Fatura deverá ser obrigatoriamente acompanhada da comprovação da regularidade fiscal, constatada por meio de consulta </w:t>
      </w:r>
      <w:r w:rsidRPr="00527B1F">
        <w:rPr>
          <w:rFonts w:eastAsia="Times New Roman" w:cstheme="minorHAnsi"/>
          <w:i/>
          <w:iCs/>
          <w:lang w:eastAsia="pt-BR"/>
        </w:rPr>
        <w:t>on-line</w:t>
      </w:r>
      <w:r w:rsidRPr="00527B1F">
        <w:rPr>
          <w:rFonts w:eastAsia="Times New Roman" w:cstheme="minorHAnsi"/>
          <w:lang w:eastAsia="pt-BR"/>
        </w:rPr>
        <w:t xml:space="preserve"> ao SICAF ou, na impossibilidade de acesso ao referido Sistema, mediante consulta aos sítios eletrônicos oficiais ou à documentação mencionada no art. 68 da Lei nº 14.133/2021.</w:t>
      </w:r>
    </w:p>
    <w:p w14:paraId="1F640211"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10.4.5.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5AB00557"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10.4.6.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2DC9B92B"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10.4.7.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14:paraId="2ED162F1"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10.4.8. Persistindo a irregularidade, o contratante deverá adotar as medidas necessárias à rescisão contratual nos autos do processo administrativo correspondente, assegurada ao contratado a ampla defesa.</w:t>
      </w:r>
    </w:p>
    <w:p w14:paraId="31CD737F"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10.4.9. Havendo a efetiva execução do objeto, os pagamentos serão realizados normalmente, até que se decida pela rescisão do contrato, caso o contratado não regularize sua situação junto ao SICAF.</w:t>
      </w:r>
    </w:p>
    <w:p w14:paraId="31D48E9A" w14:textId="77777777" w:rsidR="00527B1F" w:rsidRPr="00527B1F" w:rsidRDefault="00527B1F" w:rsidP="00527B1F">
      <w:pPr>
        <w:spacing w:after="0"/>
        <w:jc w:val="both"/>
        <w:outlineLvl w:val="2"/>
        <w:rPr>
          <w:rFonts w:eastAsia="Times New Roman" w:cstheme="minorHAnsi"/>
          <w:b/>
          <w:bCs/>
          <w:lang w:eastAsia="pt-BR"/>
        </w:rPr>
      </w:pPr>
      <w:r w:rsidRPr="00527B1F">
        <w:rPr>
          <w:rFonts w:eastAsia="Times New Roman" w:cstheme="minorHAnsi"/>
          <w:b/>
          <w:bCs/>
          <w:lang w:eastAsia="pt-BR"/>
        </w:rPr>
        <w:t>10.5. Prazo de pagamento</w:t>
      </w:r>
    </w:p>
    <w:p w14:paraId="426F7E04"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10.5.1. O pagamento será efetuado no prazo máximo de até dez dias úteis, contados da finalização da liquidação da despesa, conforme seção anterior.</w:t>
      </w:r>
    </w:p>
    <w:p w14:paraId="4A4231A6"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10.5.2. No caso de atraso pelo Contratante, os valores devidos ao contratado serão atualizados monetariamente entre o termo final do prazo de pagamento até a data de sua efetiva realização, mediante aplicação do Índice Nacional de Custo da Construção -- M (INCC-M) de correção monetária.</w:t>
      </w:r>
    </w:p>
    <w:p w14:paraId="6877911B" w14:textId="77777777" w:rsidR="00527B1F" w:rsidRPr="00527B1F" w:rsidRDefault="00527B1F" w:rsidP="00527B1F">
      <w:pPr>
        <w:spacing w:after="0"/>
        <w:jc w:val="both"/>
        <w:outlineLvl w:val="2"/>
        <w:rPr>
          <w:rFonts w:eastAsia="Times New Roman" w:cstheme="minorHAnsi"/>
          <w:b/>
          <w:bCs/>
          <w:lang w:eastAsia="pt-BR"/>
        </w:rPr>
      </w:pPr>
      <w:r w:rsidRPr="00527B1F">
        <w:rPr>
          <w:rFonts w:eastAsia="Times New Roman" w:cstheme="minorHAnsi"/>
          <w:b/>
          <w:bCs/>
          <w:lang w:eastAsia="pt-BR"/>
        </w:rPr>
        <w:t>10.6. Forma de pagamento</w:t>
      </w:r>
    </w:p>
    <w:p w14:paraId="4E06B6EA"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10.6.1. O pagamento será realizado através de ordem bancária, para crédito em banco, agência e conta corrente indicados pelo contratado.</w:t>
      </w:r>
    </w:p>
    <w:p w14:paraId="72A3FD61"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10.6.2. Será considerada data do pagamento o dia em que constar como emitida a ordem bancária para pagamento.</w:t>
      </w:r>
    </w:p>
    <w:p w14:paraId="183C724B"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10.6.3. Quando do pagamento, será efetuada a retenção tributária prevista na legislação aplicável.</w:t>
      </w:r>
    </w:p>
    <w:p w14:paraId="61F96B0E"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10.6.3.1. Independentemente do percentual de tributo inserido na planilha, quando houver, serão retidos na fonte, quando da realização do pagamento, os percentuais estabelecidos na legislação vigente.</w:t>
      </w:r>
    </w:p>
    <w:p w14:paraId="388CE0B0" w14:textId="77777777" w:rsidR="00527B1F" w:rsidRDefault="00527B1F" w:rsidP="00527B1F">
      <w:pPr>
        <w:spacing w:after="0"/>
        <w:jc w:val="both"/>
        <w:rPr>
          <w:rFonts w:eastAsia="Times New Roman" w:cstheme="minorHAnsi"/>
          <w:lang w:eastAsia="pt-BR"/>
        </w:rPr>
      </w:pPr>
      <w:r w:rsidRPr="00527B1F">
        <w:rPr>
          <w:rFonts w:eastAsia="Times New Roman" w:cstheme="minorHAnsi"/>
          <w:lang w:eastAsia="pt-BR"/>
        </w:rPr>
        <w:t>10.6.4.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F94894C" w14:textId="3F777632" w:rsidR="00527B1F" w:rsidRPr="00527B1F" w:rsidRDefault="00527B1F" w:rsidP="00527B1F">
      <w:pPr>
        <w:spacing w:after="0"/>
        <w:jc w:val="both"/>
        <w:outlineLvl w:val="1"/>
        <w:rPr>
          <w:rFonts w:eastAsia="Times New Roman" w:cstheme="minorHAnsi"/>
          <w:b/>
          <w:bCs/>
          <w:lang w:eastAsia="pt-BR"/>
        </w:rPr>
      </w:pPr>
      <w:r w:rsidRPr="00527B1F">
        <w:rPr>
          <w:rFonts w:eastAsia="Times New Roman" w:cstheme="minorHAnsi"/>
          <w:b/>
          <w:bCs/>
          <w:lang w:eastAsia="pt-BR"/>
        </w:rPr>
        <w:t>11. DAS RETENÇÕES FISCAIS</w:t>
      </w:r>
    </w:p>
    <w:p w14:paraId="5063D56A"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11.1. A CONTRATANTE realizará as retenções do imposto de renda na fonte sobre todos os rendimentos pagos a qualquer título pelo ente público municipal, nos termos da Instrução Normativa nº. 1234/2012 da Receita Federal, a qual consolida o entendimento acerca da amplitude e efeitos do inciso I do artigo 58 da Constituição Federal de 1988.</w:t>
      </w:r>
    </w:p>
    <w:p w14:paraId="20FF352D"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11.2. Será aplicado a alíquota para retenção, conforme prevista na IN RFB nº. 1234/2012, e atualizações posteriores, editada nos termos do artigo 64 da Lei Federal nº. 9.430/96, aplicado por extensão aos pagamentos realizados por esta Municipalidade.</w:t>
      </w:r>
    </w:p>
    <w:p w14:paraId="79A7C7E0"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11.3. As hipóteses de retenção do IR na fonte e deduções na base de cálculo deverão ser informados nos documentos fiscais, bem como as hipóteses de dispensa de retenção, nos termos da IN RFB nº. 1234/2012.</w:t>
      </w:r>
    </w:p>
    <w:p w14:paraId="34ABD5FC" w14:textId="77777777" w:rsidR="00527B1F" w:rsidRDefault="00527B1F" w:rsidP="00527B1F">
      <w:pPr>
        <w:spacing w:after="0"/>
        <w:jc w:val="both"/>
        <w:rPr>
          <w:rFonts w:eastAsia="Times New Roman" w:cstheme="minorHAnsi"/>
          <w:lang w:eastAsia="pt-BR"/>
        </w:rPr>
      </w:pPr>
      <w:r w:rsidRPr="00527B1F">
        <w:rPr>
          <w:rFonts w:eastAsia="Times New Roman" w:cstheme="minorHAnsi"/>
          <w:lang w:eastAsia="pt-BR"/>
        </w:rPr>
        <w:t>11.4. As retenções serão realizadas no momento do pagamento dos valores decorrentes da prestação dos serviços contratados/fornecimento dos bens contratados, uma vez atestados e liquidados, mediante recolhimento.</w:t>
      </w:r>
    </w:p>
    <w:p w14:paraId="3F3CF6E5" w14:textId="64FE3075" w:rsidR="00527B1F" w:rsidRPr="00527B1F" w:rsidRDefault="00527B1F" w:rsidP="00527B1F">
      <w:pPr>
        <w:spacing w:after="0"/>
        <w:jc w:val="both"/>
        <w:outlineLvl w:val="1"/>
        <w:rPr>
          <w:rFonts w:eastAsia="Times New Roman" w:cstheme="minorHAnsi"/>
          <w:b/>
          <w:bCs/>
          <w:lang w:eastAsia="pt-BR"/>
        </w:rPr>
      </w:pPr>
      <w:r w:rsidRPr="00527B1F">
        <w:rPr>
          <w:rFonts w:eastAsia="Times New Roman" w:cstheme="minorHAnsi"/>
          <w:b/>
          <w:bCs/>
          <w:lang w:eastAsia="pt-BR"/>
        </w:rPr>
        <w:t>12. FORMA E CRITÉRIOS DE SELEÇÃO DO FORNECEDOR E REGIME DE EXECUÇÃO</w:t>
      </w:r>
    </w:p>
    <w:p w14:paraId="20D87A92" w14:textId="612AC121" w:rsidR="00527B1F" w:rsidRDefault="00527B1F" w:rsidP="00527B1F">
      <w:pPr>
        <w:spacing w:after="0"/>
        <w:jc w:val="both"/>
        <w:rPr>
          <w:rFonts w:eastAsia="Times New Roman" w:cstheme="minorHAnsi"/>
          <w:b/>
          <w:bCs/>
          <w:lang w:eastAsia="pt-BR"/>
        </w:rPr>
      </w:pPr>
      <w:r w:rsidRPr="00527B1F">
        <w:rPr>
          <w:rFonts w:eastAsia="Times New Roman" w:cstheme="minorHAnsi"/>
          <w:lang w:eastAsia="pt-BR"/>
        </w:rPr>
        <w:t xml:space="preserve">12.1. A Contratada será selecionada por meio da realização de procedimento de </w:t>
      </w:r>
      <w:r w:rsidRPr="00527B1F">
        <w:rPr>
          <w:rFonts w:eastAsia="Times New Roman" w:cstheme="minorHAnsi"/>
          <w:b/>
          <w:bCs/>
          <w:lang w:eastAsia="pt-BR"/>
        </w:rPr>
        <w:t>LICITAÇÃO</w:t>
      </w:r>
      <w:r w:rsidRPr="00527B1F">
        <w:rPr>
          <w:rFonts w:eastAsia="Times New Roman" w:cstheme="minorHAnsi"/>
          <w:lang w:eastAsia="pt-BR"/>
        </w:rPr>
        <w:t xml:space="preserve">, na modalidade </w:t>
      </w:r>
      <w:r w:rsidRPr="00527B1F">
        <w:rPr>
          <w:rFonts w:eastAsia="Times New Roman" w:cstheme="minorHAnsi"/>
          <w:b/>
          <w:bCs/>
          <w:lang w:eastAsia="pt-BR"/>
        </w:rPr>
        <w:t>CONCORRÊNCIA</w:t>
      </w:r>
      <w:r w:rsidRPr="00527B1F">
        <w:rPr>
          <w:rFonts w:eastAsia="Times New Roman" w:cstheme="minorHAnsi"/>
          <w:lang w:eastAsia="pt-BR"/>
        </w:rPr>
        <w:t xml:space="preserve">, sob a forma </w:t>
      </w:r>
      <w:r w:rsidRPr="00527B1F">
        <w:rPr>
          <w:rFonts w:eastAsia="Times New Roman" w:cstheme="minorHAnsi"/>
          <w:b/>
          <w:bCs/>
          <w:lang w:eastAsia="pt-BR"/>
        </w:rPr>
        <w:t>PRESENCIAL</w:t>
      </w:r>
      <w:r w:rsidRPr="00527B1F">
        <w:rPr>
          <w:rFonts w:eastAsia="Times New Roman" w:cstheme="minorHAnsi"/>
          <w:lang w:eastAsia="pt-BR"/>
        </w:rPr>
        <w:t>,</w:t>
      </w:r>
      <w:r w:rsidR="0040407C">
        <w:rPr>
          <w:rFonts w:eastAsia="Times New Roman" w:cstheme="minorHAnsi"/>
          <w:lang w:eastAsia="pt-BR"/>
        </w:rPr>
        <w:t xml:space="preserve"> com inversão de faze,</w:t>
      </w:r>
      <w:r w:rsidRPr="00527B1F">
        <w:rPr>
          <w:rFonts w:eastAsia="Times New Roman" w:cstheme="minorHAnsi"/>
          <w:lang w:eastAsia="pt-BR"/>
        </w:rPr>
        <w:t xml:space="preserve"> com adoção do critério de julgamento pelo </w:t>
      </w:r>
      <w:r w:rsidRPr="00527B1F">
        <w:rPr>
          <w:rFonts w:eastAsia="Times New Roman" w:cstheme="minorHAnsi"/>
          <w:b/>
          <w:bCs/>
          <w:lang w:eastAsia="pt-BR"/>
        </w:rPr>
        <w:t>MENOR PREÇO GLOBAL</w:t>
      </w:r>
      <w:r w:rsidRPr="00527B1F">
        <w:rPr>
          <w:rFonts w:eastAsia="Times New Roman" w:cstheme="minorHAnsi"/>
          <w:lang w:eastAsia="pt-BR"/>
        </w:rPr>
        <w:t xml:space="preserve">, no modo de disputa </w:t>
      </w:r>
      <w:r w:rsidRPr="00527B1F">
        <w:rPr>
          <w:rFonts w:eastAsia="Times New Roman" w:cstheme="minorHAnsi"/>
          <w:b/>
          <w:bCs/>
          <w:lang w:eastAsia="pt-BR"/>
        </w:rPr>
        <w:t>ABERTO</w:t>
      </w:r>
      <w:r w:rsidRPr="00527B1F">
        <w:rPr>
          <w:rFonts w:eastAsia="Times New Roman" w:cstheme="minorHAnsi"/>
          <w:lang w:eastAsia="pt-BR"/>
        </w:rPr>
        <w:t xml:space="preserve">, sob a execução pelo regime de </w:t>
      </w:r>
      <w:r w:rsidRPr="00527B1F">
        <w:rPr>
          <w:rFonts w:eastAsia="Times New Roman" w:cstheme="minorHAnsi"/>
          <w:b/>
          <w:bCs/>
          <w:lang w:eastAsia="pt-BR"/>
        </w:rPr>
        <w:t>EMPREITADA POR PREÇO GLOBAL.</w:t>
      </w:r>
    </w:p>
    <w:p w14:paraId="72E50E93" w14:textId="77777777" w:rsidR="000C0B4B" w:rsidRPr="006C49F9" w:rsidRDefault="000C0B4B" w:rsidP="000C0B4B">
      <w:pPr>
        <w:autoSpaceDN w:val="0"/>
        <w:spacing w:after="0" w:line="240" w:lineRule="auto"/>
        <w:jc w:val="both"/>
        <w:textAlignment w:val="baseline"/>
        <w:rPr>
          <w:rFonts w:cstheme="minorHAnsi"/>
        </w:rPr>
      </w:pPr>
      <w:r w:rsidRPr="006C49F9">
        <w:rPr>
          <w:rFonts w:cstheme="minorHAnsi"/>
        </w:rPr>
        <w:t xml:space="preserve">A proposta a ser apresentada pelo licitante, deverá oferecer um percentual de desconto uniforme sobre todos os itens ou serviços previstos no edital. A adoção do método de </w:t>
      </w:r>
      <w:r w:rsidRPr="006C49F9">
        <w:rPr>
          <w:rFonts w:cstheme="minorHAnsi"/>
          <w:b/>
          <w:bCs/>
        </w:rPr>
        <w:t>desconto linear adotado pela municipalidade</w:t>
      </w:r>
      <w:r w:rsidRPr="006C49F9">
        <w:rPr>
          <w:rFonts w:cstheme="minorHAnsi"/>
        </w:rPr>
        <w:t xml:space="preserve"> visa buscar garantir que o abatimento seja aplicado de forma equilibrada em toda a planilha orçamentária, evitando distorções com descontos excessivos em alguns itens e irrelevantes em outros, reduzindo o risco de superfaturamento em itens específicos.</w:t>
      </w:r>
    </w:p>
    <w:p w14:paraId="2BE3028A" w14:textId="77777777" w:rsidR="00527B1F" w:rsidRPr="00527B1F" w:rsidRDefault="00527B1F" w:rsidP="00527B1F">
      <w:pPr>
        <w:spacing w:after="0"/>
        <w:jc w:val="both"/>
        <w:outlineLvl w:val="2"/>
        <w:rPr>
          <w:rFonts w:eastAsia="Times New Roman" w:cstheme="minorHAnsi"/>
          <w:b/>
          <w:bCs/>
          <w:lang w:eastAsia="pt-BR"/>
        </w:rPr>
      </w:pPr>
      <w:r w:rsidRPr="00527B1F">
        <w:rPr>
          <w:rFonts w:eastAsia="Times New Roman" w:cstheme="minorHAnsi"/>
          <w:b/>
          <w:bCs/>
          <w:lang w:eastAsia="pt-BR"/>
        </w:rPr>
        <w:t>12.2. Exigências de habilitação</w:t>
      </w:r>
    </w:p>
    <w:p w14:paraId="3EE53742"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12.2.1. Se o licitante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14:paraId="7A85B19F" w14:textId="77777777" w:rsidR="00527B1F" w:rsidRDefault="00527B1F" w:rsidP="00527B1F">
      <w:pPr>
        <w:spacing w:after="0"/>
        <w:jc w:val="both"/>
        <w:rPr>
          <w:rFonts w:eastAsia="Times New Roman" w:cstheme="minorHAnsi"/>
          <w:lang w:eastAsia="pt-BR"/>
        </w:rPr>
      </w:pPr>
      <w:r w:rsidRPr="00527B1F">
        <w:rPr>
          <w:rFonts w:eastAsia="Times New Roman" w:cstheme="minorHAnsi"/>
          <w:lang w:eastAsia="pt-BR"/>
        </w:rPr>
        <w:t>12.2.2. Serão ainda aceitos registros de CNPJ de licitante matriz e filial com diferenças de números de documentos pertinentes ao CND e ao CRF/FGTS, quando for comprovada a centralização do recolhimento dessas contribuições.</w:t>
      </w:r>
    </w:p>
    <w:p w14:paraId="75FC0803" w14:textId="77777777" w:rsidR="00527B1F" w:rsidRPr="00527B1F" w:rsidRDefault="00527B1F" w:rsidP="00527B1F">
      <w:pPr>
        <w:spacing w:after="0"/>
        <w:jc w:val="both"/>
        <w:outlineLvl w:val="2"/>
        <w:rPr>
          <w:rFonts w:eastAsia="Times New Roman" w:cstheme="minorHAnsi"/>
          <w:b/>
          <w:bCs/>
          <w:lang w:eastAsia="pt-BR"/>
        </w:rPr>
      </w:pPr>
      <w:r w:rsidRPr="00527B1F">
        <w:rPr>
          <w:rFonts w:eastAsia="Times New Roman" w:cstheme="minorHAnsi"/>
          <w:b/>
          <w:bCs/>
          <w:lang w:eastAsia="pt-BR"/>
        </w:rPr>
        <w:t>12.3. Documentos de habilitação jurídica</w:t>
      </w:r>
    </w:p>
    <w:p w14:paraId="60CC409E"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12.3.1. Registro comercial, no caso de empresa individual.</w:t>
      </w:r>
    </w:p>
    <w:p w14:paraId="16D7CC09"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12.3.2. Ato constitutivo, estatuto ou contrato social em vigor, devidamente registrado, em se tratando de sociedades comerciais e, no caso de sociedades por ações, acompanhado de documentos de eleição de seus administradores, devidamente registrado na junta comercial da respectiva.</w:t>
      </w:r>
    </w:p>
    <w:p w14:paraId="6FBB388D"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12.3.3. Inscrição do ato constitutivo, no caso de sociedades civis, acompanhada de ato formal de designação de diretoria em exercício.</w:t>
      </w:r>
    </w:p>
    <w:p w14:paraId="7C757DC4"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12.3.4. Decreto de autorização, em se tratando de empresa ou sociedade estrangeira em funcionamento no País.</w:t>
      </w:r>
    </w:p>
    <w:p w14:paraId="4266D4D8"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12.3.5. Procuração do representante do licitante no pregão, se for o caso.</w:t>
      </w:r>
    </w:p>
    <w:p w14:paraId="7E003A0E" w14:textId="77777777" w:rsidR="00527B1F" w:rsidRDefault="00527B1F" w:rsidP="00527B1F">
      <w:pPr>
        <w:spacing w:after="0"/>
        <w:jc w:val="both"/>
        <w:rPr>
          <w:rFonts w:eastAsia="Times New Roman" w:cstheme="minorHAnsi"/>
          <w:lang w:eastAsia="pt-BR"/>
        </w:rPr>
      </w:pPr>
      <w:r w:rsidRPr="00527B1F">
        <w:rPr>
          <w:rFonts w:eastAsia="Times New Roman" w:cstheme="minorHAnsi"/>
          <w:lang w:eastAsia="pt-BR"/>
        </w:rPr>
        <w:t>12.3.6. Os documentos acima deverão estar acompanhados de todas as alterações ou da consolidação respectiva.</w:t>
      </w:r>
    </w:p>
    <w:p w14:paraId="69C03840" w14:textId="77777777" w:rsidR="00527B1F" w:rsidRPr="00527B1F" w:rsidRDefault="00527B1F" w:rsidP="00527B1F">
      <w:pPr>
        <w:spacing w:after="0"/>
        <w:jc w:val="both"/>
        <w:outlineLvl w:val="2"/>
        <w:rPr>
          <w:rFonts w:eastAsia="Times New Roman" w:cstheme="minorHAnsi"/>
          <w:b/>
          <w:bCs/>
          <w:lang w:eastAsia="pt-BR"/>
        </w:rPr>
      </w:pPr>
      <w:r w:rsidRPr="00527B1F">
        <w:rPr>
          <w:rFonts w:eastAsia="Times New Roman" w:cstheme="minorHAnsi"/>
          <w:b/>
          <w:bCs/>
          <w:lang w:eastAsia="pt-BR"/>
        </w:rPr>
        <w:t>12.4. Documentos de habilitação fiscal, social e trabalhista</w:t>
      </w:r>
    </w:p>
    <w:p w14:paraId="0E3AD12F"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12.4.1. Cadastro Nacional de Pessoas Jurídicas (CNPJ);</w:t>
      </w:r>
    </w:p>
    <w:p w14:paraId="0177BB10"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12.4.2. A inscrição no cadastro de contribuintes estadual e/ou municipal, se houver, relativo ao domicílio ou sede do licitante, pertinente ao ramo de atividade e compatível com o objeto contratual;</w:t>
      </w:r>
    </w:p>
    <w:p w14:paraId="6950171F"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12.4.3. Certificado de regularidade do FGTS, emitido pela Caixa Econômica Federal;</w:t>
      </w:r>
    </w:p>
    <w:p w14:paraId="4093F6F3"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12.4.4. Certidões de regularidade com a Fazenda Federal (Certidão Conjunta de Débitos relativos a Tributos Federais e à Dívida Ativa da União e Certidão relativa a Contribuições Previdenciárias); Fazenda Estadual e Fazenda Municipal;</w:t>
      </w:r>
    </w:p>
    <w:p w14:paraId="0775A2CB"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12.4.5. Certidão Negativa de Débitos Trabalhistas (CNDT), instituída pela Lei Federal n.º 12.440/2011;</w:t>
      </w:r>
    </w:p>
    <w:p w14:paraId="46F30968" w14:textId="77777777" w:rsidR="00527B1F" w:rsidRDefault="00527B1F" w:rsidP="00527B1F">
      <w:pPr>
        <w:spacing w:after="0"/>
        <w:jc w:val="both"/>
        <w:rPr>
          <w:rFonts w:eastAsia="Times New Roman" w:cstheme="minorHAnsi"/>
          <w:lang w:eastAsia="pt-BR"/>
        </w:rPr>
      </w:pPr>
      <w:r w:rsidRPr="00527B1F">
        <w:rPr>
          <w:rFonts w:eastAsia="Times New Roman" w:cstheme="minorHAnsi"/>
          <w:lang w:eastAsia="pt-BR"/>
        </w:rPr>
        <w:t>12.4.6. Caso o fornecedor seja considerado isento dos tributos relacionados ao objeto, deverá comprovar tal condição mediante a apresentação de certidão ou declaração da Fazenda respectiva do seu domicílio ou sede, ou por meio de outro documento equivalente, na forma da respectiva legislação de regência.</w:t>
      </w:r>
    </w:p>
    <w:p w14:paraId="74BCB571" w14:textId="77777777" w:rsidR="00527B1F" w:rsidRPr="00527B1F" w:rsidRDefault="00527B1F" w:rsidP="00527B1F">
      <w:pPr>
        <w:spacing w:after="0"/>
        <w:jc w:val="both"/>
        <w:outlineLvl w:val="2"/>
        <w:rPr>
          <w:rFonts w:eastAsia="Times New Roman" w:cstheme="minorHAnsi"/>
          <w:b/>
          <w:bCs/>
          <w:lang w:eastAsia="pt-BR"/>
        </w:rPr>
      </w:pPr>
      <w:r w:rsidRPr="00527B1F">
        <w:rPr>
          <w:rFonts w:eastAsia="Times New Roman" w:cstheme="minorHAnsi"/>
          <w:b/>
          <w:bCs/>
          <w:lang w:eastAsia="pt-BR"/>
        </w:rPr>
        <w:t>12.5. Documentos de habilitação econômico-financeira</w:t>
      </w:r>
    </w:p>
    <w:p w14:paraId="2BB6CF54" w14:textId="77777777" w:rsidR="00ED6D2C" w:rsidRPr="00EF0DF0" w:rsidRDefault="00ED6D2C" w:rsidP="00ED6D2C">
      <w:pPr>
        <w:numPr>
          <w:ilvl w:val="0"/>
          <w:numId w:val="15"/>
        </w:numPr>
        <w:shd w:val="clear" w:color="auto" w:fill="FFFFFF"/>
        <w:spacing w:after="0" w:line="240" w:lineRule="auto"/>
        <w:ind w:left="0" w:firstLine="0"/>
        <w:jc w:val="both"/>
        <w:rPr>
          <w:sz w:val="24"/>
          <w:szCs w:val="24"/>
          <w:bdr w:val="none" w:sz="0" w:space="0" w:color="auto" w:frame="1"/>
          <w:lang w:eastAsia="pt-BR"/>
        </w:rPr>
      </w:pPr>
      <w:bookmarkStart w:id="0" w:name="_Hlk131067651"/>
      <w:r w:rsidRPr="00EF0DF0">
        <w:rPr>
          <w:sz w:val="24"/>
          <w:szCs w:val="24"/>
          <w:bdr w:val="none" w:sz="0" w:space="0" w:color="auto" w:frame="1"/>
          <w:lang w:eastAsia="pt-BR"/>
        </w:rPr>
        <w:t xml:space="preserve">Prova de capacidade financeira, apresentando as demonstrações contábeis dos últimos dois exercícios sociais.  </w:t>
      </w:r>
    </w:p>
    <w:bookmarkEnd w:id="0"/>
    <w:p w14:paraId="0B986FBE" w14:textId="77777777" w:rsidR="00ED6D2C" w:rsidRPr="00EF0DF0" w:rsidRDefault="00ED6D2C" w:rsidP="00ED6D2C">
      <w:pPr>
        <w:numPr>
          <w:ilvl w:val="0"/>
          <w:numId w:val="15"/>
        </w:numPr>
        <w:shd w:val="clear" w:color="auto" w:fill="FFFFFF"/>
        <w:spacing w:after="0" w:line="240" w:lineRule="auto"/>
        <w:ind w:left="0" w:firstLine="0"/>
        <w:jc w:val="both"/>
        <w:rPr>
          <w:sz w:val="24"/>
          <w:szCs w:val="24"/>
          <w:bdr w:val="none" w:sz="0" w:space="0" w:color="auto" w:frame="1"/>
          <w:lang w:eastAsia="pt-BR"/>
        </w:rPr>
      </w:pPr>
      <w:r w:rsidRPr="00EF0DF0">
        <w:rPr>
          <w:sz w:val="24"/>
          <w:szCs w:val="24"/>
          <w:bdr w:val="none" w:sz="0" w:space="0" w:color="auto" w:frame="1"/>
          <w:lang w:eastAsia="pt-BR"/>
        </w:rPr>
        <w:t xml:space="preserve">A comprovação da situação financeira da empresa, conforme Declaração de Capacidade Operacional Financeira (ANEXO X), será avaliada pelos Índices de Liquidez Corrente (ILC), Liquidez Geral (ILG) e Solvência Geral (ISG): </w:t>
      </w:r>
    </w:p>
    <w:p w14:paraId="720376CE" w14:textId="77777777" w:rsidR="00ED6D2C" w:rsidRPr="00EF0DF0" w:rsidRDefault="00ED6D2C" w:rsidP="00ED6D2C">
      <w:pPr>
        <w:shd w:val="clear" w:color="auto" w:fill="FFFFFF"/>
        <w:jc w:val="both"/>
        <w:rPr>
          <w:sz w:val="24"/>
          <w:szCs w:val="24"/>
          <w:bdr w:val="none" w:sz="0" w:space="0" w:color="auto" w:frame="1"/>
          <w:lang w:eastAsia="pt-BR"/>
        </w:rPr>
      </w:pPr>
    </w:p>
    <w:tbl>
      <w:tblPr>
        <w:tblW w:w="0" w:type="auto"/>
        <w:tblInd w:w="70" w:type="dxa"/>
        <w:tblLayout w:type="fixed"/>
        <w:tblCellMar>
          <w:left w:w="70" w:type="dxa"/>
          <w:right w:w="70" w:type="dxa"/>
        </w:tblCellMar>
        <w:tblLook w:val="04A0" w:firstRow="1" w:lastRow="0" w:firstColumn="1" w:lastColumn="0" w:noHBand="0" w:noVBand="1"/>
      </w:tblPr>
      <w:tblGrid>
        <w:gridCol w:w="3119"/>
        <w:gridCol w:w="3118"/>
        <w:gridCol w:w="2835"/>
      </w:tblGrid>
      <w:tr w:rsidR="00ED6D2C" w:rsidRPr="00EF0DF0" w14:paraId="16444DA4" w14:textId="77777777" w:rsidTr="00825382">
        <w:tc>
          <w:tcPr>
            <w:tcW w:w="3119" w:type="dxa"/>
            <w:tcBorders>
              <w:top w:val="single" w:sz="4" w:space="0" w:color="000000"/>
              <w:left w:val="single" w:sz="4" w:space="0" w:color="000000"/>
              <w:bottom w:val="single" w:sz="4" w:space="0" w:color="000000"/>
              <w:right w:val="nil"/>
            </w:tcBorders>
            <w:hideMark/>
          </w:tcPr>
          <w:p w14:paraId="09F1B22D" w14:textId="77777777" w:rsidR="00ED6D2C" w:rsidRPr="00EF0DF0" w:rsidRDefault="00ED6D2C" w:rsidP="00825382">
            <w:pPr>
              <w:shd w:val="clear" w:color="auto" w:fill="FFFFFF"/>
              <w:jc w:val="both"/>
              <w:rPr>
                <w:sz w:val="24"/>
                <w:szCs w:val="24"/>
                <w:bdr w:val="none" w:sz="0" w:space="0" w:color="auto" w:frame="1"/>
                <w:lang w:eastAsia="pt-BR"/>
              </w:rPr>
            </w:pPr>
            <w:r w:rsidRPr="00EF0DF0">
              <w:rPr>
                <w:sz w:val="24"/>
                <w:szCs w:val="24"/>
                <w:bdr w:val="none" w:sz="0" w:space="0" w:color="auto" w:frame="1"/>
                <w:lang w:eastAsia="pt-BR"/>
              </w:rPr>
              <w:t xml:space="preserve">(ILG) </w:t>
            </w:r>
          </w:p>
          <w:p w14:paraId="184D2D36" w14:textId="77777777" w:rsidR="00ED6D2C" w:rsidRPr="00EF0DF0" w:rsidRDefault="00ED6D2C" w:rsidP="00825382">
            <w:pPr>
              <w:shd w:val="clear" w:color="auto" w:fill="FFFFFF"/>
              <w:jc w:val="both"/>
              <w:rPr>
                <w:sz w:val="24"/>
                <w:szCs w:val="24"/>
                <w:bdr w:val="none" w:sz="0" w:space="0" w:color="auto" w:frame="1"/>
                <w:lang w:eastAsia="pt-BR"/>
              </w:rPr>
            </w:pPr>
            <w:r w:rsidRPr="00EF0DF0">
              <w:rPr>
                <w:sz w:val="24"/>
                <w:szCs w:val="24"/>
                <w:bdr w:val="none" w:sz="0" w:space="0" w:color="auto" w:frame="1"/>
                <w:lang w:eastAsia="pt-BR"/>
              </w:rPr>
              <w:t>(valor maior que)</w:t>
            </w:r>
          </w:p>
        </w:tc>
        <w:tc>
          <w:tcPr>
            <w:tcW w:w="3118" w:type="dxa"/>
            <w:tcBorders>
              <w:top w:val="single" w:sz="4" w:space="0" w:color="000000"/>
              <w:left w:val="single" w:sz="4" w:space="0" w:color="000000"/>
              <w:bottom w:val="single" w:sz="4" w:space="0" w:color="000000"/>
              <w:right w:val="nil"/>
            </w:tcBorders>
            <w:hideMark/>
          </w:tcPr>
          <w:p w14:paraId="63CC2152" w14:textId="77777777" w:rsidR="00ED6D2C" w:rsidRPr="00EF0DF0" w:rsidRDefault="00ED6D2C" w:rsidP="00825382">
            <w:pPr>
              <w:shd w:val="clear" w:color="auto" w:fill="FFFFFF"/>
              <w:jc w:val="both"/>
              <w:rPr>
                <w:sz w:val="24"/>
                <w:szCs w:val="24"/>
                <w:bdr w:val="none" w:sz="0" w:space="0" w:color="auto" w:frame="1"/>
                <w:lang w:eastAsia="pt-BR"/>
              </w:rPr>
            </w:pPr>
            <w:r w:rsidRPr="00EF0DF0">
              <w:rPr>
                <w:sz w:val="24"/>
                <w:szCs w:val="24"/>
                <w:bdr w:val="none" w:sz="0" w:space="0" w:color="auto" w:frame="1"/>
                <w:lang w:eastAsia="pt-BR"/>
              </w:rPr>
              <w:t xml:space="preserve">(ILC) </w:t>
            </w:r>
          </w:p>
          <w:p w14:paraId="2927232D" w14:textId="77777777" w:rsidR="00ED6D2C" w:rsidRPr="00EF0DF0" w:rsidRDefault="00ED6D2C" w:rsidP="00825382">
            <w:pPr>
              <w:shd w:val="clear" w:color="auto" w:fill="FFFFFF"/>
              <w:jc w:val="both"/>
              <w:rPr>
                <w:sz w:val="24"/>
                <w:szCs w:val="24"/>
                <w:bdr w:val="none" w:sz="0" w:space="0" w:color="auto" w:frame="1"/>
                <w:lang w:eastAsia="pt-BR"/>
              </w:rPr>
            </w:pPr>
            <w:r w:rsidRPr="00EF0DF0">
              <w:rPr>
                <w:sz w:val="24"/>
                <w:szCs w:val="24"/>
                <w:bdr w:val="none" w:sz="0" w:space="0" w:color="auto" w:frame="1"/>
                <w:lang w:eastAsia="pt-BR"/>
              </w:rPr>
              <w:t>(valor maior que)</w:t>
            </w:r>
          </w:p>
        </w:tc>
        <w:tc>
          <w:tcPr>
            <w:tcW w:w="2835" w:type="dxa"/>
            <w:tcBorders>
              <w:top w:val="single" w:sz="4" w:space="0" w:color="000000"/>
              <w:left w:val="single" w:sz="4" w:space="0" w:color="000000"/>
              <w:bottom w:val="single" w:sz="4" w:space="0" w:color="000000"/>
              <w:right w:val="single" w:sz="4" w:space="0" w:color="000000"/>
            </w:tcBorders>
            <w:hideMark/>
          </w:tcPr>
          <w:p w14:paraId="5D7D4DC3" w14:textId="77777777" w:rsidR="00ED6D2C" w:rsidRPr="00EF0DF0" w:rsidRDefault="00ED6D2C" w:rsidP="00825382">
            <w:pPr>
              <w:shd w:val="clear" w:color="auto" w:fill="FFFFFF"/>
              <w:jc w:val="both"/>
              <w:rPr>
                <w:sz w:val="24"/>
                <w:szCs w:val="24"/>
                <w:bdr w:val="none" w:sz="0" w:space="0" w:color="auto" w:frame="1"/>
                <w:lang w:eastAsia="pt-BR"/>
              </w:rPr>
            </w:pPr>
            <w:r w:rsidRPr="00EF0DF0">
              <w:rPr>
                <w:sz w:val="24"/>
                <w:szCs w:val="24"/>
                <w:bdr w:val="none" w:sz="0" w:space="0" w:color="auto" w:frame="1"/>
                <w:lang w:eastAsia="pt-BR"/>
              </w:rPr>
              <w:t xml:space="preserve">(ISG) </w:t>
            </w:r>
          </w:p>
          <w:p w14:paraId="2B1D1891" w14:textId="77777777" w:rsidR="00ED6D2C" w:rsidRPr="00EF0DF0" w:rsidRDefault="00ED6D2C" w:rsidP="00825382">
            <w:pPr>
              <w:shd w:val="clear" w:color="auto" w:fill="FFFFFF"/>
              <w:jc w:val="both"/>
              <w:rPr>
                <w:sz w:val="24"/>
                <w:szCs w:val="24"/>
                <w:bdr w:val="none" w:sz="0" w:space="0" w:color="auto" w:frame="1"/>
                <w:lang w:eastAsia="pt-BR"/>
              </w:rPr>
            </w:pPr>
            <w:r w:rsidRPr="00EF0DF0">
              <w:rPr>
                <w:sz w:val="24"/>
                <w:szCs w:val="24"/>
                <w:bdr w:val="none" w:sz="0" w:space="0" w:color="auto" w:frame="1"/>
                <w:lang w:eastAsia="pt-BR"/>
              </w:rPr>
              <w:t>(valor maior que)</w:t>
            </w:r>
          </w:p>
        </w:tc>
      </w:tr>
      <w:tr w:rsidR="00ED6D2C" w:rsidRPr="00EF0DF0" w14:paraId="5ECC80FF" w14:textId="77777777" w:rsidTr="00825382">
        <w:tc>
          <w:tcPr>
            <w:tcW w:w="3119" w:type="dxa"/>
            <w:tcBorders>
              <w:top w:val="nil"/>
              <w:left w:val="single" w:sz="4" w:space="0" w:color="000000"/>
              <w:bottom w:val="single" w:sz="4" w:space="0" w:color="000000"/>
              <w:right w:val="nil"/>
            </w:tcBorders>
            <w:hideMark/>
          </w:tcPr>
          <w:p w14:paraId="556353AF" w14:textId="77777777" w:rsidR="00ED6D2C" w:rsidRPr="00EF0DF0" w:rsidRDefault="00ED6D2C" w:rsidP="00825382">
            <w:pPr>
              <w:shd w:val="clear" w:color="auto" w:fill="FFFFFF"/>
              <w:jc w:val="both"/>
              <w:rPr>
                <w:b/>
                <w:sz w:val="24"/>
                <w:szCs w:val="24"/>
                <w:bdr w:val="none" w:sz="0" w:space="0" w:color="auto" w:frame="1"/>
                <w:lang w:eastAsia="pt-BR"/>
              </w:rPr>
            </w:pPr>
            <w:r w:rsidRPr="00EF0DF0">
              <w:rPr>
                <w:b/>
                <w:sz w:val="24"/>
                <w:szCs w:val="24"/>
                <w:bdr w:val="none" w:sz="0" w:space="0" w:color="auto" w:frame="1"/>
                <w:lang w:eastAsia="pt-BR"/>
              </w:rPr>
              <w:t>1</w:t>
            </w:r>
          </w:p>
        </w:tc>
        <w:tc>
          <w:tcPr>
            <w:tcW w:w="3118" w:type="dxa"/>
            <w:tcBorders>
              <w:top w:val="nil"/>
              <w:left w:val="single" w:sz="4" w:space="0" w:color="000000"/>
              <w:bottom w:val="single" w:sz="4" w:space="0" w:color="000000"/>
              <w:right w:val="nil"/>
            </w:tcBorders>
            <w:hideMark/>
          </w:tcPr>
          <w:p w14:paraId="5E8E48DF" w14:textId="77777777" w:rsidR="00ED6D2C" w:rsidRPr="00EF0DF0" w:rsidRDefault="00ED6D2C" w:rsidP="00825382">
            <w:pPr>
              <w:shd w:val="clear" w:color="auto" w:fill="FFFFFF"/>
              <w:jc w:val="both"/>
              <w:rPr>
                <w:b/>
                <w:sz w:val="24"/>
                <w:szCs w:val="24"/>
                <w:bdr w:val="none" w:sz="0" w:space="0" w:color="auto" w:frame="1"/>
                <w:lang w:eastAsia="pt-BR"/>
              </w:rPr>
            </w:pPr>
            <w:r w:rsidRPr="00EF0DF0">
              <w:rPr>
                <w:b/>
                <w:sz w:val="24"/>
                <w:szCs w:val="24"/>
                <w:bdr w:val="none" w:sz="0" w:space="0" w:color="auto" w:frame="1"/>
                <w:lang w:eastAsia="pt-BR"/>
              </w:rPr>
              <w:t>1</w:t>
            </w:r>
          </w:p>
        </w:tc>
        <w:tc>
          <w:tcPr>
            <w:tcW w:w="2835" w:type="dxa"/>
            <w:tcBorders>
              <w:top w:val="nil"/>
              <w:left w:val="single" w:sz="4" w:space="0" w:color="000000"/>
              <w:bottom w:val="single" w:sz="4" w:space="0" w:color="000000"/>
              <w:right w:val="single" w:sz="4" w:space="0" w:color="000000"/>
            </w:tcBorders>
            <w:hideMark/>
          </w:tcPr>
          <w:p w14:paraId="138E8D39" w14:textId="77777777" w:rsidR="00ED6D2C" w:rsidRPr="00EF0DF0" w:rsidRDefault="00ED6D2C" w:rsidP="00825382">
            <w:pPr>
              <w:shd w:val="clear" w:color="auto" w:fill="FFFFFF"/>
              <w:jc w:val="both"/>
              <w:rPr>
                <w:b/>
                <w:sz w:val="24"/>
                <w:szCs w:val="24"/>
                <w:bdr w:val="none" w:sz="0" w:space="0" w:color="auto" w:frame="1"/>
                <w:lang w:eastAsia="pt-BR"/>
              </w:rPr>
            </w:pPr>
            <w:r w:rsidRPr="00EF0DF0">
              <w:rPr>
                <w:b/>
                <w:sz w:val="24"/>
                <w:szCs w:val="24"/>
                <w:bdr w:val="none" w:sz="0" w:space="0" w:color="auto" w:frame="1"/>
                <w:lang w:eastAsia="pt-BR"/>
              </w:rPr>
              <w:t>1</w:t>
            </w:r>
          </w:p>
        </w:tc>
      </w:tr>
    </w:tbl>
    <w:p w14:paraId="667DA6CD" w14:textId="77777777" w:rsidR="00ED6D2C" w:rsidRPr="00EF0DF0" w:rsidRDefault="00ED6D2C" w:rsidP="00ED6D2C">
      <w:pPr>
        <w:shd w:val="clear" w:color="auto" w:fill="FFFFFF"/>
        <w:jc w:val="both"/>
        <w:rPr>
          <w:sz w:val="24"/>
          <w:szCs w:val="24"/>
          <w:bdr w:val="none" w:sz="0" w:space="0" w:color="auto" w:frame="1"/>
          <w:lang w:eastAsia="pt-BR"/>
        </w:rPr>
      </w:pPr>
    </w:p>
    <w:p w14:paraId="7D750373" w14:textId="77777777" w:rsidR="00ED6D2C" w:rsidRPr="00EF0DF0" w:rsidRDefault="00ED6D2C" w:rsidP="00ED6D2C">
      <w:pPr>
        <w:shd w:val="clear" w:color="auto" w:fill="FFFFFF"/>
        <w:jc w:val="both"/>
        <w:rPr>
          <w:sz w:val="24"/>
          <w:szCs w:val="24"/>
          <w:bdr w:val="none" w:sz="0" w:space="0" w:color="auto" w:frame="1"/>
          <w:lang w:eastAsia="pt-BR"/>
        </w:rPr>
      </w:pPr>
      <w:r w:rsidRPr="00EF0DF0">
        <w:rPr>
          <w:sz w:val="24"/>
          <w:szCs w:val="24"/>
          <w:bdr w:val="none" w:sz="0" w:space="0" w:color="auto" w:frame="1"/>
          <w:lang w:eastAsia="pt-BR"/>
        </w:rPr>
        <w:t>b.1) Os índices acima determinados são resultantes da aplicação das seguintes fórmulas:</w:t>
      </w:r>
    </w:p>
    <w:p w14:paraId="12E3BA7C" w14:textId="77777777" w:rsidR="00ED6D2C" w:rsidRPr="00EF0DF0" w:rsidRDefault="00ED6D2C" w:rsidP="00ED6D2C">
      <w:pPr>
        <w:shd w:val="clear" w:color="auto" w:fill="FFFFFF"/>
        <w:jc w:val="both"/>
        <w:rPr>
          <w:b/>
          <w:bCs/>
          <w:sz w:val="24"/>
          <w:szCs w:val="24"/>
          <w:bdr w:val="none" w:sz="0" w:space="0" w:color="auto" w:frame="1"/>
          <w:lang w:eastAsia="pt-BR"/>
        </w:rPr>
      </w:pPr>
      <w:r w:rsidRPr="00EF0DF0">
        <w:rPr>
          <w:b/>
          <w:bCs/>
          <w:sz w:val="24"/>
          <w:szCs w:val="24"/>
          <w:bdr w:val="none" w:sz="0" w:space="0" w:color="auto" w:frame="1"/>
          <w:lang w:eastAsia="pt-BR"/>
        </w:rPr>
        <w:t>Índice de Liquidez Corrente (ILC):</w:t>
      </w:r>
    </w:p>
    <w:tbl>
      <w:tblPr>
        <w:tblW w:w="2970" w:type="dxa"/>
        <w:tblInd w:w="852" w:type="dxa"/>
        <w:tblLayout w:type="fixed"/>
        <w:tblCellMar>
          <w:left w:w="10" w:type="dxa"/>
          <w:right w:w="10" w:type="dxa"/>
        </w:tblCellMar>
        <w:tblLook w:val="04A0" w:firstRow="1" w:lastRow="0" w:firstColumn="1" w:lastColumn="0" w:noHBand="0" w:noVBand="1"/>
      </w:tblPr>
      <w:tblGrid>
        <w:gridCol w:w="848"/>
        <w:gridCol w:w="2122"/>
      </w:tblGrid>
      <w:tr w:rsidR="00ED6D2C" w:rsidRPr="00EF0DF0" w14:paraId="444F4264" w14:textId="77777777" w:rsidTr="00825382">
        <w:trPr>
          <w:cantSplit/>
        </w:trPr>
        <w:tc>
          <w:tcPr>
            <w:tcW w:w="849" w:type="dxa"/>
            <w:vMerge w:val="restart"/>
            <w:tcMar>
              <w:top w:w="0" w:type="dxa"/>
              <w:left w:w="70" w:type="dxa"/>
              <w:bottom w:w="0" w:type="dxa"/>
              <w:right w:w="70" w:type="dxa"/>
            </w:tcMar>
            <w:vAlign w:val="center"/>
            <w:hideMark/>
          </w:tcPr>
          <w:p w14:paraId="4575EC21" w14:textId="77777777" w:rsidR="00ED6D2C" w:rsidRPr="00EF0DF0" w:rsidRDefault="00ED6D2C" w:rsidP="00825382">
            <w:pPr>
              <w:shd w:val="clear" w:color="auto" w:fill="FFFFFF"/>
              <w:jc w:val="both"/>
              <w:rPr>
                <w:sz w:val="24"/>
                <w:szCs w:val="24"/>
                <w:bdr w:val="none" w:sz="0" w:space="0" w:color="auto" w:frame="1"/>
                <w:lang w:eastAsia="pt-BR"/>
              </w:rPr>
            </w:pPr>
            <w:r w:rsidRPr="00EF0DF0">
              <w:rPr>
                <w:sz w:val="24"/>
                <w:szCs w:val="24"/>
                <w:bdr w:val="none" w:sz="0" w:space="0" w:color="auto" w:frame="1"/>
                <w:lang w:eastAsia="pt-BR"/>
              </w:rPr>
              <w:t>ILC =</w:t>
            </w:r>
          </w:p>
        </w:tc>
        <w:tc>
          <w:tcPr>
            <w:tcW w:w="2125" w:type="dxa"/>
            <w:tcBorders>
              <w:top w:val="nil"/>
              <w:left w:val="nil"/>
              <w:bottom w:val="single" w:sz="4" w:space="0" w:color="000080"/>
              <w:right w:val="nil"/>
            </w:tcBorders>
            <w:tcMar>
              <w:top w:w="0" w:type="dxa"/>
              <w:left w:w="70" w:type="dxa"/>
              <w:bottom w:w="0" w:type="dxa"/>
              <w:right w:w="70" w:type="dxa"/>
            </w:tcMar>
            <w:hideMark/>
          </w:tcPr>
          <w:p w14:paraId="57F099F5" w14:textId="77777777" w:rsidR="00ED6D2C" w:rsidRPr="00EF0DF0" w:rsidRDefault="00ED6D2C" w:rsidP="00825382">
            <w:pPr>
              <w:shd w:val="clear" w:color="auto" w:fill="FFFFFF"/>
              <w:jc w:val="both"/>
              <w:rPr>
                <w:sz w:val="24"/>
                <w:szCs w:val="24"/>
                <w:bdr w:val="none" w:sz="0" w:space="0" w:color="auto" w:frame="1"/>
                <w:lang w:eastAsia="pt-BR"/>
              </w:rPr>
            </w:pPr>
            <w:r w:rsidRPr="00EF0DF0">
              <w:rPr>
                <w:sz w:val="24"/>
                <w:szCs w:val="24"/>
                <w:bdr w:val="none" w:sz="0" w:space="0" w:color="auto" w:frame="1"/>
                <w:lang w:eastAsia="pt-BR"/>
              </w:rPr>
              <w:t>Ativo Circulante</w:t>
            </w:r>
          </w:p>
        </w:tc>
      </w:tr>
      <w:tr w:rsidR="00ED6D2C" w:rsidRPr="00EF0DF0" w14:paraId="3AE51613" w14:textId="77777777" w:rsidTr="00825382">
        <w:trPr>
          <w:cantSplit/>
        </w:trPr>
        <w:tc>
          <w:tcPr>
            <w:tcW w:w="2974" w:type="dxa"/>
            <w:vMerge/>
            <w:vAlign w:val="center"/>
            <w:hideMark/>
          </w:tcPr>
          <w:p w14:paraId="2FB2CFDE" w14:textId="77777777" w:rsidR="00ED6D2C" w:rsidRPr="00EF0DF0" w:rsidRDefault="00ED6D2C" w:rsidP="00825382">
            <w:pPr>
              <w:shd w:val="clear" w:color="auto" w:fill="FFFFFF"/>
              <w:jc w:val="both"/>
              <w:rPr>
                <w:sz w:val="24"/>
                <w:szCs w:val="24"/>
                <w:bdr w:val="none" w:sz="0" w:space="0" w:color="auto" w:frame="1"/>
                <w:lang w:eastAsia="pt-BR"/>
              </w:rPr>
            </w:pPr>
          </w:p>
        </w:tc>
        <w:tc>
          <w:tcPr>
            <w:tcW w:w="2125" w:type="dxa"/>
            <w:tcMar>
              <w:top w:w="0" w:type="dxa"/>
              <w:left w:w="70" w:type="dxa"/>
              <w:bottom w:w="0" w:type="dxa"/>
              <w:right w:w="70" w:type="dxa"/>
            </w:tcMar>
            <w:hideMark/>
          </w:tcPr>
          <w:p w14:paraId="79DD53CF" w14:textId="77777777" w:rsidR="00ED6D2C" w:rsidRPr="00EF0DF0" w:rsidRDefault="00ED6D2C" w:rsidP="00825382">
            <w:pPr>
              <w:shd w:val="clear" w:color="auto" w:fill="FFFFFF"/>
              <w:jc w:val="both"/>
              <w:rPr>
                <w:sz w:val="24"/>
                <w:szCs w:val="24"/>
                <w:bdr w:val="none" w:sz="0" w:space="0" w:color="auto" w:frame="1"/>
                <w:lang w:eastAsia="pt-BR"/>
              </w:rPr>
            </w:pPr>
            <w:r w:rsidRPr="00EF0DF0">
              <w:rPr>
                <w:sz w:val="24"/>
                <w:szCs w:val="24"/>
                <w:bdr w:val="none" w:sz="0" w:space="0" w:color="auto" w:frame="1"/>
                <w:lang w:eastAsia="pt-BR"/>
              </w:rPr>
              <w:t>Passivo Circulante</w:t>
            </w:r>
          </w:p>
        </w:tc>
      </w:tr>
      <w:tr w:rsidR="00ED6D2C" w:rsidRPr="00EF0DF0" w14:paraId="0B711134" w14:textId="77777777" w:rsidTr="00825382">
        <w:trPr>
          <w:cantSplit/>
        </w:trPr>
        <w:tc>
          <w:tcPr>
            <w:tcW w:w="2974" w:type="dxa"/>
            <w:gridSpan w:val="2"/>
            <w:tcMar>
              <w:top w:w="0" w:type="dxa"/>
              <w:left w:w="70" w:type="dxa"/>
              <w:bottom w:w="0" w:type="dxa"/>
              <w:right w:w="70" w:type="dxa"/>
            </w:tcMar>
            <w:vAlign w:val="center"/>
          </w:tcPr>
          <w:p w14:paraId="018CA3B5" w14:textId="77777777" w:rsidR="00ED6D2C" w:rsidRPr="00EF0DF0" w:rsidRDefault="00ED6D2C" w:rsidP="00825382">
            <w:pPr>
              <w:shd w:val="clear" w:color="auto" w:fill="FFFFFF"/>
              <w:jc w:val="both"/>
              <w:rPr>
                <w:sz w:val="24"/>
                <w:szCs w:val="24"/>
                <w:bdr w:val="none" w:sz="0" w:space="0" w:color="auto" w:frame="1"/>
                <w:lang w:eastAsia="pt-BR"/>
              </w:rPr>
            </w:pPr>
          </w:p>
        </w:tc>
      </w:tr>
    </w:tbl>
    <w:p w14:paraId="0BAD9F15" w14:textId="77777777" w:rsidR="00ED6D2C" w:rsidRPr="00EF0DF0" w:rsidRDefault="00ED6D2C" w:rsidP="00ED6D2C">
      <w:pPr>
        <w:shd w:val="clear" w:color="auto" w:fill="FFFFFF"/>
        <w:jc w:val="both"/>
        <w:rPr>
          <w:b/>
          <w:bCs/>
          <w:sz w:val="24"/>
          <w:szCs w:val="24"/>
          <w:bdr w:val="none" w:sz="0" w:space="0" w:color="auto" w:frame="1"/>
          <w:lang w:eastAsia="pt-BR"/>
        </w:rPr>
      </w:pPr>
      <w:r w:rsidRPr="00EF0DF0">
        <w:rPr>
          <w:b/>
          <w:bCs/>
          <w:sz w:val="24"/>
          <w:szCs w:val="24"/>
          <w:bdr w:val="none" w:sz="0" w:space="0" w:color="auto" w:frame="1"/>
          <w:lang w:eastAsia="pt-BR"/>
        </w:rPr>
        <w:t>Índice de Liquidez Geral (ILG):</w:t>
      </w: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ED6D2C" w:rsidRPr="00EF0DF0" w14:paraId="6F082702" w14:textId="77777777" w:rsidTr="00ED6D2C">
        <w:trPr>
          <w:cantSplit/>
        </w:trPr>
        <w:tc>
          <w:tcPr>
            <w:tcW w:w="850" w:type="dxa"/>
            <w:vMerge w:val="restart"/>
            <w:tcMar>
              <w:top w:w="0" w:type="dxa"/>
              <w:left w:w="70" w:type="dxa"/>
              <w:bottom w:w="0" w:type="dxa"/>
              <w:right w:w="70" w:type="dxa"/>
            </w:tcMar>
            <w:vAlign w:val="center"/>
            <w:hideMark/>
          </w:tcPr>
          <w:p w14:paraId="4673E5C2" w14:textId="77777777" w:rsidR="00ED6D2C" w:rsidRPr="00EF0DF0" w:rsidRDefault="00ED6D2C" w:rsidP="00825382">
            <w:pPr>
              <w:shd w:val="clear" w:color="auto" w:fill="FFFFFF"/>
              <w:jc w:val="both"/>
              <w:rPr>
                <w:sz w:val="24"/>
                <w:szCs w:val="24"/>
                <w:bdr w:val="none" w:sz="0" w:space="0" w:color="auto" w:frame="1"/>
                <w:lang w:eastAsia="pt-BR"/>
              </w:rPr>
            </w:pPr>
            <w:r w:rsidRPr="00EF0DF0">
              <w:rPr>
                <w:sz w:val="24"/>
                <w:szCs w:val="24"/>
                <w:bdr w:val="none" w:sz="0" w:space="0" w:color="auto" w:frame="1"/>
                <w:lang w:eastAsia="pt-BR"/>
              </w:rPr>
              <w:t>ILG =</w:t>
            </w:r>
          </w:p>
        </w:tc>
        <w:tc>
          <w:tcPr>
            <w:tcW w:w="4400" w:type="dxa"/>
            <w:tcBorders>
              <w:top w:val="nil"/>
              <w:left w:val="nil"/>
              <w:bottom w:val="single" w:sz="4" w:space="0" w:color="000080"/>
              <w:right w:val="nil"/>
            </w:tcBorders>
            <w:tcMar>
              <w:top w:w="0" w:type="dxa"/>
              <w:left w:w="70" w:type="dxa"/>
              <w:bottom w:w="0" w:type="dxa"/>
              <w:right w:w="70" w:type="dxa"/>
            </w:tcMar>
            <w:hideMark/>
          </w:tcPr>
          <w:p w14:paraId="67422166" w14:textId="77777777" w:rsidR="00ED6D2C" w:rsidRPr="00EF0DF0" w:rsidRDefault="00ED6D2C" w:rsidP="00825382">
            <w:pPr>
              <w:shd w:val="clear" w:color="auto" w:fill="FFFFFF"/>
              <w:jc w:val="both"/>
              <w:rPr>
                <w:sz w:val="24"/>
                <w:szCs w:val="24"/>
                <w:bdr w:val="none" w:sz="0" w:space="0" w:color="auto" w:frame="1"/>
                <w:lang w:eastAsia="pt-BR"/>
              </w:rPr>
            </w:pPr>
            <w:r w:rsidRPr="00EF0DF0">
              <w:rPr>
                <w:sz w:val="24"/>
                <w:szCs w:val="24"/>
                <w:bdr w:val="none" w:sz="0" w:space="0" w:color="auto" w:frame="1"/>
                <w:lang w:eastAsia="pt-BR"/>
              </w:rPr>
              <w:t>Ativo Circulante + Realizável a Longo Prazo</w:t>
            </w:r>
          </w:p>
        </w:tc>
      </w:tr>
      <w:tr w:rsidR="00ED6D2C" w:rsidRPr="00EF0DF0" w14:paraId="19546635" w14:textId="77777777" w:rsidTr="00ED6D2C">
        <w:trPr>
          <w:cantSplit/>
        </w:trPr>
        <w:tc>
          <w:tcPr>
            <w:tcW w:w="850" w:type="dxa"/>
            <w:vMerge/>
            <w:vAlign w:val="center"/>
            <w:hideMark/>
          </w:tcPr>
          <w:p w14:paraId="26CD7994" w14:textId="77777777" w:rsidR="00ED6D2C" w:rsidRPr="00EF0DF0" w:rsidRDefault="00ED6D2C" w:rsidP="00825382">
            <w:pPr>
              <w:shd w:val="clear" w:color="auto" w:fill="FFFFFF"/>
              <w:jc w:val="both"/>
              <w:rPr>
                <w:sz w:val="24"/>
                <w:szCs w:val="24"/>
                <w:bdr w:val="none" w:sz="0" w:space="0" w:color="auto" w:frame="1"/>
                <w:lang w:eastAsia="pt-BR"/>
              </w:rPr>
            </w:pPr>
          </w:p>
        </w:tc>
        <w:tc>
          <w:tcPr>
            <w:tcW w:w="4400" w:type="dxa"/>
            <w:tcMar>
              <w:top w:w="0" w:type="dxa"/>
              <w:left w:w="70" w:type="dxa"/>
              <w:bottom w:w="0" w:type="dxa"/>
              <w:right w:w="70" w:type="dxa"/>
            </w:tcMar>
            <w:hideMark/>
          </w:tcPr>
          <w:p w14:paraId="33BDF45D" w14:textId="77777777" w:rsidR="00ED6D2C" w:rsidRPr="00EF0DF0" w:rsidRDefault="00ED6D2C" w:rsidP="00825382">
            <w:pPr>
              <w:shd w:val="clear" w:color="auto" w:fill="FFFFFF"/>
              <w:jc w:val="both"/>
              <w:rPr>
                <w:sz w:val="24"/>
                <w:szCs w:val="24"/>
                <w:bdr w:val="none" w:sz="0" w:space="0" w:color="auto" w:frame="1"/>
                <w:lang w:eastAsia="pt-BR"/>
              </w:rPr>
            </w:pPr>
            <w:r w:rsidRPr="00EF0DF0">
              <w:rPr>
                <w:sz w:val="24"/>
                <w:szCs w:val="24"/>
                <w:bdr w:val="none" w:sz="0" w:space="0" w:color="auto" w:frame="1"/>
                <w:lang w:eastAsia="pt-BR"/>
              </w:rPr>
              <w:t>Passivo Circulante + Exigível à Longo Prazo</w:t>
            </w:r>
          </w:p>
        </w:tc>
      </w:tr>
      <w:tr w:rsidR="00ED6D2C" w:rsidRPr="00EF0DF0" w14:paraId="5332CC53" w14:textId="77777777" w:rsidTr="00ED6D2C">
        <w:trPr>
          <w:cantSplit/>
        </w:trPr>
        <w:tc>
          <w:tcPr>
            <w:tcW w:w="5250" w:type="dxa"/>
            <w:gridSpan w:val="2"/>
            <w:tcMar>
              <w:top w:w="0" w:type="dxa"/>
              <w:left w:w="70" w:type="dxa"/>
              <w:bottom w:w="0" w:type="dxa"/>
              <w:right w:w="70" w:type="dxa"/>
            </w:tcMar>
            <w:vAlign w:val="center"/>
          </w:tcPr>
          <w:p w14:paraId="55E1D199" w14:textId="77777777" w:rsidR="00ED6D2C" w:rsidRPr="00EF0DF0" w:rsidRDefault="00ED6D2C" w:rsidP="00825382">
            <w:pPr>
              <w:shd w:val="clear" w:color="auto" w:fill="FFFFFF"/>
              <w:jc w:val="both"/>
              <w:rPr>
                <w:sz w:val="24"/>
                <w:szCs w:val="24"/>
                <w:bdr w:val="none" w:sz="0" w:space="0" w:color="auto" w:frame="1"/>
                <w:lang w:eastAsia="pt-BR"/>
              </w:rPr>
            </w:pPr>
          </w:p>
        </w:tc>
      </w:tr>
    </w:tbl>
    <w:p w14:paraId="5ED55BA6" w14:textId="77777777" w:rsidR="00ED6D2C" w:rsidRPr="00EF0DF0" w:rsidRDefault="00ED6D2C" w:rsidP="00ED6D2C">
      <w:pPr>
        <w:shd w:val="clear" w:color="auto" w:fill="FFFFFF"/>
        <w:jc w:val="both"/>
        <w:rPr>
          <w:b/>
          <w:bCs/>
          <w:sz w:val="24"/>
          <w:szCs w:val="24"/>
          <w:bdr w:val="none" w:sz="0" w:space="0" w:color="auto" w:frame="1"/>
          <w:lang w:eastAsia="pt-BR"/>
        </w:rPr>
      </w:pPr>
      <w:r w:rsidRPr="00EF0DF0">
        <w:rPr>
          <w:b/>
          <w:bCs/>
          <w:sz w:val="24"/>
          <w:szCs w:val="24"/>
          <w:bdr w:val="none" w:sz="0" w:space="0" w:color="auto" w:frame="1"/>
          <w:lang w:eastAsia="pt-BR"/>
        </w:rPr>
        <w:t>Solvência Geral (ISG):</w:t>
      </w:r>
    </w:p>
    <w:tbl>
      <w:tblPr>
        <w:tblW w:w="5250" w:type="dxa"/>
        <w:tblInd w:w="852" w:type="dxa"/>
        <w:tblLayout w:type="fixed"/>
        <w:tblCellMar>
          <w:left w:w="10" w:type="dxa"/>
          <w:right w:w="10" w:type="dxa"/>
        </w:tblCellMar>
        <w:tblLook w:val="04A0" w:firstRow="1" w:lastRow="0" w:firstColumn="1" w:lastColumn="0" w:noHBand="0" w:noVBand="1"/>
      </w:tblPr>
      <w:tblGrid>
        <w:gridCol w:w="850"/>
        <w:gridCol w:w="4400"/>
      </w:tblGrid>
      <w:tr w:rsidR="00ED6D2C" w:rsidRPr="00EF0DF0" w14:paraId="64A1AC4B" w14:textId="77777777" w:rsidTr="00825382">
        <w:trPr>
          <w:cantSplit/>
        </w:trPr>
        <w:tc>
          <w:tcPr>
            <w:tcW w:w="850" w:type="dxa"/>
            <w:vMerge w:val="restart"/>
            <w:tcMar>
              <w:top w:w="0" w:type="dxa"/>
              <w:left w:w="70" w:type="dxa"/>
              <w:bottom w:w="0" w:type="dxa"/>
              <w:right w:w="70" w:type="dxa"/>
            </w:tcMar>
            <w:vAlign w:val="center"/>
            <w:hideMark/>
          </w:tcPr>
          <w:p w14:paraId="743B1264" w14:textId="77777777" w:rsidR="00ED6D2C" w:rsidRPr="00EF0DF0" w:rsidRDefault="00ED6D2C" w:rsidP="00825382">
            <w:pPr>
              <w:shd w:val="clear" w:color="auto" w:fill="FFFFFF"/>
              <w:jc w:val="both"/>
              <w:rPr>
                <w:sz w:val="24"/>
                <w:szCs w:val="24"/>
                <w:bdr w:val="none" w:sz="0" w:space="0" w:color="auto" w:frame="1"/>
                <w:lang w:eastAsia="pt-BR"/>
              </w:rPr>
            </w:pPr>
            <w:r w:rsidRPr="00EF0DF0">
              <w:rPr>
                <w:sz w:val="24"/>
                <w:szCs w:val="24"/>
                <w:bdr w:val="none" w:sz="0" w:space="0" w:color="auto" w:frame="1"/>
                <w:lang w:eastAsia="pt-BR"/>
              </w:rPr>
              <w:t>ISG =</w:t>
            </w:r>
          </w:p>
        </w:tc>
        <w:tc>
          <w:tcPr>
            <w:tcW w:w="4400" w:type="dxa"/>
            <w:tcBorders>
              <w:top w:val="nil"/>
              <w:left w:val="nil"/>
              <w:bottom w:val="single" w:sz="4" w:space="0" w:color="000080"/>
              <w:right w:val="nil"/>
            </w:tcBorders>
            <w:tcMar>
              <w:top w:w="0" w:type="dxa"/>
              <w:left w:w="70" w:type="dxa"/>
              <w:bottom w:w="0" w:type="dxa"/>
              <w:right w:w="70" w:type="dxa"/>
            </w:tcMar>
            <w:hideMark/>
          </w:tcPr>
          <w:p w14:paraId="193D6D95" w14:textId="77777777" w:rsidR="00ED6D2C" w:rsidRPr="00EF0DF0" w:rsidRDefault="00ED6D2C" w:rsidP="00825382">
            <w:pPr>
              <w:shd w:val="clear" w:color="auto" w:fill="FFFFFF"/>
              <w:jc w:val="both"/>
              <w:rPr>
                <w:sz w:val="24"/>
                <w:szCs w:val="24"/>
                <w:bdr w:val="none" w:sz="0" w:space="0" w:color="auto" w:frame="1"/>
                <w:lang w:eastAsia="pt-BR"/>
              </w:rPr>
            </w:pPr>
            <w:r w:rsidRPr="00EF0DF0">
              <w:rPr>
                <w:sz w:val="24"/>
                <w:szCs w:val="24"/>
                <w:bdr w:val="none" w:sz="0" w:space="0" w:color="auto" w:frame="1"/>
                <w:lang w:eastAsia="pt-BR"/>
              </w:rPr>
              <w:t>Ativo Circulante + Ativo Permanente + Realizável a Longo Prazo</w:t>
            </w:r>
          </w:p>
        </w:tc>
      </w:tr>
      <w:tr w:rsidR="00ED6D2C" w:rsidRPr="00EF0DF0" w14:paraId="39105643" w14:textId="77777777" w:rsidTr="00ED6D2C">
        <w:trPr>
          <w:cantSplit/>
        </w:trPr>
        <w:tc>
          <w:tcPr>
            <w:tcW w:w="850" w:type="dxa"/>
            <w:vMerge/>
            <w:vAlign w:val="center"/>
            <w:hideMark/>
          </w:tcPr>
          <w:p w14:paraId="295B97CF" w14:textId="77777777" w:rsidR="00ED6D2C" w:rsidRPr="00EF0DF0" w:rsidRDefault="00ED6D2C" w:rsidP="00825382">
            <w:pPr>
              <w:shd w:val="clear" w:color="auto" w:fill="FFFFFF"/>
              <w:jc w:val="both"/>
              <w:rPr>
                <w:sz w:val="24"/>
                <w:szCs w:val="24"/>
                <w:bdr w:val="none" w:sz="0" w:space="0" w:color="auto" w:frame="1"/>
                <w:lang w:eastAsia="pt-BR"/>
              </w:rPr>
            </w:pPr>
          </w:p>
        </w:tc>
        <w:tc>
          <w:tcPr>
            <w:tcW w:w="4400" w:type="dxa"/>
            <w:tcMar>
              <w:top w:w="0" w:type="dxa"/>
              <w:left w:w="70" w:type="dxa"/>
              <w:bottom w:w="0" w:type="dxa"/>
              <w:right w:w="70" w:type="dxa"/>
            </w:tcMar>
            <w:hideMark/>
          </w:tcPr>
          <w:p w14:paraId="39DB9C84" w14:textId="77777777" w:rsidR="00ED6D2C" w:rsidRPr="00EF0DF0" w:rsidRDefault="00ED6D2C" w:rsidP="00825382">
            <w:pPr>
              <w:shd w:val="clear" w:color="auto" w:fill="FFFFFF"/>
              <w:jc w:val="both"/>
              <w:rPr>
                <w:sz w:val="24"/>
                <w:szCs w:val="24"/>
                <w:bdr w:val="none" w:sz="0" w:space="0" w:color="auto" w:frame="1"/>
                <w:lang w:eastAsia="pt-BR"/>
              </w:rPr>
            </w:pPr>
            <w:r w:rsidRPr="00EF0DF0">
              <w:rPr>
                <w:sz w:val="24"/>
                <w:szCs w:val="24"/>
                <w:bdr w:val="none" w:sz="0" w:space="0" w:color="auto" w:frame="1"/>
                <w:lang w:eastAsia="pt-BR"/>
              </w:rPr>
              <w:t>Passivo Circulante + Exigível a longo prazo</w:t>
            </w:r>
          </w:p>
        </w:tc>
      </w:tr>
      <w:tr w:rsidR="00ED6D2C" w:rsidRPr="00EF0DF0" w14:paraId="5B9A3DE7" w14:textId="77777777" w:rsidTr="00825382">
        <w:trPr>
          <w:cantSplit/>
        </w:trPr>
        <w:tc>
          <w:tcPr>
            <w:tcW w:w="5250" w:type="dxa"/>
            <w:gridSpan w:val="2"/>
            <w:tcMar>
              <w:top w:w="0" w:type="dxa"/>
              <w:left w:w="70" w:type="dxa"/>
              <w:bottom w:w="0" w:type="dxa"/>
              <w:right w:w="70" w:type="dxa"/>
            </w:tcMar>
            <w:vAlign w:val="center"/>
          </w:tcPr>
          <w:p w14:paraId="42CA07CE" w14:textId="77777777" w:rsidR="00ED6D2C" w:rsidRPr="00EF0DF0" w:rsidRDefault="00ED6D2C" w:rsidP="00825382">
            <w:pPr>
              <w:shd w:val="clear" w:color="auto" w:fill="FFFFFF"/>
              <w:jc w:val="both"/>
              <w:rPr>
                <w:sz w:val="24"/>
                <w:szCs w:val="24"/>
                <w:bdr w:val="none" w:sz="0" w:space="0" w:color="auto" w:frame="1"/>
                <w:lang w:eastAsia="pt-BR"/>
              </w:rPr>
            </w:pPr>
          </w:p>
        </w:tc>
      </w:tr>
    </w:tbl>
    <w:p w14:paraId="4745BF7A" w14:textId="77777777" w:rsidR="00ED6D2C" w:rsidRPr="00EF0DF0" w:rsidRDefault="00ED6D2C" w:rsidP="00ED6D2C">
      <w:pPr>
        <w:shd w:val="clear" w:color="auto" w:fill="FFFFFF"/>
        <w:jc w:val="both"/>
        <w:rPr>
          <w:sz w:val="24"/>
          <w:szCs w:val="24"/>
          <w:bdr w:val="none" w:sz="0" w:space="0" w:color="auto" w:frame="1"/>
          <w:lang w:eastAsia="pt-BR"/>
        </w:rPr>
      </w:pPr>
      <w:r w:rsidRPr="00EF0DF0">
        <w:rPr>
          <w:sz w:val="24"/>
          <w:szCs w:val="24"/>
          <w:bdr w:val="none" w:sz="0" w:space="0" w:color="auto" w:frame="1"/>
          <w:lang w:eastAsia="pt-BR"/>
        </w:rPr>
        <w:t>sendo:</w:t>
      </w:r>
    </w:p>
    <w:p w14:paraId="0AB2965F" w14:textId="77777777" w:rsidR="00ED6D2C" w:rsidRPr="00EF0DF0" w:rsidRDefault="00ED6D2C" w:rsidP="00ED6D2C">
      <w:pPr>
        <w:shd w:val="clear" w:color="auto" w:fill="FFFFFF"/>
        <w:jc w:val="both"/>
        <w:rPr>
          <w:sz w:val="24"/>
          <w:szCs w:val="24"/>
          <w:bdr w:val="none" w:sz="0" w:space="0" w:color="auto" w:frame="1"/>
          <w:lang w:eastAsia="pt-BR"/>
        </w:rPr>
      </w:pPr>
      <w:r w:rsidRPr="00EF0DF0">
        <w:rPr>
          <w:sz w:val="24"/>
          <w:szCs w:val="24"/>
          <w:bdr w:val="none" w:sz="0" w:space="0" w:color="auto" w:frame="1"/>
          <w:lang w:eastAsia="pt-BR"/>
        </w:rPr>
        <w:t xml:space="preserve">AC - </w:t>
      </w:r>
      <w:proofErr w:type="gramStart"/>
      <w:r w:rsidRPr="00EF0DF0">
        <w:rPr>
          <w:sz w:val="24"/>
          <w:szCs w:val="24"/>
          <w:bdr w:val="none" w:sz="0" w:space="0" w:color="auto" w:frame="1"/>
          <w:lang w:eastAsia="pt-BR"/>
        </w:rPr>
        <w:t>ativo</w:t>
      </w:r>
      <w:proofErr w:type="gramEnd"/>
      <w:r w:rsidRPr="00EF0DF0">
        <w:rPr>
          <w:sz w:val="24"/>
          <w:szCs w:val="24"/>
          <w:bdr w:val="none" w:sz="0" w:space="0" w:color="auto" w:frame="1"/>
          <w:lang w:eastAsia="pt-BR"/>
        </w:rPr>
        <w:t xml:space="preserve"> circulante                       PC - passivo circulante                    AP - ativo permanente    </w:t>
      </w:r>
    </w:p>
    <w:p w14:paraId="003F6287" w14:textId="77777777" w:rsidR="00ED6D2C" w:rsidRPr="00EF0DF0" w:rsidRDefault="00ED6D2C" w:rsidP="00ED6D2C">
      <w:pPr>
        <w:shd w:val="clear" w:color="auto" w:fill="FFFFFF"/>
        <w:jc w:val="both"/>
        <w:rPr>
          <w:sz w:val="24"/>
          <w:szCs w:val="24"/>
          <w:bdr w:val="none" w:sz="0" w:space="0" w:color="auto" w:frame="1"/>
          <w:lang w:eastAsia="pt-BR"/>
        </w:rPr>
      </w:pPr>
      <w:r w:rsidRPr="00EF0DF0">
        <w:rPr>
          <w:sz w:val="24"/>
          <w:szCs w:val="24"/>
          <w:bdr w:val="none" w:sz="0" w:space="0" w:color="auto" w:frame="1"/>
          <w:lang w:eastAsia="pt-BR"/>
        </w:rPr>
        <w:t>RLP - realizável a longo prazo        ELP    - exigível a longo prazo</w:t>
      </w:r>
    </w:p>
    <w:p w14:paraId="7483683F" w14:textId="77777777" w:rsidR="00ED6D2C" w:rsidRPr="00EF0DF0" w:rsidRDefault="00ED6D2C" w:rsidP="00ED6D2C">
      <w:pPr>
        <w:shd w:val="clear" w:color="auto" w:fill="FFFFFF"/>
        <w:jc w:val="both"/>
        <w:rPr>
          <w:bCs/>
          <w:sz w:val="24"/>
          <w:szCs w:val="24"/>
          <w:bdr w:val="none" w:sz="0" w:space="0" w:color="auto" w:frame="1"/>
          <w:lang w:eastAsia="pt-BR"/>
        </w:rPr>
      </w:pPr>
      <w:r w:rsidRPr="00EF0DF0">
        <w:rPr>
          <w:bCs/>
          <w:sz w:val="24"/>
          <w:szCs w:val="24"/>
          <w:bdr w:val="none" w:sz="0" w:space="0" w:color="auto" w:frame="1"/>
          <w:lang w:eastAsia="pt-BR"/>
        </w:rPr>
        <w:t>b.2) Os índices deverão ser apresentados com 2 (duas) casas decimais, desprezando-se as demais.</w:t>
      </w:r>
    </w:p>
    <w:p w14:paraId="704328E7" w14:textId="77777777" w:rsidR="00ED6D2C" w:rsidRPr="00EF0DF0" w:rsidRDefault="00ED6D2C" w:rsidP="00ED6D2C">
      <w:pPr>
        <w:shd w:val="clear" w:color="auto" w:fill="FFFFFF"/>
        <w:jc w:val="both"/>
        <w:rPr>
          <w:b/>
          <w:sz w:val="24"/>
          <w:szCs w:val="24"/>
          <w:bdr w:val="none" w:sz="0" w:space="0" w:color="auto" w:frame="1"/>
          <w:lang w:eastAsia="pt-BR"/>
        </w:rPr>
      </w:pPr>
      <w:r w:rsidRPr="00EF0DF0">
        <w:rPr>
          <w:sz w:val="24"/>
          <w:szCs w:val="24"/>
          <w:bdr w:val="none" w:sz="0" w:space="0" w:color="auto" w:frame="1"/>
          <w:lang w:eastAsia="pt-BR"/>
        </w:rPr>
        <w:t>b. 3) A critério da Administração, poderá ser exigida declaração, assinada por profissional habilitado da área contábil, que ateste o atendimento pelo licitante dos índices econômicos previstos no Edital.</w:t>
      </w:r>
      <w:r w:rsidRPr="00EF0DF0">
        <w:rPr>
          <w:b/>
          <w:sz w:val="24"/>
          <w:szCs w:val="24"/>
          <w:bdr w:val="none" w:sz="0" w:space="0" w:color="auto" w:frame="1"/>
          <w:lang w:eastAsia="pt-BR"/>
        </w:rPr>
        <w:t xml:space="preserve"> </w:t>
      </w:r>
    </w:p>
    <w:p w14:paraId="5B851509" w14:textId="77777777" w:rsidR="00ED6D2C" w:rsidRPr="00AF12AB" w:rsidRDefault="00ED6D2C" w:rsidP="00ED6D2C">
      <w:pPr>
        <w:shd w:val="clear" w:color="auto" w:fill="FFFFFF"/>
        <w:jc w:val="both"/>
        <w:rPr>
          <w:sz w:val="24"/>
          <w:szCs w:val="24"/>
          <w:bdr w:val="none" w:sz="0" w:space="0" w:color="auto" w:frame="1"/>
          <w:lang w:eastAsia="pt-BR"/>
        </w:rPr>
      </w:pPr>
      <w:r w:rsidRPr="00EF0DF0">
        <w:rPr>
          <w:bCs/>
          <w:sz w:val="24"/>
          <w:szCs w:val="24"/>
          <w:bdr w:val="none" w:sz="0" w:space="0" w:color="auto" w:frame="1"/>
          <w:lang w:eastAsia="pt-BR"/>
        </w:rPr>
        <w:t xml:space="preserve">b.4) </w:t>
      </w:r>
      <w:r w:rsidRPr="00EF0DF0">
        <w:rPr>
          <w:sz w:val="24"/>
          <w:szCs w:val="24"/>
          <w:bdr w:val="none" w:sz="0" w:space="0" w:color="auto" w:frame="1"/>
          <w:lang w:eastAsia="pt-BR"/>
        </w:rPr>
        <w:t>As empresas, cadastradas ou não no SICAF, que apresentarem resultado inferior ou igual a 1(um) em qualquer dos índices de liquidez geral (LG), liquidez corrente (LC) e solvência geral (SG), deverão comprovar patrimônio líquido não inferior a 10% (dez por cento) do valor estimado da contratação.</w:t>
      </w:r>
    </w:p>
    <w:p w14:paraId="1B84E27F" w14:textId="77777777" w:rsidR="00ED6D2C" w:rsidRPr="00EF0DF0" w:rsidRDefault="00ED6D2C" w:rsidP="00ED6D2C">
      <w:pPr>
        <w:shd w:val="clear" w:color="auto" w:fill="FFFFFF"/>
        <w:jc w:val="both"/>
        <w:rPr>
          <w:sz w:val="24"/>
          <w:szCs w:val="24"/>
          <w:bdr w:val="none" w:sz="0" w:space="0" w:color="auto" w:frame="1"/>
          <w:lang w:eastAsia="pt-BR"/>
        </w:rPr>
      </w:pPr>
      <w:r w:rsidRPr="00EF0DF0">
        <w:rPr>
          <w:sz w:val="24"/>
          <w:szCs w:val="24"/>
          <w:bdr w:val="none" w:sz="0" w:space="0" w:color="auto" w:frame="1"/>
          <w:lang w:eastAsia="pt-BR"/>
        </w:rPr>
        <w:t>b.5) A Declaração de Capacidade Operacional Financeira demonstrará a relação dos compromissos assumidos pelo licitante que importem em diminuição de sua capacidade econômico-financeira, excluídas parcelas já executadas de contratos firmados.</w:t>
      </w:r>
    </w:p>
    <w:p w14:paraId="53F1EF03" w14:textId="77777777" w:rsidR="00ED6D2C" w:rsidRPr="00EF0DF0" w:rsidRDefault="00ED6D2C" w:rsidP="00ED6D2C">
      <w:pPr>
        <w:shd w:val="clear" w:color="auto" w:fill="FFFFFF"/>
        <w:jc w:val="both"/>
        <w:rPr>
          <w:sz w:val="24"/>
          <w:szCs w:val="24"/>
          <w:bdr w:val="none" w:sz="0" w:space="0" w:color="auto" w:frame="1"/>
          <w:lang w:eastAsia="pt-BR"/>
        </w:rPr>
      </w:pPr>
      <w:bookmarkStart w:id="1" w:name="_Hlk131083201"/>
      <w:bookmarkStart w:id="2" w:name="_Hlk131067692"/>
      <w:r w:rsidRPr="00EF0DF0">
        <w:rPr>
          <w:sz w:val="24"/>
          <w:szCs w:val="24"/>
          <w:bdr w:val="none" w:sz="0" w:space="0" w:color="auto" w:frame="1"/>
          <w:lang w:eastAsia="pt-BR"/>
        </w:rPr>
        <w:t>c) balanço patrimonial, demonstração de resultado de exercício e demais demonstrações contábeis dos 2 (dois) últimos exercícios sociais.</w:t>
      </w:r>
    </w:p>
    <w:p w14:paraId="036B2DDF" w14:textId="77777777" w:rsidR="00ED6D2C" w:rsidRPr="00EF0DF0" w:rsidRDefault="00ED6D2C" w:rsidP="00ED6D2C">
      <w:pPr>
        <w:shd w:val="clear" w:color="auto" w:fill="FFFFFF"/>
        <w:jc w:val="both"/>
        <w:rPr>
          <w:sz w:val="24"/>
          <w:szCs w:val="24"/>
          <w:bdr w:val="none" w:sz="0" w:space="0" w:color="auto" w:frame="1"/>
          <w:lang w:eastAsia="pt-BR"/>
        </w:rPr>
      </w:pPr>
      <w:r w:rsidRPr="00EF0DF0">
        <w:rPr>
          <w:sz w:val="24"/>
          <w:szCs w:val="24"/>
          <w:bdr w:val="none" w:sz="0" w:space="0" w:color="auto" w:frame="1"/>
          <w:lang w:eastAsia="pt-BR"/>
        </w:rPr>
        <w:t xml:space="preserve">c.1) O balanço patrimonial anual com as demonstrações contábeis, devidamente assinado por contabilista registrado no Conselho Regional de Contabilidade e o representante legal da empresa, deverá vir acompanhado dos termos de abertura e de encerramento do Livro Diário, devidamente registrados e assinados. </w:t>
      </w:r>
    </w:p>
    <w:p w14:paraId="41CB6714" w14:textId="77777777" w:rsidR="00ED6D2C" w:rsidRPr="00EF0DF0" w:rsidRDefault="00ED6D2C" w:rsidP="00ED6D2C">
      <w:pPr>
        <w:shd w:val="clear" w:color="auto" w:fill="FFFFFF"/>
        <w:jc w:val="both"/>
        <w:rPr>
          <w:sz w:val="24"/>
          <w:szCs w:val="24"/>
          <w:bdr w:val="none" w:sz="0" w:space="0" w:color="auto" w:frame="1"/>
          <w:lang w:eastAsia="pt-BR"/>
        </w:rPr>
      </w:pPr>
      <w:r w:rsidRPr="00EF0DF0">
        <w:rPr>
          <w:sz w:val="24"/>
          <w:szCs w:val="24"/>
          <w:bdr w:val="none" w:sz="0" w:space="0" w:color="auto" w:frame="1"/>
          <w:lang w:eastAsia="pt-BR"/>
        </w:rPr>
        <w:t>c.2) O balanço das sociedades anônimas ou por ações deverá ser apresentado em publicação no Diário Oficial. O(</w:t>
      </w:r>
      <w:r w:rsidRPr="00EF0DF0">
        <w:rPr>
          <w:i/>
          <w:sz w:val="24"/>
          <w:szCs w:val="24"/>
          <w:bdr w:val="none" w:sz="0" w:space="0" w:color="auto" w:frame="1"/>
          <w:lang w:eastAsia="pt-BR"/>
        </w:rPr>
        <w:t>s</w:t>
      </w:r>
      <w:r w:rsidRPr="00EF0DF0">
        <w:rPr>
          <w:sz w:val="24"/>
          <w:szCs w:val="24"/>
          <w:bdr w:val="none" w:sz="0" w:space="0" w:color="auto" w:frame="1"/>
          <w:lang w:eastAsia="pt-BR"/>
        </w:rPr>
        <w:t>) mesmo(</w:t>
      </w:r>
      <w:r w:rsidRPr="00EF0DF0">
        <w:rPr>
          <w:i/>
          <w:sz w:val="24"/>
          <w:szCs w:val="24"/>
          <w:bdr w:val="none" w:sz="0" w:space="0" w:color="auto" w:frame="1"/>
          <w:lang w:eastAsia="pt-BR"/>
        </w:rPr>
        <w:t>s</w:t>
      </w:r>
      <w:r w:rsidRPr="00EF0DF0">
        <w:rPr>
          <w:sz w:val="24"/>
          <w:szCs w:val="24"/>
          <w:bdr w:val="none" w:sz="0" w:space="0" w:color="auto" w:frame="1"/>
          <w:lang w:eastAsia="pt-BR"/>
        </w:rPr>
        <w:t>) deverá(</w:t>
      </w:r>
      <w:proofErr w:type="spellStart"/>
      <w:r w:rsidRPr="00EF0DF0">
        <w:rPr>
          <w:i/>
          <w:sz w:val="24"/>
          <w:szCs w:val="24"/>
          <w:bdr w:val="none" w:sz="0" w:space="0" w:color="auto" w:frame="1"/>
          <w:lang w:eastAsia="pt-BR"/>
        </w:rPr>
        <w:t>ão</w:t>
      </w:r>
      <w:proofErr w:type="spellEnd"/>
      <w:r w:rsidRPr="00EF0DF0">
        <w:rPr>
          <w:sz w:val="24"/>
          <w:szCs w:val="24"/>
          <w:bdr w:val="none" w:sz="0" w:space="0" w:color="auto" w:frame="1"/>
          <w:lang w:eastAsia="pt-BR"/>
        </w:rPr>
        <w:t>) ser assinado(</w:t>
      </w:r>
      <w:r w:rsidRPr="00EF0DF0">
        <w:rPr>
          <w:i/>
          <w:sz w:val="24"/>
          <w:szCs w:val="24"/>
          <w:bdr w:val="none" w:sz="0" w:space="0" w:color="auto" w:frame="1"/>
          <w:lang w:eastAsia="pt-BR"/>
        </w:rPr>
        <w:t>s</w:t>
      </w:r>
      <w:r w:rsidRPr="00EF0DF0">
        <w:rPr>
          <w:sz w:val="24"/>
          <w:szCs w:val="24"/>
          <w:bdr w:val="none" w:sz="0" w:space="0" w:color="auto" w:frame="1"/>
          <w:lang w:eastAsia="pt-BR"/>
        </w:rPr>
        <w:t>) por profissional da contabilidade registrado no Conselho Regional de Contabilidade.</w:t>
      </w:r>
    </w:p>
    <w:p w14:paraId="333E4468" w14:textId="77777777" w:rsidR="00ED6D2C" w:rsidRPr="00EF0DF0" w:rsidRDefault="00ED6D2C" w:rsidP="00ED6D2C">
      <w:pPr>
        <w:shd w:val="clear" w:color="auto" w:fill="FFFFFF"/>
        <w:jc w:val="both"/>
        <w:rPr>
          <w:sz w:val="24"/>
          <w:szCs w:val="24"/>
          <w:bdr w:val="none" w:sz="0" w:space="0" w:color="auto" w:frame="1"/>
          <w:lang w:eastAsia="pt-BR"/>
        </w:rPr>
      </w:pPr>
      <w:r w:rsidRPr="00EF0DF0">
        <w:rPr>
          <w:sz w:val="24"/>
          <w:szCs w:val="24"/>
          <w:bdr w:val="none" w:sz="0" w:space="0" w:color="auto" w:frame="1"/>
          <w:lang w:eastAsia="pt-BR"/>
        </w:rPr>
        <w:t>c.3) Quando a data da abertura do certame for superior ao dia 30 de abril do presente ano, somente serão aceitos os balanços dos dois anos imediatamente anteriores.</w:t>
      </w:r>
    </w:p>
    <w:p w14:paraId="76D310F6" w14:textId="77777777" w:rsidR="00ED6D2C" w:rsidRPr="00AF12AB" w:rsidRDefault="00ED6D2C" w:rsidP="00ED6D2C">
      <w:pPr>
        <w:shd w:val="clear" w:color="auto" w:fill="FFFFFF"/>
        <w:jc w:val="both"/>
        <w:rPr>
          <w:sz w:val="24"/>
          <w:szCs w:val="24"/>
          <w:bdr w:val="none" w:sz="0" w:space="0" w:color="auto" w:frame="1"/>
          <w:lang w:eastAsia="pt-BR"/>
        </w:rPr>
      </w:pPr>
      <w:r w:rsidRPr="00EF0DF0">
        <w:rPr>
          <w:sz w:val="24"/>
          <w:szCs w:val="24"/>
          <w:bdr w:val="none" w:sz="0" w:space="0" w:color="auto" w:frame="1"/>
          <w:lang w:eastAsia="pt-BR"/>
        </w:rPr>
        <w:t>c.4) Os documentos exigidos no item “b” limitar-se-ão ao último exercício no caso de a pessoa jurídica ter sido constituída há menos de 2 (dois) anos.</w:t>
      </w:r>
    </w:p>
    <w:p w14:paraId="1A3E9CA3" w14:textId="77777777" w:rsidR="00ED6D2C" w:rsidRPr="00EF0DF0" w:rsidRDefault="00ED6D2C" w:rsidP="00ED6D2C">
      <w:pPr>
        <w:shd w:val="clear" w:color="auto" w:fill="FFFFFF"/>
        <w:jc w:val="both"/>
        <w:rPr>
          <w:sz w:val="24"/>
          <w:szCs w:val="24"/>
          <w:bdr w:val="none" w:sz="0" w:space="0" w:color="auto" w:frame="1"/>
          <w:lang w:eastAsia="pt-BR"/>
        </w:rPr>
      </w:pPr>
      <w:r w:rsidRPr="00EF0DF0">
        <w:rPr>
          <w:sz w:val="24"/>
          <w:szCs w:val="24"/>
          <w:bdr w:val="none" w:sz="0" w:space="0" w:color="auto" w:frame="1"/>
          <w:lang w:eastAsia="pt-BR"/>
        </w:rPr>
        <w:t>c.5) Em caso de empresa que ainda não possua balanço patrimonial e demonstrações contábeis já exigíveis, por serem recém-constituídas, apresentação de cópia do Balanço de Abertura, devidamente registrado na Junta Comercial ou cópia do Livro Diário contendo o Balanço de Abertura, inclusive com os termos de Abertura e de Encerramento, devidamente registrados na Junta Comercial da sede ou domicílio da Licitante.</w:t>
      </w:r>
    </w:p>
    <w:p w14:paraId="6F0BE903" w14:textId="77777777" w:rsidR="00ED6D2C" w:rsidRPr="00EF0DF0" w:rsidRDefault="00ED6D2C" w:rsidP="00ED6D2C">
      <w:pPr>
        <w:shd w:val="clear" w:color="auto" w:fill="FFFFFF"/>
        <w:jc w:val="both"/>
        <w:rPr>
          <w:sz w:val="24"/>
          <w:szCs w:val="24"/>
          <w:bdr w:val="none" w:sz="0" w:space="0" w:color="auto" w:frame="1"/>
          <w:lang w:eastAsia="pt-BR"/>
        </w:rPr>
      </w:pPr>
      <w:r w:rsidRPr="00EF0DF0">
        <w:rPr>
          <w:sz w:val="24"/>
          <w:szCs w:val="24"/>
          <w:bdr w:val="none" w:sz="0" w:space="0" w:color="auto" w:frame="1"/>
          <w:lang w:eastAsia="pt-BR"/>
        </w:rPr>
        <w:t>d) certidão negativa de Falência expedida pelo distribuidor da sede da pessoa jurídica ou negativa de execução patrimonial expedida no domicílio da pessoa física, dentro do prazo de validade;</w:t>
      </w:r>
      <w:bookmarkEnd w:id="1"/>
    </w:p>
    <w:bookmarkEnd w:id="2"/>
    <w:p w14:paraId="36F70317" w14:textId="77777777" w:rsidR="00ED6D2C" w:rsidRPr="00AF12AB" w:rsidRDefault="00ED6D2C" w:rsidP="00ED6D2C">
      <w:pPr>
        <w:shd w:val="clear" w:color="auto" w:fill="FFFFFF"/>
        <w:jc w:val="both"/>
        <w:rPr>
          <w:sz w:val="24"/>
          <w:szCs w:val="24"/>
          <w:bdr w:val="none" w:sz="0" w:space="0" w:color="auto" w:frame="1"/>
          <w:lang w:eastAsia="pt-BR"/>
        </w:rPr>
      </w:pPr>
      <w:r w:rsidRPr="00EF0DF0">
        <w:rPr>
          <w:sz w:val="24"/>
          <w:szCs w:val="24"/>
          <w:bdr w:val="none" w:sz="0" w:space="0" w:color="auto" w:frame="1"/>
          <w:lang w:eastAsia="pt-BR"/>
        </w:rPr>
        <w:t>e) declaração de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(constante do Anexo XI).</w:t>
      </w:r>
    </w:p>
    <w:p w14:paraId="1A9A68FA" w14:textId="77777777" w:rsidR="00527B1F" w:rsidRPr="00527B1F" w:rsidRDefault="00527B1F" w:rsidP="00527B1F">
      <w:pPr>
        <w:spacing w:after="0"/>
        <w:jc w:val="both"/>
        <w:outlineLvl w:val="2"/>
        <w:rPr>
          <w:rFonts w:eastAsia="Times New Roman" w:cstheme="minorHAnsi"/>
          <w:b/>
          <w:bCs/>
          <w:lang w:eastAsia="pt-BR"/>
        </w:rPr>
      </w:pPr>
      <w:r w:rsidRPr="00527B1F">
        <w:rPr>
          <w:rFonts w:eastAsia="Times New Roman" w:cstheme="minorHAnsi"/>
          <w:b/>
          <w:bCs/>
          <w:lang w:eastAsia="pt-BR"/>
        </w:rPr>
        <w:t>12.6. Documento de habilitação técnica</w:t>
      </w:r>
    </w:p>
    <w:p w14:paraId="30B9F9F1"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12.6.1. Prova de registro da empresa no Conselho Regional de Engenharia e Agronomia -- CREA, ou Conselho de Arquitetura e Urbanismo -- CAU, em vigor.</w:t>
      </w:r>
    </w:p>
    <w:p w14:paraId="69B65216" w14:textId="175A0E8D"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12.6.2. Prova de registro do profissional responsável técnico, no Conselho Regional de Engenharia e Agronomia - CREA, ou Conselho de Arquitetura e Urbanismo -- CAU, em vigor.</w:t>
      </w:r>
    </w:p>
    <w:p w14:paraId="12781765"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12.6.3. Atestado de visita, expedido pelo órgão licitador, ou declaração formal, assinada pelo responsável técnico da proponente, sob as penalidades da lei, de que tem pleno conhecimento das condições e peculiaridades inerentes à natureza dos trabalhos, assumindo total responsabilidade por esse fato e informando que não o utilizará para quaisquer questionamentos futuros que ensejem avenças técnicas ou financeiras com a contratante.</w:t>
      </w:r>
    </w:p>
    <w:p w14:paraId="24264BC5" w14:textId="77777777" w:rsidR="00527B1F" w:rsidRDefault="00527B1F" w:rsidP="00527B1F">
      <w:pPr>
        <w:spacing w:after="0"/>
        <w:jc w:val="both"/>
        <w:rPr>
          <w:rFonts w:eastAsia="Times New Roman" w:cstheme="minorHAnsi"/>
          <w:lang w:eastAsia="pt-BR"/>
        </w:rPr>
      </w:pPr>
      <w:r w:rsidRPr="00527B1F">
        <w:rPr>
          <w:rFonts w:eastAsia="Times New Roman" w:cstheme="minorHAnsi"/>
          <w:lang w:eastAsia="pt-BR"/>
        </w:rPr>
        <w:t>12.6.4. Atestado ou declaração de capacidade técnico-operacional, em nome da proponente, expedido por pessoa jurídica de direito público ou privado, de execução de no mínimo 01 (uma) obra de pavimentação asfáltica em CBUQ com características e porte compatíveis ou superiores ao objeto deste edital, contendo ao menos os serviços descritos na tabela abaixo:</w:t>
      </w: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096"/>
        <w:gridCol w:w="2976"/>
      </w:tblGrid>
      <w:tr w:rsidR="00ED6D2C" w:rsidRPr="005D0BC5" w14:paraId="37469939" w14:textId="77777777" w:rsidTr="00825382">
        <w:tc>
          <w:tcPr>
            <w:tcW w:w="6096" w:type="dxa"/>
          </w:tcPr>
          <w:p w14:paraId="577F2EB0" w14:textId="77777777" w:rsidR="00ED6D2C" w:rsidRPr="00967897" w:rsidRDefault="00ED6D2C" w:rsidP="00ED6D2C">
            <w:pPr>
              <w:tabs>
                <w:tab w:val="left" w:pos="0"/>
                <w:tab w:val="left" w:pos="1368"/>
              </w:tabs>
              <w:spacing w:after="0" w:line="240" w:lineRule="auto"/>
              <w:jc w:val="center"/>
              <w:rPr>
                <w:b/>
                <w:bCs/>
                <w:sz w:val="24"/>
                <w:szCs w:val="24"/>
              </w:rPr>
            </w:pPr>
            <w:r w:rsidRPr="00967897">
              <w:rPr>
                <w:sz w:val="24"/>
                <w:szCs w:val="24"/>
              </w:rPr>
              <w:tab/>
            </w:r>
            <w:r w:rsidRPr="00967897">
              <w:rPr>
                <w:b/>
                <w:bCs/>
                <w:sz w:val="24"/>
                <w:szCs w:val="24"/>
              </w:rPr>
              <w:t>DESCRIÇÃO OBJETO</w:t>
            </w:r>
          </w:p>
        </w:tc>
        <w:tc>
          <w:tcPr>
            <w:tcW w:w="2976" w:type="dxa"/>
          </w:tcPr>
          <w:p w14:paraId="452F0103" w14:textId="77777777" w:rsidR="00ED6D2C" w:rsidRPr="00967897" w:rsidRDefault="00ED6D2C" w:rsidP="00ED6D2C">
            <w:pPr>
              <w:tabs>
                <w:tab w:val="left" w:pos="0"/>
              </w:tabs>
              <w:spacing w:after="0" w:line="240" w:lineRule="auto"/>
              <w:jc w:val="center"/>
              <w:rPr>
                <w:b/>
                <w:bCs/>
                <w:sz w:val="24"/>
                <w:szCs w:val="24"/>
              </w:rPr>
            </w:pPr>
            <w:r w:rsidRPr="00967897">
              <w:rPr>
                <w:b/>
                <w:bCs/>
                <w:sz w:val="24"/>
                <w:szCs w:val="24"/>
              </w:rPr>
              <w:t>QUANTIDADE MÍNIMA</w:t>
            </w:r>
          </w:p>
        </w:tc>
      </w:tr>
      <w:tr w:rsidR="00ED6D2C" w:rsidRPr="005D0BC5" w14:paraId="7700A007" w14:textId="77777777" w:rsidTr="00825382">
        <w:tc>
          <w:tcPr>
            <w:tcW w:w="6096" w:type="dxa"/>
            <w:vAlign w:val="center"/>
          </w:tcPr>
          <w:p w14:paraId="2A70DDF9" w14:textId="77777777" w:rsidR="00ED6D2C" w:rsidRPr="00967897" w:rsidRDefault="00ED6D2C" w:rsidP="00ED6D2C">
            <w:pPr>
              <w:spacing w:after="0" w:line="240" w:lineRule="auto"/>
              <w:jc w:val="center"/>
              <w:rPr>
                <w:sz w:val="24"/>
                <w:szCs w:val="24"/>
                <w:highlight w:val="green"/>
              </w:rPr>
            </w:pPr>
            <w:r>
              <w:rPr>
                <w:sz w:val="24"/>
                <w:szCs w:val="24"/>
              </w:rPr>
              <w:t>Pavimentação em Concreto Betuminoso Usinado à Quente (CBUQ)</w:t>
            </w:r>
          </w:p>
        </w:tc>
        <w:tc>
          <w:tcPr>
            <w:tcW w:w="2976" w:type="dxa"/>
            <w:vAlign w:val="center"/>
          </w:tcPr>
          <w:p w14:paraId="4700711F" w14:textId="77777777" w:rsidR="00ED6D2C" w:rsidRPr="00967897" w:rsidRDefault="00ED6D2C" w:rsidP="00ED6D2C">
            <w:pPr>
              <w:spacing w:after="0" w:line="240" w:lineRule="auto"/>
              <w:jc w:val="center"/>
              <w:rPr>
                <w:sz w:val="24"/>
                <w:szCs w:val="24"/>
                <w:highlight w:val="green"/>
              </w:rPr>
            </w:pPr>
            <w:r>
              <w:rPr>
                <w:sz w:val="24"/>
                <w:szCs w:val="24"/>
              </w:rPr>
              <w:t>665,39 toneladas</w:t>
            </w:r>
          </w:p>
        </w:tc>
      </w:tr>
      <w:tr w:rsidR="00ED6D2C" w:rsidRPr="005D0BC5" w14:paraId="5762F790" w14:textId="77777777" w:rsidTr="00B81AF3">
        <w:tc>
          <w:tcPr>
            <w:tcW w:w="9072" w:type="dxa"/>
            <w:gridSpan w:val="2"/>
            <w:vAlign w:val="center"/>
          </w:tcPr>
          <w:p w14:paraId="09428131" w14:textId="4479E6CC" w:rsidR="00ED6D2C" w:rsidRDefault="00ED6D2C" w:rsidP="00ED6D2C">
            <w:pPr>
              <w:spacing w:after="0" w:line="240" w:lineRule="auto"/>
              <w:jc w:val="center"/>
              <w:rPr>
                <w:sz w:val="24"/>
                <w:szCs w:val="24"/>
              </w:rPr>
            </w:pPr>
            <w:r w:rsidRPr="00217B96">
              <w:rPr>
                <w:rFonts w:ascii="Calibri Light" w:eastAsia="Times New Roman" w:hAnsi="Calibri Light" w:cs="Calibri Light"/>
                <w:bCs/>
                <w:sz w:val="24"/>
                <w:szCs w:val="24"/>
                <w:lang w:eastAsia="pt-BR"/>
              </w:rPr>
              <w:t>Será admitida a soma de atestados para atender a quantidade mínima exigida.</w:t>
            </w:r>
          </w:p>
        </w:tc>
      </w:tr>
    </w:tbl>
    <w:p w14:paraId="7ADA3CD8" w14:textId="77777777" w:rsidR="00ED6D2C" w:rsidRDefault="00ED6D2C" w:rsidP="00527B1F">
      <w:pPr>
        <w:spacing w:after="0"/>
        <w:jc w:val="both"/>
        <w:rPr>
          <w:rFonts w:eastAsia="Times New Roman" w:cstheme="minorHAnsi"/>
          <w:lang w:eastAsia="pt-BR"/>
        </w:rPr>
      </w:pPr>
    </w:p>
    <w:p w14:paraId="1CDBD5C1"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12.6.5. Atestado ou declaração de capacidade técnico-profissional, fornecido por pessoa jurídica de direito público ou privado, em nome do responsável técnico indicado pela proponente, relativo à execução de no mínimo os serviços de complexidade tecnológica e operacional de características semelhantes ou superiores ao objeto licitado, contendo ao menos os serviços descritos na tabela acima.</w:t>
      </w:r>
    </w:p>
    <w:p w14:paraId="38A3FC18"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12.6.5.1. Os atestados ou declarações do responsável técnico indicado, deverão ser comprovados através de Certidão de Acervo Técnico com atestado, emitida pelo CREA ou CAU.</w:t>
      </w:r>
    </w:p>
    <w:p w14:paraId="060AFA4A"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12.6.6. Para atendimento de ambos os atestados acima descritos, não é necessário constarem no mesmo documento, podendo serem comprovados em atestados distintos.</w:t>
      </w:r>
    </w:p>
    <w:p w14:paraId="6E30ACFD" w14:textId="77777777" w:rsidR="00527B1F" w:rsidRPr="00ED6D2C" w:rsidRDefault="00527B1F" w:rsidP="00ED6D2C">
      <w:pPr>
        <w:spacing w:after="0" w:line="240" w:lineRule="auto"/>
        <w:jc w:val="both"/>
        <w:rPr>
          <w:rFonts w:eastAsia="Times New Roman" w:cstheme="minorHAnsi"/>
          <w:lang w:eastAsia="pt-BR"/>
        </w:rPr>
      </w:pPr>
      <w:r w:rsidRPr="00ED6D2C">
        <w:rPr>
          <w:rFonts w:eastAsia="Times New Roman" w:cstheme="minorHAnsi"/>
          <w:lang w:eastAsia="pt-BR"/>
        </w:rPr>
        <w:t>12.6.7. Declaração de responsabilidade técnica, assinada pelo representante legal da proponente e pelo engenheiro responsável pela execução da obra até o seu recebimento definitivo pelo Contratante. O mesmo não poderá ser substituído sem expressa autorização do Contratante.</w:t>
      </w:r>
    </w:p>
    <w:p w14:paraId="5C696A62" w14:textId="77777777" w:rsidR="00527B1F" w:rsidRPr="00ED6D2C" w:rsidRDefault="00527B1F" w:rsidP="00ED6D2C">
      <w:pPr>
        <w:spacing w:after="0" w:line="240" w:lineRule="auto"/>
        <w:jc w:val="both"/>
        <w:rPr>
          <w:rFonts w:eastAsia="Times New Roman" w:cstheme="minorHAnsi"/>
          <w:lang w:eastAsia="pt-BR"/>
        </w:rPr>
      </w:pPr>
      <w:r w:rsidRPr="00ED6D2C">
        <w:rPr>
          <w:rFonts w:eastAsia="Times New Roman" w:cstheme="minorHAnsi"/>
          <w:lang w:eastAsia="pt-BR"/>
        </w:rPr>
        <w:t>12.6.8. Comprovação de vínculo empregatício, através de registro em carteira e ficha de registro ou contrato de prestação de serviços, entre o responsável técnico pela execução da obra e a proponente. Para dirigente ou sócio de empresa, tal comprovação será feita através da cópia da ata da assembleia de sua investidura no cargo ou contrato social.</w:t>
      </w:r>
    </w:p>
    <w:p w14:paraId="532310D6" w14:textId="77777777" w:rsidR="00527B1F" w:rsidRPr="00ED6D2C" w:rsidRDefault="00527B1F" w:rsidP="00ED6D2C">
      <w:pPr>
        <w:spacing w:after="0" w:line="240" w:lineRule="auto"/>
        <w:jc w:val="both"/>
        <w:rPr>
          <w:rFonts w:eastAsia="Times New Roman" w:cstheme="minorHAnsi"/>
          <w:color w:val="000000" w:themeColor="text1"/>
          <w:lang w:eastAsia="pt-BR"/>
        </w:rPr>
      </w:pPr>
      <w:r w:rsidRPr="00ED6D2C">
        <w:rPr>
          <w:rFonts w:eastAsia="Times New Roman" w:cstheme="minorHAnsi"/>
          <w:color w:val="000000" w:themeColor="text1"/>
          <w:lang w:eastAsia="pt-BR"/>
        </w:rPr>
        <w:t>12.6.9. É vedado, sob pena de inabilitação, a indicação de um mesmo responsável técnico por mais de uma proponente.</w:t>
      </w:r>
    </w:p>
    <w:p w14:paraId="757D2C34" w14:textId="5ECA2C63" w:rsidR="00ED6D2C" w:rsidRPr="00ED6D2C" w:rsidRDefault="006554D0" w:rsidP="00ED6D2C">
      <w:pPr>
        <w:spacing w:after="0" w:line="240" w:lineRule="auto"/>
        <w:jc w:val="both"/>
        <w:rPr>
          <w:color w:val="000000" w:themeColor="text1"/>
          <w:lang w:eastAsia="pt-BR"/>
        </w:rPr>
      </w:pPr>
      <w:r w:rsidRPr="00ED6D2C">
        <w:rPr>
          <w:rFonts w:eastAsia="Times New Roman" w:cstheme="minorHAnsi"/>
          <w:color w:val="000000" w:themeColor="text1"/>
          <w:lang w:eastAsia="pt-BR"/>
        </w:rPr>
        <w:t xml:space="preserve">12.6.10. </w:t>
      </w:r>
      <w:r w:rsidR="00ED6D2C" w:rsidRPr="00ED6D2C">
        <w:rPr>
          <w:color w:val="000000" w:themeColor="text1"/>
        </w:rPr>
        <w:t>Licença de Operação da Usina de Asfalto e o licenciamento ambiental da pedreira a ser utilizada, ambos emitidos pelo Instituto Água e Terra (IAT), constando dados da Usina, como: Razão Social, CNPJ, Endereço, validade em vigência.</w:t>
      </w:r>
    </w:p>
    <w:p w14:paraId="5E15B6C2" w14:textId="30DE30B2" w:rsidR="00ED6D2C" w:rsidRPr="00ED6D2C" w:rsidRDefault="00ED6D2C" w:rsidP="00ED6D2C">
      <w:pPr>
        <w:spacing w:after="0" w:line="240" w:lineRule="auto"/>
        <w:jc w:val="both"/>
        <w:rPr>
          <w:color w:val="000000" w:themeColor="text1"/>
          <w:lang w:eastAsia="pt-BR"/>
        </w:rPr>
      </w:pPr>
      <w:r w:rsidRPr="00ED6D2C">
        <w:rPr>
          <w:color w:val="000000" w:themeColor="text1"/>
        </w:rPr>
        <w:t>12.6.10.1. Caso a Usina de Asfalto não seja de propriedade da empresa contratada, apresentar contrato de fornecimento válido entre as partes, garantindo a disponibilização do material para a execução dos serviços.</w:t>
      </w:r>
    </w:p>
    <w:p w14:paraId="021111AA" w14:textId="3FAD2772" w:rsidR="00ED6D2C" w:rsidRPr="00ED6D2C" w:rsidRDefault="00ED6D2C" w:rsidP="00ED6D2C">
      <w:pPr>
        <w:spacing w:after="0" w:line="240" w:lineRule="auto"/>
        <w:jc w:val="both"/>
        <w:rPr>
          <w:color w:val="000000" w:themeColor="text1"/>
          <w:lang w:eastAsia="pt-BR"/>
        </w:rPr>
      </w:pPr>
      <w:r w:rsidRPr="00ED6D2C">
        <w:rPr>
          <w:color w:val="000000" w:themeColor="text1"/>
        </w:rPr>
        <w:t xml:space="preserve">12.6.10.2. A Usina de asfalto deverá estar localizada a menos de 60 (sessenta) quilômetros do município de Nova Prata do Iguaçu. </w:t>
      </w:r>
    </w:p>
    <w:p w14:paraId="119694F9" w14:textId="63DF4A6C" w:rsidR="00ED6D2C" w:rsidRDefault="00ED6D2C" w:rsidP="006554D0">
      <w:pPr>
        <w:spacing w:after="0"/>
        <w:jc w:val="both"/>
        <w:rPr>
          <w:rFonts w:eastAsia="Times New Roman" w:cstheme="minorHAnsi"/>
          <w:lang w:eastAsia="pt-BR"/>
        </w:rPr>
      </w:pPr>
    </w:p>
    <w:p w14:paraId="0349B66A" w14:textId="31874210" w:rsidR="00527B1F" w:rsidRPr="00527B1F" w:rsidRDefault="00527B1F" w:rsidP="00527B1F">
      <w:pPr>
        <w:spacing w:after="0"/>
        <w:jc w:val="both"/>
        <w:outlineLvl w:val="1"/>
        <w:rPr>
          <w:rFonts w:eastAsia="Times New Roman" w:cstheme="minorHAnsi"/>
          <w:b/>
          <w:bCs/>
          <w:lang w:eastAsia="pt-BR"/>
        </w:rPr>
      </w:pPr>
      <w:r w:rsidRPr="00527B1F">
        <w:rPr>
          <w:rFonts w:eastAsia="Times New Roman" w:cstheme="minorHAnsi"/>
          <w:b/>
          <w:bCs/>
          <w:lang w:eastAsia="pt-BR"/>
        </w:rPr>
        <w:t>13. ESTIMATIVAS DO VALOR DA CONTRATAÇÃO</w:t>
      </w:r>
    </w:p>
    <w:p w14:paraId="3DE7BDBA" w14:textId="53082F18"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 xml:space="preserve">13.1. O valor total estimado para a contratação é de </w:t>
      </w:r>
      <w:r w:rsidR="0040407C" w:rsidRPr="00EB2BC7">
        <w:rPr>
          <w:rFonts w:eastAsia="Times New Roman" w:cstheme="minorHAnsi"/>
          <w:b/>
          <w:bCs/>
          <w:lang w:eastAsia="pt-BR"/>
        </w:rPr>
        <w:t xml:space="preserve">R$ </w:t>
      </w:r>
      <w:r w:rsidR="00F87283">
        <w:rPr>
          <w:rFonts w:eastAsia="Times New Roman" w:cstheme="minorHAnsi"/>
          <w:b/>
          <w:bCs/>
          <w:lang w:eastAsia="pt-BR"/>
        </w:rPr>
        <w:t>1.783.364,11</w:t>
      </w:r>
      <w:r w:rsidR="0040407C" w:rsidRPr="00EB2BC7">
        <w:rPr>
          <w:rFonts w:eastAsia="Times New Roman" w:cstheme="minorHAnsi"/>
          <w:lang w:eastAsia="pt-BR"/>
        </w:rPr>
        <w:t xml:space="preserve"> (</w:t>
      </w:r>
      <w:r w:rsidR="00F87283">
        <w:rPr>
          <w:rFonts w:eastAsia="Times New Roman" w:cstheme="minorHAnsi"/>
          <w:lang w:eastAsia="pt-BR"/>
        </w:rPr>
        <w:t>um milhão setecentos e oitenta e três mil trezentos e sessenta e quatro reais e onze centavos</w:t>
      </w:r>
      <w:r w:rsidR="0040407C" w:rsidRPr="00EB2BC7">
        <w:rPr>
          <w:rFonts w:eastAsia="Times New Roman" w:cstheme="minorHAnsi"/>
          <w:lang w:eastAsia="pt-BR"/>
        </w:rPr>
        <w:t>)</w:t>
      </w:r>
      <w:r w:rsidRPr="00527B1F">
        <w:rPr>
          <w:rFonts w:eastAsia="Times New Roman" w:cstheme="minorHAnsi"/>
          <w:lang w:eastAsia="pt-BR"/>
        </w:rPr>
        <w:t>, conforme planilha orçamentária, apêndice deste Termo de Referência.</w:t>
      </w:r>
    </w:p>
    <w:p w14:paraId="7E664B68" w14:textId="16C0BD4A"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 xml:space="preserve">13.2. Os preços unitários adotados levaram em consideração os custos unitários previstos nas tabelas DER/PR (data base: </w:t>
      </w:r>
      <w:r w:rsidR="00F87283">
        <w:rPr>
          <w:rFonts w:eastAsia="Times New Roman" w:cstheme="minorHAnsi"/>
          <w:lang w:eastAsia="pt-BR"/>
        </w:rPr>
        <w:t>agosto</w:t>
      </w:r>
      <w:r w:rsidRPr="00527B1F">
        <w:rPr>
          <w:rFonts w:eastAsia="Times New Roman" w:cstheme="minorHAnsi"/>
          <w:lang w:eastAsia="pt-BR"/>
        </w:rPr>
        <w:t xml:space="preserve">/2025) e SINAPI (data base: </w:t>
      </w:r>
      <w:r w:rsidR="00F87283">
        <w:rPr>
          <w:rFonts w:eastAsia="Times New Roman" w:cstheme="minorHAnsi"/>
          <w:lang w:eastAsia="pt-BR"/>
        </w:rPr>
        <w:t>setembro</w:t>
      </w:r>
      <w:r w:rsidRPr="00527B1F">
        <w:rPr>
          <w:rFonts w:eastAsia="Times New Roman" w:cstheme="minorHAnsi"/>
          <w:lang w:eastAsia="pt-BR"/>
        </w:rPr>
        <w:t>/2025), sem desoneração.</w:t>
      </w:r>
    </w:p>
    <w:p w14:paraId="3567C686"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13.3. Na determinação do orçamento, a taxa do Benefício e Despesas Indiretas (BDI) é aplicada à composição dos custos. Estes dados estão detalhados em documento anexo e devem ser utilizados como referência e apresentados de forma distinta na proposta da licitante.</w:t>
      </w:r>
    </w:p>
    <w:p w14:paraId="6937D254" w14:textId="77777777" w:rsidR="00527B1F" w:rsidRDefault="00527B1F" w:rsidP="00527B1F">
      <w:pPr>
        <w:spacing w:after="0"/>
        <w:jc w:val="both"/>
        <w:rPr>
          <w:rFonts w:eastAsia="Times New Roman" w:cstheme="minorHAnsi"/>
          <w:lang w:eastAsia="pt-BR"/>
        </w:rPr>
      </w:pPr>
      <w:r w:rsidRPr="00527B1F">
        <w:rPr>
          <w:rFonts w:eastAsia="Times New Roman" w:cstheme="minorHAnsi"/>
          <w:lang w:eastAsia="pt-BR"/>
        </w:rPr>
        <w:t>13.4. O valor estimado se baseou em composições DER/PR e SINAPI, pesquisas de mercado junto a fornecedores regionais, contratações similares de outros órgãos públicos publicadas no PNCP e banco de preços do Sistema PARANACIDADE.</w:t>
      </w:r>
    </w:p>
    <w:p w14:paraId="1D8CBD94" w14:textId="1E332398" w:rsidR="00527B1F" w:rsidRPr="00527B1F" w:rsidRDefault="00527B1F" w:rsidP="00527B1F">
      <w:pPr>
        <w:spacing w:after="0"/>
        <w:jc w:val="both"/>
        <w:outlineLvl w:val="1"/>
        <w:rPr>
          <w:rFonts w:eastAsia="Times New Roman" w:cstheme="minorHAnsi"/>
          <w:b/>
          <w:bCs/>
          <w:lang w:eastAsia="pt-BR"/>
        </w:rPr>
      </w:pPr>
      <w:r w:rsidRPr="00527B1F">
        <w:rPr>
          <w:rFonts w:eastAsia="Times New Roman" w:cstheme="minorHAnsi"/>
          <w:b/>
          <w:bCs/>
          <w:lang w:eastAsia="pt-BR"/>
        </w:rPr>
        <w:t>14. DO REAJUSTAMENTO</w:t>
      </w:r>
    </w:p>
    <w:p w14:paraId="3B51A12C"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14.1. Os preços inicialmente contratados são fixos e irreajustáveis pelo prazo de um ano, contado da data do orçamento a que a proposta se referir.</w:t>
      </w:r>
    </w:p>
    <w:p w14:paraId="45A0D69F"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14.2. Excepcionalmente, se decorrer, ao longo da vigência do instrumento, o interregno de um ano, contado a partir da data de apresentação da proposta da CONTRATADA, os preços poderão ser reajustados, utilizando-se o Índice Nacional de Custo da Construção - INCC.</w:t>
      </w:r>
    </w:p>
    <w:p w14:paraId="46567019"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14.3. A data-base do reajuste será vinculada à data do orçamento estimado.</w:t>
      </w:r>
    </w:p>
    <w:p w14:paraId="7D173CDB"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14.4. O reajuste será concedido mediante simples apostila, conforme dispõe o art. 136 da Lei Federal n.º 14.133, de 2021.</w:t>
      </w:r>
    </w:p>
    <w:p w14:paraId="7F868C39"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14.5. Nos reajustes subsequentes ao primeiro, o interregno mínimo de um ano será contado a partir do último reajuste.</w:t>
      </w:r>
    </w:p>
    <w:p w14:paraId="67BE71D9"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14.6. Não serão admitidos apostilamentos com efeitos financeiros retroativos à data da sua assinatura.</w:t>
      </w:r>
    </w:p>
    <w:p w14:paraId="10227783" w14:textId="77777777" w:rsidR="00527B1F" w:rsidRDefault="00527B1F" w:rsidP="00527B1F">
      <w:pPr>
        <w:spacing w:after="0"/>
        <w:jc w:val="both"/>
        <w:rPr>
          <w:rFonts w:eastAsia="Times New Roman" w:cstheme="minorHAnsi"/>
          <w:lang w:eastAsia="pt-BR"/>
        </w:rPr>
      </w:pPr>
      <w:r w:rsidRPr="00527B1F">
        <w:rPr>
          <w:rFonts w:eastAsia="Times New Roman" w:cstheme="minorHAnsi"/>
          <w:lang w:eastAsia="pt-BR"/>
        </w:rPr>
        <w:t>14.7. A concessão de reajustes não pagos na época oportuna será apurada por procedimento próprio.</w:t>
      </w:r>
    </w:p>
    <w:p w14:paraId="154FA2BA" w14:textId="70D70E25" w:rsidR="00527B1F" w:rsidRPr="00527B1F" w:rsidRDefault="00527B1F" w:rsidP="00527B1F">
      <w:pPr>
        <w:spacing w:after="0"/>
        <w:jc w:val="both"/>
        <w:outlineLvl w:val="1"/>
        <w:rPr>
          <w:rFonts w:eastAsia="Times New Roman" w:cstheme="minorHAnsi"/>
          <w:b/>
          <w:bCs/>
          <w:lang w:eastAsia="pt-BR"/>
        </w:rPr>
      </w:pPr>
      <w:r w:rsidRPr="00527B1F">
        <w:rPr>
          <w:rFonts w:eastAsia="Times New Roman" w:cstheme="minorHAnsi"/>
          <w:b/>
          <w:bCs/>
          <w:lang w:eastAsia="pt-BR"/>
        </w:rPr>
        <w:t>15. ADEQUAÇÃO ORÇAMENTÁRIA</w:t>
      </w:r>
    </w:p>
    <w:p w14:paraId="2B226DA6" w14:textId="341C428D"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15.1. A obra está em conformidade com a Lei de Diretrizes Orçamentárias, com a Lei complementar nº 101 de 04 de maio de 2000 e</w:t>
      </w:r>
      <w:r w:rsidR="0045464C">
        <w:rPr>
          <w:rFonts w:eastAsia="Times New Roman" w:cstheme="minorHAnsi"/>
          <w:lang w:eastAsia="pt-BR"/>
        </w:rPr>
        <w:t xml:space="preserve"> com o Decreto Estadual 10.547/2025 relativo a ações do Programa Estadual de Pavimentação sobre Pedras Irregulares</w:t>
      </w:r>
      <w:r w:rsidRPr="00527B1F">
        <w:rPr>
          <w:rFonts w:eastAsia="Times New Roman" w:cstheme="minorHAnsi"/>
          <w:lang w:eastAsia="pt-BR"/>
        </w:rPr>
        <w:t xml:space="preserve">, dispondo de recursos orçamentários para a pavimentação de vias urbanas em CBUQ, através do </w:t>
      </w:r>
      <w:r w:rsidRPr="0045464C">
        <w:rPr>
          <w:rFonts w:eastAsia="Times New Roman" w:cstheme="minorHAnsi"/>
          <w:b/>
          <w:bCs/>
          <w:lang w:eastAsia="pt-BR"/>
        </w:rPr>
        <w:t>convênio</w:t>
      </w:r>
      <w:r w:rsidR="0045464C">
        <w:rPr>
          <w:rFonts w:eastAsia="Times New Roman" w:cstheme="minorHAnsi"/>
          <w:b/>
          <w:bCs/>
          <w:lang w:eastAsia="pt-BR"/>
        </w:rPr>
        <w:t xml:space="preserve"> </w:t>
      </w:r>
      <w:r w:rsidRPr="0045464C">
        <w:rPr>
          <w:rFonts w:eastAsia="Times New Roman" w:cstheme="minorHAnsi"/>
          <w:b/>
          <w:bCs/>
          <w:lang w:eastAsia="pt-BR"/>
        </w:rPr>
        <w:t xml:space="preserve"> com a SECID</w:t>
      </w:r>
      <w:r w:rsidR="0045464C" w:rsidRPr="0045464C">
        <w:rPr>
          <w:rFonts w:eastAsia="Times New Roman" w:cstheme="minorHAnsi"/>
          <w:b/>
          <w:bCs/>
          <w:lang w:eastAsia="pt-BR"/>
        </w:rPr>
        <w:t xml:space="preserve"> n° </w:t>
      </w:r>
      <w:r w:rsidR="00BE4466">
        <w:rPr>
          <w:rFonts w:eastAsia="Times New Roman" w:cstheme="minorHAnsi"/>
          <w:b/>
          <w:bCs/>
          <w:lang w:eastAsia="pt-BR"/>
        </w:rPr>
        <w:t>2027</w:t>
      </w:r>
      <w:r w:rsidR="0045464C" w:rsidRPr="0045464C">
        <w:rPr>
          <w:rFonts w:eastAsia="Times New Roman" w:cstheme="minorHAnsi"/>
          <w:b/>
          <w:bCs/>
          <w:lang w:eastAsia="pt-BR"/>
        </w:rPr>
        <w:t>/2025</w:t>
      </w:r>
      <w:r w:rsidR="0045464C">
        <w:rPr>
          <w:rFonts w:eastAsia="Times New Roman" w:cstheme="minorHAnsi"/>
          <w:lang w:eastAsia="pt-BR"/>
        </w:rPr>
        <w:t xml:space="preserve"> no valor de</w:t>
      </w:r>
      <w:r w:rsidR="0045464C" w:rsidRPr="00527B1F">
        <w:rPr>
          <w:rFonts w:eastAsia="Times New Roman" w:cstheme="minorHAnsi"/>
          <w:lang w:eastAsia="pt-BR"/>
        </w:rPr>
        <w:t xml:space="preserve"> </w:t>
      </w:r>
      <w:r w:rsidR="008C460B" w:rsidRPr="00EB2BC7">
        <w:rPr>
          <w:rFonts w:eastAsia="Times New Roman" w:cstheme="minorHAnsi"/>
          <w:b/>
          <w:bCs/>
          <w:lang w:eastAsia="pt-BR"/>
        </w:rPr>
        <w:t xml:space="preserve">R$ </w:t>
      </w:r>
      <w:r w:rsidR="00BE4466">
        <w:rPr>
          <w:rFonts w:eastAsia="Times New Roman" w:cstheme="minorHAnsi"/>
          <w:b/>
          <w:bCs/>
          <w:lang w:eastAsia="pt-BR"/>
        </w:rPr>
        <w:t>1.783.364,11</w:t>
      </w:r>
      <w:r w:rsidR="008C460B" w:rsidRPr="00EB2BC7">
        <w:rPr>
          <w:rFonts w:eastAsia="Times New Roman" w:cstheme="minorHAnsi"/>
          <w:lang w:eastAsia="pt-BR"/>
        </w:rPr>
        <w:t xml:space="preserve"> (</w:t>
      </w:r>
      <w:r w:rsidR="00BE4466">
        <w:rPr>
          <w:rFonts w:eastAsia="Times New Roman" w:cstheme="minorHAnsi"/>
          <w:lang w:eastAsia="pt-BR"/>
        </w:rPr>
        <w:t>um milhão setecentos e oitenta e três mil, trezentos e sessenta e quatro reais e onze centavos</w:t>
      </w:r>
      <w:r w:rsidR="008C460B" w:rsidRPr="00EB2BC7">
        <w:rPr>
          <w:rFonts w:eastAsia="Times New Roman" w:cstheme="minorHAnsi"/>
          <w:lang w:eastAsia="pt-BR"/>
        </w:rPr>
        <w:t>)</w:t>
      </w:r>
      <w:r w:rsidR="008C460B">
        <w:rPr>
          <w:rFonts w:eastAsia="Times New Roman" w:cstheme="minorHAnsi"/>
          <w:lang w:eastAsia="pt-BR"/>
        </w:rPr>
        <w:t>,</w:t>
      </w:r>
      <w:r w:rsidR="0045464C" w:rsidRPr="005661D5">
        <w:rPr>
          <w:rFonts w:cstheme="minorHAnsi"/>
        </w:rPr>
        <w:t xml:space="preserve"> </w:t>
      </w:r>
      <w:r w:rsidR="00BE4466">
        <w:rPr>
          <w:rFonts w:cstheme="minorHAnsi"/>
        </w:rPr>
        <w:t>sendo R$ 1.672.000,00 (um milhão seiscentos e setenta e dois mil)   de repasse e 111.364,11 (cento e onze mil trezentos e sessenta e quatro reais e onze centavos) de c</w:t>
      </w:r>
      <w:r w:rsidRPr="00527B1F">
        <w:rPr>
          <w:rFonts w:eastAsia="Times New Roman" w:cstheme="minorHAnsi"/>
          <w:lang w:eastAsia="pt-BR"/>
        </w:rPr>
        <w:t xml:space="preserve">ontrapartida </w:t>
      </w:r>
      <w:r w:rsidR="00BE4466">
        <w:rPr>
          <w:rFonts w:eastAsia="Times New Roman" w:cstheme="minorHAnsi"/>
          <w:lang w:eastAsia="pt-BR"/>
        </w:rPr>
        <w:t>do município</w:t>
      </w:r>
      <w:r w:rsidR="0045464C">
        <w:rPr>
          <w:rFonts w:eastAsia="Times New Roman" w:cstheme="minorHAnsi"/>
          <w:lang w:eastAsia="pt-BR"/>
        </w:rPr>
        <w:t xml:space="preserve">, </w:t>
      </w:r>
      <w:r w:rsidRPr="00527B1F">
        <w:rPr>
          <w:rFonts w:eastAsia="Times New Roman" w:cstheme="minorHAnsi"/>
          <w:lang w:eastAsia="pt-BR"/>
        </w:rPr>
        <w:t>conforme dotação orçamentária específica que será indicada no edital.</w:t>
      </w:r>
    </w:p>
    <w:p w14:paraId="62D535FF"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15.2. A previsão orçamentária observa o disposto na Lei Orçamentária Anual (LOA) de 2025, com dotação específica na ação de pavimentação urbana, programa de trabalho vinculado à Secretaria Municipal de Obras e Urbanismo.</w:t>
      </w:r>
    </w:p>
    <w:p w14:paraId="2885566C" w14:textId="77777777" w:rsidR="00527B1F" w:rsidRDefault="00527B1F" w:rsidP="00527B1F">
      <w:pPr>
        <w:spacing w:after="0"/>
        <w:jc w:val="both"/>
        <w:rPr>
          <w:rFonts w:eastAsia="Times New Roman" w:cstheme="minorHAnsi"/>
          <w:lang w:eastAsia="pt-BR"/>
        </w:rPr>
      </w:pPr>
      <w:r w:rsidRPr="00527B1F">
        <w:rPr>
          <w:rFonts w:eastAsia="Times New Roman" w:cstheme="minorHAnsi"/>
          <w:lang w:eastAsia="pt-BR"/>
        </w:rPr>
        <w:t>15.3. Os recursos estão dispostos na Rubrica orçamentária a ser especificada:</w:t>
      </w:r>
    </w:p>
    <w:p w14:paraId="2BF6CD91" w14:textId="77777777" w:rsidR="0045464C" w:rsidRPr="00527B1F" w:rsidRDefault="0045464C" w:rsidP="00527B1F">
      <w:pPr>
        <w:spacing w:after="0"/>
        <w:jc w:val="both"/>
        <w:rPr>
          <w:rFonts w:eastAsia="Times New Roman" w:cstheme="minorHAnsi"/>
          <w:lang w:eastAsia="pt-BR"/>
        </w:rPr>
      </w:pPr>
    </w:p>
    <w:tbl>
      <w:tblPr>
        <w:tblStyle w:val="Tabelacomgrade"/>
        <w:tblW w:w="4796" w:type="pct"/>
        <w:tblInd w:w="108" w:type="dxa"/>
        <w:tblLook w:val="04A0" w:firstRow="1" w:lastRow="0" w:firstColumn="1" w:lastColumn="0" w:noHBand="0" w:noVBand="1"/>
      </w:tblPr>
      <w:tblGrid>
        <w:gridCol w:w="2382"/>
        <w:gridCol w:w="6526"/>
      </w:tblGrid>
      <w:tr w:rsidR="00265D84" w:rsidRPr="00265D84" w14:paraId="01A9D05F" w14:textId="77777777" w:rsidTr="00527B1F">
        <w:tc>
          <w:tcPr>
            <w:tcW w:w="1337" w:type="pct"/>
            <w:hideMark/>
          </w:tcPr>
          <w:p w14:paraId="1E513E76" w14:textId="77777777" w:rsidR="00527B1F" w:rsidRPr="00265D84" w:rsidRDefault="00527B1F" w:rsidP="00527B1F">
            <w:pPr>
              <w:spacing w:line="276" w:lineRule="auto"/>
              <w:jc w:val="both"/>
              <w:rPr>
                <w:rFonts w:eastAsia="Times New Roman" w:cstheme="minorHAnsi"/>
                <w:b/>
                <w:bCs/>
                <w:lang w:eastAsia="pt-BR"/>
              </w:rPr>
            </w:pPr>
            <w:r w:rsidRPr="00265D84">
              <w:rPr>
                <w:rFonts w:eastAsia="Times New Roman" w:cstheme="minorHAnsi"/>
                <w:b/>
                <w:bCs/>
                <w:lang w:eastAsia="pt-BR"/>
              </w:rPr>
              <w:t>CÓDIGO</w:t>
            </w:r>
          </w:p>
        </w:tc>
        <w:tc>
          <w:tcPr>
            <w:tcW w:w="3663" w:type="pct"/>
            <w:hideMark/>
          </w:tcPr>
          <w:p w14:paraId="2DD5E473" w14:textId="77777777" w:rsidR="00527B1F" w:rsidRPr="00265D84" w:rsidRDefault="00527B1F" w:rsidP="00527B1F">
            <w:pPr>
              <w:spacing w:line="276" w:lineRule="auto"/>
              <w:jc w:val="both"/>
              <w:rPr>
                <w:rFonts w:eastAsia="Times New Roman" w:cstheme="minorHAnsi"/>
                <w:b/>
                <w:bCs/>
                <w:lang w:eastAsia="pt-BR"/>
              </w:rPr>
            </w:pPr>
            <w:r w:rsidRPr="00265D84">
              <w:rPr>
                <w:rFonts w:eastAsia="Times New Roman" w:cstheme="minorHAnsi"/>
                <w:b/>
                <w:bCs/>
                <w:lang w:eastAsia="pt-BR"/>
              </w:rPr>
              <w:t>DESCRIÇÃO</w:t>
            </w:r>
          </w:p>
        </w:tc>
      </w:tr>
      <w:tr w:rsidR="00265D84" w:rsidRPr="00265D84" w14:paraId="3AC6B2D2" w14:textId="77777777" w:rsidTr="00527B1F">
        <w:tc>
          <w:tcPr>
            <w:tcW w:w="1337" w:type="pct"/>
            <w:hideMark/>
          </w:tcPr>
          <w:p w14:paraId="6AAB6FA7" w14:textId="22A90D2F" w:rsidR="00527B1F" w:rsidRPr="00265D84" w:rsidRDefault="00265D84" w:rsidP="00527B1F">
            <w:pPr>
              <w:spacing w:line="276" w:lineRule="auto"/>
              <w:jc w:val="both"/>
              <w:rPr>
                <w:rFonts w:eastAsia="Times New Roman" w:cstheme="minorHAnsi"/>
                <w:lang w:eastAsia="pt-BR"/>
              </w:rPr>
            </w:pPr>
            <w:r w:rsidRPr="00265D84">
              <w:rPr>
                <w:rFonts w:eastAsia="Times New Roman" w:cstheme="minorHAnsi"/>
                <w:lang w:eastAsia="pt-BR"/>
              </w:rPr>
              <w:t>08</w:t>
            </w:r>
          </w:p>
        </w:tc>
        <w:tc>
          <w:tcPr>
            <w:tcW w:w="3663" w:type="pct"/>
            <w:hideMark/>
          </w:tcPr>
          <w:p w14:paraId="4DE73AC7" w14:textId="33EF7075" w:rsidR="00527B1F" w:rsidRPr="00265D84" w:rsidRDefault="00527B1F" w:rsidP="00527B1F">
            <w:pPr>
              <w:spacing w:line="276" w:lineRule="auto"/>
              <w:jc w:val="both"/>
              <w:rPr>
                <w:rFonts w:eastAsia="Times New Roman" w:cstheme="minorHAnsi"/>
                <w:lang w:eastAsia="pt-BR"/>
              </w:rPr>
            </w:pPr>
            <w:r w:rsidRPr="00265D84">
              <w:rPr>
                <w:rFonts w:eastAsia="Times New Roman" w:cstheme="minorHAnsi"/>
                <w:lang w:eastAsia="pt-BR"/>
              </w:rPr>
              <w:t>Secretaria Municipal de Obras</w:t>
            </w:r>
            <w:r w:rsidR="00265D84" w:rsidRPr="00265D84">
              <w:rPr>
                <w:rFonts w:eastAsia="Times New Roman" w:cstheme="minorHAnsi"/>
                <w:lang w:eastAsia="pt-BR"/>
              </w:rPr>
              <w:t>,</w:t>
            </w:r>
            <w:r w:rsidRPr="00265D84">
              <w:rPr>
                <w:rFonts w:eastAsia="Times New Roman" w:cstheme="minorHAnsi"/>
                <w:lang w:eastAsia="pt-BR"/>
              </w:rPr>
              <w:t xml:space="preserve"> Urbanismo</w:t>
            </w:r>
            <w:r w:rsidR="00265D84" w:rsidRPr="00265D84">
              <w:rPr>
                <w:rFonts w:eastAsia="Times New Roman" w:cstheme="minorHAnsi"/>
                <w:lang w:eastAsia="pt-BR"/>
              </w:rPr>
              <w:t xml:space="preserve"> e Transporte</w:t>
            </w:r>
          </w:p>
        </w:tc>
      </w:tr>
      <w:tr w:rsidR="00265D84" w:rsidRPr="00265D84" w14:paraId="1C9C33CC" w14:textId="77777777" w:rsidTr="00527B1F">
        <w:tc>
          <w:tcPr>
            <w:tcW w:w="1337" w:type="pct"/>
            <w:hideMark/>
          </w:tcPr>
          <w:p w14:paraId="73C6E38C" w14:textId="19A17134" w:rsidR="00527B1F" w:rsidRPr="00265D84" w:rsidRDefault="00265D84" w:rsidP="00527B1F">
            <w:pPr>
              <w:spacing w:line="276" w:lineRule="auto"/>
              <w:jc w:val="both"/>
              <w:rPr>
                <w:rFonts w:eastAsia="Times New Roman" w:cstheme="minorHAnsi"/>
                <w:lang w:eastAsia="pt-BR"/>
              </w:rPr>
            </w:pPr>
            <w:r w:rsidRPr="00265D84">
              <w:rPr>
                <w:rFonts w:eastAsia="Times New Roman" w:cstheme="minorHAnsi"/>
                <w:lang w:eastAsia="pt-BR"/>
              </w:rPr>
              <w:t>003</w:t>
            </w:r>
          </w:p>
        </w:tc>
        <w:tc>
          <w:tcPr>
            <w:tcW w:w="3663" w:type="pct"/>
            <w:hideMark/>
          </w:tcPr>
          <w:p w14:paraId="30147A15" w14:textId="2A064855" w:rsidR="00527B1F" w:rsidRPr="00265D84" w:rsidRDefault="00265D84" w:rsidP="00527B1F">
            <w:pPr>
              <w:spacing w:line="276" w:lineRule="auto"/>
              <w:jc w:val="both"/>
              <w:rPr>
                <w:rFonts w:eastAsia="Times New Roman" w:cstheme="minorHAnsi"/>
                <w:lang w:eastAsia="pt-BR"/>
              </w:rPr>
            </w:pPr>
            <w:r w:rsidRPr="00265D84">
              <w:rPr>
                <w:rFonts w:eastAsia="Times New Roman" w:cstheme="minorHAnsi"/>
                <w:lang w:eastAsia="pt-BR"/>
              </w:rPr>
              <w:t>Departamento de Obras</w:t>
            </w:r>
          </w:p>
        </w:tc>
      </w:tr>
      <w:tr w:rsidR="00265D84" w:rsidRPr="00265D84" w14:paraId="30BC82A6" w14:textId="77777777" w:rsidTr="00527B1F">
        <w:tc>
          <w:tcPr>
            <w:tcW w:w="1337" w:type="pct"/>
            <w:hideMark/>
          </w:tcPr>
          <w:p w14:paraId="2F7BED7B" w14:textId="6B293C66" w:rsidR="00527B1F" w:rsidRPr="00265D84" w:rsidRDefault="00265D84" w:rsidP="00527B1F">
            <w:pPr>
              <w:spacing w:line="276" w:lineRule="auto"/>
              <w:jc w:val="both"/>
              <w:rPr>
                <w:rFonts w:eastAsia="Times New Roman" w:cstheme="minorHAnsi"/>
                <w:lang w:eastAsia="pt-BR"/>
              </w:rPr>
            </w:pPr>
            <w:r w:rsidRPr="00265D84">
              <w:rPr>
                <w:rFonts w:ascii="Arial Narrow" w:hAnsi="Arial Narrow" w:cs="Arial"/>
                <w:snapToGrid w:val="0"/>
              </w:rPr>
              <w:t>15.452.0011-1007</w:t>
            </w:r>
          </w:p>
        </w:tc>
        <w:tc>
          <w:tcPr>
            <w:tcW w:w="3663" w:type="pct"/>
            <w:hideMark/>
          </w:tcPr>
          <w:p w14:paraId="40524F64" w14:textId="30C9C008" w:rsidR="00527B1F" w:rsidRPr="00265D84" w:rsidRDefault="00265D84" w:rsidP="00527B1F">
            <w:pPr>
              <w:spacing w:line="276" w:lineRule="auto"/>
              <w:jc w:val="both"/>
              <w:rPr>
                <w:rFonts w:eastAsia="Times New Roman" w:cstheme="minorHAnsi"/>
                <w:lang w:eastAsia="pt-BR"/>
              </w:rPr>
            </w:pPr>
            <w:r w:rsidRPr="00265D84">
              <w:rPr>
                <w:rFonts w:eastAsia="Times New Roman" w:cstheme="minorHAnsi"/>
                <w:lang w:eastAsia="pt-BR"/>
              </w:rPr>
              <w:t>Pavimentação e Recape de Vias</w:t>
            </w:r>
          </w:p>
        </w:tc>
      </w:tr>
      <w:tr w:rsidR="00265D84" w:rsidRPr="00265D84" w14:paraId="08873FCE" w14:textId="77777777" w:rsidTr="00527B1F">
        <w:tc>
          <w:tcPr>
            <w:tcW w:w="1337" w:type="pct"/>
            <w:hideMark/>
          </w:tcPr>
          <w:p w14:paraId="4AECF38B" w14:textId="4DCB7355" w:rsidR="00527B1F" w:rsidRPr="00265D84" w:rsidRDefault="00265D84" w:rsidP="00527B1F">
            <w:pPr>
              <w:spacing w:line="276" w:lineRule="auto"/>
              <w:jc w:val="both"/>
              <w:rPr>
                <w:rFonts w:eastAsia="Times New Roman" w:cstheme="minorHAnsi"/>
                <w:lang w:eastAsia="pt-BR"/>
              </w:rPr>
            </w:pPr>
            <w:r w:rsidRPr="00265D84">
              <w:rPr>
                <w:rFonts w:ascii="Arial Narrow" w:hAnsi="Arial Narrow" w:cs="Arial"/>
                <w:snapToGrid w:val="0"/>
              </w:rPr>
              <w:t>4.4.90.51.00.00</w:t>
            </w:r>
          </w:p>
        </w:tc>
        <w:tc>
          <w:tcPr>
            <w:tcW w:w="3663" w:type="pct"/>
            <w:hideMark/>
          </w:tcPr>
          <w:p w14:paraId="7F480225" w14:textId="77777777" w:rsidR="00527B1F" w:rsidRPr="00265D84" w:rsidRDefault="00527B1F" w:rsidP="00527B1F">
            <w:pPr>
              <w:spacing w:line="276" w:lineRule="auto"/>
              <w:jc w:val="both"/>
              <w:rPr>
                <w:rFonts w:eastAsia="Times New Roman" w:cstheme="minorHAnsi"/>
                <w:lang w:eastAsia="pt-BR"/>
              </w:rPr>
            </w:pPr>
            <w:r w:rsidRPr="00265D84">
              <w:rPr>
                <w:rFonts w:eastAsia="Times New Roman" w:cstheme="minorHAnsi"/>
                <w:lang w:eastAsia="pt-BR"/>
              </w:rPr>
              <w:t>Obras e instalações</w:t>
            </w:r>
          </w:p>
        </w:tc>
      </w:tr>
    </w:tbl>
    <w:p w14:paraId="47A766C7" w14:textId="77777777" w:rsidR="00527B1F" w:rsidRDefault="00527B1F" w:rsidP="00527B1F">
      <w:pPr>
        <w:spacing w:after="0"/>
        <w:jc w:val="both"/>
        <w:rPr>
          <w:rFonts w:eastAsia="Times New Roman" w:cstheme="minorHAnsi"/>
          <w:lang w:eastAsia="pt-BR"/>
        </w:rPr>
      </w:pPr>
      <w:r w:rsidRPr="00527B1F">
        <w:rPr>
          <w:rFonts w:eastAsia="Times New Roman" w:cstheme="minorHAnsi"/>
          <w:lang w:eastAsia="pt-BR"/>
        </w:rPr>
        <w:t>15.4. A dotação relativa aos exercícios financeiros subsequentes será indicada após aprovação da Lei Orçamentária respectiva e liberação dos créditos correspondentes, mediante apostilamento, em conformidade com os programas de infraestrutura urbana estabelecidos.</w:t>
      </w:r>
    </w:p>
    <w:p w14:paraId="7C1EA8D2" w14:textId="76E667DF" w:rsidR="00527B1F" w:rsidRPr="00527B1F" w:rsidRDefault="00527B1F" w:rsidP="00527B1F">
      <w:pPr>
        <w:spacing w:after="0"/>
        <w:jc w:val="both"/>
        <w:outlineLvl w:val="1"/>
        <w:rPr>
          <w:rFonts w:eastAsia="Times New Roman" w:cstheme="minorHAnsi"/>
          <w:b/>
          <w:bCs/>
          <w:lang w:eastAsia="pt-BR"/>
        </w:rPr>
      </w:pPr>
      <w:r w:rsidRPr="00527B1F">
        <w:rPr>
          <w:rFonts w:eastAsia="Times New Roman" w:cstheme="minorHAnsi"/>
          <w:b/>
          <w:bCs/>
          <w:lang w:eastAsia="pt-BR"/>
        </w:rPr>
        <w:t>16. DAS OBRIGAÇÕES DA CONTRATANTE E CONTRATADA</w:t>
      </w:r>
    </w:p>
    <w:p w14:paraId="3F3F79E6" w14:textId="77777777" w:rsidR="00527B1F" w:rsidRPr="00527B1F" w:rsidRDefault="00527B1F" w:rsidP="00527B1F">
      <w:pPr>
        <w:spacing w:after="0"/>
        <w:jc w:val="both"/>
        <w:outlineLvl w:val="2"/>
        <w:rPr>
          <w:rFonts w:eastAsia="Times New Roman" w:cstheme="minorHAnsi"/>
          <w:b/>
          <w:bCs/>
          <w:lang w:eastAsia="pt-BR"/>
        </w:rPr>
      </w:pPr>
      <w:r w:rsidRPr="00527B1F">
        <w:rPr>
          <w:rFonts w:eastAsia="Times New Roman" w:cstheme="minorHAnsi"/>
          <w:b/>
          <w:bCs/>
          <w:lang w:eastAsia="pt-BR"/>
        </w:rPr>
        <w:t>16.1. São obrigações do CONTRATANTE:</w:t>
      </w:r>
    </w:p>
    <w:p w14:paraId="01343EE8"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16.1.1. Designar pessoa responsável para avaliar e conferir os serviços, sendo que os mesmos deverão estar em conformidade com o objeto solicitado na Ordem de Serviço;</w:t>
      </w:r>
    </w:p>
    <w:p w14:paraId="4C5DEF4C"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16.1.2. Cumprir todos os compromissos financeiros assumidos com a Contratada.</w:t>
      </w:r>
    </w:p>
    <w:p w14:paraId="4AB2061C"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16.1.3. Notificar, formal e tempestivamente, a Contratada sobre as irregularidades observadas no cumprimento das obrigações assumidas.</w:t>
      </w:r>
    </w:p>
    <w:p w14:paraId="2AA13AC3"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16.1.4. Aplicar as sanções administrativas contratuais pertinentes, em caso de inadimplemento.</w:t>
      </w:r>
    </w:p>
    <w:p w14:paraId="06581579"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16.1.5. Comunicar prontamente a Contratada, qualquer anormalidade no objeto deste contrato, podendo recusar o recebimento, caso não esteja de acordo com as especificações e condições estabelecidas.</w:t>
      </w:r>
    </w:p>
    <w:p w14:paraId="7C3C7322"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16.1.6. Comunicar à Contratada qualquer irregularidade manifestada durante a vigência do contrato, para que sejam adotadas as medidas pertinentes.</w:t>
      </w:r>
    </w:p>
    <w:p w14:paraId="3619D7B0"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16.1.7. Conferir e acompanhar os serviços, através do fiscal e gestor do contrato, e caso haja alguma divergência com o serviço solicitado e o entregue, requerer a sua reexecução imediata.</w:t>
      </w:r>
    </w:p>
    <w:p w14:paraId="187449FD"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16.1.8. Permitir que os funcionários da licitante vencedora tenham acesso aos locais de execução dos serviços.</w:t>
      </w:r>
    </w:p>
    <w:p w14:paraId="40473A97"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16.1.9. Proceder o recebimento provisório e, não havendo mais pendências, ao recebimento definitivo da obra, nos termos do § 2º da Lei 14.133/2021.</w:t>
      </w:r>
    </w:p>
    <w:p w14:paraId="079F77DE"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 xml:space="preserve">16.1.10. </w:t>
      </w:r>
      <w:proofErr w:type="spellStart"/>
      <w:r w:rsidRPr="00527B1F">
        <w:rPr>
          <w:rFonts w:eastAsia="Times New Roman" w:cstheme="minorHAnsi"/>
          <w:lang w:eastAsia="pt-BR"/>
        </w:rPr>
        <w:t>Fornecer</w:t>
      </w:r>
      <w:proofErr w:type="spellEnd"/>
      <w:r w:rsidRPr="00527B1F">
        <w:rPr>
          <w:rFonts w:eastAsia="Times New Roman" w:cstheme="minorHAnsi"/>
          <w:lang w:eastAsia="pt-BR"/>
        </w:rPr>
        <w:t>, a qualquer tempo, mediante solicitação escrita da Contratada, informações adicionais, dirimir dúvidas e orientar em todos os casos omissos.</w:t>
      </w:r>
    </w:p>
    <w:p w14:paraId="0BC63E4B" w14:textId="77777777" w:rsidR="00527B1F" w:rsidRDefault="00527B1F" w:rsidP="00527B1F">
      <w:pPr>
        <w:spacing w:after="0"/>
        <w:jc w:val="both"/>
        <w:rPr>
          <w:rFonts w:eastAsia="Times New Roman" w:cstheme="minorHAnsi"/>
          <w:lang w:eastAsia="pt-BR"/>
        </w:rPr>
      </w:pPr>
      <w:r w:rsidRPr="00527B1F">
        <w:rPr>
          <w:rFonts w:eastAsia="Times New Roman" w:cstheme="minorHAnsi"/>
          <w:lang w:eastAsia="pt-BR"/>
        </w:rPr>
        <w:t>16.1.11. Disponibilizar as vias urbanas onde serão executados os serviços de pavimentação, devidamente demarcadas conforme projetos.</w:t>
      </w:r>
    </w:p>
    <w:p w14:paraId="4F507107" w14:textId="77777777" w:rsidR="00527B1F" w:rsidRPr="00527B1F" w:rsidRDefault="00527B1F" w:rsidP="00527B1F">
      <w:pPr>
        <w:spacing w:after="0"/>
        <w:jc w:val="both"/>
        <w:outlineLvl w:val="2"/>
        <w:rPr>
          <w:rFonts w:eastAsia="Times New Roman" w:cstheme="minorHAnsi"/>
          <w:b/>
          <w:bCs/>
          <w:lang w:eastAsia="pt-BR"/>
        </w:rPr>
      </w:pPr>
      <w:r w:rsidRPr="00527B1F">
        <w:rPr>
          <w:rFonts w:eastAsia="Times New Roman" w:cstheme="minorHAnsi"/>
          <w:b/>
          <w:bCs/>
          <w:lang w:eastAsia="pt-BR"/>
        </w:rPr>
        <w:t>16.2. São obrigações da CONTRATADA:</w:t>
      </w:r>
    </w:p>
    <w:p w14:paraId="5C0CF2B5"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16.2.1. O contratado deverá manter preposto aceito pela Administração no local da obra para representá-lo na execução do contrato.</w:t>
      </w:r>
    </w:p>
    <w:p w14:paraId="77C7E96F"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16.2.2. Cumprir integralmente as obrigações assumidas, conforme especificações contidas nesse Termo de Referência.</w:t>
      </w:r>
    </w:p>
    <w:p w14:paraId="4B5345CE"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16.2.3. Manter, todas as condições de habilitação e qualificação exigidas durante toda execução do contrato, de acordo com o art. 92, XVI, da Lei 14.133/2021, informando a contratante à ocorrência de qualquer alteração nas referidas condições.</w:t>
      </w:r>
    </w:p>
    <w:p w14:paraId="54A9BAB0"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16.2.4. Executar os serviços, em estrita conformidade com as especificações contidas no contrato, Memorial Técnico Descritivo, projetos e proposta de preços apresentada, à qual se vincula, não sendo admitidas retificações, cancelamentos, quer seja de preços, quer seja nas condições estabelecidas.</w:t>
      </w:r>
    </w:p>
    <w:p w14:paraId="0E6BDD63"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16.2.5. A contratada é responsável perante o Município, por todos os atos de seus subordinados durante a execução dos serviços, devendo afastar, dentro de 24 (vinte e quatro) horas, por comunicação escrita, qualquer de seus empregados cuja permanência nos serviços for julgada, inconveniente pelo Município, observando rigorosamente todas as prescrições relativas às leis trabalhistas, previdenciárias, assistenciais, securitárias, sindicais, indenizações e despesas por acidentes de trabalho, considerada como única empregadora.</w:t>
      </w:r>
    </w:p>
    <w:p w14:paraId="5B18E492"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16.2.5.1. Responsabilizar-se pelos danos causados diretamente à Administração ou a terceiros em razão da execução do contrato, e não excluirá nem reduzirá essa responsabilidade a fiscalização ou o acompanhamento pelo contratante, de acordo com o art. 120 da Lei nº 14.133/2021.</w:t>
      </w:r>
    </w:p>
    <w:p w14:paraId="6505AB6C"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16.2.6. Certificar-se, preliminarmente, de todas as condições exigidas no Contrato, não sendo levada em consideração qualquer argumentação posterior de desconhecimento.</w:t>
      </w:r>
    </w:p>
    <w:p w14:paraId="258E4E24"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16.2.7. Comunicar, imediatamente e por escrito, a Administração Municipal, qualquer anormalidade verificada, inclusive de ordem funcional, para que sejam adotadas as providências de regularização necessárias.</w:t>
      </w:r>
    </w:p>
    <w:p w14:paraId="5F5870E0"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16.2.8. Atender com prontidão as reclamações por parte do recebedor do objeto da presente licitação.</w:t>
      </w:r>
    </w:p>
    <w:p w14:paraId="5EEF2B3F"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16.2.9. A contratada será obrigada a reparar, corrigir, remover, reconstruir ou substituir, a suas expensas, no total ou em parte, o objeto do contrato em que se verificarem vícios, defeitos ou incorreções resultantes de sua execução ou de materiais nela empregados, em um prazo a ser convencionado entre as partes, observando o limite máximo de 30 (trinta) dias.</w:t>
      </w:r>
    </w:p>
    <w:p w14:paraId="185B02FB"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16.2.10. Comunicar a contratante, imediatamente, a ocorrência de qualquer fato que possa implicar no atraso na entrega do objeto desta Licitação.</w:t>
      </w:r>
    </w:p>
    <w:p w14:paraId="768E0AA8"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16.2.11. A contratada deverá observar rigorosamente as normas de segurança, ambiental, de higiene e medicina do trabalho, bem como a legislação de proteção de dados (LGPD).</w:t>
      </w:r>
    </w:p>
    <w:p w14:paraId="423BC711"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16.2.12. Apresentar os empregados devidamente uniformizados e identificados por meio de crachá, além de fornecer e fiscalizar o uso de EPIs (Equipamentos de Proteção Individual) aos seus funcionários e prepostos.</w:t>
      </w:r>
    </w:p>
    <w:p w14:paraId="0A50B0B8"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16.2.13. A contratada deverá apresentar relação atualizada de empregados registrados na empresa e atuantes na obra contratada.</w:t>
      </w:r>
    </w:p>
    <w:p w14:paraId="549838A4"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16.2.14. Será de responsabilidade da contratada o controle tecnológico de todos os materiais utilizados nos diversos serviços de pavimentação. Os custos destes serviços deverão ser diluídos nos preços unitários de cada serviço constante na planilha de preços, executado por firma idônea especializada, indicada pela contratada e aprovada pelo gestor e fiscal do contrato.</w:t>
      </w:r>
    </w:p>
    <w:p w14:paraId="6EC1D573"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16.2.15. Mensalmente, a contratada enviará à fiscalização cópia do relatório de controle tecnológico dos serviços executados naquele mês.</w:t>
      </w:r>
    </w:p>
    <w:p w14:paraId="1D268FDF"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16.2.16. Manter, em todos os locais de serviços, um seguro sistema de sinalização e segurança, de acordo com as normas de segurança do trabalho e do CONTRAN.</w:t>
      </w:r>
    </w:p>
    <w:p w14:paraId="6B6A117C"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16.2.17. A contratada é responsável pela limpeza da obra e manutenção dos serviços até a entrega da mesma.</w:t>
      </w:r>
    </w:p>
    <w:p w14:paraId="5F2DBA15"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16.2.18. Não manter em seu quadro de pessoal menores em horário noturno de trabalho ou em serviços perigosos ou insalubres, não manter, ainda, em qualquer trabalho, menores de 16 (dezesseis) anos, salvo na condição de aprendiz, a partir de 14 (quatorze) anos.</w:t>
      </w:r>
    </w:p>
    <w:p w14:paraId="7848912A"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16.2.19. Examinar completamente os projetos, as peças gráficas, as especificações técnicas, memoriais e todos os documentos, obtendo todas as informações necessárias sobre qualquer ponto duvidoso do objeto.</w:t>
      </w:r>
    </w:p>
    <w:p w14:paraId="12F5FAC9"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16.2.20. Apresentar na Secretaria Municipal competente, Matrícula do INSS e ART/RRT de execução da obra, em até 2 (dois) dias após a emissão da Ordem de Serviço.</w:t>
      </w:r>
    </w:p>
    <w:p w14:paraId="01A2B4AF"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 xml:space="preserve">16.2.21. </w:t>
      </w:r>
      <w:proofErr w:type="spellStart"/>
      <w:r w:rsidRPr="00527B1F">
        <w:rPr>
          <w:rFonts w:eastAsia="Times New Roman" w:cstheme="minorHAnsi"/>
          <w:lang w:eastAsia="pt-BR"/>
        </w:rPr>
        <w:t>Fornecer</w:t>
      </w:r>
      <w:proofErr w:type="spellEnd"/>
      <w:r w:rsidRPr="00527B1F">
        <w:rPr>
          <w:rFonts w:eastAsia="Times New Roman" w:cstheme="minorHAnsi"/>
          <w:lang w:eastAsia="pt-BR"/>
        </w:rPr>
        <w:t>, ao término da obra, manual de manutenção da pavimentação asfáltica, contendo instruções de conservação e manutenção preventiva.</w:t>
      </w:r>
    </w:p>
    <w:p w14:paraId="59FA51DF" w14:textId="77777777" w:rsidR="00527B1F" w:rsidRPr="00F53EA9" w:rsidRDefault="00527B1F" w:rsidP="00527B1F">
      <w:pPr>
        <w:spacing w:after="0"/>
        <w:jc w:val="both"/>
        <w:rPr>
          <w:rFonts w:eastAsia="Times New Roman" w:cstheme="minorHAnsi"/>
          <w:lang w:eastAsia="pt-BR"/>
        </w:rPr>
      </w:pPr>
      <w:r w:rsidRPr="00527B1F">
        <w:rPr>
          <w:rFonts w:eastAsia="Times New Roman" w:cstheme="minorHAnsi"/>
          <w:lang w:eastAsia="pt-BR"/>
        </w:rPr>
        <w:t xml:space="preserve">16.2.22. Executar treinamento da equipe municipal de fiscalização na leitura de medições e no </w:t>
      </w:r>
      <w:r w:rsidRPr="00F53EA9">
        <w:rPr>
          <w:rFonts w:eastAsia="Times New Roman" w:cstheme="minorHAnsi"/>
          <w:lang w:eastAsia="pt-BR"/>
        </w:rPr>
        <w:t>uso das peças técnicas de controle tecnológico.</w:t>
      </w:r>
    </w:p>
    <w:p w14:paraId="7E2CACE1" w14:textId="77777777" w:rsidR="00F36F4B" w:rsidRPr="00F53EA9" w:rsidRDefault="00F36F4B" w:rsidP="00F36F4B">
      <w:pPr>
        <w:spacing w:after="0"/>
        <w:jc w:val="both"/>
        <w:rPr>
          <w:rFonts w:eastAsia="Times New Roman" w:cstheme="minorHAnsi"/>
          <w:lang w:eastAsia="pt-BR"/>
        </w:rPr>
      </w:pPr>
      <w:r w:rsidRPr="00F53EA9">
        <w:rPr>
          <w:rFonts w:eastAsia="Times New Roman" w:cstheme="minorHAnsi"/>
          <w:lang w:eastAsia="pt-BR"/>
        </w:rPr>
        <w:t>16.2.23 – Cumprir todas as demais obrigações decorrentes da aplicação das normas técnicas do DER/PR, DNIT e da legislação vigente aplicável à pavimentação asfáltica.</w:t>
      </w:r>
    </w:p>
    <w:p w14:paraId="12F140AE" w14:textId="77777777" w:rsidR="00F36F4B" w:rsidRPr="00F53EA9" w:rsidRDefault="00F36F4B" w:rsidP="00F36F4B">
      <w:pPr>
        <w:spacing w:after="0"/>
        <w:jc w:val="both"/>
        <w:rPr>
          <w:rFonts w:eastAsia="Times New Roman" w:cstheme="minorHAnsi"/>
          <w:lang w:eastAsia="pt-BR"/>
        </w:rPr>
      </w:pPr>
      <w:r w:rsidRPr="00F53EA9">
        <w:rPr>
          <w:rFonts w:eastAsia="Times New Roman" w:cstheme="minorHAnsi"/>
          <w:lang w:eastAsia="pt-BR"/>
        </w:rPr>
        <w:t>16.2.24 – Produzir a massa asfáltica em conformidade com as normas da ABNT, mantendo temperatura entre 150 °C e 180 °C, de modo a garantir que o material chegue ao local de aplicação em condições adequadas de utilização, sem comprometer sua eficácia e durabilidade.</w:t>
      </w:r>
    </w:p>
    <w:p w14:paraId="4C4B2050" w14:textId="77777777" w:rsidR="00F36F4B" w:rsidRPr="00F53EA9" w:rsidRDefault="00F36F4B" w:rsidP="00F36F4B">
      <w:pPr>
        <w:spacing w:after="0"/>
        <w:jc w:val="both"/>
        <w:rPr>
          <w:rFonts w:eastAsia="Times New Roman" w:cstheme="minorHAnsi"/>
          <w:lang w:eastAsia="pt-BR"/>
        </w:rPr>
      </w:pPr>
      <w:r w:rsidRPr="00F53EA9">
        <w:rPr>
          <w:rFonts w:eastAsia="Times New Roman" w:cstheme="minorHAnsi"/>
          <w:lang w:eastAsia="pt-BR"/>
        </w:rPr>
        <w:t>16.2.25 – Dispor, no ato da aplicação do CBUQ na pista, de termômetro capaz de comprovar a temperatura indicada no item 16.2.24, sob pena de rejeição do material pela fiscalização.</w:t>
      </w:r>
    </w:p>
    <w:p w14:paraId="600E33AB" w14:textId="77777777" w:rsidR="00F36F4B" w:rsidRPr="00F53EA9" w:rsidRDefault="00F36F4B" w:rsidP="00F36F4B">
      <w:pPr>
        <w:spacing w:after="0"/>
        <w:jc w:val="both"/>
        <w:rPr>
          <w:rFonts w:eastAsia="Times New Roman" w:cstheme="minorHAnsi"/>
          <w:lang w:eastAsia="pt-BR"/>
        </w:rPr>
      </w:pPr>
      <w:r w:rsidRPr="00F53EA9">
        <w:rPr>
          <w:rFonts w:eastAsia="Times New Roman" w:cstheme="minorHAnsi"/>
          <w:lang w:eastAsia="pt-BR"/>
        </w:rPr>
        <w:t>16.2.27 – Caso a Usina de Asfalto não seja de propriedade da empresa contratada, apresentar contrato de fornecimento válido entre as partes, garantindo a disponibilização do material para a execução dos serviços.</w:t>
      </w:r>
    </w:p>
    <w:p w14:paraId="3FEE6158" w14:textId="661D22D1" w:rsidR="00527B1F" w:rsidRPr="00527B1F" w:rsidRDefault="00527B1F" w:rsidP="00527B1F">
      <w:pPr>
        <w:spacing w:after="0"/>
        <w:jc w:val="both"/>
        <w:outlineLvl w:val="1"/>
        <w:rPr>
          <w:rFonts w:eastAsia="Times New Roman" w:cstheme="minorHAnsi"/>
          <w:b/>
          <w:bCs/>
          <w:lang w:eastAsia="pt-BR"/>
        </w:rPr>
      </w:pPr>
      <w:r w:rsidRPr="00527B1F">
        <w:rPr>
          <w:rFonts w:eastAsia="Times New Roman" w:cstheme="minorHAnsi"/>
          <w:b/>
          <w:bCs/>
          <w:lang w:eastAsia="pt-BR"/>
        </w:rPr>
        <w:t>17. DAS SANÇÕES ADMINISTRATIVAS</w:t>
      </w:r>
    </w:p>
    <w:p w14:paraId="37193760"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17.1. A multa poderá ser aplicada em conjunto com todas as demais sanções.</w:t>
      </w:r>
    </w:p>
    <w:p w14:paraId="5D6E1F83"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17.2. Aplicação de advertência acrescida de multa:</w:t>
      </w:r>
    </w:p>
    <w:tbl>
      <w:tblPr>
        <w:tblStyle w:val="Tabelacomgrade"/>
        <w:tblW w:w="0" w:type="auto"/>
        <w:tblInd w:w="108" w:type="dxa"/>
        <w:tblLook w:val="04A0" w:firstRow="1" w:lastRow="0" w:firstColumn="1" w:lastColumn="0" w:noHBand="0" w:noVBand="1"/>
      </w:tblPr>
      <w:tblGrid>
        <w:gridCol w:w="5312"/>
        <w:gridCol w:w="3867"/>
      </w:tblGrid>
      <w:tr w:rsidR="00527B1F" w:rsidRPr="00527B1F" w14:paraId="1B6718AF" w14:textId="77777777" w:rsidTr="00527B1F">
        <w:tc>
          <w:tcPr>
            <w:tcW w:w="5312" w:type="dxa"/>
            <w:hideMark/>
          </w:tcPr>
          <w:p w14:paraId="64BBC2EC" w14:textId="77777777" w:rsidR="00527B1F" w:rsidRPr="00527B1F" w:rsidRDefault="00527B1F" w:rsidP="00527B1F">
            <w:pPr>
              <w:spacing w:line="276" w:lineRule="auto"/>
              <w:jc w:val="both"/>
              <w:rPr>
                <w:rFonts w:eastAsia="Times New Roman" w:cstheme="minorHAnsi"/>
                <w:b/>
                <w:bCs/>
                <w:lang w:eastAsia="pt-BR"/>
              </w:rPr>
            </w:pPr>
            <w:r w:rsidRPr="00527B1F">
              <w:rPr>
                <w:rFonts w:eastAsia="Times New Roman" w:cstheme="minorHAnsi"/>
                <w:b/>
                <w:bCs/>
                <w:lang w:eastAsia="pt-BR"/>
              </w:rPr>
              <w:t>Descumprimento</w:t>
            </w:r>
          </w:p>
        </w:tc>
        <w:tc>
          <w:tcPr>
            <w:tcW w:w="0" w:type="auto"/>
            <w:hideMark/>
          </w:tcPr>
          <w:p w14:paraId="1231CBE0" w14:textId="77777777" w:rsidR="00527B1F" w:rsidRPr="00527B1F" w:rsidRDefault="00527B1F" w:rsidP="00527B1F">
            <w:pPr>
              <w:spacing w:line="276" w:lineRule="auto"/>
              <w:jc w:val="both"/>
              <w:rPr>
                <w:rFonts w:eastAsia="Times New Roman" w:cstheme="minorHAnsi"/>
                <w:b/>
                <w:bCs/>
                <w:lang w:eastAsia="pt-BR"/>
              </w:rPr>
            </w:pPr>
            <w:r w:rsidRPr="00527B1F">
              <w:rPr>
                <w:rFonts w:eastAsia="Times New Roman" w:cstheme="minorHAnsi"/>
                <w:b/>
                <w:bCs/>
                <w:lang w:eastAsia="pt-BR"/>
              </w:rPr>
              <w:t>Aplicação</w:t>
            </w:r>
          </w:p>
        </w:tc>
      </w:tr>
      <w:tr w:rsidR="00527B1F" w:rsidRPr="00527B1F" w14:paraId="53BFB73A" w14:textId="77777777" w:rsidTr="00527B1F">
        <w:tc>
          <w:tcPr>
            <w:tcW w:w="5312" w:type="dxa"/>
            <w:hideMark/>
          </w:tcPr>
          <w:p w14:paraId="5D2AAFEA" w14:textId="77777777" w:rsidR="00527B1F" w:rsidRPr="00527B1F" w:rsidRDefault="00527B1F" w:rsidP="00527B1F">
            <w:pPr>
              <w:spacing w:line="276" w:lineRule="auto"/>
              <w:jc w:val="both"/>
              <w:rPr>
                <w:rFonts w:eastAsia="Times New Roman" w:cstheme="minorHAnsi"/>
                <w:lang w:eastAsia="pt-BR"/>
              </w:rPr>
            </w:pPr>
            <w:r w:rsidRPr="00527B1F">
              <w:rPr>
                <w:rFonts w:eastAsia="Times New Roman" w:cstheme="minorHAnsi"/>
                <w:lang w:eastAsia="pt-BR"/>
              </w:rPr>
              <w:t>Descumprimento, de pequena relevância, de obrigação legal ou infração à Lei quando não se justifica aplicação de sanção mais grave</w:t>
            </w:r>
          </w:p>
        </w:tc>
        <w:tc>
          <w:tcPr>
            <w:tcW w:w="0" w:type="auto"/>
            <w:hideMark/>
          </w:tcPr>
          <w:p w14:paraId="49AB82A4" w14:textId="77777777" w:rsidR="00527B1F" w:rsidRPr="00527B1F" w:rsidRDefault="00527B1F" w:rsidP="00527B1F">
            <w:pPr>
              <w:spacing w:line="276" w:lineRule="auto"/>
              <w:jc w:val="both"/>
              <w:rPr>
                <w:rFonts w:eastAsia="Times New Roman" w:cstheme="minorHAnsi"/>
                <w:lang w:eastAsia="pt-BR"/>
              </w:rPr>
            </w:pPr>
            <w:r w:rsidRPr="00527B1F">
              <w:rPr>
                <w:rFonts w:eastAsia="Times New Roman" w:cstheme="minorHAnsi"/>
                <w:lang w:eastAsia="pt-BR"/>
              </w:rPr>
              <w:t>Multa de 1% do valor do contrato + advertência</w:t>
            </w:r>
          </w:p>
        </w:tc>
      </w:tr>
      <w:tr w:rsidR="00527B1F" w:rsidRPr="00527B1F" w14:paraId="6CCE3379" w14:textId="77777777" w:rsidTr="00527B1F">
        <w:tc>
          <w:tcPr>
            <w:tcW w:w="5312" w:type="dxa"/>
            <w:hideMark/>
          </w:tcPr>
          <w:p w14:paraId="7CE50A40" w14:textId="77777777" w:rsidR="00527B1F" w:rsidRPr="00527B1F" w:rsidRDefault="00527B1F" w:rsidP="00527B1F">
            <w:pPr>
              <w:spacing w:line="276" w:lineRule="auto"/>
              <w:jc w:val="both"/>
              <w:rPr>
                <w:rFonts w:eastAsia="Times New Roman" w:cstheme="minorHAnsi"/>
                <w:lang w:eastAsia="pt-BR"/>
              </w:rPr>
            </w:pPr>
            <w:r w:rsidRPr="00527B1F">
              <w:rPr>
                <w:rFonts w:eastAsia="Times New Roman" w:cstheme="minorHAnsi"/>
                <w:lang w:eastAsia="pt-BR"/>
              </w:rPr>
              <w:t>Inexecução parcial de obrigação contratual principal ou acessória de pequena relevância, a critério da Administração, quando não se justificar aplicação de sanção mais grave</w:t>
            </w:r>
          </w:p>
        </w:tc>
        <w:tc>
          <w:tcPr>
            <w:tcW w:w="0" w:type="auto"/>
            <w:hideMark/>
          </w:tcPr>
          <w:p w14:paraId="79C745D0" w14:textId="77777777" w:rsidR="00527B1F" w:rsidRPr="00527B1F" w:rsidRDefault="00527B1F" w:rsidP="00527B1F">
            <w:pPr>
              <w:spacing w:line="276" w:lineRule="auto"/>
              <w:jc w:val="both"/>
              <w:rPr>
                <w:rFonts w:eastAsia="Times New Roman" w:cstheme="minorHAnsi"/>
                <w:lang w:eastAsia="pt-BR"/>
              </w:rPr>
            </w:pPr>
            <w:r w:rsidRPr="00527B1F">
              <w:rPr>
                <w:rFonts w:eastAsia="Times New Roman" w:cstheme="minorHAnsi"/>
                <w:lang w:eastAsia="pt-BR"/>
              </w:rPr>
              <w:t>Multa de 3% do valor do contrato + advertência</w:t>
            </w:r>
          </w:p>
        </w:tc>
      </w:tr>
      <w:tr w:rsidR="00527B1F" w:rsidRPr="00527B1F" w14:paraId="308BFC0C" w14:textId="77777777" w:rsidTr="00527B1F">
        <w:tc>
          <w:tcPr>
            <w:tcW w:w="5312" w:type="dxa"/>
            <w:hideMark/>
          </w:tcPr>
          <w:p w14:paraId="3D998CFD" w14:textId="77777777" w:rsidR="00527B1F" w:rsidRPr="00527B1F" w:rsidRDefault="00527B1F" w:rsidP="00527B1F">
            <w:pPr>
              <w:spacing w:line="276" w:lineRule="auto"/>
              <w:jc w:val="both"/>
              <w:rPr>
                <w:rFonts w:eastAsia="Times New Roman" w:cstheme="minorHAnsi"/>
                <w:lang w:eastAsia="pt-BR"/>
              </w:rPr>
            </w:pPr>
            <w:r w:rsidRPr="00527B1F">
              <w:rPr>
                <w:rFonts w:eastAsia="Times New Roman" w:cstheme="minorHAnsi"/>
                <w:lang w:eastAsia="pt-BR"/>
              </w:rPr>
              <w:t>Atraso na execução de até 30 dias</w:t>
            </w:r>
          </w:p>
        </w:tc>
        <w:tc>
          <w:tcPr>
            <w:tcW w:w="0" w:type="auto"/>
            <w:hideMark/>
          </w:tcPr>
          <w:p w14:paraId="46C28C45" w14:textId="77777777" w:rsidR="00527B1F" w:rsidRPr="00527B1F" w:rsidRDefault="00527B1F" w:rsidP="00527B1F">
            <w:pPr>
              <w:spacing w:line="276" w:lineRule="auto"/>
              <w:jc w:val="both"/>
              <w:rPr>
                <w:rFonts w:eastAsia="Times New Roman" w:cstheme="minorHAnsi"/>
                <w:lang w:eastAsia="pt-BR"/>
              </w:rPr>
            </w:pPr>
            <w:r w:rsidRPr="00527B1F">
              <w:rPr>
                <w:rFonts w:eastAsia="Times New Roman" w:cstheme="minorHAnsi"/>
                <w:lang w:eastAsia="pt-BR"/>
              </w:rPr>
              <w:t>Multa de mora diária de até 0,3%, calculada sobre o valor global do contrato ou da parcela em atraso</w:t>
            </w:r>
          </w:p>
        </w:tc>
      </w:tr>
    </w:tbl>
    <w:p w14:paraId="05512F0E"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17.3. Aplicação de impedimento de licitar e contratar, acrescida de multa:</w:t>
      </w:r>
    </w:p>
    <w:tbl>
      <w:tblPr>
        <w:tblStyle w:val="Tabelacomgrade"/>
        <w:tblW w:w="0" w:type="auto"/>
        <w:tblInd w:w="108" w:type="dxa"/>
        <w:tblLook w:val="04A0" w:firstRow="1" w:lastRow="0" w:firstColumn="1" w:lastColumn="0" w:noHBand="0" w:noVBand="1"/>
      </w:tblPr>
      <w:tblGrid>
        <w:gridCol w:w="5727"/>
        <w:gridCol w:w="3452"/>
      </w:tblGrid>
      <w:tr w:rsidR="00527B1F" w:rsidRPr="00527B1F" w14:paraId="197EE615" w14:textId="77777777" w:rsidTr="00527B1F">
        <w:tc>
          <w:tcPr>
            <w:tcW w:w="5727" w:type="dxa"/>
            <w:hideMark/>
          </w:tcPr>
          <w:p w14:paraId="1686E5A2" w14:textId="77777777" w:rsidR="00527B1F" w:rsidRPr="00527B1F" w:rsidRDefault="00527B1F" w:rsidP="00527B1F">
            <w:pPr>
              <w:spacing w:line="276" w:lineRule="auto"/>
              <w:jc w:val="both"/>
              <w:rPr>
                <w:rFonts w:eastAsia="Times New Roman" w:cstheme="minorHAnsi"/>
                <w:b/>
                <w:bCs/>
                <w:lang w:eastAsia="pt-BR"/>
              </w:rPr>
            </w:pPr>
            <w:r w:rsidRPr="00527B1F">
              <w:rPr>
                <w:rFonts w:eastAsia="Times New Roman" w:cstheme="minorHAnsi"/>
                <w:b/>
                <w:bCs/>
                <w:lang w:eastAsia="pt-BR"/>
              </w:rPr>
              <w:t>Descumprimento</w:t>
            </w:r>
          </w:p>
        </w:tc>
        <w:tc>
          <w:tcPr>
            <w:tcW w:w="0" w:type="auto"/>
            <w:hideMark/>
          </w:tcPr>
          <w:p w14:paraId="50243E82" w14:textId="77777777" w:rsidR="00527B1F" w:rsidRPr="00527B1F" w:rsidRDefault="00527B1F" w:rsidP="00527B1F">
            <w:pPr>
              <w:spacing w:line="276" w:lineRule="auto"/>
              <w:jc w:val="both"/>
              <w:rPr>
                <w:rFonts w:eastAsia="Times New Roman" w:cstheme="minorHAnsi"/>
                <w:b/>
                <w:bCs/>
                <w:lang w:eastAsia="pt-BR"/>
              </w:rPr>
            </w:pPr>
            <w:r w:rsidRPr="00527B1F">
              <w:rPr>
                <w:rFonts w:eastAsia="Times New Roman" w:cstheme="minorHAnsi"/>
                <w:b/>
                <w:bCs/>
                <w:lang w:eastAsia="pt-BR"/>
              </w:rPr>
              <w:t>Aplicação</w:t>
            </w:r>
          </w:p>
        </w:tc>
      </w:tr>
      <w:tr w:rsidR="00527B1F" w:rsidRPr="001B3601" w14:paraId="30A1D8BD" w14:textId="77777777" w:rsidTr="00527B1F">
        <w:tc>
          <w:tcPr>
            <w:tcW w:w="5727" w:type="dxa"/>
            <w:hideMark/>
          </w:tcPr>
          <w:p w14:paraId="344D79D6" w14:textId="77777777" w:rsidR="00527B1F" w:rsidRPr="001B3601" w:rsidRDefault="00527B1F" w:rsidP="00527B1F">
            <w:pPr>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Dar causa à inexecução parcial do contrato, que cause grave dano à Administração</w:t>
            </w:r>
          </w:p>
        </w:tc>
        <w:tc>
          <w:tcPr>
            <w:tcW w:w="0" w:type="auto"/>
            <w:hideMark/>
          </w:tcPr>
          <w:p w14:paraId="1B47E827" w14:textId="77777777" w:rsidR="00527B1F" w:rsidRPr="001B3601" w:rsidRDefault="00527B1F" w:rsidP="00527B1F">
            <w:pPr>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Multa de 10% do valor do contrato + impedimento de licitar</w:t>
            </w:r>
          </w:p>
        </w:tc>
      </w:tr>
      <w:tr w:rsidR="00527B1F" w:rsidRPr="001B3601" w14:paraId="43F3939C" w14:textId="77777777" w:rsidTr="00527B1F">
        <w:tc>
          <w:tcPr>
            <w:tcW w:w="5727" w:type="dxa"/>
            <w:hideMark/>
          </w:tcPr>
          <w:p w14:paraId="4C04A9D2" w14:textId="77777777" w:rsidR="00527B1F" w:rsidRPr="001B3601" w:rsidRDefault="00527B1F" w:rsidP="00527B1F">
            <w:pPr>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Inexecução total do contrato</w:t>
            </w:r>
          </w:p>
        </w:tc>
        <w:tc>
          <w:tcPr>
            <w:tcW w:w="0" w:type="auto"/>
            <w:hideMark/>
          </w:tcPr>
          <w:p w14:paraId="69F3AAFD" w14:textId="77777777" w:rsidR="00527B1F" w:rsidRPr="001B3601" w:rsidRDefault="00527B1F" w:rsidP="00527B1F">
            <w:pPr>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Multa de 30% do valor do contrato + impedimento de licitar</w:t>
            </w:r>
          </w:p>
        </w:tc>
      </w:tr>
      <w:tr w:rsidR="00527B1F" w:rsidRPr="001B3601" w14:paraId="09D2CE04" w14:textId="77777777" w:rsidTr="00527B1F">
        <w:tc>
          <w:tcPr>
            <w:tcW w:w="5727" w:type="dxa"/>
            <w:hideMark/>
          </w:tcPr>
          <w:p w14:paraId="7272B07E" w14:textId="77777777" w:rsidR="00527B1F" w:rsidRPr="001B3601" w:rsidRDefault="00527B1F" w:rsidP="00527B1F">
            <w:pPr>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Deixar de entregar documentação exigida para o certame</w:t>
            </w:r>
          </w:p>
        </w:tc>
        <w:tc>
          <w:tcPr>
            <w:tcW w:w="0" w:type="auto"/>
            <w:hideMark/>
          </w:tcPr>
          <w:p w14:paraId="34E9D666" w14:textId="77777777" w:rsidR="00527B1F" w:rsidRPr="001B3601" w:rsidRDefault="00527B1F" w:rsidP="00527B1F">
            <w:pPr>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Multa de 10% do valor do contrato + impedimento de licitar</w:t>
            </w:r>
          </w:p>
        </w:tc>
      </w:tr>
      <w:tr w:rsidR="00527B1F" w:rsidRPr="001B3601" w14:paraId="209E950E" w14:textId="77777777" w:rsidTr="00527B1F">
        <w:tc>
          <w:tcPr>
            <w:tcW w:w="5727" w:type="dxa"/>
            <w:hideMark/>
          </w:tcPr>
          <w:p w14:paraId="77362373" w14:textId="77777777" w:rsidR="00527B1F" w:rsidRPr="001B3601" w:rsidRDefault="00527B1F" w:rsidP="00527B1F">
            <w:pPr>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Não manter proposta, salvo em decorrência de fato superveniente devidamente justificado</w:t>
            </w:r>
          </w:p>
        </w:tc>
        <w:tc>
          <w:tcPr>
            <w:tcW w:w="0" w:type="auto"/>
            <w:hideMark/>
          </w:tcPr>
          <w:p w14:paraId="72FAF53A" w14:textId="77777777" w:rsidR="00527B1F" w:rsidRPr="001B3601" w:rsidRDefault="00527B1F" w:rsidP="00527B1F">
            <w:pPr>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Multa de 10% do valor do contrato + impedimento de licitar</w:t>
            </w:r>
          </w:p>
        </w:tc>
      </w:tr>
      <w:tr w:rsidR="00527B1F" w:rsidRPr="001B3601" w14:paraId="1443A1C8" w14:textId="77777777" w:rsidTr="00527B1F">
        <w:tc>
          <w:tcPr>
            <w:tcW w:w="5727" w:type="dxa"/>
            <w:hideMark/>
          </w:tcPr>
          <w:p w14:paraId="7EC8EB9C" w14:textId="77777777" w:rsidR="00527B1F" w:rsidRPr="001B3601" w:rsidRDefault="00527B1F" w:rsidP="00527B1F">
            <w:pPr>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Não celebrar o contrato ou não entregar a documentação exigida para a contratação, quando convocado dentro do prazo de validade de sua proposta</w:t>
            </w:r>
          </w:p>
        </w:tc>
        <w:tc>
          <w:tcPr>
            <w:tcW w:w="0" w:type="auto"/>
            <w:hideMark/>
          </w:tcPr>
          <w:p w14:paraId="7D03C258" w14:textId="77777777" w:rsidR="00527B1F" w:rsidRPr="001B3601" w:rsidRDefault="00527B1F" w:rsidP="00527B1F">
            <w:pPr>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Multa de 20% do valor do contrato + impedimento de licitar</w:t>
            </w:r>
          </w:p>
        </w:tc>
      </w:tr>
      <w:tr w:rsidR="00527B1F" w:rsidRPr="001B3601" w14:paraId="679941A4" w14:textId="77777777" w:rsidTr="00527B1F">
        <w:tc>
          <w:tcPr>
            <w:tcW w:w="5727" w:type="dxa"/>
            <w:hideMark/>
          </w:tcPr>
          <w:p w14:paraId="01A23A38" w14:textId="77777777" w:rsidR="00527B1F" w:rsidRPr="001B3601" w:rsidRDefault="00527B1F" w:rsidP="00527B1F">
            <w:pPr>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Ensejar o retardamento da execução ou da entrega do objeto da licitação sem motivo justificado</w:t>
            </w:r>
          </w:p>
        </w:tc>
        <w:tc>
          <w:tcPr>
            <w:tcW w:w="0" w:type="auto"/>
            <w:hideMark/>
          </w:tcPr>
          <w:p w14:paraId="47A03189" w14:textId="77777777" w:rsidR="00527B1F" w:rsidRPr="001B3601" w:rsidRDefault="00527B1F" w:rsidP="00527B1F">
            <w:pPr>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Multa de 15% do valor do contrato + impedimento de licitar</w:t>
            </w:r>
          </w:p>
        </w:tc>
      </w:tr>
    </w:tbl>
    <w:p w14:paraId="7D7812F5"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17.4. Aplicação de declaração de inidoneidade, acrescida de multa:</w:t>
      </w:r>
    </w:p>
    <w:tbl>
      <w:tblPr>
        <w:tblStyle w:val="Tabelacomgrade"/>
        <w:tblW w:w="0" w:type="auto"/>
        <w:tblInd w:w="108" w:type="dxa"/>
        <w:tblLook w:val="04A0" w:firstRow="1" w:lastRow="0" w:firstColumn="1" w:lastColumn="0" w:noHBand="0" w:noVBand="1"/>
      </w:tblPr>
      <w:tblGrid>
        <w:gridCol w:w="5592"/>
        <w:gridCol w:w="3587"/>
      </w:tblGrid>
      <w:tr w:rsidR="00527B1F" w:rsidRPr="00527B1F" w14:paraId="23D5BECF" w14:textId="77777777" w:rsidTr="00527B1F">
        <w:tc>
          <w:tcPr>
            <w:tcW w:w="5592" w:type="dxa"/>
            <w:hideMark/>
          </w:tcPr>
          <w:p w14:paraId="027C2DCE" w14:textId="77777777" w:rsidR="00527B1F" w:rsidRPr="00527B1F" w:rsidRDefault="00527B1F" w:rsidP="00527B1F">
            <w:pPr>
              <w:spacing w:line="276" w:lineRule="auto"/>
              <w:jc w:val="both"/>
              <w:rPr>
                <w:rFonts w:eastAsia="Times New Roman" w:cstheme="minorHAnsi"/>
                <w:b/>
                <w:bCs/>
                <w:lang w:eastAsia="pt-BR"/>
              </w:rPr>
            </w:pPr>
            <w:r w:rsidRPr="00527B1F">
              <w:rPr>
                <w:rFonts w:eastAsia="Times New Roman" w:cstheme="minorHAnsi"/>
                <w:b/>
                <w:bCs/>
                <w:lang w:eastAsia="pt-BR"/>
              </w:rPr>
              <w:t>Descumprimento</w:t>
            </w:r>
          </w:p>
        </w:tc>
        <w:tc>
          <w:tcPr>
            <w:tcW w:w="0" w:type="auto"/>
            <w:hideMark/>
          </w:tcPr>
          <w:p w14:paraId="70F5E16B" w14:textId="77777777" w:rsidR="00527B1F" w:rsidRPr="00527B1F" w:rsidRDefault="00527B1F" w:rsidP="00527B1F">
            <w:pPr>
              <w:spacing w:line="276" w:lineRule="auto"/>
              <w:jc w:val="both"/>
              <w:rPr>
                <w:rFonts w:eastAsia="Times New Roman" w:cstheme="minorHAnsi"/>
                <w:b/>
                <w:bCs/>
                <w:lang w:eastAsia="pt-BR"/>
              </w:rPr>
            </w:pPr>
            <w:r w:rsidRPr="00527B1F">
              <w:rPr>
                <w:rFonts w:eastAsia="Times New Roman" w:cstheme="minorHAnsi"/>
                <w:b/>
                <w:bCs/>
                <w:lang w:eastAsia="pt-BR"/>
              </w:rPr>
              <w:t>Aplicação</w:t>
            </w:r>
          </w:p>
        </w:tc>
      </w:tr>
      <w:tr w:rsidR="00527B1F" w:rsidRPr="00527B1F" w14:paraId="1E8EF4A1" w14:textId="77777777" w:rsidTr="00527B1F">
        <w:tc>
          <w:tcPr>
            <w:tcW w:w="5592" w:type="dxa"/>
            <w:hideMark/>
          </w:tcPr>
          <w:p w14:paraId="5A05DC32" w14:textId="77777777" w:rsidR="00527B1F" w:rsidRPr="00527B1F" w:rsidRDefault="00527B1F" w:rsidP="00527B1F">
            <w:pPr>
              <w:spacing w:line="276" w:lineRule="auto"/>
              <w:jc w:val="both"/>
              <w:rPr>
                <w:rFonts w:eastAsia="Times New Roman" w:cstheme="minorHAnsi"/>
                <w:lang w:eastAsia="pt-BR"/>
              </w:rPr>
            </w:pPr>
            <w:r w:rsidRPr="00527B1F">
              <w:rPr>
                <w:rFonts w:eastAsia="Times New Roman" w:cstheme="minorHAnsi"/>
                <w:lang w:eastAsia="pt-BR"/>
              </w:rPr>
              <w:t>Apresentar declaração ou documentação falsa exigida para o certame ou prestar declaração falsa durante a licitação ou a execução do contrato</w:t>
            </w:r>
          </w:p>
        </w:tc>
        <w:tc>
          <w:tcPr>
            <w:tcW w:w="0" w:type="auto"/>
            <w:hideMark/>
          </w:tcPr>
          <w:p w14:paraId="2DDD5191" w14:textId="77777777" w:rsidR="00527B1F" w:rsidRPr="001B3601" w:rsidRDefault="00527B1F" w:rsidP="00527B1F">
            <w:pPr>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Multa de 25% do valor do contrato + declaração de inidoneidade</w:t>
            </w:r>
          </w:p>
        </w:tc>
      </w:tr>
      <w:tr w:rsidR="00527B1F" w:rsidRPr="00527B1F" w14:paraId="60AD8060" w14:textId="77777777" w:rsidTr="00527B1F">
        <w:tc>
          <w:tcPr>
            <w:tcW w:w="5592" w:type="dxa"/>
            <w:hideMark/>
          </w:tcPr>
          <w:p w14:paraId="6D4B8CDE" w14:textId="77777777" w:rsidR="00527B1F" w:rsidRPr="00527B1F" w:rsidRDefault="00527B1F" w:rsidP="00527B1F">
            <w:pPr>
              <w:spacing w:line="276" w:lineRule="auto"/>
              <w:jc w:val="both"/>
              <w:rPr>
                <w:rFonts w:eastAsia="Times New Roman" w:cstheme="minorHAnsi"/>
                <w:lang w:eastAsia="pt-BR"/>
              </w:rPr>
            </w:pPr>
            <w:r w:rsidRPr="00527B1F">
              <w:rPr>
                <w:rFonts w:eastAsia="Times New Roman" w:cstheme="minorHAnsi"/>
                <w:lang w:eastAsia="pt-BR"/>
              </w:rPr>
              <w:t>Fraudar a licitação ou praticar ato fraudulento na execução do contrato</w:t>
            </w:r>
          </w:p>
        </w:tc>
        <w:tc>
          <w:tcPr>
            <w:tcW w:w="0" w:type="auto"/>
            <w:hideMark/>
          </w:tcPr>
          <w:p w14:paraId="06680C53" w14:textId="77777777" w:rsidR="00527B1F" w:rsidRPr="001B3601" w:rsidRDefault="00527B1F" w:rsidP="00527B1F">
            <w:pPr>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Multa de 25% do valor do contrato + declaração de inidoneidade</w:t>
            </w:r>
          </w:p>
        </w:tc>
      </w:tr>
      <w:tr w:rsidR="00527B1F" w:rsidRPr="00527B1F" w14:paraId="23F4A3D9" w14:textId="77777777" w:rsidTr="00527B1F">
        <w:tc>
          <w:tcPr>
            <w:tcW w:w="5592" w:type="dxa"/>
            <w:hideMark/>
          </w:tcPr>
          <w:p w14:paraId="7B22D3DD" w14:textId="77777777" w:rsidR="00527B1F" w:rsidRPr="00527B1F" w:rsidRDefault="00527B1F" w:rsidP="00527B1F">
            <w:pPr>
              <w:spacing w:line="276" w:lineRule="auto"/>
              <w:jc w:val="both"/>
              <w:rPr>
                <w:rFonts w:eastAsia="Times New Roman" w:cstheme="minorHAnsi"/>
                <w:lang w:eastAsia="pt-BR"/>
              </w:rPr>
            </w:pPr>
            <w:r w:rsidRPr="00527B1F">
              <w:rPr>
                <w:rFonts w:eastAsia="Times New Roman" w:cstheme="minorHAnsi"/>
                <w:lang w:eastAsia="pt-BR"/>
              </w:rPr>
              <w:t>Comportar-se de modo inidôneo ou cometer fraude de qualquer natureza</w:t>
            </w:r>
          </w:p>
        </w:tc>
        <w:tc>
          <w:tcPr>
            <w:tcW w:w="0" w:type="auto"/>
            <w:hideMark/>
          </w:tcPr>
          <w:p w14:paraId="0226C232" w14:textId="77777777" w:rsidR="00527B1F" w:rsidRPr="001B3601" w:rsidRDefault="00527B1F" w:rsidP="00527B1F">
            <w:pPr>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Multa de 20% do valor do contrato + declaração de inidoneidade</w:t>
            </w:r>
          </w:p>
        </w:tc>
      </w:tr>
      <w:tr w:rsidR="00527B1F" w:rsidRPr="00527B1F" w14:paraId="04AA9904" w14:textId="77777777" w:rsidTr="00527B1F">
        <w:tc>
          <w:tcPr>
            <w:tcW w:w="5592" w:type="dxa"/>
            <w:hideMark/>
          </w:tcPr>
          <w:p w14:paraId="7B3E91B3" w14:textId="77777777" w:rsidR="00527B1F" w:rsidRPr="00527B1F" w:rsidRDefault="00527B1F" w:rsidP="00527B1F">
            <w:pPr>
              <w:spacing w:line="276" w:lineRule="auto"/>
              <w:jc w:val="both"/>
              <w:rPr>
                <w:rFonts w:eastAsia="Times New Roman" w:cstheme="minorHAnsi"/>
                <w:lang w:eastAsia="pt-BR"/>
              </w:rPr>
            </w:pPr>
            <w:r w:rsidRPr="00527B1F">
              <w:rPr>
                <w:rFonts w:eastAsia="Times New Roman" w:cstheme="minorHAnsi"/>
                <w:lang w:eastAsia="pt-BR"/>
              </w:rPr>
              <w:t>Praticar atos ilícitos com vistas a frustrar os objetivos da licitação</w:t>
            </w:r>
          </w:p>
        </w:tc>
        <w:tc>
          <w:tcPr>
            <w:tcW w:w="0" w:type="auto"/>
            <w:hideMark/>
          </w:tcPr>
          <w:p w14:paraId="2A687704" w14:textId="77777777" w:rsidR="00527B1F" w:rsidRPr="001B3601" w:rsidRDefault="00527B1F" w:rsidP="00527B1F">
            <w:pPr>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Multa de 25% do valor do contrato + declaração de inidoneidade</w:t>
            </w:r>
          </w:p>
        </w:tc>
      </w:tr>
      <w:tr w:rsidR="00527B1F" w:rsidRPr="00527B1F" w14:paraId="48D5417B" w14:textId="77777777" w:rsidTr="00527B1F">
        <w:tc>
          <w:tcPr>
            <w:tcW w:w="5592" w:type="dxa"/>
            <w:hideMark/>
          </w:tcPr>
          <w:p w14:paraId="1FBCE9A6" w14:textId="77777777" w:rsidR="00527B1F" w:rsidRPr="00527B1F" w:rsidRDefault="00527B1F" w:rsidP="00527B1F">
            <w:pPr>
              <w:spacing w:line="276" w:lineRule="auto"/>
              <w:jc w:val="both"/>
              <w:rPr>
                <w:rFonts w:eastAsia="Times New Roman" w:cstheme="minorHAnsi"/>
                <w:lang w:eastAsia="pt-BR"/>
              </w:rPr>
            </w:pPr>
            <w:r w:rsidRPr="00527B1F">
              <w:rPr>
                <w:rFonts w:eastAsia="Times New Roman" w:cstheme="minorHAnsi"/>
                <w:lang w:eastAsia="pt-BR"/>
              </w:rPr>
              <w:t>Praticar ato lesivo previsto no art. 5° da Lei Federal n° 12.846/2013</w:t>
            </w:r>
          </w:p>
        </w:tc>
        <w:tc>
          <w:tcPr>
            <w:tcW w:w="0" w:type="auto"/>
            <w:hideMark/>
          </w:tcPr>
          <w:p w14:paraId="2D5C4BD0" w14:textId="77777777" w:rsidR="00527B1F" w:rsidRPr="001B3601" w:rsidRDefault="00527B1F" w:rsidP="00527B1F">
            <w:pPr>
              <w:spacing w:line="276" w:lineRule="auto"/>
              <w:jc w:val="both"/>
              <w:rPr>
                <w:rFonts w:eastAsia="Times New Roman" w:cstheme="minorHAnsi"/>
                <w:sz w:val="20"/>
                <w:szCs w:val="20"/>
                <w:lang w:eastAsia="pt-BR"/>
              </w:rPr>
            </w:pPr>
            <w:r w:rsidRPr="001B3601">
              <w:rPr>
                <w:rFonts w:eastAsia="Times New Roman" w:cstheme="minorHAnsi"/>
                <w:sz w:val="20"/>
                <w:szCs w:val="20"/>
                <w:lang w:eastAsia="pt-BR"/>
              </w:rPr>
              <w:t>Multa de 30% do valor do contrato + declaração de inidoneidade</w:t>
            </w:r>
          </w:p>
        </w:tc>
      </w:tr>
    </w:tbl>
    <w:p w14:paraId="383DDA22"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17.5. Sem prejuízo das sanções previstas nos itens anteriores, a responsabilização administrativa, civil e criminal de pessoas jurídicas pela prática de atos contra a Administração Pública, nacional ou estrangeira, na participação da presente licitação e nos contratos ou vínculos derivados, também se dará na forma prevista na Lei Federal n.º 12.846/2013.</w:t>
      </w:r>
    </w:p>
    <w:p w14:paraId="37E62B03"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17.6. Quaisquer penalidades aplicadas serão transcritas no Cadastro Nacional de Empresas Inidôneas e Suspensas (CEIS) e no Cadastro Nacional de Empresas Punidas (CNEP), instituídos no âmbito do Poder Executivo Federal e junto ao Cadastro de Restrições do Direito de Licitar e Contratar com a Administração Pública do Estado do Paraná.</w:t>
      </w:r>
    </w:p>
    <w:p w14:paraId="140CD1B5" w14:textId="77777777" w:rsidR="00527B1F" w:rsidRPr="00527B1F" w:rsidRDefault="00527B1F" w:rsidP="00527B1F">
      <w:pPr>
        <w:spacing w:after="0"/>
        <w:jc w:val="both"/>
        <w:rPr>
          <w:rFonts w:eastAsia="Times New Roman" w:cstheme="minorHAnsi"/>
          <w:lang w:eastAsia="pt-BR"/>
        </w:rPr>
      </w:pPr>
      <w:r w:rsidRPr="00527B1F">
        <w:rPr>
          <w:rFonts w:eastAsia="Times New Roman" w:cstheme="minorHAnsi"/>
          <w:lang w:eastAsia="pt-BR"/>
        </w:rPr>
        <w:t>17.7. As multas previstas neste edital poderão ser descontadas do pagamento eventualmente devido pelo contratante decorrente de outros contratos firmados com a Administração Pública Municipal.</w:t>
      </w:r>
    </w:p>
    <w:p w14:paraId="4AD5C866" w14:textId="06CDA490" w:rsidR="00527B1F" w:rsidRPr="00527B1F" w:rsidRDefault="00527B1F" w:rsidP="00527B1F">
      <w:pPr>
        <w:spacing w:after="0"/>
        <w:jc w:val="both"/>
        <w:rPr>
          <w:rFonts w:eastAsia="Times New Roman" w:cstheme="minorHAnsi"/>
          <w:lang w:eastAsia="pt-BR"/>
        </w:rPr>
      </w:pPr>
    </w:p>
    <w:p w14:paraId="0675BB03" w14:textId="1A2EECBA" w:rsidR="00527B1F" w:rsidRPr="00527B1F" w:rsidRDefault="00527B1F" w:rsidP="00527B1F">
      <w:pPr>
        <w:spacing w:after="0"/>
        <w:jc w:val="both"/>
        <w:rPr>
          <w:rFonts w:eastAsia="Times New Roman" w:cstheme="minorHAnsi"/>
          <w:lang w:eastAsia="pt-BR"/>
        </w:rPr>
      </w:pPr>
    </w:p>
    <w:p w14:paraId="6D942047" w14:textId="14C3BE03" w:rsidR="00527B1F" w:rsidRDefault="00527B1F" w:rsidP="00527B1F">
      <w:pPr>
        <w:spacing w:after="0"/>
        <w:jc w:val="both"/>
        <w:rPr>
          <w:rFonts w:eastAsia="Times New Roman" w:cstheme="minorHAnsi"/>
          <w:b/>
          <w:bCs/>
          <w:lang w:eastAsia="pt-BR"/>
        </w:rPr>
      </w:pPr>
      <w:r w:rsidRPr="00527B1F">
        <w:rPr>
          <w:rFonts w:eastAsia="Times New Roman" w:cstheme="minorHAnsi"/>
          <w:b/>
          <w:bCs/>
          <w:lang w:eastAsia="pt-BR"/>
        </w:rPr>
        <w:t xml:space="preserve">Nova Prata do Iguaçu, </w:t>
      </w:r>
      <w:r w:rsidR="008C460B">
        <w:rPr>
          <w:rFonts w:eastAsia="Times New Roman" w:cstheme="minorHAnsi"/>
          <w:b/>
          <w:bCs/>
          <w:lang w:eastAsia="pt-BR"/>
        </w:rPr>
        <w:t>1</w:t>
      </w:r>
      <w:r w:rsidR="000A7811">
        <w:rPr>
          <w:rFonts w:eastAsia="Times New Roman" w:cstheme="minorHAnsi"/>
          <w:b/>
          <w:bCs/>
          <w:lang w:eastAsia="pt-BR"/>
        </w:rPr>
        <w:t>6</w:t>
      </w:r>
      <w:r w:rsidR="00742E4C">
        <w:rPr>
          <w:rFonts w:eastAsia="Times New Roman" w:cstheme="minorHAnsi"/>
          <w:b/>
          <w:bCs/>
          <w:lang w:eastAsia="pt-BR"/>
        </w:rPr>
        <w:t xml:space="preserve"> de </w:t>
      </w:r>
      <w:r w:rsidR="000A7811">
        <w:rPr>
          <w:rFonts w:eastAsia="Times New Roman" w:cstheme="minorHAnsi"/>
          <w:b/>
          <w:bCs/>
          <w:lang w:eastAsia="pt-BR"/>
        </w:rPr>
        <w:t>dezembro</w:t>
      </w:r>
      <w:r w:rsidR="00742E4C">
        <w:rPr>
          <w:rFonts w:eastAsia="Times New Roman" w:cstheme="minorHAnsi"/>
          <w:b/>
          <w:bCs/>
          <w:lang w:eastAsia="pt-BR"/>
        </w:rPr>
        <w:t xml:space="preserve"> 2025.</w:t>
      </w:r>
    </w:p>
    <w:p w14:paraId="7DAA245E" w14:textId="77777777" w:rsidR="00545566" w:rsidRDefault="00545566" w:rsidP="00527B1F">
      <w:pPr>
        <w:spacing w:after="0"/>
        <w:jc w:val="both"/>
        <w:rPr>
          <w:rFonts w:eastAsia="Times New Roman" w:cstheme="minorHAnsi"/>
          <w:b/>
          <w:bCs/>
          <w:lang w:eastAsia="pt-BR"/>
        </w:rPr>
      </w:pPr>
    </w:p>
    <w:p w14:paraId="1BB8D7F2" w14:textId="77777777" w:rsidR="00545566" w:rsidRPr="00527B1F" w:rsidRDefault="00545566" w:rsidP="00527B1F">
      <w:pPr>
        <w:spacing w:after="0"/>
        <w:jc w:val="both"/>
        <w:rPr>
          <w:rFonts w:eastAsia="Times New Roman" w:cstheme="minorHAnsi"/>
          <w:lang w:eastAsia="pt-BR"/>
        </w:rPr>
      </w:pPr>
    </w:p>
    <w:p w14:paraId="66A73ADA" w14:textId="6F6FBB29" w:rsidR="00527B1F" w:rsidRPr="00527B1F" w:rsidRDefault="00527B1F" w:rsidP="00527B1F">
      <w:pPr>
        <w:spacing w:after="0"/>
        <w:jc w:val="both"/>
        <w:rPr>
          <w:rFonts w:eastAsia="Times New Roman" w:cstheme="minorHAnsi"/>
          <w:lang w:eastAsia="pt-BR"/>
        </w:rPr>
      </w:pPr>
      <w:r w:rsidRPr="00527B1F">
        <w:rPr>
          <w:rFonts w:eastAsia="Times New Roman" w:cstheme="minorHAnsi"/>
          <w:b/>
          <w:bCs/>
          <w:lang w:eastAsia="pt-BR"/>
        </w:rPr>
        <w:t>Elaboração:</w:t>
      </w:r>
    </w:p>
    <w:p w14:paraId="3DC16DC6" w14:textId="77777777" w:rsidR="0031661B" w:rsidRDefault="0031661B" w:rsidP="0031661B">
      <w:pPr>
        <w:pStyle w:val="PargrafodaLista"/>
        <w:widowControl w:val="0"/>
        <w:numPr>
          <w:ilvl w:val="0"/>
          <w:numId w:val="5"/>
        </w:numPr>
        <w:spacing w:after="0"/>
        <w:jc w:val="both"/>
        <w:rPr>
          <w:rFonts w:eastAsia="Times New Roman" w:cstheme="minorHAnsi"/>
          <w:lang w:eastAsia="pt-BR"/>
        </w:rPr>
      </w:pPr>
      <w:r w:rsidRPr="0031661B">
        <w:rPr>
          <w:rFonts w:eastAsia="Times New Roman" w:cstheme="minorHAnsi"/>
          <w:b/>
          <w:bCs/>
          <w:lang w:eastAsia="pt-BR"/>
        </w:rPr>
        <w:t xml:space="preserve">Cleuza Castro de </w:t>
      </w:r>
      <w:proofErr w:type="gramStart"/>
      <w:r w:rsidRPr="0031661B">
        <w:rPr>
          <w:rFonts w:eastAsia="Times New Roman" w:cstheme="minorHAnsi"/>
          <w:b/>
          <w:bCs/>
          <w:lang w:eastAsia="pt-BR"/>
        </w:rPr>
        <w:t xml:space="preserve">Jesus </w:t>
      </w:r>
      <w:r w:rsidRPr="0031661B">
        <w:rPr>
          <w:rFonts w:eastAsia="Times New Roman" w:cstheme="minorHAnsi"/>
          <w:lang w:eastAsia="pt-BR"/>
        </w:rPr>
        <w:t xml:space="preserve"> Matrícula</w:t>
      </w:r>
      <w:proofErr w:type="gramEnd"/>
      <w:r w:rsidRPr="0031661B">
        <w:rPr>
          <w:rFonts w:eastAsia="Times New Roman" w:cstheme="minorHAnsi"/>
          <w:lang w:eastAsia="pt-BR"/>
        </w:rPr>
        <w:t>: 15.211-1</w:t>
      </w:r>
    </w:p>
    <w:p w14:paraId="39B1A766" w14:textId="77777777" w:rsidR="008C460B" w:rsidRPr="0031661B" w:rsidRDefault="008C460B" w:rsidP="008C460B">
      <w:pPr>
        <w:pStyle w:val="PargrafodaLista"/>
        <w:widowControl w:val="0"/>
        <w:spacing w:after="0"/>
        <w:jc w:val="both"/>
        <w:rPr>
          <w:rFonts w:eastAsia="Times New Roman" w:cstheme="minorHAnsi"/>
          <w:lang w:eastAsia="pt-BR"/>
        </w:rPr>
      </w:pPr>
    </w:p>
    <w:p w14:paraId="5FA5F8BB" w14:textId="1FD10DD4" w:rsidR="00527B1F" w:rsidRPr="00527B1F" w:rsidRDefault="00527B1F" w:rsidP="0031661B">
      <w:pPr>
        <w:spacing w:after="0"/>
        <w:ind w:left="720"/>
        <w:jc w:val="both"/>
        <w:rPr>
          <w:rFonts w:eastAsia="Times New Roman" w:cstheme="minorHAnsi"/>
          <w:lang w:eastAsia="pt-BR"/>
        </w:rPr>
      </w:pPr>
    </w:p>
    <w:p w14:paraId="7D441810" w14:textId="153C48D4" w:rsidR="00527B1F" w:rsidRPr="00527B1F" w:rsidRDefault="00527B1F" w:rsidP="00527B1F">
      <w:pPr>
        <w:spacing w:after="0"/>
        <w:jc w:val="both"/>
        <w:rPr>
          <w:rFonts w:eastAsia="Times New Roman" w:cstheme="minorHAnsi"/>
          <w:lang w:eastAsia="pt-BR"/>
        </w:rPr>
      </w:pPr>
    </w:p>
    <w:sectPr w:rsidR="00527B1F" w:rsidRPr="00527B1F" w:rsidSect="00ED6D2C">
      <w:headerReference w:type="default" r:id="rId10"/>
      <w:endnotePr>
        <w:numFmt w:val="decimal"/>
      </w:endnotePr>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60A77E" w14:textId="77777777" w:rsidR="006B253F" w:rsidRDefault="006B253F" w:rsidP="002823B1">
      <w:pPr>
        <w:spacing w:after="0" w:line="240" w:lineRule="auto"/>
      </w:pPr>
      <w:r>
        <w:separator/>
      </w:r>
    </w:p>
  </w:endnote>
  <w:endnote w:type="continuationSeparator" w:id="0">
    <w:p w14:paraId="04E85554" w14:textId="77777777" w:rsidR="006B253F" w:rsidRDefault="006B253F" w:rsidP="002823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hyllis">
    <w:altName w:val="Calibri"/>
    <w:panose1 w:val="00000000000000000000"/>
    <w:charset w:val="00"/>
    <w:family w:val="script"/>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A43995" w14:textId="77777777" w:rsidR="006B253F" w:rsidRDefault="006B253F" w:rsidP="002823B1">
      <w:pPr>
        <w:spacing w:after="0" w:line="240" w:lineRule="auto"/>
      </w:pPr>
      <w:r>
        <w:separator/>
      </w:r>
    </w:p>
  </w:footnote>
  <w:footnote w:type="continuationSeparator" w:id="0">
    <w:p w14:paraId="6DDB9639" w14:textId="77777777" w:rsidR="006B253F" w:rsidRDefault="006B253F" w:rsidP="002823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21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83"/>
      <w:gridCol w:w="7731"/>
    </w:tblGrid>
    <w:tr w:rsidR="005C620C" w14:paraId="4378A014" w14:textId="77777777" w:rsidTr="00285B0A">
      <w:tc>
        <w:tcPr>
          <w:tcW w:w="1483" w:type="dxa"/>
        </w:tcPr>
        <w:p w14:paraId="4CE3934F" w14:textId="77777777" w:rsidR="005C620C" w:rsidRDefault="005C620C" w:rsidP="00A8039A">
          <w:pPr>
            <w:rPr>
              <w:b/>
            </w:rPr>
          </w:pPr>
          <w:r w:rsidRPr="00A16EED">
            <w:rPr>
              <w:b/>
              <w:noProof/>
              <w:lang w:eastAsia="pt-BR"/>
            </w:rPr>
            <w:drawing>
              <wp:inline distT="0" distB="0" distL="0" distR="0" wp14:anchorId="483AA430" wp14:editId="0CB99F6E">
                <wp:extent cx="838200" cy="790575"/>
                <wp:effectExtent l="0" t="0" r="0" b="9525"/>
                <wp:docPr id="51067515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8200" cy="790575"/>
                        </a:xfrm>
                        <a:prstGeom prst="rect">
                          <a:avLst/>
                        </a:prstGeom>
                        <a:noFill/>
                        <a:ln>
                          <a:noFill/>
                        </a:ln>
                      </pic:spPr>
                    </pic:pic>
                  </a:graphicData>
                </a:graphic>
              </wp:inline>
            </w:drawing>
          </w:r>
        </w:p>
      </w:tc>
      <w:tc>
        <w:tcPr>
          <w:tcW w:w="7731" w:type="dxa"/>
          <w:vAlign w:val="center"/>
        </w:tcPr>
        <w:p w14:paraId="51971717" w14:textId="77777777" w:rsidR="005C620C" w:rsidRPr="004E5AE2" w:rsidRDefault="005C620C" w:rsidP="00A8039A">
          <w:pPr>
            <w:pStyle w:val="Cabealho"/>
            <w:ind w:firstLine="34"/>
            <w:jc w:val="center"/>
            <w:rPr>
              <w:b/>
              <w:sz w:val="32"/>
              <w:u w:val="single"/>
            </w:rPr>
          </w:pPr>
          <w:r w:rsidRPr="004E5AE2">
            <w:rPr>
              <w:b/>
              <w:sz w:val="32"/>
              <w:u w:val="single"/>
            </w:rPr>
            <w:t>Prefeitura Municipal de Nova Prata do Iguaçu</w:t>
          </w:r>
        </w:p>
        <w:p w14:paraId="2C5D9B95" w14:textId="77777777" w:rsidR="005C620C" w:rsidRPr="004E5AE2" w:rsidRDefault="005C620C" w:rsidP="00A8039A">
          <w:pPr>
            <w:pStyle w:val="Cabealho"/>
            <w:ind w:right="360" w:firstLine="34"/>
            <w:jc w:val="center"/>
            <w:rPr>
              <w:b/>
            </w:rPr>
          </w:pPr>
          <w:r w:rsidRPr="004E5AE2">
            <w:rPr>
              <w:b/>
            </w:rPr>
            <w:t>Estado do Paraná</w:t>
          </w:r>
        </w:p>
        <w:p w14:paraId="1E266EE2" w14:textId="77777777" w:rsidR="005C620C" w:rsidRDefault="005C620C" w:rsidP="00A8039A">
          <w:pPr>
            <w:jc w:val="center"/>
            <w:rPr>
              <w:b/>
            </w:rPr>
          </w:pPr>
          <w:r>
            <w:rPr>
              <w:rFonts w:ascii="Phyllis" w:hAnsi="Phyllis"/>
              <w:b/>
              <w:sz w:val="28"/>
            </w:rPr>
            <w:t xml:space="preserve">“Centro Administrativo Setembrino </w:t>
          </w:r>
          <w:proofErr w:type="spellStart"/>
          <w:r>
            <w:rPr>
              <w:rFonts w:ascii="Phyllis" w:hAnsi="Phyllis"/>
              <w:b/>
              <w:sz w:val="28"/>
            </w:rPr>
            <w:t>Thomazi</w:t>
          </w:r>
          <w:proofErr w:type="spellEnd"/>
          <w:r>
            <w:rPr>
              <w:rFonts w:ascii="Phyllis" w:hAnsi="Phyllis"/>
              <w:b/>
              <w:sz w:val="28"/>
            </w:rPr>
            <w:t>”</w:t>
          </w:r>
        </w:p>
      </w:tc>
    </w:tr>
  </w:tbl>
  <w:p w14:paraId="05A20027" w14:textId="77777777" w:rsidR="005C620C" w:rsidRDefault="005C620C" w:rsidP="005C620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E677E"/>
    <w:multiLevelType w:val="multilevel"/>
    <w:tmpl w:val="3F2CC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8A3010D"/>
    <w:multiLevelType w:val="multilevel"/>
    <w:tmpl w:val="E062A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1D33A0"/>
    <w:multiLevelType w:val="multilevel"/>
    <w:tmpl w:val="920EB8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751C8F"/>
    <w:multiLevelType w:val="multilevel"/>
    <w:tmpl w:val="A75048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03557F"/>
    <w:multiLevelType w:val="multilevel"/>
    <w:tmpl w:val="68642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CF0076"/>
    <w:multiLevelType w:val="multilevel"/>
    <w:tmpl w:val="9614F5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48631BC"/>
    <w:multiLevelType w:val="multilevel"/>
    <w:tmpl w:val="678E2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672C60"/>
    <w:multiLevelType w:val="hybridMultilevel"/>
    <w:tmpl w:val="3B407C60"/>
    <w:lvl w:ilvl="0" w:tplc="41DAD7BE">
      <w:start w:val="1"/>
      <w:numFmt w:val="lowerLetter"/>
      <w:suff w:val="space"/>
      <w:lvlText w:val="%1)"/>
      <w:lvlJc w:val="left"/>
      <w:pPr>
        <w:ind w:left="1518" w:hanging="384"/>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8" w15:restartNumberingAfterBreak="0">
    <w:nsid w:val="4EE14CB8"/>
    <w:multiLevelType w:val="multilevel"/>
    <w:tmpl w:val="00F0765C"/>
    <w:lvl w:ilvl="0">
      <w:start w:val="1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5D8C0225"/>
    <w:multiLevelType w:val="multilevel"/>
    <w:tmpl w:val="DC1809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652D68"/>
    <w:multiLevelType w:val="multilevel"/>
    <w:tmpl w:val="5BAEA1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685E31F6"/>
    <w:multiLevelType w:val="multilevel"/>
    <w:tmpl w:val="E16C7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0D73C04"/>
    <w:multiLevelType w:val="multilevel"/>
    <w:tmpl w:val="35C67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3445B03"/>
    <w:multiLevelType w:val="multilevel"/>
    <w:tmpl w:val="88B4E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A15424C"/>
    <w:multiLevelType w:val="multilevel"/>
    <w:tmpl w:val="228CE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9335700">
    <w:abstractNumId w:val="6"/>
  </w:num>
  <w:num w:numId="2" w16cid:durableId="943075375">
    <w:abstractNumId w:val="1"/>
  </w:num>
  <w:num w:numId="3" w16cid:durableId="1533960409">
    <w:abstractNumId w:val="10"/>
  </w:num>
  <w:num w:numId="4" w16cid:durableId="1931424182">
    <w:abstractNumId w:val="14"/>
  </w:num>
  <w:num w:numId="5" w16cid:durableId="209151246">
    <w:abstractNumId w:val="11"/>
  </w:num>
  <w:num w:numId="6" w16cid:durableId="1481455755">
    <w:abstractNumId w:val="3"/>
  </w:num>
  <w:num w:numId="7" w16cid:durableId="305936533">
    <w:abstractNumId w:val="13"/>
  </w:num>
  <w:num w:numId="8" w16cid:durableId="1487893616">
    <w:abstractNumId w:val="9"/>
  </w:num>
  <w:num w:numId="9" w16cid:durableId="688680734">
    <w:abstractNumId w:val="5"/>
  </w:num>
  <w:num w:numId="10" w16cid:durableId="242375288">
    <w:abstractNumId w:val="2"/>
  </w:num>
  <w:num w:numId="11" w16cid:durableId="414329145">
    <w:abstractNumId w:val="12"/>
  </w:num>
  <w:num w:numId="12" w16cid:durableId="1554196853">
    <w:abstractNumId w:val="0"/>
  </w:num>
  <w:num w:numId="13" w16cid:durableId="1079519702">
    <w:abstractNumId w:val="4"/>
  </w:num>
  <w:num w:numId="14" w16cid:durableId="491720512">
    <w:abstractNumId w:val="8"/>
  </w:num>
  <w:num w:numId="15" w16cid:durableId="14721557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08"/>
  <w:hyphenationZone w:val="425"/>
  <w:characterSpacingControl w:val="doNotCompress"/>
  <w:hdrShapeDefaults>
    <o:shapedefaults v:ext="edit" spidmax="2051"/>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823B1"/>
    <w:rsid w:val="00023ACC"/>
    <w:rsid w:val="00046B70"/>
    <w:rsid w:val="000576B9"/>
    <w:rsid w:val="00066DA6"/>
    <w:rsid w:val="00067C15"/>
    <w:rsid w:val="00070961"/>
    <w:rsid w:val="00092BF3"/>
    <w:rsid w:val="000A34BB"/>
    <w:rsid w:val="000A7811"/>
    <w:rsid w:val="000B09D9"/>
    <w:rsid w:val="000B3A55"/>
    <w:rsid w:val="000B43C4"/>
    <w:rsid w:val="000B4F53"/>
    <w:rsid w:val="000C0B4B"/>
    <w:rsid w:val="000C3E60"/>
    <w:rsid w:val="000C4E3A"/>
    <w:rsid w:val="000D7E9D"/>
    <w:rsid w:val="000E363B"/>
    <w:rsid w:val="000F190C"/>
    <w:rsid w:val="00117B7D"/>
    <w:rsid w:val="00142303"/>
    <w:rsid w:val="001463C6"/>
    <w:rsid w:val="00157858"/>
    <w:rsid w:val="00165121"/>
    <w:rsid w:val="00174FB0"/>
    <w:rsid w:val="001762C6"/>
    <w:rsid w:val="001871F3"/>
    <w:rsid w:val="001B067A"/>
    <w:rsid w:val="001B3601"/>
    <w:rsid w:val="001F1FBA"/>
    <w:rsid w:val="00202BED"/>
    <w:rsid w:val="002448A3"/>
    <w:rsid w:val="00265D84"/>
    <w:rsid w:val="00267072"/>
    <w:rsid w:val="002736B6"/>
    <w:rsid w:val="002823B1"/>
    <w:rsid w:val="00285B0A"/>
    <w:rsid w:val="002A386D"/>
    <w:rsid w:val="002C45BF"/>
    <w:rsid w:val="002E11C0"/>
    <w:rsid w:val="002F16DC"/>
    <w:rsid w:val="00311067"/>
    <w:rsid w:val="0031661B"/>
    <w:rsid w:val="00341A20"/>
    <w:rsid w:val="00342596"/>
    <w:rsid w:val="003703EF"/>
    <w:rsid w:val="00370A3D"/>
    <w:rsid w:val="00381DF8"/>
    <w:rsid w:val="00391FE3"/>
    <w:rsid w:val="0039321B"/>
    <w:rsid w:val="00393223"/>
    <w:rsid w:val="003A1336"/>
    <w:rsid w:val="003B1364"/>
    <w:rsid w:val="003C0331"/>
    <w:rsid w:val="003C296D"/>
    <w:rsid w:val="003E2D5B"/>
    <w:rsid w:val="003F430C"/>
    <w:rsid w:val="003F482F"/>
    <w:rsid w:val="00403FBF"/>
    <w:rsid w:val="0040407C"/>
    <w:rsid w:val="004045C9"/>
    <w:rsid w:val="00407DB3"/>
    <w:rsid w:val="004111A9"/>
    <w:rsid w:val="00413D2D"/>
    <w:rsid w:val="00415567"/>
    <w:rsid w:val="00417E8D"/>
    <w:rsid w:val="00426B50"/>
    <w:rsid w:val="00434007"/>
    <w:rsid w:val="0045464C"/>
    <w:rsid w:val="0046399F"/>
    <w:rsid w:val="004649EE"/>
    <w:rsid w:val="00470C59"/>
    <w:rsid w:val="00476364"/>
    <w:rsid w:val="004768FB"/>
    <w:rsid w:val="00497763"/>
    <w:rsid w:val="004A51A3"/>
    <w:rsid w:val="004C49A1"/>
    <w:rsid w:val="004C518F"/>
    <w:rsid w:val="004C763E"/>
    <w:rsid w:val="004E25D3"/>
    <w:rsid w:val="004F5E02"/>
    <w:rsid w:val="005206DD"/>
    <w:rsid w:val="005260E8"/>
    <w:rsid w:val="00527B1F"/>
    <w:rsid w:val="00531E76"/>
    <w:rsid w:val="00535A82"/>
    <w:rsid w:val="00545566"/>
    <w:rsid w:val="005516C9"/>
    <w:rsid w:val="0056059C"/>
    <w:rsid w:val="00560751"/>
    <w:rsid w:val="00562EA9"/>
    <w:rsid w:val="0056644B"/>
    <w:rsid w:val="00574ABC"/>
    <w:rsid w:val="00592867"/>
    <w:rsid w:val="00596624"/>
    <w:rsid w:val="005A1822"/>
    <w:rsid w:val="005B1784"/>
    <w:rsid w:val="005C620C"/>
    <w:rsid w:val="005E55A1"/>
    <w:rsid w:val="005F0038"/>
    <w:rsid w:val="005F61EE"/>
    <w:rsid w:val="006006C7"/>
    <w:rsid w:val="006161C6"/>
    <w:rsid w:val="00623FBB"/>
    <w:rsid w:val="00624C67"/>
    <w:rsid w:val="0062709E"/>
    <w:rsid w:val="00634D8F"/>
    <w:rsid w:val="0063575E"/>
    <w:rsid w:val="0065005B"/>
    <w:rsid w:val="006554D0"/>
    <w:rsid w:val="00665A14"/>
    <w:rsid w:val="006B253F"/>
    <w:rsid w:val="006B6A01"/>
    <w:rsid w:val="006C49F9"/>
    <w:rsid w:val="006F18C0"/>
    <w:rsid w:val="00703088"/>
    <w:rsid w:val="00742E4C"/>
    <w:rsid w:val="00744A50"/>
    <w:rsid w:val="00746A27"/>
    <w:rsid w:val="007541AD"/>
    <w:rsid w:val="00776386"/>
    <w:rsid w:val="00783F03"/>
    <w:rsid w:val="0078449E"/>
    <w:rsid w:val="007A0AD0"/>
    <w:rsid w:val="007A4A94"/>
    <w:rsid w:val="007B0327"/>
    <w:rsid w:val="007C021F"/>
    <w:rsid w:val="007E39B1"/>
    <w:rsid w:val="007F49CE"/>
    <w:rsid w:val="007F5953"/>
    <w:rsid w:val="00813667"/>
    <w:rsid w:val="00816AC8"/>
    <w:rsid w:val="00826C41"/>
    <w:rsid w:val="00831E5F"/>
    <w:rsid w:val="00866F3B"/>
    <w:rsid w:val="0087097A"/>
    <w:rsid w:val="00883AA3"/>
    <w:rsid w:val="00890A36"/>
    <w:rsid w:val="008A5431"/>
    <w:rsid w:val="008C460B"/>
    <w:rsid w:val="008E79ED"/>
    <w:rsid w:val="00907673"/>
    <w:rsid w:val="0091087D"/>
    <w:rsid w:val="0092320D"/>
    <w:rsid w:val="009247A4"/>
    <w:rsid w:val="00934432"/>
    <w:rsid w:val="00963B94"/>
    <w:rsid w:val="009704D6"/>
    <w:rsid w:val="00983936"/>
    <w:rsid w:val="009B548A"/>
    <w:rsid w:val="009D2001"/>
    <w:rsid w:val="009E0855"/>
    <w:rsid w:val="009F1B82"/>
    <w:rsid w:val="00A02BB6"/>
    <w:rsid w:val="00A3350C"/>
    <w:rsid w:val="00A36B00"/>
    <w:rsid w:val="00A42565"/>
    <w:rsid w:val="00A45CF1"/>
    <w:rsid w:val="00A62D39"/>
    <w:rsid w:val="00A67015"/>
    <w:rsid w:val="00A71261"/>
    <w:rsid w:val="00A80330"/>
    <w:rsid w:val="00AA49ED"/>
    <w:rsid w:val="00AA5C41"/>
    <w:rsid w:val="00AB32D4"/>
    <w:rsid w:val="00AC35CA"/>
    <w:rsid w:val="00AC4B9D"/>
    <w:rsid w:val="00B00A47"/>
    <w:rsid w:val="00B150EC"/>
    <w:rsid w:val="00B16AD0"/>
    <w:rsid w:val="00B246EA"/>
    <w:rsid w:val="00B50D62"/>
    <w:rsid w:val="00B741D7"/>
    <w:rsid w:val="00B80628"/>
    <w:rsid w:val="00B87EA3"/>
    <w:rsid w:val="00B95F5B"/>
    <w:rsid w:val="00BA1C27"/>
    <w:rsid w:val="00BA6849"/>
    <w:rsid w:val="00BA6CA2"/>
    <w:rsid w:val="00BB3E2A"/>
    <w:rsid w:val="00BB539D"/>
    <w:rsid w:val="00BB6B80"/>
    <w:rsid w:val="00BC3BAB"/>
    <w:rsid w:val="00BC3D21"/>
    <w:rsid w:val="00BD4FD1"/>
    <w:rsid w:val="00BE3F93"/>
    <w:rsid w:val="00BE4466"/>
    <w:rsid w:val="00C128DC"/>
    <w:rsid w:val="00C137B0"/>
    <w:rsid w:val="00C17647"/>
    <w:rsid w:val="00C27EBF"/>
    <w:rsid w:val="00C30281"/>
    <w:rsid w:val="00C32C4E"/>
    <w:rsid w:val="00C545A7"/>
    <w:rsid w:val="00C570D5"/>
    <w:rsid w:val="00C71AB4"/>
    <w:rsid w:val="00C77C92"/>
    <w:rsid w:val="00C82A52"/>
    <w:rsid w:val="00C962CB"/>
    <w:rsid w:val="00CF71B3"/>
    <w:rsid w:val="00D04541"/>
    <w:rsid w:val="00D05532"/>
    <w:rsid w:val="00D20CF0"/>
    <w:rsid w:val="00D248B2"/>
    <w:rsid w:val="00D27088"/>
    <w:rsid w:val="00D46252"/>
    <w:rsid w:val="00D521A3"/>
    <w:rsid w:val="00D55925"/>
    <w:rsid w:val="00D66260"/>
    <w:rsid w:val="00D666B3"/>
    <w:rsid w:val="00D903CB"/>
    <w:rsid w:val="00D9647B"/>
    <w:rsid w:val="00DB1C70"/>
    <w:rsid w:val="00DB6698"/>
    <w:rsid w:val="00DD1C90"/>
    <w:rsid w:val="00DD2537"/>
    <w:rsid w:val="00E02BE2"/>
    <w:rsid w:val="00E06423"/>
    <w:rsid w:val="00E20975"/>
    <w:rsid w:val="00E23719"/>
    <w:rsid w:val="00E46AF1"/>
    <w:rsid w:val="00E60EE3"/>
    <w:rsid w:val="00E638E4"/>
    <w:rsid w:val="00EB5CAC"/>
    <w:rsid w:val="00EB5E08"/>
    <w:rsid w:val="00EC05B7"/>
    <w:rsid w:val="00ED6D2C"/>
    <w:rsid w:val="00EE0866"/>
    <w:rsid w:val="00EE3169"/>
    <w:rsid w:val="00F36F4B"/>
    <w:rsid w:val="00F3793E"/>
    <w:rsid w:val="00F452CB"/>
    <w:rsid w:val="00F53EA9"/>
    <w:rsid w:val="00F86232"/>
    <w:rsid w:val="00F87283"/>
    <w:rsid w:val="00F87E29"/>
    <w:rsid w:val="00F902CA"/>
    <w:rsid w:val="00FA0A1C"/>
    <w:rsid w:val="00FB461E"/>
    <w:rsid w:val="00FD6320"/>
    <w:rsid w:val="00FE5ED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73AFDA66"/>
  <w15:docId w15:val="{EBB17086-5101-40FD-9043-1F2F5FB3C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link w:val="Ttulo1Char"/>
    <w:uiPriority w:val="9"/>
    <w:qFormat/>
    <w:rsid w:val="007C021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link w:val="Ttulo2Char"/>
    <w:uiPriority w:val="9"/>
    <w:qFormat/>
    <w:rsid w:val="007C021F"/>
    <w:pPr>
      <w:spacing w:before="100" w:beforeAutospacing="1" w:after="100" w:afterAutospacing="1" w:line="240" w:lineRule="auto"/>
      <w:outlineLvl w:val="1"/>
    </w:pPr>
    <w:rPr>
      <w:rFonts w:ascii="Times New Roman" w:eastAsia="Times New Roman" w:hAnsi="Times New Roman" w:cs="Times New Roman"/>
      <w:b/>
      <w:bCs/>
      <w:sz w:val="36"/>
      <w:szCs w:val="36"/>
      <w:lang w:eastAsia="pt-BR"/>
    </w:rPr>
  </w:style>
  <w:style w:type="paragraph" w:styleId="Ttulo3">
    <w:name w:val="heading 3"/>
    <w:basedOn w:val="Normal"/>
    <w:link w:val="Ttulo3Char"/>
    <w:uiPriority w:val="9"/>
    <w:qFormat/>
    <w:rsid w:val="007C021F"/>
    <w:pPr>
      <w:spacing w:before="100" w:beforeAutospacing="1" w:after="100" w:afterAutospacing="1" w:line="240" w:lineRule="auto"/>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092BF3"/>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2823B1"/>
    <w:pPr>
      <w:tabs>
        <w:tab w:val="center" w:pos="4252"/>
        <w:tab w:val="right" w:pos="8504"/>
      </w:tabs>
      <w:spacing w:after="0" w:line="240" w:lineRule="auto"/>
    </w:pPr>
  </w:style>
  <w:style w:type="character" w:customStyle="1" w:styleId="CabealhoChar">
    <w:name w:val="Cabeçalho Char"/>
    <w:basedOn w:val="Fontepargpadro"/>
    <w:link w:val="Cabealho"/>
    <w:uiPriority w:val="99"/>
    <w:qFormat/>
    <w:rsid w:val="002823B1"/>
  </w:style>
  <w:style w:type="paragraph" w:styleId="Rodap">
    <w:name w:val="footer"/>
    <w:basedOn w:val="Normal"/>
    <w:link w:val="RodapChar"/>
    <w:uiPriority w:val="99"/>
    <w:unhideWhenUsed/>
    <w:rsid w:val="002823B1"/>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2823B1"/>
  </w:style>
  <w:style w:type="paragraph" w:styleId="Corpodetexto">
    <w:name w:val="Body Text"/>
    <w:basedOn w:val="Normal"/>
    <w:link w:val="CorpodetextoChar1"/>
    <w:unhideWhenUsed/>
    <w:qFormat/>
    <w:rsid w:val="002823B1"/>
    <w:pPr>
      <w:widowControl w:val="0"/>
      <w:autoSpaceDE w:val="0"/>
      <w:autoSpaceDN w:val="0"/>
      <w:spacing w:after="0" w:line="240" w:lineRule="auto"/>
      <w:ind w:left="52"/>
      <w:jc w:val="both"/>
    </w:pPr>
    <w:rPr>
      <w:rFonts w:ascii="Times New Roman" w:eastAsia="Times New Roman" w:hAnsi="Times New Roman" w:cs="Times New Roman"/>
      <w:lang w:val="pt-PT"/>
    </w:rPr>
  </w:style>
  <w:style w:type="character" w:customStyle="1" w:styleId="CorpodetextoChar1">
    <w:name w:val="Corpo de texto Char1"/>
    <w:link w:val="Corpodetexto"/>
    <w:locked/>
    <w:rsid w:val="002823B1"/>
    <w:rPr>
      <w:rFonts w:ascii="Times New Roman" w:eastAsia="Times New Roman" w:hAnsi="Times New Roman" w:cs="Times New Roman"/>
      <w:lang w:val="pt-PT"/>
    </w:rPr>
  </w:style>
  <w:style w:type="character" w:customStyle="1" w:styleId="CorpodetextoChar">
    <w:name w:val="Corpo de texto Char"/>
    <w:basedOn w:val="Fontepargpadro"/>
    <w:uiPriority w:val="99"/>
    <w:semiHidden/>
    <w:rsid w:val="002823B1"/>
  </w:style>
  <w:style w:type="character" w:styleId="Hyperlink">
    <w:name w:val="Hyperlink"/>
    <w:basedOn w:val="Fontepargpadro"/>
    <w:uiPriority w:val="99"/>
    <w:unhideWhenUsed/>
    <w:rsid w:val="002823B1"/>
    <w:rPr>
      <w:color w:val="0000FF"/>
      <w:u w:val="single"/>
    </w:rPr>
  </w:style>
  <w:style w:type="paragraph" w:styleId="Textodenotaderodap">
    <w:name w:val="footnote text"/>
    <w:basedOn w:val="Normal"/>
    <w:link w:val="TextodenotaderodapChar"/>
    <w:uiPriority w:val="99"/>
    <w:semiHidden/>
    <w:unhideWhenUsed/>
    <w:rsid w:val="00BA1C27"/>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BA1C27"/>
    <w:rPr>
      <w:sz w:val="20"/>
      <w:szCs w:val="20"/>
    </w:rPr>
  </w:style>
  <w:style w:type="character" w:styleId="Refdenotaderodap">
    <w:name w:val="footnote reference"/>
    <w:basedOn w:val="Fontepargpadro"/>
    <w:uiPriority w:val="99"/>
    <w:semiHidden/>
    <w:unhideWhenUsed/>
    <w:rsid w:val="00BA1C27"/>
    <w:rPr>
      <w:vertAlign w:val="superscript"/>
    </w:rPr>
  </w:style>
  <w:style w:type="paragraph" w:styleId="NormalWeb">
    <w:name w:val="Normal (Web)"/>
    <w:basedOn w:val="Normal"/>
    <w:uiPriority w:val="99"/>
    <w:unhideWhenUsed/>
    <w:rsid w:val="00BA1C27"/>
    <w:pPr>
      <w:spacing w:before="100" w:beforeAutospacing="1" w:after="100" w:afterAutospacing="1" w:line="240" w:lineRule="auto"/>
    </w:pPr>
    <w:rPr>
      <w:rFonts w:ascii="Times New Roman" w:eastAsia="Times New Roman" w:hAnsi="Times New Roman" w:cs="Times New Roman"/>
      <w:sz w:val="24"/>
      <w:szCs w:val="24"/>
      <w:lang w:eastAsia="pt-BR"/>
    </w:rPr>
  </w:style>
  <w:style w:type="table" w:styleId="Tabelacomgrade">
    <w:name w:val="Table Grid"/>
    <w:basedOn w:val="Tabelanormal"/>
    <w:uiPriority w:val="59"/>
    <w:rsid w:val="00F87E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aClara-nfase1">
    <w:name w:val="Light List Accent 1"/>
    <w:basedOn w:val="Tabelanormal"/>
    <w:uiPriority w:val="61"/>
    <w:rsid w:val="00F87E29"/>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SombreamentoClaro-nfase5">
    <w:name w:val="Light Shading Accent 5"/>
    <w:basedOn w:val="Tabelanormal"/>
    <w:uiPriority w:val="60"/>
    <w:rsid w:val="00F87E29"/>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ombreamentoMdio2-nfase1">
    <w:name w:val="Medium Shading 2 Accent 1"/>
    <w:basedOn w:val="Tabelanormal"/>
    <w:uiPriority w:val="64"/>
    <w:rsid w:val="00F87E29"/>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ListaMdia1-nfase5">
    <w:name w:val="Medium List 1 Accent 5"/>
    <w:basedOn w:val="Tabelanormal"/>
    <w:uiPriority w:val="65"/>
    <w:rsid w:val="00F87E29"/>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paragraph" w:styleId="Textodebalo">
    <w:name w:val="Balloon Text"/>
    <w:basedOn w:val="Normal"/>
    <w:link w:val="TextodebaloChar"/>
    <w:uiPriority w:val="99"/>
    <w:semiHidden/>
    <w:unhideWhenUsed/>
    <w:rsid w:val="00AC4B9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AC4B9D"/>
    <w:rPr>
      <w:rFonts w:ascii="Tahoma" w:hAnsi="Tahoma" w:cs="Tahoma"/>
      <w:sz w:val="16"/>
      <w:szCs w:val="16"/>
    </w:rPr>
  </w:style>
  <w:style w:type="table" w:styleId="SombreamentoMdio2-nfase5">
    <w:name w:val="Medium Shading 2 Accent 5"/>
    <w:basedOn w:val="Tabelanormal"/>
    <w:uiPriority w:val="64"/>
    <w:rsid w:val="00AC4B9D"/>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TableParagraph">
    <w:name w:val="Table Paragraph"/>
    <w:basedOn w:val="Normal"/>
    <w:uiPriority w:val="1"/>
    <w:qFormat/>
    <w:rsid w:val="00F87E29"/>
    <w:pPr>
      <w:widowControl w:val="0"/>
      <w:autoSpaceDE w:val="0"/>
      <w:autoSpaceDN w:val="0"/>
      <w:spacing w:after="0" w:line="240" w:lineRule="auto"/>
    </w:pPr>
    <w:rPr>
      <w:rFonts w:ascii="Times New Roman" w:eastAsia="Times New Roman" w:hAnsi="Times New Roman" w:cs="Times New Roman"/>
      <w:lang w:val="pt-PT"/>
    </w:rPr>
  </w:style>
  <w:style w:type="table" w:styleId="GradeMdia3-nfase1">
    <w:name w:val="Medium Grid 3 Accent 1"/>
    <w:basedOn w:val="Tabelanormal"/>
    <w:uiPriority w:val="69"/>
    <w:rsid w:val="008E79ED"/>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paragraph" w:styleId="SemEspaamento">
    <w:name w:val="No Spacing"/>
    <w:uiPriority w:val="1"/>
    <w:qFormat/>
    <w:rsid w:val="000D7E9D"/>
    <w:pPr>
      <w:spacing w:after="0" w:line="240" w:lineRule="auto"/>
      <w:jc w:val="both"/>
    </w:pPr>
    <w:rPr>
      <w:rFonts w:ascii="Times New Roman" w:hAnsi="Times New Roman" w:cs="Times New Roman"/>
      <w:sz w:val="24"/>
      <w:szCs w:val="24"/>
    </w:rPr>
  </w:style>
  <w:style w:type="paragraph" w:customStyle="1" w:styleId="ParagraphStyle">
    <w:name w:val="Paragraph Style"/>
    <w:rsid w:val="00EE3169"/>
    <w:pPr>
      <w:autoSpaceDE w:val="0"/>
      <w:autoSpaceDN w:val="0"/>
      <w:adjustRightInd w:val="0"/>
      <w:spacing w:after="0" w:line="240" w:lineRule="auto"/>
    </w:pPr>
    <w:rPr>
      <w:rFonts w:ascii="Arial" w:hAnsi="Arial" w:cs="Arial"/>
      <w:sz w:val="24"/>
      <w:szCs w:val="24"/>
      <w:lang w:val="x-none"/>
    </w:rPr>
  </w:style>
  <w:style w:type="character" w:customStyle="1" w:styleId="MenoPendente1">
    <w:name w:val="Menção Pendente1"/>
    <w:basedOn w:val="Fontepargpadro"/>
    <w:uiPriority w:val="99"/>
    <w:semiHidden/>
    <w:unhideWhenUsed/>
    <w:rsid w:val="00D9647B"/>
    <w:rPr>
      <w:color w:val="605E5C"/>
      <w:shd w:val="clear" w:color="auto" w:fill="E1DFDD"/>
    </w:rPr>
  </w:style>
  <w:style w:type="character" w:styleId="HiperlinkVisitado">
    <w:name w:val="FollowedHyperlink"/>
    <w:basedOn w:val="Fontepargpadro"/>
    <w:uiPriority w:val="99"/>
    <w:semiHidden/>
    <w:unhideWhenUsed/>
    <w:rsid w:val="00E06423"/>
    <w:rPr>
      <w:color w:val="800080" w:themeColor="followedHyperlink"/>
      <w:u w:val="single"/>
    </w:rPr>
  </w:style>
  <w:style w:type="paragraph" w:styleId="Textodenotadefim">
    <w:name w:val="endnote text"/>
    <w:basedOn w:val="Normal"/>
    <w:link w:val="TextodenotadefimChar"/>
    <w:uiPriority w:val="99"/>
    <w:semiHidden/>
    <w:unhideWhenUsed/>
    <w:rsid w:val="00D20CF0"/>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sid w:val="00D20CF0"/>
    <w:rPr>
      <w:sz w:val="20"/>
      <w:szCs w:val="20"/>
    </w:rPr>
  </w:style>
  <w:style w:type="character" w:styleId="Refdenotadefim">
    <w:name w:val="endnote reference"/>
    <w:basedOn w:val="Fontepargpadro"/>
    <w:uiPriority w:val="99"/>
    <w:semiHidden/>
    <w:unhideWhenUsed/>
    <w:rsid w:val="00D20CF0"/>
    <w:rPr>
      <w:vertAlign w:val="superscript"/>
    </w:rPr>
  </w:style>
  <w:style w:type="character" w:customStyle="1" w:styleId="Ttulo1Char">
    <w:name w:val="Título 1 Char"/>
    <w:basedOn w:val="Fontepargpadro"/>
    <w:link w:val="Ttulo1"/>
    <w:uiPriority w:val="9"/>
    <w:rsid w:val="007C021F"/>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7C021F"/>
    <w:rPr>
      <w:rFonts w:ascii="Times New Roman" w:eastAsia="Times New Roman" w:hAnsi="Times New Roman" w:cs="Times New Roman"/>
      <w:b/>
      <w:bCs/>
      <w:sz w:val="36"/>
      <w:szCs w:val="36"/>
      <w:lang w:eastAsia="pt-BR"/>
    </w:rPr>
  </w:style>
  <w:style w:type="character" w:customStyle="1" w:styleId="Ttulo3Char">
    <w:name w:val="Título 3 Char"/>
    <w:basedOn w:val="Fontepargpadro"/>
    <w:link w:val="Ttulo3"/>
    <w:uiPriority w:val="9"/>
    <w:rsid w:val="007C021F"/>
    <w:rPr>
      <w:rFonts w:ascii="Times New Roman" w:eastAsia="Times New Roman" w:hAnsi="Times New Roman" w:cs="Times New Roman"/>
      <w:b/>
      <w:bCs/>
      <w:sz w:val="27"/>
      <w:szCs w:val="27"/>
      <w:lang w:eastAsia="pt-BR"/>
    </w:rPr>
  </w:style>
  <w:style w:type="character" w:styleId="Forte">
    <w:name w:val="Strong"/>
    <w:basedOn w:val="Fontepargpadro"/>
    <w:uiPriority w:val="22"/>
    <w:qFormat/>
    <w:rsid w:val="007C021F"/>
    <w:rPr>
      <w:b/>
      <w:bCs/>
    </w:rPr>
  </w:style>
  <w:style w:type="character" w:customStyle="1" w:styleId="Ttulo4Char">
    <w:name w:val="Título 4 Char"/>
    <w:basedOn w:val="Fontepargpadro"/>
    <w:link w:val="Ttulo4"/>
    <w:uiPriority w:val="9"/>
    <w:rsid w:val="00092BF3"/>
    <w:rPr>
      <w:rFonts w:asciiTheme="majorHAnsi" w:eastAsiaTheme="majorEastAsia" w:hAnsiTheme="majorHAnsi" w:cstheme="majorBidi"/>
      <w:i/>
      <w:iCs/>
      <w:color w:val="365F91" w:themeColor="accent1" w:themeShade="BF"/>
    </w:rPr>
  </w:style>
  <w:style w:type="numbering" w:customStyle="1" w:styleId="Semlista1">
    <w:name w:val="Sem lista1"/>
    <w:next w:val="Semlista"/>
    <w:uiPriority w:val="99"/>
    <w:semiHidden/>
    <w:unhideWhenUsed/>
    <w:rsid w:val="00527B1F"/>
  </w:style>
  <w:style w:type="paragraph" w:customStyle="1" w:styleId="msonormal0">
    <w:name w:val="msonormal"/>
    <w:basedOn w:val="Normal"/>
    <w:rsid w:val="00527B1F"/>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nfase">
    <w:name w:val="Emphasis"/>
    <w:basedOn w:val="Fontepargpadro"/>
    <w:uiPriority w:val="20"/>
    <w:qFormat/>
    <w:rsid w:val="00527B1F"/>
    <w:rPr>
      <w:i/>
      <w:iCs/>
    </w:rPr>
  </w:style>
  <w:style w:type="paragraph" w:styleId="PargrafodaLista">
    <w:name w:val="List Paragraph"/>
    <w:basedOn w:val="Normal"/>
    <w:link w:val="PargrafodaListaChar"/>
    <w:uiPriority w:val="1"/>
    <w:qFormat/>
    <w:rsid w:val="0031661B"/>
    <w:pPr>
      <w:ind w:left="720"/>
      <w:contextualSpacing/>
    </w:pPr>
  </w:style>
  <w:style w:type="character" w:customStyle="1" w:styleId="PargrafodaListaChar">
    <w:name w:val="Parágrafo da Lista Char"/>
    <w:link w:val="PargrafodaLista"/>
    <w:uiPriority w:val="1"/>
    <w:rsid w:val="000F190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430443">
      <w:bodyDiv w:val="1"/>
      <w:marLeft w:val="0"/>
      <w:marRight w:val="0"/>
      <w:marTop w:val="0"/>
      <w:marBottom w:val="0"/>
      <w:divBdr>
        <w:top w:val="none" w:sz="0" w:space="0" w:color="auto"/>
        <w:left w:val="none" w:sz="0" w:space="0" w:color="auto"/>
        <w:bottom w:val="none" w:sz="0" w:space="0" w:color="auto"/>
        <w:right w:val="none" w:sz="0" w:space="0" w:color="auto"/>
      </w:divBdr>
    </w:div>
    <w:div w:id="222302341">
      <w:bodyDiv w:val="1"/>
      <w:marLeft w:val="0"/>
      <w:marRight w:val="0"/>
      <w:marTop w:val="0"/>
      <w:marBottom w:val="0"/>
      <w:divBdr>
        <w:top w:val="none" w:sz="0" w:space="0" w:color="auto"/>
        <w:left w:val="none" w:sz="0" w:space="0" w:color="auto"/>
        <w:bottom w:val="none" w:sz="0" w:space="0" w:color="auto"/>
        <w:right w:val="none" w:sz="0" w:space="0" w:color="auto"/>
      </w:divBdr>
    </w:div>
    <w:div w:id="264702187">
      <w:bodyDiv w:val="1"/>
      <w:marLeft w:val="0"/>
      <w:marRight w:val="0"/>
      <w:marTop w:val="0"/>
      <w:marBottom w:val="0"/>
      <w:divBdr>
        <w:top w:val="none" w:sz="0" w:space="0" w:color="auto"/>
        <w:left w:val="none" w:sz="0" w:space="0" w:color="auto"/>
        <w:bottom w:val="none" w:sz="0" w:space="0" w:color="auto"/>
        <w:right w:val="none" w:sz="0" w:space="0" w:color="auto"/>
      </w:divBdr>
    </w:div>
    <w:div w:id="265356190">
      <w:bodyDiv w:val="1"/>
      <w:marLeft w:val="0"/>
      <w:marRight w:val="0"/>
      <w:marTop w:val="0"/>
      <w:marBottom w:val="0"/>
      <w:divBdr>
        <w:top w:val="none" w:sz="0" w:space="0" w:color="auto"/>
        <w:left w:val="none" w:sz="0" w:space="0" w:color="auto"/>
        <w:bottom w:val="none" w:sz="0" w:space="0" w:color="auto"/>
        <w:right w:val="none" w:sz="0" w:space="0" w:color="auto"/>
      </w:divBdr>
      <w:divsChild>
        <w:div w:id="65236687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83466485">
      <w:bodyDiv w:val="1"/>
      <w:marLeft w:val="0"/>
      <w:marRight w:val="0"/>
      <w:marTop w:val="0"/>
      <w:marBottom w:val="0"/>
      <w:divBdr>
        <w:top w:val="none" w:sz="0" w:space="0" w:color="auto"/>
        <w:left w:val="none" w:sz="0" w:space="0" w:color="auto"/>
        <w:bottom w:val="none" w:sz="0" w:space="0" w:color="auto"/>
        <w:right w:val="none" w:sz="0" w:space="0" w:color="auto"/>
      </w:divBdr>
    </w:div>
    <w:div w:id="348872320">
      <w:bodyDiv w:val="1"/>
      <w:marLeft w:val="0"/>
      <w:marRight w:val="0"/>
      <w:marTop w:val="0"/>
      <w:marBottom w:val="0"/>
      <w:divBdr>
        <w:top w:val="none" w:sz="0" w:space="0" w:color="auto"/>
        <w:left w:val="none" w:sz="0" w:space="0" w:color="auto"/>
        <w:bottom w:val="none" w:sz="0" w:space="0" w:color="auto"/>
        <w:right w:val="none" w:sz="0" w:space="0" w:color="auto"/>
      </w:divBdr>
    </w:div>
    <w:div w:id="575358742">
      <w:bodyDiv w:val="1"/>
      <w:marLeft w:val="0"/>
      <w:marRight w:val="0"/>
      <w:marTop w:val="0"/>
      <w:marBottom w:val="0"/>
      <w:divBdr>
        <w:top w:val="none" w:sz="0" w:space="0" w:color="auto"/>
        <w:left w:val="none" w:sz="0" w:space="0" w:color="auto"/>
        <w:bottom w:val="none" w:sz="0" w:space="0" w:color="auto"/>
        <w:right w:val="none" w:sz="0" w:space="0" w:color="auto"/>
      </w:divBdr>
    </w:div>
    <w:div w:id="733240460">
      <w:bodyDiv w:val="1"/>
      <w:marLeft w:val="0"/>
      <w:marRight w:val="0"/>
      <w:marTop w:val="0"/>
      <w:marBottom w:val="0"/>
      <w:divBdr>
        <w:top w:val="none" w:sz="0" w:space="0" w:color="auto"/>
        <w:left w:val="none" w:sz="0" w:space="0" w:color="auto"/>
        <w:bottom w:val="none" w:sz="0" w:space="0" w:color="auto"/>
        <w:right w:val="none" w:sz="0" w:space="0" w:color="auto"/>
      </w:divBdr>
    </w:div>
    <w:div w:id="798718479">
      <w:bodyDiv w:val="1"/>
      <w:marLeft w:val="0"/>
      <w:marRight w:val="0"/>
      <w:marTop w:val="0"/>
      <w:marBottom w:val="0"/>
      <w:divBdr>
        <w:top w:val="none" w:sz="0" w:space="0" w:color="auto"/>
        <w:left w:val="none" w:sz="0" w:space="0" w:color="auto"/>
        <w:bottom w:val="none" w:sz="0" w:space="0" w:color="auto"/>
        <w:right w:val="none" w:sz="0" w:space="0" w:color="auto"/>
      </w:divBdr>
    </w:div>
    <w:div w:id="1367368084">
      <w:bodyDiv w:val="1"/>
      <w:marLeft w:val="0"/>
      <w:marRight w:val="0"/>
      <w:marTop w:val="0"/>
      <w:marBottom w:val="0"/>
      <w:divBdr>
        <w:top w:val="none" w:sz="0" w:space="0" w:color="auto"/>
        <w:left w:val="none" w:sz="0" w:space="0" w:color="auto"/>
        <w:bottom w:val="none" w:sz="0" w:space="0" w:color="auto"/>
        <w:right w:val="none" w:sz="0" w:space="0" w:color="auto"/>
      </w:divBdr>
    </w:div>
    <w:div w:id="1535581144">
      <w:bodyDiv w:val="1"/>
      <w:marLeft w:val="0"/>
      <w:marRight w:val="0"/>
      <w:marTop w:val="0"/>
      <w:marBottom w:val="0"/>
      <w:divBdr>
        <w:top w:val="none" w:sz="0" w:space="0" w:color="auto"/>
        <w:left w:val="none" w:sz="0" w:space="0" w:color="auto"/>
        <w:bottom w:val="none" w:sz="0" w:space="0" w:color="auto"/>
        <w:right w:val="none" w:sz="0" w:space="0" w:color="auto"/>
      </w:divBdr>
    </w:div>
    <w:div w:id="1627160412">
      <w:bodyDiv w:val="1"/>
      <w:marLeft w:val="0"/>
      <w:marRight w:val="0"/>
      <w:marTop w:val="0"/>
      <w:marBottom w:val="0"/>
      <w:divBdr>
        <w:top w:val="none" w:sz="0" w:space="0" w:color="auto"/>
        <w:left w:val="none" w:sz="0" w:space="0" w:color="auto"/>
        <w:bottom w:val="none" w:sz="0" w:space="0" w:color="auto"/>
        <w:right w:val="none" w:sz="0" w:space="0" w:color="auto"/>
      </w:divBdr>
    </w:div>
    <w:div w:id="1724980553">
      <w:bodyDiv w:val="1"/>
      <w:marLeft w:val="0"/>
      <w:marRight w:val="0"/>
      <w:marTop w:val="0"/>
      <w:marBottom w:val="0"/>
      <w:divBdr>
        <w:top w:val="none" w:sz="0" w:space="0" w:color="auto"/>
        <w:left w:val="none" w:sz="0" w:space="0" w:color="auto"/>
        <w:bottom w:val="none" w:sz="0" w:space="0" w:color="auto"/>
        <w:right w:val="none" w:sz="0" w:space="0" w:color="auto"/>
      </w:divBdr>
    </w:div>
    <w:div w:id="1932811598">
      <w:bodyDiv w:val="1"/>
      <w:marLeft w:val="0"/>
      <w:marRight w:val="0"/>
      <w:marTop w:val="0"/>
      <w:marBottom w:val="0"/>
      <w:divBdr>
        <w:top w:val="none" w:sz="0" w:space="0" w:color="auto"/>
        <w:left w:val="none" w:sz="0" w:space="0" w:color="auto"/>
        <w:bottom w:val="none" w:sz="0" w:space="0" w:color="auto"/>
        <w:right w:val="none" w:sz="0" w:space="0" w:color="auto"/>
      </w:divBdr>
    </w:div>
    <w:div w:id="1997681064">
      <w:bodyDiv w:val="1"/>
      <w:marLeft w:val="0"/>
      <w:marRight w:val="0"/>
      <w:marTop w:val="0"/>
      <w:marBottom w:val="0"/>
      <w:divBdr>
        <w:top w:val="none" w:sz="0" w:space="0" w:color="auto"/>
        <w:left w:val="none" w:sz="0" w:space="0" w:color="auto"/>
        <w:bottom w:val="none" w:sz="0" w:space="0" w:color="auto"/>
        <w:right w:val="none" w:sz="0" w:space="0" w:color="auto"/>
      </w:divBdr>
    </w:div>
    <w:div w:id="2136556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A114AD-E2DD-4EBD-A689-813FE8DD6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544</TotalTime>
  <Pages>25</Pages>
  <Words>11174</Words>
  <Characters>60340</Characters>
  <Application>Microsoft Office Word</Application>
  <DocSecurity>0</DocSecurity>
  <Lines>502</Lines>
  <Paragraphs>142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71372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PM SAS</dc:creator>
  <cp:lastModifiedBy>User</cp:lastModifiedBy>
  <cp:revision>108</cp:revision>
  <dcterms:created xsi:type="dcterms:W3CDTF">2025-07-31T12:09:00Z</dcterms:created>
  <dcterms:modified xsi:type="dcterms:W3CDTF">2025-12-30T11:40:00Z</dcterms:modified>
</cp:coreProperties>
</file>