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2C75" w14:textId="77777777" w:rsidR="00EB2BC7" w:rsidRPr="00EB2BC7" w:rsidRDefault="00EB2BC7" w:rsidP="00EB2BC7">
      <w:pPr>
        <w:widowControl w:val="0"/>
        <w:spacing w:after="0"/>
        <w:jc w:val="center"/>
        <w:outlineLvl w:val="0"/>
        <w:rPr>
          <w:rFonts w:eastAsia="Times New Roman" w:cstheme="minorHAnsi"/>
          <w:b/>
          <w:bCs/>
          <w:kern w:val="36"/>
          <w:lang w:eastAsia="pt-BR"/>
        </w:rPr>
      </w:pPr>
      <w:r w:rsidRPr="00EB2BC7">
        <w:rPr>
          <w:rFonts w:eastAsia="Times New Roman" w:cstheme="minorHAnsi"/>
          <w:b/>
          <w:bCs/>
          <w:kern w:val="36"/>
          <w:lang w:eastAsia="pt-BR"/>
        </w:rPr>
        <w:t>ESTUDO TÉCNICO PRELIMINAR</w:t>
      </w:r>
    </w:p>
    <w:p w14:paraId="20574F5C" w14:textId="54224AED"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5A4CECB9">
          <v:rect id="_x0000_i1026" style="width:0;height:1.5pt" o:hralign="center" o:hrstd="t" o:hr="t" fillcolor="#a0a0a0" stroked="f"/>
        </w:pict>
      </w:r>
      <w:r w:rsidR="00EB2BC7" w:rsidRPr="00EB2BC7">
        <w:rPr>
          <w:rFonts w:eastAsia="Times New Roman" w:cstheme="minorHAnsi"/>
          <w:b/>
          <w:bCs/>
          <w:lang w:eastAsia="pt-BR"/>
        </w:rPr>
        <w:t>1. INFORMAÇÕES BÁSICAS</w:t>
      </w:r>
    </w:p>
    <w:p w14:paraId="508C4181" w14:textId="4CCD5C52"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1.1. NÚMERO DO PROCESSO:</w:t>
      </w:r>
      <w:r w:rsidRPr="00EB2BC7">
        <w:rPr>
          <w:rFonts w:eastAsia="Times New Roman" w:cstheme="minorHAnsi"/>
          <w:lang w:eastAsia="pt-BR"/>
        </w:rPr>
        <w:t xml:space="preserve"> 0</w:t>
      </w:r>
      <w:r w:rsidR="00414F82">
        <w:rPr>
          <w:rFonts w:eastAsia="Times New Roman" w:cstheme="minorHAnsi"/>
          <w:lang w:eastAsia="pt-BR"/>
        </w:rPr>
        <w:t>0</w:t>
      </w:r>
      <w:r w:rsidR="00676DDE">
        <w:rPr>
          <w:rFonts w:eastAsia="Times New Roman" w:cstheme="minorHAnsi"/>
          <w:lang w:eastAsia="pt-BR"/>
        </w:rPr>
        <w:t>6</w:t>
      </w:r>
      <w:r w:rsidRPr="00EB2BC7">
        <w:rPr>
          <w:rFonts w:eastAsia="Times New Roman" w:cstheme="minorHAnsi"/>
          <w:lang w:eastAsia="pt-BR"/>
        </w:rPr>
        <w:t>/202</w:t>
      </w:r>
      <w:r w:rsidR="00414F82">
        <w:rPr>
          <w:rFonts w:eastAsia="Times New Roman" w:cstheme="minorHAnsi"/>
          <w:lang w:eastAsia="pt-BR"/>
        </w:rPr>
        <w:t>6</w:t>
      </w:r>
      <w:r w:rsidR="00B94ECC">
        <w:rPr>
          <w:rFonts w:eastAsia="Times New Roman" w:cstheme="minorHAnsi"/>
          <w:lang w:eastAsia="pt-BR"/>
        </w:rPr>
        <w:t xml:space="preserve"> </w:t>
      </w:r>
      <w:proofErr w:type="spellStart"/>
      <w:r w:rsidR="00B94ECC">
        <w:rPr>
          <w:rFonts w:eastAsia="Times New Roman" w:cstheme="minorHAnsi"/>
          <w:lang w:eastAsia="pt-BR"/>
        </w:rPr>
        <w:t>Proj</w:t>
      </w:r>
      <w:proofErr w:type="spellEnd"/>
      <w:r w:rsidR="00B94ECC">
        <w:rPr>
          <w:rFonts w:eastAsia="Times New Roman" w:cstheme="minorHAnsi"/>
          <w:lang w:eastAsia="pt-BR"/>
        </w:rPr>
        <w:t>.</w:t>
      </w:r>
      <w:r w:rsidRPr="00EB2BC7">
        <w:rPr>
          <w:rFonts w:eastAsia="Times New Roman" w:cstheme="minorHAnsi"/>
          <w:lang w:eastAsia="pt-BR"/>
        </w:rPr>
        <w:t xml:space="preserve"> –</w:t>
      </w:r>
      <w:r w:rsidR="003B6B35">
        <w:rPr>
          <w:rFonts w:eastAsia="Times New Roman" w:cstheme="minorHAnsi"/>
          <w:lang w:eastAsia="pt-BR"/>
        </w:rPr>
        <w:t xml:space="preserve"> </w:t>
      </w:r>
      <w:r w:rsidRPr="00EB2BC7">
        <w:rPr>
          <w:rFonts w:eastAsia="Times New Roman" w:cstheme="minorHAnsi"/>
          <w:lang w:eastAsia="pt-BR"/>
        </w:rPr>
        <w:t>Fase Preparatória de Licitação.</w:t>
      </w:r>
    </w:p>
    <w:p w14:paraId="35933C58" w14:textId="77777777" w:rsidR="00683797" w:rsidRDefault="00A7784A" w:rsidP="00EB2BC7">
      <w:pPr>
        <w:widowControl w:val="0"/>
        <w:spacing w:after="0"/>
        <w:jc w:val="both"/>
        <w:rPr>
          <w:rFonts w:eastAsia="Times New Roman" w:cstheme="minorHAnsi"/>
          <w:lang w:eastAsia="pt-BR"/>
        </w:rPr>
      </w:pPr>
      <w:r w:rsidRPr="00A7784A">
        <w:rPr>
          <w:rFonts w:eastAsia="Times New Roman" w:cstheme="minorHAnsi"/>
          <w:b/>
          <w:bCs/>
          <w:lang w:eastAsia="pt-BR"/>
        </w:rPr>
        <w:t xml:space="preserve">1.2. </w:t>
      </w:r>
      <w:r w:rsidR="00683797">
        <w:rPr>
          <w:rFonts w:eastAsia="Times New Roman" w:cstheme="minorHAnsi"/>
          <w:b/>
          <w:bCs/>
          <w:lang w:eastAsia="pt-BR"/>
        </w:rPr>
        <w:t>PROTOCOLO</w:t>
      </w:r>
      <w:r w:rsidR="00B41752">
        <w:rPr>
          <w:rFonts w:eastAsia="Times New Roman" w:cstheme="minorHAnsi"/>
          <w:b/>
          <w:bCs/>
          <w:lang w:eastAsia="pt-BR"/>
        </w:rPr>
        <w:t xml:space="preserve"> n°</w:t>
      </w:r>
      <w:r>
        <w:rPr>
          <w:rFonts w:eastAsia="Times New Roman" w:cstheme="minorHAnsi"/>
          <w:lang w:eastAsia="pt-BR"/>
        </w:rPr>
        <w:t xml:space="preserve">: </w:t>
      </w:r>
      <w:r w:rsidR="00683797" w:rsidRPr="00683797">
        <w:rPr>
          <w:rFonts w:eastAsia="Times New Roman" w:cstheme="minorHAnsi"/>
          <w:lang w:eastAsia="pt-BR"/>
        </w:rPr>
        <w:t>23.441.465-8</w:t>
      </w:r>
      <w:r w:rsidR="005566DE">
        <w:rPr>
          <w:rFonts w:eastAsia="Times New Roman" w:cstheme="minorHAnsi"/>
          <w:lang w:eastAsia="pt-BR"/>
        </w:rPr>
        <w:tab/>
      </w:r>
    </w:p>
    <w:p w14:paraId="71D5981F" w14:textId="573F2A02" w:rsidR="005566DE" w:rsidRPr="00F84F05" w:rsidRDefault="00683797" w:rsidP="00EB2BC7">
      <w:pPr>
        <w:widowControl w:val="0"/>
        <w:spacing w:after="0"/>
        <w:jc w:val="both"/>
        <w:rPr>
          <w:rFonts w:eastAsia="Times New Roman" w:cstheme="minorHAnsi"/>
          <w:b/>
          <w:bCs/>
          <w:lang w:eastAsia="pt-BR"/>
        </w:rPr>
      </w:pPr>
      <w:r w:rsidRPr="00F84F05">
        <w:rPr>
          <w:rFonts w:eastAsia="Times New Roman" w:cstheme="minorHAnsi"/>
          <w:b/>
          <w:bCs/>
          <w:lang w:eastAsia="pt-BR"/>
        </w:rPr>
        <w:t>1.3. PRIORIDADE</w:t>
      </w:r>
      <w:r w:rsidR="00F84F05" w:rsidRPr="00F84F05">
        <w:rPr>
          <w:rFonts w:eastAsia="Times New Roman" w:cstheme="minorHAnsi"/>
          <w:b/>
          <w:bCs/>
          <w:lang w:eastAsia="pt-BR"/>
        </w:rPr>
        <w:t>:</w:t>
      </w:r>
      <w:r w:rsidRPr="00F84F05">
        <w:rPr>
          <w:rFonts w:eastAsia="Times New Roman" w:cstheme="minorHAnsi"/>
          <w:b/>
          <w:bCs/>
          <w:lang w:eastAsia="pt-BR"/>
        </w:rPr>
        <w:t xml:space="preserve"> 90</w:t>
      </w:r>
      <w:r w:rsidR="00F84F05" w:rsidRPr="00F84F05">
        <w:rPr>
          <w:rFonts w:eastAsia="Times New Roman" w:cstheme="minorHAnsi"/>
          <w:b/>
          <w:bCs/>
          <w:lang w:eastAsia="pt-BR"/>
        </w:rPr>
        <w:tab/>
      </w:r>
      <w:r w:rsidR="00F84F05" w:rsidRPr="00F84F05">
        <w:rPr>
          <w:rFonts w:eastAsia="Times New Roman" w:cstheme="minorHAnsi"/>
          <w:b/>
          <w:bCs/>
          <w:lang w:eastAsia="pt-BR"/>
        </w:rPr>
        <w:tab/>
      </w:r>
      <w:r w:rsidR="00F84F05" w:rsidRPr="00F84F05">
        <w:rPr>
          <w:rFonts w:eastAsia="Times New Roman" w:cstheme="minorHAnsi"/>
          <w:b/>
          <w:bCs/>
          <w:lang w:eastAsia="pt-BR"/>
        </w:rPr>
        <w:tab/>
      </w:r>
      <w:r w:rsidR="00F84F05" w:rsidRPr="00F84F05">
        <w:rPr>
          <w:rFonts w:eastAsia="Times New Roman" w:cstheme="minorHAnsi"/>
          <w:b/>
          <w:bCs/>
          <w:lang w:eastAsia="pt-BR"/>
        </w:rPr>
        <w:tab/>
        <w:t xml:space="preserve">SAM: 72 </w:t>
      </w:r>
      <w:r w:rsidR="005566DE" w:rsidRPr="00F84F05">
        <w:rPr>
          <w:rFonts w:eastAsia="Times New Roman" w:cstheme="minorHAnsi"/>
          <w:b/>
          <w:bCs/>
          <w:lang w:eastAsia="pt-BR"/>
        </w:rPr>
        <w:tab/>
      </w:r>
      <w:r w:rsidR="005566DE" w:rsidRPr="00F84F05">
        <w:rPr>
          <w:rFonts w:eastAsia="Times New Roman" w:cstheme="minorHAnsi"/>
          <w:b/>
          <w:bCs/>
          <w:lang w:eastAsia="pt-BR"/>
        </w:rPr>
        <w:tab/>
      </w:r>
      <w:r w:rsidR="005566DE" w:rsidRPr="00F84F05">
        <w:rPr>
          <w:rFonts w:eastAsia="Times New Roman" w:cstheme="minorHAnsi"/>
          <w:b/>
          <w:bCs/>
          <w:lang w:eastAsia="pt-BR"/>
        </w:rPr>
        <w:tab/>
      </w:r>
    </w:p>
    <w:p w14:paraId="6E5E42BD" w14:textId="6D8CF12A" w:rsidR="00D33F05" w:rsidRPr="00840FDB" w:rsidRDefault="00EB2BC7" w:rsidP="00D33F05">
      <w:pPr>
        <w:spacing w:after="0"/>
        <w:jc w:val="both"/>
        <w:rPr>
          <w:rFonts w:eastAsia="Times New Roman" w:cstheme="minorHAnsi"/>
          <w:lang w:eastAsia="pt-BR"/>
        </w:rPr>
      </w:pPr>
      <w:r w:rsidRPr="00EB2BC7">
        <w:rPr>
          <w:rFonts w:eastAsia="Times New Roman" w:cstheme="minorHAnsi"/>
          <w:b/>
          <w:bCs/>
          <w:lang w:eastAsia="pt-BR"/>
        </w:rPr>
        <w:t>1.</w:t>
      </w:r>
      <w:r w:rsidR="00F84F05">
        <w:rPr>
          <w:rFonts w:eastAsia="Times New Roman" w:cstheme="minorHAnsi"/>
          <w:b/>
          <w:bCs/>
          <w:lang w:eastAsia="pt-BR"/>
        </w:rPr>
        <w:t>4</w:t>
      </w:r>
      <w:r w:rsidRPr="00EB2BC7">
        <w:rPr>
          <w:rFonts w:eastAsia="Times New Roman" w:cstheme="minorHAnsi"/>
          <w:b/>
          <w:bCs/>
          <w:lang w:eastAsia="pt-BR"/>
        </w:rPr>
        <w:t>. Objeto</w:t>
      </w:r>
      <w:r w:rsidR="00F3093E">
        <w:rPr>
          <w:rFonts w:eastAsia="Times New Roman" w:cstheme="minorHAnsi"/>
          <w:b/>
          <w:bCs/>
          <w:lang w:eastAsia="pt-BR"/>
        </w:rPr>
        <w:t>:</w:t>
      </w:r>
      <w:r w:rsidR="00D33F05" w:rsidRPr="00D33F05">
        <w:rPr>
          <w:rFonts w:eastAsia="Times New Roman" w:cstheme="minorHAnsi"/>
          <w:lang w:eastAsia="pt-BR"/>
        </w:rPr>
        <w:t xml:space="preserve"> </w:t>
      </w:r>
      <w:r w:rsidR="00D33F05" w:rsidRPr="00840FDB">
        <w:rPr>
          <w:rFonts w:eastAsia="Times New Roman" w:cstheme="minorHAnsi"/>
          <w:lang w:eastAsia="pt-BR"/>
        </w:rPr>
        <w:t xml:space="preserve">Contratação de empresa especializada para execução de pavimentação asfáltica na </w:t>
      </w:r>
      <w:r w:rsidR="00FB1687">
        <w:rPr>
          <w:rFonts w:eastAsia="Times New Roman" w:cstheme="minorHAnsi"/>
          <w:lang w:eastAsia="pt-BR"/>
        </w:rPr>
        <w:t>Linha Aurora – Colônia Nova</w:t>
      </w:r>
      <w:r w:rsidR="00D33F05" w:rsidRPr="00840FDB">
        <w:rPr>
          <w:rFonts w:eastAsia="Times New Roman" w:cstheme="minorHAnsi"/>
          <w:lang w:eastAsia="pt-BR"/>
        </w:rPr>
        <w:t>, em Concreto Betuminoso Usinado a Quente (CBUQ), compreendendo serviços de execução de</w:t>
      </w:r>
      <w:r w:rsidR="00FB1687">
        <w:rPr>
          <w:rFonts w:eastAsia="Times New Roman" w:cstheme="minorHAnsi"/>
          <w:lang w:eastAsia="pt-BR"/>
        </w:rPr>
        <w:t xml:space="preserve"> </w:t>
      </w:r>
      <w:proofErr w:type="spellStart"/>
      <w:r w:rsidR="00FB1687">
        <w:rPr>
          <w:rFonts w:eastAsia="Times New Roman" w:cstheme="minorHAnsi"/>
          <w:lang w:eastAsia="pt-BR"/>
        </w:rPr>
        <w:t>remenfo</w:t>
      </w:r>
      <w:proofErr w:type="spellEnd"/>
      <w:r w:rsidR="00FB1687">
        <w:rPr>
          <w:rFonts w:eastAsia="Times New Roman" w:cstheme="minorHAnsi"/>
          <w:lang w:eastAsia="pt-BR"/>
        </w:rPr>
        <w:t xml:space="preserve"> profundo, drenagem, </w:t>
      </w:r>
      <w:r w:rsidR="00D33F05" w:rsidRPr="00840FDB">
        <w:rPr>
          <w:rFonts w:eastAsia="Times New Roman" w:cstheme="minorHAnsi"/>
          <w:lang w:eastAsia="pt-BR"/>
        </w:rPr>
        <w:t xml:space="preserve"> base em brita graduada simples, </w:t>
      </w:r>
      <w:r w:rsidR="00FB1687">
        <w:rPr>
          <w:rFonts w:eastAsia="Times New Roman" w:cstheme="minorHAnsi"/>
          <w:lang w:eastAsia="pt-BR"/>
        </w:rPr>
        <w:t xml:space="preserve">limpeza da pista, </w:t>
      </w:r>
      <w:r w:rsidR="00D33F05" w:rsidRPr="00840FDB">
        <w:rPr>
          <w:rFonts w:eastAsia="Times New Roman" w:cstheme="minorHAnsi"/>
          <w:lang w:eastAsia="pt-BR"/>
        </w:rPr>
        <w:t>revestimento asfáltico em CBUQ com todas as camadas de imprimação e pintura de ligação</w:t>
      </w:r>
      <w:r w:rsidR="00FB1687">
        <w:rPr>
          <w:rFonts w:eastAsia="Times New Roman" w:cstheme="minorHAnsi"/>
          <w:lang w:eastAsia="pt-BR"/>
        </w:rPr>
        <w:t>,</w:t>
      </w:r>
      <w:r w:rsidR="00D33F05" w:rsidRPr="00840FDB">
        <w:rPr>
          <w:rFonts w:eastAsia="Times New Roman" w:cstheme="minorHAnsi"/>
          <w:lang w:eastAsia="pt-BR"/>
        </w:rPr>
        <w:t xml:space="preserve"> implantação de sinalização de trânsito horizontal e vertical, serviços complementares, mobilização e desmobilização de equipamentos</w:t>
      </w:r>
      <w:r w:rsidR="00FB1687">
        <w:rPr>
          <w:rFonts w:eastAsia="Times New Roman" w:cstheme="minorHAnsi"/>
          <w:lang w:eastAsia="pt-BR"/>
        </w:rPr>
        <w:t xml:space="preserve"> e ensaios tecnológico</w:t>
      </w:r>
      <w:r w:rsidR="00D33F05" w:rsidRPr="00840FDB">
        <w:rPr>
          <w:rFonts w:eastAsia="Times New Roman" w:cstheme="minorHAnsi"/>
          <w:lang w:eastAsia="pt-BR"/>
        </w:rPr>
        <w:t xml:space="preserve">, totalizando </w:t>
      </w:r>
      <w:r w:rsidR="00B9421D">
        <w:rPr>
          <w:rFonts w:eastAsia="Times New Roman" w:cstheme="minorHAnsi"/>
          <w:lang w:eastAsia="pt-BR"/>
        </w:rPr>
        <w:t>36.250,98</w:t>
      </w:r>
      <w:r w:rsidR="00D33F05" w:rsidRPr="00840FDB">
        <w:rPr>
          <w:rFonts w:eastAsia="Times New Roman" w:cstheme="minorHAnsi"/>
          <w:lang w:eastAsia="pt-BR"/>
        </w:rPr>
        <w:t xml:space="preserve"> m² de área pavimentada, no Município de Nova Prata do Iguaçu – PR, em conformidade com as normas técnicas do DER/PR, DNIT e ABNT.</w:t>
      </w:r>
    </w:p>
    <w:p w14:paraId="2FB9DDD6" w14:textId="31334FA3" w:rsidR="00EB2BC7" w:rsidRPr="00EB2BC7" w:rsidRDefault="00EB2BC7" w:rsidP="00EB2BC7">
      <w:pPr>
        <w:widowControl w:val="0"/>
        <w:spacing w:after="0"/>
        <w:jc w:val="both"/>
        <w:rPr>
          <w:rFonts w:eastAsia="Times New Roman" w:cstheme="minorHAnsi"/>
          <w:lang w:eastAsia="pt-BR"/>
        </w:rPr>
      </w:pPr>
    </w:p>
    <w:p w14:paraId="08802AC5" w14:textId="50E47120"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5C26A067">
          <v:rect id="_x0000_i1027" style="width:0;height:1.5pt" o:hralign="center" o:hrstd="t" o:hr="t" fillcolor="#a0a0a0" stroked="f"/>
        </w:pict>
      </w:r>
      <w:r w:rsidR="00EB2BC7" w:rsidRPr="00EB2BC7">
        <w:rPr>
          <w:rFonts w:eastAsia="Times New Roman" w:cstheme="minorHAnsi"/>
          <w:b/>
          <w:bCs/>
          <w:lang w:eastAsia="pt-BR"/>
        </w:rPr>
        <w:t>2. DESIGNAÇÃO DA EQUIPE DE ELABORAÇÃO</w:t>
      </w:r>
    </w:p>
    <w:p w14:paraId="37F57A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2.1. SERVIDORES:</w:t>
      </w:r>
    </w:p>
    <w:p w14:paraId="270898F4" w14:textId="77777777" w:rsidR="00D26D87" w:rsidRPr="00D33F05" w:rsidRDefault="00EB2BC7" w:rsidP="00D33F05">
      <w:pPr>
        <w:pStyle w:val="PargrafodaLista"/>
        <w:widowControl w:val="0"/>
        <w:numPr>
          <w:ilvl w:val="0"/>
          <w:numId w:val="27"/>
        </w:numPr>
        <w:pBdr>
          <w:top w:val="nil"/>
          <w:left w:val="nil"/>
          <w:bottom w:val="nil"/>
          <w:right w:val="nil"/>
          <w:between w:val="nil"/>
        </w:pBdr>
        <w:spacing w:after="0"/>
        <w:jc w:val="both"/>
        <w:rPr>
          <w:rFonts w:ascii="Arial Narrow" w:hAnsi="Arial Narrow"/>
          <w:bCs/>
        </w:rPr>
      </w:pPr>
      <w:r w:rsidRPr="00D33F05">
        <w:rPr>
          <w:rFonts w:eastAsia="Times New Roman" w:cstheme="minorHAnsi"/>
          <w:b/>
          <w:bCs/>
          <w:lang w:eastAsia="pt-BR"/>
        </w:rPr>
        <w:t>SERVIDOR:</w:t>
      </w:r>
      <w:r w:rsidRPr="00D33F05">
        <w:rPr>
          <w:rFonts w:eastAsia="Times New Roman" w:cstheme="minorHAnsi"/>
          <w:lang w:eastAsia="pt-BR"/>
        </w:rPr>
        <w:t xml:space="preserve"> </w:t>
      </w:r>
      <w:r w:rsidR="00D26D87" w:rsidRPr="00D33F05">
        <w:rPr>
          <w:rFonts w:eastAsia="Times New Roman" w:cstheme="minorHAnsi"/>
          <w:lang w:eastAsia="pt-BR"/>
        </w:rPr>
        <w:t>Cleuza Castro de Jesus</w:t>
      </w:r>
      <w:r w:rsidRPr="00D33F05">
        <w:rPr>
          <w:rFonts w:eastAsia="Times New Roman" w:cstheme="minorHAnsi"/>
          <w:lang w:eastAsia="pt-BR"/>
        </w:rPr>
        <w:t xml:space="preserve"> </w:t>
      </w:r>
      <w:r w:rsidRPr="00D33F05">
        <w:rPr>
          <w:rFonts w:eastAsia="Times New Roman" w:cstheme="minorHAnsi"/>
          <w:b/>
          <w:bCs/>
          <w:lang w:eastAsia="pt-BR"/>
        </w:rPr>
        <w:t>MATRÍCULA:</w:t>
      </w:r>
      <w:r w:rsidRPr="00D33F05">
        <w:rPr>
          <w:rFonts w:eastAsia="Times New Roman" w:cstheme="minorHAnsi"/>
          <w:lang w:eastAsia="pt-BR"/>
        </w:rPr>
        <w:t xml:space="preserve"> </w:t>
      </w:r>
      <w:r w:rsidR="00D26D87" w:rsidRPr="00D33F05">
        <w:rPr>
          <w:rFonts w:ascii="Arial Narrow" w:hAnsi="Arial Narrow"/>
          <w:bCs/>
        </w:rPr>
        <w:t>15.211-1</w:t>
      </w:r>
    </w:p>
    <w:p w14:paraId="4C849FF3" w14:textId="1F4DF4BC" w:rsidR="00EB2BC7" w:rsidRPr="00D33F05" w:rsidRDefault="00EB2BC7" w:rsidP="00D33F05">
      <w:pPr>
        <w:pStyle w:val="PargrafodaLista"/>
        <w:widowControl w:val="0"/>
        <w:numPr>
          <w:ilvl w:val="0"/>
          <w:numId w:val="27"/>
        </w:numPr>
        <w:spacing w:after="0"/>
        <w:jc w:val="both"/>
        <w:rPr>
          <w:rFonts w:eastAsia="Times New Roman" w:cstheme="minorHAnsi"/>
          <w:lang w:eastAsia="pt-BR"/>
        </w:rPr>
      </w:pPr>
      <w:r w:rsidRPr="00D33F05">
        <w:rPr>
          <w:rFonts w:eastAsia="Times New Roman" w:cstheme="minorHAnsi"/>
          <w:b/>
          <w:bCs/>
          <w:lang w:eastAsia="pt-BR"/>
        </w:rPr>
        <w:t>SERVIDOR:</w:t>
      </w:r>
      <w:r w:rsidRPr="00D33F05">
        <w:rPr>
          <w:rFonts w:eastAsia="Times New Roman" w:cstheme="minorHAnsi"/>
          <w:lang w:eastAsia="pt-BR"/>
        </w:rPr>
        <w:t xml:space="preserve"> </w:t>
      </w:r>
      <w:r w:rsidR="00D26D87" w:rsidRPr="00D33F05">
        <w:rPr>
          <w:rFonts w:eastAsia="Times New Roman" w:cstheme="minorHAnsi"/>
          <w:lang w:eastAsia="pt-BR"/>
        </w:rPr>
        <w:t>André Faust</w:t>
      </w:r>
      <w:r w:rsidRPr="00D33F05">
        <w:rPr>
          <w:rFonts w:eastAsia="Times New Roman" w:cstheme="minorHAnsi"/>
          <w:lang w:eastAsia="pt-BR"/>
        </w:rPr>
        <w:t xml:space="preserve"> </w:t>
      </w:r>
      <w:r w:rsidRPr="00D33F05">
        <w:rPr>
          <w:rFonts w:eastAsia="Times New Roman" w:cstheme="minorHAnsi"/>
          <w:b/>
          <w:bCs/>
          <w:lang w:eastAsia="pt-BR"/>
        </w:rPr>
        <w:t>MATRÍCULA:</w:t>
      </w:r>
      <w:r w:rsidRPr="00D33F05">
        <w:rPr>
          <w:rFonts w:eastAsia="Times New Roman" w:cstheme="minorHAnsi"/>
          <w:lang w:eastAsia="pt-BR"/>
        </w:rPr>
        <w:t xml:space="preserve"> </w:t>
      </w:r>
      <w:r w:rsidR="00D96C27" w:rsidRPr="00D33F05">
        <w:rPr>
          <w:rFonts w:eastAsia="Times New Roman" w:cstheme="minorHAnsi"/>
          <w:lang w:eastAsia="pt-BR"/>
        </w:rPr>
        <w:t>142.381-01</w:t>
      </w:r>
    </w:p>
    <w:p w14:paraId="689BD233" w14:textId="27B4BF96"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589D5AE4">
          <v:rect id="_x0000_i1028" style="width:0;height:1.5pt" o:hralign="center" o:hrstd="t" o:hr="t" fillcolor="#a0a0a0" stroked="f"/>
        </w:pict>
      </w:r>
      <w:r w:rsidR="00EB2BC7" w:rsidRPr="00EB2BC7">
        <w:rPr>
          <w:rFonts w:eastAsia="Times New Roman" w:cstheme="minorHAnsi"/>
          <w:b/>
          <w:bCs/>
          <w:lang w:eastAsia="pt-BR"/>
        </w:rPr>
        <w:t>3. NORMAS E DIRETRIZES QUE BASEIAM ESTE ETP</w:t>
      </w:r>
    </w:p>
    <w:p w14:paraId="3CDBE69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3.1. Aplicam-se à contratação proposta os seguintes marcos normativos:</w:t>
      </w:r>
    </w:p>
    <w:p w14:paraId="0DA6CC9F"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Lei de Licitações nº 14.133 de 01 de abril de 2021;</w:t>
      </w:r>
    </w:p>
    <w:p w14:paraId="53049A8C"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Decretos Municipais de regulamentação da Lei 14.133/2021;</w:t>
      </w:r>
    </w:p>
    <w:p w14:paraId="72A9BBD5"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Lei nº 13.709 de 14 de agosto de 2018 – Lei Geral de Proteção de Dados;</w:t>
      </w:r>
    </w:p>
    <w:p w14:paraId="7497C573"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NBR 15.114/2004 – Resíduos Sólidos da Construção Civil;</w:t>
      </w:r>
    </w:p>
    <w:p w14:paraId="7D7EBC58"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Código de Trânsito Brasileiro – Lei nº 9.503/1997;</w:t>
      </w:r>
    </w:p>
    <w:p w14:paraId="020C67A5"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Normas técnicas do DNIT, DER/PR e ABNT aplicáveis à pavimentação asfáltica;</w:t>
      </w:r>
    </w:p>
    <w:p w14:paraId="30F0D92B"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Manual de Sinalização Horizontal e Vertical do CONTRAN;</w:t>
      </w:r>
    </w:p>
    <w:p w14:paraId="22C81141"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Especificações de Serviço do DER/PR (ES-PA-03/23, ES-P-05/2018, ES-P-17/23, ES-P-21/17, ES-P-13/05, ES-SV-03/23, ES-SV-09/23, ES-D-09/18, ES-D-05/18, ES-D-04/18);</w:t>
      </w:r>
    </w:p>
    <w:p w14:paraId="704AB1CB"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Norma DNER PRO 11/79 – Avaliação Estrutural dos Pavimentos Flexíveis;</w:t>
      </w:r>
    </w:p>
    <w:p w14:paraId="7C93A803"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 xml:space="preserve">Norma DNER-ME 024/94 – Determinação das Deflexões no Pavimento pela Viga </w:t>
      </w:r>
      <w:proofErr w:type="spellStart"/>
      <w:r w:rsidRPr="00840FDB">
        <w:rPr>
          <w:rFonts w:eastAsia="Times New Roman" w:cstheme="minorHAnsi"/>
          <w:lang w:eastAsia="pt-BR"/>
        </w:rPr>
        <w:t>Benkelman</w:t>
      </w:r>
      <w:proofErr w:type="spellEnd"/>
      <w:r w:rsidRPr="00840FDB">
        <w:rPr>
          <w:rFonts w:eastAsia="Times New Roman" w:cstheme="minorHAnsi"/>
          <w:lang w:eastAsia="pt-BR"/>
        </w:rPr>
        <w:t>;</w:t>
      </w:r>
    </w:p>
    <w:p w14:paraId="47A17140"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Resolução ANP nº 19/2005 – Cimentos Asfálticos de Petróleo.</w:t>
      </w:r>
    </w:p>
    <w:p w14:paraId="10D7788D" w14:textId="063E9D58"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7E89C45A">
          <v:rect id="_x0000_i1029" style="width:0;height:1.5pt" o:hralign="center" o:hrstd="t" o:hr="t" fillcolor="#a0a0a0" stroked="f"/>
        </w:pict>
      </w:r>
      <w:r w:rsidR="00EB2BC7" w:rsidRPr="00EB2BC7">
        <w:rPr>
          <w:rFonts w:eastAsia="Times New Roman" w:cstheme="minorHAnsi"/>
          <w:b/>
          <w:bCs/>
          <w:lang w:eastAsia="pt-BR"/>
        </w:rPr>
        <w:t>4. DESCRIÇÃO DA NECESSIDADE E JUSTIFICATIVA</w:t>
      </w:r>
    </w:p>
    <w:p w14:paraId="1814725B" w14:textId="77777777" w:rsidR="007458FA" w:rsidRPr="007458FA" w:rsidRDefault="007458FA" w:rsidP="007458FA">
      <w:pPr>
        <w:spacing w:after="0"/>
        <w:jc w:val="both"/>
        <w:rPr>
          <w:rFonts w:eastAsia="Times New Roman" w:cstheme="minorHAnsi"/>
          <w:lang w:eastAsia="pt-BR"/>
        </w:rPr>
      </w:pPr>
      <w:r w:rsidRPr="007458FA">
        <w:rPr>
          <w:rFonts w:eastAsia="Times New Roman" w:cstheme="minorHAnsi"/>
          <w:lang w:eastAsia="pt-BR"/>
        </w:rPr>
        <w:t>A intervenção proposta consiste na execução de pavimentação asfáltica sobre o pavimento existente em pedras irregulares na estrada rural que interliga a Linha Aurora à Linha Colônia Nova, abrangendo uma extensão de 6.041,83 metros e uma área total de 36.250,98 m². O investimento será viabilizado por meio do Programa de Transferências Voluntárias – Projeto Especial – Programa Rural, tendo como órgão demandante a SEAB – Secretaria de Estado da Agricultura e do Abastecimento, vinculada ao Protocolo nº 23.441.465-8.</w:t>
      </w:r>
    </w:p>
    <w:p w14:paraId="6373DB0F" w14:textId="77777777" w:rsidR="007458FA" w:rsidRPr="007458FA" w:rsidRDefault="007458FA" w:rsidP="007458FA">
      <w:pPr>
        <w:spacing w:after="0"/>
        <w:jc w:val="both"/>
        <w:rPr>
          <w:rFonts w:eastAsia="Times New Roman" w:cstheme="minorHAnsi"/>
          <w:lang w:eastAsia="pt-BR"/>
        </w:rPr>
      </w:pPr>
      <w:r w:rsidRPr="007458FA">
        <w:rPr>
          <w:rFonts w:eastAsia="Times New Roman" w:cstheme="minorHAnsi"/>
          <w:lang w:eastAsia="pt-BR"/>
        </w:rPr>
        <w:lastRenderedPageBreak/>
        <w:t>A via em questão configura-se como um relevante eixo de escoamento da produção agropecuária local, atendendo diversas propriedades com expressiva atividade agrícola e pecuária. É utilizada diariamente para o transporte de leite, grãos, insumos, máquinas agrícolas, além do transporte escolar e da prestação de serviços essenciais. Atualmente, o pavimento em pedras irregulares encontra-se desgastado, apresentando deformações e irregularidades que comprometem a segurança viária, aumentam o tempo de deslocamento e elevam os custos operacionais e de manutenção de veículos e equipamentos.</w:t>
      </w:r>
    </w:p>
    <w:p w14:paraId="6EA7ABA8" w14:textId="77777777" w:rsidR="007458FA" w:rsidRPr="007458FA" w:rsidRDefault="007458FA" w:rsidP="007458FA">
      <w:pPr>
        <w:spacing w:after="0"/>
        <w:jc w:val="both"/>
        <w:rPr>
          <w:rFonts w:eastAsia="Times New Roman" w:cstheme="minorHAnsi"/>
          <w:lang w:eastAsia="pt-BR"/>
        </w:rPr>
      </w:pPr>
      <w:r w:rsidRPr="007458FA">
        <w:rPr>
          <w:rFonts w:eastAsia="Times New Roman" w:cstheme="minorHAnsi"/>
          <w:lang w:eastAsia="pt-BR"/>
        </w:rPr>
        <w:t>A execução da pavimentação asfáltica sobre o revestimento existente proporcionará a regularização da superfície de rolamento, melhoria significativa da trafegabilidade, especialmente em períodos chuvosos, redução da emissão de poeira em épocas de estiagem e incremento da durabilidade estrutural da via. Adicionalmente, haverá diminuição da necessidade de manutenções frequentes por parte do município, assegurando maior eficiência operacional e segurança aos usuários.</w:t>
      </w:r>
    </w:p>
    <w:p w14:paraId="31714ABC" w14:textId="77777777" w:rsidR="007458FA" w:rsidRPr="007458FA" w:rsidRDefault="007458FA" w:rsidP="007458FA">
      <w:pPr>
        <w:spacing w:after="0"/>
        <w:jc w:val="both"/>
        <w:rPr>
          <w:rFonts w:eastAsia="Times New Roman" w:cstheme="minorHAnsi"/>
          <w:lang w:eastAsia="pt-BR"/>
        </w:rPr>
      </w:pPr>
      <w:r w:rsidRPr="007458FA">
        <w:rPr>
          <w:rFonts w:eastAsia="Times New Roman" w:cstheme="minorHAnsi"/>
          <w:lang w:eastAsia="pt-BR"/>
        </w:rPr>
        <w:t>Importa destacar que a melhoria deste trecho atende a uma demanda histórica da comunidade rural, sendo essencial para o fortalecimento da cadeia produtiva agrícola local e para a garantia de acesso adequado aos serviços públicos. Nesse contexto, a obra apresenta elevada relevância socioeconômica, contribuindo diretamente para o desenvolvimento rural sustentável e estando alinhada às diretrizes do Programa Rural da SEAB, voltado à ampliação da infraestrutura logística em áreas produtivas.</w:t>
      </w:r>
    </w:p>
    <w:p w14:paraId="63D72D8A" w14:textId="77777777" w:rsidR="009337F3" w:rsidRPr="004B1486" w:rsidRDefault="009337F3" w:rsidP="009337F3">
      <w:pPr>
        <w:spacing w:after="0"/>
        <w:jc w:val="both"/>
        <w:rPr>
          <w:rFonts w:eastAsia="Times New Roman" w:cstheme="minorHAnsi"/>
          <w:color w:val="000000" w:themeColor="text1"/>
          <w:lang w:eastAsia="pt-BR"/>
        </w:rPr>
      </w:pPr>
      <w:r w:rsidRPr="004B1486">
        <w:rPr>
          <w:rFonts w:eastAsia="Times New Roman" w:cstheme="minorHAnsi"/>
          <w:color w:val="000000" w:themeColor="text1"/>
          <w:lang w:eastAsia="pt-BR"/>
        </w:rPr>
        <w:t xml:space="preserve">Adicionalmente, cumpre esclarecer que a presente contratação decorre da necessidade de republicação do objeto, anteriormente licitado por meio da Concorrência Presencial nº 023/2025 - a qual foi cancelada em razão de apontamentos do </w:t>
      </w:r>
      <w:proofErr w:type="spellStart"/>
      <w:r w:rsidRPr="004B1486">
        <w:rPr>
          <w:rFonts w:eastAsia="Times New Roman" w:cstheme="minorHAnsi"/>
          <w:color w:val="000000" w:themeColor="text1"/>
          <w:lang w:eastAsia="pt-BR"/>
        </w:rPr>
        <w:t>Paranacidade</w:t>
      </w:r>
      <w:proofErr w:type="spellEnd"/>
      <w:r w:rsidRPr="004B1486">
        <w:rPr>
          <w:rFonts w:eastAsia="Times New Roman" w:cstheme="minorHAnsi"/>
          <w:color w:val="000000" w:themeColor="text1"/>
          <w:lang w:eastAsia="pt-BR"/>
        </w:rPr>
        <w:t xml:space="preserve"> que conforme análise da Procuradoria Jurídica daquele órgão, foram identificadas inconsistências na descrição do objeto constante na minuta do edital, especialmente quanto à exigência indevida, na fase de habilitação, das licenças de instalação da usina de CBUQ e da licença ambiental da pedreira, as quais devem ser requeridas exclusivamente da empresa vencedora do certame e Concorrência Presencial n° 005/2026 com resultado fracassada, uma vez que a participante não possuía os documentos de habilitação exigidos.</w:t>
      </w:r>
    </w:p>
    <w:p w14:paraId="50FAF0A2" w14:textId="77777777" w:rsidR="009337F3" w:rsidRPr="004B1486" w:rsidRDefault="009337F3" w:rsidP="009337F3">
      <w:pPr>
        <w:spacing w:after="0"/>
        <w:jc w:val="both"/>
        <w:rPr>
          <w:rFonts w:eastAsia="Times New Roman" w:cstheme="minorHAnsi"/>
          <w:color w:val="000000" w:themeColor="text1"/>
          <w:lang w:eastAsia="pt-BR"/>
        </w:rPr>
      </w:pPr>
      <w:r w:rsidRPr="004B1486">
        <w:rPr>
          <w:rFonts w:eastAsia="Times New Roman" w:cstheme="minorHAnsi"/>
          <w:color w:val="000000" w:themeColor="text1"/>
          <w:lang w:eastAsia="pt-BR"/>
        </w:rPr>
        <w:t>Dessa forma, a execução da pavimentação asfáltica sobre pedras irregulares no trecho entre a Linha Aurora e a Linha Colônia Nova mostra-se tecnicamente necessária, administrativamente oportuna e plenamente justificada, assegurando benefícios diretos à população, à economia local e à qualidade da infraestrutura rural.</w:t>
      </w:r>
    </w:p>
    <w:p w14:paraId="49D275E8" w14:textId="6A240C98"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73120A2D">
          <v:rect id="_x0000_i1030" style="width:0;height:1.5pt" o:hralign="center" o:hrstd="t" o:hr="t" fillcolor="#a0a0a0" stroked="f"/>
        </w:pict>
      </w:r>
      <w:r w:rsidR="00EB2BC7" w:rsidRPr="00EB2BC7">
        <w:rPr>
          <w:rFonts w:eastAsia="Times New Roman" w:cstheme="minorHAnsi"/>
          <w:b/>
          <w:bCs/>
          <w:lang w:eastAsia="pt-BR"/>
        </w:rPr>
        <w:t>5. ÁREA REQUISITANTE</w:t>
      </w:r>
    </w:p>
    <w:p w14:paraId="2A0218D4" w14:textId="5A6A301F"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ÁREA REQUISITANTE:</w:t>
      </w:r>
      <w:r w:rsidRPr="00EB2BC7">
        <w:rPr>
          <w:rFonts w:eastAsia="Times New Roman" w:cstheme="minorHAnsi"/>
          <w:lang w:eastAsia="pt-BR"/>
        </w:rPr>
        <w:t xml:space="preserve"> </w:t>
      </w:r>
      <w:r w:rsidR="000D262B" w:rsidRPr="00840FDB">
        <w:rPr>
          <w:rFonts w:eastAsia="Times New Roman" w:cstheme="minorHAnsi"/>
          <w:lang w:eastAsia="pt-BR"/>
        </w:rPr>
        <w:t xml:space="preserve">Secretaria Municipal de Viação e Obras </w:t>
      </w:r>
    </w:p>
    <w:p w14:paraId="2D7F44CC" w14:textId="0434414F"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RESPONSÁVEL:</w:t>
      </w:r>
      <w:r w:rsidRPr="00EB2BC7">
        <w:rPr>
          <w:rFonts w:eastAsia="Times New Roman" w:cstheme="minorHAnsi"/>
          <w:lang w:eastAsia="pt-BR"/>
        </w:rPr>
        <w:t xml:space="preserve"> </w:t>
      </w:r>
      <w:r w:rsidR="000D262B">
        <w:rPr>
          <w:rFonts w:eastAsia="Times New Roman" w:cstheme="minorHAnsi"/>
          <w:lang w:eastAsia="pt-BR"/>
        </w:rPr>
        <w:t>Fábio Dalbert</w:t>
      </w:r>
      <w:r w:rsidR="00F31193">
        <w:rPr>
          <w:rFonts w:eastAsia="Times New Roman" w:cstheme="minorHAnsi"/>
          <w:lang w:eastAsia="pt-BR"/>
        </w:rPr>
        <w:t xml:space="preserve">   Matrícula: </w:t>
      </w:r>
      <w:r w:rsidR="00F31193" w:rsidRPr="00F31193">
        <w:rPr>
          <w:rFonts w:eastAsia="Times New Roman" w:cstheme="minorHAnsi"/>
          <w:lang w:eastAsia="pt-BR"/>
        </w:rPr>
        <w:t>142</w:t>
      </w:r>
      <w:r w:rsidR="00F31193">
        <w:rPr>
          <w:rFonts w:eastAsia="Times New Roman" w:cstheme="minorHAnsi"/>
          <w:lang w:eastAsia="pt-BR"/>
        </w:rPr>
        <w:t>.</w:t>
      </w:r>
      <w:r w:rsidR="000D262B">
        <w:rPr>
          <w:rFonts w:eastAsia="Times New Roman" w:cstheme="minorHAnsi"/>
          <w:lang w:eastAsia="pt-BR"/>
        </w:rPr>
        <w:t>565-1</w:t>
      </w:r>
    </w:p>
    <w:p w14:paraId="067F2067" w14:textId="56E6E5FD"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45472F1B">
          <v:rect id="_x0000_i1031" style="width:0;height:1.5pt" o:hralign="center" o:hrstd="t" o:hr="t" fillcolor="#a0a0a0" stroked="f"/>
        </w:pict>
      </w:r>
      <w:r w:rsidR="00EB2BC7" w:rsidRPr="00EB2BC7">
        <w:rPr>
          <w:rFonts w:eastAsia="Times New Roman" w:cstheme="minorHAnsi"/>
          <w:b/>
          <w:bCs/>
          <w:lang w:eastAsia="pt-BR"/>
        </w:rPr>
        <w:t>6. DESCRIÇÃO DOS REQUISITOS DA CONTRATAÇÃO</w:t>
      </w:r>
    </w:p>
    <w:p w14:paraId="560ABE2C"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6.1 - Escopo Geral da Contratação</w:t>
      </w:r>
    </w:p>
    <w:p w14:paraId="1E8CE393" w14:textId="7D973FA5" w:rsidR="00B123CD" w:rsidRDefault="000C3953" w:rsidP="000C3953">
      <w:pPr>
        <w:widowControl w:val="0"/>
        <w:spacing w:after="0"/>
        <w:jc w:val="both"/>
        <w:outlineLvl w:val="2"/>
        <w:rPr>
          <w:rFonts w:eastAsia="Times New Roman" w:cstheme="minorHAnsi"/>
          <w:lang w:eastAsia="pt-BR"/>
        </w:rPr>
      </w:pPr>
      <w:r w:rsidRPr="000C3953">
        <w:rPr>
          <w:rFonts w:eastAsia="Times New Roman" w:cstheme="minorHAnsi"/>
          <w:lang w:eastAsia="pt-BR"/>
        </w:rPr>
        <w:t xml:space="preserve">A contratação deverá </w:t>
      </w:r>
      <w:r w:rsidR="00B123CD">
        <w:rPr>
          <w:rFonts w:eastAsia="Times New Roman" w:cstheme="minorHAnsi"/>
          <w:lang w:eastAsia="pt-BR"/>
        </w:rPr>
        <w:t>com</w:t>
      </w:r>
    </w:p>
    <w:p w14:paraId="2D752AFC" w14:textId="6FA81725" w:rsidR="000C3953" w:rsidRPr="000C3953" w:rsidRDefault="000C3953" w:rsidP="000C3953">
      <w:pPr>
        <w:widowControl w:val="0"/>
        <w:spacing w:after="0"/>
        <w:jc w:val="both"/>
        <w:outlineLvl w:val="2"/>
        <w:rPr>
          <w:rFonts w:eastAsia="Times New Roman" w:cstheme="minorHAnsi"/>
          <w:lang w:eastAsia="pt-BR"/>
        </w:rPr>
      </w:pPr>
      <w:proofErr w:type="spellStart"/>
      <w:r w:rsidRPr="000C3953">
        <w:rPr>
          <w:rFonts w:eastAsia="Times New Roman" w:cstheme="minorHAnsi"/>
          <w:lang w:eastAsia="pt-BR"/>
        </w:rPr>
        <w:t>templar</w:t>
      </w:r>
      <w:proofErr w:type="spellEnd"/>
      <w:r w:rsidRPr="000C3953">
        <w:rPr>
          <w:rFonts w:eastAsia="Times New Roman" w:cstheme="minorHAnsi"/>
          <w:lang w:eastAsia="pt-BR"/>
        </w:rPr>
        <w:t xml:space="preserve">, de forma integrada, a execução completa dos serviços de pavimentação asfáltica na estrada rural que liga a comunidade de Linha Aurora à Linha Colônia Nova. Os serviços incluem todas as etapas preliminares, remoção e correção de pontos críticos por meio de remendos profundos, regularização e preparação da base em brita graduada simples, aplicação de </w:t>
      </w:r>
      <w:r w:rsidRPr="000C3953">
        <w:rPr>
          <w:rFonts w:eastAsia="Times New Roman" w:cstheme="minorHAnsi"/>
          <w:lang w:eastAsia="pt-BR"/>
        </w:rPr>
        <w:lastRenderedPageBreak/>
        <w:t>revestimento asfáltico em CBUQ, implantação do sistema completo de drenagem pluvial, execução da sinalização viária horizontal e vertical, além dos serviços complementares necessários.</w:t>
      </w:r>
    </w:p>
    <w:p w14:paraId="02FEDD84" w14:textId="11A3E51C" w:rsidR="000C3953" w:rsidRPr="000C3953" w:rsidRDefault="000C3953" w:rsidP="000C3953">
      <w:pPr>
        <w:widowControl w:val="0"/>
        <w:spacing w:after="0"/>
        <w:jc w:val="both"/>
        <w:outlineLvl w:val="2"/>
        <w:rPr>
          <w:rFonts w:eastAsia="Times New Roman" w:cstheme="minorHAnsi"/>
          <w:lang w:eastAsia="pt-BR"/>
        </w:rPr>
      </w:pPr>
      <w:r w:rsidRPr="000C3953">
        <w:rPr>
          <w:rFonts w:eastAsia="Times New Roman" w:cstheme="minorHAnsi"/>
          <w:lang w:eastAsia="pt-BR"/>
        </w:rPr>
        <w:t xml:space="preserve">Também deverão ser incluídas </w:t>
      </w:r>
      <w:r>
        <w:rPr>
          <w:rFonts w:eastAsia="Times New Roman" w:cstheme="minorHAnsi"/>
          <w:lang w:eastAsia="pt-BR"/>
        </w:rPr>
        <w:t>a</w:t>
      </w:r>
      <w:r w:rsidRPr="000C3953">
        <w:rPr>
          <w:rFonts w:eastAsia="Times New Roman" w:cstheme="minorHAnsi"/>
          <w:lang w:eastAsia="pt-BR"/>
        </w:rPr>
        <w:t xml:space="preserve"> instalação do canteiro, mobilização e desmobilização de equipamentos, bem como a realização de todos os ensaios tecnológicos indispensáveis ao controle de qualidade, conforme especificações vigentes do DER/PR. Os requisitos mínimos de qualidade abrangem conformidade com as normas técnicas do DNIT, DER/PR e ABNT, utilização de materiais certificados, atuação de equipe técnica qualificada, controle tecnológico rigoroso por laboratório habilitado e garantia mínima conforme a legislação aplicável, assegurando uma base sólida para as especificações técnicas detalhadas do projeto.</w:t>
      </w:r>
    </w:p>
    <w:p w14:paraId="14B1949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6.2 - Referência às Especificações Técnicas</w:t>
      </w:r>
    </w:p>
    <w:p w14:paraId="5FD3A10E" w14:textId="77777777" w:rsidR="003B4CDB" w:rsidRPr="00840FDB" w:rsidRDefault="003B4CDB" w:rsidP="003B4CDB">
      <w:pPr>
        <w:spacing w:after="0"/>
        <w:jc w:val="both"/>
        <w:rPr>
          <w:rFonts w:eastAsia="Times New Roman" w:cstheme="minorHAnsi"/>
          <w:lang w:eastAsia="pt-BR"/>
        </w:rPr>
      </w:pPr>
      <w:r w:rsidRPr="00840FDB">
        <w:rPr>
          <w:rFonts w:eastAsia="Times New Roman" w:cstheme="minorHAnsi"/>
          <w:lang w:eastAsia="pt-BR"/>
        </w:rPr>
        <w:t>As especificações técnicas e exigências detalhadas constarão no Termo de Referência anexo ao edital de licitação, permitindo que sejam executados serviços com especificações superiores desde que sejam compatíveis e atendam integralmente aos requisitos mínimos estabelecidos neste estudo técnico preliminar, sempre respeitando as normas técnicas do DER/PR, DNIT e ABNT aplicáveis.</w:t>
      </w:r>
    </w:p>
    <w:p w14:paraId="59184E2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6.3 - Profissionais Especializados</w:t>
      </w:r>
    </w:p>
    <w:p w14:paraId="3EBC3153" w14:textId="77777777" w:rsidR="003B4CDB" w:rsidRDefault="003B4CDB" w:rsidP="003B4CDB">
      <w:pPr>
        <w:spacing w:after="0"/>
        <w:jc w:val="both"/>
        <w:rPr>
          <w:rFonts w:eastAsia="Times New Roman" w:cstheme="minorHAnsi"/>
          <w:lang w:eastAsia="pt-BR"/>
        </w:rPr>
      </w:pPr>
      <w:r w:rsidRPr="00840FDB">
        <w:rPr>
          <w:rFonts w:eastAsia="Times New Roman" w:cstheme="minorHAnsi"/>
          <w:lang w:eastAsia="pt-BR"/>
        </w:rPr>
        <w:t>Todos os serviços de pavimentação asfáltica deverão apresentar execução conforme memorial descritivo, projeto executivo e especificações técnicas do DER/PR, utilização de materiais de primeira qualidade com certificações adequadas (inclusive licenciamento ambiental da pedreira e da usina de asfalto), conformidade com as melhores práticas de engenharia rodoviária, atendimento às normas técnicas brasileiras e especificações do DER/PR (especialmente ES-PA-03/23, ES-P-05/2018, ES-P-17/23, ES-P-21/17, ES-P-13/05, ES-SV-03/23, ES-SV-09/23, ES-D-09/18, ES-D-05/18, ES-D-04/18), realização de controle tecnológico sistemático através de laboratório habilitado, e conformidade com todas as normas de segurança do trabalho aplicáveis.</w:t>
      </w:r>
    </w:p>
    <w:p w14:paraId="1FC0D76C" w14:textId="77777777" w:rsidR="003B4CDB" w:rsidRPr="00840FDB" w:rsidRDefault="003B4CDB" w:rsidP="003B4CDB">
      <w:pPr>
        <w:spacing w:after="0"/>
        <w:jc w:val="both"/>
        <w:rPr>
          <w:rFonts w:eastAsia="Times New Roman" w:cstheme="minorHAnsi"/>
          <w:lang w:eastAsia="pt-BR"/>
        </w:rPr>
      </w:pPr>
      <w:r w:rsidRPr="00840FDB">
        <w:rPr>
          <w:rFonts w:eastAsia="Times New Roman" w:cstheme="minorHAnsi"/>
          <w:b/>
          <w:bCs/>
          <w:lang w:eastAsia="pt-BR"/>
        </w:rPr>
        <w:t>6.4 - Certificações e Documentações Obrigatórias</w:t>
      </w:r>
    </w:p>
    <w:p w14:paraId="4415178F" w14:textId="77777777" w:rsidR="003B4CDB" w:rsidRDefault="003B4CDB" w:rsidP="003B4CDB">
      <w:pPr>
        <w:spacing w:after="0"/>
        <w:jc w:val="both"/>
        <w:rPr>
          <w:rFonts w:eastAsia="Times New Roman" w:cstheme="minorHAnsi"/>
          <w:lang w:eastAsia="pt-BR"/>
        </w:rPr>
      </w:pPr>
      <w:r w:rsidRPr="00840FDB">
        <w:rPr>
          <w:rFonts w:eastAsia="Times New Roman" w:cstheme="minorHAnsi"/>
          <w:lang w:eastAsia="pt-BR"/>
        </w:rPr>
        <w:t>Os materiais empregados deverão possuir certificações de qualidade emitidas por órgãos competentes, especialmente licenciamento ambiental da pedreira emitido pelo Instituto Água e Terra (IAT) do Paraná em nome da proponente ou de terceiros (com comprovação de vínculo através de contrato de fornecimento ou locação), licença de operação da usina de asfalto emitida pelo IAT constando dados da usina (razão social, CNPJ, endereço, validade vigente), sendo que caso a usina não seja de propriedade da contratada deverá apresentar contrato de fornecimento válido garantindo disponibilização do material (observando que a usina deverá estar localizada a menos de 60 quilômetros do município de Nova Prata do Iguaçu), certificação de qualidade dos cimentos asfálticos conforme Resolução ANP nº 19/2005, laudos de caracterização dos materiais granulares, certificados de qualidade de emulsões asfálticas (EAI e RR-1C), e documentação que comprove a origem e qualidade de todos os insumos utilizados.</w:t>
      </w:r>
    </w:p>
    <w:p w14:paraId="29DF5F77" w14:textId="41B74EB1" w:rsidR="006971E3" w:rsidRPr="00B76D3E" w:rsidRDefault="00B76D3E" w:rsidP="003B4CDB">
      <w:pPr>
        <w:spacing w:after="0"/>
        <w:jc w:val="both"/>
        <w:rPr>
          <w:rFonts w:eastAsia="Times New Roman" w:cstheme="minorHAnsi"/>
          <w:color w:val="000000" w:themeColor="text1"/>
          <w:lang w:eastAsia="pt-BR"/>
        </w:rPr>
      </w:pPr>
      <w:r w:rsidRPr="00B76D3E">
        <w:rPr>
          <w:rFonts w:eastAsia="Times New Roman" w:cstheme="minorHAnsi"/>
          <w:color w:val="000000" w:themeColor="text1"/>
          <w:lang w:eastAsia="pt-BR"/>
        </w:rPr>
        <w:t>Tais</w:t>
      </w:r>
      <w:r w:rsidR="006971E3" w:rsidRPr="00B76D3E">
        <w:rPr>
          <w:rFonts w:eastAsia="Times New Roman" w:cstheme="minorHAnsi"/>
          <w:color w:val="000000" w:themeColor="text1"/>
          <w:lang w:eastAsia="pt-BR"/>
        </w:rPr>
        <w:t xml:space="preserve"> exigências </w:t>
      </w:r>
      <w:r w:rsidR="009A06FE" w:rsidRPr="00B76D3E">
        <w:rPr>
          <w:rFonts w:eastAsia="Times New Roman" w:cstheme="minorHAnsi"/>
          <w:color w:val="000000" w:themeColor="text1"/>
          <w:lang w:eastAsia="pt-BR"/>
        </w:rPr>
        <w:t xml:space="preserve">descritas </w:t>
      </w:r>
      <w:r w:rsidRPr="00B76D3E">
        <w:rPr>
          <w:rFonts w:eastAsia="Times New Roman" w:cstheme="minorHAnsi"/>
          <w:color w:val="000000" w:themeColor="text1"/>
          <w:lang w:eastAsia="pt-BR"/>
        </w:rPr>
        <w:t>estarão discriminadas no Termo de Referência e em Edital, seguindo as fases do certame e apresentação nos momentos oportunos</w:t>
      </w:r>
      <w:r w:rsidR="009A06FE" w:rsidRPr="00B76D3E">
        <w:rPr>
          <w:rFonts w:eastAsia="Times New Roman" w:cstheme="minorHAnsi"/>
          <w:color w:val="000000" w:themeColor="text1"/>
          <w:lang w:eastAsia="pt-BR"/>
        </w:rPr>
        <w:t>.</w:t>
      </w:r>
    </w:p>
    <w:p w14:paraId="4AB63706" w14:textId="7FEFA046"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w:t>
      </w:r>
      <w:r w:rsidR="003B4CDB">
        <w:rPr>
          <w:rFonts w:eastAsia="Times New Roman" w:cstheme="minorHAnsi"/>
          <w:b/>
          <w:bCs/>
          <w:lang w:eastAsia="pt-BR"/>
        </w:rPr>
        <w:t>5</w:t>
      </w:r>
      <w:r w:rsidRPr="00EB2BC7">
        <w:rPr>
          <w:rFonts w:eastAsia="Times New Roman" w:cstheme="minorHAnsi"/>
          <w:b/>
          <w:bCs/>
          <w:lang w:eastAsia="pt-BR"/>
        </w:rPr>
        <w:t xml:space="preserve"> - Equipamentos e Maquinário</w:t>
      </w:r>
    </w:p>
    <w:p w14:paraId="4B69C9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exige disponibilização completa de equipamentos em perfeito estado de funcionamento, incluindo </w:t>
      </w:r>
      <w:proofErr w:type="spellStart"/>
      <w:r w:rsidRPr="00EB2BC7">
        <w:rPr>
          <w:rFonts w:eastAsia="Times New Roman" w:cstheme="minorHAnsi"/>
          <w:lang w:eastAsia="pt-BR"/>
        </w:rPr>
        <w:t>vibroacabadora</w:t>
      </w:r>
      <w:proofErr w:type="spellEnd"/>
      <w:r w:rsidRPr="00EB2BC7">
        <w:rPr>
          <w:rFonts w:eastAsia="Times New Roman" w:cstheme="minorHAnsi"/>
          <w:lang w:eastAsia="pt-BR"/>
        </w:rPr>
        <w:t>, rolos compactadores (tandem e pneumático), caminhões basculantes, retroescavadeira, motoniveladora, caminhão espargidor, fresadora quando necessária, além de equipamentos de pequeno porte, todos com manuais de operação e manutenção atualizados.</w:t>
      </w:r>
    </w:p>
    <w:p w14:paraId="066B6798" w14:textId="1BF3734D"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6.</w:t>
      </w:r>
      <w:r>
        <w:rPr>
          <w:rFonts w:eastAsia="Times New Roman" w:cstheme="minorHAnsi"/>
          <w:b/>
          <w:bCs/>
          <w:lang w:eastAsia="pt-BR"/>
        </w:rPr>
        <w:t>6</w:t>
      </w:r>
      <w:r w:rsidRPr="00840FDB">
        <w:rPr>
          <w:rFonts w:eastAsia="Times New Roman" w:cstheme="minorHAnsi"/>
          <w:b/>
          <w:bCs/>
          <w:lang w:eastAsia="pt-BR"/>
        </w:rPr>
        <w:t xml:space="preserve"> - Especificações dos Serviços de Pavimentação Asfáltica</w:t>
      </w:r>
    </w:p>
    <w:p w14:paraId="6171E146"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lang w:eastAsia="pt-BR"/>
        </w:rPr>
        <w:t>Os serviços de pavimentação asfáltica deverão incluir:</w:t>
      </w:r>
    </w:p>
    <w:p w14:paraId="68DC16F7" w14:textId="19C4E60D"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a) Remendos Profundos:</w:t>
      </w:r>
      <w:r w:rsidRPr="00840FDB">
        <w:rPr>
          <w:rFonts w:eastAsia="Times New Roman" w:cstheme="minorHAnsi"/>
          <w:lang w:eastAsia="pt-BR"/>
        </w:rPr>
        <w:t xml:space="preserve"> Execução de remendos profundos com materiais pétreos (macadame seco) nos pontos críticos identificados através de </w:t>
      </w:r>
      <w:r w:rsidR="000C3953">
        <w:rPr>
          <w:rFonts w:eastAsia="Times New Roman" w:cstheme="minorHAnsi"/>
          <w:lang w:eastAsia="pt-BR"/>
        </w:rPr>
        <w:t xml:space="preserve">CBR – Índice de Suporte </w:t>
      </w:r>
      <w:proofErr w:type="spellStart"/>
      <w:r w:rsidR="000C3953">
        <w:rPr>
          <w:rFonts w:eastAsia="Times New Roman" w:cstheme="minorHAnsi"/>
          <w:lang w:eastAsia="pt-BR"/>
        </w:rPr>
        <w:t>Califônia</w:t>
      </w:r>
      <w:proofErr w:type="spellEnd"/>
      <w:r w:rsidRPr="00840FDB">
        <w:rPr>
          <w:rFonts w:eastAsia="Times New Roman" w:cstheme="minorHAnsi"/>
          <w:lang w:eastAsia="pt-BR"/>
        </w:rPr>
        <w:t>, com remoção completa do pavimento poliédrico existente, eliminação de "borrachudos" (pontos de umidade excessiva no subleito), preenchimento com macadame seco composto por materiais de diversas granulometrias (rachão, pedra nº 3, pedra nº 2, pedra nº 1), em camadas de espessura média de 30 cm devidamente compactadas, conforme DER/PR ES-PA-03/23 e DER/PR ES-P-13/05;</w:t>
      </w:r>
    </w:p>
    <w:p w14:paraId="5E69E815"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b) Base em Brita Graduada Simples (BGS):</w:t>
      </w:r>
      <w:r w:rsidRPr="00840FDB">
        <w:rPr>
          <w:rFonts w:eastAsia="Times New Roman" w:cstheme="minorHAnsi"/>
          <w:lang w:eastAsia="pt-BR"/>
        </w:rPr>
        <w:t xml:space="preserve"> Execução de camada de base em BGS sobre toda a extensão do trecho, seja sobre os remendos profundos ou sobre o pavimento poliédrico existente, com composição granulométrica enquadrada na Faixa II do DER/PR, espessura média de 15 cm após compactação, largura da plataforma com bordas trapezoidais (largura inferior de 6,45 metros e largura superior de 6,00 metros), espalhamento com motoniveladora e compactação com rolo compactador autopropelido, atendendo à ES-P-05/2018 DER/PR;</w:t>
      </w:r>
    </w:p>
    <w:p w14:paraId="1FF94C1E"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c) Pintura de Imprimação:</w:t>
      </w:r>
      <w:r w:rsidRPr="00840FDB">
        <w:rPr>
          <w:rFonts w:eastAsia="Times New Roman" w:cstheme="minorHAnsi"/>
          <w:lang w:eastAsia="pt-BR"/>
        </w:rPr>
        <w:t xml:space="preserve"> Aplicação de EAI (Emulsão Asfáltica de Imprimação) sobre a camada de base para promover impermeabilização e coesão superficial, com taxa de aplicação determinada experimentalmente no canteiro variando de 0,8 a 1,7 l/m² (adotando-se para efeito de projeto 1,2 l/m²), aplicação com caminhão espargidor através de barra, sobre superfície previamente limpa e levemente úmida, com isolamento do trecho por pelo menos 48 horas para cura, conforme DER/PR ES-P-17/23;</w:t>
      </w:r>
    </w:p>
    <w:p w14:paraId="39E9D040"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d) Pintura de Ligação:</w:t>
      </w:r>
      <w:r w:rsidRPr="00840FDB">
        <w:rPr>
          <w:rFonts w:eastAsia="Times New Roman" w:cstheme="minorHAnsi"/>
          <w:lang w:eastAsia="pt-BR"/>
        </w:rPr>
        <w:t xml:space="preserve"> Aplicação de emulsão RR-1C sobre a imprimação para promover aderência entre a base e a camada asfáltica, com taxa de aplicação variando entre 0,5 a 0,8 l/m² (adotando-se para efeito de projeto 0,5 l/m²), verificada através de ensaio de bandeja ou planilha de controle, aplicação com caminhão espargidor através de barra, apenas na largura da pista a receber CBUQ (6,00 metros), conforme DER/PR ES-P-17/23;</w:t>
      </w:r>
    </w:p>
    <w:p w14:paraId="59E6E750"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e) CBUQ (Concreto Betuminoso Usinado a Quente):</w:t>
      </w:r>
      <w:r w:rsidRPr="00840FDB">
        <w:rPr>
          <w:rFonts w:eastAsia="Times New Roman" w:cstheme="minorHAnsi"/>
          <w:lang w:eastAsia="pt-BR"/>
        </w:rPr>
        <w:t xml:space="preserve"> Fornecimento, transporte, lançamento e compactação de CBUQ produzido em usina apropriada, utilizando cimento asfáltico de petróleo CAP 50/70 conforme Resolução ANP nº 19/2005, faixa granulométrica "C" conforme DER/PR ES-P-21/17 ou DNIT, temperatura de aplicação entre 140°C e 160°C, espalhamento com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equipada com sistema de nivelamento eletrônico, compactação com rolos compactadores (liso tandem e pneumático) até atingir grau de compactação especificado, espessura da camada de 5,0 cm após compactação (determinada através de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conforme DNER PRO 11/79), largura de 6,00 metros, acabamento superficial liso e uniforme, atendendo rigorosamente à DER/PR ES-P-21/17;</w:t>
      </w:r>
    </w:p>
    <w:p w14:paraId="0A44CD85" w14:textId="77777777" w:rsidR="003B4CDB" w:rsidRPr="00840FDB" w:rsidRDefault="003B4CDB" w:rsidP="00855728">
      <w:pPr>
        <w:spacing w:after="0"/>
        <w:jc w:val="both"/>
        <w:rPr>
          <w:rFonts w:eastAsia="Times New Roman" w:cstheme="minorHAnsi"/>
          <w:lang w:eastAsia="pt-BR"/>
        </w:rPr>
      </w:pPr>
      <w:r w:rsidRPr="00840FDB">
        <w:rPr>
          <w:rFonts w:eastAsia="Times New Roman" w:cstheme="minorHAnsi"/>
          <w:b/>
          <w:bCs/>
          <w:lang w:eastAsia="pt-BR"/>
        </w:rPr>
        <w:t>f) Controle Tecnológico:</w:t>
      </w:r>
      <w:r w:rsidRPr="00840FDB">
        <w:rPr>
          <w:rFonts w:eastAsia="Times New Roman" w:cstheme="minorHAnsi"/>
          <w:lang w:eastAsia="pt-BR"/>
        </w:rPr>
        <w:t xml:space="preserve"> Realização de todos os ensaios tecnológicos previstos nas especificações do DER/PR através de laboratório devidamente habilitado, incluindo ensaios Marshall (DNER-ME 043), resistência à tração por compressão diametral (DNIT 136-ME), densidade máxima da mistura pelo método Rice (AASHTO T-209), controle de compactação, controle de taxa de aplicação de ligantes, e todos os demais ensaios especificados.</w:t>
      </w:r>
    </w:p>
    <w:p w14:paraId="421C99D3"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6.6 - Modalidade Licitatória e Critério de Julgamento</w:t>
      </w:r>
    </w:p>
    <w:p w14:paraId="5E46071F"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6.6.1.</w:t>
      </w:r>
      <w:r w:rsidRPr="00840FDB">
        <w:rPr>
          <w:rFonts w:eastAsia="Times New Roman" w:cstheme="minorHAnsi"/>
          <w:lang w:eastAsia="pt-BR"/>
        </w:rPr>
        <w:t xml:space="preserve"> A modalidade licitatória aplicável será </w:t>
      </w:r>
      <w:r w:rsidRPr="00840FDB">
        <w:rPr>
          <w:rFonts w:eastAsia="Times New Roman" w:cstheme="minorHAnsi"/>
          <w:b/>
          <w:bCs/>
          <w:lang w:eastAsia="pt-BR"/>
        </w:rPr>
        <w:t>Concorrência Presencial com Inversão de Fases</w:t>
      </w:r>
      <w:r w:rsidRPr="00840FDB">
        <w:rPr>
          <w:rFonts w:eastAsia="Times New Roman" w:cstheme="minorHAnsi"/>
          <w:lang w:eastAsia="pt-BR"/>
        </w:rPr>
        <w:t>, fundamentada no art. 28, inciso II da Lei 14.133/2021.</w:t>
      </w:r>
    </w:p>
    <w:p w14:paraId="3F8C1770" w14:textId="29061976"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6.6.2.</w:t>
      </w:r>
      <w:r w:rsidRPr="00840FDB">
        <w:rPr>
          <w:rFonts w:eastAsia="Times New Roman" w:cstheme="minorHAnsi"/>
          <w:lang w:eastAsia="pt-BR"/>
        </w:rPr>
        <w:t xml:space="preserve"> Justificativa da Modalidade: Considerando o valor estimado da contratação (R$ </w:t>
      </w:r>
      <w:r w:rsidR="00C31DCE">
        <w:rPr>
          <w:rFonts w:eastAsia="Times New Roman" w:cstheme="minorHAnsi"/>
          <w:lang w:eastAsia="pt-BR"/>
        </w:rPr>
        <w:t>5.833.099,01</w:t>
      </w:r>
      <w:r w:rsidRPr="00840FDB">
        <w:rPr>
          <w:rFonts w:eastAsia="Times New Roman" w:cstheme="minorHAnsi"/>
          <w:lang w:eastAsia="pt-BR"/>
        </w:rPr>
        <w:t>) superior ao limite estabelecido para pregão eletrônico, a natureza complexa dos serviços de pavimentação asfáltica rodoviária que exigem qualificação técnica específica (incluindo licenciamento ambiental de pedreira e usina de asfalto, responsável técnico habilitado, comprovação de capacidade operacional adequada, atestados técnicos específicos), a necessidade de análise criteriosa da documentação técnica dos licitantes previamente à abertura das propostas comerciais, e as exigências técnicas especializadas relacionadas à execução de obras rodoviárias conforme normas do DER/PR e DNIT, adota-se a modalidade Concorrência, nos termos do art. 28, inciso II, da Lei nº 14.133/2021.</w:t>
      </w:r>
    </w:p>
    <w:p w14:paraId="7C6C0218"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6.6.3.</w:t>
      </w:r>
      <w:r w:rsidRPr="00840FDB">
        <w:rPr>
          <w:rFonts w:eastAsia="Times New Roman" w:cstheme="minorHAnsi"/>
          <w:lang w:eastAsia="pt-BR"/>
        </w:rPr>
        <w:t xml:space="preserve"> O critério de julgamento será </w:t>
      </w:r>
      <w:r w:rsidRPr="00840FDB">
        <w:rPr>
          <w:rFonts w:eastAsia="Times New Roman" w:cstheme="minorHAnsi"/>
          <w:b/>
          <w:bCs/>
          <w:lang w:eastAsia="pt-BR"/>
        </w:rPr>
        <w:t>menor preço global</w:t>
      </w:r>
      <w:r w:rsidRPr="00840FDB">
        <w:rPr>
          <w:rFonts w:eastAsia="Times New Roman" w:cstheme="minorHAnsi"/>
          <w:lang w:eastAsia="pt-BR"/>
        </w:rPr>
        <w:t>, conforme art. 34, inciso I da Lei 14.133/2021, considerando a padronização das especificações técnicas conforme normas do DER/PR e DNIT e a natureza comum dos serviços de pavimentação asfáltica rodoviária.</w:t>
      </w:r>
    </w:p>
    <w:p w14:paraId="56994DD3"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6.6.4.</w:t>
      </w:r>
      <w:r w:rsidRPr="00840FDB">
        <w:rPr>
          <w:rFonts w:eastAsia="Times New Roman" w:cstheme="minorHAnsi"/>
          <w:lang w:eastAsia="pt-BR"/>
        </w:rPr>
        <w:t xml:space="preserve"> Justificativa para realização presencial: O Município de Nova Prata do Iguaçu, em estrita observância aos princípios e diretrizes do art. 5º da Lei nº 14.133/2021 (legalidade, impessoalidade, moralidade, publicidade, eficiência, interesse público, probidade, igualdade, planejamento, transparência, eficácia, segregação de funções, motivação, vinculação ao edital, julgamento objetivo, segurança jurídica, razoabilidade, competitividade, proporcionalidade, celeridade, economicidade e desenvolvimento nacional sustentável), motiva a adoção do procedimento de inversão de fases nos certames em que tal solução se mostrar mais adequada à maximização do interesse público. A providência encontra amparo direto no art. 17, § 1º, da Lei nº 14.133/2021.</w:t>
      </w:r>
    </w:p>
    <w:p w14:paraId="524B8246"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 inversão de fases qualifica o resultado do certame e racionaliza o esforço administrativo ao direcionar a análise, desde logo, para proponentes efetivamente aptos, evitando dispêndio de tempo e recursos com propostas de licitantes que seriam inabilitados mais adiante. Tal arranjo procedimental reduz retrabalhos e a litigiosidade (recursos protelatórios), incrementa celeridade e economicidade, e preserva a isonomia e a competitividade, porquanto não favorece participante específico, antes qualifica a disputa ao concentrá-la entre agentes que atendem aos requisitos técnicos, jurídicos, fiscais e econômico-financeiros.</w:t>
      </w:r>
    </w:p>
    <w:p w14:paraId="35D1A37A"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 xml:space="preserve">Não obstante as virtudes da inversão de fases, verifica-se, no presente momento, insuficiência funcional do ambiente eletrônico disponível para dar suporte completamente auditável ao rito especial. Em particular, a plataforma eletrônica em uso pelo Município – inclusive o Compras.gov.br, quando adotado – não disponibiliza, com a robustez exigida, funcionalidades essenciais ao fluxo de Concorrência com inversão de fases, tais como módulo de </w:t>
      </w:r>
      <w:proofErr w:type="spellStart"/>
      <w:r w:rsidRPr="00840FDB">
        <w:rPr>
          <w:rFonts w:eastAsia="Times New Roman" w:cstheme="minorHAnsi"/>
          <w:lang w:eastAsia="pt-BR"/>
        </w:rPr>
        <w:t>pré</w:t>
      </w:r>
      <w:proofErr w:type="spellEnd"/>
      <w:r w:rsidRPr="00840FDB">
        <w:rPr>
          <w:rFonts w:eastAsia="Times New Roman" w:cstheme="minorHAnsi"/>
          <w:lang w:eastAsia="pt-BR"/>
        </w:rPr>
        <w:t>-habilitação com controle de sigilo, abertura seletiva automatizada das propostas apenas dos previamente habilitados, dupla rotina recursal com trilhas de auditoria completas, cadeia de custódia e gestão de versões, integração transparente com o PNCP e relatórios de conformidade imutáveis. A tentativa de suprir tais lacunas por meio de arranjos improvisados no meio digital ampliaria o risco de falhas procedimentais, contrariando os princípios do julgamento objetivo, da transparência e da segurança jurídica.</w:t>
      </w:r>
    </w:p>
    <w:p w14:paraId="46795650"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Assim, fundamenta-se a realização presencial do certame como medida que assegura a efetiva auditabilidade do procedimento licitatório, a plena transparência das etapas processuais, a segurança jurídica para todos os participantes, e o cumprimento integral dos princípios constitucionais e legais que regem a administração pública, especialmente considerando a complexidade técnica do objeto (pavimentação asfáltica rodoviária com exigências específicas de licenciamento ambiental, usina de asfalto, controle tecnológico rigoroso) e os valores envolvidos na contratação.</w:t>
      </w:r>
    </w:p>
    <w:p w14:paraId="37F1107B"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6.6.5.</w:t>
      </w:r>
      <w:r w:rsidRPr="00840FDB">
        <w:rPr>
          <w:rFonts w:eastAsia="Times New Roman" w:cstheme="minorHAnsi"/>
          <w:lang w:eastAsia="pt-BR"/>
        </w:rPr>
        <w:t xml:space="preserve"> Será assegurada a aplicação dos benefícios da Lei Complementar nº 123/2006 para microempresas e empresas de pequeno porte, nos termos dos </w:t>
      </w:r>
      <w:proofErr w:type="spellStart"/>
      <w:r w:rsidRPr="00840FDB">
        <w:rPr>
          <w:rFonts w:eastAsia="Times New Roman" w:cstheme="minorHAnsi"/>
          <w:lang w:eastAsia="pt-BR"/>
        </w:rPr>
        <w:t>arts</w:t>
      </w:r>
      <w:proofErr w:type="spellEnd"/>
      <w:r w:rsidRPr="00840FDB">
        <w:rPr>
          <w:rFonts w:eastAsia="Times New Roman" w:cstheme="minorHAnsi"/>
          <w:lang w:eastAsia="pt-BR"/>
        </w:rPr>
        <w:t>. 42 a 49 da Lei nº 14.133/2021.</w:t>
      </w:r>
    </w:p>
    <w:p w14:paraId="36121B39"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6.7 - Requisitos para Sistema de Drenagem Pluvial</w:t>
      </w:r>
    </w:p>
    <w:p w14:paraId="6FAB19B1" w14:textId="71A45E1C"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 xml:space="preserve">O sistema de drenagem pluvial deverá incluir execução de bueiros simples tubulares de concreto (BSTC) transversais à pista nos diâmetros especificados em projeto (Ø </w:t>
      </w:r>
      <w:r w:rsidR="000C3953">
        <w:rPr>
          <w:rFonts w:eastAsia="Times New Roman" w:cstheme="minorHAnsi"/>
          <w:lang w:eastAsia="pt-BR"/>
        </w:rPr>
        <w:t xml:space="preserve">1000 </w:t>
      </w:r>
      <w:r w:rsidRPr="00840FDB">
        <w:rPr>
          <w:rFonts w:eastAsia="Times New Roman" w:cstheme="minorHAnsi"/>
          <w:lang w:eastAsia="pt-BR"/>
        </w:rPr>
        <w:t xml:space="preserve">mm com </w:t>
      </w:r>
      <w:r w:rsidR="00B6400B">
        <w:rPr>
          <w:rFonts w:eastAsia="Times New Roman" w:cstheme="minorHAnsi"/>
          <w:lang w:eastAsia="pt-BR"/>
        </w:rPr>
        <w:t>110</w:t>
      </w:r>
      <w:r w:rsidRPr="00840FDB">
        <w:rPr>
          <w:rFonts w:eastAsia="Times New Roman" w:cstheme="minorHAnsi"/>
          <w:lang w:eastAsia="pt-BR"/>
        </w:rPr>
        <w:t xml:space="preserve"> metros lineares e Ø </w:t>
      </w:r>
      <w:r w:rsidR="00B6400B">
        <w:rPr>
          <w:rFonts w:eastAsia="Times New Roman" w:cstheme="minorHAnsi"/>
          <w:lang w:eastAsia="pt-BR"/>
        </w:rPr>
        <w:t>2000</w:t>
      </w:r>
      <w:r w:rsidRPr="00840FDB">
        <w:rPr>
          <w:rFonts w:eastAsia="Times New Roman" w:cstheme="minorHAnsi"/>
          <w:lang w:eastAsia="pt-BR"/>
        </w:rPr>
        <w:t xml:space="preserve"> mm com </w:t>
      </w:r>
      <w:r w:rsidR="00B6400B">
        <w:rPr>
          <w:rFonts w:eastAsia="Times New Roman" w:cstheme="minorHAnsi"/>
          <w:lang w:eastAsia="pt-BR"/>
        </w:rPr>
        <w:t>30</w:t>
      </w:r>
      <w:r w:rsidRPr="00840FDB">
        <w:rPr>
          <w:rFonts w:eastAsia="Times New Roman" w:cstheme="minorHAnsi"/>
          <w:lang w:eastAsia="pt-BR"/>
        </w:rPr>
        <w:t xml:space="preserve"> metros lineares), com inclinação mínima de 2%, instalação </w:t>
      </w:r>
      <w:r w:rsidR="00B6400B">
        <w:rPr>
          <w:rFonts w:eastAsia="Times New Roman" w:cstheme="minorHAnsi"/>
          <w:lang w:eastAsia="pt-BR"/>
        </w:rPr>
        <w:t>sem</w:t>
      </w:r>
      <w:r w:rsidRPr="00840FDB">
        <w:rPr>
          <w:rFonts w:eastAsia="Times New Roman" w:cstheme="minorHAnsi"/>
          <w:lang w:eastAsia="pt-BR"/>
        </w:rPr>
        <w:t xml:space="preserve"> berço, execução de bocas de bueiro simples Ø </w:t>
      </w:r>
      <w:r w:rsidR="00B6400B">
        <w:rPr>
          <w:rFonts w:eastAsia="Times New Roman" w:cstheme="minorHAnsi"/>
          <w:lang w:eastAsia="pt-BR"/>
        </w:rPr>
        <w:t>1000</w:t>
      </w:r>
      <w:r w:rsidRPr="00840FDB">
        <w:rPr>
          <w:rFonts w:eastAsia="Times New Roman" w:cstheme="minorHAnsi"/>
          <w:lang w:eastAsia="pt-BR"/>
        </w:rPr>
        <w:t xml:space="preserve"> mm (2</w:t>
      </w:r>
      <w:r w:rsidR="00B6400B">
        <w:rPr>
          <w:rFonts w:eastAsia="Times New Roman" w:cstheme="minorHAnsi"/>
          <w:lang w:eastAsia="pt-BR"/>
        </w:rPr>
        <w:t>2</w:t>
      </w:r>
      <w:r w:rsidRPr="00840FDB">
        <w:rPr>
          <w:rFonts w:eastAsia="Times New Roman" w:cstheme="minorHAnsi"/>
          <w:lang w:eastAsia="pt-BR"/>
        </w:rPr>
        <w:t xml:space="preserve"> unidades), bocas de bueiro simples Ø </w:t>
      </w:r>
      <w:r w:rsidR="00B6400B">
        <w:rPr>
          <w:rFonts w:eastAsia="Times New Roman" w:cstheme="minorHAnsi"/>
          <w:lang w:eastAsia="pt-BR"/>
        </w:rPr>
        <w:t>20</w:t>
      </w:r>
      <w:r w:rsidRPr="00840FDB">
        <w:rPr>
          <w:rFonts w:eastAsia="Times New Roman" w:cstheme="minorHAnsi"/>
          <w:lang w:eastAsia="pt-BR"/>
        </w:rPr>
        <w:t>00 mm (0</w:t>
      </w:r>
      <w:r w:rsidR="00B6400B">
        <w:rPr>
          <w:rFonts w:eastAsia="Times New Roman" w:cstheme="minorHAnsi"/>
          <w:lang w:eastAsia="pt-BR"/>
        </w:rPr>
        <w:t>6</w:t>
      </w:r>
      <w:r w:rsidRPr="00840FDB">
        <w:rPr>
          <w:rFonts w:eastAsia="Times New Roman" w:cstheme="minorHAnsi"/>
          <w:lang w:eastAsia="pt-BR"/>
        </w:rPr>
        <w:t xml:space="preserve"> unidades), conforme Álbum de Dispositivos de Drenagem do DER/PR e DER/PR ES-D-09/18, implantação de caixas coletoras e de passagem conforme DER/PR ES-D-05/18, execução de dissipadores de energia Ø 600 mm (09 unidades) e Ø 800 mm (01 unidade) conforme DER/PR ES-D-04/18, recomposição do pavimento nos locais de instalação dos dispositivos de drenagem, e garantia de funcionamento adequado de todo o sistema de drenagem.</w:t>
      </w:r>
    </w:p>
    <w:p w14:paraId="1205A027"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6.8 - Requisitos para Sinalização de Trânsito</w:t>
      </w:r>
    </w:p>
    <w:p w14:paraId="7CDDAD97"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 sinalização de trânsito deverá incluir:</w:t>
      </w:r>
    </w:p>
    <w:p w14:paraId="5F596740"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a) Sinalização Horizontal:</w:t>
      </w:r>
      <w:r w:rsidRPr="00840FDB">
        <w:rPr>
          <w:rFonts w:eastAsia="Times New Roman" w:cstheme="minorHAnsi"/>
          <w:lang w:eastAsia="pt-BR"/>
        </w:rPr>
        <w:t xml:space="preserve"> Execução de faixas de sinalização horizontal (linhas de divisão de fluxos opostos na cor amarela com 10 cm de largura, linhas de bordo na cor branca com 10 cm de largura) com tinta resina acrílica base solvente de alta refletividade e durabilidade, aplicação em espessura de película úmida igual ou superior a 0,6 mm, taxa mínima de aplicação de 0,6 l/m² (1 litro a cada 16,70 m de faixa de 0,10 m de largura), microesferas de vidro incorporadas à tinta (200 a 250 g/l) e aplicadas por aspersão concomitante, padrão de </w:t>
      </w:r>
      <w:proofErr w:type="spellStart"/>
      <w:r w:rsidRPr="00840FDB">
        <w:rPr>
          <w:rFonts w:eastAsia="Times New Roman" w:cstheme="minorHAnsi"/>
          <w:lang w:eastAsia="pt-BR"/>
        </w:rPr>
        <w:t>retrorrefletância</w:t>
      </w:r>
      <w:proofErr w:type="spellEnd"/>
      <w:r w:rsidRPr="00840FDB">
        <w:rPr>
          <w:rFonts w:eastAsia="Times New Roman" w:cstheme="minorHAnsi"/>
          <w:lang w:eastAsia="pt-BR"/>
        </w:rPr>
        <w:t xml:space="preserve"> inicial igual ou maior que 250 </w:t>
      </w:r>
      <w:proofErr w:type="spellStart"/>
      <w:r w:rsidRPr="00840FDB">
        <w:rPr>
          <w:rFonts w:eastAsia="Times New Roman" w:cstheme="minorHAnsi"/>
          <w:lang w:eastAsia="pt-BR"/>
        </w:rPr>
        <w:t>mcd</w:t>
      </w:r>
      <w:proofErr w:type="spellEnd"/>
      <w:r w:rsidRPr="00840FDB">
        <w:rPr>
          <w:rFonts w:eastAsia="Times New Roman" w:cstheme="minorHAnsi"/>
          <w:lang w:eastAsia="pt-BR"/>
        </w:rPr>
        <w:t xml:space="preserve">/lux/m² para cor branca e 150 </w:t>
      </w:r>
      <w:proofErr w:type="spellStart"/>
      <w:r w:rsidRPr="00840FDB">
        <w:rPr>
          <w:rFonts w:eastAsia="Times New Roman" w:cstheme="minorHAnsi"/>
          <w:lang w:eastAsia="pt-BR"/>
        </w:rPr>
        <w:t>mcd</w:t>
      </w:r>
      <w:proofErr w:type="spellEnd"/>
      <w:r w:rsidRPr="00840FDB">
        <w:rPr>
          <w:rFonts w:eastAsia="Times New Roman" w:cstheme="minorHAnsi"/>
          <w:lang w:eastAsia="pt-BR"/>
        </w:rPr>
        <w:t>/lux/m² para cor amarela (ABNT-NBR 14723), conforme Manual de Sinalização Horizontal do CONTRAN e DER/PR ES-SV-03/23;</w:t>
      </w:r>
    </w:p>
    <w:p w14:paraId="03DAE396" w14:textId="58346FE5"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b) Sinalização Vertical:</w:t>
      </w:r>
      <w:r w:rsidRPr="00840FDB">
        <w:rPr>
          <w:rFonts w:eastAsia="Times New Roman" w:cstheme="minorHAnsi"/>
          <w:lang w:eastAsia="pt-BR"/>
        </w:rPr>
        <w:t xml:space="preserve"> Fornecimento e instalação de placas de sinalização vertical (regulamentação, advertência e indicação) confeccionadas em chapas galvanizadas resistentes com aplicação de adesivos retrorrefletivos ou pinturas refletivas, dimensões e padrões de cores conforme Código de Trânsito Brasileiro e suas resoluções, alturas mínimas de letras conforme velocidade regulamentada, suportes adequados em </w:t>
      </w:r>
      <w:r w:rsidR="00B6400B">
        <w:rPr>
          <w:rFonts w:eastAsia="Times New Roman" w:cstheme="minorHAnsi"/>
          <w:lang w:eastAsia="pt-BR"/>
        </w:rPr>
        <w:t>madeira de lei</w:t>
      </w:r>
      <w:r w:rsidRPr="00840FDB">
        <w:rPr>
          <w:rFonts w:eastAsia="Times New Roman" w:cstheme="minorHAnsi"/>
          <w:lang w:eastAsia="pt-BR"/>
        </w:rPr>
        <w:t xml:space="preserve"> com fundação em concreto, instalação em locais definidos em projeto, conforme Manual de Sinalização Vertical do CONTRAN e DER/PR ES-SV-09/23.</w:t>
      </w:r>
    </w:p>
    <w:p w14:paraId="7F59A317"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6.9 - Requisitos para Serviços Complementares</w:t>
      </w:r>
    </w:p>
    <w:p w14:paraId="2CD2B300"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Os serviços complementares deverão incluir limpeza mecanizada de terreno e drenagem superficial ao longo da pista em ambos os lados, remoção de vegetação nas laterais até profundidade de 0,20 m, aparamento de galhos de árvores que se projetam sobre a plataforma mantendo altura livre de 6,00 m, execução de vala lateral para drenagem superficial com motoniveladora, cascalhamento de faixa de 1,0 m por todas as bordas do pavimento, e todos os demais serviços necessários à perfeita execução da obra.</w:t>
      </w:r>
    </w:p>
    <w:p w14:paraId="2A29D467"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6.10 - Requisitos para Administração Local</w:t>
      </w:r>
    </w:p>
    <w:p w14:paraId="21C63F3F"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 administração local da obra deverá incluir disponibilização de equipe administrativa e técnica no canteiro de obras, responsável técnico com presença permanente na obra durante execução, elaboração de relatórios mensais de andamento, controle de medições e documentações, interface permanente com a fiscalização municipal, gestão de pessoal, materiais e equipamentos, e todas as atividades administrativas necessárias ao bom andamento da obra.</w:t>
      </w:r>
    </w:p>
    <w:p w14:paraId="4D7526D5"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6.11 - Requisitos para Instalação de Canteiro</w:t>
      </w:r>
    </w:p>
    <w:p w14:paraId="225F9624"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 instalação do canteiro de obras deverá incluir implantação de estruturas provisórias necessárias (escritório, vestiários, sanitários, refeitório, almoxarifado), instalações de água, energia elétrica e telefonia, áreas de estocagem de materiais adequadamente protegidas, guarita de controle de acesso, sinalização adequada, e todas as instalações necessárias ao funcionamento adequado da obra.</w:t>
      </w:r>
    </w:p>
    <w:p w14:paraId="480FB7F9"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6.12 - Requisitos para Mobilização e Desmobilização</w:t>
      </w:r>
    </w:p>
    <w:p w14:paraId="1E119D95"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A mobilização deverá incluir transporte de todos os equipamentos necessários até o canteiro de obras, instalação e preparação dos equipamentos para funcionamento, transporte de pessoal técnico e operacional, e todas as atividades necessárias ao início efetivo da obra. A desmobilização deverá incluir desmontagem das instalações provisórias, transporte dos equipamentos de volta à base da contratada, limpeza final completa do canteiro, e entrega das áreas utilizadas em perfeitas condições.</w:t>
      </w:r>
    </w:p>
    <w:p w14:paraId="24D7139B"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6.13 - Conformidade com Legislação Aplicável</w:t>
      </w:r>
    </w:p>
    <w:p w14:paraId="6A17D6CE"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Todos os serviços deverão estar em conformidade com as normas técnicas do DNIT, DER/PR e ABNT, atender aos requisitos do Código de Trânsito Brasileiro, observar as especificações de serviço do DER/PR (ES-PA-03/23, ES-P-05/2018, ES-P-17/23, ES-P-21/17, ES-P-13/05, ES-SV-03/23, ES-SV-09/23, ES-D-09/18, ES-D-05/18, ES-D-04/18), cumprir as normas de segurança do trabalho, atender às exigências de licenciamento ambiental (IAT), e contribuir para o desenvolvimento regional sustentável.</w:t>
      </w:r>
    </w:p>
    <w:p w14:paraId="2F989133"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6.14 - Vigência Contratual</w:t>
      </w:r>
    </w:p>
    <w:p w14:paraId="0B072EBE" w14:textId="5C2A5D72"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 xml:space="preserve">O contrato terá vigência de </w:t>
      </w:r>
      <w:r w:rsidR="008460A2">
        <w:rPr>
          <w:rFonts w:eastAsia="Times New Roman" w:cstheme="minorHAnsi"/>
          <w:lang w:eastAsia="pt-BR"/>
        </w:rPr>
        <w:t>360</w:t>
      </w:r>
      <w:r w:rsidRPr="00840FDB">
        <w:rPr>
          <w:rFonts w:eastAsia="Times New Roman" w:cstheme="minorHAnsi"/>
          <w:lang w:eastAsia="pt-BR"/>
        </w:rPr>
        <w:t xml:space="preserve"> (</w:t>
      </w:r>
      <w:r w:rsidR="008460A2">
        <w:rPr>
          <w:rFonts w:eastAsia="Times New Roman" w:cstheme="minorHAnsi"/>
          <w:lang w:eastAsia="pt-BR"/>
        </w:rPr>
        <w:t>trezentos e sessenta)</w:t>
      </w:r>
      <w:r w:rsidRPr="00840FDB">
        <w:rPr>
          <w:rFonts w:eastAsia="Times New Roman" w:cstheme="minorHAnsi"/>
          <w:lang w:eastAsia="pt-BR"/>
        </w:rPr>
        <w:t xml:space="preserve"> </w:t>
      </w:r>
      <w:r w:rsidR="008460A2">
        <w:rPr>
          <w:rFonts w:eastAsia="Times New Roman" w:cstheme="minorHAnsi"/>
          <w:lang w:eastAsia="pt-BR"/>
        </w:rPr>
        <w:t>dias</w:t>
      </w:r>
      <w:r w:rsidRPr="00840FDB">
        <w:rPr>
          <w:rFonts w:eastAsia="Times New Roman" w:cstheme="minorHAnsi"/>
          <w:lang w:eastAsia="pt-BR"/>
        </w:rPr>
        <w:t>, contados a partir da data de sua assinatura, com possibilidade de prorrogação conforme art. 107 da Lei nº 14.133/2021.</w:t>
      </w:r>
    </w:p>
    <w:p w14:paraId="2D98E101"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6.15 - Garantia</w:t>
      </w:r>
    </w:p>
    <w:p w14:paraId="5CFC9CC2"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Os serviços deverão ter prazo mínimo de garantia conforme estabelecido na legislação aplicável (art. 12 da Lei 14.133/2021 estabelece garantia mínima de 5 anos para pavimentação asfáltica), com responsabilidade da contratada pela correção de vícios e defeitos que se manifestarem no período de garantia, reparo ou refazimento de serviços defeituosos sem ônus adicional para a Administração, e responsabilidade integral pela qualidade e durabilidade dos serviços executados.</w:t>
      </w:r>
    </w:p>
    <w:p w14:paraId="62169D8F"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6.16 - Prazos de Execução</w:t>
      </w:r>
    </w:p>
    <w:p w14:paraId="18A7640C" w14:textId="77456618"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 xml:space="preserve">O prazo para execução completa dos serviços será de </w:t>
      </w:r>
      <w:r w:rsidR="008460A2">
        <w:rPr>
          <w:rFonts w:eastAsia="Times New Roman" w:cstheme="minorHAnsi"/>
          <w:lang w:eastAsia="pt-BR"/>
        </w:rPr>
        <w:t>180</w:t>
      </w:r>
      <w:r w:rsidRPr="00840FDB">
        <w:rPr>
          <w:rFonts w:eastAsia="Times New Roman" w:cstheme="minorHAnsi"/>
          <w:lang w:eastAsia="pt-BR"/>
        </w:rPr>
        <w:t xml:space="preserve"> (</w:t>
      </w:r>
      <w:r w:rsidR="008460A2">
        <w:rPr>
          <w:rFonts w:eastAsia="Times New Roman" w:cstheme="minorHAnsi"/>
          <w:lang w:eastAsia="pt-BR"/>
        </w:rPr>
        <w:t>cento e oitenta</w:t>
      </w:r>
      <w:r w:rsidRPr="00840FDB">
        <w:rPr>
          <w:rFonts w:eastAsia="Times New Roman" w:cstheme="minorHAnsi"/>
          <w:lang w:eastAsia="pt-BR"/>
        </w:rPr>
        <w:t xml:space="preserve">) dias corridos, contados a partir da emissão da ordem de serviço, com cronograma físico-financeiro detalhado em </w:t>
      </w:r>
      <w:r w:rsidR="008460A2">
        <w:rPr>
          <w:rFonts w:eastAsia="Times New Roman" w:cstheme="minorHAnsi"/>
          <w:lang w:eastAsia="pt-BR"/>
        </w:rPr>
        <w:t>6</w:t>
      </w:r>
      <w:r w:rsidRPr="00840FDB">
        <w:rPr>
          <w:rFonts w:eastAsia="Times New Roman" w:cstheme="minorHAnsi"/>
          <w:lang w:eastAsia="pt-BR"/>
        </w:rPr>
        <w:t xml:space="preserve"> (</w:t>
      </w:r>
      <w:r w:rsidR="008460A2">
        <w:rPr>
          <w:rFonts w:eastAsia="Times New Roman" w:cstheme="minorHAnsi"/>
          <w:lang w:eastAsia="pt-BR"/>
        </w:rPr>
        <w:t>seis</w:t>
      </w:r>
      <w:r w:rsidRPr="00840FDB">
        <w:rPr>
          <w:rFonts w:eastAsia="Times New Roman" w:cstheme="minorHAnsi"/>
          <w:lang w:eastAsia="pt-BR"/>
        </w:rPr>
        <w:t>) etapas conforme planejamento técnico</w:t>
      </w:r>
      <w:r w:rsidR="008460A2">
        <w:rPr>
          <w:rFonts w:eastAsia="Times New Roman" w:cstheme="minorHAnsi"/>
          <w:lang w:eastAsia="pt-BR"/>
        </w:rPr>
        <w:t xml:space="preserve"> que consta no cronograma físico e financeiro.</w:t>
      </w:r>
    </w:p>
    <w:p w14:paraId="68B5E5D1"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6.17 - Habilitação Jurídica, Fiscal e Trabalhista</w:t>
      </w:r>
    </w:p>
    <w:p w14:paraId="253E6B61"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Os licitantes deverão apresentar documentação de habilitação jurídica (registro comercial, atos constitutivos, certificados de regularidade), fiscal (certidões de regularidade com a Fazenda Federal, Estadual e Municipal), e trabalhista (Certificado de Regularidade do FGTS - CRF e Certidão Negativa de Débitos Trabalhistas - CNDT).</w:t>
      </w:r>
    </w:p>
    <w:p w14:paraId="66AA23A8"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6.18 - Critérios Econômico-Financeiros</w:t>
      </w:r>
    </w:p>
    <w:p w14:paraId="2826BF72"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lang w:eastAsia="pt-BR"/>
        </w:rPr>
        <w:t>Serão exigidos critérios econômico-financeiros compatíveis com o objeto e valor da contratação, incluindo balanço patrimonial, demonstrações contábeis, certidão negativa de falência e recuperação judicial, e comprovação de capital social ou patrimônio líquido mínimo compatível com o valor estimado da contratação (mínimo de 10% do valor estimado).</w:t>
      </w:r>
    </w:p>
    <w:p w14:paraId="718B42F7" w14:textId="77777777" w:rsidR="00D15CA3" w:rsidRPr="00840FDB" w:rsidRDefault="00D15CA3" w:rsidP="00D15CA3">
      <w:pPr>
        <w:spacing w:after="0"/>
        <w:jc w:val="both"/>
        <w:rPr>
          <w:rFonts w:eastAsia="Times New Roman" w:cstheme="minorHAnsi"/>
          <w:lang w:eastAsia="pt-BR"/>
        </w:rPr>
      </w:pPr>
      <w:r w:rsidRPr="00840FDB">
        <w:rPr>
          <w:rFonts w:eastAsia="Times New Roman" w:cstheme="minorHAnsi"/>
          <w:b/>
          <w:bCs/>
          <w:lang w:eastAsia="pt-BR"/>
        </w:rPr>
        <w:t>6.19 - Qualificação Técnica Detalhada</w:t>
      </w:r>
    </w:p>
    <w:p w14:paraId="0694F3AC" w14:textId="77777777" w:rsidR="00D15CA3" w:rsidRPr="00840FDB" w:rsidRDefault="00D15CA3" w:rsidP="00D15CA3">
      <w:pPr>
        <w:numPr>
          <w:ilvl w:val="0"/>
          <w:numId w:val="29"/>
        </w:numPr>
        <w:spacing w:after="0"/>
        <w:jc w:val="both"/>
        <w:rPr>
          <w:rFonts w:eastAsia="Times New Roman" w:cstheme="minorHAnsi"/>
          <w:lang w:eastAsia="pt-BR"/>
        </w:rPr>
      </w:pPr>
      <w:r w:rsidRPr="00840FDB">
        <w:rPr>
          <w:rFonts w:eastAsia="Times New Roman" w:cstheme="minorHAnsi"/>
          <w:b/>
          <w:bCs/>
          <w:lang w:eastAsia="pt-BR"/>
        </w:rPr>
        <w:t>Registro no CREA:</w:t>
      </w:r>
      <w:r w:rsidRPr="00840FDB">
        <w:rPr>
          <w:rFonts w:eastAsia="Times New Roman" w:cstheme="minorHAnsi"/>
          <w:lang w:eastAsia="pt-BR"/>
        </w:rPr>
        <w:t xml:space="preserve"> Comprovação de registro da empresa no Conselho Regional de Engenharia e Agronomia (CREA) com atividade compatível com o objeto (execução de obras de pavimentação asfáltica rodoviária);</w:t>
      </w:r>
    </w:p>
    <w:p w14:paraId="1B54BD5E" w14:textId="5D93DEE6" w:rsidR="00D15CA3" w:rsidRPr="009A06FE" w:rsidRDefault="00D15CA3" w:rsidP="00D15CA3">
      <w:pPr>
        <w:numPr>
          <w:ilvl w:val="0"/>
          <w:numId w:val="29"/>
        </w:numPr>
        <w:spacing w:after="0"/>
        <w:jc w:val="both"/>
        <w:rPr>
          <w:rFonts w:eastAsia="Times New Roman" w:cstheme="minorHAnsi"/>
          <w:color w:val="EE0000"/>
          <w:lang w:eastAsia="pt-BR"/>
        </w:rPr>
      </w:pPr>
      <w:r w:rsidRPr="00840FDB">
        <w:rPr>
          <w:rFonts w:eastAsia="Times New Roman" w:cstheme="minorHAnsi"/>
          <w:b/>
          <w:bCs/>
          <w:lang w:eastAsia="pt-BR"/>
        </w:rPr>
        <w:t>Licenciamento Ambiental da Pedreira:</w:t>
      </w:r>
      <w:r w:rsidRPr="00840FDB">
        <w:rPr>
          <w:rFonts w:eastAsia="Times New Roman" w:cstheme="minorHAnsi"/>
          <w:lang w:eastAsia="pt-BR"/>
        </w:rPr>
        <w:t xml:space="preserve"> Apresentar Licença Ambiental (Licença de Operação) emitida pelo Instituto Água e Terra (IAT) do Paraná da pedreira onde será realizada a extração dos materiais pétreos, em nome da proponente ou de terceiros, constando Razão Social, CNPJ, endereço da pedreira e que a mesma esteja vigente na data do certame. Quando a licença for em nome de terceiros, a proponente deverá apresentar o vínculo entre a proponente e a pedreira licenciada, podendo ser comprovado por meio de contrato de fornecimento, contrato de locação ou outro documento comprobatório do vínculo</w:t>
      </w:r>
      <w:r w:rsidR="000B7118">
        <w:rPr>
          <w:rFonts w:eastAsia="Times New Roman" w:cstheme="minorHAnsi"/>
          <w:lang w:eastAsia="pt-BR"/>
        </w:rPr>
        <w:t xml:space="preserve"> </w:t>
      </w:r>
      <w:r w:rsidR="000B7118" w:rsidRPr="009A06FE">
        <w:rPr>
          <w:rFonts w:eastAsia="Times New Roman" w:cstheme="minorHAnsi"/>
          <w:color w:val="EE0000"/>
          <w:lang w:eastAsia="pt-BR"/>
        </w:rPr>
        <w:t xml:space="preserve">(este licenciamento deverá ser </w:t>
      </w:r>
      <w:r w:rsidR="00B76D3E">
        <w:rPr>
          <w:rFonts w:eastAsia="Times New Roman" w:cstheme="minorHAnsi"/>
          <w:color w:val="EE0000"/>
          <w:lang w:eastAsia="pt-BR"/>
        </w:rPr>
        <w:t>exigido</w:t>
      </w:r>
      <w:r w:rsidR="000B7118" w:rsidRPr="009A06FE">
        <w:rPr>
          <w:rFonts w:eastAsia="Times New Roman" w:cstheme="minorHAnsi"/>
          <w:color w:val="EE0000"/>
          <w:lang w:eastAsia="pt-BR"/>
        </w:rPr>
        <w:t xml:space="preserve"> somente da empresa vencedora deste certame)</w:t>
      </w:r>
      <w:r w:rsidRPr="009A06FE">
        <w:rPr>
          <w:rFonts w:eastAsia="Times New Roman" w:cstheme="minorHAnsi"/>
          <w:color w:val="EE0000"/>
          <w:lang w:eastAsia="pt-BR"/>
        </w:rPr>
        <w:t>;</w:t>
      </w:r>
    </w:p>
    <w:p w14:paraId="1CF17540" w14:textId="7137145B" w:rsidR="00D15CA3" w:rsidRPr="009A06FE" w:rsidRDefault="00D15CA3" w:rsidP="00D15CA3">
      <w:pPr>
        <w:numPr>
          <w:ilvl w:val="0"/>
          <w:numId w:val="29"/>
        </w:numPr>
        <w:spacing w:after="0"/>
        <w:jc w:val="both"/>
        <w:rPr>
          <w:rFonts w:eastAsia="Times New Roman" w:cstheme="minorHAnsi"/>
          <w:color w:val="EE0000"/>
          <w:lang w:eastAsia="pt-BR"/>
        </w:rPr>
      </w:pPr>
      <w:r w:rsidRPr="00840FDB">
        <w:rPr>
          <w:rFonts w:eastAsia="Times New Roman" w:cstheme="minorHAnsi"/>
          <w:b/>
          <w:bCs/>
          <w:lang w:eastAsia="pt-BR"/>
        </w:rPr>
        <w:t>Licenciamento da Usina de Asfalto:</w:t>
      </w:r>
      <w:r w:rsidRPr="00840FDB">
        <w:rPr>
          <w:rFonts w:eastAsia="Times New Roman" w:cstheme="minorHAnsi"/>
          <w:lang w:eastAsia="pt-BR"/>
        </w:rPr>
        <w:t xml:space="preserve"> Apresentar Licença de Operação da Usina de Asfalto emitida pelo Instituto Água e Terra (IAT), constando dados da Usina com: Razão Social, CNPJ, Endereço, validade em vigência. Caso a Usina de Asfalto não seja de propriedade da empresa contratada, apresentar contrato de fornecimento válido entre as partes, garantindo a disponibilização do material para a execução dos serviços. A Usina de asfalto deverá estar localizada a menos de 60 (sessenta) quilômetros do município de Nova Prata do Iguaçu</w:t>
      </w:r>
      <w:r w:rsidR="00B76D3E">
        <w:rPr>
          <w:rFonts w:eastAsia="Times New Roman" w:cstheme="minorHAnsi"/>
          <w:lang w:eastAsia="pt-BR"/>
        </w:rPr>
        <w:t xml:space="preserve"> </w:t>
      </w:r>
      <w:r w:rsidR="000B7118" w:rsidRPr="009A06FE">
        <w:rPr>
          <w:rFonts w:eastAsia="Times New Roman" w:cstheme="minorHAnsi"/>
          <w:color w:val="EE0000"/>
          <w:lang w:eastAsia="pt-BR"/>
        </w:rPr>
        <w:t xml:space="preserve">(esta licença deverá ser </w:t>
      </w:r>
      <w:r w:rsidR="00B76D3E">
        <w:rPr>
          <w:rFonts w:eastAsia="Times New Roman" w:cstheme="minorHAnsi"/>
          <w:color w:val="EE0000"/>
          <w:lang w:eastAsia="pt-BR"/>
        </w:rPr>
        <w:t>exigida</w:t>
      </w:r>
      <w:r w:rsidR="000B7118" w:rsidRPr="009A06FE">
        <w:rPr>
          <w:rFonts w:eastAsia="Times New Roman" w:cstheme="minorHAnsi"/>
          <w:color w:val="EE0000"/>
          <w:lang w:eastAsia="pt-BR"/>
        </w:rPr>
        <w:t xml:space="preserve"> somente da empresa vencedora deste certame)</w:t>
      </w:r>
      <w:r w:rsidRPr="009A06FE">
        <w:rPr>
          <w:rFonts w:eastAsia="Times New Roman" w:cstheme="minorHAnsi"/>
          <w:color w:val="EE0000"/>
          <w:lang w:eastAsia="pt-BR"/>
        </w:rPr>
        <w:t>;</w:t>
      </w:r>
    </w:p>
    <w:p w14:paraId="762BD144" w14:textId="47A782A1" w:rsidR="00D15CA3" w:rsidRPr="00840FDB" w:rsidRDefault="00D15CA3" w:rsidP="00D15CA3">
      <w:pPr>
        <w:numPr>
          <w:ilvl w:val="0"/>
          <w:numId w:val="29"/>
        </w:numPr>
        <w:spacing w:after="0"/>
        <w:jc w:val="both"/>
        <w:rPr>
          <w:rFonts w:eastAsia="Times New Roman" w:cstheme="minorHAnsi"/>
          <w:lang w:eastAsia="pt-BR"/>
        </w:rPr>
      </w:pPr>
      <w:r w:rsidRPr="00840FDB">
        <w:rPr>
          <w:rFonts w:eastAsia="Times New Roman" w:cstheme="minorHAnsi"/>
          <w:b/>
          <w:bCs/>
          <w:lang w:eastAsia="pt-BR"/>
        </w:rPr>
        <w:t>Atestados de capacidade técnica da empresa:</w:t>
      </w:r>
      <w:r w:rsidRPr="00840FDB">
        <w:rPr>
          <w:rFonts w:eastAsia="Times New Roman" w:cstheme="minorHAnsi"/>
          <w:lang w:eastAsia="pt-BR"/>
        </w:rPr>
        <w:t xml:space="preserve"> Comprovação de execução anterior de serviços de pavimentação asfáltica em CBUQ similares, com especificação de quantidades e valores compatíveis com no mínimo 50% (cinquenta por cento) da quantidade máxima prevista para este item no presente certame, ou seja, mínimo de </w:t>
      </w:r>
      <w:r w:rsidR="007C51C4">
        <w:rPr>
          <w:rFonts w:eastAsia="Times New Roman" w:cstheme="minorHAnsi"/>
          <w:lang w:eastAsia="pt-BR"/>
        </w:rPr>
        <w:t>18.729,00</w:t>
      </w:r>
      <w:r w:rsidRPr="00840FDB">
        <w:rPr>
          <w:rFonts w:eastAsia="Times New Roman" w:cstheme="minorHAnsi"/>
          <w:lang w:eastAsia="pt-BR"/>
        </w:rPr>
        <w:t xml:space="preserve"> m² de pavimentação asfáltica em CBUQ;</w:t>
      </w:r>
    </w:p>
    <w:p w14:paraId="0A0826AD" w14:textId="77777777" w:rsidR="00D15CA3" w:rsidRPr="00840FDB" w:rsidRDefault="00D15CA3" w:rsidP="00D15CA3">
      <w:pPr>
        <w:numPr>
          <w:ilvl w:val="0"/>
          <w:numId w:val="29"/>
        </w:numPr>
        <w:spacing w:after="0"/>
        <w:jc w:val="both"/>
        <w:rPr>
          <w:rFonts w:eastAsia="Times New Roman" w:cstheme="minorHAnsi"/>
          <w:lang w:eastAsia="pt-BR"/>
        </w:rPr>
      </w:pPr>
      <w:r w:rsidRPr="00840FDB">
        <w:rPr>
          <w:rFonts w:eastAsia="Times New Roman" w:cstheme="minorHAnsi"/>
          <w:b/>
          <w:bCs/>
          <w:lang w:eastAsia="pt-BR"/>
        </w:rPr>
        <w:t>Responsável técnico:</w:t>
      </w:r>
      <w:r w:rsidRPr="00840FDB">
        <w:rPr>
          <w:rFonts w:eastAsia="Times New Roman" w:cstheme="minorHAnsi"/>
          <w:lang w:eastAsia="pt-BR"/>
        </w:rPr>
        <w:t xml:space="preserve"> Indicação de responsável técnico (Engenheiro Civil) devidamente habilitado no CREA, com comprovação de vínculo profissional com a empresa e atestado de capacidade técnica individual em pavimentação asfáltica;</w:t>
      </w:r>
    </w:p>
    <w:p w14:paraId="75C06FD2" w14:textId="77777777" w:rsidR="00D15CA3" w:rsidRPr="00840FDB" w:rsidRDefault="00D15CA3" w:rsidP="00D15CA3">
      <w:pPr>
        <w:numPr>
          <w:ilvl w:val="0"/>
          <w:numId w:val="29"/>
        </w:numPr>
        <w:spacing w:after="0"/>
        <w:jc w:val="both"/>
        <w:rPr>
          <w:rFonts w:eastAsia="Times New Roman" w:cstheme="minorHAnsi"/>
          <w:lang w:eastAsia="pt-BR"/>
        </w:rPr>
      </w:pPr>
      <w:r w:rsidRPr="00840FDB">
        <w:rPr>
          <w:rFonts w:eastAsia="Times New Roman" w:cstheme="minorHAnsi"/>
          <w:b/>
          <w:bCs/>
          <w:lang w:eastAsia="pt-BR"/>
        </w:rPr>
        <w:t>Certidões criminais:</w:t>
      </w:r>
      <w:r w:rsidRPr="00840FDB">
        <w:rPr>
          <w:rFonts w:eastAsia="Times New Roman" w:cstheme="minorHAnsi"/>
          <w:lang w:eastAsia="pt-BR"/>
        </w:rPr>
        <w:t xml:space="preserve"> Certidões negativas de antecedentes criminais dos responsáveis técnicos e sócios da empresa, expedidas pelos Foros Estadual e Federal dos domicílios dos últimos 5 (cinco) anos, com prazo de validade em vigor;</w:t>
      </w:r>
    </w:p>
    <w:p w14:paraId="728EB53C" w14:textId="77777777" w:rsidR="00D15CA3" w:rsidRPr="00840FDB" w:rsidRDefault="00D15CA3" w:rsidP="00D15CA3">
      <w:pPr>
        <w:numPr>
          <w:ilvl w:val="0"/>
          <w:numId w:val="29"/>
        </w:numPr>
        <w:spacing w:after="0"/>
        <w:jc w:val="both"/>
        <w:rPr>
          <w:rFonts w:eastAsia="Times New Roman" w:cstheme="minorHAnsi"/>
          <w:lang w:eastAsia="pt-BR"/>
        </w:rPr>
      </w:pPr>
      <w:r w:rsidRPr="00840FDB">
        <w:rPr>
          <w:rFonts w:eastAsia="Times New Roman" w:cstheme="minorHAnsi"/>
          <w:b/>
          <w:bCs/>
          <w:lang w:eastAsia="pt-BR"/>
        </w:rPr>
        <w:t>Visita técnica:</w:t>
      </w:r>
      <w:r w:rsidRPr="00840FDB">
        <w:rPr>
          <w:rFonts w:eastAsia="Times New Roman" w:cstheme="minorHAnsi"/>
          <w:lang w:eastAsia="pt-BR"/>
        </w:rPr>
        <w:t xml:space="preserve"> Facultada a realização de visita técnica ao local das obras, com emissão de atestado de visita pela Administração quando realizada. A não realização da visita técnica não constituirá impedimento para participação, mas o licitante deverá apresentar declaração de conhecimento das condições locais, assumindo total responsabilidade por eventuais custos ou dificuldades decorrentes de particularidades do local não previstas.</w:t>
      </w:r>
    </w:p>
    <w:p w14:paraId="00E0571D" w14:textId="07438B64"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76D93E9A">
          <v:rect id="_x0000_i1032" style="width:0;height:1.5pt" o:hralign="center" o:hrstd="t" o:hr="t" fillcolor="#a0a0a0" stroked="f"/>
        </w:pict>
      </w:r>
      <w:r w:rsidR="00EB2BC7" w:rsidRPr="00EB2BC7">
        <w:rPr>
          <w:rFonts w:eastAsia="Times New Roman" w:cstheme="minorHAnsi"/>
          <w:b/>
          <w:bCs/>
          <w:lang w:eastAsia="pt-BR"/>
        </w:rPr>
        <w:t>7. LEVANTAMENTO DE MERCADO</w:t>
      </w:r>
    </w:p>
    <w:p w14:paraId="43727876" w14:textId="6D7183B7" w:rsidR="00333F13" w:rsidRPr="00840FDB" w:rsidRDefault="00333F13" w:rsidP="00333F13">
      <w:pPr>
        <w:spacing w:after="0"/>
        <w:jc w:val="both"/>
        <w:rPr>
          <w:rFonts w:eastAsia="Times New Roman" w:cstheme="minorHAnsi"/>
          <w:lang w:eastAsia="pt-BR"/>
        </w:rPr>
      </w:pPr>
      <w:r>
        <w:rPr>
          <w:rFonts w:eastAsia="Times New Roman" w:cstheme="minorHAnsi"/>
          <w:b/>
          <w:bCs/>
          <w:lang w:eastAsia="pt-BR"/>
        </w:rPr>
        <w:t xml:space="preserve">7.1. </w:t>
      </w:r>
      <w:r w:rsidRPr="00840FDB">
        <w:rPr>
          <w:rFonts w:eastAsia="Times New Roman" w:cstheme="minorHAnsi"/>
          <w:b/>
          <w:bCs/>
          <w:lang w:eastAsia="pt-BR"/>
        </w:rPr>
        <w:t>Panorama Geral do Mercado</w:t>
      </w:r>
    </w:p>
    <w:p w14:paraId="198414DF" w14:textId="77777777" w:rsidR="00333F13" w:rsidRPr="00840FDB" w:rsidRDefault="00333F13" w:rsidP="00333F13">
      <w:pPr>
        <w:spacing w:after="0"/>
        <w:jc w:val="both"/>
        <w:rPr>
          <w:rFonts w:eastAsia="Times New Roman" w:cstheme="minorHAnsi"/>
          <w:lang w:eastAsia="pt-BR"/>
        </w:rPr>
      </w:pPr>
      <w:r w:rsidRPr="00840FDB">
        <w:rPr>
          <w:rFonts w:eastAsia="Times New Roman" w:cstheme="minorHAnsi"/>
          <w:lang w:eastAsia="pt-BR"/>
        </w:rPr>
        <w:t xml:space="preserve">O mercado de obras de pavimentação asfáltica rodoviária apresenta ampla disponibilidade de empresas especializadas na Região Sul, com construtoras consolidadas oferecendo serviços diversificados que atendem às necessidades específicas de obras viárias. O segmento caracteriza-se pela presença de empresas de médio e grande porte com capacidade técnica e operacional adequada, equipamentos próprios ou facilmente mobilizáveis (usinas de asfalto, </w:t>
      </w:r>
      <w:proofErr w:type="spellStart"/>
      <w:r w:rsidRPr="00840FDB">
        <w:rPr>
          <w:rFonts w:eastAsia="Times New Roman" w:cstheme="minorHAnsi"/>
          <w:lang w:eastAsia="pt-BR"/>
        </w:rPr>
        <w:t>vibroacabadoras</w:t>
      </w:r>
      <w:proofErr w:type="spellEnd"/>
      <w:r w:rsidRPr="00840FDB">
        <w:rPr>
          <w:rFonts w:eastAsia="Times New Roman" w:cstheme="minorHAnsi"/>
          <w:lang w:eastAsia="pt-BR"/>
        </w:rPr>
        <w:t>, rolos compactadores), experiência comprovada em execução de obras similares para órgãos públicos conforme normas do DER/PR e DNIT, e infraestrutura necessária (pedreiras licenciadas, usinas de asfalto devidamente autorizadas). A pesquisa de mercado realizada identificou diversos fornecedores aptos a atender integralmente ao objeto da contratação, com propostas que variam em metodologia, prazos e valores de acordo com a estrutura de cada empresa.</w:t>
      </w:r>
    </w:p>
    <w:p w14:paraId="7B2165DB" w14:textId="77777777" w:rsidR="00333F13" w:rsidRPr="00840FDB" w:rsidRDefault="00333F13" w:rsidP="00333F13">
      <w:pPr>
        <w:spacing w:after="0"/>
        <w:jc w:val="both"/>
        <w:rPr>
          <w:rFonts w:eastAsia="Times New Roman" w:cstheme="minorHAnsi"/>
          <w:lang w:eastAsia="pt-BR"/>
        </w:rPr>
      </w:pPr>
      <w:r w:rsidRPr="00840FDB">
        <w:rPr>
          <w:rFonts w:eastAsia="Times New Roman" w:cstheme="minorHAnsi"/>
          <w:b/>
          <w:bCs/>
          <w:lang w:eastAsia="pt-BR"/>
        </w:rPr>
        <w:t>7.2 - Justificativa da Escolha Técnica</w:t>
      </w:r>
    </w:p>
    <w:p w14:paraId="4B4D8143" w14:textId="77777777" w:rsidR="00333F13" w:rsidRPr="00840FDB" w:rsidRDefault="00333F13" w:rsidP="00333F13">
      <w:pPr>
        <w:spacing w:after="0"/>
        <w:jc w:val="both"/>
        <w:rPr>
          <w:rFonts w:eastAsia="Times New Roman" w:cstheme="minorHAnsi"/>
          <w:lang w:eastAsia="pt-BR"/>
        </w:rPr>
      </w:pPr>
      <w:r w:rsidRPr="00840FDB">
        <w:rPr>
          <w:rFonts w:eastAsia="Times New Roman" w:cstheme="minorHAnsi"/>
          <w:lang w:eastAsia="pt-BR"/>
        </w:rPr>
        <w:t xml:space="preserve">A escolha pelas especificações técnicas adotadas baseou-se em critérios que privilegiam a durabilidade do pavimento, adequação às condições de tráfego regional (incluindo veículos pesados de transporte de produção agrícola), conformidade com normas técnicas do DER/PR e DNIT (especialmente ES-PA-03/23, ES-P-05/2018, ES-P-17/23, ES-P-21/17, ES-P-13/05), economicidade na execução e manutenção futura, comprovada eficiência técnica através de dimensionamento </w:t>
      </w:r>
      <w:proofErr w:type="spellStart"/>
      <w:r w:rsidRPr="00840FDB">
        <w:rPr>
          <w:rFonts w:eastAsia="Times New Roman" w:cstheme="minorHAnsi"/>
          <w:lang w:eastAsia="pt-BR"/>
        </w:rPr>
        <w:t>deflectométrico</w:t>
      </w:r>
      <w:proofErr w:type="spellEnd"/>
      <w:r w:rsidRPr="00840FDB">
        <w:rPr>
          <w:rFonts w:eastAsia="Times New Roman" w:cstheme="minorHAnsi"/>
          <w:lang w:eastAsia="pt-BR"/>
        </w:rPr>
        <w:t xml:space="preserve"> conforme DNER PRO 11/79, e experiências bem-sucedidas em rodovias da região. As especificações representam o melhor custo-benefício identificado, considerando a relação entre qualidade, durabilidade, funcionalidade e investimento necessário, além de atenderem às particularidades do trecho que possui atualmente pavimentação poliédrica com deflexões excessivas que necessitam correção através de remendos profundos e reforço estrutural adequado.</w:t>
      </w:r>
    </w:p>
    <w:p w14:paraId="357425ED" w14:textId="5372D16E"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58B92FFD">
          <v:rect id="_x0000_i1033" style="width:0;height:1.5pt" o:hralign="center" o:hrstd="t" o:hr="t" fillcolor="#a0a0a0" stroked="f"/>
        </w:pict>
      </w:r>
      <w:r w:rsidR="00EB2BC7" w:rsidRPr="00EB2BC7">
        <w:rPr>
          <w:rFonts w:eastAsia="Times New Roman" w:cstheme="minorHAnsi"/>
          <w:b/>
          <w:bCs/>
          <w:lang w:eastAsia="pt-BR"/>
        </w:rPr>
        <w:t>8. DESCRIÇÃO DA SOLUÇÃO COMO UM TODO</w:t>
      </w:r>
    </w:p>
    <w:p w14:paraId="12428772"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8.1 - Definição da Solução Adotada</w:t>
      </w:r>
    </w:p>
    <w:p w14:paraId="1D52CCED" w14:textId="34FBD1BA" w:rsidR="00333F13" w:rsidRPr="00840FDB" w:rsidRDefault="00333F13" w:rsidP="00855728">
      <w:pPr>
        <w:spacing w:after="0"/>
        <w:jc w:val="both"/>
        <w:rPr>
          <w:rFonts w:eastAsia="Times New Roman" w:cstheme="minorHAnsi"/>
          <w:lang w:eastAsia="pt-BR"/>
        </w:rPr>
      </w:pPr>
      <w:r w:rsidRPr="00840FDB">
        <w:rPr>
          <w:rFonts w:eastAsia="Times New Roman" w:cstheme="minorHAnsi"/>
          <w:lang w:eastAsia="pt-BR"/>
        </w:rPr>
        <w:t xml:space="preserve">Com base no estudo técnico realizado, </w:t>
      </w:r>
      <w:r w:rsidR="007C51C4">
        <w:rPr>
          <w:rFonts w:eastAsia="Times New Roman" w:cstheme="minorHAnsi"/>
          <w:lang w:eastAsia="pt-BR"/>
        </w:rPr>
        <w:t>através da análise do CBR – ÍNDICE DE SUPORTE CALIFÔRNIA</w:t>
      </w:r>
      <w:r w:rsidRPr="00840FDB">
        <w:rPr>
          <w:rFonts w:eastAsia="Times New Roman" w:cstheme="minorHAnsi"/>
          <w:lang w:eastAsia="pt-BR"/>
        </w:rPr>
        <w:t>, nas necessidades identificadas e no memorial descritivo do projeto, a solução mais viável consiste na execução completa de pavimentação asfáltica, contemplando todas as etapas necessárias desde os serviços preliminares até a conclusão final com sinalização viária. A solução integrada especifica os seguintes componentes principais:</w:t>
      </w:r>
    </w:p>
    <w:p w14:paraId="0C8C4F88"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Serviços Preliminares</w:t>
      </w:r>
      <w:r w:rsidRPr="00840FDB">
        <w:rPr>
          <w:rFonts w:eastAsia="Times New Roman" w:cstheme="minorHAnsi"/>
          <w:lang w:eastAsia="pt-BR"/>
        </w:rPr>
        <w:t xml:space="preserve"> incluindo instalação de placa de obra conforme padrões estabelecidos (4,00m x 2,00m em chapa galvanizada adesivada conforme manual de identidade visual), placa do responsável técnico e da contratada, estaqueamento lateral ao longo da via com sarrafos de madeira (1,5 cm x 3 cm x 80 cm) pintados na parte superior em branco com indicação do estaqueamento em vermelho, e todos os demais serviços preliminares necessários;</w:t>
      </w:r>
    </w:p>
    <w:p w14:paraId="7DD3C70E" w14:textId="627A7E79"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Remendos Profundos</w:t>
      </w:r>
      <w:r w:rsidRPr="00840FDB">
        <w:rPr>
          <w:rFonts w:eastAsia="Times New Roman" w:cstheme="minorHAnsi"/>
          <w:lang w:eastAsia="pt-BR"/>
        </w:rPr>
        <w:t xml:space="preserve"> compreendendo identificação e correção dos pontos críticos através de demolição do pavimento poliédrico existente nos locais indicados em projeto (totalizando aproximadamente </w:t>
      </w:r>
      <w:r w:rsidR="007C51C4">
        <w:rPr>
          <w:rFonts w:eastAsia="Times New Roman" w:cstheme="minorHAnsi"/>
          <w:lang w:eastAsia="pt-BR"/>
        </w:rPr>
        <w:t>750,00</w:t>
      </w:r>
      <w:r w:rsidRPr="00840FDB">
        <w:rPr>
          <w:rFonts w:eastAsia="Times New Roman" w:cstheme="minorHAnsi"/>
          <w:lang w:eastAsia="pt-BR"/>
        </w:rPr>
        <w:t xml:space="preserve"> m³), inspeção visual do subleito em busca de pontos com umidade excessiva ("borrachudos"), remoção completa do solo saturado, preenchimento com macadame seco composto por materiais de diversas granulometrias (rachão, pedra nº 3, pedra nº 2, pedra nº 1) em camadas de espessura média de 30 cm devidamente compactadas, conforme DER/PR ES-PA-03/23 e DER/PR ES-P-13/05;</w:t>
      </w:r>
    </w:p>
    <w:p w14:paraId="40885C32" w14:textId="1C85BC22"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Base em Brita Graduada Simples (BGS)</w:t>
      </w:r>
      <w:r w:rsidRPr="00840FDB">
        <w:rPr>
          <w:rFonts w:eastAsia="Times New Roman" w:cstheme="minorHAnsi"/>
          <w:lang w:eastAsia="pt-BR"/>
        </w:rPr>
        <w:t xml:space="preserve"> englobando execução de camada de BGS sobre toda a extensão do trecho (seja sobre os remendos profundos ou sobre o pavimento poliédrico existente), com composição granulométrica enquadrada na Faixa II do DER/PR, espessura média de 15 cm após compactação (permitindo correção de praticamente 100% das deformações permanentes e proporcionando </w:t>
      </w:r>
      <w:proofErr w:type="spellStart"/>
      <w:r w:rsidRPr="00840FDB">
        <w:rPr>
          <w:rFonts w:eastAsia="Times New Roman" w:cstheme="minorHAnsi"/>
          <w:lang w:eastAsia="pt-BR"/>
        </w:rPr>
        <w:t>reperfilagem</w:t>
      </w:r>
      <w:proofErr w:type="spellEnd"/>
      <w:r w:rsidRPr="00840FDB">
        <w:rPr>
          <w:rFonts w:eastAsia="Times New Roman" w:cstheme="minorHAnsi"/>
          <w:lang w:eastAsia="pt-BR"/>
        </w:rPr>
        <w:t xml:space="preserve"> e acréscimo estrutural), largura da plataforma com bordas trapezoidais (largura inferior de </w:t>
      </w:r>
      <w:r w:rsidR="007C51C4">
        <w:rPr>
          <w:rFonts w:eastAsia="Times New Roman" w:cstheme="minorHAnsi"/>
          <w:lang w:eastAsia="pt-BR"/>
        </w:rPr>
        <w:t>7,00</w:t>
      </w:r>
      <w:r w:rsidRPr="00840FDB">
        <w:rPr>
          <w:rFonts w:eastAsia="Times New Roman" w:cstheme="minorHAnsi"/>
          <w:lang w:eastAsia="pt-BR"/>
        </w:rPr>
        <w:t xml:space="preserve"> metros e largura superior de 6,00 metros), espalhamento com motoniveladora e compactação com rolo compactador autopropelido, atendendo à ES-P-05/2018 DER/PR;</w:t>
      </w:r>
    </w:p>
    <w:p w14:paraId="4A45CA99" w14:textId="6843E4AC"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Revestimento Asfáltico</w:t>
      </w:r>
      <w:r w:rsidRPr="00840FDB">
        <w:rPr>
          <w:rFonts w:eastAsia="Times New Roman" w:cstheme="minorHAnsi"/>
          <w:lang w:eastAsia="pt-BR"/>
        </w:rPr>
        <w:t xml:space="preserve"> compreendendo pintura de imprimação com EAI (Emulsão Asfáltica de Imprimação) sobre a camada de base na taxa de 1,2 l/m² (determinada experimentalmente variando de 0,8 a 1,7 l/m²) aplicada com caminhão espargidor através de barra sobre toda a largura da plataforma (</w:t>
      </w:r>
      <w:r w:rsidR="007C51C4">
        <w:rPr>
          <w:rFonts w:eastAsia="Times New Roman" w:cstheme="minorHAnsi"/>
          <w:lang w:eastAsia="pt-BR"/>
        </w:rPr>
        <w:t>7,00M</w:t>
      </w:r>
      <w:r w:rsidRPr="00840FDB">
        <w:rPr>
          <w:rFonts w:eastAsia="Times New Roman" w:cstheme="minorHAnsi"/>
          <w:lang w:eastAsia="pt-BR"/>
        </w:rPr>
        <w:t xml:space="preserve">), com isolamento do trecho por pelo menos 48 horas para cura; pintura de ligação com emulsão RR-1C na taxa de 0,5 l/m² (variando entre 0,5 a 0,8 l/m²) aplicada apenas na largura da pista a receber CBUQ (6,00 metros); fornecimento e aplicação de CBUQ (Concreto Betuminoso Usinado a Quente) utilizando cimento asfáltico CAP 50/70 conforme Resolução ANP nº 19/2005, faixa granulométrica "C" conforme DER/PR ES-P-21/17 ou DNIT, produzido em usina apropriada devidamente licenciada pelo IAT localizada a menos de 60 km do município, temperatura de aplicação entre 140°C e 160°C, espalhamento com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equipada com sistema de nivelamento eletrônico, compactação com rolos compactadores (liso tandem e pneumático) até atingir grau de compactação especificado, espessura da camada de 5,0 cm após compactação (determinada através de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conforme DNER PRO 11/79 considerando o pavimento poliédrico existente como camada de suporte), largura de 6,00 metros, acabamento superficial liso e uniforme;</w:t>
      </w:r>
    </w:p>
    <w:p w14:paraId="727A20A7" w14:textId="0B4148AA"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Sistema de Drenagem Pluvial</w:t>
      </w:r>
      <w:r w:rsidRPr="00840FDB">
        <w:rPr>
          <w:rFonts w:eastAsia="Times New Roman" w:cstheme="minorHAnsi"/>
          <w:lang w:eastAsia="pt-BR"/>
        </w:rPr>
        <w:t xml:space="preserve"> abrangendo limpeza mecanizada de terreno e drenagem superficial com execução de vala lateral em ambos os lados mantendo o sistema existente e efetuando desconfinamento dos bordos, execução de bueiros simples tubulares de concreto (BSTC) transversais à pista nos diâmetros Ø </w:t>
      </w:r>
      <w:r w:rsidR="007C51C4">
        <w:rPr>
          <w:rFonts w:eastAsia="Times New Roman" w:cstheme="minorHAnsi"/>
          <w:lang w:eastAsia="pt-BR"/>
        </w:rPr>
        <w:t>1000</w:t>
      </w:r>
      <w:r w:rsidRPr="00840FDB">
        <w:rPr>
          <w:rFonts w:eastAsia="Times New Roman" w:cstheme="minorHAnsi"/>
          <w:lang w:eastAsia="pt-BR"/>
        </w:rPr>
        <w:t xml:space="preserve"> mm e Ø </w:t>
      </w:r>
      <w:r w:rsidR="007C51C4">
        <w:rPr>
          <w:rFonts w:eastAsia="Times New Roman" w:cstheme="minorHAnsi"/>
          <w:lang w:eastAsia="pt-BR"/>
        </w:rPr>
        <w:t>2000 mm</w:t>
      </w:r>
      <w:r w:rsidRPr="00840FDB">
        <w:rPr>
          <w:rFonts w:eastAsia="Times New Roman" w:cstheme="minorHAnsi"/>
          <w:lang w:eastAsia="pt-BR"/>
        </w:rPr>
        <w:t xml:space="preserve"> com inclinação de 2% instalados sobre berço adequado, bocas de bueiro simples Ø </w:t>
      </w:r>
      <w:r w:rsidR="007C51C4">
        <w:rPr>
          <w:rFonts w:eastAsia="Times New Roman" w:cstheme="minorHAnsi"/>
          <w:lang w:eastAsia="pt-BR"/>
        </w:rPr>
        <w:t>1000</w:t>
      </w:r>
      <w:r w:rsidRPr="00840FDB">
        <w:rPr>
          <w:rFonts w:eastAsia="Times New Roman" w:cstheme="minorHAnsi"/>
          <w:lang w:eastAsia="pt-BR"/>
        </w:rPr>
        <w:t xml:space="preserve"> mm</w:t>
      </w:r>
      <w:r w:rsidR="007C51C4">
        <w:rPr>
          <w:rFonts w:eastAsia="Times New Roman" w:cstheme="minorHAnsi"/>
          <w:lang w:eastAsia="pt-BR"/>
        </w:rPr>
        <w:t xml:space="preserve">, </w:t>
      </w:r>
      <w:r w:rsidRPr="00840FDB">
        <w:rPr>
          <w:rFonts w:eastAsia="Times New Roman" w:cstheme="minorHAnsi"/>
          <w:lang w:eastAsia="pt-BR"/>
        </w:rPr>
        <w:t xml:space="preserve">bocas de bueiro simples Ø </w:t>
      </w:r>
      <w:r w:rsidR="007C51C4">
        <w:rPr>
          <w:rFonts w:eastAsia="Times New Roman" w:cstheme="minorHAnsi"/>
          <w:lang w:eastAsia="pt-BR"/>
        </w:rPr>
        <w:t>20</w:t>
      </w:r>
      <w:r w:rsidRPr="00840FDB">
        <w:rPr>
          <w:rFonts w:eastAsia="Times New Roman" w:cstheme="minorHAnsi"/>
          <w:lang w:eastAsia="pt-BR"/>
        </w:rPr>
        <w:t>00 mm , recomposição do pavimento nos locais de instalação dos dispositivos através de remendos profundos, seguindo Álbum de Dispositivos de Drenagem do DER/PR e especificações ES-D-09/18, ES-D-05/18 e ES-D-04/18;</w:t>
      </w:r>
    </w:p>
    <w:p w14:paraId="52439509"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Sinalização de Trânsito</w:t>
      </w:r>
      <w:r w:rsidRPr="00840FDB">
        <w:rPr>
          <w:rFonts w:eastAsia="Times New Roman" w:cstheme="minorHAnsi"/>
          <w:lang w:eastAsia="pt-BR"/>
        </w:rPr>
        <w:t xml:space="preserve"> incluindo execução de faixas de sinalização horizontal (linhas de divisão de fluxos opostos na cor amarela com 10 cm de largura em linha dupla contínua nos trechos de proibição de ultrapassagem com ênfase, linhas de bordo na cor branca com 10 cm de largura em linha simples contínua ao longo das bordas em ambos os sentidos) com tinta resina acrílica base solvente de alta refletividade aplicada em espessura mínima de 0,6 mm com taxa de 0,6 l/m² e microesferas de vidro, fornecimento e instalação de placas de sinalização vertical (regulamentação, advertência e indicação) confeccionadas em chapas galvanizadas com película refletiva, suportes em tubo de aço galvanizado com fundação em concreto, conforme Manual de Sinalização do CONTRAN e especificações DER/PR ES-SV-03/23 e ES-SV-09/23;</w:t>
      </w:r>
    </w:p>
    <w:p w14:paraId="05B9698B" w14:textId="10C65670"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Serviços Complementares</w:t>
      </w:r>
      <w:r w:rsidRPr="00840FDB">
        <w:rPr>
          <w:rFonts w:eastAsia="Times New Roman" w:cstheme="minorHAnsi"/>
          <w:lang w:eastAsia="pt-BR"/>
        </w:rPr>
        <w:t xml:space="preserve"> compreendendo limpeza mecanizada de terreno em ambos os lados da pista até profundidade de 0,20 m, aparamento de galhos de árvores mantendo altura livre de 6,00 m acima do nível da pista, </w:t>
      </w:r>
      <w:r w:rsidR="007C51C4">
        <w:rPr>
          <w:rFonts w:eastAsia="Times New Roman" w:cstheme="minorHAnsi"/>
          <w:lang w:eastAsia="pt-BR"/>
        </w:rPr>
        <w:t xml:space="preserve">contenção lateral e plantio de grama em placas nas </w:t>
      </w:r>
      <w:r w:rsidRPr="00840FDB">
        <w:rPr>
          <w:rFonts w:eastAsia="Times New Roman" w:cstheme="minorHAnsi"/>
          <w:lang w:eastAsia="pt-BR"/>
        </w:rPr>
        <w:t>bordas do pavimento após conclusão dos serviços, e todos os demais serviços necessários à perfeita execução da obra;</w:t>
      </w:r>
    </w:p>
    <w:p w14:paraId="3512A2DC"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Administração Local</w:t>
      </w:r>
      <w:r w:rsidRPr="00840FDB">
        <w:rPr>
          <w:rFonts w:eastAsia="Times New Roman" w:cstheme="minorHAnsi"/>
          <w:lang w:eastAsia="pt-BR"/>
        </w:rPr>
        <w:t xml:space="preserve"> incluindo disponibilização de equipe administrativa e técnica no canteiro durante toda a execução, responsável técnico (Engenheiro Civil habilitado no CREA) com presença permanente, elaboração de relatórios mensais de andamento, controle de medições e documentações, interface permanente com a fiscalização, gestão de pessoal, materiais e equipamentos;</w:t>
      </w:r>
    </w:p>
    <w:p w14:paraId="0ED75A24"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Mobilização e Desmobilização</w:t>
      </w:r>
      <w:r w:rsidRPr="00840FDB">
        <w:rPr>
          <w:rFonts w:eastAsia="Times New Roman" w:cstheme="minorHAnsi"/>
          <w:lang w:eastAsia="pt-BR"/>
        </w:rPr>
        <w:t xml:space="preserve"> abrangendo transporte de todos os equipamentos necessários (usina de asfalto quando aplicável,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rolos compactadores, caminhões, motoniveladora, retroescavadeira, caminhão espargidor, etc.), instalação e preparação dos equipamentos, transporte de pessoal técnico e operacional no início da obra, e ao final a desmontagem das instalações provisórias, transporte dos equipamentos de volta, limpeza final completa do canteiro;</w:t>
      </w:r>
    </w:p>
    <w:p w14:paraId="76A9D916" w14:textId="77777777" w:rsidR="00333F13" w:rsidRPr="00840FDB" w:rsidRDefault="00333F13" w:rsidP="00855728">
      <w:pPr>
        <w:spacing w:after="0"/>
        <w:jc w:val="both"/>
        <w:rPr>
          <w:rFonts w:eastAsia="Times New Roman" w:cstheme="minorHAnsi"/>
          <w:lang w:eastAsia="pt-BR"/>
        </w:rPr>
      </w:pPr>
      <w:r w:rsidRPr="00840FDB">
        <w:rPr>
          <w:rFonts w:eastAsia="Times New Roman" w:cstheme="minorHAnsi"/>
          <w:b/>
          <w:bCs/>
          <w:lang w:eastAsia="pt-BR"/>
        </w:rPr>
        <w:t>Controle Tecnológico</w:t>
      </w:r>
      <w:r w:rsidRPr="00840FDB">
        <w:rPr>
          <w:rFonts w:eastAsia="Times New Roman" w:cstheme="minorHAnsi"/>
          <w:lang w:eastAsia="pt-BR"/>
        </w:rPr>
        <w:t xml:space="preserve"> compreendendo realização de todos os ensaios tecnológicos especificados nas normas do DER/PR através de laboratório devidamente habilitado, incluindo ensaios Marshall (DNER-ME 043), resistência à tração por compressão diametral (DNIT 136-ME), densidade máxima da mistura pelo método Rice (AASHTO T-209), controle de compactação, controle de taxa de aplicação de ligantes, ensaios de caracterização de materiais, e todos os demais ensaios necessários conforme DER/PR ES-P-21/17 e demais especificações aplicáveis.</w:t>
      </w:r>
    </w:p>
    <w:p w14:paraId="38E01DF2" w14:textId="7408D3B0" w:rsidR="00333F13" w:rsidRDefault="00333F13" w:rsidP="00333F13">
      <w:pPr>
        <w:widowControl w:val="0"/>
        <w:spacing w:after="0"/>
        <w:jc w:val="both"/>
        <w:outlineLvl w:val="1"/>
        <w:rPr>
          <w:rFonts w:eastAsia="Times New Roman" w:cstheme="minorHAnsi"/>
          <w:lang w:eastAsia="pt-BR"/>
        </w:rPr>
      </w:pPr>
      <w:r w:rsidRPr="00840FDB">
        <w:rPr>
          <w:rFonts w:eastAsia="Times New Roman" w:cstheme="minorHAnsi"/>
          <w:lang w:eastAsia="pt-BR"/>
        </w:rPr>
        <w:t>Esta solução demonstra aderência integral às necessidades identificadas através dos levantamentos</w:t>
      </w:r>
      <w:r w:rsidR="007C51C4">
        <w:rPr>
          <w:rFonts w:eastAsia="Times New Roman" w:cstheme="minorHAnsi"/>
          <w:lang w:eastAsia="pt-BR"/>
        </w:rPr>
        <w:t xml:space="preserve"> e determinação do CBR, </w:t>
      </w:r>
      <w:proofErr w:type="spellStart"/>
      <w:r w:rsidR="007C51C4">
        <w:rPr>
          <w:rFonts w:eastAsia="Times New Roman" w:cstheme="minorHAnsi"/>
          <w:lang w:eastAsia="pt-BR"/>
        </w:rPr>
        <w:t>ínice</w:t>
      </w:r>
      <w:proofErr w:type="spellEnd"/>
      <w:r w:rsidR="007C51C4">
        <w:rPr>
          <w:rFonts w:eastAsia="Times New Roman" w:cstheme="minorHAnsi"/>
          <w:lang w:eastAsia="pt-BR"/>
        </w:rPr>
        <w:t xml:space="preserve"> de suporte </w:t>
      </w:r>
      <w:proofErr w:type="spellStart"/>
      <w:r w:rsidR="007C51C4">
        <w:rPr>
          <w:rFonts w:eastAsia="Times New Roman" w:cstheme="minorHAnsi"/>
          <w:lang w:eastAsia="pt-BR"/>
        </w:rPr>
        <w:t>califôrnia</w:t>
      </w:r>
      <w:proofErr w:type="spellEnd"/>
      <w:r w:rsidRPr="00840FDB">
        <w:rPr>
          <w:rFonts w:eastAsia="Times New Roman" w:cstheme="minorHAnsi"/>
          <w:lang w:eastAsia="pt-BR"/>
        </w:rPr>
        <w:t xml:space="preserve">, conecta-se diretamente com os objetivos de melhoria da infraestrutura rodoviária regional e escoamento da produção agropecuária, alinha-se aos padrões técnicos estabelecidos pelo DER/PR e DNIT, e destaca aspectos de durabilidade através da utilização de materiais de qualidade devidamente certificados e licenciados, metodologia executiva comprovada conforme especificações técnicas, correção adequada dos pontos críticos através de remendos profundos, reforço estrutural adequado através de base em BGS, e controle tecnológico rigoroso através de laboratório </w:t>
      </w:r>
      <w:proofErr w:type="spellStart"/>
      <w:r w:rsidRPr="00840FDB">
        <w:rPr>
          <w:rFonts w:eastAsia="Times New Roman" w:cstheme="minorHAnsi"/>
          <w:lang w:eastAsia="pt-BR"/>
        </w:rPr>
        <w:t>habilitado.Esta</w:t>
      </w:r>
      <w:proofErr w:type="spellEnd"/>
      <w:r w:rsidRPr="00840FDB">
        <w:rPr>
          <w:rFonts w:eastAsia="Times New Roman" w:cstheme="minorHAnsi"/>
          <w:lang w:eastAsia="pt-BR"/>
        </w:rPr>
        <w:t xml:space="preserve"> solução demonstra aderência integral às necessidades identificadas através dos levantamentos </w:t>
      </w:r>
      <w:proofErr w:type="spellStart"/>
      <w:r w:rsidRPr="00840FDB">
        <w:rPr>
          <w:rFonts w:eastAsia="Times New Roman" w:cstheme="minorHAnsi"/>
          <w:lang w:eastAsia="pt-BR"/>
        </w:rPr>
        <w:t>deflectométricos</w:t>
      </w:r>
      <w:proofErr w:type="spellEnd"/>
      <w:r w:rsidRPr="00840FDB">
        <w:rPr>
          <w:rFonts w:eastAsia="Times New Roman" w:cstheme="minorHAnsi"/>
          <w:lang w:eastAsia="pt-BR"/>
        </w:rPr>
        <w:t>, conecta-se diretamente com os objetivos de melhoria da infraestrutura rodoviária regional e escoamento da produção agropecuária, alinha-se aos padrões técnicos estabelecidos pelo DER/PR e DNIT, e destaca aspectos de durabilidade através da utilização de materiais de qualidade devidamente certificados e licenciados, metodologia executiva comprovada conforme especificações técnicas, correção adequada dos pontos críticos através de remendos profundos, reforço estrutural adequado através de base em BGS, e controle tecnológico rigoroso através de laboratório habilitado.</w:t>
      </w:r>
    </w:p>
    <w:p w14:paraId="47D3098B" w14:textId="1A3CB523" w:rsidR="00B76D3E" w:rsidRDefault="00B76D3E" w:rsidP="00333F13">
      <w:pPr>
        <w:widowControl w:val="0"/>
        <w:spacing w:after="0"/>
        <w:jc w:val="both"/>
        <w:outlineLvl w:val="1"/>
        <w:rPr>
          <w:rFonts w:eastAsia="Times New Roman" w:cstheme="minorHAnsi"/>
          <w:lang w:eastAsia="pt-BR"/>
        </w:rPr>
      </w:pPr>
      <w:r>
        <w:rPr>
          <w:rFonts w:cstheme="minorHAnsi"/>
        </w:rPr>
        <w:pict w14:anchorId="4566F7C9">
          <v:rect id="_x0000_i1041" style="width:0;height:1.5pt" o:hralign="center" o:hrstd="t" o:hr="t" fillcolor="#a0a0a0" stroked="f"/>
        </w:pict>
      </w:r>
    </w:p>
    <w:p w14:paraId="09B86285" w14:textId="77777777" w:rsidR="00333F13" w:rsidRPr="00840FDB" w:rsidRDefault="00333F13" w:rsidP="00333F13">
      <w:pPr>
        <w:spacing w:after="0"/>
        <w:jc w:val="both"/>
        <w:rPr>
          <w:rFonts w:eastAsia="Times New Roman" w:cstheme="minorHAnsi"/>
          <w:lang w:eastAsia="pt-BR"/>
        </w:rPr>
      </w:pPr>
      <w:r w:rsidRPr="00840FDB">
        <w:rPr>
          <w:rFonts w:eastAsia="Times New Roman" w:cstheme="minorHAnsi"/>
          <w:b/>
          <w:bCs/>
          <w:lang w:eastAsia="pt-BR"/>
        </w:rPr>
        <w:t>9. ESTIMATIVA DAS QUANTIDADES A SEREM CONTRATADAS</w:t>
      </w:r>
    </w:p>
    <w:p w14:paraId="01A8368D" w14:textId="6419B45D" w:rsidR="00333F13" w:rsidRPr="00840FDB" w:rsidRDefault="00333F13" w:rsidP="00333F13">
      <w:pPr>
        <w:spacing w:after="0"/>
        <w:jc w:val="both"/>
        <w:rPr>
          <w:rFonts w:eastAsia="Times New Roman" w:cstheme="minorHAnsi"/>
          <w:lang w:eastAsia="pt-BR"/>
        </w:rPr>
      </w:pPr>
      <w:r w:rsidRPr="00840FDB">
        <w:rPr>
          <w:rFonts w:eastAsia="Times New Roman" w:cstheme="minorHAnsi"/>
          <w:b/>
          <w:bCs/>
          <w:lang w:eastAsia="pt-BR"/>
        </w:rPr>
        <w:t xml:space="preserve">LOTE ÚNICO - PAVIMENTAÇÃO ASFÁLTICA </w:t>
      </w:r>
      <w:r w:rsidR="00ED6B69">
        <w:rPr>
          <w:rFonts w:eastAsia="Times New Roman" w:cstheme="minorHAnsi"/>
          <w:b/>
          <w:bCs/>
          <w:lang w:eastAsia="pt-BR"/>
        </w:rPr>
        <w:t>ESTRADA RURAL QUE LIGA LINHA AURORA A LINHA COLÔNIA NOVA</w:t>
      </w:r>
    </w:p>
    <w:p w14:paraId="606411B2" w14:textId="77777777" w:rsidR="00B76D3E" w:rsidRDefault="00333F13" w:rsidP="000328EC">
      <w:pPr>
        <w:spacing w:after="0"/>
        <w:rPr>
          <w:rFonts w:eastAsia="Times New Roman" w:cstheme="minorHAnsi"/>
          <w:lang w:eastAsia="pt-BR"/>
        </w:rPr>
      </w:pPr>
      <w:r w:rsidRPr="00840FDB">
        <w:rPr>
          <w:rFonts w:eastAsia="Times New Roman" w:cstheme="minorHAnsi"/>
          <w:b/>
          <w:bCs/>
          <w:lang w:eastAsia="pt-BR"/>
        </w:rPr>
        <w:t>Área Total do Projeto:</w:t>
      </w:r>
      <w:r w:rsidRPr="00840FDB">
        <w:rPr>
          <w:rFonts w:eastAsia="Times New Roman" w:cstheme="minorHAnsi"/>
          <w:lang w:eastAsia="pt-BR"/>
        </w:rPr>
        <w:t xml:space="preserve"> </w:t>
      </w:r>
      <w:r w:rsidR="008575EF">
        <w:rPr>
          <w:rFonts w:eastAsia="Times New Roman" w:cstheme="minorHAnsi"/>
          <w:lang w:eastAsia="pt-BR"/>
        </w:rPr>
        <w:t>36.250,98</w:t>
      </w:r>
      <w:r w:rsidRPr="00840FDB">
        <w:rPr>
          <w:rFonts w:eastAsia="Times New Roman" w:cstheme="minorHAnsi"/>
          <w:lang w:eastAsia="pt-BR"/>
        </w:rPr>
        <w:t xml:space="preserve"> m²</w:t>
      </w:r>
      <w:r w:rsidRPr="00840FDB">
        <w:rPr>
          <w:rFonts w:eastAsia="Times New Roman" w:cstheme="minorHAnsi"/>
          <w:lang w:eastAsia="pt-BR"/>
        </w:rPr>
        <w:br/>
      </w:r>
      <w:r w:rsidRPr="00840FDB">
        <w:rPr>
          <w:rFonts w:eastAsia="Times New Roman" w:cstheme="minorHAnsi"/>
          <w:b/>
          <w:bCs/>
          <w:lang w:eastAsia="pt-BR"/>
        </w:rPr>
        <w:t>Extensão:</w:t>
      </w:r>
      <w:r w:rsidRPr="00840FDB">
        <w:rPr>
          <w:rFonts w:eastAsia="Times New Roman" w:cstheme="minorHAnsi"/>
          <w:lang w:eastAsia="pt-BR"/>
        </w:rPr>
        <w:t xml:space="preserve"> </w:t>
      </w:r>
      <w:r w:rsidR="00E234A2">
        <w:rPr>
          <w:rFonts w:eastAsia="Times New Roman" w:cstheme="minorHAnsi"/>
          <w:lang w:eastAsia="pt-BR"/>
        </w:rPr>
        <w:t>6.041,83</w:t>
      </w:r>
      <w:r w:rsidRPr="00840FDB">
        <w:rPr>
          <w:rFonts w:eastAsia="Times New Roman" w:cstheme="minorHAnsi"/>
          <w:lang w:eastAsia="pt-BR"/>
        </w:rPr>
        <w:t xml:space="preserve"> metros</w:t>
      </w:r>
    </w:p>
    <w:p w14:paraId="3C492F9B" w14:textId="101838C1" w:rsidR="00EB2BC7" w:rsidRPr="00EB2BC7" w:rsidRDefault="00B76D3E" w:rsidP="000328EC">
      <w:pPr>
        <w:spacing w:after="0"/>
        <w:rPr>
          <w:rFonts w:eastAsia="Times New Roman" w:cstheme="minorHAnsi"/>
          <w:b/>
          <w:bCs/>
          <w:lang w:eastAsia="pt-BR"/>
        </w:rPr>
      </w:pPr>
      <w:r>
        <w:rPr>
          <w:rFonts w:cstheme="minorHAnsi"/>
        </w:rPr>
        <w:pict w14:anchorId="25FDAE66">
          <v:rect id="_x0000_i1042" style="width:0;height:1.5pt" o:hralign="center" o:hrstd="t" o:hr="t" fillcolor="#a0a0a0" stroked="f"/>
        </w:pict>
      </w:r>
      <w:r w:rsidR="00333F13" w:rsidRPr="00840FDB">
        <w:rPr>
          <w:rFonts w:eastAsia="Times New Roman" w:cstheme="minorHAnsi"/>
          <w:lang w:eastAsia="pt-BR"/>
        </w:rPr>
        <w:br/>
      </w:r>
      <w:r w:rsidR="00EB2BC7" w:rsidRPr="00EB2BC7">
        <w:rPr>
          <w:rFonts w:eastAsia="Times New Roman" w:cstheme="minorHAnsi"/>
          <w:b/>
          <w:bCs/>
          <w:lang w:eastAsia="pt-BR"/>
        </w:rPr>
        <w:t>10. ESTIMATIVA DO VALOR DA CONTRATAÇÃO</w:t>
      </w:r>
    </w:p>
    <w:p w14:paraId="2E47CA00"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10.1 - Composição do Valor Estimado</w:t>
      </w:r>
    </w:p>
    <w:p w14:paraId="131D1AF3" w14:textId="2F3345AE" w:rsidR="00910886" w:rsidRPr="00840FDB" w:rsidRDefault="00910886" w:rsidP="00910886">
      <w:pPr>
        <w:spacing w:after="0"/>
        <w:jc w:val="both"/>
        <w:rPr>
          <w:rFonts w:eastAsia="Times New Roman" w:cstheme="minorHAnsi"/>
          <w:lang w:eastAsia="pt-BR"/>
        </w:rPr>
      </w:pPr>
      <w:r w:rsidRPr="00840FDB">
        <w:rPr>
          <w:rFonts w:eastAsia="Times New Roman" w:cstheme="minorHAnsi"/>
          <w:lang w:eastAsia="pt-BR"/>
        </w:rPr>
        <w:t xml:space="preserve">O valor estimado para a contratação de serviços de pavimentação asfáltica na </w:t>
      </w:r>
      <w:r w:rsidR="00E234A2">
        <w:rPr>
          <w:rFonts w:eastAsia="Times New Roman" w:cstheme="minorHAnsi"/>
          <w:lang w:eastAsia="pt-BR"/>
        </w:rPr>
        <w:t>Estrada que liga a Comunidade de Linha Aurora a Comunidade de Linha Colônia Nova,</w:t>
      </w:r>
      <w:r w:rsidRPr="00840FDB">
        <w:rPr>
          <w:rFonts w:eastAsia="Times New Roman" w:cstheme="minorHAnsi"/>
          <w:lang w:eastAsia="pt-BR"/>
        </w:rPr>
        <w:t xml:space="preserve"> leva em consideração todos os componentes necessários para execução completa da obra. </w:t>
      </w:r>
      <w:r w:rsidRPr="00840FDB">
        <w:rPr>
          <w:rFonts w:eastAsia="Times New Roman" w:cstheme="minorHAnsi"/>
          <w:b/>
          <w:bCs/>
          <w:lang w:eastAsia="pt-BR"/>
        </w:rPr>
        <w:t>Serviços de engenharia rodoviária</w:t>
      </w:r>
      <w:r w:rsidRPr="00840FDB">
        <w:rPr>
          <w:rFonts w:eastAsia="Times New Roman" w:cstheme="minorHAnsi"/>
          <w:lang w:eastAsia="pt-BR"/>
        </w:rPr>
        <w:t xml:space="preserve"> especificam cada categoria de serviço com suas características técnicas e quantidades determinadas conforme projeto executivo, memorial descritivo; </w:t>
      </w:r>
      <w:r w:rsidRPr="00840FDB">
        <w:rPr>
          <w:rFonts w:eastAsia="Times New Roman" w:cstheme="minorHAnsi"/>
          <w:b/>
          <w:bCs/>
          <w:lang w:eastAsia="pt-BR"/>
        </w:rPr>
        <w:t>Materiais</w:t>
      </w:r>
      <w:r w:rsidRPr="00840FDB">
        <w:rPr>
          <w:rFonts w:eastAsia="Times New Roman" w:cstheme="minorHAnsi"/>
          <w:lang w:eastAsia="pt-BR"/>
        </w:rPr>
        <w:t xml:space="preserve"> discriminam todos os insumos necessários incluindo materiais pétreos (brita graduada, macadame seco), materiais asfálticos (CAP 50/70, emulsões EAI e RR-1C), dispositivos de drenagem (tubos de concreto</w:t>
      </w:r>
      <w:r w:rsidR="00E234A2">
        <w:rPr>
          <w:rFonts w:eastAsia="Times New Roman" w:cstheme="minorHAnsi"/>
          <w:lang w:eastAsia="pt-BR"/>
        </w:rPr>
        <w:t xml:space="preserve"> e</w:t>
      </w:r>
      <w:r w:rsidRPr="00840FDB">
        <w:rPr>
          <w:rFonts w:eastAsia="Times New Roman" w:cstheme="minorHAnsi"/>
          <w:lang w:eastAsia="pt-BR"/>
        </w:rPr>
        <w:t xml:space="preserve"> bocas de bueiro), materiais de sinalização e demais componentes; </w:t>
      </w:r>
      <w:r w:rsidRPr="00840FDB">
        <w:rPr>
          <w:rFonts w:eastAsia="Times New Roman" w:cstheme="minorHAnsi"/>
          <w:b/>
          <w:bCs/>
          <w:lang w:eastAsia="pt-BR"/>
        </w:rPr>
        <w:t>Mão de obra especializada</w:t>
      </w:r>
      <w:r w:rsidRPr="00840FDB">
        <w:rPr>
          <w:rFonts w:eastAsia="Times New Roman" w:cstheme="minorHAnsi"/>
          <w:lang w:eastAsia="pt-BR"/>
        </w:rPr>
        <w:t xml:space="preserve"> contempla todos os profissionais necessários para execução adequada dos serviços de pavimentação, drenagem e sinalização; </w:t>
      </w:r>
      <w:r w:rsidRPr="00840FDB">
        <w:rPr>
          <w:rFonts w:eastAsia="Times New Roman" w:cstheme="minorHAnsi"/>
          <w:b/>
          <w:bCs/>
          <w:lang w:eastAsia="pt-BR"/>
        </w:rPr>
        <w:t>Equipamentos</w:t>
      </w:r>
      <w:r w:rsidRPr="00840FDB">
        <w:rPr>
          <w:rFonts w:eastAsia="Times New Roman" w:cstheme="minorHAnsi"/>
          <w:lang w:eastAsia="pt-BR"/>
        </w:rPr>
        <w:t xml:space="preserve"> incluem todos os maquinários necessários (usina de asfalto,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rolos compactadores, motoniveladora, caminhões, retroescavadeira, caminhão espargidor); </w:t>
      </w:r>
      <w:r w:rsidRPr="00840FDB">
        <w:rPr>
          <w:rFonts w:eastAsia="Times New Roman" w:cstheme="minorHAnsi"/>
          <w:b/>
          <w:bCs/>
          <w:lang w:eastAsia="pt-BR"/>
        </w:rPr>
        <w:t>Controle tecnológico</w:t>
      </w:r>
      <w:r w:rsidRPr="00840FDB">
        <w:rPr>
          <w:rFonts w:eastAsia="Times New Roman" w:cstheme="minorHAnsi"/>
          <w:lang w:eastAsia="pt-BR"/>
        </w:rPr>
        <w:t xml:space="preserve"> lista todos os ensaios necessários através de laboratório habilitado para garantia da qualidade dos serviços executados conforme especificações do DER/PR; </w:t>
      </w:r>
      <w:r w:rsidRPr="00840FDB">
        <w:rPr>
          <w:rFonts w:eastAsia="Times New Roman" w:cstheme="minorHAnsi"/>
          <w:b/>
          <w:bCs/>
          <w:lang w:eastAsia="pt-BR"/>
        </w:rPr>
        <w:t>Administração local, canteiro, mobilização e desmobilização</w:t>
      </w:r>
      <w:r w:rsidRPr="00840FDB">
        <w:rPr>
          <w:rFonts w:eastAsia="Times New Roman" w:cstheme="minorHAnsi"/>
          <w:lang w:eastAsia="pt-BR"/>
        </w:rPr>
        <w:t xml:space="preserve"> contemplam todos os custos indiretos necessários. A organização apresenta-se de forma clara e compreensível, demonstrando que todos os elementos necessários para execução exitosa da obra foram considerados na composição do valor final estimado.</w:t>
      </w:r>
    </w:p>
    <w:p w14:paraId="5E9F918D"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10.2 - Metodologia de Pesquisa de Preços</w:t>
      </w:r>
    </w:p>
    <w:p w14:paraId="2A9FADAF"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lang w:eastAsia="pt-BR"/>
        </w:rPr>
        <w:t xml:space="preserve">O valor estimado para tal contratação se baseou em metodologia criteriosa que contemplou múltiplas fontes confiáveis para formação adequada dos preços de referência. </w:t>
      </w:r>
      <w:r w:rsidRPr="00840FDB">
        <w:rPr>
          <w:rFonts w:eastAsia="Times New Roman" w:cstheme="minorHAnsi"/>
          <w:b/>
          <w:bCs/>
          <w:lang w:eastAsia="pt-BR"/>
        </w:rPr>
        <w:t>Tabelas oficiais de referência</w:t>
      </w:r>
      <w:r w:rsidRPr="00840FDB">
        <w:rPr>
          <w:rFonts w:eastAsia="Times New Roman" w:cstheme="minorHAnsi"/>
          <w:lang w:eastAsia="pt-BR"/>
        </w:rPr>
        <w:t xml:space="preserve"> incluíram composições da Tabela DER/PR vigente e Tabela SINAPI vigente, ambas sem desoneração, conforme determinação do Decreto Estadual 10.086/22 do Paraná que regulamenta a Lei 14.133/21; </w:t>
      </w:r>
      <w:r w:rsidRPr="00840FDB">
        <w:rPr>
          <w:rFonts w:eastAsia="Times New Roman" w:cstheme="minorHAnsi"/>
          <w:b/>
          <w:bCs/>
          <w:lang w:eastAsia="pt-BR"/>
        </w:rPr>
        <w:t>Contratações similares em outros órgãos públicos</w:t>
      </w:r>
      <w:r w:rsidRPr="00840FDB">
        <w:rPr>
          <w:rFonts w:eastAsia="Times New Roman" w:cstheme="minorHAnsi"/>
          <w:lang w:eastAsia="pt-BR"/>
        </w:rPr>
        <w:t xml:space="preserve"> abrangeram consultas a processos licitatórios de municípios da região para pavimentação asfáltica rodoviária, órgãos estaduais do Paraná (DER/PR, PARANACIDADE) e contratos registrados no Portal Nacional de Contratações Públicas (PNCP); </w:t>
      </w:r>
      <w:r w:rsidRPr="00840FDB">
        <w:rPr>
          <w:rFonts w:eastAsia="Times New Roman" w:cstheme="minorHAnsi"/>
          <w:b/>
          <w:bCs/>
          <w:lang w:eastAsia="pt-BR"/>
        </w:rPr>
        <w:t>Pesquisas de mercado realizadas</w:t>
      </w:r>
      <w:r w:rsidRPr="00840FDB">
        <w:rPr>
          <w:rFonts w:eastAsia="Times New Roman" w:cstheme="minorHAnsi"/>
          <w:lang w:eastAsia="pt-BR"/>
        </w:rPr>
        <w:t xml:space="preserve"> contemplaram cotações com empresas especializadas em pavimentação asfáltica rodoviária com experiência em obras conforme normas do DER/PR; </w:t>
      </w:r>
      <w:r w:rsidRPr="00840FDB">
        <w:rPr>
          <w:rFonts w:eastAsia="Times New Roman" w:cstheme="minorHAnsi"/>
          <w:b/>
          <w:bCs/>
          <w:lang w:eastAsia="pt-BR"/>
        </w:rPr>
        <w:t>Bancos de preços oficiais</w:t>
      </w:r>
      <w:r w:rsidRPr="00840FDB">
        <w:rPr>
          <w:rFonts w:eastAsia="Times New Roman" w:cstheme="minorHAnsi"/>
          <w:lang w:eastAsia="pt-BR"/>
        </w:rPr>
        <w:t xml:space="preserve"> compreenderam consultas ao PNCP e painéis de preços de órgãos públicos; </w:t>
      </w:r>
      <w:r w:rsidRPr="00840FDB">
        <w:rPr>
          <w:rFonts w:eastAsia="Times New Roman" w:cstheme="minorHAnsi"/>
          <w:b/>
          <w:bCs/>
          <w:lang w:eastAsia="pt-BR"/>
        </w:rPr>
        <w:t>Atas de registro de preços vigentes</w:t>
      </w:r>
      <w:r w:rsidRPr="00840FDB">
        <w:rPr>
          <w:rFonts w:eastAsia="Times New Roman" w:cstheme="minorHAnsi"/>
          <w:lang w:eastAsia="pt-BR"/>
        </w:rPr>
        <w:t xml:space="preserve"> incluíram registros ativos de órgãos públicos para objetos similares de pavimentação asfáltica. Os </w:t>
      </w:r>
      <w:r w:rsidRPr="00840FDB">
        <w:rPr>
          <w:rFonts w:eastAsia="Times New Roman" w:cstheme="minorHAnsi"/>
          <w:b/>
          <w:bCs/>
          <w:lang w:eastAsia="pt-BR"/>
        </w:rPr>
        <w:t>critérios de comparabilidade</w:t>
      </w:r>
      <w:r w:rsidRPr="00840FDB">
        <w:rPr>
          <w:rFonts w:eastAsia="Times New Roman" w:cstheme="minorHAnsi"/>
          <w:lang w:eastAsia="pt-BR"/>
        </w:rPr>
        <w:t xml:space="preserve"> consideraram similaridade integral do objeto (pavimentação asfáltica rodoviária em CBUQ), período de referência das composições dentro da validade estabelecida, adequação regional considerando as características do mercado paranaense, aplicação de BDI específico conforme análise técnica realizada, utilização de DMT (Distância Média de Transporte) adequada às condições locais (especialmente para usina de asfalto que deve estar a menos de 60 km), e consideração das exigências específicas de licenciamento ambiental (pedreira e usina de asfalto pelo IAT).</w:t>
      </w:r>
    </w:p>
    <w:p w14:paraId="4AD6D5C9"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10.3 - Fundamentação Legal e Disponibilização</w:t>
      </w:r>
    </w:p>
    <w:p w14:paraId="2ED4573D" w14:textId="63F058AF" w:rsidR="00910886" w:rsidRPr="00840FDB" w:rsidRDefault="00910886" w:rsidP="00910886">
      <w:pPr>
        <w:spacing w:after="0"/>
        <w:jc w:val="both"/>
        <w:rPr>
          <w:rFonts w:eastAsia="Times New Roman" w:cstheme="minorHAnsi"/>
          <w:lang w:eastAsia="pt-BR"/>
        </w:rPr>
      </w:pPr>
      <w:r w:rsidRPr="00840FDB">
        <w:rPr>
          <w:rFonts w:eastAsia="Times New Roman" w:cstheme="minorHAnsi"/>
          <w:lang w:eastAsia="pt-BR"/>
        </w:rPr>
        <w:t xml:space="preserve">O valor final conforme critérios de formação de preço estabelecidos atende integralmente ao disposto no art. 23 da Lei nº 14.133/2021, que define os parâmetros para estimativa de custos em contratações públicas. </w:t>
      </w:r>
      <w:r w:rsidRPr="00840FDB">
        <w:rPr>
          <w:rFonts w:eastAsia="Times New Roman" w:cstheme="minorHAnsi"/>
          <w:b/>
          <w:bCs/>
          <w:lang w:eastAsia="pt-BR"/>
        </w:rPr>
        <w:t>O valor detalhado estará disponível</w:t>
      </w:r>
      <w:r w:rsidRPr="00840FDB">
        <w:rPr>
          <w:rFonts w:eastAsia="Times New Roman" w:cstheme="minorHAnsi"/>
          <w:lang w:eastAsia="pt-BR"/>
        </w:rPr>
        <w:t xml:space="preserve"> no Termo de Referência anexo ao edital de licitação, planilha orçamentária discriminada por item com composições de custos, cronograma físico-financeiro da obra em </w:t>
      </w:r>
      <w:r w:rsidR="00E234A2">
        <w:rPr>
          <w:rFonts w:eastAsia="Times New Roman" w:cstheme="minorHAnsi"/>
          <w:lang w:eastAsia="pt-BR"/>
        </w:rPr>
        <w:t>6</w:t>
      </w:r>
      <w:r w:rsidRPr="00840FDB">
        <w:rPr>
          <w:rFonts w:eastAsia="Times New Roman" w:cstheme="minorHAnsi"/>
          <w:lang w:eastAsia="pt-BR"/>
        </w:rPr>
        <w:t xml:space="preserve"> (</w:t>
      </w:r>
      <w:r w:rsidR="00E234A2">
        <w:rPr>
          <w:rFonts w:eastAsia="Times New Roman" w:cstheme="minorHAnsi"/>
          <w:lang w:eastAsia="pt-BR"/>
        </w:rPr>
        <w:t>seis</w:t>
      </w:r>
      <w:r w:rsidRPr="00840FDB">
        <w:rPr>
          <w:rFonts w:eastAsia="Times New Roman" w:cstheme="minorHAnsi"/>
          <w:lang w:eastAsia="pt-BR"/>
        </w:rPr>
        <w:t xml:space="preserve">) </w:t>
      </w:r>
      <w:proofErr w:type="gramStart"/>
      <w:r w:rsidRPr="00840FDB">
        <w:rPr>
          <w:rFonts w:eastAsia="Times New Roman" w:cstheme="minorHAnsi"/>
          <w:lang w:eastAsia="pt-BR"/>
        </w:rPr>
        <w:t>etapas conforme aprovado</w:t>
      </w:r>
      <w:proofErr w:type="gramEnd"/>
      <w:r w:rsidRPr="00840FDB">
        <w:rPr>
          <w:rFonts w:eastAsia="Times New Roman" w:cstheme="minorHAnsi"/>
          <w:lang w:eastAsia="pt-BR"/>
        </w:rPr>
        <w:t xml:space="preserve">, memorial de cálculo e dimensionamento do pavimento baseado </w:t>
      </w:r>
      <w:r w:rsidR="00E234A2">
        <w:rPr>
          <w:rFonts w:eastAsia="Times New Roman" w:cstheme="minorHAnsi"/>
          <w:lang w:eastAsia="pt-BR"/>
        </w:rPr>
        <w:t xml:space="preserve">nas análises do CBR - índice de suporte </w:t>
      </w:r>
      <w:proofErr w:type="spellStart"/>
      <w:r w:rsidR="00E234A2">
        <w:rPr>
          <w:rFonts w:eastAsia="Times New Roman" w:cstheme="minorHAnsi"/>
          <w:lang w:eastAsia="pt-BR"/>
        </w:rPr>
        <w:t>Califônia</w:t>
      </w:r>
      <w:proofErr w:type="spellEnd"/>
      <w:r w:rsidRPr="00840FDB">
        <w:rPr>
          <w:rFonts w:eastAsia="Times New Roman" w:cstheme="minorHAnsi"/>
          <w:lang w:eastAsia="pt-BR"/>
        </w:rPr>
        <w:t>, e demais anexos do processo licitatório. Este valor constitui a referência base para a licitação, com detalhamento individual por item conforme especificado nas planilhas de quantidades e valores unitários.</w:t>
      </w:r>
    </w:p>
    <w:p w14:paraId="2323831F"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10.4 - Valor Total Estimado</w:t>
      </w:r>
    </w:p>
    <w:p w14:paraId="246A0C70" w14:textId="13A97DBA"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 xml:space="preserve">R$ </w:t>
      </w:r>
      <w:r w:rsidR="00E234A2">
        <w:rPr>
          <w:rFonts w:eastAsia="Times New Roman" w:cstheme="minorHAnsi"/>
          <w:b/>
          <w:bCs/>
          <w:lang w:eastAsia="pt-BR"/>
        </w:rPr>
        <w:t>5.833.099,01</w:t>
      </w:r>
      <w:r w:rsidRPr="00840FDB">
        <w:rPr>
          <w:rFonts w:eastAsia="Times New Roman" w:cstheme="minorHAnsi"/>
          <w:b/>
          <w:bCs/>
          <w:lang w:eastAsia="pt-BR"/>
        </w:rPr>
        <w:t xml:space="preserve"> (</w:t>
      </w:r>
      <w:r w:rsidR="00E234A2">
        <w:rPr>
          <w:rFonts w:eastAsia="Times New Roman" w:cstheme="minorHAnsi"/>
          <w:b/>
          <w:bCs/>
          <w:lang w:eastAsia="pt-BR"/>
        </w:rPr>
        <w:t>cinco milhões oitocentos e trinta e três mil, noventa e nove reais e um centavo</w:t>
      </w:r>
      <w:r w:rsidRPr="00840FDB">
        <w:rPr>
          <w:rFonts w:eastAsia="Times New Roman" w:cstheme="minorHAnsi"/>
          <w:b/>
          <w:bCs/>
          <w:lang w:eastAsia="pt-BR"/>
        </w:rPr>
        <w:t>)</w:t>
      </w:r>
      <w:r w:rsidR="00E234A2">
        <w:rPr>
          <w:rFonts w:eastAsia="Times New Roman" w:cstheme="minorHAnsi"/>
          <w:b/>
          <w:bCs/>
          <w:lang w:eastAsia="pt-BR"/>
        </w:rPr>
        <w:t>.</w:t>
      </w:r>
    </w:p>
    <w:p w14:paraId="136BE5CE" w14:textId="7A1F241A" w:rsidR="00910886" w:rsidRPr="00840FDB" w:rsidRDefault="00910886" w:rsidP="00910886">
      <w:pPr>
        <w:spacing w:after="0"/>
        <w:jc w:val="both"/>
        <w:rPr>
          <w:rFonts w:eastAsia="Times New Roman" w:cstheme="minorHAnsi"/>
          <w:lang w:eastAsia="pt-BR"/>
        </w:rPr>
      </w:pPr>
      <w:r w:rsidRPr="00840FDB">
        <w:rPr>
          <w:rFonts w:eastAsia="Times New Roman" w:cstheme="minorHAnsi"/>
          <w:lang w:eastAsia="pt-BR"/>
        </w:rPr>
        <w:t xml:space="preserve">Este valor global contempla todos os custos necessários, incluindo materiais, mão de obra, equipamentos, licenciamentos ambientais, encargos sociais e trabalhistas, tributos, BDI, seguros, garantias, administração local, canteiro, mobilização, desmobilização, controle tecnológico, e demais despesas para execução completa dos serviços na </w:t>
      </w:r>
      <w:r w:rsidR="00E234A2">
        <w:rPr>
          <w:rFonts w:eastAsia="Times New Roman" w:cstheme="minorHAnsi"/>
          <w:lang w:eastAsia="pt-BR"/>
        </w:rPr>
        <w:t>Estrada Rural Aurora-Colônia Nova</w:t>
      </w:r>
      <w:r w:rsidRPr="00840FDB">
        <w:rPr>
          <w:rFonts w:eastAsia="Times New Roman" w:cstheme="minorHAnsi"/>
          <w:lang w:eastAsia="pt-BR"/>
        </w:rPr>
        <w:t xml:space="preserve">, configurando </w:t>
      </w:r>
      <w:r w:rsidRPr="00840FDB">
        <w:rPr>
          <w:rFonts w:eastAsia="Times New Roman" w:cstheme="minorHAnsi"/>
          <w:b/>
          <w:bCs/>
          <w:lang w:eastAsia="pt-BR"/>
        </w:rPr>
        <w:t>preço integral</w:t>
      </w:r>
      <w:r w:rsidRPr="00840FDB">
        <w:rPr>
          <w:rFonts w:eastAsia="Times New Roman" w:cstheme="minorHAnsi"/>
          <w:lang w:eastAsia="pt-BR"/>
        </w:rPr>
        <w:t xml:space="preserve"> e </w:t>
      </w:r>
      <w:r w:rsidRPr="00840FDB">
        <w:rPr>
          <w:rFonts w:eastAsia="Times New Roman" w:cstheme="minorHAnsi"/>
          <w:b/>
          <w:bCs/>
          <w:lang w:eastAsia="pt-BR"/>
        </w:rPr>
        <w:t>preço global</w:t>
      </w:r>
      <w:r w:rsidRPr="00840FDB">
        <w:rPr>
          <w:rFonts w:eastAsia="Times New Roman" w:cstheme="minorHAnsi"/>
          <w:lang w:eastAsia="pt-BR"/>
        </w:rPr>
        <w:t xml:space="preserve"> da contratação.</w:t>
      </w:r>
    </w:p>
    <w:p w14:paraId="2D5BBD65"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10.5 - Composição do Valor por Categoria de Serviço:</w:t>
      </w:r>
    </w:p>
    <w:tbl>
      <w:tblPr>
        <w:tblStyle w:val="Tabelacomgrade"/>
        <w:tblW w:w="5000" w:type="pct"/>
        <w:tblLook w:val="04A0" w:firstRow="1" w:lastRow="0" w:firstColumn="1" w:lastColumn="0" w:noHBand="0" w:noVBand="1"/>
      </w:tblPr>
      <w:tblGrid>
        <w:gridCol w:w="4807"/>
        <w:gridCol w:w="2405"/>
        <w:gridCol w:w="2075"/>
      </w:tblGrid>
      <w:tr w:rsidR="00910886" w:rsidRPr="00840FDB" w14:paraId="1A317CF0" w14:textId="77777777" w:rsidTr="00855728">
        <w:tc>
          <w:tcPr>
            <w:tcW w:w="2588" w:type="pct"/>
            <w:hideMark/>
          </w:tcPr>
          <w:p w14:paraId="337D8FF4" w14:textId="77777777" w:rsidR="00910886" w:rsidRPr="00840FDB" w:rsidRDefault="00910886" w:rsidP="00855728">
            <w:pPr>
              <w:spacing w:line="276" w:lineRule="auto"/>
              <w:jc w:val="both"/>
              <w:rPr>
                <w:rFonts w:eastAsia="Times New Roman" w:cstheme="minorHAnsi"/>
                <w:b/>
                <w:bCs/>
                <w:lang w:eastAsia="pt-BR"/>
              </w:rPr>
            </w:pPr>
            <w:r w:rsidRPr="00840FDB">
              <w:rPr>
                <w:rFonts w:eastAsia="Times New Roman" w:cstheme="minorHAnsi"/>
                <w:b/>
                <w:bCs/>
                <w:lang w:eastAsia="pt-BR"/>
              </w:rPr>
              <w:t>Categoria</w:t>
            </w:r>
          </w:p>
        </w:tc>
        <w:tc>
          <w:tcPr>
            <w:tcW w:w="1295" w:type="pct"/>
            <w:hideMark/>
          </w:tcPr>
          <w:p w14:paraId="73084952" w14:textId="77777777" w:rsidR="00910886" w:rsidRPr="00840FDB" w:rsidRDefault="00910886" w:rsidP="00855728">
            <w:pPr>
              <w:spacing w:line="276" w:lineRule="auto"/>
              <w:jc w:val="both"/>
              <w:rPr>
                <w:rFonts w:eastAsia="Times New Roman" w:cstheme="minorHAnsi"/>
                <w:b/>
                <w:bCs/>
                <w:lang w:eastAsia="pt-BR"/>
              </w:rPr>
            </w:pPr>
            <w:r w:rsidRPr="00840FDB">
              <w:rPr>
                <w:rFonts w:eastAsia="Times New Roman" w:cstheme="minorHAnsi"/>
                <w:b/>
                <w:bCs/>
                <w:lang w:eastAsia="pt-BR"/>
              </w:rPr>
              <w:t>Valor (R$)</w:t>
            </w:r>
          </w:p>
        </w:tc>
        <w:tc>
          <w:tcPr>
            <w:tcW w:w="1117" w:type="pct"/>
            <w:hideMark/>
          </w:tcPr>
          <w:p w14:paraId="1FF1CC25" w14:textId="77777777" w:rsidR="00910886" w:rsidRPr="00840FDB" w:rsidRDefault="00910886" w:rsidP="00855728">
            <w:pPr>
              <w:spacing w:line="276" w:lineRule="auto"/>
              <w:jc w:val="both"/>
              <w:rPr>
                <w:rFonts w:eastAsia="Times New Roman" w:cstheme="minorHAnsi"/>
                <w:b/>
                <w:bCs/>
                <w:lang w:eastAsia="pt-BR"/>
              </w:rPr>
            </w:pPr>
            <w:r w:rsidRPr="00840FDB">
              <w:rPr>
                <w:rFonts w:eastAsia="Times New Roman" w:cstheme="minorHAnsi"/>
                <w:b/>
                <w:bCs/>
                <w:lang w:eastAsia="pt-BR"/>
              </w:rPr>
              <w:t>% do Total</w:t>
            </w:r>
          </w:p>
        </w:tc>
      </w:tr>
      <w:tr w:rsidR="00910886" w:rsidRPr="00840FDB" w14:paraId="7A54E6F2" w14:textId="77777777" w:rsidTr="00855728">
        <w:tc>
          <w:tcPr>
            <w:tcW w:w="2588" w:type="pct"/>
            <w:hideMark/>
          </w:tcPr>
          <w:p w14:paraId="7792C053" w14:textId="31E9C159"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Serviços Preliminares</w:t>
            </w:r>
          </w:p>
        </w:tc>
        <w:tc>
          <w:tcPr>
            <w:tcW w:w="1295" w:type="pct"/>
            <w:hideMark/>
          </w:tcPr>
          <w:p w14:paraId="53E938BF" w14:textId="469CAEA8"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32.723,22</w:t>
            </w:r>
          </w:p>
        </w:tc>
        <w:tc>
          <w:tcPr>
            <w:tcW w:w="1117" w:type="pct"/>
            <w:hideMark/>
          </w:tcPr>
          <w:p w14:paraId="3532D652" w14:textId="31CD26A3" w:rsidR="00910886" w:rsidRPr="00840FDB" w:rsidRDefault="00910886" w:rsidP="00855728">
            <w:pPr>
              <w:spacing w:line="276" w:lineRule="auto"/>
              <w:jc w:val="both"/>
              <w:rPr>
                <w:rFonts w:eastAsia="Times New Roman" w:cstheme="minorHAnsi"/>
                <w:lang w:eastAsia="pt-BR"/>
              </w:rPr>
            </w:pPr>
            <w:r w:rsidRPr="00840FDB">
              <w:rPr>
                <w:rFonts w:eastAsia="Times New Roman" w:cstheme="minorHAnsi"/>
                <w:lang w:eastAsia="pt-BR"/>
              </w:rPr>
              <w:t>0,</w:t>
            </w:r>
            <w:r w:rsidR="007A67D8">
              <w:rPr>
                <w:rFonts w:eastAsia="Times New Roman" w:cstheme="minorHAnsi"/>
                <w:lang w:eastAsia="pt-BR"/>
              </w:rPr>
              <w:t>56</w:t>
            </w:r>
            <w:r w:rsidRPr="00840FDB">
              <w:rPr>
                <w:rFonts w:eastAsia="Times New Roman" w:cstheme="minorHAnsi"/>
                <w:lang w:eastAsia="pt-BR"/>
              </w:rPr>
              <w:t>%</w:t>
            </w:r>
          </w:p>
        </w:tc>
      </w:tr>
      <w:tr w:rsidR="00910886" w:rsidRPr="00840FDB" w14:paraId="07EA6F3B" w14:textId="77777777" w:rsidTr="00855728">
        <w:tc>
          <w:tcPr>
            <w:tcW w:w="2588" w:type="pct"/>
            <w:hideMark/>
          </w:tcPr>
          <w:p w14:paraId="262CC5FB" w14:textId="47FF91C1"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Terraplenagem</w:t>
            </w:r>
          </w:p>
        </w:tc>
        <w:tc>
          <w:tcPr>
            <w:tcW w:w="1295" w:type="pct"/>
            <w:hideMark/>
          </w:tcPr>
          <w:p w14:paraId="1EB3EF99" w14:textId="52FC052F"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43.443,33</w:t>
            </w:r>
          </w:p>
        </w:tc>
        <w:tc>
          <w:tcPr>
            <w:tcW w:w="1117" w:type="pct"/>
            <w:hideMark/>
          </w:tcPr>
          <w:p w14:paraId="77FB8A02" w14:textId="03486D6B"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0,74</w:t>
            </w:r>
            <w:r w:rsidR="00910886" w:rsidRPr="00840FDB">
              <w:rPr>
                <w:rFonts w:eastAsia="Times New Roman" w:cstheme="minorHAnsi"/>
                <w:lang w:eastAsia="pt-BR"/>
              </w:rPr>
              <w:t>%</w:t>
            </w:r>
          </w:p>
        </w:tc>
      </w:tr>
      <w:tr w:rsidR="00910886" w:rsidRPr="00840FDB" w14:paraId="2BEA4EAF" w14:textId="77777777" w:rsidTr="00855728">
        <w:tc>
          <w:tcPr>
            <w:tcW w:w="2588" w:type="pct"/>
            <w:hideMark/>
          </w:tcPr>
          <w:p w14:paraId="47B9F1B1" w14:textId="05589389"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Drenagem</w:t>
            </w:r>
          </w:p>
        </w:tc>
        <w:tc>
          <w:tcPr>
            <w:tcW w:w="1295" w:type="pct"/>
            <w:hideMark/>
          </w:tcPr>
          <w:p w14:paraId="4379E32D" w14:textId="2A557109"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337.435,81</w:t>
            </w:r>
          </w:p>
        </w:tc>
        <w:tc>
          <w:tcPr>
            <w:tcW w:w="1117" w:type="pct"/>
            <w:hideMark/>
          </w:tcPr>
          <w:p w14:paraId="360D00F4" w14:textId="05B6C3FA"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5,78</w:t>
            </w:r>
            <w:r w:rsidR="00910886" w:rsidRPr="00840FDB">
              <w:rPr>
                <w:rFonts w:eastAsia="Times New Roman" w:cstheme="minorHAnsi"/>
                <w:lang w:eastAsia="pt-BR"/>
              </w:rPr>
              <w:t>%</w:t>
            </w:r>
          </w:p>
        </w:tc>
      </w:tr>
      <w:tr w:rsidR="00910886" w:rsidRPr="00840FDB" w14:paraId="548AE1D8" w14:textId="77777777" w:rsidTr="00855728">
        <w:tc>
          <w:tcPr>
            <w:tcW w:w="2588" w:type="pct"/>
            <w:hideMark/>
          </w:tcPr>
          <w:p w14:paraId="29CD065C" w14:textId="07EA2540"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Base sub-base</w:t>
            </w:r>
          </w:p>
        </w:tc>
        <w:tc>
          <w:tcPr>
            <w:tcW w:w="1295" w:type="pct"/>
            <w:hideMark/>
          </w:tcPr>
          <w:p w14:paraId="3979BB15" w14:textId="654C4546"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1.904.860,00</w:t>
            </w:r>
          </w:p>
        </w:tc>
        <w:tc>
          <w:tcPr>
            <w:tcW w:w="1117" w:type="pct"/>
            <w:hideMark/>
          </w:tcPr>
          <w:p w14:paraId="0E0AEF4C" w14:textId="7E4BCD2C"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32,66</w:t>
            </w:r>
            <w:r w:rsidR="00910886" w:rsidRPr="00840FDB">
              <w:rPr>
                <w:rFonts w:eastAsia="Times New Roman" w:cstheme="minorHAnsi"/>
                <w:lang w:eastAsia="pt-BR"/>
              </w:rPr>
              <w:t>%</w:t>
            </w:r>
          </w:p>
        </w:tc>
      </w:tr>
      <w:tr w:rsidR="00910886" w:rsidRPr="00840FDB" w14:paraId="0E929A05" w14:textId="77777777" w:rsidTr="00855728">
        <w:tc>
          <w:tcPr>
            <w:tcW w:w="2588" w:type="pct"/>
            <w:hideMark/>
          </w:tcPr>
          <w:p w14:paraId="6F06EDE3" w14:textId="435A2E02"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Revestimento</w:t>
            </w:r>
          </w:p>
        </w:tc>
        <w:tc>
          <w:tcPr>
            <w:tcW w:w="1295" w:type="pct"/>
            <w:hideMark/>
          </w:tcPr>
          <w:p w14:paraId="77E1162C" w14:textId="11937862"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3.237.917,45</w:t>
            </w:r>
          </w:p>
        </w:tc>
        <w:tc>
          <w:tcPr>
            <w:tcW w:w="1117" w:type="pct"/>
            <w:hideMark/>
          </w:tcPr>
          <w:p w14:paraId="111C87CE" w14:textId="566BCC7F"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55,51</w:t>
            </w:r>
            <w:r w:rsidR="00910886" w:rsidRPr="00840FDB">
              <w:rPr>
                <w:rFonts w:eastAsia="Times New Roman" w:cstheme="minorHAnsi"/>
                <w:lang w:eastAsia="pt-BR"/>
              </w:rPr>
              <w:t>%</w:t>
            </w:r>
          </w:p>
        </w:tc>
      </w:tr>
      <w:tr w:rsidR="00910886" w:rsidRPr="00840FDB" w14:paraId="31ACE8C7" w14:textId="77777777" w:rsidTr="00855728">
        <w:tc>
          <w:tcPr>
            <w:tcW w:w="2588" w:type="pct"/>
            <w:hideMark/>
          </w:tcPr>
          <w:p w14:paraId="292B5D6D" w14:textId="12904DC3" w:rsidR="00910886" w:rsidRPr="00840FDB" w:rsidRDefault="00E234A2" w:rsidP="00855728">
            <w:pPr>
              <w:spacing w:line="276" w:lineRule="auto"/>
              <w:jc w:val="both"/>
              <w:rPr>
                <w:rFonts w:eastAsia="Times New Roman" w:cstheme="minorHAnsi"/>
                <w:lang w:eastAsia="pt-BR"/>
              </w:rPr>
            </w:pPr>
            <w:r>
              <w:rPr>
                <w:rFonts w:eastAsia="Times New Roman" w:cstheme="minorHAnsi"/>
                <w:lang w:eastAsia="pt-BR"/>
              </w:rPr>
              <w:t>Plantio de grama em placas</w:t>
            </w:r>
          </w:p>
        </w:tc>
        <w:tc>
          <w:tcPr>
            <w:tcW w:w="1295" w:type="pct"/>
            <w:hideMark/>
          </w:tcPr>
          <w:p w14:paraId="7FABED7E" w14:textId="4266BC6F"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125.972,23</w:t>
            </w:r>
          </w:p>
        </w:tc>
        <w:tc>
          <w:tcPr>
            <w:tcW w:w="1117" w:type="pct"/>
            <w:hideMark/>
          </w:tcPr>
          <w:p w14:paraId="01C3053F" w14:textId="27CFE25F"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2,16</w:t>
            </w:r>
            <w:r w:rsidR="00910886" w:rsidRPr="00840FDB">
              <w:rPr>
                <w:rFonts w:eastAsia="Times New Roman" w:cstheme="minorHAnsi"/>
                <w:lang w:eastAsia="pt-BR"/>
              </w:rPr>
              <w:t>%</w:t>
            </w:r>
          </w:p>
        </w:tc>
      </w:tr>
      <w:tr w:rsidR="00CC4BE2" w:rsidRPr="00840FDB" w14:paraId="52A320E2" w14:textId="77777777" w:rsidTr="00855728">
        <w:tc>
          <w:tcPr>
            <w:tcW w:w="2588" w:type="pct"/>
          </w:tcPr>
          <w:p w14:paraId="21537AE0" w14:textId="47C6403C" w:rsidR="00CC4BE2" w:rsidRDefault="00CC4BE2" w:rsidP="00855728">
            <w:pPr>
              <w:jc w:val="both"/>
              <w:rPr>
                <w:rFonts w:eastAsia="Times New Roman" w:cstheme="minorHAnsi"/>
                <w:lang w:eastAsia="pt-BR"/>
              </w:rPr>
            </w:pPr>
            <w:r>
              <w:rPr>
                <w:rFonts w:eastAsia="Times New Roman" w:cstheme="minorHAnsi"/>
                <w:lang w:eastAsia="pt-BR"/>
              </w:rPr>
              <w:t>Sinalização de trânsito</w:t>
            </w:r>
          </w:p>
        </w:tc>
        <w:tc>
          <w:tcPr>
            <w:tcW w:w="1295" w:type="pct"/>
          </w:tcPr>
          <w:p w14:paraId="1A9D9E7F" w14:textId="19AC90F5" w:rsidR="00CC4BE2" w:rsidRDefault="00CC4BE2" w:rsidP="00855728">
            <w:pPr>
              <w:jc w:val="both"/>
              <w:rPr>
                <w:rFonts w:eastAsia="Times New Roman" w:cstheme="minorHAnsi"/>
                <w:lang w:eastAsia="pt-BR"/>
              </w:rPr>
            </w:pPr>
            <w:r>
              <w:rPr>
                <w:rFonts w:eastAsia="Times New Roman" w:cstheme="minorHAnsi"/>
                <w:lang w:eastAsia="pt-BR"/>
              </w:rPr>
              <w:t>66.758,77</w:t>
            </w:r>
          </w:p>
        </w:tc>
        <w:tc>
          <w:tcPr>
            <w:tcW w:w="1117" w:type="pct"/>
          </w:tcPr>
          <w:p w14:paraId="2BD62DAD" w14:textId="4F163150" w:rsidR="00CC4BE2" w:rsidRPr="00840FDB" w:rsidRDefault="007A67D8" w:rsidP="00855728">
            <w:pPr>
              <w:jc w:val="both"/>
              <w:rPr>
                <w:rFonts w:eastAsia="Times New Roman" w:cstheme="minorHAnsi"/>
                <w:lang w:eastAsia="pt-BR"/>
              </w:rPr>
            </w:pPr>
            <w:r>
              <w:rPr>
                <w:rFonts w:eastAsia="Times New Roman" w:cstheme="minorHAnsi"/>
                <w:lang w:eastAsia="pt-BR"/>
              </w:rPr>
              <w:t>1,15%</w:t>
            </w:r>
          </w:p>
        </w:tc>
      </w:tr>
      <w:tr w:rsidR="00910886" w:rsidRPr="00840FDB" w14:paraId="3C44B111" w14:textId="77777777" w:rsidTr="00855728">
        <w:tc>
          <w:tcPr>
            <w:tcW w:w="2588" w:type="pct"/>
            <w:hideMark/>
          </w:tcPr>
          <w:p w14:paraId="516AD82F" w14:textId="74660D8D" w:rsidR="00910886" w:rsidRPr="00840FDB" w:rsidRDefault="00E234A2" w:rsidP="00855728">
            <w:pPr>
              <w:spacing w:line="276" w:lineRule="auto"/>
              <w:jc w:val="both"/>
              <w:rPr>
                <w:rFonts w:eastAsia="Times New Roman" w:cstheme="minorHAnsi"/>
                <w:lang w:eastAsia="pt-BR"/>
              </w:rPr>
            </w:pPr>
            <w:proofErr w:type="spellStart"/>
            <w:r>
              <w:rPr>
                <w:rFonts w:eastAsia="Times New Roman" w:cstheme="minorHAnsi"/>
                <w:lang w:eastAsia="pt-BR"/>
              </w:rPr>
              <w:t>Ensaior</w:t>
            </w:r>
            <w:proofErr w:type="spellEnd"/>
            <w:r>
              <w:rPr>
                <w:rFonts w:eastAsia="Times New Roman" w:cstheme="minorHAnsi"/>
                <w:lang w:eastAsia="pt-BR"/>
              </w:rPr>
              <w:t xml:space="preserve"> </w:t>
            </w:r>
            <w:proofErr w:type="spellStart"/>
            <w:r>
              <w:rPr>
                <w:rFonts w:eastAsia="Times New Roman" w:cstheme="minorHAnsi"/>
                <w:lang w:eastAsia="pt-BR"/>
              </w:rPr>
              <w:t>técnológicos</w:t>
            </w:r>
            <w:proofErr w:type="spellEnd"/>
          </w:p>
        </w:tc>
        <w:tc>
          <w:tcPr>
            <w:tcW w:w="1295" w:type="pct"/>
            <w:hideMark/>
          </w:tcPr>
          <w:p w14:paraId="0AF47545" w14:textId="46929C8E" w:rsidR="00910886" w:rsidRPr="00840FDB" w:rsidRDefault="00CC4BE2" w:rsidP="00855728">
            <w:pPr>
              <w:spacing w:line="276" w:lineRule="auto"/>
              <w:jc w:val="both"/>
              <w:rPr>
                <w:rFonts w:eastAsia="Times New Roman" w:cstheme="minorHAnsi"/>
                <w:lang w:eastAsia="pt-BR"/>
              </w:rPr>
            </w:pPr>
            <w:r>
              <w:rPr>
                <w:rFonts w:eastAsia="Times New Roman" w:cstheme="minorHAnsi"/>
                <w:lang w:eastAsia="pt-BR"/>
              </w:rPr>
              <w:t>83.988,20</w:t>
            </w:r>
          </w:p>
        </w:tc>
        <w:tc>
          <w:tcPr>
            <w:tcW w:w="1117" w:type="pct"/>
            <w:hideMark/>
          </w:tcPr>
          <w:p w14:paraId="5F4384A6" w14:textId="1443D23B" w:rsidR="00910886" w:rsidRPr="00840FDB" w:rsidRDefault="007A67D8" w:rsidP="00855728">
            <w:pPr>
              <w:spacing w:line="276" w:lineRule="auto"/>
              <w:jc w:val="both"/>
              <w:rPr>
                <w:rFonts w:eastAsia="Times New Roman" w:cstheme="minorHAnsi"/>
                <w:lang w:eastAsia="pt-BR"/>
              </w:rPr>
            </w:pPr>
            <w:r>
              <w:rPr>
                <w:rFonts w:eastAsia="Times New Roman" w:cstheme="minorHAnsi"/>
                <w:lang w:eastAsia="pt-BR"/>
              </w:rPr>
              <w:t>1,44</w:t>
            </w:r>
            <w:r w:rsidR="00910886" w:rsidRPr="00840FDB">
              <w:rPr>
                <w:rFonts w:eastAsia="Times New Roman" w:cstheme="minorHAnsi"/>
                <w:lang w:eastAsia="pt-BR"/>
              </w:rPr>
              <w:t>%</w:t>
            </w:r>
          </w:p>
        </w:tc>
      </w:tr>
      <w:tr w:rsidR="00910886" w:rsidRPr="00840FDB" w14:paraId="0AC82438" w14:textId="77777777" w:rsidTr="00855728">
        <w:tc>
          <w:tcPr>
            <w:tcW w:w="2588" w:type="pct"/>
            <w:hideMark/>
          </w:tcPr>
          <w:p w14:paraId="628E8AC2" w14:textId="77777777" w:rsidR="00910886" w:rsidRPr="00840FDB" w:rsidRDefault="00910886" w:rsidP="00855728">
            <w:pPr>
              <w:spacing w:line="276" w:lineRule="auto"/>
              <w:jc w:val="both"/>
              <w:rPr>
                <w:rFonts w:eastAsia="Times New Roman" w:cstheme="minorHAnsi"/>
                <w:lang w:eastAsia="pt-BR"/>
              </w:rPr>
            </w:pPr>
            <w:r w:rsidRPr="00840FDB">
              <w:rPr>
                <w:rFonts w:eastAsia="Times New Roman" w:cstheme="minorHAnsi"/>
                <w:b/>
                <w:bCs/>
                <w:lang w:eastAsia="pt-BR"/>
              </w:rPr>
              <w:t>TOTAL GERAL</w:t>
            </w:r>
          </w:p>
        </w:tc>
        <w:tc>
          <w:tcPr>
            <w:tcW w:w="1295" w:type="pct"/>
            <w:hideMark/>
          </w:tcPr>
          <w:p w14:paraId="116E1FA1" w14:textId="436CB82D" w:rsidR="00910886" w:rsidRPr="00840FDB" w:rsidRDefault="00CC4BE2" w:rsidP="00855728">
            <w:pPr>
              <w:spacing w:line="276" w:lineRule="auto"/>
              <w:jc w:val="both"/>
              <w:rPr>
                <w:rFonts w:eastAsia="Times New Roman" w:cstheme="minorHAnsi"/>
                <w:lang w:eastAsia="pt-BR"/>
              </w:rPr>
            </w:pPr>
            <w:r>
              <w:rPr>
                <w:rFonts w:eastAsia="Times New Roman" w:cstheme="minorHAnsi"/>
                <w:b/>
                <w:bCs/>
                <w:lang w:eastAsia="pt-BR"/>
              </w:rPr>
              <w:t>5.833.099,01</w:t>
            </w:r>
          </w:p>
        </w:tc>
        <w:tc>
          <w:tcPr>
            <w:tcW w:w="1117" w:type="pct"/>
            <w:hideMark/>
          </w:tcPr>
          <w:p w14:paraId="48C00D39" w14:textId="77777777" w:rsidR="00910886" w:rsidRPr="00840FDB" w:rsidRDefault="00910886" w:rsidP="00855728">
            <w:pPr>
              <w:spacing w:line="276" w:lineRule="auto"/>
              <w:jc w:val="both"/>
              <w:rPr>
                <w:rFonts w:eastAsia="Times New Roman" w:cstheme="minorHAnsi"/>
                <w:lang w:eastAsia="pt-BR"/>
              </w:rPr>
            </w:pPr>
            <w:r w:rsidRPr="00840FDB">
              <w:rPr>
                <w:rFonts w:eastAsia="Times New Roman" w:cstheme="minorHAnsi"/>
                <w:b/>
                <w:bCs/>
                <w:lang w:eastAsia="pt-BR"/>
              </w:rPr>
              <w:t>100,00%</w:t>
            </w:r>
          </w:p>
        </w:tc>
      </w:tr>
    </w:tbl>
    <w:p w14:paraId="3B222A06" w14:textId="59BA96B8"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Custo Médio por Metro Quadrado:</w:t>
      </w:r>
      <w:r w:rsidRPr="00840FDB">
        <w:rPr>
          <w:rFonts w:eastAsia="Times New Roman" w:cstheme="minorHAnsi"/>
          <w:lang w:eastAsia="pt-BR"/>
        </w:rPr>
        <w:t xml:space="preserve"> R$ </w:t>
      </w:r>
      <w:r w:rsidR="007A67D8">
        <w:rPr>
          <w:rFonts w:eastAsia="Times New Roman" w:cstheme="minorHAnsi"/>
          <w:lang w:eastAsia="pt-BR"/>
        </w:rPr>
        <w:t>155</w:t>
      </w:r>
      <w:r w:rsidRPr="00840FDB">
        <w:rPr>
          <w:rFonts w:eastAsia="Times New Roman" w:cstheme="minorHAnsi"/>
          <w:lang w:eastAsia="pt-BR"/>
        </w:rPr>
        <w:t>,</w:t>
      </w:r>
      <w:r w:rsidR="007A67D8">
        <w:rPr>
          <w:rFonts w:eastAsia="Times New Roman" w:cstheme="minorHAnsi"/>
          <w:lang w:eastAsia="pt-BR"/>
        </w:rPr>
        <w:t>72</w:t>
      </w:r>
      <w:r w:rsidRPr="00840FDB">
        <w:rPr>
          <w:rFonts w:eastAsia="Times New Roman" w:cstheme="minorHAnsi"/>
          <w:lang w:eastAsia="pt-BR"/>
        </w:rPr>
        <w:t>/m²</w:t>
      </w:r>
    </w:p>
    <w:p w14:paraId="28B2EC11" w14:textId="77777777" w:rsidR="00910886" w:rsidRPr="00840FDB" w:rsidRDefault="00910886" w:rsidP="00910886">
      <w:pPr>
        <w:spacing w:after="0"/>
        <w:jc w:val="both"/>
        <w:rPr>
          <w:rFonts w:eastAsia="Times New Roman" w:cstheme="minorHAnsi"/>
          <w:lang w:eastAsia="pt-BR"/>
        </w:rPr>
      </w:pPr>
      <w:r w:rsidRPr="00840FDB">
        <w:rPr>
          <w:rFonts w:eastAsia="Times New Roman" w:cstheme="minorHAnsi"/>
          <w:b/>
          <w:bCs/>
          <w:lang w:eastAsia="pt-BR"/>
        </w:rPr>
        <w:t>10.6 - Composição do Investimento:</w:t>
      </w:r>
    </w:p>
    <w:p w14:paraId="73171161" w14:textId="6DD33C0C" w:rsidR="00910886" w:rsidRPr="00840FDB" w:rsidRDefault="00910886" w:rsidP="00910886">
      <w:pPr>
        <w:numPr>
          <w:ilvl w:val="0"/>
          <w:numId w:val="30"/>
        </w:numPr>
        <w:spacing w:after="0"/>
        <w:jc w:val="both"/>
        <w:rPr>
          <w:rFonts w:eastAsia="Times New Roman" w:cstheme="minorHAnsi"/>
          <w:lang w:eastAsia="pt-BR"/>
        </w:rPr>
      </w:pPr>
      <w:r w:rsidRPr="00840FDB">
        <w:rPr>
          <w:rFonts w:eastAsia="Times New Roman" w:cstheme="minorHAnsi"/>
          <w:b/>
          <w:bCs/>
          <w:lang w:eastAsia="pt-BR"/>
        </w:rPr>
        <w:t>Repasse do Concedente (Estado do Paraná via convênio SECID/PARANACIDADE):</w:t>
      </w:r>
      <w:r w:rsidRPr="00840FDB">
        <w:rPr>
          <w:rFonts w:eastAsia="Times New Roman" w:cstheme="minorHAnsi"/>
          <w:lang w:eastAsia="pt-BR"/>
        </w:rPr>
        <w:t xml:space="preserve"> R$ </w:t>
      </w:r>
      <w:r w:rsidR="007A67D8">
        <w:rPr>
          <w:rFonts w:eastAsia="Times New Roman" w:cstheme="minorHAnsi"/>
          <w:lang w:eastAsia="pt-BR"/>
        </w:rPr>
        <w:t>5.833.099,01</w:t>
      </w:r>
      <w:r w:rsidRPr="00840FDB">
        <w:rPr>
          <w:rFonts w:eastAsia="Times New Roman" w:cstheme="minorHAnsi"/>
          <w:lang w:eastAsia="pt-BR"/>
        </w:rPr>
        <w:t xml:space="preserve"> (</w:t>
      </w:r>
      <w:r w:rsidR="007A67D8">
        <w:rPr>
          <w:rFonts w:eastAsia="Times New Roman" w:cstheme="minorHAnsi"/>
          <w:lang w:eastAsia="pt-BR"/>
        </w:rPr>
        <w:t>100%</w:t>
      </w:r>
      <w:r w:rsidRPr="00840FDB">
        <w:rPr>
          <w:rFonts w:eastAsia="Times New Roman" w:cstheme="minorHAnsi"/>
          <w:lang w:eastAsia="pt-BR"/>
        </w:rPr>
        <w:t xml:space="preserve"> do valor total)</w:t>
      </w:r>
    </w:p>
    <w:p w14:paraId="5702A1D6" w14:textId="1F824B67" w:rsidR="00910886" w:rsidRPr="00840FDB" w:rsidRDefault="00910886" w:rsidP="00910886">
      <w:pPr>
        <w:numPr>
          <w:ilvl w:val="0"/>
          <w:numId w:val="30"/>
        </w:numPr>
        <w:spacing w:after="0"/>
        <w:jc w:val="both"/>
        <w:rPr>
          <w:rFonts w:eastAsia="Times New Roman" w:cstheme="minorHAnsi"/>
          <w:lang w:eastAsia="pt-BR"/>
        </w:rPr>
      </w:pPr>
      <w:r w:rsidRPr="00840FDB">
        <w:rPr>
          <w:rFonts w:eastAsia="Times New Roman" w:cstheme="minorHAnsi"/>
          <w:b/>
          <w:bCs/>
          <w:lang w:eastAsia="pt-BR"/>
        </w:rPr>
        <w:t>Contrapartida do Município de Nova Prata do Iguaçu:</w:t>
      </w:r>
      <w:r w:rsidRPr="00840FDB">
        <w:rPr>
          <w:rFonts w:eastAsia="Times New Roman" w:cstheme="minorHAnsi"/>
          <w:lang w:eastAsia="pt-BR"/>
        </w:rPr>
        <w:t xml:space="preserve"> </w:t>
      </w:r>
      <w:r w:rsidR="007A67D8">
        <w:rPr>
          <w:rFonts w:eastAsia="Times New Roman" w:cstheme="minorHAnsi"/>
          <w:lang w:eastAsia="pt-BR"/>
        </w:rPr>
        <w:t>sem contrapartida do Município.</w:t>
      </w:r>
    </w:p>
    <w:p w14:paraId="1B07624A" w14:textId="4E4BC510" w:rsidR="00910886" w:rsidRPr="00840FDB" w:rsidRDefault="00910886" w:rsidP="00910886">
      <w:pPr>
        <w:numPr>
          <w:ilvl w:val="0"/>
          <w:numId w:val="30"/>
        </w:numPr>
        <w:spacing w:after="0"/>
        <w:jc w:val="both"/>
        <w:rPr>
          <w:rFonts w:eastAsia="Times New Roman" w:cstheme="minorHAnsi"/>
          <w:lang w:eastAsia="pt-BR"/>
        </w:rPr>
      </w:pPr>
      <w:r w:rsidRPr="00840FDB">
        <w:rPr>
          <w:rFonts w:eastAsia="Times New Roman" w:cstheme="minorHAnsi"/>
          <w:b/>
          <w:bCs/>
          <w:lang w:eastAsia="pt-BR"/>
        </w:rPr>
        <w:t>Valor Total:</w:t>
      </w:r>
      <w:r w:rsidRPr="00840FDB">
        <w:rPr>
          <w:rFonts w:eastAsia="Times New Roman" w:cstheme="minorHAnsi"/>
          <w:lang w:eastAsia="pt-BR"/>
        </w:rPr>
        <w:t xml:space="preserve"> R$ </w:t>
      </w:r>
      <w:r w:rsidR="007A67D8">
        <w:rPr>
          <w:rFonts w:eastAsia="Times New Roman" w:cstheme="minorHAnsi"/>
          <w:lang w:eastAsia="pt-BR"/>
        </w:rPr>
        <w:t>5.833.099,01</w:t>
      </w:r>
      <w:r w:rsidR="007A67D8" w:rsidRPr="00840FDB">
        <w:rPr>
          <w:rFonts w:eastAsia="Times New Roman" w:cstheme="minorHAnsi"/>
          <w:lang w:eastAsia="pt-BR"/>
        </w:rPr>
        <w:t xml:space="preserve"> </w:t>
      </w:r>
      <w:bookmarkStart w:id="0" w:name="_Hlk215598133"/>
      <w:r w:rsidRPr="00840FDB">
        <w:rPr>
          <w:rFonts w:eastAsia="Times New Roman" w:cstheme="minorHAnsi"/>
          <w:lang w:eastAsia="pt-BR"/>
        </w:rPr>
        <w:t>(100,00%)</w:t>
      </w:r>
    </w:p>
    <w:bookmarkEnd w:id="0"/>
    <w:p w14:paraId="2F28B798" w14:textId="055278AB" w:rsidR="00EB2BC7" w:rsidRPr="00EB2BC7" w:rsidRDefault="00910886" w:rsidP="00910886">
      <w:pPr>
        <w:widowControl w:val="0"/>
        <w:spacing w:after="0"/>
        <w:jc w:val="both"/>
        <w:outlineLvl w:val="1"/>
        <w:rPr>
          <w:rFonts w:eastAsia="Times New Roman" w:cstheme="minorHAnsi"/>
          <w:b/>
          <w:bCs/>
          <w:lang w:eastAsia="pt-BR"/>
        </w:rPr>
      </w:pPr>
      <w:r w:rsidRPr="00840FDB">
        <w:rPr>
          <w:rFonts w:eastAsia="Times New Roman" w:cstheme="minorHAnsi"/>
          <w:b/>
          <w:bCs/>
          <w:lang w:eastAsia="pt-BR"/>
        </w:rPr>
        <w:t>10.7 - Data base do orçamento:</w:t>
      </w:r>
      <w:r w:rsidRPr="00840FDB">
        <w:rPr>
          <w:rFonts w:eastAsia="Times New Roman" w:cstheme="minorHAnsi"/>
          <w:lang w:eastAsia="pt-BR"/>
        </w:rPr>
        <w:t xml:space="preserve"> </w:t>
      </w:r>
      <w:proofErr w:type="gramStart"/>
      <w:r w:rsidRPr="00840FDB">
        <w:rPr>
          <w:rFonts w:eastAsia="Times New Roman" w:cstheme="minorHAnsi"/>
          <w:lang w:eastAsia="pt-BR"/>
        </w:rPr>
        <w:t>Outubro</w:t>
      </w:r>
      <w:proofErr w:type="gramEnd"/>
      <w:r w:rsidRPr="00840FDB">
        <w:rPr>
          <w:rFonts w:eastAsia="Times New Roman" w:cstheme="minorHAnsi"/>
          <w:lang w:eastAsia="pt-BR"/>
        </w:rPr>
        <w:t xml:space="preserve"> de 2025, conforme Decreto Estadual 10.086/22 do Paraná que regulamenta a Lei 14.133/21 e tabelas DER/PR e SINAPI vigentes.</w:t>
      </w:r>
      <w:r w:rsidR="00B76D3E">
        <w:rPr>
          <w:rFonts w:cstheme="minorHAnsi"/>
        </w:rPr>
        <w:pict w14:anchorId="6F6247F6">
          <v:rect id="_x0000_i1034" style="width:0;height:1.5pt" o:hralign="center" o:hrstd="t" o:hr="t" fillcolor="#a0a0a0" stroked="f"/>
        </w:pict>
      </w:r>
      <w:r w:rsidR="00EB2BC7" w:rsidRPr="00EB2BC7">
        <w:rPr>
          <w:rFonts w:eastAsia="Times New Roman" w:cstheme="minorHAnsi"/>
          <w:b/>
          <w:bCs/>
          <w:lang w:eastAsia="pt-BR"/>
        </w:rPr>
        <w:t>11. JUSTIFICATIVA PARA O PARCELAMENTO OU NÃO DA SOLUÇÃO</w:t>
      </w:r>
    </w:p>
    <w:p w14:paraId="51823755"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11.1 - Definição da Estrutura Adotada</w:t>
      </w:r>
    </w:p>
    <w:p w14:paraId="0B91929F" w14:textId="3AF0E6A9"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presente contratação será estruturada em </w:t>
      </w:r>
      <w:r w:rsidRPr="00840FDB">
        <w:rPr>
          <w:rFonts w:eastAsia="Times New Roman" w:cstheme="minorHAnsi"/>
          <w:b/>
          <w:bCs/>
          <w:lang w:eastAsia="pt-BR"/>
        </w:rPr>
        <w:t>lote único</w:t>
      </w:r>
      <w:r w:rsidRPr="00840FDB">
        <w:rPr>
          <w:rFonts w:eastAsia="Times New Roman" w:cstheme="minorHAnsi"/>
          <w:lang w:eastAsia="pt-BR"/>
        </w:rPr>
        <w:t>, sem parcelamento do objeto, contemplando todos os serviços de pavimentação asfáltica especificados como conjunto integrado destinado à melhoria da infraestrutura rodoviária regional. Os componentes envolvidos na contratação compreendem serviços de diferentes naturezas (remendos profundos, base em BGS, revestimento asfáltico em CBUQ, drenagem pluvial, sinalização viária, serviços complementares, mobilização e desmobilização</w:t>
      </w:r>
      <w:r w:rsidR="000C5EF6">
        <w:rPr>
          <w:rFonts w:eastAsia="Times New Roman" w:cstheme="minorHAnsi"/>
          <w:lang w:eastAsia="pt-BR"/>
        </w:rPr>
        <w:t xml:space="preserve"> e ensaios tecnológicos</w:t>
      </w:r>
      <w:r w:rsidRPr="00840FDB">
        <w:rPr>
          <w:rFonts w:eastAsia="Times New Roman" w:cstheme="minorHAnsi"/>
          <w:lang w:eastAsia="pt-BR"/>
        </w:rPr>
        <w:t xml:space="preserve">) que, embora tecnicamente distintos, integram um programa único de infraestrutura rodoviária voltado à melhoria das condições de mobilidade regional, escoamento da produção agropecuária, integração territorial e desenvolvimento econômico local. A justificativa inicial para escolha desta estrutura conecta-se diretamente com as finalidades do programa </w:t>
      </w:r>
      <w:r w:rsidR="006F6B54">
        <w:rPr>
          <w:rFonts w:eastAsia="Times New Roman" w:cstheme="minorHAnsi"/>
          <w:lang w:eastAsia="pt-BR"/>
        </w:rPr>
        <w:t xml:space="preserve">de Governos de Transferências Voluntária </w:t>
      </w:r>
      <w:r w:rsidRPr="00840FDB">
        <w:rPr>
          <w:rFonts w:eastAsia="Times New Roman" w:cstheme="minorHAnsi"/>
          <w:lang w:eastAsia="pt-BR"/>
        </w:rPr>
        <w:t xml:space="preserve">de pavimentação asfáltica </w:t>
      </w:r>
      <w:r w:rsidR="006F6B54">
        <w:rPr>
          <w:rFonts w:eastAsia="Times New Roman" w:cstheme="minorHAnsi"/>
          <w:lang w:eastAsia="pt-BR"/>
        </w:rPr>
        <w:t>em estradas rurais</w:t>
      </w:r>
      <w:r w:rsidRPr="00840FDB">
        <w:rPr>
          <w:rFonts w:eastAsia="Times New Roman" w:cstheme="minorHAnsi"/>
          <w:lang w:eastAsia="pt-BR"/>
        </w:rPr>
        <w:t>.</w:t>
      </w:r>
    </w:p>
    <w:p w14:paraId="6AB28FF6"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11.2 - Análise da Interdependência Técnica</w:t>
      </w:r>
    </w:p>
    <w:p w14:paraId="5F49C507" w14:textId="3D40B35A"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serviços de pavimentação asfáltica compõem um conjunto funcional único destinado à execução completa e adequada da </w:t>
      </w:r>
      <w:r w:rsidR="00987694">
        <w:rPr>
          <w:rFonts w:eastAsia="Times New Roman" w:cstheme="minorHAnsi"/>
          <w:lang w:eastAsia="pt-BR"/>
        </w:rPr>
        <w:t>estrada rural</w:t>
      </w:r>
      <w:r w:rsidRPr="00840FDB">
        <w:rPr>
          <w:rFonts w:eastAsia="Times New Roman" w:cstheme="minorHAnsi"/>
          <w:lang w:eastAsia="pt-BR"/>
        </w:rPr>
        <w:t xml:space="preserve"> através de etapas sequenciais e tecnicamente interdependentes. Os elementos se complementam ao formar estrutura de pavimento adequadamente dimensionada através de </w:t>
      </w:r>
      <w:proofErr w:type="spellStart"/>
      <w:r w:rsidR="00987694">
        <w:rPr>
          <w:rFonts w:eastAsia="Times New Roman" w:cstheme="minorHAnsi"/>
          <w:lang w:eastAsia="pt-BR"/>
        </w:rPr>
        <w:t>ensasior</w:t>
      </w:r>
      <w:proofErr w:type="spellEnd"/>
      <w:r w:rsidR="00987694">
        <w:rPr>
          <w:rFonts w:eastAsia="Times New Roman" w:cstheme="minorHAnsi"/>
          <w:lang w:eastAsia="pt-BR"/>
        </w:rPr>
        <w:t xml:space="preserve"> de CBR – ÍNDICE DE SUPORTE CALIFÔRNIA,</w:t>
      </w:r>
      <w:r w:rsidRPr="00840FDB">
        <w:rPr>
          <w:rFonts w:eastAsia="Times New Roman" w:cstheme="minorHAnsi"/>
          <w:lang w:eastAsia="pt-BR"/>
        </w:rPr>
        <w:t xml:space="preserve"> com correção prévia dos pontos críticos através de remendos profundos, camadas estruturais interdependentes (base em BGS, imprimação, pintura de ligação, CBUQ), sistemas integrados de drenagem pluvial (bueiros</w:t>
      </w:r>
      <w:r w:rsidR="00C52A3A">
        <w:rPr>
          <w:rFonts w:eastAsia="Times New Roman" w:cstheme="minorHAnsi"/>
          <w:lang w:eastAsia="pt-BR"/>
        </w:rPr>
        <w:t xml:space="preserve"> e</w:t>
      </w:r>
      <w:r w:rsidRPr="00840FDB">
        <w:rPr>
          <w:rFonts w:eastAsia="Times New Roman" w:cstheme="minorHAnsi"/>
          <w:lang w:eastAsia="pt-BR"/>
        </w:rPr>
        <w:t xml:space="preserve"> bocas</w:t>
      </w:r>
      <w:r w:rsidR="00C52A3A">
        <w:rPr>
          <w:rFonts w:eastAsia="Times New Roman" w:cstheme="minorHAnsi"/>
          <w:lang w:eastAsia="pt-BR"/>
        </w:rPr>
        <w:t xml:space="preserve"> de bueiro</w:t>
      </w:r>
      <w:r w:rsidRPr="00840FDB">
        <w:rPr>
          <w:rFonts w:eastAsia="Times New Roman" w:cstheme="minorHAnsi"/>
          <w:lang w:eastAsia="pt-BR"/>
        </w:rPr>
        <w:t>) projetados especificamente para o trecho, e segurança viária através de sinalização horizontal e vertical, criando infraestrutura rodoviária adequada e durável conforme normas do DER/PR e DNIT.</w:t>
      </w:r>
    </w:p>
    <w:p w14:paraId="2C1896A1"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Os riscos do fracionamento</w:t>
      </w:r>
      <w:r w:rsidRPr="00840FDB">
        <w:rPr>
          <w:rFonts w:eastAsia="Times New Roman" w:cstheme="minorHAnsi"/>
          <w:lang w:eastAsia="pt-BR"/>
        </w:rPr>
        <w:t xml:space="preserve"> incluem incompatibilidade técnica entre serviços executados por diferentes contratadas, especialmente considerando a necessidade de usina de asfalto específica localizada a menos de 60 km do município, comprometimento da qualidade final devido à falta de coordenação única de execução e controle tecnológico integrado, problemas graves de interface entre diferentes etapas executadas por fornecedores distintos (por exemplo, entre remendos profundos, base em BGS e CBUQ), dificuldade severa de atribuição de responsabilidades em caso de vícios ou defeitos no pavimento, perda da economia de escala na mobilização de equipamentos especializados (usina de asfalto,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rolos compactadores) e mão de obra qualificada, divergências nos padrões de qualidade e metodologia executiva entre diferentes contratadas especialmente quanto ao cumprimento das especificações do DER/PR, multiplicação dos custos de controle tecnológico que seria necessário para cada contratada separadamente, e comprometimento do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w:t>
      </w:r>
    </w:p>
    <w:p w14:paraId="46576658"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Os aspectos de integração e padronização necessários envolvem uniformidade rigorosa nos critérios de controle tecnológico através de laboratório habilitado único, padrões absolutamente consistentes de qualidade de materiais (agregados pétreos da mesma pedreira licenciada, CBUQ da mesma usina de asfalto, emulsões do mesmo fornecedor) e execução conforme especificações do DER/PR, coerência na metodologia executiva de todas as etapas desde remendos profundos até revestimento final, integração adequada entre os diversos sistemas (pavimentação, drenagem, sinalização) com recomposição adequada do pavimento nos locais de instalação de dispositivos de drenagem, gestão única e coordenada de toda a execução da obra incluindo administração local permanente, e controle integrado do cronograma físico-financeiro respeitando as interdependências técnicas entre etapas.</w:t>
      </w:r>
    </w:p>
    <w:p w14:paraId="21FE1F3A"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11.3 - Aspectos Operacionais e de Execução</w:t>
      </w:r>
    </w:p>
    <w:p w14:paraId="2D00C512"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atuação do contratado pressupõe capacidade técnica integrada para execução de obras de pavimentação asfáltica rodoviária conforme normas do DER/PR e DNIT, domínio das especificações de serviço do DER/PR (ES-PA-03/23, ES-P-05/2018, ES-P-17/23, ES-P-21/17, ES-P-13/05, ES-SV-03/23, ES-SV-09/23, ES-D-09/18, ES-D-05/18, ES-D-04/18), experiência em gestão de obras rodoviárias complexas com controle tecnológico rigoroso, disponibilidade de equipe técnica multidisciplinar (engenheiros civis, mestres de obras, operadores de máquinas especializados, laboratoristas), capacidade de mobilização de equipamentos especializados (usina de asfalto localizada a menos de 60 km,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com sistema de nivelamento eletrônico, rolos compactadores liso tandem e pneumático, caminhão espargidor, motoniveladora), infraestrutura própria ou contratada com licenciamento ambiental válido (pedreira licenciada pelo IAT, usina de asfalto licenciada pelo IAT), e capacidade de realização de controle tecnológico através de laboratório habilitado.</w:t>
      </w:r>
    </w:p>
    <w:p w14:paraId="11950494"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A uniformidade na execução mostra-se fundamental para garantir padrões consistentes de qualidade em todas as etapas da obra especialmente considerando o dimensionamento estrutural integrado baseado em deflexões, continuidade metodológica na execução dos serviços conforme especificações do DER/PR, controle tecnológico unificado e sistemático através do mesmo laboratório habilitado, integração adequada entre as diversas especialidades envolvidas (terraplenagem, pavimentação, drenagem, sinalização), e rastreabilidade completa dos materiais utilizados desde a origem (pedreira, usina de asfalto) até a aplicação final.</w:t>
      </w:r>
    </w:p>
    <w:p w14:paraId="1CDD6EB8" w14:textId="04351B80"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Os aspectos de coordenação e sincronização envolvem cronograma unificado de execução respeitando sequência técnica adequada</w:t>
      </w:r>
      <w:r w:rsidR="00176FDC">
        <w:rPr>
          <w:rFonts w:eastAsia="Times New Roman" w:cstheme="minorHAnsi"/>
          <w:lang w:eastAsia="pt-BR"/>
        </w:rPr>
        <w:t xml:space="preserve"> drenagem</w:t>
      </w:r>
      <w:r w:rsidRPr="00840FDB">
        <w:rPr>
          <w:rFonts w:eastAsia="Times New Roman" w:cstheme="minorHAnsi"/>
          <w:lang w:eastAsia="pt-BR"/>
        </w:rPr>
        <w:t xml:space="preserve"> </w:t>
      </w:r>
      <w:r w:rsidR="00176FDC" w:rsidRPr="00840FDB">
        <w:rPr>
          <w:rFonts w:eastAsia="Times New Roman" w:cstheme="minorHAnsi"/>
          <w:lang w:eastAsia="pt-BR"/>
        </w:rPr>
        <w:t xml:space="preserve">→ </w:t>
      </w:r>
      <w:r w:rsidRPr="00840FDB">
        <w:rPr>
          <w:rFonts w:eastAsia="Times New Roman" w:cstheme="minorHAnsi"/>
          <w:lang w:eastAsia="pt-BR"/>
        </w:rPr>
        <w:t>(remendos profundos → base BGS → imprimação → cura → pintura de ligação → CBUQ → sinalização), logística integrada de mobilização de equipamentos e materiais especialmente considerando a distância máxima de 60 km da usina de asfalto, controle tecnológico coordenado com laboratório especializado realizando todos os ensaios previstos nas especificações do DER/PR, gestão única de segurança do trabalho e sinalização de obras conforme Manual de Segurança em Rodovias do DER/PR, interface adequada com a fiscalização municipal e com o DER/PR quando necessário especialmente para aprovação de dosagem de CBUQ, e gestão integrada da administração local durante toda a execução.</w:t>
      </w:r>
    </w:p>
    <w:p w14:paraId="75ED5139"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Os requisitos de capacitação específica incluem conhecimento técnico especializado em pavimentação asfáltica rodoviária conforme normas do DER/PR e DNIT, domínio das especificações técnicas do DER/PR especialmente ES-P-21/17 para CBUQ, experiência comprovada em obras similares de pavimentação asfáltica rodoviária através de atestados técnicos, disponibilidade de responsável técnico habilitado no CREA com experiência em pavimentação asfáltica, estrutura operacional adequada para obras rodoviárias de médio porte, capacidade de atendimento às exigências de licenciamento ambiental (pedreira e usina de asfalto pelo IAT), e capacidade de realização de segmento experimental conforme previsto nas especificações do DER/PR.</w:t>
      </w:r>
    </w:p>
    <w:p w14:paraId="2C51E361"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11.4 - Análise de Riscos</w:t>
      </w:r>
    </w:p>
    <w:p w14:paraId="5C8CDAD3" w14:textId="52105935"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 eventual parcelamento do objeto poderia resultar em execuções de</w:t>
      </w:r>
      <w:r w:rsidR="00DE408C">
        <w:rPr>
          <w:rFonts w:eastAsia="Times New Roman" w:cstheme="minorHAnsi"/>
          <w:lang w:eastAsia="pt-BR"/>
        </w:rPr>
        <w:t xml:space="preserve"> </w:t>
      </w:r>
      <w:r w:rsidRPr="00840FDB">
        <w:rPr>
          <w:rFonts w:eastAsia="Times New Roman" w:cstheme="minorHAnsi"/>
          <w:lang w:eastAsia="pt-BR"/>
        </w:rPr>
        <w:t xml:space="preserve">coordenadas com diferentes padrões de qualidade comprometendo 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soluções técnicas incompatíveis entre fornecedores distintos especialmente quanto à origem dos materiais (diferentes pedreiras, diferentes usinas de asfalto com diferentes distâncias), problemas gravíssimos de interface entre etapas executadas por contratadas diferentes (por exemplo, compatibilidade entre base executada por uma empresa e CBUQ executado por outra), comprometimento severo da durabilidade e funcionalidade do pavimento devido à falta de integração técnica e controle tecnológico descoordenado, dificuldades extremas na atribuição de responsabilidades sobre defeitos e vícios construtivos pois não seria possível identificar qual contratada foi responsável por determinado problema estrutural, multiplicação dos custos de controle tecnológico pois cada contratada necessitaria de controle separado através de laboratórios diferentes, e impossibilidade prática de aproveitamento da economia de escala na mobilização de equipamentos especializados especialmente usina de asfalto.</w:t>
      </w:r>
    </w:p>
    <w:p w14:paraId="22B3C1A5"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 impacto na execução contratual seria gravíssimo, gerando necessidade de gestão múltipla e extremamente complexa de diversos contratos simultâneos com diferentes cronogramas e interdependências técnicas críticas, possíveis conflitos severos entre diferentes contratadas disputando espaço, cronograma e responsabilidades sobre interfaces, dificuldades operacionais monumentais na coordenação de diferentes frentes de trabalho especialmente considerando que a base deve estar pronta antes da imprimação e esta deve curar antes da pintura de ligação e aplicação do CBUQ, custos adicionais substanciais com fiscalização multiplicada e controle tecnológico separado para cada contratada, risco elevadíssimo de atrasos decorrentes da dependência crítica entre contratos distintos (por exemplo, se a empresa dos remendos profundos atrasar, todas as demais atrasarão em cascata), impossibilidade de responsabilização única pela qualidade final do pavimento pois a estrutura é resultado da integração de todas as camadas, e comprometimento da viabilidade econômica do projeto pois a perda de economia de escala poderia tornar o investimento economicamente inviável.</w:t>
      </w:r>
    </w:p>
    <w:p w14:paraId="6518AD7B"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prejuízos ao interesse público incluem redução drástica da eficiência administrativa com necessidade de gestão de múltiplos contratos complexos simultaneamente, aumento substancial e injustificado dos custos de gestão, fiscalização e controle tecnológico multiplicados, possível comprometimento grave da qualidade final da obra especialmente quanto à durabilidade estrutural do pavimento, riscos elevadíssimos relacionados à durabilidade e funcionalidade do pavimento considerando as interfaces entre camadas executadas por diferentes empresas, perda substancial da economia de escala que beneficia diretamente a administração pública especialmente na mobilização de usina de asfalto, maior complexidade exponencial e morosidade inaceitável na resolução de problemas que surgirem durante ou após a execução pela dificuldade de identificar responsabilidades, comprometimento do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pois cada empresa executaria sua parte sem visão do conjunto, e risco de inviabilização completa do projeto pela perda de economicidade.</w:t>
      </w:r>
    </w:p>
    <w:p w14:paraId="7EC44004"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11.5 - Aspectos Econômicos</w:t>
      </w:r>
    </w:p>
    <w:p w14:paraId="49D8CEB7" w14:textId="6652277B"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contratação unificada proporciona economia de escala significativa e essencial na mobilização/desmobilização de equipamentos pesados e altamente especializados necessários à pavimentação asfáltica (especialmente usina de asfalto,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rolos compactadores específicos), redução substancial de custos operacionais através da concentração de recursos em uma única frente de trabalho coordenada, melhor aproveitamento da estrutura administrativa e técnica do contratado (administração local, responsável técnico, equipe de controle tecnológico), otimização significativa na aquisição de materiais em quantidades maiores com melhor poder de negociação especialmente para materiais pétreos e asfálticos, redução drástica de custos com transporte através de logística unificada especialmente considerando a exigência de usina de asfalto a menos de 60 km, simplificação administrativa substancial para o município com gestão de contrato único ao invés de múltiplos contratos complexos interdependentes, economia na realização de controle tecnológico através de laboratório único realizando todos os ensaios de forma coordenada, e diluição eficiente de custos fixos elevados (mobilização de usina de asfalto, administração local, instalações provisórias, equipamentos especializados) em volume maior de serviços beneficiando diretamente a administração pública com redução significativa do custo final unitário.</w:t>
      </w:r>
    </w:p>
    <w:p w14:paraId="1D7F26A9"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A competitividade da licitação é plenamente preservada através da ampla divulgação do certame em meios oficiais (PNCP, Diário Oficial, site municipal), adequação dos prazos para elaboração de propostas considerando a complexidade técnica do objeto, especificações técnicas claras e objetivas baseadas exclusivamente em normas oficiais do DER/PR e DNIT sem favorecimento de marcas ou fornecedores específicos, critério de julgamento por menor preço global que permite participação ampla do mercado sem discriminações, exigências de habilitação técnica estritamente necessárias e proporcionais ao objeto (licenciamento ambiental de pedreira e usina pelo IAT, atestados de capacidade técnica em pavimentação asfáltica, responsável técnico habilitado), e não imposição de restrições que limitem indevidamente a competição.</w:t>
      </w:r>
    </w:p>
    <w:p w14:paraId="31FAF59D"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b/>
          <w:bCs/>
          <w:lang w:eastAsia="pt-BR"/>
        </w:rPr>
        <w:t>11.6 - Fundamentação Legal</w:t>
      </w:r>
    </w:p>
    <w:p w14:paraId="03AD682C" w14:textId="4AE01353"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Assim, com fundamento no art. 6º, § 1º da Lei nº 14.133/2021, que estabelece que "sempre que possível, as especificações referentes a acessibilidade, sustentabilidade, desenho universal e outras previsões específicas exigidas por legislação especial deverão ser incorporadas aos empreendimentos públicos", e no art. 40, inciso II da mesma Lei, que permite a execução de obras e serviços de engenharia de forma integral quando houver viabilidade técnica e econômica justificada, a estruturação em lote único atende plenamente ao interesse público ao garantir uniformidade técnica essencial ao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qualidade integrada com controle tecnológico coordenado através de laboratório único, economicidade substancial através de economia de escala na mobilização de equipamentos especializados e aquisição de materiais, adequada execução dos serviços de pavimentação asfáltica conforme especificações técnicas rigorosas do DER/PR e DNIT, e viabilidade operacional da obra através de gestão unificada destinados à melhoria da infraestrutura </w:t>
      </w:r>
      <w:r w:rsidR="00DE408C">
        <w:rPr>
          <w:rFonts w:eastAsia="Times New Roman" w:cstheme="minorHAnsi"/>
          <w:lang w:eastAsia="pt-BR"/>
        </w:rPr>
        <w:t>viária</w:t>
      </w:r>
      <w:r w:rsidRPr="00840FDB">
        <w:rPr>
          <w:rFonts w:eastAsia="Times New Roman" w:cstheme="minorHAnsi"/>
          <w:lang w:eastAsia="pt-BR"/>
        </w:rPr>
        <w:t xml:space="preserve"> do Município de Nova Prata do Iguaç</w:t>
      </w:r>
      <w:r w:rsidR="00DE408C">
        <w:rPr>
          <w:rFonts w:eastAsia="Times New Roman" w:cstheme="minorHAnsi"/>
          <w:lang w:eastAsia="pt-BR"/>
        </w:rPr>
        <w:t>u/PR</w:t>
      </w:r>
      <w:r w:rsidRPr="00840FDB">
        <w:rPr>
          <w:rFonts w:eastAsia="Times New Roman" w:cstheme="minorHAnsi"/>
          <w:lang w:eastAsia="pt-BR"/>
        </w:rPr>
        <w:t>.</w:t>
      </w:r>
    </w:p>
    <w:p w14:paraId="1724EDD0" w14:textId="36A4E7ED" w:rsidR="00EB2BC7" w:rsidRPr="00EB2BC7" w:rsidRDefault="00B76D3E" w:rsidP="007265D7">
      <w:pPr>
        <w:widowControl w:val="0"/>
        <w:spacing w:after="0"/>
        <w:jc w:val="both"/>
        <w:outlineLvl w:val="1"/>
        <w:rPr>
          <w:rFonts w:eastAsia="Times New Roman" w:cstheme="minorHAnsi"/>
          <w:b/>
          <w:bCs/>
          <w:lang w:eastAsia="pt-BR"/>
        </w:rPr>
      </w:pPr>
      <w:r>
        <w:rPr>
          <w:rFonts w:cstheme="minorHAnsi"/>
        </w:rPr>
        <w:pict w14:anchorId="5FBED2AC">
          <v:rect id="_x0000_i1035" style="width:0;height:1.5pt" o:hralign="center" o:hrstd="t" o:hr="t" fillcolor="#a0a0a0" stroked="f"/>
        </w:pict>
      </w:r>
      <w:r w:rsidR="00EB2BC7" w:rsidRPr="00EB2BC7">
        <w:rPr>
          <w:rFonts w:eastAsia="Times New Roman" w:cstheme="minorHAnsi"/>
          <w:b/>
          <w:bCs/>
          <w:lang w:eastAsia="pt-BR"/>
        </w:rPr>
        <w:t>12. CONTRATAÇÕES CORRELATAS E/OU INTERDEPENDENTES</w:t>
      </w:r>
    </w:p>
    <w:p w14:paraId="7EC3FFC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12.1 - Declaração sobre Contratações Correlatas</w:t>
      </w:r>
    </w:p>
    <w:p w14:paraId="1DB17603" w14:textId="13FC262F"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 xml:space="preserve">Não há contratações correlatas ou interdependentes para a execução dos serviços de pavimentação asfáltica objeto desta contratação. O objeto contempla integralmente a necessidade identificada, constituindo contratação autossuficiente que não apresenta dependência de outros contratos para seu funcionamento adequado. A execução dos serviços de pavimentação asfáltica na </w:t>
      </w:r>
      <w:r w:rsidR="008F3288">
        <w:rPr>
          <w:rFonts w:eastAsia="Times New Roman" w:cstheme="minorHAnsi"/>
          <w:lang w:eastAsia="pt-BR"/>
        </w:rPr>
        <w:t>Estrada que liga a Comunidade de Linha Aurora a Comunidade de Colônia Nova,</w:t>
      </w:r>
      <w:r w:rsidRPr="00840FDB">
        <w:rPr>
          <w:rFonts w:eastAsia="Times New Roman" w:cstheme="minorHAnsi"/>
          <w:lang w:eastAsia="pt-BR"/>
        </w:rPr>
        <w:t xml:space="preserve"> representa solução completa e independente para a melhoria da infraestrutura rodoviária do trecho especificado.</w:t>
      </w:r>
    </w:p>
    <w:p w14:paraId="2B9C498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12.2 - Análise de Infraestrutura Existente</w:t>
      </w:r>
    </w:p>
    <w:p w14:paraId="3F2AC59B" w14:textId="0116387D"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 xml:space="preserve">A </w:t>
      </w:r>
      <w:r w:rsidR="008F3288">
        <w:rPr>
          <w:rFonts w:eastAsia="Times New Roman" w:cstheme="minorHAnsi"/>
          <w:lang w:eastAsia="pt-BR"/>
        </w:rPr>
        <w:t xml:space="preserve">Estrada rural que liga a Comunidade de Linha Aurora a </w:t>
      </w:r>
      <w:proofErr w:type="spellStart"/>
      <w:r w:rsidR="008F3288">
        <w:rPr>
          <w:rFonts w:eastAsia="Times New Roman" w:cstheme="minorHAnsi"/>
          <w:lang w:eastAsia="pt-BR"/>
        </w:rPr>
        <w:t>Comunicade</w:t>
      </w:r>
      <w:proofErr w:type="spellEnd"/>
      <w:r w:rsidR="008F3288">
        <w:rPr>
          <w:rFonts w:eastAsia="Times New Roman" w:cstheme="minorHAnsi"/>
          <w:lang w:eastAsia="pt-BR"/>
        </w:rPr>
        <w:t xml:space="preserve"> de Linha Colônia </w:t>
      </w:r>
      <w:proofErr w:type="gramStart"/>
      <w:r w:rsidR="008F3288">
        <w:rPr>
          <w:rFonts w:eastAsia="Times New Roman" w:cstheme="minorHAnsi"/>
          <w:lang w:eastAsia="pt-BR"/>
        </w:rPr>
        <w:t>Nova</w:t>
      </w:r>
      <w:r w:rsidRPr="00840FDB">
        <w:rPr>
          <w:rFonts w:eastAsia="Times New Roman" w:cstheme="minorHAnsi"/>
          <w:lang w:eastAsia="pt-BR"/>
        </w:rPr>
        <w:t>,  está</w:t>
      </w:r>
      <w:proofErr w:type="gramEnd"/>
      <w:r w:rsidRPr="00840FDB">
        <w:rPr>
          <w:rFonts w:eastAsia="Times New Roman" w:cstheme="minorHAnsi"/>
          <w:lang w:eastAsia="pt-BR"/>
        </w:rPr>
        <w:t xml:space="preserve"> localizada em área rural do município, em região provida de infraestrutura básica adequada. A infraestrutura disponível inclui </w:t>
      </w:r>
      <w:r w:rsidRPr="00840FDB">
        <w:rPr>
          <w:rFonts w:eastAsia="Times New Roman" w:cstheme="minorHAnsi"/>
          <w:b/>
          <w:bCs/>
          <w:lang w:eastAsia="pt-BR"/>
        </w:rPr>
        <w:t>sistema viário</w:t>
      </w:r>
      <w:r w:rsidRPr="00840FDB">
        <w:rPr>
          <w:rFonts w:eastAsia="Times New Roman" w:cstheme="minorHAnsi"/>
          <w:lang w:eastAsia="pt-BR"/>
        </w:rPr>
        <w:t xml:space="preserve"> com vias de acesso adequadas para trânsito de equipamentos pesados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rolos compactadores, caminhões) e transporte de materiais (agregados pétreos, CBUQ, dispositivos de drenagem); </w:t>
      </w:r>
      <w:r w:rsidRPr="00840FDB">
        <w:rPr>
          <w:rFonts w:eastAsia="Times New Roman" w:cstheme="minorHAnsi"/>
          <w:b/>
          <w:bCs/>
          <w:lang w:eastAsia="pt-BR"/>
        </w:rPr>
        <w:t>pavimento poliédrico existente</w:t>
      </w:r>
      <w:r w:rsidRPr="00840FDB">
        <w:rPr>
          <w:rFonts w:eastAsia="Times New Roman" w:cstheme="minorHAnsi"/>
          <w:lang w:eastAsia="pt-BR"/>
        </w:rPr>
        <w:t xml:space="preserve"> que servirá como base de suporte após execução de remendos profundos nos pontos críticos e aplicação de camada de BGS conforme dimensionamento; </w:t>
      </w:r>
      <w:r w:rsidRPr="00840FDB">
        <w:rPr>
          <w:rFonts w:eastAsia="Times New Roman" w:cstheme="minorHAnsi"/>
          <w:b/>
          <w:bCs/>
          <w:lang w:eastAsia="pt-BR"/>
        </w:rPr>
        <w:t>sistema de drenagem pluvial</w:t>
      </w:r>
      <w:r w:rsidRPr="00840FDB">
        <w:rPr>
          <w:rFonts w:eastAsia="Times New Roman" w:cstheme="minorHAnsi"/>
          <w:lang w:eastAsia="pt-BR"/>
        </w:rPr>
        <w:t xml:space="preserve"> existente através de valas laterais que será complementado e melhorado com os dispositivos previstos em projeto (bueiros</w:t>
      </w:r>
      <w:r w:rsidR="008F3288">
        <w:rPr>
          <w:rFonts w:eastAsia="Times New Roman" w:cstheme="minorHAnsi"/>
          <w:lang w:eastAsia="pt-BR"/>
        </w:rPr>
        <w:t xml:space="preserve"> e</w:t>
      </w:r>
      <w:r w:rsidRPr="00840FDB">
        <w:rPr>
          <w:rFonts w:eastAsia="Times New Roman" w:cstheme="minorHAnsi"/>
          <w:lang w:eastAsia="pt-BR"/>
        </w:rPr>
        <w:t xml:space="preserve"> bocas</w:t>
      </w:r>
      <w:r w:rsidR="008F3288">
        <w:rPr>
          <w:rFonts w:eastAsia="Times New Roman" w:cstheme="minorHAnsi"/>
          <w:lang w:eastAsia="pt-BR"/>
        </w:rPr>
        <w:t xml:space="preserve"> de bueiro)</w:t>
      </w:r>
      <w:r w:rsidRPr="00840FDB">
        <w:rPr>
          <w:rFonts w:eastAsia="Times New Roman" w:cstheme="minorHAnsi"/>
          <w:lang w:eastAsia="pt-BR"/>
        </w:rPr>
        <w:t xml:space="preserve">; </w:t>
      </w:r>
      <w:r w:rsidRPr="00840FDB">
        <w:rPr>
          <w:rFonts w:eastAsia="Times New Roman" w:cstheme="minorHAnsi"/>
          <w:b/>
          <w:bCs/>
          <w:lang w:eastAsia="pt-BR"/>
        </w:rPr>
        <w:t>acessos</w:t>
      </w:r>
      <w:r w:rsidRPr="00840FDB">
        <w:rPr>
          <w:rFonts w:eastAsia="Times New Roman" w:cstheme="minorHAnsi"/>
          <w:lang w:eastAsia="pt-BR"/>
        </w:rPr>
        <w:t xml:space="preserve"> adequados para mobilização de equipamentos e materiais incluindo possibilidade de instalação de usina de asfalto a menos de 60 km do município.</w:t>
      </w:r>
    </w:p>
    <w:p w14:paraId="66EBA9A4" w14:textId="3A110AE4"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 xml:space="preserve">A infraestrutura existente é compatível com a execução da obra, sendo necessárias apenas as adequações previstas no projeto (correção de pontos críticos através de remendos profundos, execução de sistema completo de drenagem, sinalização viária). A contratada deverá adequar </w:t>
      </w:r>
      <w:proofErr w:type="spellStart"/>
      <w:r w:rsidRPr="00840FDB">
        <w:rPr>
          <w:rFonts w:eastAsia="Times New Roman" w:cstheme="minorHAnsi"/>
          <w:lang w:eastAsia="pt-BR"/>
        </w:rPr>
        <w:t>sua</w:t>
      </w:r>
      <w:proofErr w:type="spellEnd"/>
      <w:r w:rsidRPr="00840FDB">
        <w:rPr>
          <w:rFonts w:eastAsia="Times New Roman" w:cstheme="minorHAnsi"/>
          <w:lang w:eastAsia="pt-BR"/>
        </w:rPr>
        <w:t xml:space="preserve"> logística e metodologia executiva às condições locais da </w:t>
      </w:r>
      <w:proofErr w:type="spellStart"/>
      <w:r w:rsidRPr="00840FDB">
        <w:rPr>
          <w:rFonts w:eastAsia="Times New Roman" w:cstheme="minorHAnsi"/>
          <w:lang w:eastAsia="pt-BR"/>
        </w:rPr>
        <w:t>r</w:t>
      </w:r>
      <w:r w:rsidR="003A442F">
        <w:rPr>
          <w:rFonts w:eastAsia="Times New Roman" w:cstheme="minorHAnsi"/>
          <w:lang w:eastAsia="pt-BR"/>
        </w:rPr>
        <w:t>estrada</w:t>
      </w:r>
      <w:proofErr w:type="spellEnd"/>
      <w:r w:rsidR="003A442F">
        <w:rPr>
          <w:rFonts w:eastAsia="Times New Roman" w:cstheme="minorHAnsi"/>
          <w:lang w:eastAsia="pt-BR"/>
        </w:rPr>
        <w:t xml:space="preserve"> rural</w:t>
      </w:r>
      <w:r w:rsidRPr="00840FDB">
        <w:rPr>
          <w:rFonts w:eastAsia="Times New Roman" w:cstheme="minorHAnsi"/>
          <w:lang w:eastAsia="pt-BR"/>
        </w:rPr>
        <w:t>, respeitando as interferências existentes (travessias, acessos a propriedades rurais) e promovendo as devidas sinalizações e proteções durante a execução dos serviços conforme Manual de Segurança em Rodovias do DER/PR.</w:t>
      </w:r>
    </w:p>
    <w:p w14:paraId="065AE5C3" w14:textId="15A717E6"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4ACC2B54">
          <v:rect id="_x0000_i1036" style="width:0;height:1.5pt" o:hralign="center" o:hrstd="t" o:hr="t" fillcolor="#a0a0a0" stroked="f"/>
        </w:pict>
      </w:r>
      <w:r w:rsidR="00EB2BC7" w:rsidRPr="00EB2BC7">
        <w:rPr>
          <w:rFonts w:eastAsia="Times New Roman" w:cstheme="minorHAnsi"/>
          <w:b/>
          <w:bCs/>
          <w:lang w:eastAsia="pt-BR"/>
        </w:rPr>
        <w:t>13. ALINHAMENTO ENTRE A CONTRATAÇÃO E O PLANEJAMENTO</w:t>
      </w:r>
    </w:p>
    <w:p w14:paraId="799E74A5" w14:textId="77777777" w:rsidR="007265D7" w:rsidRPr="00840FDB" w:rsidRDefault="007265D7" w:rsidP="007265D7">
      <w:pPr>
        <w:spacing w:after="0"/>
        <w:jc w:val="both"/>
        <w:rPr>
          <w:rFonts w:eastAsia="Times New Roman" w:cstheme="minorHAnsi"/>
          <w:lang w:eastAsia="pt-BR"/>
        </w:rPr>
      </w:pPr>
      <w:r w:rsidRPr="00840FDB">
        <w:rPr>
          <w:rFonts w:eastAsia="Times New Roman" w:cstheme="minorHAnsi"/>
          <w:b/>
          <w:bCs/>
          <w:lang w:eastAsia="pt-BR"/>
        </w:rPr>
        <w:t>13.1 - Situação do Planejamento Institucional</w:t>
      </w:r>
    </w:p>
    <w:p w14:paraId="4EEDE2B7" w14:textId="05949079"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 xml:space="preserve">A execução de obras de pavimentação asfáltica em rodovias regionais constitui prioridade estratégica do Município de Nova Prata do Iguaçu, alinhando-se diretamente com as diretrizes de desenvolvimento regional, escoamento da produção agropecuária (especialmente fumo e leite), integração territorial com municípios vizinhos, e com os objetivos de desenvolvimento econômico sustentável. A contratação conecta-se com o planejamento plurianual municipal através da previsão de investimentos em infraestrutura rodoviária regional, contemplação nas metas de governo para melhoria da mobilidade regional e escoamento da produção agrícola, inserção nos programas de desenvolvimento econômico que visam fortalecer a economia local através de infraestrutura adequada, e captação de recursos estaduais através de convênio com </w:t>
      </w:r>
      <w:r>
        <w:rPr>
          <w:rFonts w:eastAsia="Times New Roman" w:cstheme="minorHAnsi"/>
          <w:lang w:eastAsia="pt-BR"/>
        </w:rPr>
        <w:t>a SE</w:t>
      </w:r>
      <w:r w:rsidR="00415E3B">
        <w:rPr>
          <w:rFonts w:eastAsia="Times New Roman" w:cstheme="minorHAnsi"/>
          <w:lang w:eastAsia="pt-BR"/>
        </w:rPr>
        <w:t>AB</w:t>
      </w:r>
      <w:r>
        <w:rPr>
          <w:rFonts w:eastAsia="Times New Roman" w:cstheme="minorHAnsi"/>
          <w:lang w:eastAsia="pt-BR"/>
        </w:rPr>
        <w:t xml:space="preserve"> – Secretaria</w:t>
      </w:r>
      <w:r w:rsidR="00415E3B">
        <w:rPr>
          <w:rFonts w:eastAsia="Times New Roman" w:cstheme="minorHAnsi"/>
          <w:lang w:eastAsia="pt-BR"/>
        </w:rPr>
        <w:t xml:space="preserve"> de</w:t>
      </w:r>
      <w:r>
        <w:rPr>
          <w:rFonts w:eastAsia="Times New Roman" w:cstheme="minorHAnsi"/>
          <w:lang w:eastAsia="pt-BR"/>
        </w:rPr>
        <w:t xml:space="preserve"> Estad</w:t>
      </w:r>
      <w:r w:rsidR="00415E3B">
        <w:rPr>
          <w:rFonts w:eastAsia="Times New Roman" w:cstheme="minorHAnsi"/>
          <w:lang w:eastAsia="pt-BR"/>
        </w:rPr>
        <w:t>o</w:t>
      </w:r>
      <w:r>
        <w:rPr>
          <w:rFonts w:eastAsia="Times New Roman" w:cstheme="minorHAnsi"/>
          <w:lang w:eastAsia="pt-BR"/>
        </w:rPr>
        <w:t xml:space="preserve"> d</w:t>
      </w:r>
      <w:r w:rsidR="00415E3B">
        <w:rPr>
          <w:rFonts w:eastAsia="Times New Roman" w:cstheme="minorHAnsi"/>
          <w:lang w:eastAsia="pt-BR"/>
        </w:rPr>
        <w:t xml:space="preserve">a </w:t>
      </w:r>
      <w:proofErr w:type="spellStart"/>
      <w:r w:rsidR="00415E3B">
        <w:rPr>
          <w:rFonts w:eastAsia="Times New Roman" w:cstheme="minorHAnsi"/>
          <w:lang w:eastAsia="pt-BR"/>
        </w:rPr>
        <w:t>Agricultua</w:t>
      </w:r>
      <w:proofErr w:type="spellEnd"/>
      <w:r w:rsidR="00415E3B">
        <w:rPr>
          <w:rFonts w:eastAsia="Times New Roman" w:cstheme="minorHAnsi"/>
          <w:lang w:eastAsia="pt-BR"/>
        </w:rPr>
        <w:t xml:space="preserve"> e do </w:t>
      </w:r>
      <w:proofErr w:type="spellStart"/>
      <w:r w:rsidR="00415E3B">
        <w:rPr>
          <w:rFonts w:eastAsia="Times New Roman" w:cstheme="minorHAnsi"/>
          <w:lang w:eastAsia="pt-BR"/>
        </w:rPr>
        <w:t>Abasecimento</w:t>
      </w:r>
      <w:proofErr w:type="spellEnd"/>
      <w:r>
        <w:rPr>
          <w:rFonts w:eastAsia="Times New Roman" w:cstheme="minorHAnsi"/>
          <w:lang w:eastAsia="pt-BR"/>
        </w:rPr>
        <w:t>,</w:t>
      </w:r>
      <w:r w:rsidRPr="00840FDB">
        <w:rPr>
          <w:rFonts w:eastAsia="Times New Roman" w:cstheme="minorHAnsi"/>
          <w:lang w:eastAsia="pt-BR"/>
        </w:rPr>
        <w:t xml:space="preserve"> demonstrando o alinhamento com as políticas estaduais de desenvolvimento regional.</w:t>
      </w:r>
    </w:p>
    <w:p w14:paraId="171F5B3A" w14:textId="77777777" w:rsidR="007265D7" w:rsidRPr="00840FDB" w:rsidRDefault="007265D7" w:rsidP="007265D7">
      <w:pPr>
        <w:spacing w:after="0"/>
        <w:jc w:val="both"/>
        <w:rPr>
          <w:rFonts w:eastAsia="Times New Roman" w:cstheme="minorHAnsi"/>
          <w:lang w:eastAsia="pt-BR"/>
        </w:rPr>
      </w:pPr>
      <w:r w:rsidRPr="00840FDB">
        <w:rPr>
          <w:rFonts w:eastAsia="Times New Roman" w:cstheme="minorHAnsi"/>
          <w:b/>
          <w:bCs/>
          <w:lang w:eastAsia="pt-BR"/>
        </w:rPr>
        <w:t>13.2 - Fundamentação Orçamentária</w:t>
      </w:r>
    </w:p>
    <w:p w14:paraId="28FB8442" w14:textId="203188FE"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 xml:space="preserve">A contratação possui fulcro na Lei Orçamentária Anual (LOA) do exercício corrente, com dotação orçamentária específica destinada a obras de infraestrutura rodoviária, programa de trabalho relacionado ao desenvolvimento regional e escoamento da produção agropecuária, fonte de </w:t>
      </w:r>
      <w:r w:rsidR="005B58C7">
        <w:rPr>
          <w:rFonts w:eastAsia="Times New Roman" w:cstheme="minorHAnsi"/>
          <w:lang w:eastAsia="pt-BR"/>
        </w:rPr>
        <w:t xml:space="preserve">100% com </w:t>
      </w:r>
      <w:r w:rsidRPr="00840FDB">
        <w:rPr>
          <w:rFonts w:eastAsia="Times New Roman" w:cstheme="minorHAnsi"/>
          <w:lang w:eastAsia="pt-BR"/>
        </w:rPr>
        <w:t xml:space="preserve">recursos proveniente de convênio firmado </w:t>
      </w:r>
      <w:r>
        <w:rPr>
          <w:rFonts w:eastAsia="Times New Roman" w:cstheme="minorHAnsi"/>
          <w:lang w:eastAsia="pt-BR"/>
        </w:rPr>
        <w:t>com a SE</w:t>
      </w:r>
      <w:r w:rsidR="005B58C7">
        <w:rPr>
          <w:rFonts w:eastAsia="Times New Roman" w:cstheme="minorHAnsi"/>
          <w:lang w:eastAsia="pt-BR"/>
        </w:rPr>
        <w:t>AB</w:t>
      </w:r>
      <w:r>
        <w:rPr>
          <w:rFonts w:eastAsia="Times New Roman" w:cstheme="minorHAnsi"/>
          <w:lang w:eastAsia="pt-BR"/>
        </w:rPr>
        <w:t xml:space="preserve"> – </w:t>
      </w:r>
      <w:r w:rsidR="005B58C7">
        <w:rPr>
          <w:rFonts w:eastAsia="Times New Roman" w:cstheme="minorHAnsi"/>
          <w:lang w:eastAsia="pt-BR"/>
        </w:rPr>
        <w:t xml:space="preserve">Secretaria de Estado da </w:t>
      </w:r>
      <w:proofErr w:type="spellStart"/>
      <w:r w:rsidR="005B58C7">
        <w:rPr>
          <w:rFonts w:eastAsia="Times New Roman" w:cstheme="minorHAnsi"/>
          <w:lang w:eastAsia="pt-BR"/>
        </w:rPr>
        <w:t>Agricultua</w:t>
      </w:r>
      <w:proofErr w:type="spellEnd"/>
      <w:r w:rsidR="005B58C7">
        <w:rPr>
          <w:rFonts w:eastAsia="Times New Roman" w:cstheme="minorHAnsi"/>
          <w:lang w:eastAsia="pt-BR"/>
        </w:rPr>
        <w:t xml:space="preserve"> e do </w:t>
      </w:r>
      <w:proofErr w:type="spellStart"/>
      <w:r w:rsidR="005B58C7">
        <w:rPr>
          <w:rFonts w:eastAsia="Times New Roman" w:cstheme="minorHAnsi"/>
          <w:lang w:eastAsia="pt-BR"/>
        </w:rPr>
        <w:t>Abasecimento</w:t>
      </w:r>
      <w:proofErr w:type="spellEnd"/>
      <w:r w:rsidRPr="00840FDB">
        <w:rPr>
          <w:rFonts w:eastAsia="Times New Roman" w:cstheme="minorHAnsi"/>
          <w:lang w:eastAsia="pt-BR"/>
        </w:rPr>
        <w:t>. A previsão orçamentária contempla:</w:t>
      </w:r>
    </w:p>
    <w:p w14:paraId="540D96B1" w14:textId="77777777" w:rsidR="007265D7" w:rsidRPr="00840FDB" w:rsidRDefault="007265D7" w:rsidP="007265D7">
      <w:pPr>
        <w:spacing w:after="0"/>
        <w:jc w:val="both"/>
        <w:rPr>
          <w:rFonts w:eastAsia="Times New Roman" w:cstheme="minorHAnsi"/>
          <w:lang w:eastAsia="pt-BR"/>
        </w:rPr>
      </w:pPr>
      <w:r w:rsidRPr="00840FDB">
        <w:rPr>
          <w:rFonts w:eastAsia="Times New Roman" w:cstheme="minorHAnsi"/>
          <w:b/>
          <w:bCs/>
          <w:lang w:eastAsia="pt-BR"/>
        </w:rPr>
        <w:t>Dotação Orçamentária: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066"/>
      </w:tblGrid>
      <w:tr w:rsidR="000365DA" w:rsidRPr="00A81ABC" w14:paraId="123F7E10" w14:textId="77777777" w:rsidTr="00275D91">
        <w:tc>
          <w:tcPr>
            <w:tcW w:w="2263" w:type="dxa"/>
          </w:tcPr>
          <w:p w14:paraId="729B451C" w14:textId="77777777" w:rsidR="000365DA" w:rsidRPr="00A81ABC" w:rsidRDefault="000365DA" w:rsidP="00275D91">
            <w:pPr>
              <w:spacing w:after="0"/>
              <w:rPr>
                <w:rFonts w:ascii="Calibri Light" w:hAnsi="Calibri Light" w:cs="Calibri Light"/>
              </w:rPr>
            </w:pPr>
            <w:r>
              <w:rPr>
                <w:rFonts w:ascii="Calibri Light" w:hAnsi="Calibri Light" w:cs="Calibri Light"/>
              </w:rPr>
              <w:t>12</w:t>
            </w:r>
          </w:p>
        </w:tc>
        <w:tc>
          <w:tcPr>
            <w:tcW w:w="5066" w:type="dxa"/>
            <w:hideMark/>
          </w:tcPr>
          <w:p w14:paraId="49B72627" w14:textId="77777777" w:rsidR="000365DA" w:rsidRPr="00A81ABC" w:rsidRDefault="000365DA" w:rsidP="00275D91">
            <w:pPr>
              <w:spacing w:after="0"/>
              <w:rPr>
                <w:rFonts w:ascii="Calibri Light" w:hAnsi="Calibri Light" w:cs="Calibri Light"/>
                <w:snapToGrid w:val="0"/>
              </w:rPr>
            </w:pPr>
            <w:r w:rsidRPr="00A81ABC">
              <w:rPr>
                <w:rFonts w:ascii="Calibri Light" w:hAnsi="Calibri Light" w:cs="Calibri Light"/>
              </w:rPr>
              <w:t xml:space="preserve">Secretaria </w:t>
            </w:r>
            <w:r>
              <w:rPr>
                <w:rFonts w:ascii="Calibri Light" w:hAnsi="Calibri Light" w:cs="Calibri Light"/>
              </w:rPr>
              <w:t>Municipal de viação, obras e urbanismo</w:t>
            </w:r>
          </w:p>
        </w:tc>
      </w:tr>
      <w:tr w:rsidR="000365DA" w:rsidRPr="00A81ABC" w14:paraId="1152265F" w14:textId="77777777" w:rsidTr="00275D91">
        <w:tc>
          <w:tcPr>
            <w:tcW w:w="2263" w:type="dxa"/>
          </w:tcPr>
          <w:p w14:paraId="28D3E1C3" w14:textId="77777777" w:rsidR="000365DA" w:rsidRPr="00A81ABC" w:rsidRDefault="000365DA" w:rsidP="00275D91">
            <w:pPr>
              <w:spacing w:after="0"/>
              <w:rPr>
                <w:rFonts w:ascii="Calibri Light" w:hAnsi="Calibri Light" w:cs="Calibri Light"/>
              </w:rPr>
            </w:pPr>
            <w:r w:rsidRPr="00A81ABC">
              <w:rPr>
                <w:rFonts w:ascii="Calibri Light" w:hAnsi="Calibri Light" w:cs="Calibri Light"/>
              </w:rPr>
              <w:t>00</w:t>
            </w:r>
            <w:r>
              <w:rPr>
                <w:rFonts w:ascii="Calibri Light" w:hAnsi="Calibri Light" w:cs="Calibri Light"/>
              </w:rPr>
              <w:t>3</w:t>
            </w:r>
          </w:p>
        </w:tc>
        <w:tc>
          <w:tcPr>
            <w:tcW w:w="5066" w:type="dxa"/>
            <w:hideMark/>
          </w:tcPr>
          <w:p w14:paraId="6388C749" w14:textId="77777777" w:rsidR="000365DA" w:rsidRPr="00A81ABC" w:rsidRDefault="000365DA" w:rsidP="00275D91">
            <w:pPr>
              <w:spacing w:after="0"/>
              <w:rPr>
                <w:rFonts w:ascii="Calibri Light" w:hAnsi="Calibri Light" w:cs="Calibri Light"/>
                <w:snapToGrid w:val="0"/>
              </w:rPr>
            </w:pPr>
            <w:r w:rsidRPr="00A81ABC">
              <w:rPr>
                <w:rFonts w:ascii="Calibri Light" w:hAnsi="Calibri Light" w:cs="Calibri Light"/>
              </w:rPr>
              <w:t xml:space="preserve">Departamento </w:t>
            </w:r>
            <w:r>
              <w:rPr>
                <w:rFonts w:ascii="Calibri Light" w:hAnsi="Calibri Light" w:cs="Calibri Light"/>
              </w:rPr>
              <w:t>de Estradas</w:t>
            </w:r>
            <w:r w:rsidRPr="00A81ABC">
              <w:rPr>
                <w:rFonts w:ascii="Calibri Light" w:hAnsi="Calibri Light" w:cs="Calibri Light"/>
              </w:rPr>
              <w:t xml:space="preserve"> </w:t>
            </w:r>
          </w:p>
        </w:tc>
      </w:tr>
      <w:tr w:rsidR="000365DA" w:rsidRPr="00A81ABC" w14:paraId="24F6A46D" w14:textId="77777777" w:rsidTr="00275D91">
        <w:tc>
          <w:tcPr>
            <w:tcW w:w="2263" w:type="dxa"/>
          </w:tcPr>
          <w:p w14:paraId="1796BEBD" w14:textId="77777777" w:rsidR="000365DA" w:rsidRPr="00A81ABC" w:rsidRDefault="000365DA" w:rsidP="00275D91">
            <w:pPr>
              <w:spacing w:after="0"/>
              <w:jc w:val="both"/>
              <w:rPr>
                <w:rFonts w:ascii="Calibri Light" w:hAnsi="Calibri Light" w:cs="Calibri Light"/>
              </w:rPr>
            </w:pPr>
            <w:r>
              <w:rPr>
                <w:rFonts w:ascii="Calibri Light" w:hAnsi="Calibri Light" w:cs="Calibri Light"/>
              </w:rPr>
              <w:t>26.0782.0014.1-015</w:t>
            </w:r>
          </w:p>
        </w:tc>
        <w:tc>
          <w:tcPr>
            <w:tcW w:w="5066" w:type="dxa"/>
          </w:tcPr>
          <w:p w14:paraId="0D20234B" w14:textId="77777777" w:rsidR="000365DA" w:rsidRPr="00A81ABC" w:rsidRDefault="000365DA" w:rsidP="00275D91">
            <w:pPr>
              <w:spacing w:after="0"/>
              <w:jc w:val="both"/>
              <w:rPr>
                <w:rFonts w:ascii="Calibri Light" w:hAnsi="Calibri Light" w:cs="Calibri Light"/>
              </w:rPr>
            </w:pPr>
            <w:r>
              <w:rPr>
                <w:rFonts w:ascii="Calibri Light" w:hAnsi="Calibri Light" w:cs="Calibri Light"/>
              </w:rPr>
              <w:t>Pavimentação e Adequação de Estradas</w:t>
            </w:r>
          </w:p>
        </w:tc>
      </w:tr>
      <w:tr w:rsidR="000365DA" w:rsidRPr="00A81ABC" w14:paraId="1A64414B" w14:textId="77777777" w:rsidTr="00275D91">
        <w:tc>
          <w:tcPr>
            <w:tcW w:w="2263" w:type="dxa"/>
          </w:tcPr>
          <w:p w14:paraId="250EBB92" w14:textId="77777777" w:rsidR="000365DA" w:rsidRPr="00A81ABC" w:rsidRDefault="000365DA" w:rsidP="00275D91">
            <w:pPr>
              <w:spacing w:after="0"/>
              <w:jc w:val="both"/>
              <w:rPr>
                <w:rFonts w:ascii="Calibri Light" w:hAnsi="Calibri Light" w:cs="Calibri Light"/>
              </w:rPr>
            </w:pPr>
            <w:r>
              <w:rPr>
                <w:rFonts w:ascii="Calibri Light" w:hAnsi="Calibri Light" w:cs="Calibri Light"/>
              </w:rPr>
              <w:t>4.4.90.51.00.00</w:t>
            </w:r>
          </w:p>
        </w:tc>
        <w:tc>
          <w:tcPr>
            <w:tcW w:w="5066" w:type="dxa"/>
          </w:tcPr>
          <w:p w14:paraId="413E9EF0" w14:textId="77777777" w:rsidR="000365DA" w:rsidRPr="00A81ABC" w:rsidRDefault="000365DA" w:rsidP="00275D91">
            <w:pPr>
              <w:spacing w:after="0"/>
              <w:jc w:val="both"/>
              <w:rPr>
                <w:rFonts w:ascii="Calibri Light" w:hAnsi="Calibri Light" w:cs="Calibri Light"/>
              </w:rPr>
            </w:pPr>
            <w:r>
              <w:rPr>
                <w:rFonts w:ascii="Calibri Light" w:hAnsi="Calibri Light" w:cs="Calibri Light"/>
              </w:rPr>
              <w:t>Obras e instalações</w:t>
            </w:r>
          </w:p>
        </w:tc>
      </w:tr>
    </w:tbl>
    <w:p w14:paraId="2F4E1BA1" w14:textId="77777777" w:rsidR="007265D7" w:rsidRPr="00840FDB" w:rsidRDefault="007265D7" w:rsidP="007265D7">
      <w:pPr>
        <w:spacing w:after="0"/>
        <w:jc w:val="both"/>
        <w:rPr>
          <w:rFonts w:eastAsia="Times New Roman" w:cstheme="minorHAnsi"/>
          <w:lang w:eastAsia="pt-BR"/>
        </w:rPr>
      </w:pPr>
      <w:r w:rsidRPr="00840FDB">
        <w:rPr>
          <w:rFonts w:eastAsia="Times New Roman" w:cstheme="minorHAnsi"/>
          <w:b/>
          <w:bCs/>
          <w:lang w:eastAsia="pt-BR"/>
        </w:rPr>
        <w:t>Composição dos Recursos:</w:t>
      </w:r>
    </w:p>
    <w:p w14:paraId="2CB53A4F" w14:textId="77777777" w:rsidR="00405FEE" w:rsidRPr="00405FEE" w:rsidRDefault="007265D7" w:rsidP="00405FEE">
      <w:pPr>
        <w:numPr>
          <w:ilvl w:val="0"/>
          <w:numId w:val="30"/>
        </w:numPr>
        <w:spacing w:after="0"/>
        <w:jc w:val="both"/>
        <w:rPr>
          <w:rFonts w:eastAsia="Times New Roman" w:cstheme="minorHAnsi"/>
          <w:lang w:eastAsia="pt-BR"/>
        </w:rPr>
      </w:pPr>
      <w:r w:rsidRPr="00405FEE">
        <w:rPr>
          <w:rFonts w:eastAsia="Times New Roman" w:cstheme="minorHAnsi"/>
          <w:b/>
          <w:bCs/>
          <w:lang w:eastAsia="pt-BR"/>
        </w:rPr>
        <w:t>Repasse do Concedente (Estado do Paraná via SECID/PARANACIDADE):</w:t>
      </w:r>
    </w:p>
    <w:p w14:paraId="6DD197E9" w14:textId="366A7271" w:rsidR="00405FEE" w:rsidRPr="00840FDB" w:rsidRDefault="007265D7" w:rsidP="00405FEE">
      <w:pPr>
        <w:spacing w:after="0"/>
        <w:ind w:left="720"/>
        <w:jc w:val="both"/>
        <w:rPr>
          <w:rFonts w:eastAsia="Times New Roman" w:cstheme="minorHAnsi"/>
          <w:lang w:eastAsia="pt-BR"/>
        </w:rPr>
      </w:pPr>
      <w:r w:rsidRPr="00405FEE">
        <w:rPr>
          <w:rFonts w:eastAsia="Times New Roman" w:cstheme="minorHAnsi"/>
          <w:lang w:eastAsia="pt-BR"/>
        </w:rPr>
        <w:t xml:space="preserve"> </w:t>
      </w:r>
      <w:r w:rsidR="00405FEE" w:rsidRPr="00840FDB">
        <w:rPr>
          <w:rFonts w:eastAsia="Times New Roman" w:cstheme="minorHAnsi"/>
          <w:lang w:eastAsia="pt-BR"/>
        </w:rPr>
        <w:t xml:space="preserve">R$ </w:t>
      </w:r>
      <w:r w:rsidR="00405FEE">
        <w:rPr>
          <w:rFonts w:eastAsia="Times New Roman" w:cstheme="minorHAnsi"/>
          <w:lang w:eastAsia="pt-BR"/>
        </w:rPr>
        <w:t>5.833.099,01</w:t>
      </w:r>
      <w:r w:rsidR="00405FEE" w:rsidRPr="00840FDB">
        <w:rPr>
          <w:rFonts w:eastAsia="Times New Roman" w:cstheme="minorHAnsi"/>
          <w:lang w:eastAsia="pt-BR"/>
        </w:rPr>
        <w:t xml:space="preserve"> (</w:t>
      </w:r>
      <w:r w:rsidR="00405FEE">
        <w:rPr>
          <w:rFonts w:eastAsia="Times New Roman" w:cstheme="minorHAnsi"/>
          <w:lang w:eastAsia="pt-BR"/>
        </w:rPr>
        <w:t>100%</w:t>
      </w:r>
      <w:r w:rsidR="00405FEE" w:rsidRPr="00840FDB">
        <w:rPr>
          <w:rFonts w:eastAsia="Times New Roman" w:cstheme="minorHAnsi"/>
          <w:lang w:eastAsia="pt-BR"/>
        </w:rPr>
        <w:t xml:space="preserve"> do valor total)</w:t>
      </w:r>
    </w:p>
    <w:p w14:paraId="76FFA36E" w14:textId="4D683D15" w:rsidR="00F77E2A" w:rsidRPr="00840FDB" w:rsidRDefault="007265D7" w:rsidP="00F77E2A">
      <w:pPr>
        <w:numPr>
          <w:ilvl w:val="0"/>
          <w:numId w:val="30"/>
        </w:numPr>
        <w:spacing w:after="0"/>
        <w:jc w:val="both"/>
        <w:rPr>
          <w:rFonts w:eastAsia="Times New Roman" w:cstheme="minorHAnsi"/>
          <w:lang w:eastAsia="pt-BR"/>
        </w:rPr>
      </w:pPr>
      <w:r w:rsidRPr="00840FDB">
        <w:rPr>
          <w:rFonts w:eastAsia="Times New Roman" w:cstheme="minorHAnsi"/>
          <w:b/>
          <w:bCs/>
          <w:lang w:eastAsia="pt-BR"/>
        </w:rPr>
        <w:t>Valor Total:</w:t>
      </w:r>
      <w:r w:rsidRPr="00840FDB">
        <w:rPr>
          <w:rFonts w:eastAsia="Times New Roman" w:cstheme="minorHAnsi"/>
          <w:lang w:eastAsia="pt-BR"/>
        </w:rPr>
        <w:t xml:space="preserve"> R$ </w:t>
      </w:r>
      <w:r w:rsidR="00405FEE">
        <w:rPr>
          <w:rFonts w:eastAsia="Times New Roman" w:cstheme="minorHAnsi"/>
          <w:lang w:eastAsia="pt-BR"/>
        </w:rPr>
        <w:t>5.833.099,01</w:t>
      </w:r>
      <w:r w:rsidR="00F77E2A">
        <w:rPr>
          <w:rFonts w:eastAsia="Times New Roman" w:cstheme="minorHAnsi"/>
          <w:lang w:eastAsia="pt-BR"/>
        </w:rPr>
        <w:t xml:space="preserve"> </w:t>
      </w:r>
      <w:r w:rsidR="00F77E2A" w:rsidRPr="00840FDB">
        <w:rPr>
          <w:rFonts w:eastAsia="Times New Roman" w:cstheme="minorHAnsi"/>
          <w:lang w:eastAsia="pt-BR"/>
        </w:rPr>
        <w:t>(100,00%)</w:t>
      </w:r>
    </w:p>
    <w:p w14:paraId="648F31E8" w14:textId="6D0AC576"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A inclusão orçamentária assegura conformidade com os limites estabelecidos e demonstra o compromisso municipal com o investimento em infraestrutura rodoviária, potencializando a capacidade de investimento municipal através de captação de recursos externos.</w:t>
      </w:r>
    </w:p>
    <w:p w14:paraId="11815374" w14:textId="7FADD4DD"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5B1CEC9B">
          <v:rect id="_x0000_i1037" style="width:0;height:1.5pt" o:hralign="center" o:hrstd="t" o:hr="t" fillcolor="#a0a0a0" stroked="f"/>
        </w:pict>
      </w:r>
      <w:r w:rsidR="00EB2BC7" w:rsidRPr="00EB2BC7">
        <w:rPr>
          <w:rFonts w:eastAsia="Times New Roman" w:cstheme="minorHAnsi"/>
          <w:b/>
          <w:bCs/>
          <w:lang w:eastAsia="pt-BR"/>
        </w:rPr>
        <w:t>14. RESULTADOS PRETENDIDOS</w:t>
      </w:r>
    </w:p>
    <w:p w14:paraId="296B3A5F"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14.1 - Objetivos Principais e Benefícios Esperados</w:t>
      </w:r>
    </w:p>
    <w:p w14:paraId="2A2F486F" w14:textId="4B0FAD23"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contratação de serviços de pavimentação asfáltica na </w:t>
      </w:r>
      <w:r w:rsidR="00090E5A">
        <w:rPr>
          <w:rFonts w:eastAsia="Times New Roman" w:cstheme="minorHAnsi"/>
          <w:lang w:eastAsia="pt-BR"/>
        </w:rPr>
        <w:t>Estrada que liga a Comunidade de Linha Aurora a Comunidade de Linha Colônia Nova</w:t>
      </w:r>
      <w:r w:rsidRPr="00840FDB">
        <w:rPr>
          <w:rFonts w:eastAsia="Times New Roman" w:cstheme="minorHAnsi"/>
          <w:lang w:eastAsia="pt-BR"/>
        </w:rPr>
        <w:t xml:space="preserve"> visa alcançar uma série de objetivos essenciais para o desenvolvimento do município e melhoria das condições de escoamento da produção agropecuária. </w:t>
      </w:r>
      <w:r w:rsidRPr="00840FDB">
        <w:rPr>
          <w:rFonts w:eastAsia="Times New Roman" w:cstheme="minorHAnsi"/>
          <w:b/>
          <w:bCs/>
          <w:lang w:eastAsia="pt-BR"/>
        </w:rPr>
        <w:t>Os objetivos centrais</w:t>
      </w:r>
      <w:r w:rsidRPr="00840FDB">
        <w:rPr>
          <w:rFonts w:eastAsia="Times New Roman" w:cstheme="minorHAnsi"/>
          <w:lang w:eastAsia="pt-BR"/>
        </w:rPr>
        <w:t xml:space="preserve"> compreendem a substituição completa da pavimentação poliédrica deteriorada por pavimentação asfáltica moderna e durável conforme normas do DER/PR, melhoria significativa das condições de tráfego de veículos de todos os portes especialmente veículos de transporte de cargas agrícolas (fumo, leite, grãos), eliminação definitiva das deflexões excessivas e deformações permanentes que comprometem o conforto e a segurança viária, facilitação substancial do escoamento da produção agropecuária </w:t>
      </w:r>
      <w:r w:rsidR="00090E5A">
        <w:rPr>
          <w:rFonts w:eastAsia="Times New Roman" w:cstheme="minorHAnsi"/>
          <w:lang w:eastAsia="pt-BR"/>
        </w:rPr>
        <w:t>com</w:t>
      </w:r>
      <w:r w:rsidRPr="00840FDB">
        <w:rPr>
          <w:rFonts w:eastAsia="Times New Roman" w:cstheme="minorHAnsi"/>
          <w:lang w:eastAsia="pt-BR"/>
        </w:rPr>
        <w:t xml:space="preserve"> aumento da segurança viária através de pavimento adequado sem deformações e sinalização apropriada conforme CONTRAN, valorização das propriedades rurais lindeiras à rodovia, redução drástica dos custos de manutenção viária eliminando necessidade de manutenções recorrentes do pavimento poliédrico, e facilitação do acesso da comunidade </w:t>
      </w:r>
      <w:r w:rsidR="00090E5A">
        <w:rPr>
          <w:rFonts w:eastAsia="Times New Roman" w:cstheme="minorHAnsi"/>
          <w:lang w:eastAsia="pt-BR"/>
        </w:rPr>
        <w:t>de Linha Aurora a Linha Colônia Nova</w:t>
      </w:r>
      <w:r w:rsidRPr="00840FDB">
        <w:rPr>
          <w:rFonts w:eastAsia="Times New Roman" w:cstheme="minorHAnsi"/>
          <w:lang w:eastAsia="pt-BR"/>
        </w:rPr>
        <w:t>.</w:t>
      </w:r>
    </w:p>
    <w:p w14:paraId="72FAA369" w14:textId="4EBD8271"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Os benefícios diretos esperados</w:t>
      </w:r>
      <w:r w:rsidRPr="00840FDB">
        <w:rPr>
          <w:rFonts w:eastAsia="Times New Roman" w:cstheme="minorHAnsi"/>
          <w:lang w:eastAsia="pt-BR"/>
        </w:rPr>
        <w:t xml:space="preserve"> incluem melhoria substancial da mobilidade regional com redução do tempo de deslocamento e maior confiabilidade do sistema viário, conforto e segurança no tráfego de veículos eliminando os solavancos causados pelas deformações do pavimento poliédrico, facilitação significativa do escoamento da produção agropecuária especialmente fumo e leite com redução de perdas e custos de transporte, eliminação definitiva dos transtornos causados pelas deflexões excessivas e deterioração do pavimento poliédrico, melhoria substancial da drenagem das águas pluviais através do sistema completo de dispositivos (bueiros</w:t>
      </w:r>
      <w:r w:rsidR="00094327">
        <w:rPr>
          <w:rFonts w:eastAsia="Times New Roman" w:cstheme="minorHAnsi"/>
          <w:lang w:eastAsia="pt-BR"/>
        </w:rPr>
        <w:t xml:space="preserve"> e</w:t>
      </w:r>
      <w:r w:rsidRPr="00840FDB">
        <w:rPr>
          <w:rFonts w:eastAsia="Times New Roman" w:cstheme="minorHAnsi"/>
          <w:lang w:eastAsia="pt-BR"/>
        </w:rPr>
        <w:t xml:space="preserve"> bocas</w:t>
      </w:r>
      <w:r w:rsidR="00094327">
        <w:rPr>
          <w:rFonts w:eastAsia="Times New Roman" w:cstheme="minorHAnsi"/>
          <w:lang w:eastAsia="pt-BR"/>
        </w:rPr>
        <w:t xml:space="preserve"> de bueiro</w:t>
      </w:r>
      <w:r w:rsidRPr="00840FDB">
        <w:rPr>
          <w:rFonts w:eastAsia="Times New Roman" w:cstheme="minorHAnsi"/>
          <w:lang w:eastAsia="pt-BR"/>
        </w:rPr>
        <w:t>) impedindo acúmulo de água no subleito, valorização expressiva do patrimônio imobiliário rural na região, estímulo direto ao desenvolvimento econômico local através da melhoria das condições de circulação de mercadorias e redução de custos operacionais, redução substancial dos custos operacionais de veículos (combustível, manutenção, desgaste de pneus e suspensão), melhoria da imagem regional do município demonstrando capacidade de gestão e investimento em infraestrutura, e atração potencial de novos investimentos produtivos na região pela disponibilidade de infraestrutura rodoviária adequada.</w:t>
      </w:r>
    </w:p>
    <w:p w14:paraId="145BF23A" w14:textId="714FAA0E"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Os resultados esperados</w:t>
      </w:r>
      <w:r w:rsidRPr="00840FDB">
        <w:rPr>
          <w:rFonts w:eastAsia="Times New Roman" w:cstheme="minorHAnsi"/>
          <w:lang w:eastAsia="pt-BR"/>
        </w:rPr>
        <w:t xml:space="preserve"> contemplam execução de </w:t>
      </w:r>
      <w:r w:rsidR="008575EF">
        <w:rPr>
          <w:rFonts w:eastAsia="Times New Roman" w:cstheme="minorHAnsi"/>
          <w:lang w:eastAsia="pt-BR"/>
        </w:rPr>
        <w:t>36.250,98</w:t>
      </w:r>
      <w:r w:rsidRPr="00840FDB">
        <w:rPr>
          <w:rFonts w:eastAsia="Times New Roman" w:cstheme="minorHAnsi"/>
          <w:lang w:eastAsia="pt-BR"/>
        </w:rPr>
        <w:t xml:space="preserve"> m² de pavimentação asfáltica em CBUQ, correção de </w:t>
      </w:r>
      <w:r w:rsidR="00F51EA3">
        <w:rPr>
          <w:rFonts w:eastAsia="Times New Roman" w:cstheme="minorHAnsi"/>
          <w:lang w:eastAsia="pt-BR"/>
        </w:rPr>
        <w:t>750,00</w:t>
      </w:r>
      <w:r w:rsidRPr="00840FDB">
        <w:rPr>
          <w:rFonts w:eastAsia="Times New Roman" w:cstheme="minorHAnsi"/>
          <w:lang w:eastAsia="pt-BR"/>
        </w:rPr>
        <w:t xml:space="preserve"> m³ de pontos críticos através de remendos profundos eliminando os "borrachudos", execução de </w:t>
      </w:r>
      <w:r w:rsidR="00F51EA3">
        <w:rPr>
          <w:rFonts w:eastAsia="Times New Roman" w:cstheme="minorHAnsi"/>
          <w:lang w:eastAsia="pt-BR"/>
        </w:rPr>
        <w:t>6.343,92</w:t>
      </w:r>
      <w:r w:rsidRPr="00840FDB">
        <w:rPr>
          <w:rFonts w:eastAsia="Times New Roman" w:cstheme="minorHAnsi"/>
          <w:lang w:eastAsia="pt-BR"/>
        </w:rPr>
        <w:t xml:space="preserve"> m³ de base em brita graduada simples proporcionando reforço estrutural e correção de irregularidades, aplicação de </w:t>
      </w:r>
      <w:r w:rsidR="00F51EA3">
        <w:rPr>
          <w:rFonts w:eastAsia="Times New Roman" w:cstheme="minorHAnsi"/>
          <w:lang w:eastAsia="pt-BR"/>
        </w:rPr>
        <w:t>42</w:t>
      </w:r>
      <w:r w:rsidRPr="00840FDB">
        <w:rPr>
          <w:rFonts w:eastAsia="Times New Roman" w:cstheme="minorHAnsi"/>
          <w:lang w:eastAsia="pt-BR"/>
        </w:rPr>
        <w:t>.</w:t>
      </w:r>
      <w:r w:rsidR="00F51EA3">
        <w:rPr>
          <w:rFonts w:eastAsia="Times New Roman" w:cstheme="minorHAnsi"/>
          <w:lang w:eastAsia="pt-BR"/>
        </w:rPr>
        <w:t>292,81</w:t>
      </w:r>
      <w:r w:rsidRPr="00840FDB">
        <w:rPr>
          <w:rFonts w:eastAsia="Times New Roman" w:cstheme="minorHAnsi"/>
          <w:lang w:eastAsia="pt-BR"/>
        </w:rPr>
        <w:t xml:space="preserve"> m² de imprimação e </w:t>
      </w:r>
      <w:r w:rsidR="00F51EA3">
        <w:rPr>
          <w:rFonts w:eastAsia="Times New Roman" w:cstheme="minorHAnsi"/>
          <w:lang w:eastAsia="pt-BR"/>
        </w:rPr>
        <w:t>36.250,98</w:t>
      </w:r>
      <w:r w:rsidRPr="00840FDB">
        <w:rPr>
          <w:rFonts w:eastAsia="Times New Roman" w:cstheme="minorHAnsi"/>
          <w:lang w:eastAsia="pt-BR"/>
        </w:rPr>
        <w:t xml:space="preserve"> m² de pintura de ligação para adequada impermeabilização e aderência entre camadas, fornecimento e aplicação de </w:t>
      </w:r>
      <w:r w:rsidR="00F51EA3">
        <w:rPr>
          <w:rFonts w:eastAsia="Times New Roman" w:cstheme="minorHAnsi"/>
          <w:lang w:eastAsia="pt-BR"/>
        </w:rPr>
        <w:t>4.632,88</w:t>
      </w:r>
      <w:r w:rsidRPr="00840FDB">
        <w:rPr>
          <w:rFonts w:eastAsia="Times New Roman" w:cstheme="minorHAnsi"/>
          <w:lang w:eastAsia="pt-BR"/>
        </w:rPr>
        <w:t xml:space="preserve"> toneladas de CBUQ e </w:t>
      </w:r>
      <w:r w:rsidR="00F51EA3">
        <w:rPr>
          <w:rFonts w:eastAsia="Times New Roman" w:cstheme="minorHAnsi"/>
          <w:lang w:eastAsia="pt-BR"/>
        </w:rPr>
        <w:t>244,62</w:t>
      </w:r>
      <w:r w:rsidRPr="00840FDB">
        <w:rPr>
          <w:rFonts w:eastAsia="Times New Roman" w:cstheme="minorHAnsi"/>
          <w:lang w:eastAsia="pt-BR"/>
        </w:rPr>
        <w:t xml:space="preserve"> toneladas de CAP 50/70 conforme especificações do DER/PR, implantação de sistema completo de drenagem pluvial com </w:t>
      </w:r>
      <w:r w:rsidR="00F51EA3">
        <w:rPr>
          <w:rFonts w:eastAsia="Times New Roman" w:cstheme="minorHAnsi"/>
          <w:lang w:eastAsia="pt-BR"/>
        </w:rPr>
        <w:t>140</w:t>
      </w:r>
      <w:r w:rsidRPr="00840FDB">
        <w:rPr>
          <w:rFonts w:eastAsia="Times New Roman" w:cstheme="minorHAnsi"/>
          <w:lang w:eastAsia="pt-BR"/>
        </w:rPr>
        <w:t xml:space="preserve"> metros lineares de bueiros tubulares, 28 bocas de bueiro,  implantação de sinalização viária completa (horizontal e vertical) conforme Manual do CONTRAN, melhoria direta das condições de vida de centenas de famílias de produtores rurais residentes na região e usuários da rodovia, geração de empregos diretos e indiretos durante os </w:t>
      </w:r>
      <w:r w:rsidR="00F51EA3">
        <w:rPr>
          <w:rFonts w:eastAsia="Times New Roman" w:cstheme="minorHAnsi"/>
          <w:lang w:eastAsia="pt-BR"/>
        </w:rPr>
        <w:t>180</w:t>
      </w:r>
      <w:r w:rsidRPr="00840FDB">
        <w:rPr>
          <w:rFonts w:eastAsia="Times New Roman" w:cstheme="minorHAnsi"/>
          <w:lang w:eastAsia="pt-BR"/>
        </w:rPr>
        <w:t xml:space="preserve"> dias de execução da obra, fortalecimento substancial da economia regional através da facilitação do escoamento da produção agropecuária, e consolidação de Nova Prata do Iguaçu como município com infraestrutura rodoviária moderna e adequada ao desenvolvimento econômico sustentável.</w:t>
      </w:r>
    </w:p>
    <w:p w14:paraId="71657571" w14:textId="5A070A24"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123A1A13">
          <v:rect id="_x0000_i1038" style="width:0;height:1.5pt" o:hralign="center" o:hrstd="t" o:hr="t" fillcolor="#a0a0a0" stroked="f"/>
        </w:pict>
      </w:r>
      <w:r w:rsidR="00EB2BC7" w:rsidRPr="00EB2BC7">
        <w:rPr>
          <w:rFonts w:eastAsia="Times New Roman" w:cstheme="minorHAnsi"/>
          <w:b/>
          <w:bCs/>
          <w:lang w:eastAsia="pt-BR"/>
        </w:rPr>
        <w:t>15. PROVIDÊNCIAS A SEREM ADOTADAS</w:t>
      </w:r>
    </w:p>
    <w:p w14:paraId="5C5756D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15.1 - Adequações de Infraestrutura</w:t>
      </w:r>
    </w:p>
    <w:p w14:paraId="22DCE49F" w14:textId="28D63B54"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Para esta solução não há necessidade de ajustes ou adequações significativas prévias na infraestrutura existente além daquelas previstas no próprio projeto. A </w:t>
      </w:r>
      <w:r w:rsidR="006170C0">
        <w:rPr>
          <w:rFonts w:eastAsia="Times New Roman" w:cstheme="minorHAnsi"/>
          <w:lang w:eastAsia="pt-BR"/>
        </w:rPr>
        <w:t>estrada rural</w:t>
      </w:r>
      <w:r w:rsidRPr="00840FDB">
        <w:rPr>
          <w:rFonts w:eastAsia="Times New Roman" w:cstheme="minorHAnsi"/>
          <w:lang w:eastAsia="pt-BR"/>
        </w:rPr>
        <w:t xml:space="preserve"> no trecho especificado possui condições adequadas de acesso para mobilização de equipamentos pesados e materiais, e as adequações necessárias (correção de pontos críticos através de remendos profundos, implantação de sistema de drenagem, sinalização) estão todas contempladas no escopo da contratação. Eventuais interferências com acessos a propriedades rurais serão gerenciadas durante a execução conforme metodologia da contratada, orientações da fiscalização e necessidades dos proprietários lindeiros, mantendo-se sempre acessos provisórios adequados durante as obras.</w:t>
      </w:r>
    </w:p>
    <w:p w14:paraId="0F3B776A"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15.2 - Responsabilidades da Contratada</w:t>
      </w:r>
    </w:p>
    <w:p w14:paraId="7760D434"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Os serviços de pavimentação asfáltica serão de inteira responsabilidade da contratada quanto ao </w:t>
      </w:r>
      <w:r w:rsidRPr="00840FDB">
        <w:rPr>
          <w:rFonts w:eastAsia="Times New Roman" w:cstheme="minorHAnsi"/>
          <w:b/>
          <w:bCs/>
          <w:lang w:eastAsia="pt-BR"/>
        </w:rPr>
        <w:t>fornecimento completo</w:t>
      </w:r>
      <w:r w:rsidRPr="00840FDB">
        <w:rPr>
          <w:rFonts w:eastAsia="Times New Roman" w:cstheme="minorHAnsi"/>
          <w:lang w:eastAsia="pt-BR"/>
        </w:rPr>
        <w:t xml:space="preserve"> de todos os materiais especificados incluindo materiais pétreos (brita graduada, macadame seco) provenientes de pedreira devidamente licenciada pelo IAT, materiais asfálticos (CBUQ, CAP 50/70, emulsões EAI e RR-1C) provenientes de usina de asfalto devidamente licenciada pelo IAT localizada a menos de 60 km do município, dispositivos de drenagem conforme Álbum do DER/PR, materiais de sinalização, e demais insumos; </w:t>
      </w:r>
      <w:r w:rsidRPr="00840FDB">
        <w:rPr>
          <w:rFonts w:eastAsia="Times New Roman" w:cstheme="minorHAnsi"/>
          <w:b/>
          <w:bCs/>
          <w:lang w:eastAsia="pt-BR"/>
        </w:rPr>
        <w:t>mão de obra especializada</w:t>
      </w:r>
      <w:r w:rsidRPr="00840FDB">
        <w:rPr>
          <w:rFonts w:eastAsia="Times New Roman" w:cstheme="minorHAnsi"/>
          <w:lang w:eastAsia="pt-BR"/>
        </w:rPr>
        <w:t xml:space="preserve"> em quantidade e qualificação adequadas para execução dos serviços rodoviários conforme especificações do DER/PR; </w:t>
      </w:r>
      <w:r w:rsidRPr="00840FDB">
        <w:rPr>
          <w:rFonts w:eastAsia="Times New Roman" w:cstheme="minorHAnsi"/>
          <w:b/>
          <w:bCs/>
          <w:lang w:eastAsia="pt-BR"/>
        </w:rPr>
        <w:t>equipamentos</w:t>
      </w:r>
      <w:r w:rsidRPr="00840FDB">
        <w:rPr>
          <w:rFonts w:eastAsia="Times New Roman" w:cstheme="minorHAnsi"/>
          <w:lang w:eastAsia="pt-BR"/>
        </w:rPr>
        <w:t xml:space="preserve"> necessários incluindo usina de asfalto (própria ou contratada com licenciamento IAT vigente),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com sistema de nivelamento eletrônico, rolos compactadores liso tandem e pneumático, caminhão espargidor, motoniveladora, retroescavadeira, caminhões e demais maquinários; </w:t>
      </w:r>
      <w:r w:rsidRPr="00840FDB">
        <w:rPr>
          <w:rFonts w:eastAsia="Times New Roman" w:cstheme="minorHAnsi"/>
          <w:b/>
          <w:bCs/>
          <w:lang w:eastAsia="pt-BR"/>
        </w:rPr>
        <w:t>qualidade</w:t>
      </w:r>
      <w:r w:rsidRPr="00840FDB">
        <w:rPr>
          <w:rFonts w:eastAsia="Times New Roman" w:cstheme="minorHAnsi"/>
          <w:lang w:eastAsia="pt-BR"/>
        </w:rPr>
        <w:t xml:space="preserve"> superior conforme padrões rigorosos exigidos pelas normas técnicas do DER/PR (especialmente ES-PA-03/23, ES-P-05/2018, ES-P-17/23, ES-P-21/17, ES-P-13/05), DNIT e ABNT; </w:t>
      </w:r>
      <w:r w:rsidRPr="00840FDB">
        <w:rPr>
          <w:rFonts w:eastAsia="Times New Roman" w:cstheme="minorHAnsi"/>
          <w:b/>
          <w:bCs/>
          <w:lang w:eastAsia="pt-BR"/>
        </w:rPr>
        <w:t>controle tecnológico</w:t>
      </w:r>
      <w:r w:rsidRPr="00840FDB">
        <w:rPr>
          <w:rFonts w:eastAsia="Times New Roman" w:cstheme="minorHAnsi"/>
          <w:lang w:eastAsia="pt-BR"/>
        </w:rPr>
        <w:t xml:space="preserve"> rigoroso com realização de todos os ensaios especificados nas normas do DER/PR através de laboratório devidamente habilitado, incluindo aprovação prévia da dosagem de CBUQ pelo DER/PR e execução obrigatória de segmento experimental; </w:t>
      </w:r>
      <w:r w:rsidRPr="00840FDB">
        <w:rPr>
          <w:rFonts w:eastAsia="Times New Roman" w:cstheme="minorHAnsi"/>
          <w:b/>
          <w:bCs/>
          <w:lang w:eastAsia="pt-BR"/>
        </w:rPr>
        <w:t>segurança do trabalho</w:t>
      </w:r>
      <w:r w:rsidRPr="00840FDB">
        <w:rPr>
          <w:rFonts w:eastAsia="Times New Roman" w:cstheme="minorHAnsi"/>
          <w:lang w:eastAsia="pt-BR"/>
        </w:rPr>
        <w:t xml:space="preserve"> com fornecimento de EPIs, treinamentos, DDS (Diálogo Diário de Segurança) e implementação rigorosa de medidas de segurança conforme </w:t>
      </w:r>
      <w:proofErr w:type="spellStart"/>
      <w:r w:rsidRPr="00840FDB">
        <w:rPr>
          <w:rFonts w:eastAsia="Times New Roman" w:cstheme="minorHAnsi"/>
          <w:lang w:eastAsia="pt-BR"/>
        </w:rPr>
        <w:t>NRs</w:t>
      </w:r>
      <w:proofErr w:type="spellEnd"/>
      <w:r w:rsidRPr="00840FDB">
        <w:rPr>
          <w:rFonts w:eastAsia="Times New Roman" w:cstheme="minorHAnsi"/>
          <w:lang w:eastAsia="pt-BR"/>
        </w:rPr>
        <w:t xml:space="preserve"> do Ministério do Trabalho e Manual de Segurança em Rodovias do DER/PR; </w:t>
      </w:r>
      <w:r w:rsidRPr="00840FDB">
        <w:rPr>
          <w:rFonts w:eastAsia="Times New Roman" w:cstheme="minorHAnsi"/>
          <w:b/>
          <w:bCs/>
          <w:lang w:eastAsia="pt-BR"/>
        </w:rPr>
        <w:t>sinalização de obras</w:t>
      </w:r>
      <w:r w:rsidRPr="00840FDB">
        <w:rPr>
          <w:rFonts w:eastAsia="Times New Roman" w:cstheme="minorHAnsi"/>
          <w:lang w:eastAsia="pt-BR"/>
        </w:rPr>
        <w:t xml:space="preserve"> adequada conforme Manual de Sinalização de Obras do CONTRAN incluindo placas, cones, cavaletes, fitas zebradas, sinalização noturna quando necessário, manutenção de acessos às propriedades rurais lindeiras; </w:t>
      </w:r>
      <w:r w:rsidRPr="00840FDB">
        <w:rPr>
          <w:rFonts w:eastAsia="Times New Roman" w:cstheme="minorHAnsi"/>
          <w:b/>
          <w:bCs/>
          <w:lang w:eastAsia="pt-BR"/>
        </w:rPr>
        <w:t>gestão ambiental</w:t>
      </w:r>
      <w:r w:rsidRPr="00840FDB">
        <w:rPr>
          <w:rFonts w:eastAsia="Times New Roman" w:cstheme="minorHAnsi"/>
          <w:lang w:eastAsia="pt-BR"/>
        </w:rPr>
        <w:t xml:space="preserve"> com destinação adequada de resíduos da construção civil conforme NBR 15.114, manutenção das licenças ambientais da pedreira e usina de asfalto válidas durante toda a execução; </w:t>
      </w:r>
      <w:r w:rsidRPr="00840FDB">
        <w:rPr>
          <w:rFonts w:eastAsia="Times New Roman" w:cstheme="minorHAnsi"/>
          <w:b/>
          <w:bCs/>
          <w:lang w:eastAsia="pt-BR"/>
        </w:rPr>
        <w:t>responsabilidade técnica</w:t>
      </w:r>
      <w:r w:rsidRPr="00840FDB">
        <w:rPr>
          <w:rFonts w:eastAsia="Times New Roman" w:cstheme="minorHAnsi"/>
          <w:lang w:eastAsia="pt-BR"/>
        </w:rPr>
        <w:t xml:space="preserve"> através de Engenheiro Civil devidamente habilitado no CREA com presença permanente na obra como responsável técnico.</w:t>
      </w:r>
    </w:p>
    <w:p w14:paraId="58B9BFA8" w14:textId="5E465292"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contratada deverá assegurar conformidade integral com especificações técnicas estabelecidas no memorial descritivo, projeto executivo e especificações de serviço do DER/PR, destacando a integralidade da solução executada e responsabilidade total pela qualidade, durabilidade estrutural conforme dimensionamento, e adequação dos serviços prestados. A execução deverá observar rigorosamente o cronograma físico-financeiro aprovado em </w:t>
      </w:r>
      <w:r w:rsidR="00465394">
        <w:rPr>
          <w:rFonts w:eastAsia="Times New Roman" w:cstheme="minorHAnsi"/>
          <w:lang w:eastAsia="pt-BR"/>
        </w:rPr>
        <w:t>6</w:t>
      </w:r>
      <w:r w:rsidRPr="00840FDB">
        <w:rPr>
          <w:rFonts w:eastAsia="Times New Roman" w:cstheme="minorHAnsi"/>
          <w:lang w:eastAsia="pt-BR"/>
        </w:rPr>
        <w:t xml:space="preserve"> etapas ao longo de </w:t>
      </w:r>
      <w:r w:rsidR="00465394">
        <w:rPr>
          <w:rFonts w:eastAsia="Times New Roman" w:cstheme="minorHAnsi"/>
          <w:lang w:eastAsia="pt-BR"/>
        </w:rPr>
        <w:t>180</w:t>
      </w:r>
      <w:r w:rsidRPr="00840FDB">
        <w:rPr>
          <w:rFonts w:eastAsia="Times New Roman" w:cstheme="minorHAnsi"/>
          <w:lang w:eastAsia="pt-BR"/>
        </w:rPr>
        <w:t xml:space="preserve"> dias, com possibilidade de ajustes apenas mediante autorização prévia da fiscalização e desde que devidamente justificados tecnicamente. A contratada deverá comunicar à fiscalização com antecedência mínima de 48 horas a realização de ensaio de pista experimental e quaisquer etapas críticas que necessitem acompanhamento específico, devendo entregar sistematicamente todo o controle tecnológico referente aos serviços realizados.</w:t>
      </w:r>
    </w:p>
    <w:p w14:paraId="68FA781B"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15.3 - Providências da Administração</w:t>
      </w:r>
    </w:p>
    <w:p w14:paraId="6BDE891C" w14:textId="659E2114"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Cabe à Administração Municipal providenciar </w:t>
      </w:r>
      <w:r w:rsidRPr="00840FDB">
        <w:rPr>
          <w:rFonts w:eastAsia="Times New Roman" w:cstheme="minorHAnsi"/>
          <w:b/>
          <w:bCs/>
          <w:lang w:eastAsia="pt-BR"/>
        </w:rPr>
        <w:t>designação de gestores e fiscais contratuais</w:t>
      </w:r>
      <w:r w:rsidRPr="00840FDB">
        <w:rPr>
          <w:rFonts w:eastAsia="Times New Roman" w:cstheme="minorHAnsi"/>
          <w:lang w:eastAsia="pt-BR"/>
        </w:rPr>
        <w:t xml:space="preserve"> responsáveis pelo acompanhamento da execução através de portarias específicas, preferencialmente incluindo profissional engenheiro civil do quadro municipal ou contratado especificamente para fiscalização técnica da obra com conhecimento das especificações do DER/PR; </w:t>
      </w:r>
      <w:r w:rsidRPr="00840FDB">
        <w:rPr>
          <w:rFonts w:eastAsia="Times New Roman" w:cstheme="minorHAnsi"/>
          <w:b/>
          <w:bCs/>
          <w:lang w:eastAsia="pt-BR"/>
        </w:rPr>
        <w:t>disponibilização do projeto executivo</w:t>
      </w:r>
      <w:r w:rsidRPr="00840FDB">
        <w:rPr>
          <w:rFonts w:eastAsia="Times New Roman" w:cstheme="minorHAnsi"/>
          <w:lang w:eastAsia="pt-BR"/>
        </w:rPr>
        <w:t xml:space="preserve"> completo incluindo memorial descritivo, projeto geométrico, dimensionamento do pavimento</w:t>
      </w:r>
      <w:r w:rsidR="00C61B05">
        <w:rPr>
          <w:rFonts w:eastAsia="Times New Roman" w:cstheme="minorHAnsi"/>
          <w:lang w:eastAsia="pt-BR"/>
        </w:rPr>
        <w:t xml:space="preserve">, </w:t>
      </w:r>
      <w:r w:rsidRPr="00840FDB">
        <w:rPr>
          <w:rFonts w:eastAsia="Times New Roman" w:cstheme="minorHAnsi"/>
          <w:lang w:eastAsia="pt-BR"/>
        </w:rPr>
        <w:t xml:space="preserve">projeto de drenagem, projeto de sinalização, especificações técnicas do DER/PR aplicáveis, e demais documentos técnicos necessários; </w:t>
      </w:r>
      <w:r w:rsidRPr="00840FDB">
        <w:rPr>
          <w:rFonts w:eastAsia="Times New Roman" w:cstheme="minorHAnsi"/>
          <w:b/>
          <w:bCs/>
          <w:lang w:eastAsia="pt-BR"/>
        </w:rPr>
        <w:t>liberação das áreas</w:t>
      </w:r>
      <w:r w:rsidRPr="00840FDB">
        <w:rPr>
          <w:rFonts w:eastAsia="Times New Roman" w:cstheme="minorHAnsi"/>
          <w:lang w:eastAsia="pt-BR"/>
        </w:rPr>
        <w:t xml:space="preserve"> para execução dos serviços na </w:t>
      </w:r>
      <w:r w:rsidR="00C61B05">
        <w:rPr>
          <w:rFonts w:eastAsia="Times New Roman" w:cstheme="minorHAnsi"/>
          <w:lang w:eastAsia="pt-BR"/>
        </w:rPr>
        <w:t>Estrada Rural Linha Aurora-Colônia Nova</w:t>
      </w:r>
      <w:r w:rsidRPr="00840FDB">
        <w:rPr>
          <w:rFonts w:eastAsia="Times New Roman" w:cstheme="minorHAnsi"/>
          <w:lang w:eastAsia="pt-BR"/>
        </w:rPr>
        <w:t xml:space="preserve">, incluindo comunicação prévia aos moradores e produtores rurais lindeiros sobre início da obra, prazos e eventuais interferências temporárias nos acessos; </w:t>
      </w:r>
      <w:r w:rsidRPr="00840FDB">
        <w:rPr>
          <w:rFonts w:eastAsia="Times New Roman" w:cstheme="minorHAnsi"/>
          <w:b/>
          <w:bCs/>
          <w:lang w:eastAsia="pt-BR"/>
        </w:rPr>
        <w:t>interface com órgãos estaduais</w:t>
      </w:r>
      <w:r w:rsidRPr="00840FDB">
        <w:rPr>
          <w:rFonts w:eastAsia="Times New Roman" w:cstheme="minorHAnsi"/>
          <w:lang w:eastAsia="pt-BR"/>
        </w:rPr>
        <w:t xml:space="preserve"> quando necessário e acompanhamento de segmento experimental; </w:t>
      </w:r>
      <w:r w:rsidRPr="00840FDB">
        <w:rPr>
          <w:rFonts w:eastAsia="Times New Roman" w:cstheme="minorHAnsi"/>
          <w:b/>
          <w:bCs/>
          <w:lang w:eastAsia="pt-BR"/>
        </w:rPr>
        <w:t>apoio administrativo</w:t>
      </w:r>
      <w:r w:rsidRPr="00840FDB">
        <w:rPr>
          <w:rFonts w:eastAsia="Times New Roman" w:cstheme="minorHAnsi"/>
          <w:lang w:eastAsia="pt-BR"/>
        </w:rPr>
        <w:t xml:space="preserve"> para resolução de questões que surgirem durante a execução; </w:t>
      </w:r>
      <w:r w:rsidRPr="00840FDB">
        <w:rPr>
          <w:rFonts w:eastAsia="Times New Roman" w:cstheme="minorHAnsi"/>
          <w:b/>
          <w:bCs/>
          <w:lang w:eastAsia="pt-BR"/>
        </w:rPr>
        <w:t>medições periódicas</w:t>
      </w:r>
      <w:r w:rsidRPr="00840FDB">
        <w:rPr>
          <w:rFonts w:eastAsia="Times New Roman" w:cstheme="minorHAnsi"/>
          <w:lang w:eastAsia="pt-BR"/>
        </w:rPr>
        <w:t xml:space="preserve"> conforme cronograma físico-financeiro estabelecido em </w:t>
      </w:r>
      <w:r w:rsidR="001300A7">
        <w:rPr>
          <w:rFonts w:eastAsia="Times New Roman" w:cstheme="minorHAnsi"/>
          <w:lang w:eastAsia="pt-BR"/>
        </w:rPr>
        <w:t>6</w:t>
      </w:r>
      <w:r w:rsidRPr="00840FDB">
        <w:rPr>
          <w:rFonts w:eastAsia="Times New Roman" w:cstheme="minorHAnsi"/>
          <w:lang w:eastAsia="pt-BR"/>
        </w:rPr>
        <w:t xml:space="preserve"> etapas verificando o efetivo cumprimento integral de cada etapa antes da liberação de pagamento; </w:t>
      </w:r>
      <w:r w:rsidRPr="00840FDB">
        <w:rPr>
          <w:rFonts w:eastAsia="Times New Roman" w:cstheme="minorHAnsi"/>
          <w:b/>
          <w:bCs/>
          <w:lang w:eastAsia="pt-BR"/>
        </w:rPr>
        <w:t>pagamentos</w:t>
      </w:r>
      <w:r w:rsidRPr="00840FDB">
        <w:rPr>
          <w:rFonts w:eastAsia="Times New Roman" w:cstheme="minorHAnsi"/>
          <w:lang w:eastAsia="pt-BR"/>
        </w:rPr>
        <w:t xml:space="preserve"> dentro dos prazos contratuais mediante apresentação de documentação adequada (nota fiscal, controle tecnológico do período, relatório fotográfico, boletim de medição) e verificação de regularidade fiscal e trabalhista; </w:t>
      </w:r>
      <w:r w:rsidRPr="00840FDB">
        <w:rPr>
          <w:rFonts w:eastAsia="Times New Roman" w:cstheme="minorHAnsi"/>
          <w:b/>
          <w:bCs/>
          <w:lang w:eastAsia="pt-BR"/>
        </w:rPr>
        <w:t>recebimento provisório e definitivo</w:t>
      </w:r>
      <w:r w:rsidRPr="00840FDB">
        <w:rPr>
          <w:rFonts w:eastAsia="Times New Roman" w:cstheme="minorHAnsi"/>
          <w:lang w:eastAsia="pt-BR"/>
        </w:rPr>
        <w:t xml:space="preserve"> da obra conforme procedimentos rigorosos estabelecidos na Lei 14.133/2021 incluindo período de observação; </w:t>
      </w:r>
      <w:r w:rsidRPr="00840FDB">
        <w:rPr>
          <w:rFonts w:eastAsia="Times New Roman" w:cstheme="minorHAnsi"/>
          <w:b/>
          <w:bCs/>
          <w:lang w:eastAsia="pt-BR"/>
        </w:rPr>
        <w:t>avaliação</w:t>
      </w:r>
      <w:r w:rsidRPr="00840FDB">
        <w:rPr>
          <w:rFonts w:eastAsia="Times New Roman" w:cstheme="minorHAnsi"/>
          <w:lang w:eastAsia="pt-BR"/>
        </w:rPr>
        <w:t xml:space="preserve"> contínua dos resultados obtidos com a implementação da pavimentação asfáltica através de indicadores de qualidade (deflexões, irregularidade longitudinal, aderência superficial) e satisfação dos usuários; </w:t>
      </w:r>
      <w:r w:rsidRPr="00840FDB">
        <w:rPr>
          <w:rFonts w:eastAsia="Times New Roman" w:cstheme="minorHAnsi"/>
          <w:b/>
          <w:bCs/>
          <w:lang w:eastAsia="pt-BR"/>
        </w:rPr>
        <w:t>gestão do convênio</w:t>
      </w:r>
      <w:r w:rsidRPr="00840FDB">
        <w:rPr>
          <w:rFonts w:eastAsia="Times New Roman" w:cstheme="minorHAnsi"/>
          <w:lang w:eastAsia="pt-BR"/>
        </w:rPr>
        <w:t xml:space="preserve"> com </w:t>
      </w:r>
      <w:r w:rsidR="00842DEB">
        <w:rPr>
          <w:rFonts w:eastAsia="Times New Roman" w:cstheme="minorHAnsi"/>
          <w:lang w:eastAsia="pt-BR"/>
        </w:rPr>
        <w:t xml:space="preserve"> SEAB, </w:t>
      </w:r>
      <w:r w:rsidRPr="00840FDB">
        <w:rPr>
          <w:rFonts w:eastAsia="Times New Roman" w:cstheme="minorHAnsi"/>
          <w:lang w:eastAsia="pt-BR"/>
        </w:rPr>
        <w:t>incluindo prestação de contas adequada conforme exigências do órgão concedente.</w:t>
      </w:r>
    </w:p>
    <w:p w14:paraId="533EE730"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A estrutura de gestão e fiscalização contratual será definida pela Secretaria Municipal de Viação e Obras e Departamento de Engenharia, estabelecendo rotinas rigorosas de acompanhamento sistemático especialmente das etapas críticas (remendos profundos, imprimação, aplicação de CBUQ), registros fotográficos completos da evolução dos serviços incluindo "antes, durante e depois", controle documental rigoroso de todos os ensaios tecnológicos e certificações de materiais, interface permanente com a contratada para resolução ágil de questões técnicas e operacionais, e comunicação transparente com a comunidade sobre o andamento da obra.</w:t>
      </w:r>
    </w:p>
    <w:p w14:paraId="5CDC5A3B" w14:textId="3D30BFC7" w:rsidR="00EB2BC7" w:rsidRPr="00EB2BC7" w:rsidRDefault="00B76D3E" w:rsidP="00EB2BC7">
      <w:pPr>
        <w:widowControl w:val="0"/>
        <w:spacing w:after="0"/>
        <w:jc w:val="both"/>
        <w:outlineLvl w:val="1"/>
        <w:rPr>
          <w:rFonts w:eastAsia="Times New Roman" w:cstheme="minorHAnsi"/>
          <w:b/>
          <w:bCs/>
          <w:lang w:eastAsia="pt-BR"/>
        </w:rPr>
      </w:pPr>
      <w:r>
        <w:rPr>
          <w:rFonts w:cstheme="minorHAnsi"/>
        </w:rPr>
        <w:pict w14:anchorId="75684BCC">
          <v:rect id="_x0000_i1039" style="width:0;height:1.5pt" o:hralign="center" o:hrstd="t" o:hr="t" fillcolor="#a0a0a0" stroked="f"/>
        </w:pict>
      </w:r>
      <w:r w:rsidR="00EB2BC7" w:rsidRPr="00EB2BC7">
        <w:rPr>
          <w:rFonts w:eastAsia="Times New Roman" w:cstheme="minorHAnsi"/>
          <w:b/>
          <w:bCs/>
          <w:lang w:eastAsia="pt-BR"/>
        </w:rPr>
        <w:t>16. POSSÍVEIS IMPACTOS AMBIENTAIS</w:t>
      </w:r>
    </w:p>
    <w:p w14:paraId="467E0071"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16.1 - Identificação dos Impactos Ambientais Negativos</w:t>
      </w:r>
    </w:p>
    <w:p w14:paraId="6AE3BF12"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execução de obras de pavimentação asfáltica pode gerar diversos impactos negativos ao ambiente, especialmente relacionados à </w:t>
      </w:r>
      <w:r w:rsidRPr="00840FDB">
        <w:rPr>
          <w:rFonts w:eastAsia="Times New Roman" w:cstheme="minorHAnsi"/>
          <w:b/>
          <w:bCs/>
          <w:lang w:eastAsia="pt-BR"/>
        </w:rPr>
        <w:t>extração de matérias-primas</w:t>
      </w:r>
      <w:r w:rsidRPr="00840FDB">
        <w:rPr>
          <w:rFonts w:eastAsia="Times New Roman" w:cstheme="minorHAnsi"/>
          <w:lang w:eastAsia="pt-BR"/>
        </w:rPr>
        <w:t xml:space="preserve"> como agregados pétreos (brita, areia, pó de pedra, macadame) que demandam exploração de jazidas e pedreiras com impactos ambientais significativos (supressão de vegetação, movimentação de terra, alteração da paisagem), sendo fundamental a exigência de licenciamento ambiental válido da pedreira pelo IAT; </w:t>
      </w:r>
      <w:r w:rsidRPr="00840FDB">
        <w:rPr>
          <w:rFonts w:eastAsia="Times New Roman" w:cstheme="minorHAnsi"/>
          <w:b/>
          <w:bCs/>
          <w:lang w:eastAsia="pt-BR"/>
        </w:rPr>
        <w:t>processo produtivo</w:t>
      </w:r>
      <w:r w:rsidRPr="00840FDB">
        <w:rPr>
          <w:rFonts w:eastAsia="Times New Roman" w:cstheme="minorHAnsi"/>
          <w:lang w:eastAsia="pt-BR"/>
        </w:rPr>
        <w:t xml:space="preserve"> do concreto asfáltico que envolve aquecimento de materiais a temperaturas entre 140°C e 160°C com emissão de gases e consumo energético elevado na usina de asfalto, sendo essencial a exigência de licença de operação válida da usina pelo IAT; </w:t>
      </w:r>
      <w:r w:rsidRPr="00840FDB">
        <w:rPr>
          <w:rFonts w:eastAsia="Times New Roman" w:cstheme="minorHAnsi"/>
          <w:b/>
          <w:bCs/>
          <w:lang w:eastAsia="pt-BR"/>
        </w:rPr>
        <w:t>transporte de materiais</w:t>
      </w:r>
      <w:r w:rsidRPr="00840FDB">
        <w:rPr>
          <w:rFonts w:eastAsia="Times New Roman" w:cstheme="minorHAnsi"/>
          <w:lang w:eastAsia="pt-BR"/>
        </w:rPr>
        <w:t xml:space="preserve"> resultando em emissões atmosféricas durante o transporte de agregados, CBUQ e demais insumos considerando distâncias significativas (usina de asfalto até 60 km, pedreiras na região); </w:t>
      </w:r>
      <w:r w:rsidRPr="00840FDB">
        <w:rPr>
          <w:rFonts w:eastAsia="Times New Roman" w:cstheme="minorHAnsi"/>
          <w:b/>
          <w:bCs/>
          <w:lang w:eastAsia="pt-BR"/>
        </w:rPr>
        <w:t>geração de resíduos</w:t>
      </w:r>
      <w:r w:rsidRPr="00840FDB">
        <w:rPr>
          <w:rFonts w:eastAsia="Times New Roman" w:cstheme="minorHAnsi"/>
          <w:lang w:eastAsia="pt-BR"/>
        </w:rPr>
        <w:t xml:space="preserve"> durante a execução da obra incluindo sobras de materiais pétreos e asfálticos, embalagens de produtos químicos, remoção do pavimento poliédrico deteriorado nos pontos de remendos profundos, e material do subleito contaminado removido dos "borrachudos"; </w:t>
      </w:r>
      <w:r w:rsidRPr="00840FDB">
        <w:rPr>
          <w:rFonts w:eastAsia="Times New Roman" w:cstheme="minorHAnsi"/>
          <w:b/>
          <w:bCs/>
          <w:lang w:eastAsia="pt-BR"/>
        </w:rPr>
        <w:t>emissões atmosféricas</w:t>
      </w:r>
      <w:r w:rsidRPr="00840FDB">
        <w:rPr>
          <w:rFonts w:eastAsia="Times New Roman" w:cstheme="minorHAnsi"/>
          <w:lang w:eastAsia="pt-BR"/>
        </w:rPr>
        <w:t xml:space="preserve"> durante aplicação de materiais asfálticos aquecidos (CBUQ, emulsões), especialmente durante espalhamento e compactação; </w:t>
      </w:r>
      <w:r w:rsidRPr="00840FDB">
        <w:rPr>
          <w:rFonts w:eastAsia="Times New Roman" w:cstheme="minorHAnsi"/>
          <w:b/>
          <w:bCs/>
          <w:lang w:eastAsia="pt-BR"/>
        </w:rPr>
        <w:t>ruídos e vibrações</w:t>
      </w:r>
      <w:r w:rsidRPr="00840FDB">
        <w:rPr>
          <w:rFonts w:eastAsia="Times New Roman" w:cstheme="minorHAnsi"/>
          <w:lang w:eastAsia="pt-BR"/>
        </w:rPr>
        <w:t xml:space="preserve"> significativos decorrentes da operação de equipamentos pesados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rolos compactadores vibratórios, motoniveladora, caminhões); </w:t>
      </w:r>
      <w:r w:rsidRPr="00840FDB">
        <w:rPr>
          <w:rFonts w:eastAsia="Times New Roman" w:cstheme="minorHAnsi"/>
          <w:b/>
          <w:bCs/>
          <w:lang w:eastAsia="pt-BR"/>
        </w:rPr>
        <w:t>interferências temporárias</w:t>
      </w:r>
      <w:r w:rsidRPr="00840FDB">
        <w:rPr>
          <w:rFonts w:eastAsia="Times New Roman" w:cstheme="minorHAnsi"/>
          <w:lang w:eastAsia="pt-BR"/>
        </w:rPr>
        <w:t xml:space="preserve"> no tráfego da rodovia e nas atividades dos produtores rurais durante a execução especialmente quanto aos acessos às propriedades; </w:t>
      </w:r>
      <w:r w:rsidRPr="00840FDB">
        <w:rPr>
          <w:rFonts w:eastAsia="Times New Roman" w:cstheme="minorHAnsi"/>
          <w:b/>
          <w:bCs/>
          <w:lang w:eastAsia="pt-BR"/>
        </w:rPr>
        <w:t>possível contaminação</w:t>
      </w:r>
      <w:r w:rsidRPr="00840FDB">
        <w:rPr>
          <w:rFonts w:eastAsia="Times New Roman" w:cstheme="minorHAnsi"/>
          <w:lang w:eastAsia="pt-BR"/>
        </w:rPr>
        <w:t xml:space="preserve"> do solo e recursos hídricos por derramamento acidental de materiais asfálticos ou combustíveis dos equipamentos.</w:t>
      </w:r>
    </w:p>
    <w:p w14:paraId="3E261571" w14:textId="706B69EF"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Estes impactos apresentam magnitude variável conforme as técnicas executivas adotadas e os cuidados ambientais implementados, abrangência local concentrada no trecho da </w:t>
      </w:r>
      <w:r w:rsidR="00EF5B67">
        <w:rPr>
          <w:rFonts w:eastAsia="Times New Roman" w:cstheme="minorHAnsi"/>
          <w:lang w:eastAsia="pt-BR"/>
        </w:rPr>
        <w:t>Estrada Rural que Liga a Comunidade de Linha Aurora a Linha Colônia Nova</w:t>
      </w:r>
      <w:r w:rsidRPr="00840FDB">
        <w:rPr>
          <w:rFonts w:eastAsia="Times New Roman" w:cstheme="minorHAnsi"/>
          <w:lang w:eastAsia="pt-BR"/>
        </w:rPr>
        <w:t xml:space="preserve"> e nas áreas de apoio (pedreira</w:t>
      </w:r>
      <w:r w:rsidR="00EF5B67">
        <w:rPr>
          <w:rFonts w:eastAsia="Times New Roman" w:cstheme="minorHAnsi"/>
          <w:lang w:eastAsia="pt-BR"/>
        </w:rPr>
        <w:t xml:space="preserve"> e</w:t>
      </w:r>
      <w:r w:rsidRPr="00840FDB">
        <w:rPr>
          <w:rFonts w:eastAsia="Times New Roman" w:cstheme="minorHAnsi"/>
          <w:lang w:eastAsia="pt-BR"/>
        </w:rPr>
        <w:t xml:space="preserve"> usina de asfalto), duração temporária concentrada nos </w:t>
      </w:r>
      <w:r w:rsidR="00EF5B67">
        <w:rPr>
          <w:rFonts w:eastAsia="Times New Roman" w:cstheme="minorHAnsi"/>
          <w:lang w:eastAsia="pt-BR"/>
        </w:rPr>
        <w:t>180</w:t>
      </w:r>
      <w:r w:rsidRPr="00840FDB">
        <w:rPr>
          <w:rFonts w:eastAsia="Times New Roman" w:cstheme="minorHAnsi"/>
          <w:lang w:eastAsia="pt-BR"/>
        </w:rPr>
        <w:t xml:space="preserve"> dias de execução da obra, e reversibilidade mediante implementação rigorosa de medidas mitigadoras adequadas, boas práticas ambientais, e manutenção válida dos licenciamentos ambientais exigidos (pedreira e usina de asfalto pelo IAT).</w:t>
      </w:r>
    </w:p>
    <w:p w14:paraId="56116C49"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16.2 - Impactos Ambientais Positivos e Medidas Mitigadoras</w:t>
      </w:r>
    </w:p>
    <w:p w14:paraId="75741D5C" w14:textId="3DEA640B"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Porém, a obra de pavimentação asfáltica também gera impactos positivos significativos e duradouros, especialmente através de </w:t>
      </w:r>
      <w:r w:rsidRPr="00840FDB">
        <w:rPr>
          <w:rFonts w:eastAsia="Times New Roman" w:cstheme="minorHAnsi"/>
          <w:b/>
          <w:bCs/>
          <w:lang w:eastAsia="pt-BR"/>
        </w:rPr>
        <w:t>redução da poeira</w:t>
      </w:r>
      <w:r w:rsidRPr="00840FDB">
        <w:rPr>
          <w:rFonts w:eastAsia="Times New Roman" w:cstheme="minorHAnsi"/>
          <w:lang w:eastAsia="pt-BR"/>
        </w:rPr>
        <w:t xml:space="preserve"> eliminando problema grave de saúde pública e qualidade ambiental que atualmente é gerado pela desagregação do pavimento poliédrico e tráfego sobre ele; </w:t>
      </w:r>
      <w:r w:rsidRPr="00840FDB">
        <w:rPr>
          <w:rFonts w:eastAsia="Times New Roman" w:cstheme="minorHAnsi"/>
          <w:b/>
          <w:bCs/>
          <w:lang w:eastAsia="pt-BR"/>
        </w:rPr>
        <w:t>melhoria substancial da drenagem</w:t>
      </w:r>
      <w:r w:rsidRPr="00840FDB">
        <w:rPr>
          <w:rFonts w:eastAsia="Times New Roman" w:cstheme="minorHAnsi"/>
          <w:lang w:eastAsia="pt-BR"/>
        </w:rPr>
        <w:t xml:space="preserve"> através do sistema completo de dispositivos (bueiros tubulares</w:t>
      </w:r>
      <w:r w:rsidR="00226EAA">
        <w:rPr>
          <w:rFonts w:eastAsia="Times New Roman" w:cstheme="minorHAnsi"/>
          <w:lang w:eastAsia="pt-BR"/>
        </w:rPr>
        <w:t xml:space="preserve"> e</w:t>
      </w:r>
      <w:r w:rsidRPr="00840FDB">
        <w:rPr>
          <w:rFonts w:eastAsia="Times New Roman" w:cstheme="minorHAnsi"/>
          <w:lang w:eastAsia="pt-BR"/>
        </w:rPr>
        <w:t xml:space="preserve"> bocas</w:t>
      </w:r>
      <w:r w:rsidR="00226EAA">
        <w:rPr>
          <w:rFonts w:eastAsia="Times New Roman" w:cstheme="minorHAnsi"/>
          <w:lang w:eastAsia="pt-BR"/>
        </w:rPr>
        <w:t xml:space="preserve"> de bueiro)</w:t>
      </w:r>
      <w:r w:rsidRPr="00840FDB">
        <w:rPr>
          <w:rFonts w:eastAsia="Times New Roman" w:cstheme="minorHAnsi"/>
          <w:lang w:eastAsia="pt-BR"/>
        </w:rPr>
        <w:t xml:space="preserve"> que direcionará adequadamente as águas pluviais evitando erosão e assoreamento; </w:t>
      </w:r>
      <w:r w:rsidRPr="00840FDB">
        <w:rPr>
          <w:rFonts w:eastAsia="Times New Roman" w:cstheme="minorHAnsi"/>
          <w:b/>
          <w:bCs/>
          <w:lang w:eastAsia="pt-BR"/>
        </w:rPr>
        <w:t>redução significativa de erosão</w:t>
      </w:r>
      <w:r w:rsidRPr="00840FDB">
        <w:rPr>
          <w:rFonts w:eastAsia="Times New Roman" w:cstheme="minorHAnsi"/>
          <w:lang w:eastAsia="pt-BR"/>
        </w:rPr>
        <w:t xml:space="preserve"> eliminando o carreamento de sedimentos que atualmente ocorre pela ausência de drenagem adequada e pelas deformações do pavimento que acumulam água; </w:t>
      </w:r>
      <w:r w:rsidRPr="00840FDB">
        <w:rPr>
          <w:rFonts w:eastAsia="Times New Roman" w:cstheme="minorHAnsi"/>
          <w:b/>
          <w:bCs/>
          <w:lang w:eastAsia="pt-BR"/>
        </w:rPr>
        <w:t>melhoria da qualidade do ar</w:t>
      </w:r>
      <w:r w:rsidRPr="00840FDB">
        <w:rPr>
          <w:rFonts w:eastAsia="Times New Roman" w:cstheme="minorHAnsi"/>
          <w:lang w:eastAsia="pt-BR"/>
        </w:rPr>
        <w:t xml:space="preserve"> regional com eliminação completa da poeira suspensa gerada pelo pavimento deteriorado; </w:t>
      </w:r>
      <w:r w:rsidRPr="00840FDB">
        <w:rPr>
          <w:rFonts w:eastAsia="Times New Roman" w:cstheme="minorHAnsi"/>
          <w:b/>
          <w:bCs/>
          <w:lang w:eastAsia="pt-BR"/>
        </w:rPr>
        <w:t>durabilidade</w:t>
      </w:r>
      <w:r w:rsidRPr="00840FDB">
        <w:rPr>
          <w:rFonts w:eastAsia="Times New Roman" w:cstheme="minorHAnsi"/>
          <w:lang w:eastAsia="pt-BR"/>
        </w:rPr>
        <w:t xml:space="preserve"> da infraestrutura construída que reduzirá drasticamente a necessidade de manutenções frequentes e consequentemente novos impactos ambientais futuros; </w:t>
      </w:r>
      <w:r w:rsidRPr="00840FDB">
        <w:rPr>
          <w:rFonts w:eastAsia="Times New Roman" w:cstheme="minorHAnsi"/>
          <w:b/>
          <w:bCs/>
          <w:lang w:eastAsia="pt-BR"/>
        </w:rPr>
        <w:t>redução de emissões veiculares</w:t>
      </w:r>
      <w:r w:rsidRPr="00840FDB">
        <w:rPr>
          <w:rFonts w:eastAsia="Times New Roman" w:cstheme="minorHAnsi"/>
          <w:lang w:eastAsia="pt-BR"/>
        </w:rPr>
        <w:t xml:space="preserve"> pois o pavimento asfáltico adequado reduz o consumo de combustível dos veículos em comparação com pavimento deteriorado com deformações; </w:t>
      </w:r>
      <w:r w:rsidRPr="00840FDB">
        <w:rPr>
          <w:rFonts w:eastAsia="Times New Roman" w:cstheme="minorHAnsi"/>
          <w:b/>
          <w:bCs/>
          <w:lang w:eastAsia="pt-BR"/>
        </w:rPr>
        <w:t>proteção de recursos hídricos</w:t>
      </w:r>
      <w:r w:rsidRPr="00840FDB">
        <w:rPr>
          <w:rFonts w:eastAsia="Times New Roman" w:cstheme="minorHAnsi"/>
          <w:lang w:eastAsia="pt-BR"/>
        </w:rPr>
        <w:t xml:space="preserve"> através do sistema de drenagem que impedirá o acúmulo de água no subleito e o carreamento de sedimentos para cursos d'água.</w:t>
      </w:r>
    </w:p>
    <w:p w14:paraId="02974165"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As medidas mitigadoras a serem rigorosamente implementadas</w:t>
      </w:r>
      <w:r w:rsidRPr="00840FDB">
        <w:rPr>
          <w:rFonts w:eastAsia="Times New Roman" w:cstheme="minorHAnsi"/>
          <w:lang w:eastAsia="pt-BR"/>
        </w:rPr>
        <w:t xml:space="preserve"> incluem </w:t>
      </w:r>
      <w:r w:rsidRPr="00840FDB">
        <w:rPr>
          <w:rFonts w:eastAsia="Times New Roman" w:cstheme="minorHAnsi"/>
          <w:b/>
          <w:bCs/>
          <w:lang w:eastAsia="pt-BR"/>
        </w:rPr>
        <w:t>licenciamento ambiental obrigatório</w:t>
      </w:r>
      <w:r w:rsidRPr="00840FDB">
        <w:rPr>
          <w:rFonts w:eastAsia="Times New Roman" w:cstheme="minorHAnsi"/>
          <w:lang w:eastAsia="pt-BR"/>
        </w:rPr>
        <w:t xml:space="preserve"> com exigência de Licença Ambiental (Licença de Operação) válida da pedreira emitida pelo IAT em nome da contratada ou de terceiros (com comprovação de vínculo) e Licença de Operação válida da usina de asfalto emitida pelo IAT (própria ou contratada com comprovação de vínculo), sendo que estas licenças deverão permanecer válidas durante toda a execução da obra; </w:t>
      </w:r>
      <w:r w:rsidRPr="00840FDB">
        <w:rPr>
          <w:rFonts w:eastAsia="Times New Roman" w:cstheme="minorHAnsi"/>
          <w:b/>
          <w:bCs/>
          <w:lang w:eastAsia="pt-BR"/>
        </w:rPr>
        <w:t>controle de emissões</w:t>
      </w:r>
      <w:r w:rsidRPr="00840FDB">
        <w:rPr>
          <w:rFonts w:eastAsia="Times New Roman" w:cstheme="minorHAnsi"/>
          <w:lang w:eastAsia="pt-BR"/>
        </w:rPr>
        <w:t xml:space="preserve"> através de utilização de usina de asfalto com equipamentos adequados de controle ambiental conforme licenciamento IAT, manutenção preventiva rigorosa de todos os equipamentos para redução de emissões; </w:t>
      </w:r>
      <w:r w:rsidRPr="00840FDB">
        <w:rPr>
          <w:rFonts w:eastAsia="Times New Roman" w:cstheme="minorHAnsi"/>
          <w:b/>
          <w:bCs/>
          <w:lang w:eastAsia="pt-BR"/>
        </w:rPr>
        <w:t>gestão rigorosa de resíduos</w:t>
      </w:r>
      <w:r w:rsidRPr="00840FDB">
        <w:rPr>
          <w:rFonts w:eastAsia="Times New Roman" w:cstheme="minorHAnsi"/>
          <w:lang w:eastAsia="pt-BR"/>
        </w:rPr>
        <w:t xml:space="preserve"> conforme NBR 15.114 com destinação adequada de resíduos da construção civil a aterros licenciados ou áreas de reciclagem autorizadas pelos órgãos ambientais competentes, destinação adequada do pavimento poliédrico removido dos remendos profundos, gestão adequada de embalagens de produtos químicos; </w:t>
      </w:r>
      <w:r w:rsidRPr="00840FDB">
        <w:rPr>
          <w:rFonts w:eastAsia="Times New Roman" w:cstheme="minorHAnsi"/>
          <w:b/>
          <w:bCs/>
          <w:lang w:eastAsia="pt-BR"/>
        </w:rPr>
        <w:t>controle de ruídos</w:t>
      </w:r>
      <w:r w:rsidRPr="00840FDB">
        <w:rPr>
          <w:rFonts w:eastAsia="Times New Roman" w:cstheme="minorHAnsi"/>
          <w:lang w:eastAsia="pt-BR"/>
        </w:rPr>
        <w:t xml:space="preserve"> através de execução preferencialmente em horários adequados (diurnos), manutenção preventiva rigorosa de equipamentos para redução de ruídos, sinalização adequada alertando sobre ruídos na obra; </w:t>
      </w:r>
      <w:r w:rsidRPr="00840FDB">
        <w:rPr>
          <w:rFonts w:eastAsia="Times New Roman" w:cstheme="minorHAnsi"/>
          <w:b/>
          <w:bCs/>
          <w:lang w:eastAsia="pt-BR"/>
        </w:rPr>
        <w:t>sinalização adequada e manutenção de acessos</w:t>
      </w:r>
      <w:r w:rsidRPr="00840FDB">
        <w:rPr>
          <w:rFonts w:eastAsia="Times New Roman" w:cstheme="minorHAnsi"/>
          <w:lang w:eastAsia="pt-BR"/>
        </w:rPr>
        <w:t xml:space="preserve"> para minimizar transtornos ao tráfego e aos produtores rurais lindeiros, mantendo sempre acessos provisórios adequados durante as obras; </w:t>
      </w:r>
      <w:r w:rsidRPr="00840FDB">
        <w:rPr>
          <w:rFonts w:eastAsia="Times New Roman" w:cstheme="minorHAnsi"/>
          <w:b/>
          <w:bCs/>
          <w:lang w:eastAsia="pt-BR"/>
        </w:rPr>
        <w:t>umectação</w:t>
      </w:r>
      <w:r w:rsidRPr="00840FDB">
        <w:rPr>
          <w:rFonts w:eastAsia="Times New Roman" w:cstheme="minorHAnsi"/>
          <w:lang w:eastAsia="pt-BR"/>
        </w:rPr>
        <w:t xml:space="preserve"> de vias de acesso ao canteiro e frentes de trabalho para controle de poeira durante transporte de materiais e movimentação de equipamentos; </w:t>
      </w:r>
      <w:r w:rsidRPr="00840FDB">
        <w:rPr>
          <w:rFonts w:eastAsia="Times New Roman" w:cstheme="minorHAnsi"/>
          <w:b/>
          <w:bCs/>
          <w:lang w:eastAsia="pt-BR"/>
        </w:rPr>
        <w:t>proteção de recursos hídricos</w:t>
      </w:r>
      <w:r w:rsidRPr="00840FDB">
        <w:rPr>
          <w:rFonts w:eastAsia="Times New Roman" w:cstheme="minorHAnsi"/>
          <w:lang w:eastAsia="pt-BR"/>
        </w:rPr>
        <w:t xml:space="preserve"> com implantação de barreiras de contenção de sedimentos quando necessário, proibição de lavagem de equipamentos em locais inadequados, kit de emergência para contenção de derramamentos acidentais de produtos químicos ou combustíveis; </w:t>
      </w:r>
      <w:r w:rsidRPr="00840FDB">
        <w:rPr>
          <w:rFonts w:eastAsia="Times New Roman" w:cstheme="minorHAnsi"/>
          <w:b/>
          <w:bCs/>
          <w:lang w:eastAsia="pt-BR"/>
        </w:rPr>
        <w:t>educação ambiental</w:t>
      </w:r>
      <w:r w:rsidRPr="00840FDB">
        <w:rPr>
          <w:rFonts w:eastAsia="Times New Roman" w:cstheme="minorHAnsi"/>
          <w:lang w:eastAsia="pt-BR"/>
        </w:rPr>
        <w:t xml:space="preserve"> da equipe executora sobre boas práticas ambientais, importância da manutenção dos licenciamentos válidos, procedimentos em caso de emergências ambientais; </w:t>
      </w:r>
      <w:r w:rsidRPr="00840FDB">
        <w:rPr>
          <w:rFonts w:eastAsia="Times New Roman" w:cstheme="minorHAnsi"/>
          <w:b/>
          <w:bCs/>
          <w:lang w:eastAsia="pt-BR"/>
        </w:rPr>
        <w:t>monitoramento</w:t>
      </w:r>
      <w:r w:rsidRPr="00840FDB">
        <w:rPr>
          <w:rFonts w:eastAsia="Times New Roman" w:cstheme="minorHAnsi"/>
          <w:lang w:eastAsia="pt-BR"/>
        </w:rPr>
        <w:t xml:space="preserve"> sistemático de eventuais passivos ambientais durante a execução com comunicação imediata à fiscalização e aos órgãos ambientais competentes caso necessário.</w:t>
      </w:r>
    </w:p>
    <w:p w14:paraId="7FB4739D"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16.3 - Licenciamento Ambiental</w:t>
      </w:r>
    </w:p>
    <w:p w14:paraId="48C44985" w14:textId="63926FA0"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A obra de pavimentação asfáltica</w:t>
      </w:r>
      <w:r w:rsidR="00343051">
        <w:rPr>
          <w:rFonts w:eastAsia="Times New Roman" w:cstheme="minorHAnsi"/>
          <w:lang w:eastAsia="pt-BR"/>
        </w:rPr>
        <w:t xml:space="preserve"> sobre pedras irregulares</w:t>
      </w:r>
      <w:r w:rsidRPr="00840FDB">
        <w:rPr>
          <w:rFonts w:eastAsia="Times New Roman" w:cstheme="minorHAnsi"/>
          <w:lang w:eastAsia="pt-BR"/>
        </w:rPr>
        <w:t xml:space="preserve"> em </w:t>
      </w:r>
      <w:r w:rsidR="00343051">
        <w:rPr>
          <w:rFonts w:eastAsia="Times New Roman" w:cstheme="minorHAnsi"/>
          <w:lang w:eastAsia="pt-BR"/>
        </w:rPr>
        <w:t>estrada</w:t>
      </w:r>
      <w:r w:rsidRPr="00840FDB">
        <w:rPr>
          <w:rFonts w:eastAsia="Times New Roman" w:cstheme="minorHAnsi"/>
          <w:lang w:eastAsia="pt-BR"/>
        </w:rPr>
        <w:t xml:space="preserve"> já existente, sem supressão vegetal significativa além da prevista na limpeza das laterais, e sem interferência em áreas de preservação permanente, enquadra-se em tipologia de impacto ambiental controlado. O licenciamento ambiental necessário concentra-se nos </w:t>
      </w:r>
      <w:r w:rsidRPr="00840FDB">
        <w:rPr>
          <w:rFonts w:eastAsia="Times New Roman" w:cstheme="minorHAnsi"/>
          <w:b/>
          <w:bCs/>
          <w:lang w:eastAsia="pt-BR"/>
        </w:rPr>
        <w:t>licenciamentos obrigatórios da pedreira e da usina de asfalto</w:t>
      </w:r>
      <w:r w:rsidRPr="00840FDB">
        <w:rPr>
          <w:rFonts w:eastAsia="Times New Roman" w:cstheme="minorHAnsi"/>
          <w:lang w:eastAsia="pt-BR"/>
        </w:rPr>
        <w:t>, sendo exigência fundamental de habilitação técnica a apresentação pela licitante de: (a) Licença Ambiental (Licença de Operação) da pedreira emitida pelo Instituto Água e Terra (IAT) do Paraná, em nome da proponente ou de terceiros com comprovação de vínculo através de contrato de fornecimento ou locação, constando Razão Social, CNPJ, endereço da pedreira e validade vigente; (b) Licença de Operação da Usina de Asfalto emitida pelo IAT, constando dados da usina (Razão Social, CNPJ, endereço, validade vigente), sendo que caso a usina não seja de propriedade da contratada deverá apresentar contrato de fornecimento válido garantindo disponibilização do material, observando que a usina deverá estar localizada a menos de 60 km do município de Nova Prata do Iguaçu. Estes licenciamentos deverão permanecer válidos durante toda a execução da obra, sendo responsabilidade integral da contratada sua manutenção e renovação quando necessário.</w:t>
      </w:r>
    </w:p>
    <w:p w14:paraId="31D72F18" w14:textId="2AA0C9BE" w:rsidR="00EB2BC7" w:rsidRDefault="00B76D3E" w:rsidP="00EB2BC7">
      <w:pPr>
        <w:widowControl w:val="0"/>
        <w:spacing w:after="0"/>
        <w:jc w:val="both"/>
        <w:outlineLvl w:val="1"/>
        <w:rPr>
          <w:rFonts w:eastAsia="Times New Roman" w:cstheme="minorHAnsi"/>
          <w:b/>
          <w:bCs/>
          <w:lang w:eastAsia="pt-BR"/>
        </w:rPr>
      </w:pPr>
      <w:r>
        <w:rPr>
          <w:rFonts w:cstheme="minorHAnsi"/>
        </w:rPr>
        <w:pict w14:anchorId="39311288">
          <v:rect id="_x0000_i1040" style="width:0;height:1.5pt" o:hralign="center" o:bullet="t" o:hrstd="t" o:hr="t" fillcolor="#a0a0a0" stroked="f"/>
        </w:pict>
      </w:r>
      <w:r w:rsidR="00EB2BC7" w:rsidRPr="00EB2BC7">
        <w:rPr>
          <w:rFonts w:eastAsia="Times New Roman" w:cstheme="minorHAnsi"/>
          <w:b/>
          <w:bCs/>
          <w:lang w:eastAsia="pt-BR"/>
        </w:rPr>
        <w:t>17. DECLARAÇÃO DE VIABILIDADE</w:t>
      </w:r>
    </w:p>
    <w:p w14:paraId="37D01E7F"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17.1 - Justificativa da Essencialidade</w:t>
      </w:r>
    </w:p>
    <w:p w14:paraId="2BB424A6" w14:textId="7B246CFB"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dos serviços de pavimentação asfáltica na </w:t>
      </w:r>
      <w:r w:rsidR="00836785">
        <w:rPr>
          <w:rFonts w:eastAsia="Times New Roman" w:cstheme="minorHAnsi"/>
          <w:lang w:eastAsia="pt-BR"/>
        </w:rPr>
        <w:t>estrada que liga a Linha Aurora à Linha Colônia Nova,</w:t>
      </w:r>
      <w:r w:rsidRPr="00840FDB">
        <w:rPr>
          <w:rFonts w:eastAsia="Times New Roman" w:cstheme="minorHAnsi"/>
          <w:lang w:eastAsia="pt-BR"/>
        </w:rPr>
        <w:t xml:space="preserve"> descritos neste estudo técnico preliminar é essencial para </w:t>
      </w:r>
      <w:r w:rsidRPr="00840FDB">
        <w:rPr>
          <w:rFonts w:eastAsia="Times New Roman" w:cstheme="minorHAnsi"/>
          <w:b/>
          <w:bCs/>
          <w:lang w:eastAsia="pt-BR"/>
        </w:rPr>
        <w:t>alcançar a finalidade principal</w:t>
      </w:r>
      <w:r w:rsidRPr="00840FDB">
        <w:rPr>
          <w:rFonts w:eastAsia="Times New Roman" w:cstheme="minorHAnsi"/>
          <w:lang w:eastAsia="pt-BR"/>
        </w:rPr>
        <w:t xml:space="preserve"> de promover o desenvolvimento sustentável através da melhoria substancial da infraestrutura rodoviária, facilitando o escoamento da produção agropecuária (fumo, leite, grãos); </w:t>
      </w:r>
      <w:r w:rsidRPr="00840FDB">
        <w:rPr>
          <w:rFonts w:eastAsia="Times New Roman" w:cstheme="minorHAnsi"/>
          <w:b/>
          <w:bCs/>
          <w:lang w:eastAsia="pt-BR"/>
        </w:rPr>
        <w:t>obter benefícios esperados</w:t>
      </w:r>
      <w:r w:rsidRPr="00840FDB">
        <w:rPr>
          <w:rFonts w:eastAsia="Times New Roman" w:cstheme="minorHAnsi"/>
          <w:lang w:eastAsia="pt-BR"/>
        </w:rPr>
        <w:t xml:space="preserve"> como melhoria significativa da mobilidade regional, segurança viária através de pavimento adequado sem deformações, durabilidade estrutural, qualidade de vida dos usuários especialmente produtores rurais, e desenvolvimento econômico local através da redução de custos operacionais e facilitação do escoamento; </w:t>
      </w:r>
      <w:r w:rsidRPr="00840FDB">
        <w:rPr>
          <w:rFonts w:eastAsia="Times New Roman" w:cstheme="minorHAnsi"/>
          <w:b/>
          <w:bCs/>
          <w:lang w:eastAsia="pt-BR"/>
        </w:rPr>
        <w:t>impactar positivamente o desenvolvimento regional</w:t>
      </w:r>
      <w:r w:rsidRPr="00840FDB">
        <w:rPr>
          <w:rFonts w:eastAsia="Times New Roman" w:cstheme="minorHAnsi"/>
          <w:lang w:eastAsia="pt-BR"/>
        </w:rPr>
        <w:t xml:space="preserve"> transformando a realidade da infraestrutura rodoviária através de pavimento moderno conforme normas do DER/PR e DNIT adequado às necessidades contemporâneas do transporte de cargas agrícolas; </w:t>
      </w:r>
      <w:r w:rsidRPr="00840FDB">
        <w:rPr>
          <w:rFonts w:eastAsia="Times New Roman" w:cstheme="minorHAnsi"/>
          <w:b/>
          <w:bCs/>
          <w:lang w:eastAsia="pt-BR"/>
        </w:rPr>
        <w:t>alinhar com objetivos institucionais</w:t>
      </w:r>
      <w:r w:rsidRPr="00840FDB">
        <w:rPr>
          <w:rFonts w:eastAsia="Times New Roman" w:cstheme="minorHAnsi"/>
          <w:lang w:eastAsia="pt-BR"/>
        </w:rPr>
        <w:t xml:space="preserve"> da administração municipal de ofertar infraestrutura pública de qualidade, promover o desenvolvimento econômico regional, fortalecer a economia local através do apoio ao setor agropecuário, e captar recursos estaduais para potencializar investimentos estruturantes.</w:t>
      </w:r>
    </w:p>
    <w:p w14:paraId="38EEB1BF" w14:textId="634ABBF3"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Os aspectos estratégicos</w:t>
      </w:r>
      <w:r w:rsidRPr="00840FDB">
        <w:rPr>
          <w:rFonts w:eastAsia="Times New Roman" w:cstheme="minorHAnsi"/>
          <w:lang w:eastAsia="pt-BR"/>
        </w:rPr>
        <w:t xml:space="preserve"> incluem </w:t>
      </w:r>
      <w:r w:rsidRPr="00840FDB">
        <w:rPr>
          <w:rFonts w:eastAsia="Times New Roman" w:cstheme="minorHAnsi"/>
          <w:b/>
          <w:bCs/>
          <w:lang w:eastAsia="pt-BR"/>
        </w:rPr>
        <w:t xml:space="preserve">modernização da infraestrutura rodoviária </w:t>
      </w:r>
      <w:r w:rsidRPr="00840FDB">
        <w:rPr>
          <w:rFonts w:eastAsia="Times New Roman" w:cstheme="minorHAnsi"/>
          <w:lang w:eastAsia="pt-BR"/>
        </w:rPr>
        <w:t xml:space="preserve">através da incorporação de pavimentação asfáltica durável dimensionada adequadamente, </w:t>
      </w:r>
      <w:r w:rsidRPr="00840FDB">
        <w:rPr>
          <w:rFonts w:eastAsia="Times New Roman" w:cstheme="minorHAnsi"/>
          <w:b/>
          <w:bCs/>
          <w:lang w:eastAsia="pt-BR"/>
        </w:rPr>
        <w:t>abordagens metodológicas</w:t>
      </w:r>
      <w:r w:rsidRPr="00840FDB">
        <w:rPr>
          <w:rFonts w:eastAsia="Times New Roman" w:cstheme="minorHAnsi"/>
          <w:lang w:eastAsia="pt-BR"/>
        </w:rPr>
        <w:t xml:space="preserve"> que integram estrutura de pavimento adequada (remendos profundos, BGS, CBUQ), drenagem completa e sinalização viária conforme CONTRAN, </w:t>
      </w:r>
      <w:r w:rsidRPr="00840FDB">
        <w:rPr>
          <w:rFonts w:eastAsia="Times New Roman" w:cstheme="minorHAnsi"/>
          <w:b/>
          <w:bCs/>
          <w:lang w:eastAsia="pt-BR"/>
        </w:rPr>
        <w:t>melhoria dos padrões de infraestrutura</w:t>
      </w:r>
      <w:r w:rsidRPr="00840FDB">
        <w:rPr>
          <w:rFonts w:eastAsia="Times New Roman" w:cstheme="minorHAnsi"/>
          <w:lang w:eastAsia="pt-BR"/>
        </w:rPr>
        <w:t xml:space="preserve"> do município com valorização imobiliária regional e atração potencial de investimentos produtivos, </w:t>
      </w:r>
      <w:r w:rsidRPr="00840FDB">
        <w:rPr>
          <w:rFonts w:eastAsia="Times New Roman" w:cstheme="minorHAnsi"/>
          <w:b/>
          <w:bCs/>
          <w:lang w:eastAsia="pt-BR"/>
        </w:rPr>
        <w:t>promoção do desenvolvimento econômico</w:t>
      </w:r>
      <w:r w:rsidRPr="00840FDB">
        <w:rPr>
          <w:rFonts w:eastAsia="Times New Roman" w:cstheme="minorHAnsi"/>
          <w:lang w:eastAsia="pt-BR"/>
        </w:rPr>
        <w:t xml:space="preserve"> através da facilitação do escoamento da produção agropecuária que é base da economia municipal, e </w:t>
      </w:r>
      <w:r w:rsidRPr="00840FDB">
        <w:rPr>
          <w:rFonts w:eastAsia="Times New Roman" w:cstheme="minorHAnsi"/>
          <w:b/>
          <w:bCs/>
          <w:lang w:eastAsia="pt-BR"/>
        </w:rPr>
        <w:t>demonstração de capacidade de gestão</w:t>
      </w:r>
      <w:r w:rsidRPr="00840FDB">
        <w:rPr>
          <w:rFonts w:eastAsia="Times New Roman" w:cstheme="minorHAnsi"/>
          <w:lang w:eastAsia="pt-BR"/>
        </w:rPr>
        <w:t xml:space="preserve"> através de captação de recursos estaduais (</w:t>
      </w:r>
      <w:r w:rsidR="00D96706">
        <w:rPr>
          <w:rFonts w:eastAsia="Times New Roman" w:cstheme="minorHAnsi"/>
          <w:lang w:eastAsia="pt-BR"/>
        </w:rPr>
        <w:t>100</w:t>
      </w:r>
      <w:r w:rsidRPr="00840FDB">
        <w:rPr>
          <w:rFonts w:eastAsia="Times New Roman" w:cstheme="minorHAnsi"/>
          <w:lang w:eastAsia="pt-BR"/>
        </w:rPr>
        <w:t xml:space="preserve">% via </w:t>
      </w:r>
      <w:r w:rsidRPr="001C4016">
        <w:rPr>
          <w:rFonts w:eastAsia="Times New Roman" w:cstheme="minorHAnsi"/>
          <w:b/>
          <w:bCs/>
          <w:lang w:eastAsia="pt-BR"/>
        </w:rPr>
        <w:t>SE</w:t>
      </w:r>
      <w:r w:rsidR="00D96706">
        <w:rPr>
          <w:rFonts w:eastAsia="Times New Roman" w:cstheme="minorHAnsi"/>
          <w:b/>
          <w:bCs/>
          <w:lang w:eastAsia="pt-BR"/>
        </w:rPr>
        <w:t>AB</w:t>
      </w:r>
      <w:r w:rsidRPr="00840FDB">
        <w:rPr>
          <w:rFonts w:eastAsia="Times New Roman" w:cstheme="minorHAnsi"/>
          <w:lang w:eastAsia="pt-BR"/>
        </w:rPr>
        <w:t>) e execução de obra complexa conforme rigorosas normas do DER/PR.</w:t>
      </w:r>
    </w:p>
    <w:p w14:paraId="3825C421" w14:textId="4EAAB10A"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A conexão com necessidades identificadas</w:t>
      </w:r>
      <w:r w:rsidRPr="00840FDB">
        <w:rPr>
          <w:rFonts w:eastAsia="Times New Roman" w:cstheme="minorHAnsi"/>
          <w:lang w:eastAsia="pt-BR"/>
        </w:rPr>
        <w:t xml:space="preserve"> resolve </w:t>
      </w:r>
      <w:r w:rsidRPr="00840FDB">
        <w:rPr>
          <w:rFonts w:eastAsia="Times New Roman" w:cstheme="minorHAnsi"/>
          <w:b/>
          <w:bCs/>
          <w:lang w:eastAsia="pt-BR"/>
        </w:rPr>
        <w:t>problemas graves</w:t>
      </w:r>
      <w:r w:rsidRPr="00840FDB">
        <w:rPr>
          <w:rFonts w:eastAsia="Times New Roman" w:cstheme="minorHAnsi"/>
          <w:lang w:eastAsia="pt-BR"/>
        </w:rPr>
        <w:t xml:space="preserve"> como precariedade da </w:t>
      </w:r>
      <w:r w:rsidR="00D96706">
        <w:rPr>
          <w:rFonts w:eastAsia="Times New Roman" w:cstheme="minorHAnsi"/>
          <w:lang w:eastAsia="pt-BR"/>
        </w:rPr>
        <w:t>Estrada rural,</w:t>
      </w:r>
      <w:r w:rsidRPr="00840FDB">
        <w:rPr>
          <w:rFonts w:eastAsia="Times New Roman" w:cstheme="minorHAnsi"/>
          <w:lang w:eastAsia="pt-BR"/>
        </w:rPr>
        <w:t xml:space="preserve"> com pavimento poliédrico deteriorado apresentando deflexões excessivas superiores a 7 cm em diversos pontos, dificuldade de mobilidade regional e escoamento da produção agropecuária especialmente em períodos chuvosos, ausência de drenagem adequada causando acúmulo de água no subleito e aceleração da deterioração, custos operacionais elevados de veículos pela deterioração do pavimento, e limitação ao desenvolvimento econômico regional pela inadequação da infraestrutura rodoviária; </w:t>
      </w:r>
      <w:r w:rsidRPr="00840FDB">
        <w:rPr>
          <w:rFonts w:eastAsia="Times New Roman" w:cstheme="minorHAnsi"/>
          <w:b/>
          <w:bCs/>
          <w:lang w:eastAsia="pt-BR"/>
        </w:rPr>
        <w:t>aproveita oportunidades</w:t>
      </w:r>
      <w:r w:rsidRPr="00840FDB">
        <w:rPr>
          <w:rFonts w:eastAsia="Times New Roman" w:cstheme="minorHAnsi"/>
          <w:lang w:eastAsia="pt-BR"/>
        </w:rPr>
        <w:t xml:space="preserve"> estratégicas de captação de recursos estaduais através de convênio com </w:t>
      </w:r>
      <w:r w:rsidR="00C51E7B">
        <w:rPr>
          <w:rFonts w:eastAsia="Times New Roman" w:cstheme="minorHAnsi"/>
          <w:lang w:eastAsia="pt-BR"/>
        </w:rPr>
        <w:t>a SE</w:t>
      </w:r>
      <w:r w:rsidR="007B0FA6">
        <w:rPr>
          <w:rFonts w:eastAsia="Times New Roman" w:cstheme="minorHAnsi"/>
          <w:lang w:eastAsia="pt-BR"/>
        </w:rPr>
        <w:t>AB</w:t>
      </w:r>
      <w:r w:rsidRPr="00840FDB">
        <w:rPr>
          <w:rFonts w:eastAsia="Times New Roman" w:cstheme="minorHAnsi"/>
          <w:lang w:eastAsia="pt-BR"/>
        </w:rPr>
        <w:t xml:space="preserve"> que cobre </w:t>
      </w:r>
      <w:r w:rsidR="007B0FA6">
        <w:rPr>
          <w:rFonts w:eastAsia="Times New Roman" w:cstheme="minorHAnsi"/>
          <w:lang w:eastAsia="pt-BR"/>
        </w:rPr>
        <w:t>100</w:t>
      </w:r>
      <w:r w:rsidRPr="00840FDB">
        <w:rPr>
          <w:rFonts w:eastAsia="Times New Roman" w:cstheme="minorHAnsi"/>
          <w:lang w:eastAsia="pt-BR"/>
        </w:rPr>
        <w:t>% do investimento necessário</w:t>
      </w:r>
      <w:r w:rsidR="004C1AFC">
        <w:rPr>
          <w:rFonts w:eastAsia="Times New Roman" w:cstheme="minorHAnsi"/>
          <w:lang w:eastAsia="pt-BR"/>
        </w:rPr>
        <w:t xml:space="preserve"> </w:t>
      </w:r>
      <w:r w:rsidRPr="00840FDB">
        <w:rPr>
          <w:rFonts w:eastAsia="Times New Roman" w:cstheme="minorHAnsi"/>
          <w:lang w:eastAsia="pt-BR"/>
        </w:rPr>
        <w:t xml:space="preserve">e disponibilidade de tecnologia e especificações técnicas consolidadas do DER/PR para pavimentação asfáltica; </w:t>
      </w:r>
      <w:r w:rsidRPr="00840FDB">
        <w:rPr>
          <w:rFonts w:eastAsia="Times New Roman" w:cstheme="minorHAnsi"/>
          <w:b/>
          <w:bCs/>
          <w:lang w:eastAsia="pt-BR"/>
        </w:rPr>
        <w:t>desenvolve potencialidades</w:t>
      </w:r>
      <w:r w:rsidRPr="00840FDB">
        <w:rPr>
          <w:rFonts w:eastAsia="Times New Roman" w:cstheme="minorHAnsi"/>
          <w:lang w:eastAsia="pt-BR"/>
        </w:rPr>
        <w:t xml:space="preserve"> do município como polo regional de produção agropecuária através da melhoria da infraestrutura de escoamento, fortalece a economia local através da redução de custos logísticos, e posiciona Nova Prata do Iguaçu como município com infraestrutura rodoviária moderna adequada ao desenvolvimento sustentável.</w:t>
      </w:r>
    </w:p>
    <w:p w14:paraId="1BE1F45E"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17.2 - Análise de Viabilidade Técnica</w:t>
      </w:r>
    </w:p>
    <w:p w14:paraId="46686D79" w14:textId="55D750C6"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é </w:t>
      </w:r>
      <w:r w:rsidRPr="00840FDB">
        <w:rPr>
          <w:rFonts w:eastAsia="Times New Roman" w:cstheme="minorHAnsi"/>
          <w:b/>
          <w:bCs/>
          <w:lang w:eastAsia="pt-BR"/>
        </w:rPr>
        <w:t>tecnicamente viável</w:t>
      </w:r>
      <w:r w:rsidRPr="00840FDB">
        <w:rPr>
          <w:rFonts w:eastAsia="Times New Roman" w:cstheme="minorHAnsi"/>
          <w:lang w:eastAsia="pt-BR"/>
        </w:rPr>
        <w:t xml:space="preserve"> considerando a disponibilidade comprovada de empresas especializadas em pavimentação asfáltica rodoviária no mercado da Região Sul com experiência em obras conforme normas do DER/PR e DNIT, existência de normas técnicas consolidadas e especificações de serviço detalhadas do DER/PR (ES-PA-03/23, ES-P-05/2018, ES-P-17/23, ES-P-21/17, ES-P-13/05, ES-SV-03/23, ES-SV-09/23, ES-D-09/18, ES-D-05/18, ES-D-04/18) que orientam adequadamente todos os aspectos da execução, disponibilidade de materiais pétreos e asfálticos no mercado regional com pedreiras e usinas de asfalto devidamente licenciadas pelo IAT localizadas em distâncias adequadas (usinas a menos de 60 km conforme exigido), adequação das especificações técnicas adotadas às condições específicas do trecho através de dimensionamento estrutural, existência de projeto executivo completo com memorial descritivo detalhado </w:t>
      </w:r>
      <w:proofErr w:type="spellStart"/>
      <w:r w:rsidRPr="00840FDB">
        <w:rPr>
          <w:rFonts w:eastAsia="Times New Roman" w:cstheme="minorHAnsi"/>
          <w:lang w:eastAsia="pt-BR"/>
        </w:rPr>
        <w:t>incluind</w:t>
      </w:r>
      <w:proofErr w:type="spellEnd"/>
      <w:r w:rsidRPr="00840FDB">
        <w:rPr>
          <w:rFonts w:eastAsia="Times New Roman" w:cstheme="minorHAnsi"/>
          <w:lang w:eastAsia="pt-BR"/>
        </w:rPr>
        <w:t>, projeto geométrico, projeto de drenagem e projeto de sinalização, viabilidade de realização de controle tecnológico rigoroso através de laboratórios habilitados disponíveis na região, e adequação das condições locais da rodovia para execução da obra (acessos adequados, possibilidade de sinalização e desvios, manutenção de acessos provisórios às propriedades rurais).</w:t>
      </w:r>
    </w:p>
    <w:p w14:paraId="2F3CA50F"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17.3 - Análise de Viabilidade Econômica</w:t>
      </w:r>
    </w:p>
    <w:p w14:paraId="4494EBB8" w14:textId="3E7D27B3"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é </w:t>
      </w:r>
      <w:r w:rsidRPr="00840FDB">
        <w:rPr>
          <w:rFonts w:eastAsia="Times New Roman" w:cstheme="minorHAnsi"/>
          <w:b/>
          <w:bCs/>
          <w:lang w:eastAsia="pt-BR"/>
        </w:rPr>
        <w:t>economicamente vantajosa</w:t>
      </w:r>
      <w:r w:rsidRPr="00840FDB">
        <w:rPr>
          <w:rFonts w:eastAsia="Times New Roman" w:cstheme="minorHAnsi"/>
          <w:lang w:eastAsia="pt-BR"/>
        </w:rPr>
        <w:t xml:space="preserve"> considerando o excelente custo-benefício da solução adotada com pavimentação asfáltica durável dimensionada adequadamente (custo de R$ </w:t>
      </w:r>
      <w:r w:rsidR="00237EB3">
        <w:rPr>
          <w:rFonts w:eastAsia="Times New Roman" w:cstheme="minorHAnsi"/>
          <w:lang w:eastAsia="pt-BR"/>
        </w:rPr>
        <w:t>155</w:t>
      </w:r>
      <w:r w:rsidR="00237EB3" w:rsidRPr="00840FDB">
        <w:rPr>
          <w:rFonts w:eastAsia="Times New Roman" w:cstheme="minorHAnsi"/>
          <w:lang w:eastAsia="pt-BR"/>
        </w:rPr>
        <w:t>,</w:t>
      </w:r>
      <w:r w:rsidR="00237EB3">
        <w:rPr>
          <w:rFonts w:eastAsia="Times New Roman" w:cstheme="minorHAnsi"/>
          <w:lang w:eastAsia="pt-BR"/>
        </w:rPr>
        <w:t>72</w:t>
      </w:r>
      <w:r w:rsidRPr="00840FDB">
        <w:rPr>
          <w:rFonts w:eastAsia="Times New Roman" w:cstheme="minorHAnsi"/>
          <w:lang w:eastAsia="pt-BR"/>
        </w:rPr>
        <w:t xml:space="preserve">/m² para solução completa incluindo remendos profundos, BGS, CBUQ, drenagem, sinalização), captação de recursos estaduais que reduzem drasticamente o impacto orçamentário municipal </w:t>
      </w:r>
      <w:r w:rsidR="00775C42">
        <w:rPr>
          <w:rFonts w:eastAsia="Times New Roman" w:cstheme="minorHAnsi"/>
          <w:lang w:eastAsia="pt-BR"/>
        </w:rPr>
        <w:t xml:space="preserve">com 100% dos recursos </w:t>
      </w:r>
      <w:r w:rsidRPr="00840FDB">
        <w:rPr>
          <w:rFonts w:eastAsia="Times New Roman" w:cstheme="minorHAnsi"/>
          <w:lang w:eastAsia="pt-BR"/>
        </w:rPr>
        <w:t xml:space="preserve">cobertos pelo Estado via </w:t>
      </w:r>
      <w:r w:rsidR="00C51E7B" w:rsidRPr="001F62F4">
        <w:rPr>
          <w:rFonts w:eastAsia="Times New Roman" w:cstheme="minorHAnsi"/>
          <w:b/>
          <w:bCs/>
          <w:lang w:eastAsia="pt-BR"/>
        </w:rPr>
        <w:t>SE</w:t>
      </w:r>
      <w:r w:rsidR="00775C42" w:rsidRPr="001F62F4">
        <w:rPr>
          <w:rFonts w:eastAsia="Times New Roman" w:cstheme="minorHAnsi"/>
          <w:b/>
          <w:bCs/>
          <w:lang w:eastAsia="pt-BR"/>
        </w:rPr>
        <w:t>AB</w:t>
      </w:r>
      <w:r w:rsidR="00C51E7B" w:rsidRPr="001F62F4">
        <w:rPr>
          <w:rFonts w:eastAsia="Times New Roman" w:cstheme="minorHAnsi"/>
          <w:b/>
          <w:bCs/>
          <w:lang w:eastAsia="pt-BR"/>
        </w:rPr>
        <w:t xml:space="preserve"> – Secretaria </w:t>
      </w:r>
      <w:r w:rsidR="00775C42" w:rsidRPr="001F62F4">
        <w:rPr>
          <w:rFonts w:eastAsia="Times New Roman" w:cstheme="minorHAnsi"/>
          <w:b/>
          <w:bCs/>
          <w:lang w:eastAsia="pt-BR"/>
        </w:rPr>
        <w:t>de Estado da Agricultura e do Abastecimento</w:t>
      </w:r>
      <w:r w:rsidR="00C51E7B">
        <w:rPr>
          <w:rFonts w:eastAsia="Times New Roman" w:cstheme="minorHAnsi"/>
          <w:lang w:eastAsia="pt-BR"/>
        </w:rPr>
        <w:t>,</w:t>
      </w:r>
      <w:r w:rsidRPr="00840FDB">
        <w:rPr>
          <w:rFonts w:eastAsia="Times New Roman" w:cstheme="minorHAnsi"/>
          <w:lang w:eastAsia="pt-BR"/>
        </w:rPr>
        <w:t xml:space="preserve"> demonstrando economicidade excepcional para o município, economia futura substancial com eliminação de necessidade de manutenções recorrentes do pavimento poliédrico que atualmente demandam recursos municipais continuamente, benefícios econômicos indiretos significativos como redução de custos operacionais de veículos dos usuários especialmente transportadores de cargas agrícolas, valorização imobiliária regional, facilitação do escoamento da produção agropecuária reduzindo perdas e custos logísticos, atração potencial de novos investimentos produtivos pela disponibilidade de infraestrutura adequada, relação adequada e proporcional entre investimento necessário e benefícios duradouros gerados para a economia regional ao longo de décadas, e conformidade do valor estimado (R$ </w:t>
      </w:r>
      <w:r w:rsidR="001B283E">
        <w:rPr>
          <w:rFonts w:eastAsia="Times New Roman" w:cstheme="minorHAnsi"/>
          <w:lang w:eastAsia="pt-BR"/>
        </w:rPr>
        <w:t>5.833.099,01</w:t>
      </w:r>
      <w:r w:rsidRPr="00840FDB">
        <w:rPr>
          <w:rFonts w:eastAsia="Times New Roman" w:cstheme="minorHAnsi"/>
          <w:lang w:eastAsia="pt-BR"/>
        </w:rPr>
        <w:t>) com praticados em contratações similares de pavimentação asfáltica na região conforme levantamento de mercado realizado através de consultas a processos licitatórios de municípios vizinhos e órgãos estaduais.</w:t>
      </w:r>
    </w:p>
    <w:p w14:paraId="2023BF52" w14:textId="77777777" w:rsidR="001C4016" w:rsidRPr="00BC17A6" w:rsidRDefault="001C4016" w:rsidP="001C4016">
      <w:pPr>
        <w:spacing w:after="0"/>
        <w:jc w:val="both"/>
        <w:rPr>
          <w:rFonts w:eastAsia="Times New Roman" w:cstheme="minorHAnsi"/>
          <w:lang w:eastAsia="pt-BR"/>
        </w:rPr>
      </w:pPr>
      <w:r w:rsidRPr="00BC17A6">
        <w:rPr>
          <w:rFonts w:eastAsia="Times New Roman" w:cstheme="minorHAnsi"/>
          <w:b/>
          <w:bCs/>
          <w:lang w:eastAsia="pt-BR"/>
        </w:rPr>
        <w:t>17.4 - Análise de Viabilidade Operacional</w:t>
      </w:r>
    </w:p>
    <w:p w14:paraId="166F7F96" w14:textId="338172CC" w:rsidR="001C4016" w:rsidRPr="00840FDB" w:rsidRDefault="001C4016" w:rsidP="001C4016">
      <w:pPr>
        <w:spacing w:after="0"/>
        <w:jc w:val="both"/>
        <w:rPr>
          <w:rFonts w:eastAsia="Times New Roman" w:cstheme="minorHAnsi"/>
          <w:lang w:eastAsia="pt-BR"/>
        </w:rPr>
      </w:pPr>
      <w:r w:rsidRPr="00BC17A6">
        <w:rPr>
          <w:rFonts w:eastAsia="Times New Roman" w:cstheme="minorHAnsi"/>
          <w:lang w:eastAsia="pt-BR"/>
        </w:rPr>
        <w:t xml:space="preserve">A contratação é </w:t>
      </w:r>
      <w:r w:rsidRPr="00BC17A6">
        <w:rPr>
          <w:rFonts w:eastAsia="Times New Roman" w:cstheme="minorHAnsi"/>
          <w:b/>
          <w:bCs/>
          <w:lang w:eastAsia="pt-BR"/>
        </w:rPr>
        <w:t>operacionalmente exequível</w:t>
      </w:r>
      <w:r w:rsidRPr="00BC17A6">
        <w:rPr>
          <w:rFonts w:eastAsia="Times New Roman" w:cstheme="minorHAnsi"/>
          <w:lang w:eastAsia="pt-BR"/>
        </w:rPr>
        <w:t xml:space="preserve"> considerando a capacidade de gestão municipal para fiscalização e acompanhamento da obra através de equipe técnica qualificada da </w:t>
      </w:r>
      <w:r w:rsidRPr="00840FDB">
        <w:rPr>
          <w:rFonts w:eastAsia="Times New Roman" w:cstheme="minorHAnsi"/>
          <w:lang w:eastAsia="pt-BR"/>
        </w:rPr>
        <w:t>Secretaria de Viação e Obras e Departamento de Engenharia, adequação dos prazos estabelecidos (</w:t>
      </w:r>
      <w:r w:rsidR="000639F3">
        <w:rPr>
          <w:rFonts w:eastAsia="Times New Roman" w:cstheme="minorHAnsi"/>
          <w:lang w:eastAsia="pt-BR"/>
        </w:rPr>
        <w:t>180</w:t>
      </w:r>
      <w:r w:rsidRPr="00840FDB">
        <w:rPr>
          <w:rFonts w:eastAsia="Times New Roman" w:cstheme="minorHAnsi"/>
          <w:lang w:eastAsia="pt-BR"/>
        </w:rPr>
        <w:t xml:space="preserve"> dias corridos em </w:t>
      </w:r>
      <w:r w:rsidR="000639F3">
        <w:rPr>
          <w:rFonts w:eastAsia="Times New Roman" w:cstheme="minorHAnsi"/>
          <w:lang w:eastAsia="pt-BR"/>
        </w:rPr>
        <w:t>6</w:t>
      </w:r>
      <w:r w:rsidRPr="00840FDB">
        <w:rPr>
          <w:rFonts w:eastAsia="Times New Roman" w:cstheme="minorHAnsi"/>
          <w:lang w:eastAsia="pt-BR"/>
        </w:rPr>
        <w:t xml:space="preserve"> etapas) para execução completa dos serviços considerando as condições climáticas regionais favoráveis à pavimentação asfáltica na maior parte do ano, cronograma físico-financeiro adequadamente estruturado respeitando as interdependências técnicas entre etapas (remendos profundos → BGS → imprimação → cura → pintura de ligação → CBUQ → drenagem complementar → sinalização), disponibilidade orçamentária plenamente assegurada através de convênio já formalizado com </w:t>
      </w:r>
      <w:r w:rsidR="00C51E7B">
        <w:rPr>
          <w:rFonts w:eastAsia="Times New Roman" w:cstheme="minorHAnsi"/>
          <w:lang w:eastAsia="pt-BR"/>
        </w:rPr>
        <w:t>a SEIL</w:t>
      </w:r>
      <w:r w:rsidRPr="00840FDB">
        <w:rPr>
          <w:rFonts w:eastAsia="Times New Roman" w:cstheme="minorHAnsi"/>
          <w:lang w:eastAsia="pt-BR"/>
        </w:rPr>
        <w:t xml:space="preserve"> com recursos garantidos, condições adequadas de acesso e logística para execução da obra (rodovia já existente com acessos adequados, possibilidade de instalação de canteiro, disponibilidade de usinas de asfalto a menos de 60 km), viabilidade de manutenção de tráfego durante a obra através de sinalização adequada e execução por trechos, possibilidade de manutenção de acessos provisórios às propriedades rurais durante toda a execução, e capacidade técnica comprovada das empresas especializadas disponíveis no mercado para atendimento integral das exigências do DER/PR.</w:t>
      </w:r>
    </w:p>
    <w:p w14:paraId="4E7E6C51"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17.5 - Análise de Viabilidade Jurídica</w:t>
      </w:r>
    </w:p>
    <w:p w14:paraId="630E3C8F" w14:textId="7488812E"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é </w:t>
      </w:r>
      <w:r w:rsidRPr="00840FDB">
        <w:rPr>
          <w:rFonts w:eastAsia="Times New Roman" w:cstheme="minorHAnsi"/>
          <w:b/>
          <w:bCs/>
          <w:lang w:eastAsia="pt-BR"/>
        </w:rPr>
        <w:t>legalmente fundamentada</w:t>
      </w:r>
      <w:r w:rsidRPr="00840FDB">
        <w:rPr>
          <w:rFonts w:eastAsia="Times New Roman" w:cstheme="minorHAnsi"/>
          <w:lang w:eastAsia="pt-BR"/>
        </w:rPr>
        <w:t xml:space="preserve"> em rigorosa conformidade com a Lei 14.133/2021 que estabelece normas gerais de licitação e contratação para administração pública, adequação perfeita da modalidade licitatória (Concorrência Presencial com Inversão de Fases) ao valor estimado (R$ </w:t>
      </w:r>
      <w:r w:rsidR="005D2586">
        <w:rPr>
          <w:rFonts w:eastAsia="Times New Roman" w:cstheme="minorHAnsi"/>
          <w:lang w:eastAsia="pt-BR"/>
        </w:rPr>
        <w:t>5.833.099,01</w:t>
      </w:r>
      <w:r w:rsidRPr="00840FDB">
        <w:rPr>
          <w:rFonts w:eastAsia="Times New Roman" w:cstheme="minorHAnsi"/>
          <w:lang w:eastAsia="pt-BR"/>
        </w:rPr>
        <w:t>) superior ao limite para pregão e à natureza complexa do objeto com exigências técnicas específicas (licenciamento ambiental de pedreira e usina pelo IAT, atestados técnicos especializados, responsável técnico habilitado), observância rigorosa de todos os princípios constitucionais e legais aplicáveis à administração pública (legalidade, impessoalidade, moralidade, publicidade, eficiência, economicidade, isonomia, competitividade), conformidade com normas técnicas obrigatórias do DER/PR e DNIT que constituem referências técnicas oficiais para obras rodoviárias no Estado do Paraná, atendimento à legislação de trânsito (Código de Trânsito Brasileiro, Manuais do CONTRAN), conformidade com exigências de licenciamento ambiental (legislação do IAT), observância da Lei de Responsabilidade Fiscal quanto à disponibilidade orçamentária e gestão de convênio, e regularidade formal completa de todo o processo de planejamento e contratação incluindo este Estudo Técnico Preliminar conforme exigências da Lei 14.133/2021.</w:t>
      </w:r>
    </w:p>
    <w:p w14:paraId="343631B0"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17.6 - Análise de Relevância Social</w:t>
      </w:r>
    </w:p>
    <w:p w14:paraId="1E1CEA75" w14:textId="76B25449"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é </w:t>
      </w:r>
      <w:r w:rsidRPr="00840FDB">
        <w:rPr>
          <w:rFonts w:eastAsia="Times New Roman" w:cstheme="minorHAnsi"/>
          <w:b/>
          <w:bCs/>
          <w:lang w:eastAsia="pt-BR"/>
        </w:rPr>
        <w:t>socialmente relevante</w:t>
      </w:r>
      <w:r w:rsidRPr="00840FDB">
        <w:rPr>
          <w:rFonts w:eastAsia="Times New Roman" w:cstheme="minorHAnsi"/>
          <w:lang w:eastAsia="pt-BR"/>
        </w:rPr>
        <w:t xml:space="preserve"> considerando o benefício direto substancial a centenas de famílias de produtores rurais residentes na região que utilizam </w:t>
      </w:r>
      <w:r w:rsidR="004E31FE">
        <w:rPr>
          <w:rFonts w:eastAsia="Times New Roman" w:cstheme="minorHAnsi"/>
          <w:lang w:eastAsia="pt-BR"/>
        </w:rPr>
        <w:t xml:space="preserve">esta estrada rural </w:t>
      </w:r>
      <w:r w:rsidRPr="00840FDB">
        <w:rPr>
          <w:rFonts w:eastAsia="Times New Roman" w:cstheme="minorHAnsi"/>
          <w:lang w:eastAsia="pt-BR"/>
        </w:rPr>
        <w:t>para escoamento de sua produção agropecuária (fumo, leite, grãos) e para acesso à sede municipal e serviços, melhoria significativa da qualidade de vida através de infraestrutura rodoviária adequada eliminando os transtornos causados pelo pavimento deteriorado, facilitação do acesso da comunidade de Alto Bela Vista à sede municipal e demais localidades com reflexos diretos em educação, saúde e serviços, fortalecimento da economia local que depende fundamentalmente da agropecuária através da facilitação do escoamento e redução de custos logísticos, contribuição para redução de desigualdades regionais através da disponibilização de infraestrutura de qualidade comparável às rodovias urbanas, geração de empregos diretos e indiretos durante os 210 dias de execução da obra beneficiando trabalhadores da região, integração territorial mais efetiva com o município vizinho de Três Barras do Paraná ampliando possibilidades de desenvolvimento conjunto, fortalecimento do sentimento de cidadania e pertencimento através de investimentos significativos em infraestrutura pública demonstrando compromisso do poder público com o desenvolvimento regional, e demonstração de capacidade de gestão pública eficiente através de captação de recursos estaduais e execução de obra complexa conforme normas técnicas rigorosas beneficiando toda a sociedade.</w:t>
      </w:r>
    </w:p>
    <w:p w14:paraId="565B42D9" w14:textId="77777777"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17.7 - Declaração Formal de Viabilidade</w:t>
      </w:r>
    </w:p>
    <w:p w14:paraId="06206F74" w14:textId="77777777" w:rsidR="001C4016"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Face ao exposto, a equipe designada para elaboração deste documento declara que a contratação proposta é </w:t>
      </w:r>
      <w:r w:rsidRPr="00840FDB">
        <w:rPr>
          <w:rFonts w:eastAsia="Times New Roman" w:cstheme="minorHAnsi"/>
          <w:b/>
          <w:bCs/>
          <w:lang w:eastAsia="pt-BR"/>
        </w:rPr>
        <w:t>tecnicamente viável</w:t>
      </w:r>
      <w:r w:rsidRPr="00840FDB">
        <w:rPr>
          <w:rFonts w:eastAsia="Times New Roman" w:cstheme="minorHAnsi"/>
          <w:lang w:eastAsia="pt-BR"/>
        </w:rPr>
        <w:t xml:space="preserve">, atendendo integralmente às necessidades de infraestrutura rodoviária regional identificadas através de levantamentos </w:t>
      </w:r>
      <w:proofErr w:type="spellStart"/>
      <w:r w:rsidRPr="00840FDB">
        <w:rPr>
          <w:rFonts w:eastAsia="Times New Roman" w:cstheme="minorHAnsi"/>
          <w:lang w:eastAsia="pt-BR"/>
        </w:rPr>
        <w:t>deflectométricos</w:t>
      </w:r>
      <w:proofErr w:type="spellEnd"/>
      <w:r w:rsidRPr="00840FDB">
        <w:rPr>
          <w:rFonts w:eastAsia="Times New Roman" w:cstheme="minorHAnsi"/>
          <w:lang w:eastAsia="pt-BR"/>
        </w:rPr>
        <w:t xml:space="preserve">, análises técnicas e projeto executivo completo; </w:t>
      </w:r>
      <w:r w:rsidRPr="00840FDB">
        <w:rPr>
          <w:rFonts w:eastAsia="Times New Roman" w:cstheme="minorHAnsi"/>
          <w:b/>
          <w:bCs/>
          <w:lang w:eastAsia="pt-BR"/>
        </w:rPr>
        <w:t>economicamente vantajosa</w:t>
      </w:r>
      <w:r w:rsidRPr="00840FDB">
        <w:rPr>
          <w:rFonts w:eastAsia="Times New Roman" w:cstheme="minorHAnsi"/>
          <w:lang w:eastAsia="pt-BR"/>
        </w:rPr>
        <w:t xml:space="preserve">, oferecendo excelente relação custo-benefício especialmente considerando a captação de 96,85% dos recursos através de convênio estadual e os benefícios duradouros para o desenvolvimento regional; </w:t>
      </w:r>
      <w:r w:rsidRPr="00840FDB">
        <w:rPr>
          <w:rFonts w:eastAsia="Times New Roman" w:cstheme="minorHAnsi"/>
          <w:b/>
          <w:bCs/>
          <w:lang w:eastAsia="pt-BR"/>
        </w:rPr>
        <w:t>operacionalmente exequível</w:t>
      </w:r>
      <w:r w:rsidRPr="00840FDB">
        <w:rPr>
          <w:rFonts w:eastAsia="Times New Roman" w:cstheme="minorHAnsi"/>
          <w:lang w:eastAsia="pt-BR"/>
        </w:rPr>
        <w:t xml:space="preserve">, considerando a capacidade de gestão municipal, as condições de mercado favoráveis, a disponibilidade de empresas especializadas, e a adequação dos prazos e cronograma; </w:t>
      </w:r>
      <w:r w:rsidRPr="00840FDB">
        <w:rPr>
          <w:rFonts w:eastAsia="Times New Roman" w:cstheme="minorHAnsi"/>
          <w:b/>
          <w:bCs/>
          <w:lang w:eastAsia="pt-BR"/>
        </w:rPr>
        <w:t>legalmente fundamentada</w:t>
      </w:r>
      <w:r w:rsidRPr="00840FDB">
        <w:rPr>
          <w:rFonts w:eastAsia="Times New Roman" w:cstheme="minorHAnsi"/>
          <w:lang w:eastAsia="pt-BR"/>
        </w:rPr>
        <w:t xml:space="preserve">, em rigorosa conformidade com toda legislação aplicável (Lei 14.133/2021, normas técnicas do DER/PR e DNIT, legislação de trânsito, legislação ambiental); e </w:t>
      </w:r>
      <w:r w:rsidRPr="00840FDB">
        <w:rPr>
          <w:rFonts w:eastAsia="Times New Roman" w:cstheme="minorHAnsi"/>
          <w:b/>
          <w:bCs/>
          <w:lang w:eastAsia="pt-BR"/>
        </w:rPr>
        <w:t>socialmente relevante</w:t>
      </w:r>
      <w:r w:rsidRPr="00840FDB">
        <w:rPr>
          <w:rFonts w:eastAsia="Times New Roman" w:cstheme="minorHAnsi"/>
          <w:lang w:eastAsia="pt-BR"/>
        </w:rPr>
        <w:t>, contribuindo significativamente para a melhoria da qualidade de vida dos produtores rurais, facilitação do escoamento da produção agropecuária, integração territorial regional, e desenvolvimento socioeconômico sustentável de Nova Prata do Iguaçu.</w:t>
      </w:r>
    </w:p>
    <w:p w14:paraId="615955D2" w14:textId="77777777" w:rsidR="00381B3F" w:rsidRDefault="00381B3F" w:rsidP="001C4016">
      <w:pPr>
        <w:spacing w:after="0"/>
        <w:jc w:val="both"/>
        <w:rPr>
          <w:rFonts w:eastAsia="Times New Roman" w:cstheme="minorHAnsi"/>
          <w:lang w:eastAsia="pt-BR"/>
        </w:rPr>
      </w:pPr>
    </w:p>
    <w:p w14:paraId="256068D8" w14:textId="77777777" w:rsidR="001C4016" w:rsidRDefault="001C4016" w:rsidP="001C4016">
      <w:pPr>
        <w:spacing w:after="0"/>
        <w:jc w:val="both"/>
        <w:rPr>
          <w:rFonts w:eastAsia="Times New Roman" w:cstheme="minorHAnsi"/>
          <w:lang w:eastAsia="pt-BR"/>
        </w:rPr>
      </w:pPr>
    </w:p>
    <w:p w14:paraId="4A78949A" w14:textId="0141B6CF" w:rsidR="001C4016" w:rsidRDefault="001C4016" w:rsidP="001C4016">
      <w:pPr>
        <w:spacing w:after="0"/>
        <w:jc w:val="right"/>
        <w:rPr>
          <w:rFonts w:eastAsia="Times New Roman" w:cstheme="minorHAnsi"/>
          <w:b/>
          <w:bCs/>
          <w:lang w:eastAsia="pt-BR"/>
        </w:rPr>
      </w:pPr>
      <w:r w:rsidRPr="00840FDB">
        <w:rPr>
          <w:rFonts w:eastAsia="Times New Roman" w:cstheme="minorHAnsi"/>
          <w:b/>
          <w:bCs/>
          <w:lang w:eastAsia="pt-BR"/>
        </w:rPr>
        <w:t xml:space="preserve">Nova Prata do Iguaçu/PR, </w:t>
      </w:r>
      <w:r w:rsidR="00B30F82">
        <w:rPr>
          <w:rFonts w:eastAsia="Times New Roman" w:cstheme="minorHAnsi"/>
          <w:b/>
          <w:bCs/>
          <w:lang w:eastAsia="pt-BR"/>
        </w:rPr>
        <w:t>06</w:t>
      </w:r>
      <w:r w:rsidR="00C51E7B">
        <w:rPr>
          <w:rFonts w:eastAsia="Times New Roman" w:cstheme="minorHAnsi"/>
          <w:b/>
          <w:bCs/>
          <w:lang w:eastAsia="pt-BR"/>
        </w:rPr>
        <w:t xml:space="preserve"> de </w:t>
      </w:r>
      <w:r w:rsidR="007C3554">
        <w:rPr>
          <w:rFonts w:eastAsia="Times New Roman" w:cstheme="minorHAnsi"/>
          <w:b/>
          <w:bCs/>
          <w:lang w:eastAsia="pt-BR"/>
        </w:rPr>
        <w:t>abril</w:t>
      </w:r>
      <w:r w:rsidR="00C51E7B">
        <w:rPr>
          <w:rFonts w:eastAsia="Times New Roman" w:cstheme="minorHAnsi"/>
          <w:b/>
          <w:bCs/>
          <w:lang w:eastAsia="pt-BR"/>
        </w:rPr>
        <w:t xml:space="preserve"> de 202</w:t>
      </w:r>
      <w:r w:rsidR="00AF3936">
        <w:rPr>
          <w:rFonts w:eastAsia="Times New Roman" w:cstheme="minorHAnsi"/>
          <w:b/>
          <w:bCs/>
          <w:lang w:eastAsia="pt-BR"/>
        </w:rPr>
        <w:t>6</w:t>
      </w:r>
      <w:r w:rsidR="00C51E7B">
        <w:rPr>
          <w:rFonts w:eastAsia="Times New Roman" w:cstheme="minorHAnsi"/>
          <w:b/>
          <w:bCs/>
          <w:lang w:eastAsia="pt-BR"/>
        </w:rPr>
        <w:t>.</w:t>
      </w:r>
    </w:p>
    <w:p w14:paraId="57079FFF" w14:textId="77777777" w:rsidR="001C4016" w:rsidRPr="00840FDB" w:rsidRDefault="001C4016" w:rsidP="001C4016">
      <w:pPr>
        <w:spacing w:after="0"/>
        <w:rPr>
          <w:rFonts w:eastAsia="Times New Roman" w:cstheme="minorHAnsi"/>
          <w:lang w:eastAsia="pt-BR"/>
        </w:rPr>
      </w:pPr>
      <w:r w:rsidRPr="00840FDB">
        <w:rPr>
          <w:rFonts w:eastAsia="Times New Roman" w:cstheme="minorHAnsi"/>
          <w:b/>
          <w:bCs/>
          <w:lang w:eastAsia="pt-BR"/>
        </w:rPr>
        <w:t>Equipe de Elaboração:</w:t>
      </w:r>
    </w:p>
    <w:tbl>
      <w:tblPr>
        <w:tblStyle w:val="Tabelacomgrade"/>
        <w:tblW w:w="9284" w:type="dxa"/>
        <w:tblInd w:w="38" w:type="dxa"/>
        <w:tblLook w:val="04A0" w:firstRow="1" w:lastRow="0" w:firstColumn="1" w:lastColumn="0" w:noHBand="0" w:noVBand="1"/>
      </w:tblPr>
      <w:tblGrid>
        <w:gridCol w:w="3898"/>
        <w:gridCol w:w="5386"/>
      </w:tblGrid>
      <w:tr w:rsidR="00B43A8C" w:rsidRPr="00B43A8C" w14:paraId="2CEF618B" w14:textId="77777777" w:rsidTr="00B76D3E">
        <w:tc>
          <w:tcPr>
            <w:tcW w:w="3898" w:type="dxa"/>
          </w:tcPr>
          <w:p w14:paraId="3B2932D0" w14:textId="2AA76EAC" w:rsidR="00B43A8C" w:rsidRPr="00B43A8C" w:rsidRDefault="00B43A8C" w:rsidP="00B43A8C">
            <w:pPr>
              <w:jc w:val="center"/>
              <w:rPr>
                <w:rFonts w:eastAsia="Times New Roman" w:cstheme="minorHAnsi"/>
                <w:b/>
                <w:bCs/>
                <w:lang w:eastAsia="pt-BR"/>
              </w:rPr>
            </w:pPr>
            <w:r w:rsidRPr="00B43A8C">
              <w:rPr>
                <w:rFonts w:eastAsia="Times New Roman" w:cstheme="minorHAnsi"/>
                <w:b/>
                <w:bCs/>
                <w:lang w:eastAsia="pt-BR"/>
              </w:rPr>
              <w:t>Servidor</w:t>
            </w:r>
          </w:p>
        </w:tc>
        <w:tc>
          <w:tcPr>
            <w:tcW w:w="5386" w:type="dxa"/>
          </w:tcPr>
          <w:p w14:paraId="368F279C" w14:textId="077EE86E" w:rsidR="00B43A8C" w:rsidRPr="00B43A8C" w:rsidRDefault="00B43A8C" w:rsidP="00B43A8C">
            <w:pPr>
              <w:jc w:val="center"/>
              <w:rPr>
                <w:rFonts w:cstheme="minorHAnsi"/>
                <w:b/>
                <w:bCs/>
              </w:rPr>
            </w:pPr>
            <w:r w:rsidRPr="00B43A8C">
              <w:rPr>
                <w:rFonts w:cstheme="minorHAnsi"/>
                <w:b/>
                <w:bCs/>
              </w:rPr>
              <w:t>Assinatura</w:t>
            </w:r>
          </w:p>
        </w:tc>
      </w:tr>
      <w:tr w:rsidR="00B43A8C" w14:paraId="6CC93BD7" w14:textId="77777777" w:rsidTr="00B76D3E">
        <w:tc>
          <w:tcPr>
            <w:tcW w:w="3898" w:type="dxa"/>
          </w:tcPr>
          <w:p w14:paraId="3DA778A1" w14:textId="77777777" w:rsidR="00B43A8C" w:rsidRDefault="00B43A8C" w:rsidP="00B43A8C">
            <w:pPr>
              <w:rPr>
                <w:rFonts w:eastAsia="Times New Roman" w:cstheme="minorHAnsi"/>
                <w:b/>
                <w:bCs/>
                <w:lang w:eastAsia="pt-BR"/>
              </w:rPr>
            </w:pPr>
            <w:r w:rsidRPr="00840FDB">
              <w:rPr>
                <w:rFonts w:eastAsia="Times New Roman" w:cstheme="minorHAnsi"/>
                <w:b/>
                <w:bCs/>
                <w:lang w:eastAsia="pt-BR"/>
              </w:rPr>
              <w:t>Cleuza Castro de Jesus</w:t>
            </w:r>
          </w:p>
          <w:p w14:paraId="76794839" w14:textId="3E6FF24D" w:rsidR="00B43A8C" w:rsidRDefault="00B43A8C" w:rsidP="00B43A8C">
            <w:pPr>
              <w:rPr>
                <w:rFonts w:cstheme="minorHAnsi"/>
              </w:rPr>
            </w:pPr>
            <w:r w:rsidRPr="00840FDB">
              <w:rPr>
                <w:rFonts w:eastAsia="Times New Roman" w:cstheme="minorHAnsi"/>
                <w:lang w:eastAsia="pt-BR"/>
              </w:rPr>
              <w:t xml:space="preserve">Engenheira Civil e </w:t>
            </w:r>
            <w:proofErr w:type="spellStart"/>
            <w:r w:rsidRPr="00840FDB">
              <w:rPr>
                <w:rFonts w:eastAsia="Times New Roman" w:cstheme="minorHAnsi"/>
                <w:lang w:eastAsia="pt-BR"/>
              </w:rPr>
              <w:t>Agrimensora</w:t>
            </w:r>
            <w:proofErr w:type="spellEnd"/>
            <w:r w:rsidRPr="00840FDB">
              <w:rPr>
                <w:rFonts w:eastAsia="Times New Roman" w:cstheme="minorHAnsi"/>
                <w:lang w:eastAsia="pt-BR"/>
              </w:rPr>
              <w:br/>
              <w:t>CREA/SC: 45.442-D</w:t>
            </w:r>
            <w:r w:rsidRPr="00840FDB">
              <w:rPr>
                <w:rFonts w:eastAsia="Times New Roman" w:cstheme="minorHAnsi"/>
                <w:lang w:eastAsia="pt-BR"/>
              </w:rPr>
              <w:br/>
              <w:t>Matrícula: 15.211-1</w:t>
            </w:r>
          </w:p>
        </w:tc>
        <w:tc>
          <w:tcPr>
            <w:tcW w:w="5386" w:type="dxa"/>
          </w:tcPr>
          <w:p w14:paraId="25D4B8FB" w14:textId="77777777" w:rsidR="00B43A8C" w:rsidRDefault="00B43A8C" w:rsidP="001C4016">
            <w:pPr>
              <w:jc w:val="both"/>
              <w:rPr>
                <w:rFonts w:cstheme="minorHAnsi"/>
              </w:rPr>
            </w:pPr>
          </w:p>
        </w:tc>
      </w:tr>
      <w:tr w:rsidR="00B43A8C" w14:paraId="598002A0" w14:textId="77777777" w:rsidTr="00B76D3E">
        <w:tc>
          <w:tcPr>
            <w:tcW w:w="3898" w:type="dxa"/>
          </w:tcPr>
          <w:p w14:paraId="34E591BB" w14:textId="77777777" w:rsidR="00B43A8C" w:rsidRDefault="00B43A8C" w:rsidP="00B43A8C">
            <w:pPr>
              <w:rPr>
                <w:rFonts w:eastAsia="Times New Roman" w:cstheme="minorHAnsi"/>
                <w:b/>
                <w:bCs/>
                <w:lang w:eastAsia="pt-BR"/>
              </w:rPr>
            </w:pPr>
            <w:r w:rsidRPr="00840FDB">
              <w:rPr>
                <w:rFonts w:eastAsia="Times New Roman" w:cstheme="minorHAnsi"/>
                <w:b/>
                <w:bCs/>
                <w:lang w:eastAsia="pt-BR"/>
              </w:rPr>
              <w:t>André Faust</w:t>
            </w:r>
          </w:p>
          <w:p w14:paraId="5BB5D277" w14:textId="77777777" w:rsidR="00B43A8C" w:rsidRDefault="00B43A8C" w:rsidP="00B43A8C">
            <w:pPr>
              <w:rPr>
                <w:rFonts w:eastAsia="Times New Roman" w:cstheme="minorHAnsi"/>
                <w:lang w:eastAsia="pt-BR"/>
              </w:rPr>
            </w:pPr>
            <w:r>
              <w:rPr>
                <w:rFonts w:eastAsia="Times New Roman" w:cstheme="minorHAnsi"/>
                <w:lang w:eastAsia="pt-BR"/>
              </w:rPr>
              <w:t>Engenheiro Civil</w:t>
            </w:r>
          </w:p>
          <w:p w14:paraId="361EC8BD" w14:textId="77777777" w:rsidR="00B43A8C" w:rsidRDefault="00B43A8C" w:rsidP="00B43A8C">
            <w:pPr>
              <w:rPr>
                <w:rFonts w:eastAsia="Times New Roman" w:cstheme="minorHAnsi"/>
                <w:lang w:eastAsia="pt-BR"/>
              </w:rPr>
            </w:pPr>
            <w:r>
              <w:rPr>
                <w:rFonts w:eastAsia="Times New Roman" w:cstheme="minorHAnsi"/>
                <w:lang w:eastAsia="pt-BR"/>
              </w:rPr>
              <w:t>CREA/PR 194190-D</w:t>
            </w:r>
          </w:p>
          <w:p w14:paraId="7F098BF5" w14:textId="67AF3A67" w:rsidR="00B43A8C" w:rsidRDefault="00B43A8C" w:rsidP="00B077C1">
            <w:pPr>
              <w:rPr>
                <w:rFonts w:cstheme="minorHAnsi"/>
              </w:rPr>
            </w:pPr>
            <w:r w:rsidRPr="00840FDB">
              <w:rPr>
                <w:rFonts w:eastAsia="Times New Roman" w:cstheme="minorHAnsi"/>
                <w:lang w:eastAsia="pt-BR"/>
              </w:rPr>
              <w:t>Matrícula: 142.381-1</w:t>
            </w:r>
          </w:p>
        </w:tc>
        <w:tc>
          <w:tcPr>
            <w:tcW w:w="5386" w:type="dxa"/>
          </w:tcPr>
          <w:p w14:paraId="2C4B22BA" w14:textId="77777777" w:rsidR="00B43A8C" w:rsidRDefault="00B43A8C" w:rsidP="001C4016">
            <w:pPr>
              <w:jc w:val="both"/>
              <w:rPr>
                <w:rFonts w:cstheme="minorHAnsi"/>
              </w:rPr>
            </w:pPr>
          </w:p>
        </w:tc>
      </w:tr>
      <w:tr w:rsidR="00B43A8C" w14:paraId="2D9C773C" w14:textId="77777777" w:rsidTr="00B76D3E">
        <w:tc>
          <w:tcPr>
            <w:tcW w:w="3898" w:type="dxa"/>
          </w:tcPr>
          <w:p w14:paraId="1454A30F" w14:textId="77777777" w:rsidR="00B43A8C" w:rsidRPr="00840FDB" w:rsidRDefault="00B43A8C" w:rsidP="00B43A8C">
            <w:pPr>
              <w:rPr>
                <w:rFonts w:eastAsia="Times New Roman" w:cstheme="minorHAnsi"/>
                <w:lang w:eastAsia="pt-BR"/>
              </w:rPr>
            </w:pPr>
            <w:r w:rsidRPr="00840FDB">
              <w:rPr>
                <w:rFonts w:eastAsia="Times New Roman" w:cstheme="minorHAnsi"/>
                <w:b/>
                <w:bCs/>
                <w:lang w:eastAsia="pt-BR"/>
              </w:rPr>
              <w:t>Fábio Dalbert</w:t>
            </w:r>
            <w:r w:rsidRPr="00840FDB">
              <w:rPr>
                <w:rFonts w:eastAsia="Times New Roman" w:cstheme="minorHAnsi"/>
                <w:lang w:eastAsia="pt-BR"/>
              </w:rPr>
              <w:br/>
              <w:t>Secretaria Municipal de Viação e Obras / Departamento de Engenharia</w:t>
            </w:r>
            <w:r w:rsidRPr="00840FDB">
              <w:rPr>
                <w:rFonts w:eastAsia="Times New Roman" w:cstheme="minorHAnsi"/>
                <w:lang w:eastAsia="pt-BR"/>
              </w:rPr>
              <w:br/>
              <w:t>Matrícula: 142.565-1</w:t>
            </w:r>
          </w:p>
          <w:p w14:paraId="1EF191CA" w14:textId="77777777" w:rsidR="00B43A8C" w:rsidRDefault="00B43A8C" w:rsidP="001C4016">
            <w:pPr>
              <w:jc w:val="both"/>
              <w:rPr>
                <w:rFonts w:cstheme="minorHAnsi"/>
              </w:rPr>
            </w:pPr>
          </w:p>
        </w:tc>
        <w:tc>
          <w:tcPr>
            <w:tcW w:w="5386" w:type="dxa"/>
          </w:tcPr>
          <w:p w14:paraId="3472A7CF" w14:textId="77777777" w:rsidR="00B43A8C" w:rsidRDefault="00B43A8C" w:rsidP="001C4016">
            <w:pPr>
              <w:jc w:val="both"/>
              <w:rPr>
                <w:rFonts w:cstheme="minorHAnsi"/>
              </w:rPr>
            </w:pPr>
          </w:p>
        </w:tc>
      </w:tr>
    </w:tbl>
    <w:p w14:paraId="1FDE3FA4" w14:textId="35FB73E2" w:rsidR="00EB2BC7" w:rsidRPr="00EB2BC7" w:rsidRDefault="00EB2BC7" w:rsidP="00B077C1">
      <w:pPr>
        <w:spacing w:after="0"/>
        <w:jc w:val="both"/>
        <w:rPr>
          <w:rFonts w:eastAsia="Times New Roman" w:cstheme="minorHAnsi"/>
          <w:lang w:eastAsia="pt-BR"/>
        </w:rPr>
      </w:pPr>
    </w:p>
    <w:sectPr w:rsidR="00EB2BC7" w:rsidRPr="00EB2BC7" w:rsidSect="00B76D3E">
      <w:headerReference w:type="default" r:id="rId8"/>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E0460" w14:textId="77777777" w:rsidR="000E7BCF" w:rsidRDefault="000E7BCF" w:rsidP="002823B1">
      <w:pPr>
        <w:spacing w:after="0" w:line="240" w:lineRule="auto"/>
      </w:pPr>
      <w:r>
        <w:separator/>
      </w:r>
    </w:p>
  </w:endnote>
  <w:endnote w:type="continuationSeparator" w:id="0">
    <w:p w14:paraId="3603CAC6" w14:textId="77777777" w:rsidR="000E7BCF" w:rsidRDefault="000E7BCF"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A2521" w14:textId="77777777" w:rsidR="000E7BCF" w:rsidRDefault="000E7BCF" w:rsidP="002823B1">
      <w:pPr>
        <w:spacing w:after="0" w:line="240" w:lineRule="auto"/>
      </w:pPr>
      <w:r>
        <w:separator/>
      </w:r>
    </w:p>
  </w:footnote>
  <w:footnote w:type="continuationSeparator" w:id="0">
    <w:p w14:paraId="467507B8" w14:textId="77777777" w:rsidR="000E7BCF" w:rsidRDefault="000E7BCF"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0DD98732" w14:textId="77777777" w:rsidTr="00285B0A">
      <w:tc>
        <w:tcPr>
          <w:tcW w:w="1483" w:type="dxa"/>
        </w:tcPr>
        <w:p w14:paraId="73D174C7" w14:textId="77777777" w:rsidR="005C620C" w:rsidRDefault="005C620C" w:rsidP="00A8039A">
          <w:pPr>
            <w:rPr>
              <w:b/>
            </w:rPr>
          </w:pPr>
          <w:r w:rsidRPr="00A16EED">
            <w:rPr>
              <w:b/>
              <w:noProof/>
              <w:lang w:eastAsia="pt-BR"/>
            </w:rPr>
            <w:drawing>
              <wp:inline distT="0" distB="0" distL="0" distR="0" wp14:anchorId="031A345B" wp14:editId="1F5735B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4579E81C"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70CA50B6" w14:textId="77777777" w:rsidR="005C620C" w:rsidRPr="004E5AE2" w:rsidRDefault="005C620C" w:rsidP="00A8039A">
          <w:pPr>
            <w:pStyle w:val="Cabealho"/>
            <w:ind w:right="360" w:firstLine="34"/>
            <w:jc w:val="center"/>
            <w:rPr>
              <w:b/>
            </w:rPr>
          </w:pPr>
          <w:r w:rsidRPr="004E5AE2">
            <w:rPr>
              <w:b/>
            </w:rPr>
            <w:t>Estado do Paraná</w:t>
          </w:r>
        </w:p>
        <w:p w14:paraId="1C874E74"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D242E7A"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65" style="width:0;height:1.5pt" o:hralign="center" o:bullet="t" o:hrstd="t" o:hr="t" fillcolor="#a0a0a0" stroked="f"/>
    </w:pict>
  </w:numPicBullet>
  <w:abstractNum w:abstractNumId="0"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D31BE"/>
    <w:multiLevelType w:val="multilevel"/>
    <w:tmpl w:val="1F6A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A5630"/>
    <w:multiLevelType w:val="multilevel"/>
    <w:tmpl w:val="6CA4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4604A"/>
    <w:multiLevelType w:val="multilevel"/>
    <w:tmpl w:val="93CC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81C98"/>
    <w:multiLevelType w:val="multilevel"/>
    <w:tmpl w:val="4BFED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595169"/>
    <w:multiLevelType w:val="multilevel"/>
    <w:tmpl w:val="F83C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E22201"/>
    <w:multiLevelType w:val="multilevel"/>
    <w:tmpl w:val="7E1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60230"/>
    <w:multiLevelType w:val="multilevel"/>
    <w:tmpl w:val="2116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FB0EA8"/>
    <w:multiLevelType w:val="multilevel"/>
    <w:tmpl w:val="E474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AF3B3A"/>
    <w:multiLevelType w:val="multilevel"/>
    <w:tmpl w:val="DAB2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77799"/>
    <w:multiLevelType w:val="multilevel"/>
    <w:tmpl w:val="0FE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07651D"/>
    <w:multiLevelType w:val="multilevel"/>
    <w:tmpl w:val="C35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262BFD"/>
    <w:multiLevelType w:val="multilevel"/>
    <w:tmpl w:val="A6E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1D16EA"/>
    <w:multiLevelType w:val="multilevel"/>
    <w:tmpl w:val="6FE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B3D8D"/>
    <w:multiLevelType w:val="multilevel"/>
    <w:tmpl w:val="FEF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A6527A"/>
    <w:multiLevelType w:val="multilevel"/>
    <w:tmpl w:val="955A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36576A"/>
    <w:multiLevelType w:val="multilevel"/>
    <w:tmpl w:val="9140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400B6"/>
    <w:multiLevelType w:val="multilevel"/>
    <w:tmpl w:val="E49A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8137F1"/>
    <w:multiLevelType w:val="multilevel"/>
    <w:tmpl w:val="8BF0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A4F38"/>
    <w:multiLevelType w:val="multilevel"/>
    <w:tmpl w:val="E23A6B8C"/>
    <w:lvl w:ilvl="0">
      <w:start w:val="1"/>
      <w:numFmt w:val="decimal"/>
      <w:lvlText w:val="%1."/>
      <w:lvlJc w:val="left"/>
      <w:pPr>
        <w:ind w:left="360" w:hanging="360"/>
      </w:pPr>
      <w:rPr>
        <w:rFonts w:hint="default"/>
        <w:b/>
        <w:bCs w:val="0"/>
      </w:rPr>
    </w:lvl>
    <w:lvl w:ilvl="1">
      <w:start w:val="1"/>
      <w:numFmt w:val="decimal"/>
      <w:lvlText w:val="%1.%2."/>
      <w:lvlJc w:val="left"/>
      <w:pPr>
        <w:ind w:left="3693" w:hanging="432"/>
      </w:pPr>
      <w:rPr>
        <w:rFonts w:hint="default"/>
        <w:b/>
        <w:bCs w:val="0"/>
      </w:rPr>
    </w:lvl>
    <w:lvl w:ilvl="2">
      <w:start w:val="1"/>
      <w:numFmt w:val="decimal"/>
      <w:lvlText w:val="%1.%2.%3."/>
      <w:lvlJc w:val="left"/>
      <w:pPr>
        <w:ind w:left="3623"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C97686F"/>
    <w:multiLevelType w:val="multilevel"/>
    <w:tmpl w:val="9094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C13F2B"/>
    <w:multiLevelType w:val="multilevel"/>
    <w:tmpl w:val="086E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FE00E7"/>
    <w:multiLevelType w:val="multilevel"/>
    <w:tmpl w:val="BA36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F149E"/>
    <w:multiLevelType w:val="multilevel"/>
    <w:tmpl w:val="42AC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031179"/>
    <w:multiLevelType w:val="multilevel"/>
    <w:tmpl w:val="DE9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00601"/>
    <w:multiLevelType w:val="multilevel"/>
    <w:tmpl w:val="1C20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442831"/>
    <w:multiLevelType w:val="multilevel"/>
    <w:tmpl w:val="596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4D58D0"/>
    <w:multiLevelType w:val="hybridMultilevel"/>
    <w:tmpl w:val="0568A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5B4AE0"/>
    <w:multiLevelType w:val="multilevel"/>
    <w:tmpl w:val="87B0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654BBA"/>
    <w:multiLevelType w:val="multilevel"/>
    <w:tmpl w:val="AE9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99242">
    <w:abstractNumId w:val="8"/>
  </w:num>
  <w:num w:numId="2" w16cid:durableId="1614826844">
    <w:abstractNumId w:val="0"/>
  </w:num>
  <w:num w:numId="3" w16cid:durableId="1995139828">
    <w:abstractNumId w:val="23"/>
  </w:num>
  <w:num w:numId="4" w16cid:durableId="1071850658">
    <w:abstractNumId w:val="24"/>
  </w:num>
  <w:num w:numId="5" w16cid:durableId="1299410068">
    <w:abstractNumId w:val="25"/>
  </w:num>
  <w:num w:numId="6" w16cid:durableId="688793206">
    <w:abstractNumId w:val="7"/>
  </w:num>
  <w:num w:numId="7" w16cid:durableId="674184079">
    <w:abstractNumId w:val="21"/>
  </w:num>
  <w:num w:numId="8" w16cid:durableId="873422782">
    <w:abstractNumId w:val="13"/>
  </w:num>
  <w:num w:numId="9" w16cid:durableId="1496536082">
    <w:abstractNumId w:val="19"/>
  </w:num>
  <w:num w:numId="10" w16cid:durableId="1231117838">
    <w:abstractNumId w:val="9"/>
  </w:num>
  <w:num w:numId="11" w16cid:durableId="54549623">
    <w:abstractNumId w:val="28"/>
  </w:num>
  <w:num w:numId="12" w16cid:durableId="581108949">
    <w:abstractNumId w:val="1"/>
  </w:num>
  <w:num w:numId="13" w16cid:durableId="257446400">
    <w:abstractNumId w:val="16"/>
  </w:num>
  <w:num w:numId="14" w16cid:durableId="680818472">
    <w:abstractNumId w:val="22"/>
  </w:num>
  <w:num w:numId="15" w16cid:durableId="927693611">
    <w:abstractNumId w:val="17"/>
  </w:num>
  <w:num w:numId="16" w16cid:durableId="1692954935">
    <w:abstractNumId w:val="31"/>
  </w:num>
  <w:num w:numId="17" w16cid:durableId="1727995339">
    <w:abstractNumId w:val="4"/>
  </w:num>
  <w:num w:numId="18" w16cid:durableId="661935138">
    <w:abstractNumId w:val="6"/>
  </w:num>
  <w:num w:numId="19" w16cid:durableId="1088381249">
    <w:abstractNumId w:val="12"/>
  </w:num>
  <w:num w:numId="20" w16cid:durableId="354577256">
    <w:abstractNumId w:val="14"/>
  </w:num>
  <w:num w:numId="21" w16cid:durableId="1102072536">
    <w:abstractNumId w:val="11"/>
  </w:num>
  <w:num w:numId="22" w16cid:durableId="1022709025">
    <w:abstractNumId w:val="26"/>
  </w:num>
  <w:num w:numId="23" w16cid:durableId="198475732">
    <w:abstractNumId w:val="15"/>
  </w:num>
  <w:num w:numId="24" w16cid:durableId="2078819155">
    <w:abstractNumId w:val="18"/>
  </w:num>
  <w:num w:numId="25" w16cid:durableId="46610173">
    <w:abstractNumId w:val="20"/>
  </w:num>
  <w:num w:numId="26" w16cid:durableId="1269122944">
    <w:abstractNumId w:val="10"/>
  </w:num>
  <w:num w:numId="27" w16cid:durableId="1897154881">
    <w:abstractNumId w:val="29"/>
  </w:num>
  <w:num w:numId="28" w16cid:durableId="1393772946">
    <w:abstractNumId w:val="5"/>
  </w:num>
  <w:num w:numId="29" w16cid:durableId="1763185658">
    <w:abstractNumId w:val="27"/>
  </w:num>
  <w:num w:numId="30" w16cid:durableId="1256398915">
    <w:abstractNumId w:val="3"/>
  </w:num>
  <w:num w:numId="31" w16cid:durableId="50808796">
    <w:abstractNumId w:val="2"/>
  </w:num>
  <w:num w:numId="32" w16cid:durableId="122717836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307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07B46"/>
    <w:rsid w:val="000328EC"/>
    <w:rsid w:val="000365DA"/>
    <w:rsid w:val="000639F3"/>
    <w:rsid w:val="0006481D"/>
    <w:rsid w:val="00067C15"/>
    <w:rsid w:val="00070961"/>
    <w:rsid w:val="00090E5A"/>
    <w:rsid w:val="00094327"/>
    <w:rsid w:val="000B43C4"/>
    <w:rsid w:val="000B4F53"/>
    <w:rsid w:val="000B7118"/>
    <w:rsid w:val="000C2590"/>
    <w:rsid w:val="000C3953"/>
    <w:rsid w:val="000C4E3A"/>
    <w:rsid w:val="000C5EF6"/>
    <w:rsid w:val="000D262B"/>
    <w:rsid w:val="000D7E9D"/>
    <w:rsid w:val="000E7BCF"/>
    <w:rsid w:val="001073C7"/>
    <w:rsid w:val="0011675C"/>
    <w:rsid w:val="00117B7D"/>
    <w:rsid w:val="001300A7"/>
    <w:rsid w:val="00135BC9"/>
    <w:rsid w:val="001463C6"/>
    <w:rsid w:val="00162ED6"/>
    <w:rsid w:val="00165121"/>
    <w:rsid w:val="00174FB0"/>
    <w:rsid w:val="00176FDC"/>
    <w:rsid w:val="001871F3"/>
    <w:rsid w:val="001918A8"/>
    <w:rsid w:val="00196137"/>
    <w:rsid w:val="001B283E"/>
    <w:rsid w:val="001C4016"/>
    <w:rsid w:val="001F2524"/>
    <w:rsid w:val="001F4F70"/>
    <w:rsid w:val="001F62F4"/>
    <w:rsid w:val="00202BED"/>
    <w:rsid w:val="00226EAA"/>
    <w:rsid w:val="00237EB3"/>
    <w:rsid w:val="00267072"/>
    <w:rsid w:val="002736B6"/>
    <w:rsid w:val="002823B1"/>
    <w:rsid w:val="00285B0A"/>
    <w:rsid w:val="002A4257"/>
    <w:rsid w:val="002A4545"/>
    <w:rsid w:val="002E1656"/>
    <w:rsid w:val="002E1732"/>
    <w:rsid w:val="002F505A"/>
    <w:rsid w:val="00333F13"/>
    <w:rsid w:val="00341A20"/>
    <w:rsid w:val="00342596"/>
    <w:rsid w:val="00343051"/>
    <w:rsid w:val="00357A23"/>
    <w:rsid w:val="003703EF"/>
    <w:rsid w:val="00381B3F"/>
    <w:rsid w:val="003849C9"/>
    <w:rsid w:val="00393223"/>
    <w:rsid w:val="003A442F"/>
    <w:rsid w:val="003A68A5"/>
    <w:rsid w:val="003B4CDB"/>
    <w:rsid w:val="003B6B35"/>
    <w:rsid w:val="003C4C1E"/>
    <w:rsid w:val="003E2D5B"/>
    <w:rsid w:val="003F430C"/>
    <w:rsid w:val="003F482F"/>
    <w:rsid w:val="00403FBF"/>
    <w:rsid w:val="00405FEE"/>
    <w:rsid w:val="00414F82"/>
    <w:rsid w:val="00415567"/>
    <w:rsid w:val="00415E3B"/>
    <w:rsid w:val="00417E8D"/>
    <w:rsid w:val="00426B50"/>
    <w:rsid w:val="00430069"/>
    <w:rsid w:val="00431421"/>
    <w:rsid w:val="00434007"/>
    <w:rsid w:val="004649EE"/>
    <w:rsid w:val="00465394"/>
    <w:rsid w:val="00476364"/>
    <w:rsid w:val="004768FB"/>
    <w:rsid w:val="00497763"/>
    <w:rsid w:val="004A51A3"/>
    <w:rsid w:val="004C1AFC"/>
    <w:rsid w:val="004C518F"/>
    <w:rsid w:val="004C763E"/>
    <w:rsid w:val="004E31FE"/>
    <w:rsid w:val="004E3439"/>
    <w:rsid w:val="004F5E02"/>
    <w:rsid w:val="005260E8"/>
    <w:rsid w:val="00535A82"/>
    <w:rsid w:val="005516C9"/>
    <w:rsid w:val="005566DE"/>
    <w:rsid w:val="0056644B"/>
    <w:rsid w:val="00574ABC"/>
    <w:rsid w:val="00590A0F"/>
    <w:rsid w:val="00596624"/>
    <w:rsid w:val="005A1822"/>
    <w:rsid w:val="005A6CE5"/>
    <w:rsid w:val="005B58C7"/>
    <w:rsid w:val="005C620C"/>
    <w:rsid w:val="005C65AE"/>
    <w:rsid w:val="005D2586"/>
    <w:rsid w:val="005F61EE"/>
    <w:rsid w:val="006006C7"/>
    <w:rsid w:val="006050B9"/>
    <w:rsid w:val="00606FE3"/>
    <w:rsid w:val="00610F49"/>
    <w:rsid w:val="006170C0"/>
    <w:rsid w:val="00624C67"/>
    <w:rsid w:val="00625C20"/>
    <w:rsid w:val="00634D8F"/>
    <w:rsid w:val="00642DFD"/>
    <w:rsid w:val="00670355"/>
    <w:rsid w:val="00676DDE"/>
    <w:rsid w:val="00683797"/>
    <w:rsid w:val="006971E3"/>
    <w:rsid w:val="006C5735"/>
    <w:rsid w:val="006F6B54"/>
    <w:rsid w:val="0070415B"/>
    <w:rsid w:val="007265D7"/>
    <w:rsid w:val="00744A50"/>
    <w:rsid w:val="007458FA"/>
    <w:rsid w:val="00746A27"/>
    <w:rsid w:val="00771859"/>
    <w:rsid w:val="00775C42"/>
    <w:rsid w:val="0078449E"/>
    <w:rsid w:val="007A0AD0"/>
    <w:rsid w:val="007A4A94"/>
    <w:rsid w:val="007A67D8"/>
    <w:rsid w:val="007B0327"/>
    <w:rsid w:val="007B0FA6"/>
    <w:rsid w:val="007C021F"/>
    <w:rsid w:val="007C3554"/>
    <w:rsid w:val="007C51C4"/>
    <w:rsid w:val="007F49CE"/>
    <w:rsid w:val="007F5953"/>
    <w:rsid w:val="00813667"/>
    <w:rsid w:val="00813EE2"/>
    <w:rsid w:val="00820F7B"/>
    <w:rsid w:val="00821172"/>
    <w:rsid w:val="00826C41"/>
    <w:rsid w:val="00836785"/>
    <w:rsid w:val="00842DEB"/>
    <w:rsid w:val="008460A2"/>
    <w:rsid w:val="008575EF"/>
    <w:rsid w:val="00870E0F"/>
    <w:rsid w:val="00883AA3"/>
    <w:rsid w:val="00890A36"/>
    <w:rsid w:val="008A5431"/>
    <w:rsid w:val="008C1ABF"/>
    <w:rsid w:val="008D46B2"/>
    <w:rsid w:val="008E79ED"/>
    <w:rsid w:val="008F3288"/>
    <w:rsid w:val="00907673"/>
    <w:rsid w:val="00910886"/>
    <w:rsid w:val="00930649"/>
    <w:rsid w:val="009337F3"/>
    <w:rsid w:val="00934432"/>
    <w:rsid w:val="00963B94"/>
    <w:rsid w:val="00983936"/>
    <w:rsid w:val="00984F4F"/>
    <w:rsid w:val="009873D7"/>
    <w:rsid w:val="00987694"/>
    <w:rsid w:val="009A06FE"/>
    <w:rsid w:val="009B548A"/>
    <w:rsid w:val="009B5A7F"/>
    <w:rsid w:val="009D6EE6"/>
    <w:rsid w:val="009E0855"/>
    <w:rsid w:val="00A3350C"/>
    <w:rsid w:val="00A36B00"/>
    <w:rsid w:val="00A45CF1"/>
    <w:rsid w:val="00A62D39"/>
    <w:rsid w:val="00A67015"/>
    <w:rsid w:val="00A71261"/>
    <w:rsid w:val="00A7784A"/>
    <w:rsid w:val="00A80330"/>
    <w:rsid w:val="00A902F4"/>
    <w:rsid w:val="00AA49ED"/>
    <w:rsid w:val="00AA5C41"/>
    <w:rsid w:val="00AB32D4"/>
    <w:rsid w:val="00AC35CA"/>
    <w:rsid w:val="00AC4B9D"/>
    <w:rsid w:val="00AE2F57"/>
    <w:rsid w:val="00AF3936"/>
    <w:rsid w:val="00AF683F"/>
    <w:rsid w:val="00B00A47"/>
    <w:rsid w:val="00B077C1"/>
    <w:rsid w:val="00B123CD"/>
    <w:rsid w:val="00B150EC"/>
    <w:rsid w:val="00B16AD0"/>
    <w:rsid w:val="00B30F82"/>
    <w:rsid w:val="00B41752"/>
    <w:rsid w:val="00B43A8C"/>
    <w:rsid w:val="00B50D62"/>
    <w:rsid w:val="00B50F69"/>
    <w:rsid w:val="00B6400B"/>
    <w:rsid w:val="00B76D3E"/>
    <w:rsid w:val="00B80628"/>
    <w:rsid w:val="00B9421D"/>
    <w:rsid w:val="00B94ECC"/>
    <w:rsid w:val="00BA1C27"/>
    <w:rsid w:val="00BA6849"/>
    <w:rsid w:val="00BA714F"/>
    <w:rsid w:val="00BB1AE2"/>
    <w:rsid w:val="00BB6B80"/>
    <w:rsid w:val="00BC17A6"/>
    <w:rsid w:val="00BC3BAB"/>
    <w:rsid w:val="00BE3F93"/>
    <w:rsid w:val="00BF2D9B"/>
    <w:rsid w:val="00BF64AD"/>
    <w:rsid w:val="00C128DC"/>
    <w:rsid w:val="00C137B0"/>
    <w:rsid w:val="00C257DC"/>
    <w:rsid w:val="00C27EBF"/>
    <w:rsid w:val="00C31DCE"/>
    <w:rsid w:val="00C4312F"/>
    <w:rsid w:val="00C46F2D"/>
    <w:rsid w:val="00C51E7B"/>
    <w:rsid w:val="00C52A3A"/>
    <w:rsid w:val="00C61B05"/>
    <w:rsid w:val="00C71AB4"/>
    <w:rsid w:val="00C77C92"/>
    <w:rsid w:val="00C82A52"/>
    <w:rsid w:val="00C8738F"/>
    <w:rsid w:val="00C962CB"/>
    <w:rsid w:val="00CC4BE2"/>
    <w:rsid w:val="00CF71B3"/>
    <w:rsid w:val="00D05532"/>
    <w:rsid w:val="00D15CA3"/>
    <w:rsid w:val="00D176A6"/>
    <w:rsid w:val="00D20CF0"/>
    <w:rsid w:val="00D26D87"/>
    <w:rsid w:val="00D27088"/>
    <w:rsid w:val="00D33F05"/>
    <w:rsid w:val="00D42335"/>
    <w:rsid w:val="00D46252"/>
    <w:rsid w:val="00D55925"/>
    <w:rsid w:val="00D903CB"/>
    <w:rsid w:val="00D92AF3"/>
    <w:rsid w:val="00D9647B"/>
    <w:rsid w:val="00D96706"/>
    <w:rsid w:val="00D96C27"/>
    <w:rsid w:val="00DB1C70"/>
    <w:rsid w:val="00DB6698"/>
    <w:rsid w:val="00DD0EE1"/>
    <w:rsid w:val="00DD1C90"/>
    <w:rsid w:val="00DD2537"/>
    <w:rsid w:val="00DE408C"/>
    <w:rsid w:val="00DE7FD4"/>
    <w:rsid w:val="00DF1BF7"/>
    <w:rsid w:val="00E02BE2"/>
    <w:rsid w:val="00E06423"/>
    <w:rsid w:val="00E234A2"/>
    <w:rsid w:val="00E23719"/>
    <w:rsid w:val="00E27585"/>
    <w:rsid w:val="00E46AF1"/>
    <w:rsid w:val="00E52447"/>
    <w:rsid w:val="00E60EE3"/>
    <w:rsid w:val="00E638E4"/>
    <w:rsid w:val="00E63CE5"/>
    <w:rsid w:val="00E90D31"/>
    <w:rsid w:val="00EA12C1"/>
    <w:rsid w:val="00EA7E23"/>
    <w:rsid w:val="00EB2BC7"/>
    <w:rsid w:val="00EB4146"/>
    <w:rsid w:val="00EB5CAC"/>
    <w:rsid w:val="00EB5E08"/>
    <w:rsid w:val="00ED6B69"/>
    <w:rsid w:val="00EE06F8"/>
    <w:rsid w:val="00EE3169"/>
    <w:rsid w:val="00EF16EA"/>
    <w:rsid w:val="00EF5B67"/>
    <w:rsid w:val="00F3093E"/>
    <w:rsid w:val="00F31193"/>
    <w:rsid w:val="00F51EA3"/>
    <w:rsid w:val="00F77E2A"/>
    <w:rsid w:val="00F82599"/>
    <w:rsid w:val="00F84F05"/>
    <w:rsid w:val="00F86232"/>
    <w:rsid w:val="00F87E29"/>
    <w:rsid w:val="00F95914"/>
    <w:rsid w:val="00F97F2E"/>
    <w:rsid w:val="00FA0A1C"/>
    <w:rsid w:val="00FB1687"/>
    <w:rsid w:val="00FB461E"/>
    <w:rsid w:val="00FC3801"/>
    <w:rsid w:val="00FD296E"/>
    <w:rsid w:val="00FD5CFF"/>
    <w:rsid w:val="00FD6320"/>
    <w:rsid w:val="00FE11E7"/>
    <w:rsid w:val="00FE5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F254571"/>
  <w15:docId w15:val="{273FD711-EE59-4A70-BA64-7B4D7866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E2A"/>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styleId="nfase">
    <w:name w:val="Emphasis"/>
    <w:basedOn w:val="Fontepargpadro"/>
    <w:uiPriority w:val="20"/>
    <w:qFormat/>
    <w:rsid w:val="00EE06F8"/>
    <w:rPr>
      <w:i/>
      <w:iCs/>
    </w:rPr>
  </w:style>
  <w:style w:type="paragraph" w:styleId="PargrafodaLista">
    <w:name w:val="List Paragraph"/>
    <w:basedOn w:val="Normal"/>
    <w:uiPriority w:val="1"/>
    <w:qFormat/>
    <w:rsid w:val="00D33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92555952">
      <w:bodyDiv w:val="1"/>
      <w:marLeft w:val="0"/>
      <w:marRight w:val="0"/>
      <w:marTop w:val="0"/>
      <w:marBottom w:val="0"/>
      <w:divBdr>
        <w:top w:val="none" w:sz="0" w:space="0" w:color="auto"/>
        <w:left w:val="none" w:sz="0" w:space="0" w:color="auto"/>
        <w:bottom w:val="none" w:sz="0" w:space="0" w:color="auto"/>
        <w:right w:val="none" w:sz="0" w:space="0" w:color="auto"/>
      </w:divBdr>
    </w:div>
    <w:div w:id="121770888">
      <w:bodyDiv w:val="1"/>
      <w:marLeft w:val="0"/>
      <w:marRight w:val="0"/>
      <w:marTop w:val="0"/>
      <w:marBottom w:val="0"/>
      <w:divBdr>
        <w:top w:val="none" w:sz="0" w:space="0" w:color="auto"/>
        <w:left w:val="none" w:sz="0" w:space="0" w:color="auto"/>
        <w:bottom w:val="none" w:sz="0" w:space="0" w:color="auto"/>
        <w:right w:val="none" w:sz="0" w:space="0" w:color="auto"/>
      </w:divBdr>
      <w:divsChild>
        <w:div w:id="182165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7876">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89854289">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1BBB5-140A-4151-8BDB-5D3A71EE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26</Pages>
  <Words>14062</Words>
  <Characters>75941</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SAS</dc:creator>
  <cp:lastModifiedBy>User</cp:lastModifiedBy>
  <cp:revision>140</cp:revision>
  <dcterms:created xsi:type="dcterms:W3CDTF">2025-07-31T12:09:00Z</dcterms:created>
  <dcterms:modified xsi:type="dcterms:W3CDTF">2026-05-01T13:52:00Z</dcterms:modified>
</cp:coreProperties>
</file>