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85C3F" w14:textId="77777777" w:rsidR="00527B1F" w:rsidRPr="00060C2B" w:rsidRDefault="00527B1F" w:rsidP="00D86A2A">
      <w:pPr>
        <w:widowControl w:val="0"/>
        <w:spacing w:after="0"/>
        <w:jc w:val="center"/>
        <w:outlineLvl w:val="0"/>
        <w:rPr>
          <w:rFonts w:eastAsia="Times New Roman" w:cstheme="minorHAnsi"/>
          <w:b/>
          <w:bCs/>
          <w:kern w:val="36"/>
          <w:u w:val="single"/>
          <w:lang w:eastAsia="pt-BR"/>
        </w:rPr>
      </w:pPr>
      <w:r w:rsidRPr="00060C2B">
        <w:rPr>
          <w:rFonts w:eastAsia="Times New Roman" w:cstheme="minorHAnsi"/>
          <w:b/>
          <w:bCs/>
          <w:kern w:val="36"/>
          <w:u w:val="single"/>
          <w:lang w:eastAsia="pt-BR"/>
        </w:rPr>
        <w:t>TERMO DE REFERÊNCIA</w:t>
      </w:r>
    </w:p>
    <w:p w14:paraId="0581034A" w14:textId="77777777" w:rsidR="00060C2B" w:rsidRDefault="00060C2B" w:rsidP="00D86A2A">
      <w:pPr>
        <w:widowControl w:val="0"/>
        <w:spacing w:after="0"/>
        <w:jc w:val="center"/>
        <w:outlineLvl w:val="0"/>
        <w:rPr>
          <w:rFonts w:eastAsia="Times New Roman" w:cstheme="minorHAnsi"/>
          <w:b/>
          <w:bCs/>
          <w:kern w:val="36"/>
          <w:lang w:eastAsia="pt-BR"/>
        </w:rPr>
      </w:pPr>
    </w:p>
    <w:p w14:paraId="7057EA59" w14:textId="6008A2B1"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 OBJETO</w:t>
      </w:r>
    </w:p>
    <w:p w14:paraId="756D9F07" w14:textId="3F1F07A1" w:rsidR="005F0038"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1.1. </w:t>
      </w:r>
      <w:r w:rsidR="005F0038">
        <w:rPr>
          <w:rFonts w:eastAsia="Times New Roman" w:cstheme="minorHAnsi"/>
          <w:lang w:eastAsia="pt-BR"/>
        </w:rPr>
        <w:t xml:space="preserve">Contratação de Empresa Especializada na </w:t>
      </w:r>
      <w:r w:rsidR="005F0038" w:rsidRPr="00EB2BC7">
        <w:rPr>
          <w:rFonts w:eastAsia="Times New Roman" w:cstheme="minorHAnsi"/>
          <w:lang w:eastAsia="pt-BR"/>
        </w:rPr>
        <w:t>Pavimentação</w:t>
      </w:r>
      <w:r w:rsidR="005F0038">
        <w:rPr>
          <w:rFonts w:eastAsia="Times New Roman" w:cstheme="minorHAnsi"/>
          <w:lang w:eastAsia="pt-BR"/>
        </w:rPr>
        <w:t xml:space="preserve"> asfáltica em CBUQ – Concreto Betuminoso Usinado a Quente,</w:t>
      </w:r>
      <w:r w:rsidR="005F0038" w:rsidRPr="00EB2BC7">
        <w:rPr>
          <w:rFonts w:eastAsia="Times New Roman" w:cstheme="minorHAnsi"/>
          <w:lang w:eastAsia="pt-BR"/>
        </w:rPr>
        <w:t xml:space="preserve"> </w:t>
      </w:r>
      <w:r w:rsidR="005F0038">
        <w:rPr>
          <w:rFonts w:eastAsia="Times New Roman" w:cstheme="minorHAnsi"/>
          <w:lang w:eastAsia="pt-BR"/>
        </w:rPr>
        <w:t>sobre pedras irregulares</w:t>
      </w:r>
      <w:r w:rsidR="005F0038" w:rsidRPr="00EB2BC7">
        <w:rPr>
          <w:rFonts w:eastAsia="Times New Roman" w:cstheme="minorHAnsi"/>
          <w:lang w:eastAsia="pt-BR"/>
        </w:rPr>
        <w:t xml:space="preserve">, área de </w:t>
      </w:r>
      <w:r w:rsidR="00AA459E">
        <w:rPr>
          <w:rFonts w:eastAsia="Times New Roman" w:cstheme="minorHAnsi"/>
          <w:lang w:eastAsia="pt-BR"/>
        </w:rPr>
        <w:t>31.888,36</w:t>
      </w:r>
      <w:r w:rsidR="005F0038" w:rsidRPr="00EB2BC7">
        <w:rPr>
          <w:rFonts w:eastAsia="Times New Roman" w:cstheme="minorHAnsi"/>
          <w:lang w:eastAsia="pt-BR"/>
        </w:rPr>
        <w:t xml:space="preserve"> m², compreendendo: serviços preliminares; drenagem; </w:t>
      </w:r>
      <w:proofErr w:type="spellStart"/>
      <w:r w:rsidR="005F0038">
        <w:rPr>
          <w:rFonts w:eastAsia="Times New Roman" w:cstheme="minorHAnsi"/>
          <w:lang w:eastAsia="pt-BR"/>
        </w:rPr>
        <w:t>reperfilagem</w:t>
      </w:r>
      <w:proofErr w:type="spellEnd"/>
      <w:r w:rsidR="005F0038">
        <w:rPr>
          <w:rFonts w:eastAsia="Times New Roman" w:cstheme="minorHAnsi"/>
          <w:lang w:eastAsia="pt-BR"/>
        </w:rPr>
        <w:t>, capa</w:t>
      </w:r>
      <w:r w:rsidR="005F0038" w:rsidRPr="00EB2BC7">
        <w:rPr>
          <w:rFonts w:eastAsia="Times New Roman" w:cstheme="minorHAnsi"/>
          <w:lang w:eastAsia="pt-BR"/>
        </w:rPr>
        <w:t>; meio-fio e sarjeta; serviços de urbanização</w:t>
      </w:r>
      <w:r w:rsidR="005F0038">
        <w:rPr>
          <w:rFonts w:eastAsia="Times New Roman" w:cstheme="minorHAnsi"/>
          <w:lang w:eastAsia="pt-BR"/>
        </w:rPr>
        <w:t xml:space="preserve"> de calçadas</w:t>
      </w:r>
      <w:r w:rsidR="005F0038" w:rsidRPr="00EB2BC7">
        <w:rPr>
          <w:rFonts w:eastAsia="Times New Roman" w:cstheme="minorHAnsi"/>
          <w:lang w:eastAsia="pt-BR"/>
        </w:rPr>
        <w:t>; sinalização de trânsito; e ensaios de controle tecnológico</w:t>
      </w:r>
      <w:r w:rsidR="005F0038">
        <w:rPr>
          <w:rFonts w:eastAsia="Times New Roman" w:cstheme="minorHAnsi"/>
          <w:lang w:eastAsia="pt-BR"/>
        </w:rPr>
        <w:t>,</w:t>
      </w:r>
    </w:p>
    <w:p w14:paraId="77C65622" w14:textId="27B201CA" w:rsidR="00527B1F" w:rsidRDefault="000F190C" w:rsidP="00D86A2A">
      <w:pPr>
        <w:widowControl w:val="0"/>
        <w:spacing w:after="0"/>
        <w:jc w:val="both"/>
        <w:rPr>
          <w:rFonts w:cstheme="minorHAnsi"/>
        </w:rPr>
      </w:pPr>
      <w:r w:rsidRPr="005661D5">
        <w:rPr>
          <w:rFonts w:cstheme="minorHAnsi"/>
        </w:rPr>
        <w:t>no Município de Nova Prata do Iguaçu - PR, conforme Memorial Técnico Descritivo, Projetos, Cronograma Físico-Financeiro e Planilha Orçamentária.</w:t>
      </w:r>
    </w:p>
    <w:p w14:paraId="561FE130" w14:textId="37E3DC93" w:rsidR="00060C2B" w:rsidRDefault="00060C2B" w:rsidP="00060C2B">
      <w:pPr>
        <w:widowControl w:val="0"/>
        <w:spacing w:after="0"/>
        <w:outlineLvl w:val="0"/>
        <w:rPr>
          <w:rFonts w:eastAsia="Times New Roman" w:cstheme="minorHAnsi"/>
          <w:b/>
          <w:bCs/>
          <w:kern w:val="36"/>
          <w:lang w:eastAsia="pt-BR"/>
        </w:rPr>
      </w:pPr>
      <w:r w:rsidRPr="00836A0B">
        <w:rPr>
          <w:rFonts w:eastAsia="Times New Roman" w:cstheme="minorHAnsi"/>
          <w:b/>
          <w:bCs/>
          <w:kern w:val="36"/>
          <w:lang w:eastAsia="pt-BR"/>
        </w:rPr>
        <w:t xml:space="preserve">PRIORIDADE: </w:t>
      </w:r>
      <w:r>
        <w:rPr>
          <w:rFonts w:eastAsia="Times New Roman" w:cstheme="minorHAnsi"/>
          <w:b/>
          <w:bCs/>
          <w:kern w:val="36"/>
          <w:lang w:eastAsia="pt-BR"/>
        </w:rPr>
        <w:t>96</w:t>
      </w:r>
      <w:r>
        <w:rPr>
          <w:rFonts w:eastAsia="Times New Roman" w:cstheme="minorHAnsi"/>
          <w:b/>
          <w:bCs/>
          <w:kern w:val="36"/>
          <w:lang w:eastAsia="pt-BR"/>
        </w:rPr>
        <w:tab/>
      </w:r>
      <w:r>
        <w:rPr>
          <w:rFonts w:eastAsia="Times New Roman" w:cstheme="minorHAnsi"/>
          <w:b/>
          <w:bCs/>
          <w:kern w:val="36"/>
          <w:lang w:eastAsia="pt-BR"/>
        </w:rPr>
        <w:tab/>
        <w:t>SAM: 80 - SECID</w:t>
      </w:r>
      <w:r w:rsidRPr="00836A0B">
        <w:rPr>
          <w:rFonts w:eastAsia="Times New Roman" w:cstheme="minorHAnsi"/>
          <w:b/>
          <w:bCs/>
          <w:kern w:val="36"/>
          <w:lang w:eastAsia="pt-BR"/>
        </w:rPr>
        <w:tab/>
      </w:r>
    </w:p>
    <w:tbl>
      <w:tblPr>
        <w:tblStyle w:val="Tabelacomgrade"/>
        <w:tblW w:w="0" w:type="auto"/>
        <w:tblInd w:w="250" w:type="dxa"/>
        <w:tblLayout w:type="fixed"/>
        <w:tblLook w:val="04A0" w:firstRow="1" w:lastRow="0" w:firstColumn="1" w:lastColumn="0" w:noHBand="0" w:noVBand="1"/>
      </w:tblPr>
      <w:tblGrid>
        <w:gridCol w:w="641"/>
        <w:gridCol w:w="4887"/>
        <w:gridCol w:w="851"/>
        <w:gridCol w:w="709"/>
        <w:gridCol w:w="1842"/>
      </w:tblGrid>
      <w:tr w:rsidR="00527B1F" w:rsidRPr="00527B1F" w14:paraId="1DBD12F6" w14:textId="77777777" w:rsidTr="007F7AFB">
        <w:tc>
          <w:tcPr>
            <w:tcW w:w="641" w:type="dxa"/>
            <w:hideMark/>
          </w:tcPr>
          <w:p w14:paraId="0EE355A8"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Item</w:t>
            </w:r>
          </w:p>
        </w:tc>
        <w:tc>
          <w:tcPr>
            <w:tcW w:w="4887" w:type="dxa"/>
            <w:hideMark/>
          </w:tcPr>
          <w:p w14:paraId="4259D8E3"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Descrição</w:t>
            </w:r>
          </w:p>
        </w:tc>
        <w:tc>
          <w:tcPr>
            <w:tcW w:w="851" w:type="dxa"/>
            <w:hideMark/>
          </w:tcPr>
          <w:p w14:paraId="0BE2418D" w14:textId="77777777" w:rsidR="00527B1F" w:rsidRPr="00527B1F" w:rsidRDefault="00527B1F" w:rsidP="00D86A2A">
            <w:pPr>
              <w:widowControl w:val="0"/>
              <w:spacing w:line="276" w:lineRule="auto"/>
              <w:jc w:val="both"/>
              <w:rPr>
                <w:rFonts w:eastAsia="Times New Roman" w:cstheme="minorHAnsi"/>
                <w:b/>
                <w:bCs/>
                <w:lang w:eastAsia="pt-BR"/>
              </w:rPr>
            </w:pPr>
            <w:proofErr w:type="spellStart"/>
            <w:r w:rsidRPr="00527B1F">
              <w:rPr>
                <w:rFonts w:eastAsia="Times New Roman" w:cstheme="minorHAnsi"/>
                <w:b/>
                <w:bCs/>
                <w:lang w:eastAsia="pt-BR"/>
              </w:rPr>
              <w:t>Und</w:t>
            </w:r>
            <w:proofErr w:type="spellEnd"/>
          </w:p>
        </w:tc>
        <w:tc>
          <w:tcPr>
            <w:tcW w:w="709" w:type="dxa"/>
            <w:hideMark/>
          </w:tcPr>
          <w:p w14:paraId="01F983D6" w14:textId="77777777" w:rsidR="00527B1F" w:rsidRPr="00527B1F" w:rsidRDefault="00527B1F" w:rsidP="00D86A2A">
            <w:pPr>
              <w:widowControl w:val="0"/>
              <w:spacing w:line="276" w:lineRule="auto"/>
              <w:jc w:val="both"/>
              <w:rPr>
                <w:rFonts w:eastAsia="Times New Roman" w:cstheme="minorHAnsi"/>
                <w:b/>
                <w:bCs/>
                <w:lang w:eastAsia="pt-BR"/>
              </w:rPr>
            </w:pPr>
            <w:proofErr w:type="spellStart"/>
            <w:r w:rsidRPr="00527B1F">
              <w:rPr>
                <w:rFonts w:eastAsia="Times New Roman" w:cstheme="minorHAnsi"/>
                <w:b/>
                <w:bCs/>
                <w:lang w:eastAsia="pt-BR"/>
              </w:rPr>
              <w:t>Qtd</w:t>
            </w:r>
            <w:proofErr w:type="spellEnd"/>
          </w:p>
        </w:tc>
        <w:tc>
          <w:tcPr>
            <w:tcW w:w="1842" w:type="dxa"/>
            <w:hideMark/>
          </w:tcPr>
          <w:p w14:paraId="5C435267"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Valor Total</w:t>
            </w:r>
          </w:p>
        </w:tc>
      </w:tr>
      <w:tr w:rsidR="00527B1F" w:rsidRPr="00527B1F" w14:paraId="3288C55A" w14:textId="77777777" w:rsidTr="007F7AFB">
        <w:tc>
          <w:tcPr>
            <w:tcW w:w="641" w:type="dxa"/>
            <w:vAlign w:val="center"/>
            <w:hideMark/>
          </w:tcPr>
          <w:p w14:paraId="798D342A"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01</w:t>
            </w:r>
          </w:p>
        </w:tc>
        <w:tc>
          <w:tcPr>
            <w:tcW w:w="4887" w:type="dxa"/>
            <w:vAlign w:val="center"/>
            <w:hideMark/>
          </w:tcPr>
          <w:p w14:paraId="3917366E" w14:textId="3B91BDA8" w:rsidR="00527B1F" w:rsidRPr="00527B1F" w:rsidRDefault="005F0038" w:rsidP="00D86A2A">
            <w:pPr>
              <w:widowControl w:val="0"/>
              <w:jc w:val="both"/>
              <w:rPr>
                <w:rFonts w:eastAsia="Times New Roman" w:cstheme="minorHAnsi"/>
                <w:lang w:eastAsia="pt-BR"/>
              </w:rPr>
            </w:pPr>
            <w:r w:rsidRPr="00EB2BC7">
              <w:rPr>
                <w:rFonts w:eastAsia="Times New Roman" w:cstheme="minorHAnsi"/>
                <w:lang w:eastAsia="pt-BR"/>
              </w:rPr>
              <w:t>Pavimentação</w:t>
            </w:r>
            <w:r>
              <w:rPr>
                <w:rFonts w:eastAsia="Times New Roman" w:cstheme="minorHAnsi"/>
                <w:lang w:eastAsia="pt-BR"/>
              </w:rPr>
              <w:t xml:space="preserve"> asfáltica em CBUQ – Concreto Betuminoso Usinado a Quente,</w:t>
            </w:r>
            <w:r w:rsidRPr="00EB2BC7">
              <w:rPr>
                <w:rFonts w:eastAsia="Times New Roman" w:cstheme="minorHAnsi"/>
                <w:lang w:eastAsia="pt-BR"/>
              </w:rPr>
              <w:t xml:space="preserve"> </w:t>
            </w:r>
            <w:r>
              <w:rPr>
                <w:rFonts w:eastAsia="Times New Roman" w:cstheme="minorHAnsi"/>
                <w:lang w:eastAsia="pt-BR"/>
              </w:rPr>
              <w:t>sobre pedras irregulares</w:t>
            </w:r>
            <w:r w:rsidRPr="00EB2BC7">
              <w:rPr>
                <w:rFonts w:eastAsia="Times New Roman" w:cstheme="minorHAnsi"/>
                <w:lang w:eastAsia="pt-BR"/>
              </w:rPr>
              <w:t xml:space="preserve">, área de </w:t>
            </w:r>
            <w:r w:rsidR="002237C3">
              <w:rPr>
                <w:rFonts w:eastAsia="Times New Roman" w:cstheme="minorHAnsi"/>
                <w:lang w:eastAsia="pt-BR"/>
              </w:rPr>
              <w:t>31.888,36</w:t>
            </w:r>
            <w:r w:rsidRPr="00EB2BC7">
              <w:rPr>
                <w:rFonts w:eastAsia="Times New Roman" w:cstheme="minorHAnsi"/>
                <w:lang w:eastAsia="pt-BR"/>
              </w:rPr>
              <w:t xml:space="preserve"> m², compreendendo: serviços preliminares; drenagem; </w:t>
            </w:r>
            <w:proofErr w:type="spellStart"/>
            <w:r>
              <w:rPr>
                <w:rFonts w:eastAsia="Times New Roman" w:cstheme="minorHAnsi"/>
                <w:lang w:eastAsia="pt-BR"/>
              </w:rPr>
              <w:t>reperfilagem</w:t>
            </w:r>
            <w:proofErr w:type="spellEnd"/>
            <w:r>
              <w:rPr>
                <w:rFonts w:eastAsia="Times New Roman" w:cstheme="minorHAnsi"/>
                <w:lang w:eastAsia="pt-BR"/>
              </w:rPr>
              <w:t>, capa</w:t>
            </w:r>
            <w:r w:rsidRPr="00EB2BC7">
              <w:rPr>
                <w:rFonts w:eastAsia="Times New Roman" w:cstheme="minorHAnsi"/>
                <w:lang w:eastAsia="pt-BR"/>
              </w:rPr>
              <w:t>; meio-fio e sarjeta; serviços de urbanização</w:t>
            </w:r>
            <w:r>
              <w:rPr>
                <w:rFonts w:eastAsia="Times New Roman" w:cstheme="minorHAnsi"/>
                <w:lang w:eastAsia="pt-BR"/>
              </w:rPr>
              <w:t xml:space="preserve"> de calçadas</w:t>
            </w:r>
            <w:r w:rsidRPr="00EB2BC7">
              <w:rPr>
                <w:rFonts w:eastAsia="Times New Roman" w:cstheme="minorHAnsi"/>
                <w:lang w:eastAsia="pt-BR"/>
              </w:rPr>
              <w:t>; sinalização de trânsito; e ensaios de controle tecnológico</w:t>
            </w:r>
            <w:r>
              <w:rPr>
                <w:rFonts w:eastAsia="Times New Roman" w:cstheme="minorHAnsi"/>
                <w:lang w:eastAsia="pt-BR"/>
              </w:rPr>
              <w:t>,</w:t>
            </w:r>
            <w:r w:rsidR="00413D2D">
              <w:rPr>
                <w:rFonts w:eastAsia="Times New Roman" w:cstheme="minorHAnsi"/>
                <w:lang w:eastAsia="pt-BR"/>
              </w:rPr>
              <w:t xml:space="preserve"> </w:t>
            </w:r>
            <w:r w:rsidRPr="005661D5">
              <w:rPr>
                <w:rFonts w:cstheme="minorHAnsi"/>
              </w:rPr>
              <w:t>no Município de Nova Prata do Iguaçu - PR, conforme Memorial Técnico Descritivo, Projetos, Cronograma Físico-Financeiro e Planilha Orçamentária.</w:t>
            </w:r>
          </w:p>
        </w:tc>
        <w:tc>
          <w:tcPr>
            <w:tcW w:w="851" w:type="dxa"/>
            <w:vAlign w:val="center"/>
            <w:hideMark/>
          </w:tcPr>
          <w:p w14:paraId="4A8FE783" w14:textId="77777777" w:rsidR="00527B1F" w:rsidRPr="00527B1F" w:rsidRDefault="00527B1F" w:rsidP="00D86A2A">
            <w:pPr>
              <w:widowControl w:val="0"/>
              <w:spacing w:line="276" w:lineRule="auto"/>
              <w:jc w:val="center"/>
              <w:rPr>
                <w:rFonts w:eastAsia="Times New Roman" w:cstheme="minorHAnsi"/>
                <w:lang w:eastAsia="pt-BR"/>
              </w:rPr>
            </w:pPr>
            <w:r w:rsidRPr="00527B1F">
              <w:rPr>
                <w:rFonts w:eastAsia="Times New Roman" w:cstheme="minorHAnsi"/>
                <w:lang w:eastAsia="pt-BR"/>
              </w:rPr>
              <w:t>Global</w:t>
            </w:r>
          </w:p>
        </w:tc>
        <w:tc>
          <w:tcPr>
            <w:tcW w:w="709" w:type="dxa"/>
            <w:vAlign w:val="center"/>
            <w:hideMark/>
          </w:tcPr>
          <w:p w14:paraId="0DB1665B" w14:textId="77777777" w:rsidR="00527B1F" w:rsidRPr="00527B1F" w:rsidRDefault="00527B1F" w:rsidP="00D86A2A">
            <w:pPr>
              <w:widowControl w:val="0"/>
              <w:spacing w:line="276" w:lineRule="auto"/>
              <w:jc w:val="center"/>
              <w:rPr>
                <w:rFonts w:eastAsia="Times New Roman" w:cstheme="minorHAnsi"/>
                <w:lang w:eastAsia="pt-BR"/>
              </w:rPr>
            </w:pPr>
            <w:r w:rsidRPr="00527B1F">
              <w:rPr>
                <w:rFonts w:eastAsia="Times New Roman" w:cstheme="minorHAnsi"/>
                <w:lang w:eastAsia="pt-BR"/>
              </w:rPr>
              <w:t>01</w:t>
            </w:r>
          </w:p>
        </w:tc>
        <w:tc>
          <w:tcPr>
            <w:tcW w:w="1842" w:type="dxa"/>
            <w:vAlign w:val="center"/>
            <w:hideMark/>
          </w:tcPr>
          <w:p w14:paraId="69B07BC3" w14:textId="35EA2E28" w:rsidR="00527B1F" w:rsidRPr="00527B1F" w:rsidRDefault="00527B1F" w:rsidP="00D86A2A">
            <w:pPr>
              <w:widowControl w:val="0"/>
              <w:spacing w:line="276" w:lineRule="auto"/>
              <w:jc w:val="center"/>
              <w:rPr>
                <w:rFonts w:eastAsia="Times New Roman" w:cstheme="minorHAnsi"/>
                <w:lang w:eastAsia="pt-BR"/>
              </w:rPr>
            </w:pPr>
            <w:r w:rsidRPr="00527B1F">
              <w:rPr>
                <w:rFonts w:eastAsia="Times New Roman" w:cstheme="minorHAnsi"/>
                <w:lang w:eastAsia="pt-BR"/>
              </w:rPr>
              <w:t>R</w:t>
            </w:r>
            <w:proofErr w:type="gramStart"/>
            <w:r w:rsidRPr="00527B1F">
              <w:rPr>
                <w:rFonts w:eastAsia="Times New Roman" w:cstheme="minorHAnsi"/>
                <w:lang w:eastAsia="pt-BR"/>
              </w:rPr>
              <w:t xml:space="preserve">$ </w:t>
            </w:r>
            <w:r w:rsidR="00413D2D" w:rsidRPr="00EB2BC7">
              <w:rPr>
                <w:rFonts w:eastAsia="Times New Roman" w:cstheme="minorHAnsi"/>
                <w:lang w:eastAsia="pt-BR"/>
              </w:rPr>
              <w:t xml:space="preserve"> </w:t>
            </w:r>
            <w:r w:rsidR="00AA459E">
              <w:rPr>
                <w:rFonts w:eastAsia="Times New Roman" w:cstheme="minorHAnsi"/>
                <w:lang w:eastAsia="pt-BR"/>
              </w:rPr>
              <w:t>4.350.136</w:t>
            </w:r>
            <w:proofErr w:type="gramEnd"/>
            <w:r w:rsidR="00AA459E">
              <w:rPr>
                <w:rFonts w:eastAsia="Times New Roman" w:cstheme="minorHAnsi"/>
                <w:lang w:eastAsia="pt-BR"/>
              </w:rPr>
              <w:t>,42</w:t>
            </w:r>
          </w:p>
        </w:tc>
      </w:tr>
    </w:tbl>
    <w:p w14:paraId="4407DB8C" w14:textId="77777777" w:rsidR="00527B1F" w:rsidRPr="007F7AFB" w:rsidRDefault="00527B1F" w:rsidP="00D86A2A">
      <w:pPr>
        <w:widowControl w:val="0"/>
        <w:spacing w:after="0"/>
        <w:jc w:val="both"/>
        <w:rPr>
          <w:rFonts w:eastAsia="Times New Roman" w:cstheme="minorHAnsi"/>
          <w:lang w:eastAsia="pt-BR"/>
        </w:rPr>
      </w:pPr>
      <w:r w:rsidRPr="007F7AFB">
        <w:rPr>
          <w:rFonts w:eastAsia="Times New Roman" w:cstheme="minorHAnsi"/>
          <w:lang w:eastAsia="pt-BR"/>
        </w:rPr>
        <w:t>1.2. O objeto desta contratação é caracterizado como "obra de engenharia", conforme alínea "b" do inciso XXI do art. 6° da Lei nº 14.133/2021.</w:t>
      </w:r>
    </w:p>
    <w:p w14:paraId="30F00A72" w14:textId="521555DF" w:rsidR="000F190C" w:rsidRPr="007F7AFB" w:rsidRDefault="00527B1F" w:rsidP="00D86A2A">
      <w:pPr>
        <w:widowControl w:val="0"/>
        <w:spacing w:after="0"/>
        <w:jc w:val="both"/>
      </w:pPr>
      <w:r w:rsidRPr="007F7AFB">
        <w:rPr>
          <w:rFonts w:eastAsia="Times New Roman" w:cstheme="minorHAnsi"/>
          <w:lang w:eastAsia="pt-BR"/>
        </w:rPr>
        <w:t xml:space="preserve">1.3. </w:t>
      </w:r>
      <w:r w:rsidR="000F190C" w:rsidRPr="007F7AFB">
        <w:t xml:space="preserve">O prazo de vigência do presente é de </w:t>
      </w:r>
      <w:r w:rsidR="005E55A1" w:rsidRPr="007F7AFB">
        <w:t>720</w:t>
      </w:r>
      <w:r w:rsidR="000F190C" w:rsidRPr="007F7AFB">
        <w:t xml:space="preserve"> (</w:t>
      </w:r>
      <w:r w:rsidR="005E55A1" w:rsidRPr="007F7AFB">
        <w:t>setecentos e vinte</w:t>
      </w:r>
      <w:r w:rsidR="000F190C" w:rsidRPr="007F7AFB">
        <w:t xml:space="preserve">) dias, </w:t>
      </w:r>
      <w:r w:rsidR="000F190C" w:rsidRPr="007F7AFB">
        <w:rPr>
          <w:color w:val="000000"/>
        </w:rPr>
        <w:t xml:space="preserve">contados a partir da data da assinatura, citada no extrato do contrato </w:t>
      </w:r>
      <w:r w:rsidR="000F190C" w:rsidRPr="007F7AFB">
        <w:t>publicado no PNCP ou no Diário Oficial para aqueles municípios com até 20.000 habitantes que assim optarem, em conformidade com o prazo estabelecido no parágrafo único do art. 176 da Lei Federal 14.133/21.</w:t>
      </w:r>
    </w:p>
    <w:p w14:paraId="71438AA4" w14:textId="263958C9" w:rsidR="00D86A2A" w:rsidRPr="007F7AFB" w:rsidRDefault="00D86A2A" w:rsidP="00D86A2A">
      <w:pPr>
        <w:widowControl w:val="0"/>
        <w:spacing w:after="0"/>
        <w:jc w:val="both"/>
      </w:pPr>
      <w:r w:rsidRPr="007F7AFB">
        <w:t>1.4. Prazo de Execução da obra se dará em 360 (trezentos e sessenta) dias, conforme cronograma físico financeiro.</w:t>
      </w:r>
    </w:p>
    <w:p w14:paraId="47B32B2D" w14:textId="77777777" w:rsidR="00D86A2A" w:rsidRDefault="00D86A2A" w:rsidP="00D86A2A">
      <w:pPr>
        <w:widowControl w:val="0"/>
        <w:spacing w:after="0"/>
        <w:jc w:val="both"/>
      </w:pPr>
    </w:p>
    <w:p w14:paraId="162E4DF0" w14:textId="5A161D68"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2. FUNDAMENTAÇÃO LEGAL</w:t>
      </w:r>
    </w:p>
    <w:p w14:paraId="0970A8E9" w14:textId="3697EE52"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2.1. Aplicam-se à contratação proposta a Lei n° 14.133/2021 - Lei de Licitações e Contratos Administrativos, os Decretos Municipais nº 3746 a 3767 de 2023 (Regulamentação da Lei 14.133/2021), Lei nº 13.709/2018 (LGPD), Código Civil art. 618, normas técnicas do DER/PR e DNIT, instruções normativas do SINAPI e o Decreto Estadual nº 10.086/22 do Paraná.</w:t>
      </w:r>
    </w:p>
    <w:p w14:paraId="44B71169" w14:textId="77777777" w:rsidR="00545566" w:rsidRPr="00527B1F" w:rsidRDefault="00545566" w:rsidP="00D86A2A">
      <w:pPr>
        <w:widowControl w:val="0"/>
        <w:spacing w:after="0"/>
        <w:jc w:val="both"/>
        <w:rPr>
          <w:rFonts w:eastAsia="Times New Roman" w:cstheme="minorHAnsi"/>
          <w:lang w:eastAsia="pt-BR"/>
        </w:rPr>
      </w:pPr>
    </w:p>
    <w:p w14:paraId="420CB961" w14:textId="1D7303DD"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3. JUSTIFICATIVA E OBJETIVO DA CONTRATAÇÃO</w:t>
      </w:r>
    </w:p>
    <w:p w14:paraId="7D3083B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3.1. A infraestrutura viária constitui elemento fundamental para o desenvolvimento socioeconômico municipal, sendo responsável pela mobilidade urbana, integração social e acesso aos serviços públicos essenciais. A qualidade das vias públicas impacta diretamente na redução de desigualdades, permitindo que todos os cidadãos tenham acesso equitativo a oportunidades de trabalho, educação, saúde e lazer. Neste contexto, a pavimentação de vias </w:t>
      </w:r>
      <w:r w:rsidRPr="00527B1F">
        <w:rPr>
          <w:rFonts w:eastAsia="Times New Roman" w:cstheme="minorHAnsi"/>
          <w:lang w:eastAsia="pt-BR"/>
        </w:rPr>
        <w:lastRenderedPageBreak/>
        <w:t>urbanas posiciona-se como força essencial para o desenvolvimento coletivo e transformação social, estabelecendo as bases para uma cidade mais inclusiva e conectada.</w:t>
      </w:r>
    </w:p>
    <w:p w14:paraId="49392C1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3.2. Com o avanço das tecnologias e a crescente demanda por infraestrutura urbana de qualidade, torna-se indispensável modernizar e expandir a malha viária pavimentada do município. A ausência de pavimentação adequada em diversas ruas do perímetro urbano compromete a mobilidade, gera custos adicionais com manutenção veicular, dificulta o escoamento de águas pluviais e prejudica a qualidade de vida dos moradores. A solução proposta através da pavimentação em CBUQ representa uma resposta técnica contemporânea, oferecendo durabilidade, conforto de rolamento e valorização imobiliária das áreas beneficiadas.</w:t>
      </w:r>
    </w:p>
    <w:p w14:paraId="315E3678" w14:textId="52192FBB"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3.3. O Município de Nova Prata do Iguaçu, por meio da Secretaria de Estado das Cidades - SECID, </w:t>
      </w:r>
      <w:r w:rsidR="00142303">
        <w:rPr>
          <w:rFonts w:eastAsia="Times New Roman" w:cstheme="minorHAnsi"/>
          <w:lang w:eastAsia="pt-BR"/>
        </w:rPr>
        <w:t xml:space="preserve">firmou Convênio nº 1768/2025 cujo objeto é a pavimentação sobre Pedras irregulares. Vinculado ao Decreto </w:t>
      </w:r>
      <w:proofErr w:type="spellStart"/>
      <w:r w:rsidR="00142303">
        <w:rPr>
          <w:rFonts w:eastAsia="Times New Roman" w:cstheme="minorHAnsi"/>
          <w:lang w:eastAsia="pt-BR"/>
        </w:rPr>
        <w:t>Estaduas</w:t>
      </w:r>
      <w:proofErr w:type="spellEnd"/>
      <w:r w:rsidR="00142303">
        <w:rPr>
          <w:rFonts w:eastAsia="Times New Roman" w:cstheme="minorHAnsi"/>
          <w:lang w:eastAsia="pt-BR"/>
        </w:rPr>
        <w:t xml:space="preserve"> 10.547/2025, relativo a ações do Programa Estadual de </w:t>
      </w:r>
      <w:proofErr w:type="spellStart"/>
      <w:r w:rsidR="00142303">
        <w:rPr>
          <w:rFonts w:eastAsia="Times New Roman" w:cstheme="minorHAnsi"/>
          <w:lang w:eastAsia="pt-BR"/>
        </w:rPr>
        <w:t>Pavimentqção</w:t>
      </w:r>
      <w:proofErr w:type="spellEnd"/>
      <w:r w:rsidR="00142303">
        <w:rPr>
          <w:rFonts w:eastAsia="Times New Roman" w:cstheme="minorHAnsi"/>
          <w:lang w:eastAsia="pt-BR"/>
        </w:rPr>
        <w:t xml:space="preserve"> sobre pedras irregulares. </w:t>
      </w:r>
    </w:p>
    <w:p w14:paraId="065C5C95" w14:textId="7D9E8971"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3.4. A presente contratação justifica-se pela necessidade de estruturar um sistema viário moderno e eficiente, contemplando não apenas a pavimentação asfáltica, mas também elementos essenciais como, sistema de drenagem, meio-fio e sarjeta, calçadas com acessibilidade, sinalização horizontal e vertical, além de ensaios tecnológicos para garantia de qualidade. O projeto alinha-se com a Lei Federal nº 14.133/2021, com as diretrizes do Plano Nacional de Mobilidade Urbana e com a Política Nacional de Desenvolvimento Urbano.</w:t>
      </w:r>
    </w:p>
    <w:p w14:paraId="20588271"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3.5. A pavimentação em CBUQ possibilita múltiplos benefícios diretos ao público-alvo, incluindo melhoria substancial nas condições de trafegabilidade, redução do tempo de deslocamento, diminuição dos custos de manutenção veicular e valorização imobiliária estimada entre 15% e 30%. O projeto desenvolverá competências locais em gestão de infraestrutura urbana, promoverá maior engajamento comunitário através da melhoria do espaço público e fortalecerá aspectos de segurança viária, materializando o compromisso municipal com a qualidade dos serviços públicos e o bem-estar da população.</w:t>
      </w:r>
    </w:p>
    <w:p w14:paraId="01227EA1" w14:textId="77777777" w:rsidR="00D86A2A" w:rsidRDefault="00D86A2A" w:rsidP="00D86A2A">
      <w:pPr>
        <w:widowControl w:val="0"/>
        <w:spacing w:after="0"/>
        <w:jc w:val="both"/>
        <w:rPr>
          <w:rFonts w:eastAsia="Times New Roman" w:cstheme="minorHAnsi"/>
          <w:lang w:eastAsia="pt-BR"/>
        </w:rPr>
      </w:pPr>
    </w:p>
    <w:p w14:paraId="7E90F95F" w14:textId="3E23C8D4"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4. ÁREA REQUISITANTE</w:t>
      </w:r>
    </w:p>
    <w:p w14:paraId="1ABBA6E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4.1. Setor requisitante: Secretaria Municipal de Obras e Urbanismo;</w:t>
      </w:r>
    </w:p>
    <w:p w14:paraId="2BFF9DDA" w14:textId="004A43D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4.2. Responsável: </w:t>
      </w:r>
      <w:r w:rsidR="00391FE3" w:rsidRPr="00EB2BC7">
        <w:rPr>
          <w:rFonts w:eastAsia="Times New Roman" w:cstheme="minorHAnsi"/>
          <w:lang w:eastAsia="pt-BR"/>
        </w:rPr>
        <w:t xml:space="preserve"> </w:t>
      </w:r>
      <w:proofErr w:type="spellStart"/>
      <w:r w:rsidR="00391FE3">
        <w:rPr>
          <w:rFonts w:eastAsia="Times New Roman" w:cstheme="minorHAnsi"/>
          <w:lang w:eastAsia="pt-BR"/>
        </w:rPr>
        <w:t>Neocir</w:t>
      </w:r>
      <w:proofErr w:type="spellEnd"/>
      <w:r w:rsidR="00391FE3">
        <w:rPr>
          <w:rFonts w:eastAsia="Times New Roman" w:cstheme="minorHAnsi"/>
          <w:lang w:eastAsia="pt-BR"/>
        </w:rPr>
        <w:t xml:space="preserve"> </w:t>
      </w:r>
      <w:proofErr w:type="spellStart"/>
      <w:proofErr w:type="gramStart"/>
      <w:r w:rsidR="00391FE3">
        <w:rPr>
          <w:rFonts w:eastAsia="Times New Roman" w:cstheme="minorHAnsi"/>
          <w:lang w:eastAsia="pt-BR"/>
        </w:rPr>
        <w:t>Belon</w:t>
      </w:r>
      <w:proofErr w:type="spellEnd"/>
      <w:r w:rsidR="00560751">
        <w:rPr>
          <w:rFonts w:eastAsia="Times New Roman" w:cstheme="minorHAnsi"/>
          <w:lang w:eastAsia="pt-BR"/>
        </w:rPr>
        <w:t xml:space="preserve">  Matrícula</w:t>
      </w:r>
      <w:proofErr w:type="gramEnd"/>
      <w:r w:rsidR="00560751">
        <w:rPr>
          <w:rFonts w:eastAsia="Times New Roman" w:cstheme="minorHAnsi"/>
          <w:lang w:eastAsia="pt-BR"/>
        </w:rPr>
        <w:t xml:space="preserve">: </w:t>
      </w:r>
      <w:r w:rsidR="00560751" w:rsidRPr="00560751">
        <w:rPr>
          <w:rFonts w:eastAsia="Times New Roman" w:cstheme="minorHAnsi"/>
          <w:lang w:eastAsia="pt-BR"/>
        </w:rPr>
        <w:t>142</w:t>
      </w:r>
      <w:r w:rsidR="00560751">
        <w:rPr>
          <w:rFonts w:eastAsia="Times New Roman" w:cstheme="minorHAnsi"/>
          <w:lang w:eastAsia="pt-BR"/>
        </w:rPr>
        <w:t>.</w:t>
      </w:r>
      <w:r w:rsidR="00560751" w:rsidRPr="00560751">
        <w:rPr>
          <w:rFonts w:eastAsia="Times New Roman" w:cstheme="minorHAnsi"/>
          <w:lang w:eastAsia="pt-BR"/>
        </w:rPr>
        <w:t>607-1</w:t>
      </w:r>
    </w:p>
    <w:p w14:paraId="4E668EBA" w14:textId="77777777" w:rsidR="00D86A2A" w:rsidRDefault="00D86A2A" w:rsidP="00D86A2A">
      <w:pPr>
        <w:widowControl w:val="0"/>
        <w:spacing w:after="0"/>
        <w:jc w:val="both"/>
        <w:rPr>
          <w:rFonts w:eastAsia="Times New Roman" w:cstheme="minorHAnsi"/>
          <w:lang w:eastAsia="pt-BR"/>
        </w:rPr>
      </w:pPr>
    </w:p>
    <w:p w14:paraId="0857802D" w14:textId="7DDC4521"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5. DESCRIÇÃO DOS REQUISITOS DA CONTRATAÇÃO</w:t>
      </w:r>
    </w:p>
    <w:p w14:paraId="1FDCF8DE"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5.1. Natureza do objeto da contratação e forma de seleção do fornecedor</w:t>
      </w:r>
    </w:p>
    <w:p w14:paraId="7B44312A" w14:textId="4B850025"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5.1.1. O objeto é classificado como "obra </w:t>
      </w:r>
      <w:r w:rsidR="00391FE3">
        <w:rPr>
          <w:rFonts w:eastAsia="Times New Roman" w:cstheme="minorHAnsi"/>
          <w:lang w:eastAsia="pt-BR"/>
        </w:rPr>
        <w:t xml:space="preserve">comum </w:t>
      </w:r>
      <w:r w:rsidRPr="00527B1F">
        <w:rPr>
          <w:rFonts w:eastAsia="Times New Roman" w:cstheme="minorHAnsi"/>
          <w:lang w:eastAsia="pt-BR"/>
        </w:rPr>
        <w:t>de engenharia", conforme alínea "b" do inciso XXI do art. 6° da Lei nº 14.133/2021.</w:t>
      </w:r>
    </w:p>
    <w:p w14:paraId="021F1445" w14:textId="4F7E5AE9"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5.1.2. A Contratada será selecionada por meio da realização de procedimento de </w:t>
      </w:r>
      <w:r w:rsidRPr="00527B1F">
        <w:rPr>
          <w:rFonts w:eastAsia="Times New Roman" w:cstheme="minorHAnsi"/>
          <w:b/>
          <w:bCs/>
          <w:lang w:eastAsia="pt-BR"/>
        </w:rPr>
        <w:t>LICITAÇÃO</w:t>
      </w:r>
      <w:r w:rsidRPr="00527B1F">
        <w:rPr>
          <w:rFonts w:eastAsia="Times New Roman" w:cstheme="minorHAnsi"/>
          <w:lang w:eastAsia="pt-BR"/>
        </w:rPr>
        <w:t xml:space="preserve">, na modalidade </w:t>
      </w:r>
      <w:r w:rsidRPr="00527B1F">
        <w:rPr>
          <w:rFonts w:eastAsia="Times New Roman" w:cstheme="minorHAnsi"/>
          <w:b/>
          <w:bCs/>
          <w:lang w:eastAsia="pt-BR"/>
        </w:rPr>
        <w:t>CONCORRÊNCIA</w:t>
      </w:r>
      <w:r w:rsidRPr="00527B1F">
        <w:rPr>
          <w:rFonts w:eastAsia="Times New Roman" w:cstheme="minorHAnsi"/>
          <w:lang w:eastAsia="pt-BR"/>
        </w:rPr>
        <w:t xml:space="preserve">, sob a forma </w:t>
      </w:r>
      <w:r w:rsidRPr="00527B1F">
        <w:rPr>
          <w:rFonts w:eastAsia="Times New Roman" w:cstheme="minorHAnsi"/>
          <w:b/>
          <w:bCs/>
          <w:lang w:eastAsia="pt-BR"/>
        </w:rPr>
        <w:t>PRESENCIAL</w:t>
      </w:r>
      <w:r w:rsidRPr="00527B1F">
        <w:rPr>
          <w:rFonts w:eastAsia="Times New Roman" w:cstheme="minorHAnsi"/>
          <w:lang w:eastAsia="pt-BR"/>
        </w:rPr>
        <w:t xml:space="preserve">, com adoção do critério de julgamento pelo </w:t>
      </w:r>
      <w:r w:rsidRPr="00527B1F">
        <w:rPr>
          <w:rFonts w:eastAsia="Times New Roman" w:cstheme="minorHAnsi"/>
          <w:b/>
          <w:bCs/>
          <w:lang w:eastAsia="pt-BR"/>
        </w:rPr>
        <w:t>MENOR PREÇO GLOBAL</w:t>
      </w:r>
      <w:r w:rsidRPr="00527B1F">
        <w:rPr>
          <w:rFonts w:eastAsia="Times New Roman" w:cstheme="minorHAnsi"/>
          <w:lang w:eastAsia="pt-BR"/>
        </w:rPr>
        <w:t xml:space="preserve">, no modo de disputa </w:t>
      </w:r>
      <w:r w:rsidRPr="00527B1F">
        <w:rPr>
          <w:rFonts w:eastAsia="Times New Roman" w:cstheme="minorHAnsi"/>
          <w:b/>
          <w:bCs/>
          <w:lang w:eastAsia="pt-BR"/>
        </w:rPr>
        <w:t>ABERTO</w:t>
      </w:r>
      <w:r w:rsidRPr="00527B1F">
        <w:rPr>
          <w:rFonts w:eastAsia="Times New Roman" w:cstheme="minorHAnsi"/>
          <w:lang w:eastAsia="pt-BR"/>
        </w:rPr>
        <w:t xml:space="preserve">, sob a execução de </w:t>
      </w:r>
      <w:r w:rsidRPr="00527B1F">
        <w:rPr>
          <w:rFonts w:eastAsia="Times New Roman" w:cstheme="minorHAnsi"/>
          <w:b/>
          <w:bCs/>
          <w:lang w:eastAsia="pt-BR"/>
        </w:rPr>
        <w:t>EMPREITADA POR PREÇO GLOBAL</w:t>
      </w:r>
      <w:r w:rsidRPr="00527B1F">
        <w:rPr>
          <w:rFonts w:eastAsia="Times New Roman" w:cstheme="minorHAnsi"/>
          <w:lang w:eastAsia="pt-BR"/>
        </w:rPr>
        <w:t>.</w:t>
      </w:r>
    </w:p>
    <w:p w14:paraId="6B553F36" w14:textId="77777777" w:rsidR="000F190C" w:rsidRPr="006C49F9" w:rsidRDefault="000F190C" w:rsidP="00D86A2A">
      <w:pPr>
        <w:widowControl w:val="0"/>
        <w:autoSpaceDN w:val="0"/>
        <w:spacing w:after="0" w:line="240" w:lineRule="auto"/>
        <w:jc w:val="both"/>
        <w:textAlignment w:val="baseline"/>
        <w:rPr>
          <w:rFonts w:cstheme="minorHAnsi"/>
        </w:rPr>
      </w:pPr>
      <w:r w:rsidRPr="006C49F9">
        <w:rPr>
          <w:rFonts w:cstheme="minorHAnsi"/>
        </w:rPr>
        <w:t xml:space="preserve">A proposta a ser apresentada pelo licitante, deverá oferecer um percentual de desconto uniforme sobre todos os itens ou serviços previstos no edital. A adoção do método de </w:t>
      </w:r>
      <w:r w:rsidRPr="006C49F9">
        <w:rPr>
          <w:rFonts w:cstheme="minorHAnsi"/>
          <w:b/>
          <w:bCs/>
        </w:rPr>
        <w:t>desconto linear adotado pela municipalidade</w:t>
      </w:r>
      <w:r w:rsidRPr="006C49F9">
        <w:rPr>
          <w:rFonts w:cstheme="minorHAnsi"/>
        </w:rPr>
        <w:t xml:space="preserve"> visa buscar garantir que o abatimento seja aplicado de forma equilibrada em toda a planilha orçamentária, evitando distorções com </w:t>
      </w:r>
      <w:r w:rsidRPr="006C49F9">
        <w:rPr>
          <w:rFonts w:cstheme="minorHAnsi"/>
        </w:rPr>
        <w:lastRenderedPageBreak/>
        <w:t>descontos excessivos em alguns itens e irrelevantes em outros, reduzindo o risco de superfaturamento em itens específicos.</w:t>
      </w:r>
    </w:p>
    <w:p w14:paraId="7D593FDA" w14:textId="77777777" w:rsidR="00527B1F" w:rsidRPr="00527B1F" w:rsidRDefault="00527B1F" w:rsidP="00D86A2A">
      <w:pPr>
        <w:widowControl w:val="0"/>
        <w:spacing w:after="0"/>
        <w:jc w:val="both"/>
        <w:outlineLvl w:val="3"/>
        <w:rPr>
          <w:rFonts w:eastAsia="Times New Roman" w:cstheme="minorHAnsi"/>
          <w:b/>
          <w:bCs/>
          <w:lang w:eastAsia="pt-BR"/>
        </w:rPr>
      </w:pPr>
      <w:r w:rsidRPr="00527B1F">
        <w:rPr>
          <w:rFonts w:eastAsia="Times New Roman" w:cstheme="minorHAnsi"/>
          <w:b/>
          <w:bCs/>
          <w:lang w:eastAsia="pt-BR"/>
        </w:rPr>
        <w:t>5.1.2.1. Justificativa específica para Concorrência Presencial</w:t>
      </w:r>
    </w:p>
    <w:p w14:paraId="63F3958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O Município de Nova Prata do Iguaçu/PR, em estrita observância aos princípios e diretrizes do art. 5º da Lei nº 14.133/2021 (legalidade, impessoalidade, moralidade, publicidade, eficiência, interesse público, probidade, igualdade, planejamento, transparência, eficácia, segregação de funções, motivação, vinculação ao edital, julgamento objetivo, segurança jurídica, razoabilidade, competitividade, proporcionalidade, celeridade, economicidade e desenvolvimento nacional sustentável), </w:t>
      </w:r>
      <w:r w:rsidRPr="00527B1F">
        <w:rPr>
          <w:rFonts w:eastAsia="Times New Roman" w:cstheme="minorHAnsi"/>
          <w:b/>
          <w:bCs/>
          <w:lang w:eastAsia="pt-BR"/>
        </w:rPr>
        <w:t>motiva</w:t>
      </w:r>
      <w:r w:rsidRPr="00527B1F">
        <w:rPr>
          <w:rFonts w:eastAsia="Times New Roman" w:cstheme="minorHAnsi"/>
          <w:lang w:eastAsia="pt-BR"/>
        </w:rPr>
        <w:t xml:space="preserve"> a adoção do </w:t>
      </w:r>
      <w:r w:rsidRPr="00527B1F">
        <w:rPr>
          <w:rFonts w:eastAsia="Times New Roman" w:cstheme="minorHAnsi"/>
          <w:b/>
          <w:bCs/>
          <w:lang w:eastAsia="pt-BR"/>
        </w:rPr>
        <w:t>procedimento de inversão de fases</w:t>
      </w:r>
      <w:r w:rsidRPr="00527B1F">
        <w:rPr>
          <w:rFonts w:eastAsia="Times New Roman" w:cstheme="minorHAnsi"/>
          <w:lang w:eastAsia="pt-BR"/>
        </w:rPr>
        <w:t xml:space="preserve"> nos certames em que tal solução se mostrar mais adequada à maximização do interesse público. A providência encontra amparo direto no </w:t>
      </w:r>
      <w:r w:rsidRPr="00527B1F">
        <w:rPr>
          <w:rFonts w:eastAsia="Times New Roman" w:cstheme="minorHAnsi"/>
          <w:b/>
          <w:bCs/>
          <w:lang w:eastAsia="pt-BR"/>
        </w:rPr>
        <w:t>art. 17, § 1º, da Lei nº 14.133/2021</w:t>
      </w:r>
      <w:r w:rsidRPr="00527B1F">
        <w:rPr>
          <w:rFonts w:eastAsia="Times New Roman" w:cstheme="minorHAnsi"/>
          <w:lang w:eastAsia="pt-BR"/>
        </w:rPr>
        <w:t>.</w:t>
      </w:r>
    </w:p>
    <w:p w14:paraId="12BBDB8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A inversão de fases qualifica o resultado do certame e racionaliza o esforço administrativo ao direcionar a análise, desde logo, para proponentes </w:t>
      </w:r>
      <w:r w:rsidRPr="00527B1F">
        <w:rPr>
          <w:rFonts w:eastAsia="Times New Roman" w:cstheme="minorHAnsi"/>
          <w:b/>
          <w:bCs/>
          <w:lang w:eastAsia="pt-BR"/>
        </w:rPr>
        <w:t>efetivamente aptos</w:t>
      </w:r>
      <w:r w:rsidRPr="00527B1F">
        <w:rPr>
          <w:rFonts w:eastAsia="Times New Roman" w:cstheme="minorHAnsi"/>
          <w:lang w:eastAsia="pt-BR"/>
        </w:rPr>
        <w:t xml:space="preserve">, evitando dispêndio de tempo e recursos com propostas de licitantes que seriam inabilitados mais adiante. Tal arranjo procedimental </w:t>
      </w:r>
      <w:r w:rsidRPr="00527B1F">
        <w:rPr>
          <w:rFonts w:eastAsia="Times New Roman" w:cstheme="minorHAnsi"/>
          <w:b/>
          <w:bCs/>
          <w:lang w:eastAsia="pt-BR"/>
        </w:rPr>
        <w:t>reduz retrabalhos e a litigiosidade</w:t>
      </w:r>
      <w:r w:rsidRPr="00527B1F">
        <w:rPr>
          <w:rFonts w:eastAsia="Times New Roman" w:cstheme="minorHAnsi"/>
          <w:lang w:eastAsia="pt-BR"/>
        </w:rPr>
        <w:t xml:space="preserve"> (recursos protelatórios), incrementa </w:t>
      </w:r>
      <w:r w:rsidRPr="00527B1F">
        <w:rPr>
          <w:rFonts w:eastAsia="Times New Roman" w:cstheme="minorHAnsi"/>
          <w:b/>
          <w:bCs/>
          <w:lang w:eastAsia="pt-BR"/>
        </w:rPr>
        <w:t>celeridade e economicidade</w:t>
      </w:r>
      <w:r w:rsidRPr="00527B1F">
        <w:rPr>
          <w:rFonts w:eastAsia="Times New Roman" w:cstheme="minorHAnsi"/>
          <w:lang w:eastAsia="pt-BR"/>
        </w:rPr>
        <w:t xml:space="preserve">, e preserva a </w:t>
      </w:r>
      <w:r w:rsidRPr="00527B1F">
        <w:rPr>
          <w:rFonts w:eastAsia="Times New Roman" w:cstheme="minorHAnsi"/>
          <w:b/>
          <w:bCs/>
          <w:lang w:eastAsia="pt-BR"/>
        </w:rPr>
        <w:t>isonomia e a competitividade</w:t>
      </w:r>
      <w:r w:rsidRPr="00527B1F">
        <w:rPr>
          <w:rFonts w:eastAsia="Times New Roman" w:cstheme="minorHAnsi"/>
          <w:lang w:eastAsia="pt-BR"/>
        </w:rPr>
        <w:t xml:space="preserve">, porquanto não favorece participante específico, antes </w:t>
      </w:r>
      <w:r w:rsidRPr="00527B1F">
        <w:rPr>
          <w:rFonts w:eastAsia="Times New Roman" w:cstheme="minorHAnsi"/>
          <w:b/>
          <w:bCs/>
          <w:lang w:eastAsia="pt-BR"/>
        </w:rPr>
        <w:t>qualifica a disputa</w:t>
      </w:r>
      <w:r w:rsidRPr="00527B1F">
        <w:rPr>
          <w:rFonts w:eastAsia="Times New Roman" w:cstheme="minorHAnsi"/>
          <w:lang w:eastAsia="pt-BR"/>
        </w:rPr>
        <w:t xml:space="preserve"> ao concentrá-la entre agentes que atendem aos requisitos técnicos, jurídicos, fiscais e econômico-financeiros.</w:t>
      </w:r>
    </w:p>
    <w:p w14:paraId="4BE14CB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Não obstante as virtudes da inversão de fases, verifica-se, no presente momento, </w:t>
      </w:r>
      <w:r w:rsidRPr="00527B1F">
        <w:rPr>
          <w:rFonts w:eastAsia="Times New Roman" w:cstheme="minorHAnsi"/>
          <w:b/>
          <w:bCs/>
          <w:lang w:eastAsia="pt-BR"/>
        </w:rPr>
        <w:t>insuficiência funcional do ambiente eletrônico disponível</w:t>
      </w:r>
      <w:r w:rsidRPr="00527B1F">
        <w:rPr>
          <w:rFonts w:eastAsia="Times New Roman" w:cstheme="minorHAnsi"/>
          <w:lang w:eastAsia="pt-BR"/>
        </w:rPr>
        <w:t xml:space="preserve"> para dar suporte </w:t>
      </w:r>
      <w:r w:rsidRPr="00527B1F">
        <w:rPr>
          <w:rFonts w:eastAsia="Times New Roman" w:cstheme="minorHAnsi"/>
          <w:b/>
          <w:bCs/>
          <w:lang w:eastAsia="pt-BR"/>
        </w:rPr>
        <w:t>completamente auditável</w:t>
      </w:r>
      <w:r w:rsidRPr="00527B1F">
        <w:rPr>
          <w:rFonts w:eastAsia="Times New Roman" w:cstheme="minorHAnsi"/>
          <w:lang w:eastAsia="pt-BR"/>
        </w:rPr>
        <w:t xml:space="preserve"> ao rito especial. Em particular, a plataforma eletrônica em uso pelo Município -- </w:t>
      </w:r>
      <w:r w:rsidRPr="00527B1F">
        <w:rPr>
          <w:rFonts w:eastAsia="Times New Roman" w:cstheme="minorHAnsi"/>
          <w:b/>
          <w:bCs/>
          <w:lang w:eastAsia="pt-BR"/>
        </w:rPr>
        <w:t>inclusive o Compras.gov.br, quando adotado</w:t>
      </w:r>
      <w:r w:rsidRPr="00527B1F">
        <w:rPr>
          <w:rFonts w:eastAsia="Times New Roman" w:cstheme="minorHAnsi"/>
          <w:lang w:eastAsia="pt-BR"/>
        </w:rPr>
        <w:t xml:space="preserve"> -- </w:t>
      </w:r>
      <w:r w:rsidRPr="00527B1F">
        <w:rPr>
          <w:rFonts w:eastAsia="Times New Roman" w:cstheme="minorHAnsi"/>
          <w:b/>
          <w:bCs/>
          <w:lang w:eastAsia="pt-BR"/>
        </w:rPr>
        <w:t>não disponibiliza, com a robustez exigida</w:t>
      </w:r>
      <w:r w:rsidRPr="00527B1F">
        <w:rPr>
          <w:rFonts w:eastAsia="Times New Roman" w:cstheme="minorHAnsi"/>
          <w:lang w:eastAsia="pt-BR"/>
        </w:rPr>
        <w:t xml:space="preserve">, funcionalidades essenciais ao fluxo de </w:t>
      </w:r>
      <w:r w:rsidRPr="00527B1F">
        <w:rPr>
          <w:rFonts w:eastAsia="Times New Roman" w:cstheme="minorHAnsi"/>
          <w:b/>
          <w:bCs/>
          <w:lang w:eastAsia="pt-BR"/>
        </w:rPr>
        <w:t>Concorrência</w:t>
      </w:r>
      <w:r w:rsidRPr="00527B1F">
        <w:rPr>
          <w:rFonts w:eastAsia="Times New Roman" w:cstheme="minorHAnsi"/>
          <w:lang w:eastAsia="pt-BR"/>
        </w:rPr>
        <w:t xml:space="preserve"> com inversão de fases, tais como módulo de </w:t>
      </w:r>
      <w:proofErr w:type="spellStart"/>
      <w:r w:rsidRPr="00527B1F">
        <w:rPr>
          <w:rFonts w:eastAsia="Times New Roman" w:cstheme="minorHAnsi"/>
          <w:lang w:eastAsia="pt-BR"/>
        </w:rPr>
        <w:t>pré</w:t>
      </w:r>
      <w:proofErr w:type="spellEnd"/>
      <w:r w:rsidRPr="00527B1F">
        <w:rPr>
          <w:rFonts w:eastAsia="Times New Roman" w:cstheme="minorHAnsi"/>
          <w:lang w:eastAsia="pt-BR"/>
        </w:rPr>
        <w:t>-habilitação com controle de sigilo, abertura seletiva automatizada das propostas apenas dos previamente habilitados, dupla rotina recursal com trilhas de auditoria completas, cadeia de custódia e gestão de versões, integração transparente com o PNCP e relatórios de conformidade imutáveis.</w:t>
      </w:r>
    </w:p>
    <w:p w14:paraId="1D49DD2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A tentativa de suprir tais lacunas por meio de arranjos improvisados no meio digital </w:t>
      </w:r>
      <w:r w:rsidRPr="00527B1F">
        <w:rPr>
          <w:rFonts w:eastAsia="Times New Roman" w:cstheme="minorHAnsi"/>
          <w:b/>
          <w:bCs/>
          <w:lang w:eastAsia="pt-BR"/>
        </w:rPr>
        <w:t>ampliaria o risco de falhas procedimentais</w:t>
      </w:r>
      <w:r w:rsidRPr="00527B1F">
        <w:rPr>
          <w:rFonts w:eastAsia="Times New Roman" w:cstheme="minorHAnsi"/>
          <w:lang w:eastAsia="pt-BR"/>
        </w:rPr>
        <w:t xml:space="preserve">, contrariando os princípios do julgamento objetivo, da transparência e da segurança jurídica. </w:t>
      </w:r>
      <w:r w:rsidRPr="00527B1F">
        <w:rPr>
          <w:rFonts w:eastAsia="Times New Roman" w:cstheme="minorHAnsi"/>
          <w:b/>
          <w:bCs/>
          <w:lang w:eastAsia="pt-BR"/>
        </w:rPr>
        <w:t>Por isso</w:t>
      </w:r>
      <w:r w:rsidRPr="00527B1F">
        <w:rPr>
          <w:rFonts w:eastAsia="Times New Roman" w:cstheme="minorHAnsi"/>
          <w:lang w:eastAsia="pt-BR"/>
        </w:rPr>
        <w:t xml:space="preserve">, e </w:t>
      </w:r>
      <w:r w:rsidRPr="00527B1F">
        <w:rPr>
          <w:rFonts w:eastAsia="Times New Roman" w:cstheme="minorHAnsi"/>
          <w:b/>
          <w:bCs/>
          <w:lang w:eastAsia="pt-BR"/>
        </w:rPr>
        <w:t>tão somente enquanto perdurar o impedimento técnico</w:t>
      </w:r>
      <w:r w:rsidRPr="00527B1F">
        <w:rPr>
          <w:rFonts w:eastAsia="Times New Roman" w:cstheme="minorHAnsi"/>
          <w:lang w:eastAsia="pt-BR"/>
        </w:rPr>
        <w:t xml:space="preserve">, impõe-se, </w:t>
      </w:r>
      <w:r w:rsidRPr="00527B1F">
        <w:rPr>
          <w:rFonts w:eastAsia="Times New Roman" w:cstheme="minorHAnsi"/>
          <w:b/>
          <w:bCs/>
          <w:lang w:eastAsia="pt-BR"/>
        </w:rPr>
        <w:t>em caráter excepcional, proporcional e temporário</w:t>
      </w:r>
      <w:r w:rsidRPr="00527B1F">
        <w:rPr>
          <w:rFonts w:eastAsia="Times New Roman" w:cstheme="minorHAnsi"/>
          <w:lang w:eastAsia="pt-BR"/>
        </w:rPr>
        <w:t xml:space="preserve">, a realização </w:t>
      </w:r>
      <w:r w:rsidRPr="00527B1F">
        <w:rPr>
          <w:rFonts w:eastAsia="Times New Roman" w:cstheme="minorHAnsi"/>
          <w:b/>
          <w:bCs/>
          <w:lang w:eastAsia="pt-BR"/>
        </w:rPr>
        <w:t>presencial</w:t>
      </w:r>
      <w:r w:rsidRPr="00527B1F">
        <w:rPr>
          <w:rFonts w:eastAsia="Times New Roman" w:cstheme="minorHAnsi"/>
          <w:lang w:eastAsia="pt-BR"/>
        </w:rPr>
        <w:t xml:space="preserve"> dos certames que demandem inversão de fases, como meio </w:t>
      </w:r>
      <w:r w:rsidRPr="00527B1F">
        <w:rPr>
          <w:rFonts w:eastAsia="Times New Roman" w:cstheme="minorHAnsi"/>
          <w:b/>
          <w:bCs/>
          <w:lang w:eastAsia="pt-BR"/>
        </w:rPr>
        <w:t>menos gravoso</w:t>
      </w:r>
      <w:r w:rsidRPr="00527B1F">
        <w:rPr>
          <w:rFonts w:eastAsia="Times New Roman" w:cstheme="minorHAnsi"/>
          <w:lang w:eastAsia="pt-BR"/>
        </w:rPr>
        <w:t xml:space="preserve"> e mais aderente aos Decretos Municipais nº 3746 a 3767/2023 e ao art. 17, § 1º, da Lei nº 14.133/2021.</w:t>
      </w:r>
    </w:p>
    <w:p w14:paraId="35B7047B"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5.2. Duração do contrato -- Prazo da Execução dos Serviços e Vigência Contratual</w:t>
      </w:r>
    </w:p>
    <w:p w14:paraId="34A318D5" w14:textId="21CF1E6B" w:rsidR="00C570D5" w:rsidRPr="00D04541" w:rsidRDefault="00527B1F" w:rsidP="00D86A2A">
      <w:pPr>
        <w:widowControl w:val="0"/>
        <w:spacing w:after="0"/>
        <w:jc w:val="both"/>
      </w:pPr>
      <w:r w:rsidRPr="00D04541">
        <w:rPr>
          <w:rFonts w:eastAsia="Times New Roman" w:cstheme="minorHAnsi"/>
          <w:lang w:eastAsia="pt-BR"/>
        </w:rPr>
        <w:t xml:space="preserve">5.2.1. </w:t>
      </w:r>
      <w:r w:rsidR="00C570D5" w:rsidRPr="00D04541">
        <w:t xml:space="preserve">O prazo de execução do objeto, será de até </w:t>
      </w:r>
      <w:r w:rsidR="00142303">
        <w:t>360</w:t>
      </w:r>
      <w:r w:rsidR="00D04541">
        <w:t xml:space="preserve"> </w:t>
      </w:r>
      <w:r w:rsidR="00C570D5" w:rsidRPr="00D04541">
        <w:t>(</w:t>
      </w:r>
      <w:r w:rsidR="00142303">
        <w:t>trezentos e sessenta</w:t>
      </w:r>
      <w:r w:rsidR="00C570D5" w:rsidRPr="00D04541">
        <w:t xml:space="preserve">) dias, contados a partir da data da assinatura, citada no extrato do contrato </w:t>
      </w:r>
      <w:proofErr w:type="spellStart"/>
      <w:r w:rsidR="00C570D5" w:rsidRPr="00D04541">
        <w:t>puclicado</w:t>
      </w:r>
      <w:proofErr w:type="spellEnd"/>
      <w:r w:rsidR="00C570D5" w:rsidRPr="00D04541">
        <w:t xml:space="preserve"> no PNCP ou no Diário Oficial para aqueles municípios </w:t>
      </w:r>
      <w:proofErr w:type="spellStart"/>
      <w:r w:rsidR="00C570D5" w:rsidRPr="00D04541">
        <w:t>co</w:t>
      </w:r>
      <w:proofErr w:type="spellEnd"/>
      <w:r w:rsidR="00C570D5" w:rsidRPr="00D04541">
        <w:t xml:space="preserve"> até 20.000 habitantes que assim oparem, em </w:t>
      </w:r>
      <w:proofErr w:type="spellStart"/>
      <w:r w:rsidR="00C570D5" w:rsidRPr="00D04541">
        <w:t>conformeidade</w:t>
      </w:r>
      <w:proofErr w:type="spellEnd"/>
      <w:r w:rsidR="00C570D5" w:rsidRPr="00D04541">
        <w:t xml:space="preserve"> com o prazo </w:t>
      </w:r>
      <w:proofErr w:type="spellStart"/>
      <w:r w:rsidR="00C570D5" w:rsidRPr="00D04541">
        <w:t>establecido</w:t>
      </w:r>
      <w:proofErr w:type="spellEnd"/>
      <w:r w:rsidR="00C570D5" w:rsidRPr="00D04541">
        <w:t xml:space="preserve"> no parágrafo único do art. 176 da Lei Federal 14.133/21.</w:t>
      </w:r>
    </w:p>
    <w:p w14:paraId="7560280E" w14:textId="77777777" w:rsidR="00C570D5" w:rsidRPr="00C570D5" w:rsidRDefault="00527B1F" w:rsidP="00D86A2A">
      <w:pPr>
        <w:widowControl w:val="0"/>
        <w:spacing w:after="0"/>
        <w:jc w:val="both"/>
      </w:pPr>
      <w:r w:rsidRPr="00C570D5">
        <w:rPr>
          <w:rFonts w:eastAsia="Times New Roman" w:cstheme="minorHAnsi"/>
          <w:lang w:eastAsia="pt-BR"/>
        </w:rPr>
        <w:t xml:space="preserve">5.2.2. </w:t>
      </w:r>
      <w:r w:rsidR="00C570D5" w:rsidRPr="00C570D5">
        <w:t>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18E5FEC3" w14:textId="3513DC42" w:rsidR="00C570D5" w:rsidRPr="00C570D5" w:rsidRDefault="00527B1F" w:rsidP="00D86A2A">
      <w:pPr>
        <w:widowControl w:val="0"/>
        <w:spacing w:after="0"/>
        <w:jc w:val="both"/>
      </w:pPr>
      <w:r w:rsidRPr="00C570D5">
        <w:rPr>
          <w:rFonts w:eastAsia="Times New Roman" w:cstheme="minorHAnsi"/>
          <w:lang w:eastAsia="pt-BR"/>
        </w:rPr>
        <w:t xml:space="preserve">5.2.3. </w:t>
      </w:r>
      <w:r w:rsidR="00C570D5" w:rsidRPr="00C570D5">
        <w:t xml:space="preserve">O prazo de vigência </w:t>
      </w:r>
      <w:proofErr w:type="gramStart"/>
      <w:r w:rsidR="00C570D5" w:rsidRPr="00C570D5">
        <w:t>do  Contrato</w:t>
      </w:r>
      <w:proofErr w:type="gramEnd"/>
      <w:r w:rsidR="00C570D5" w:rsidRPr="00C570D5">
        <w:t xml:space="preserve"> é de </w:t>
      </w:r>
      <w:r w:rsidR="00142303">
        <w:t>720</w:t>
      </w:r>
      <w:r w:rsidR="00C570D5" w:rsidRPr="00C570D5">
        <w:t xml:space="preserve"> (</w:t>
      </w:r>
      <w:r w:rsidR="00142303">
        <w:t>setecentos e vinte</w:t>
      </w:r>
      <w:r w:rsidR="00C570D5" w:rsidRPr="00C570D5">
        <w:t xml:space="preserve">) dias, </w:t>
      </w:r>
      <w:r w:rsidR="00C570D5" w:rsidRPr="00C570D5">
        <w:rPr>
          <w:color w:val="000000"/>
        </w:rPr>
        <w:t xml:space="preserve">contados a partir da </w:t>
      </w:r>
      <w:r w:rsidR="00C570D5" w:rsidRPr="00C570D5">
        <w:rPr>
          <w:b/>
          <w:bCs/>
          <w:color w:val="000000"/>
        </w:rPr>
        <w:t>data da assinatura, citada no extrato</w:t>
      </w:r>
      <w:r w:rsidR="00C570D5" w:rsidRPr="00C570D5">
        <w:rPr>
          <w:color w:val="000000"/>
        </w:rPr>
        <w:t xml:space="preserve"> do contrato </w:t>
      </w:r>
      <w:r w:rsidR="00C570D5" w:rsidRPr="00C570D5">
        <w:t>publicado no PNCP ou no Diário Oficial para aqueles municípios com até 20.000 habitantes que assim optarem, em conformidade com o prazo estabelecido no parágrafo único do art. 176 da Lei Federal 14.133/21.</w:t>
      </w:r>
    </w:p>
    <w:p w14:paraId="57CEC760"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5.3. Vistoria dos locais</w:t>
      </w:r>
    </w:p>
    <w:p w14:paraId="32C38EC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5.3.1.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e das 13:30 às 17:30.</w:t>
      </w:r>
    </w:p>
    <w:p w14:paraId="13487D0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5.3.2. Serão disponibilizados data e horário diferentes aos interessados em realizar a vistoria prévia.</w:t>
      </w:r>
    </w:p>
    <w:p w14:paraId="5EF0184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5.3.3. Para a vistoria, o representante legal da empresa ou responsável técnico deverá estar devidamente identificado, apresentando documento de identidade civil e documento expedido pela empresa, comprovando sua habilitação para a realização da vistoria.</w:t>
      </w:r>
    </w:p>
    <w:p w14:paraId="3BE04D3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5.3.4.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6FFD0CA"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5.4. Licitação exclusiva ME/MEI/EPP</w:t>
      </w:r>
    </w:p>
    <w:p w14:paraId="3EF98EA1" w14:textId="5D3AFCF9"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5.4.1. Não</w:t>
      </w:r>
      <w:r w:rsidR="00BC3D21">
        <w:rPr>
          <w:rFonts w:eastAsia="Times New Roman" w:cstheme="minorHAnsi"/>
          <w:lang w:eastAsia="pt-BR"/>
        </w:rPr>
        <w:t>.</w:t>
      </w:r>
    </w:p>
    <w:p w14:paraId="6C325977" w14:textId="77777777" w:rsidR="00D86A2A" w:rsidRDefault="00D86A2A" w:rsidP="00D86A2A">
      <w:pPr>
        <w:widowControl w:val="0"/>
        <w:spacing w:after="0"/>
        <w:jc w:val="both"/>
        <w:rPr>
          <w:rFonts w:eastAsia="Times New Roman" w:cstheme="minorHAnsi"/>
          <w:lang w:eastAsia="pt-BR"/>
        </w:rPr>
      </w:pPr>
    </w:p>
    <w:p w14:paraId="06E187A4" w14:textId="6C48AF1A"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6. DESCRIÇÃO DA SOLUÇÃO COMO UM TODO CONSIDERADO O CICLO DE VIDA DO OBJETO</w:t>
      </w:r>
    </w:p>
    <w:p w14:paraId="151D4731" w14:textId="582DDF6E"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6.1. A execução de pavimentação </w:t>
      </w:r>
      <w:r w:rsidR="00592867">
        <w:rPr>
          <w:rFonts w:eastAsia="Times New Roman" w:cstheme="minorHAnsi"/>
          <w:lang w:eastAsia="pt-BR"/>
        </w:rPr>
        <w:t>sobre pedras irregulares em</w:t>
      </w:r>
      <w:r w:rsidRPr="00527B1F">
        <w:rPr>
          <w:rFonts w:eastAsia="Times New Roman" w:cstheme="minorHAnsi"/>
          <w:lang w:eastAsia="pt-BR"/>
        </w:rPr>
        <w:t xml:space="preserve"> vias urbanas em concreto betuminoso usinado a quente (CBUQ) com área de </w:t>
      </w:r>
      <w:r w:rsidR="00C140EC">
        <w:rPr>
          <w:rFonts w:eastAsia="Times New Roman" w:cstheme="minorHAnsi"/>
          <w:lang w:eastAsia="pt-BR"/>
        </w:rPr>
        <w:t>31.888,</w:t>
      </w:r>
      <w:proofErr w:type="gramStart"/>
      <w:r w:rsidR="00C140EC">
        <w:rPr>
          <w:rFonts w:eastAsia="Times New Roman" w:cstheme="minorHAnsi"/>
          <w:lang w:eastAsia="pt-BR"/>
        </w:rPr>
        <w:t xml:space="preserve">36 </w:t>
      </w:r>
      <w:r w:rsidRPr="00527B1F">
        <w:rPr>
          <w:rFonts w:eastAsia="Times New Roman" w:cstheme="minorHAnsi"/>
          <w:lang w:eastAsia="pt-BR"/>
        </w:rPr>
        <w:t xml:space="preserve"> m</w:t>
      </w:r>
      <w:proofErr w:type="gramEnd"/>
      <w:r w:rsidRPr="00527B1F">
        <w:rPr>
          <w:rFonts w:eastAsia="Times New Roman" w:cstheme="minorHAnsi"/>
          <w:lang w:eastAsia="pt-BR"/>
        </w:rPr>
        <w:t xml:space="preserve">², </w:t>
      </w:r>
      <w:r w:rsidR="00592867">
        <w:rPr>
          <w:rFonts w:eastAsia="Times New Roman" w:cstheme="minorHAnsi"/>
          <w:lang w:eastAsia="pt-BR"/>
        </w:rPr>
        <w:t xml:space="preserve">utilizando serviços de </w:t>
      </w:r>
      <w:proofErr w:type="spellStart"/>
      <w:r w:rsidR="00592867">
        <w:rPr>
          <w:rFonts w:eastAsia="Times New Roman" w:cstheme="minorHAnsi"/>
          <w:lang w:eastAsia="pt-BR"/>
        </w:rPr>
        <w:t>reperfilagem</w:t>
      </w:r>
      <w:proofErr w:type="spellEnd"/>
      <w:r w:rsidR="00592867">
        <w:rPr>
          <w:rFonts w:eastAsia="Times New Roman" w:cstheme="minorHAnsi"/>
          <w:lang w:eastAsia="pt-BR"/>
        </w:rPr>
        <w:t xml:space="preserve"> e capa em CBUQ – Concreto Betuminosos Usinado a Quente,</w:t>
      </w:r>
      <w:r w:rsidRPr="00527B1F">
        <w:rPr>
          <w:rFonts w:eastAsia="Times New Roman" w:cstheme="minorHAnsi"/>
          <w:lang w:eastAsia="pt-BR"/>
        </w:rPr>
        <w:t xml:space="preserve"> sistema de drenagem com meio-fio e sarjeta, urbanização em </w:t>
      </w:r>
      <w:proofErr w:type="spellStart"/>
      <w:r w:rsidRPr="00527B1F">
        <w:rPr>
          <w:rFonts w:eastAsia="Times New Roman" w:cstheme="minorHAnsi"/>
          <w:lang w:eastAsia="pt-BR"/>
        </w:rPr>
        <w:t>paver</w:t>
      </w:r>
      <w:proofErr w:type="spellEnd"/>
      <w:r w:rsidRPr="00527B1F">
        <w:rPr>
          <w:rFonts w:eastAsia="Times New Roman" w:cstheme="minorHAnsi"/>
          <w:lang w:eastAsia="pt-BR"/>
        </w:rPr>
        <w:t xml:space="preserve"> e sinalização viária completa, representa uma solução técnica consolidada e amplamente adotada na engenharia urbana. Essa abordagem garante durabilidade superior a 10 anos, conforto de rolamento, eficiência na execução e adequação às condições de tráfego urbano.</w:t>
      </w:r>
    </w:p>
    <w:p w14:paraId="1F40E78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6.2. Os serviços para execução da pavimentação deverão obedecer às normas técnicas do DER/PR, DNIT, ABNT e instruções normativas do SINAPI, garantindo padrões de qualidade, segurança e desempenho adequados ao ambiente urbano.</w:t>
      </w:r>
    </w:p>
    <w:p w14:paraId="17FE55B9"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6.3. A solução integrada em lote único maximiza padronização e controle de qualidade, aproveita economia de escala na aquisição de materiais e logística, e simplifica a coordenação de múltiplas frentes de obra, refletindo-se em cronogramas mais estáveis e menor custo transacional.</w:t>
      </w:r>
    </w:p>
    <w:p w14:paraId="48527285" w14:textId="77777777" w:rsidR="00545566" w:rsidRPr="00527B1F" w:rsidRDefault="00545566" w:rsidP="00D86A2A">
      <w:pPr>
        <w:widowControl w:val="0"/>
        <w:spacing w:after="0"/>
        <w:jc w:val="both"/>
        <w:rPr>
          <w:rFonts w:eastAsia="Times New Roman" w:cstheme="minorHAnsi"/>
          <w:lang w:eastAsia="pt-BR"/>
        </w:rPr>
      </w:pPr>
    </w:p>
    <w:p w14:paraId="132B587A" w14:textId="633E16D4"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7. REQUISITOS DA CONTRATAÇÃO</w:t>
      </w:r>
    </w:p>
    <w:p w14:paraId="00EDF1A1"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7.1. Sustentabilidade</w:t>
      </w:r>
    </w:p>
    <w:p w14:paraId="435B4E8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7.1.1. A execução dos serviços deve estar aderente com a legislação ambiental e critérios de sustentabilidade, em especial a Lei nº 12.305, de 2010, que trata da Política Nacional de Resíduos Sólidos, e a Resolução CONAMA nº 307/2002 sobre gestão de resíduos da construção civil.</w:t>
      </w:r>
    </w:p>
    <w:p w14:paraId="20E0953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 A empresa contratada deverá utilizar na execução das obras as boas práticas de sustentabilidade ambiental, respeitando-se, dentre outros, os critérios ambientais indicados abaixo:</w:t>
      </w:r>
    </w:p>
    <w:p w14:paraId="62C9542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7.1.2.1. Utilização de usina de asfalto com filtros e sistemas de controle de emissões atmosféricas conforme normas ambientais;</w:t>
      </w:r>
    </w:p>
    <w:p w14:paraId="60AED2C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7.1.2.2. Implementação de programa de treinamento de seus empregados visando o uso racional de consumo de energia e água, bem como redução de resíduos sólidos;</w:t>
      </w:r>
    </w:p>
    <w:p w14:paraId="2DD82DD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7.1.2.3. Sempre que possível, fazer uso de materiais reciclados e agregados de origem sustentável;</w:t>
      </w:r>
    </w:p>
    <w:p w14:paraId="5963C1B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7.1.2.4. Classificação e destinação adequada dos resíduos recicláveis produzidos durante a execução dos serviços, incluindo sobras de material asfáltico e resíduos de fresagem;</w:t>
      </w:r>
    </w:p>
    <w:p w14:paraId="630B41D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7.1.2.5. Utilização de fornecedores locais para redução das emissões de transporte, priorizando materiais pétreos num raio de 50 km;</w:t>
      </w:r>
    </w:p>
    <w:p w14:paraId="41E92C4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7.1.2.6.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w:t>
      </w:r>
    </w:p>
    <w:p w14:paraId="29542D22"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7.2. Subcontratação</w:t>
      </w:r>
    </w:p>
    <w:p w14:paraId="1D54319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7.2.1. É vedada a subcontratação de pessoa física ou jurídica para o objeto desta contratação.</w:t>
      </w:r>
    </w:p>
    <w:p w14:paraId="41FE54B4"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7.3. Alteração subjetiva</w:t>
      </w:r>
    </w:p>
    <w:p w14:paraId="55044CB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7.3.1. É admissível a continuidade do contrato administrativo quando houver fusão, cisão ou incorporação do CONTRATADO com outra pessoa jurídica, desde que:</w:t>
      </w:r>
    </w:p>
    <w:p w14:paraId="2100D63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7.3.1.1. Sejam observados pela nova pessoa jurídica todos os requisitos de habilitação exigidos na licitação original;</w:t>
      </w:r>
    </w:p>
    <w:p w14:paraId="3826B08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7.3.1.2. Sejam mantidas as demais cláusulas e condições do contrato; e</w:t>
      </w:r>
    </w:p>
    <w:p w14:paraId="3F4E2B5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7.3.1.3. Não haja prejuízo à execução do objeto pactuado e haja anuência expressa da Administração à continuidade do contrato.</w:t>
      </w:r>
    </w:p>
    <w:p w14:paraId="34E27B3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7.3.2. A alteração subjetiva a que se refere o item anterior deverá ser formalizada através de termo aditivo ao contrato.</w:t>
      </w:r>
    </w:p>
    <w:p w14:paraId="6F9D73B9"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7.4. Garantia da contratação</w:t>
      </w:r>
    </w:p>
    <w:p w14:paraId="066D676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7.4.1. Haverá exigência de garantia contratual da execução, nos seguintes termos:</w:t>
      </w:r>
    </w:p>
    <w:p w14:paraId="2E23F91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7.4.1.1. O adjudicatário, no prazo de 03 (três) dias úteis após a assinatura do Contrato prestará </w:t>
      </w:r>
      <w:r w:rsidRPr="00527B1F">
        <w:rPr>
          <w:rFonts w:eastAsia="Times New Roman" w:cstheme="minorHAnsi"/>
          <w:b/>
          <w:bCs/>
          <w:lang w:eastAsia="pt-BR"/>
        </w:rPr>
        <w:t>garantia no valor correspondente a 5% (cinco por cento) do valor do Contrato</w:t>
      </w:r>
      <w:r w:rsidRPr="00527B1F">
        <w:rPr>
          <w:rFonts w:eastAsia="Times New Roman" w:cstheme="minorHAnsi"/>
          <w:lang w:eastAsia="pt-BR"/>
        </w:rPr>
        <w:t>, que será liberada de acordo com as condições previstas no Edital, conforme disposto no art. 96 da Lei Federal n.º 14.133, de 2021, desde que cumpridas as obrigações contratuais.</w:t>
      </w:r>
    </w:p>
    <w:p w14:paraId="35179CB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7.4.1.2. Caberá ao Contratado optar por uma das modalidades de garantia previstas na lei 14.133 de 2021.</w:t>
      </w:r>
    </w:p>
    <w:p w14:paraId="65E38BD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7.4.2. No caso de alteração do valor do contrato, ou prorrogação de sua vigência, a garantia deverá ser readequada ou renovada nas mesmas condições.</w:t>
      </w:r>
    </w:p>
    <w:p w14:paraId="6577B66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7.4.3. Se o valor da garantia for utilizado total ou parcialmente em pagamento de qualquer obrigação, o Contratado obriga-se a fazer a respectiva reposição no prazo máximo de 07 (sete) dias úteis, contados da data em que for notificado.</w:t>
      </w:r>
    </w:p>
    <w:p w14:paraId="3C9C7ED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7.4.4. 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5ABA71D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7.4.5. No caso de seguro-garantia, o adjudicatário terá até 1 (um) mês, contado da data de homologação da licitação, para a prestação da garantia.</w:t>
      </w:r>
    </w:p>
    <w:p w14:paraId="3DAD40DC"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7.5. Proteção de Dados (LGPD)</w:t>
      </w:r>
    </w:p>
    <w:p w14:paraId="3A9DFAE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7.5.1. A contratada deverá observar rigorosamente a Lei nº 13.709/2018 (Lei Geral de Proteção de Dados - LGPD) no tratamento de dados pessoais relacionados à execução dos serviços.</w:t>
      </w:r>
    </w:p>
    <w:p w14:paraId="59AF7EF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7.5.2. Uso de meios digitais para comunicações formais com interface adequada e recursos de proteção de dados, observando funcionalidades de segurança.</w:t>
      </w:r>
    </w:p>
    <w:p w14:paraId="4087BD8E" w14:textId="629F1CB8" w:rsidR="00545566" w:rsidRDefault="00545566" w:rsidP="00D86A2A">
      <w:pPr>
        <w:widowControl w:val="0"/>
        <w:spacing w:after="0"/>
        <w:jc w:val="both"/>
        <w:outlineLvl w:val="1"/>
        <w:rPr>
          <w:rFonts w:cstheme="minorHAnsi"/>
        </w:rPr>
      </w:pPr>
    </w:p>
    <w:p w14:paraId="3CA64D54" w14:textId="35881483"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8. MODELO DE EXECUÇÃO DO OBJETO</w:t>
      </w:r>
    </w:p>
    <w:p w14:paraId="52F15E90"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8.1. Condições e prazo de execução</w:t>
      </w:r>
    </w:p>
    <w:p w14:paraId="2C193D3D" w14:textId="67D28F7A" w:rsidR="002E11C0" w:rsidRPr="002E11C0" w:rsidRDefault="00527B1F" w:rsidP="00D86A2A">
      <w:pPr>
        <w:widowControl w:val="0"/>
        <w:spacing w:after="0"/>
        <w:jc w:val="both"/>
      </w:pPr>
      <w:r w:rsidRPr="00527B1F">
        <w:rPr>
          <w:rFonts w:eastAsia="Times New Roman" w:cstheme="minorHAnsi"/>
          <w:lang w:eastAsia="pt-BR"/>
        </w:rPr>
        <w:t>8.1.1</w:t>
      </w:r>
      <w:r w:rsidRPr="002E11C0">
        <w:rPr>
          <w:rFonts w:eastAsia="Times New Roman" w:cstheme="minorHAnsi"/>
          <w:lang w:eastAsia="pt-BR"/>
        </w:rPr>
        <w:t xml:space="preserve">. </w:t>
      </w:r>
      <w:r w:rsidR="002E11C0" w:rsidRPr="002E11C0">
        <w:t>O início da execução do objeto,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612913" w14:textId="165EEDDA" w:rsidR="002E11C0" w:rsidRPr="002E11C0" w:rsidRDefault="00527B1F" w:rsidP="00D86A2A">
      <w:pPr>
        <w:widowControl w:val="0"/>
        <w:spacing w:after="0"/>
        <w:jc w:val="both"/>
      </w:pPr>
      <w:r w:rsidRPr="00527B1F">
        <w:rPr>
          <w:rFonts w:eastAsia="Times New Roman" w:cstheme="minorHAnsi"/>
          <w:lang w:eastAsia="pt-BR"/>
        </w:rPr>
        <w:t>8.1.2</w:t>
      </w:r>
      <w:r w:rsidRPr="002E11C0">
        <w:rPr>
          <w:rFonts w:eastAsia="Times New Roman" w:cstheme="minorHAnsi"/>
          <w:lang w:eastAsia="pt-BR"/>
        </w:rPr>
        <w:t xml:space="preserve">. </w:t>
      </w:r>
      <w:r w:rsidR="002E11C0">
        <w:rPr>
          <w:rFonts w:eastAsia="Times New Roman" w:cstheme="minorHAnsi"/>
          <w:lang w:eastAsia="pt-BR"/>
        </w:rPr>
        <w:t xml:space="preserve">O prazo de execução do objeto será de </w:t>
      </w:r>
      <w:r w:rsidR="002E11C0" w:rsidRPr="002E11C0">
        <w:t xml:space="preserve">até </w:t>
      </w:r>
      <w:r w:rsidR="00592867">
        <w:t>360</w:t>
      </w:r>
      <w:r w:rsidR="002E11C0" w:rsidRPr="002E11C0">
        <w:t xml:space="preserve"> (</w:t>
      </w:r>
      <w:r w:rsidR="00592867">
        <w:t xml:space="preserve">trezentos e </w:t>
      </w:r>
      <w:proofErr w:type="gramStart"/>
      <w:r w:rsidR="00592867">
        <w:t>sessenta</w:t>
      </w:r>
      <w:r w:rsidR="002E11C0" w:rsidRPr="002E11C0">
        <w:t>)  dias</w:t>
      </w:r>
      <w:proofErr w:type="gramEnd"/>
      <w:r w:rsidR="002E11C0" w:rsidRPr="002E11C0">
        <w:t xml:space="preserve">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E47452E" w14:textId="3A2A18A4"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8.1.3. Se a contratada deixar de assinar o aceite da Ordem de Serviço após </w:t>
      </w:r>
      <w:r w:rsidR="002E11C0">
        <w:rPr>
          <w:rFonts w:eastAsia="Times New Roman" w:cstheme="minorHAnsi"/>
          <w:lang w:eastAsia="pt-BR"/>
        </w:rPr>
        <w:t>21</w:t>
      </w:r>
      <w:r w:rsidRPr="00527B1F">
        <w:rPr>
          <w:rFonts w:eastAsia="Times New Roman" w:cstheme="minorHAnsi"/>
          <w:lang w:eastAsia="pt-BR"/>
        </w:rPr>
        <w:t xml:space="preserve"> (</w:t>
      </w:r>
      <w:r w:rsidR="002E11C0">
        <w:rPr>
          <w:rFonts w:eastAsia="Times New Roman" w:cstheme="minorHAnsi"/>
          <w:lang w:eastAsia="pt-BR"/>
        </w:rPr>
        <w:t>vinte e um)</w:t>
      </w:r>
      <w:r w:rsidRPr="00527B1F">
        <w:rPr>
          <w:rFonts w:eastAsia="Times New Roman" w:cstheme="minorHAnsi"/>
          <w:lang w:eastAsia="pt-BR"/>
        </w:rPr>
        <w:t xml:space="preserve"> dias corridos contados da data da assinatura da mesma pelo representante do município, dar-se-á início a contagem do prazo de execução.</w:t>
      </w:r>
    </w:p>
    <w:p w14:paraId="1F35C9DC"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8.2. Especificações dos serviços e o local de execução dos serviços</w:t>
      </w:r>
    </w:p>
    <w:p w14:paraId="6D8DAFB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8.2.1. O objeto deverá ser executado de acordo com os projetos (desenhos técnicos, memoriais descritivos e especificações), observando os critérios de qualidade técnica que atendam as determinações das normas técnicas do DER/PR, DNIT, ABNT e SINAPI-PR.</w:t>
      </w:r>
    </w:p>
    <w:p w14:paraId="6F9B2BE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8.2.2. Deverão ser utilizados os equipamentos de proteção individual e coletiva apropriados para o tipo de serviço a ser executado, conforme normas de segurança do trabalho.</w:t>
      </w:r>
    </w:p>
    <w:p w14:paraId="2EEFA205" w14:textId="60E5F62D"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8.2.3. O local de execução dos serviços</w:t>
      </w:r>
      <w:r w:rsidR="00BB539D">
        <w:rPr>
          <w:rFonts w:eastAsia="Times New Roman" w:cstheme="minorHAnsi"/>
          <w:lang w:eastAsia="pt-BR"/>
        </w:rPr>
        <w:t>:</w:t>
      </w:r>
    </w:p>
    <w:p w14:paraId="5C522772" w14:textId="2CD7C6B2" w:rsidR="00592867" w:rsidRDefault="00592867" w:rsidP="00D86A2A">
      <w:pPr>
        <w:widowControl w:val="0"/>
        <w:spacing w:after="0"/>
        <w:jc w:val="both"/>
        <w:rPr>
          <w:rFonts w:eastAsia="Times New Roman" w:cstheme="minorHAnsi"/>
          <w:lang w:eastAsia="pt-BR"/>
        </w:rPr>
      </w:pPr>
      <w:r w:rsidRPr="00592867">
        <w:rPr>
          <w:noProof/>
        </w:rPr>
        <w:drawing>
          <wp:inline distT="0" distB="0" distL="0" distR="0" wp14:anchorId="1FA74704" wp14:editId="40D52A11">
            <wp:extent cx="6009836" cy="8105929"/>
            <wp:effectExtent l="0" t="0" r="0" b="0"/>
            <wp:docPr id="4806208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035" cy="8118337"/>
                    </a:xfrm>
                    <a:prstGeom prst="rect">
                      <a:avLst/>
                    </a:prstGeom>
                    <a:noFill/>
                    <a:ln>
                      <a:noFill/>
                    </a:ln>
                  </pic:spPr>
                </pic:pic>
              </a:graphicData>
            </a:graphic>
          </wp:inline>
        </w:drawing>
      </w:r>
    </w:p>
    <w:p w14:paraId="3A276BB7"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8.3. Materiais a serem disponibilizados</w:t>
      </w:r>
    </w:p>
    <w:p w14:paraId="155C136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8.3.1. Para a perfeita execução dos serviços, a Contratada deverá disponibilizar os materiais, equipamentos, ferramentas e utensílios necessários, nas quantidades estimadas e qualidades estabelecidas no Memorial Técnico Descritivo, promovendo sua substituição quando necessário.</w:t>
      </w:r>
    </w:p>
    <w:p w14:paraId="08618B6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8.3.2. Todos os materiais deverão ser novos, de primeira qualidade, com manuais e certificados quando aplicável, em conformidade com as normas DER/PR, DNIT e ABNT aplicáveis, incluindo CAP 50/70 com certificação ANP, emulsões asfálticas, agregados pétreos com certificação de qualidade e ensaios laboratoriais.</w:t>
      </w:r>
    </w:p>
    <w:p w14:paraId="212C8864"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8.4. Especificação da garantia do serviço</w:t>
      </w:r>
    </w:p>
    <w:p w14:paraId="447925B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8.4.1. O prazo de garantia contratual dos serviços é de 5 (cinco) anos para a pavimentação asfáltica, conforme estabelecido no art. 618 do Código Civil e na Lei nº 8.078, de 11 de setembro de 1990 (Código de Defesa do Consumidor), observados os prazos específicos para sistemas de drenagem e sinalização viária.</w:t>
      </w:r>
    </w:p>
    <w:p w14:paraId="76A9B373"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8.5. Procedimentos de transição e finalização do contrato</w:t>
      </w:r>
    </w:p>
    <w:p w14:paraId="67564347"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8.5.1. Procedimentos de transição do contrato serão realizados mediante Termo de Recebimento Provisório emitido pelo Fiscal referente à última medição e a finalização do contrato se dará mediante Termo de Recebimento da Obra emitido pelo Fiscal 30 dias após a emissão do Termo de Recebimento Provisório.</w:t>
      </w:r>
    </w:p>
    <w:p w14:paraId="07009593" w14:textId="77777777" w:rsidR="00D86A2A" w:rsidRDefault="00D86A2A" w:rsidP="00D86A2A">
      <w:pPr>
        <w:widowControl w:val="0"/>
        <w:spacing w:after="0"/>
        <w:jc w:val="both"/>
        <w:rPr>
          <w:rFonts w:eastAsia="Times New Roman" w:cstheme="minorHAnsi"/>
          <w:lang w:eastAsia="pt-BR"/>
        </w:rPr>
      </w:pPr>
    </w:p>
    <w:p w14:paraId="735FE869" w14:textId="2C8814B5"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9. MODELO DE GESTÃO E FISCALIZAÇÃO DO CONTRATO</w:t>
      </w:r>
    </w:p>
    <w:p w14:paraId="4163FA6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 O contrato deverá ser executado fielmente pelas partes, de acordo com as cláusulas avençadas e as normas da Lei nº 14.133, de 2021, e cada parte responderá pelas consequências de sua inexecução total ou parcial.</w:t>
      </w:r>
    </w:p>
    <w:p w14:paraId="33894D5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9.2. Em caso de impedimento, ordem de paralisação ou suspensão do contrato, o cronograma de execução será prorrogado automaticamente pelo tempo correspondente, anotadas tais circunstâncias mediante simples apostila.</w:t>
      </w:r>
    </w:p>
    <w:p w14:paraId="3569680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9.3. As comunicações entre o órgão ou entidade e a contratada devem ser realizadas por escrito sempre que o ato exigir tal formalidade, admitindo-se o uso de mensagem eletrônica para esse fim.</w:t>
      </w:r>
    </w:p>
    <w:p w14:paraId="27C9022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9.4. O órgão ou entidade poderá convocar representante da empresa para adoção de providências que devam ser cumpridas de imediato.</w:t>
      </w:r>
    </w:p>
    <w:p w14:paraId="656466A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C44394"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9.6. Preposto</w:t>
      </w:r>
    </w:p>
    <w:p w14:paraId="1F61763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9.6.1. A Contratada designará formalmente o preposto da empresa, antes do início da prestação dos serviços, indicando no instrumento os poderes e deveres em relação à execução do objeto contratado.</w:t>
      </w:r>
    </w:p>
    <w:p w14:paraId="7900A93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9.6.2. A Contratada deverá manter preposto da empresa no local da execução do objeto durante o período.</w:t>
      </w:r>
    </w:p>
    <w:p w14:paraId="29698F2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9.6.3. A Contratante poderá recusar, desde que justificadamente, a indicação ou a manutenção do preposto da empresa, hipótese em que a Contratada designará outro para o exercício da atividade.</w:t>
      </w:r>
    </w:p>
    <w:p w14:paraId="51A4DC80"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9.7. Do gestor</w:t>
      </w:r>
    </w:p>
    <w:p w14:paraId="3CABE97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 Caberá ao gestor do contrato e, nos seus afastamentos e seus impedimentos legais, ao seu substituto, em especial:</w:t>
      </w:r>
    </w:p>
    <w:p w14:paraId="2A28B20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9.7.2. Coordenar as atividades relacionadas à fiscalização;</w:t>
      </w:r>
    </w:p>
    <w:p w14:paraId="7642A60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9.7.3. Acompanhar os registros realizados pelos fiscais do contrato das ocorrências relacionadas à execução do contrato e as medidas adotadas, e informar à autoridade superior aquelas que ultrapassarem a sua competência;</w:t>
      </w:r>
    </w:p>
    <w:p w14:paraId="75E88BE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9.7.4. Acompanhar a manutenção das condições de habilitação do contratado, para fins de empenho de despesa e de pagamento, e anotar os problemas que obstem o fluxo normal da liquidação e do pagamento da despesa no relatório de riscos eventuais;</w:t>
      </w:r>
    </w:p>
    <w:p w14:paraId="754BCE4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9.7.5.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836080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9.7.6. Coordenar os atos preparatórios à instrução processual e ao envio da documentação pertinente ao Departamento de Compras, Patrimônio e Material para a formalização dos procedimentos de que trata o art. 91 da Lei nº. 14.133, de 2021, no prazo de, no mínimo, 30 (trinta) dias ou em tempo hábil;</w:t>
      </w:r>
    </w:p>
    <w:p w14:paraId="4BE0082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9.7.7. Elaborar o relatório final de que trata a alínea "d" do inciso VI do § 3º do art. 174 da Lei nº 14.133, de 2021, com as informações obtidas durante a execução do contrato, quando cabível;</w:t>
      </w:r>
    </w:p>
    <w:p w14:paraId="6CA6B9B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9.7.8. Coordenar a atualização contínua do relatório de riscos durante a gestão do contrato, com apoio do(s) fiscal(</w:t>
      </w:r>
      <w:proofErr w:type="spellStart"/>
      <w:r w:rsidRPr="00527B1F">
        <w:rPr>
          <w:rFonts w:eastAsia="Times New Roman" w:cstheme="minorHAnsi"/>
          <w:lang w:eastAsia="pt-BR"/>
        </w:rPr>
        <w:t>is</w:t>
      </w:r>
      <w:proofErr w:type="spellEnd"/>
      <w:r w:rsidRPr="00527B1F">
        <w:rPr>
          <w:rFonts w:eastAsia="Times New Roman" w:cstheme="minorHAnsi"/>
          <w:lang w:eastAsia="pt-BR"/>
        </w:rPr>
        <w:t>);</w:t>
      </w:r>
    </w:p>
    <w:p w14:paraId="53301FC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9.7.9. Analisar a documentação que antecede o pagamento;</w:t>
      </w:r>
    </w:p>
    <w:p w14:paraId="78404EB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9.7.10. Analisar os pedidos de reequilíbrio econômico-financeiro do contrato;</w:t>
      </w:r>
    </w:p>
    <w:p w14:paraId="5619980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9.7.11. Analisar eventuais alterações contratuais, após ouvido o fiscal do contrato;</w:t>
      </w:r>
    </w:p>
    <w:p w14:paraId="2EE9353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9.7.12. Realizar o recebimento definitivo do objeto do contrato, mediante termo detalhado que comprove o atendimento das exigências contratuais;</w:t>
      </w:r>
    </w:p>
    <w:p w14:paraId="43AAF9B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9.7.13.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113B861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9.7.14. Responder a solicitações e reclamações relacionadas à execução dos contratos;</w:t>
      </w:r>
    </w:p>
    <w:p w14:paraId="33936C8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9.7.15. Outras atividades compatíveis com a função.</w:t>
      </w:r>
    </w:p>
    <w:p w14:paraId="39B67664"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9.8. Do fiscal de Contrato</w:t>
      </w:r>
    </w:p>
    <w:p w14:paraId="27E8B8E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 O fiscal de contrato é, preferencialmente, o servidor efetivo ou empregado público dos quadros permanentes da Administração Pública designado pela autoridade máxima, ou por quem ela delegar, para acompanhar e fiscalizar a prestação dos serviços, a entrega dos materiais e a execução das obras e serviços de engenharia.</w:t>
      </w:r>
    </w:p>
    <w:p w14:paraId="2609BF2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9.8.2. O fiscal de contrato deve anotar, em registro, próprio todas as ocorrências relacionadas com a execução e determinará o que for necessário à regularização de falhas ou defeitos observados.</w:t>
      </w:r>
    </w:p>
    <w:p w14:paraId="5EF6D0B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9.8.3. A verificação da adequação do cumprimento do contrato deverá ser realizada com base nos critérios previstos na legislação aplicável.</w:t>
      </w:r>
    </w:p>
    <w:p w14:paraId="3DB3153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9.8.4. O fiscal de contrato de obras e serviços de engenharia deverá ter formação nas áreas de engenharia e demais áreas correlatas, sendo que essa figura não se confunde com o fiscal da obra em si, o qual deverá ser engenheiro ou arquiteto com conhecimentos técnicos na área afim de aferir se a quantidade, qualidade, tempo e modo de prestação de serviços são compatíveis com os indicadores de níveis mínimos de desempenho estipulados, podendo ser auxiliado pelo fiscal do contrato.</w:t>
      </w:r>
    </w:p>
    <w:p w14:paraId="1A41B30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9.8.5. O fiscal de contrato terá as seguintes atribuições:</w:t>
      </w:r>
    </w:p>
    <w:p w14:paraId="657ECBE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9.8.6.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C61DA2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9.8.7. Anotar no histórico de gerenciamento do contrato todas as ocorrências relacionadas à execução do contrato, com a descrição do que for necessário para a regularização das faltas ou dos defeitos observados;</w:t>
      </w:r>
    </w:p>
    <w:p w14:paraId="60FBC81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9.8.8. Emitir notificações para a correção de rotinas ou de qualquer inexatidão ou irregularidade constatada, com a definição de prazo para a correção;</w:t>
      </w:r>
    </w:p>
    <w:p w14:paraId="3637E8B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9.8.9. Informar ao gestor do contato, em tempo hábil, a situação que demandar decisão ou adoção de medidas que ultrapassem a sua competência, para que adote as medidas necessárias e saneadoras, se for o caso;</w:t>
      </w:r>
    </w:p>
    <w:p w14:paraId="19E827A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9.8.10. Comunicar imediatamente ao gestor do contrato quaisquer ocorrências que possam inviabilizar a execução do contrato nas datas estabelecidas;</w:t>
      </w:r>
    </w:p>
    <w:p w14:paraId="7A44E8D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9.8.11.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0A6218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9.8.12. Comunicar ao gestor do contrato, em tempo hábil, o término do contrato sob sua responsabilidade, com vistas à renovação tempestiva ou à prorrogação contratual;</w:t>
      </w:r>
    </w:p>
    <w:p w14:paraId="4062122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9.8.13. Atuar tempestivamente na solução de eventuais problemas relacionados ao descumprimento das obrigações contratuais e reportar ao gestor do contrato para que tome as providências cabíveis, quando ultrapassar a sua competência;</w:t>
      </w:r>
    </w:p>
    <w:p w14:paraId="0D5EA27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9.8.14.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028C136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 Caberá ainda ao fiscal do contrato:</w:t>
      </w:r>
    </w:p>
    <w:p w14:paraId="52D09A7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 Esclarecer prontamente as dúvidas administrativas e técnicas e divergências surgidas na execução do objeto contratado;</w:t>
      </w:r>
    </w:p>
    <w:p w14:paraId="27C3082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9.8.15.2. Expedir, através de notificações e/ou relatório de vistoria, as ocorrências e fazer as determinações e comunicações necessárias à perfeita execução dos serviços;</w:t>
      </w:r>
    </w:p>
    <w:p w14:paraId="001D664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9.8.15.3. Proceder, conforme cronograma físico-financeiro, as medições dos serviços executados e aprovar a planilha de medição emitida pela contratada ou conforme disposto em contrato;</w:t>
      </w:r>
    </w:p>
    <w:p w14:paraId="02E8EFD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9.8.15.4. Adotar as medidas preventivas de controle dos contratos, inclusive manifestar-se a respeito da suspensão da entrega de bens, a realização de serviços ou a execução de obras;</w:t>
      </w:r>
    </w:p>
    <w:p w14:paraId="3D46846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9.8.15.5. Conferir e certificar as faturas relativas às aquisições, serviços ou obras;</w:t>
      </w:r>
    </w:p>
    <w:p w14:paraId="5551E4C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9.8.15.6. Proceder as avaliações dos serviços executados pela contratada;</w:t>
      </w:r>
    </w:p>
    <w:p w14:paraId="41C1A45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9.8.15.7. Determinar por todos os meios adequados a observância das normas técnicas e legais, especificações e métodos de execução dos serviços exigíveis para a perfeita execução do objeto;</w:t>
      </w:r>
    </w:p>
    <w:p w14:paraId="3CCB855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9.8.15.8. Exigir o uso correto dos equipamentos de proteção individual e coletiva de segurança do trabalho;</w:t>
      </w:r>
    </w:p>
    <w:p w14:paraId="66C7104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9.8.15.9. Determinar a retirada de qualquer empregado subordinado direta ou indiretamente à contratada, inclusive empregados de eventuais subcontratadas, ou as próprias subcontratadas, que, a seu critério, comprometam o bom andamento dos serviços;</w:t>
      </w:r>
    </w:p>
    <w:p w14:paraId="7DC7698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9.8.15.10. Receber designação e manter contato com o preposto da contratada, e se for necessário, promover reuniões periódicas ou especiais para a resolução de problemas na entrega dos bens ou na execução dos serviços ou das obras;</w:t>
      </w:r>
    </w:p>
    <w:p w14:paraId="66291B3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9.8.15.11. Dar parecer técnico nos pedidos de alterações contratuais;</w:t>
      </w:r>
    </w:p>
    <w:p w14:paraId="5205000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9.8.15.12. Verificar a correta aplicação dos materiais;</w:t>
      </w:r>
    </w:p>
    <w:p w14:paraId="24DF664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9.8.15.13. Requerer das empresas testes, exames e ensaios quando necessários, no sentido de promoção de controle de qualidade da execução das obras e serviços ou dos bens a serem adquiridos;</w:t>
      </w:r>
    </w:p>
    <w:p w14:paraId="2963D28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9.8.15.14. Realizar, na forma do art. 140 da Lei Federal n.º 14.133, de 2021, o recebimento provisório do objeto contratado, quando for o caso;</w:t>
      </w:r>
    </w:p>
    <w:p w14:paraId="758FDD2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9.8.15.15. Propor à autoridade competente a abertura de procedimento administrativo para apuração de responsabilidade;</w:t>
      </w:r>
    </w:p>
    <w:p w14:paraId="2B2515A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9.8.15.16. Anotar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8BBE5A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9.8.15.17. No caso de obras e serviços de engenharia, manter pasta atualizada, com projetos, alvarás, </w:t>
      </w:r>
      <w:proofErr w:type="spellStart"/>
      <w:r w:rsidRPr="00527B1F">
        <w:rPr>
          <w:rFonts w:eastAsia="Times New Roman" w:cstheme="minorHAnsi"/>
          <w:lang w:eastAsia="pt-BR"/>
        </w:rPr>
        <w:t>ART's</w:t>
      </w:r>
      <w:proofErr w:type="spellEnd"/>
      <w:r w:rsidRPr="00527B1F">
        <w:rPr>
          <w:rFonts w:eastAsia="Times New Roman" w:cstheme="minorHAnsi"/>
          <w:lang w:eastAsia="pt-BR"/>
        </w:rPr>
        <w:t xml:space="preserve"> do CREA e/ou </w:t>
      </w:r>
      <w:proofErr w:type="spellStart"/>
      <w:r w:rsidRPr="00527B1F">
        <w:rPr>
          <w:rFonts w:eastAsia="Times New Roman" w:cstheme="minorHAnsi"/>
          <w:lang w:eastAsia="pt-BR"/>
        </w:rPr>
        <w:t>RRT's</w:t>
      </w:r>
      <w:proofErr w:type="spellEnd"/>
      <w:r w:rsidRPr="00527B1F">
        <w:rPr>
          <w:rFonts w:eastAsia="Times New Roman" w:cstheme="minorHAnsi"/>
          <w:lang w:eastAsia="pt-BR"/>
        </w:rPr>
        <w:t xml:space="preserve"> do CAU referente aos projetos de pavimentação e complementares, orçamentos e fiscalização, edital da licitação e respectivo contrato, cronograma físico-financeiro e os demais elementos instrutores;</w:t>
      </w:r>
    </w:p>
    <w:p w14:paraId="6B6636E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9.8.15.18. </w:t>
      </w:r>
      <w:proofErr w:type="spellStart"/>
      <w:r w:rsidRPr="00527B1F">
        <w:rPr>
          <w:rFonts w:eastAsia="Times New Roman" w:cstheme="minorHAnsi"/>
          <w:lang w:eastAsia="pt-BR"/>
        </w:rPr>
        <w:t>Vistar</w:t>
      </w:r>
      <w:proofErr w:type="spellEnd"/>
      <w:r w:rsidRPr="00527B1F">
        <w:rPr>
          <w:rFonts w:eastAsia="Times New Roman" w:cstheme="minorHAnsi"/>
          <w:lang w:eastAsia="pt-BR"/>
        </w:rPr>
        <w:t xml:space="preserve"> o diário de obras, certificando-se de seu correto preenchimento;</w:t>
      </w:r>
    </w:p>
    <w:p w14:paraId="4B54D95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9.8.15.19. Verificar a correta construção do canteiro de obras, inclusive quanto aos aspectos ambientais e de controle tecnológico;</w:t>
      </w:r>
    </w:p>
    <w:p w14:paraId="1123AD7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9.8.15.20. Acompanhar a execução dos ensaios tecnológicos e verificar o cumprimento das especificações técnicas do DER/PR e DNIT;</w:t>
      </w:r>
    </w:p>
    <w:p w14:paraId="20C2583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9.8.15.21. Outras atividades compatíveis com a função.</w:t>
      </w:r>
    </w:p>
    <w:p w14:paraId="5ABE1ED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9.9.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4AB25CD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9.10.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7A1C26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 A execução dos contratos deverá ser acompanhada e fiscalizada por meio de instrumentos de controle, que compreendam a mensuração dos seguintes aspectos, no que couber:</w:t>
      </w:r>
    </w:p>
    <w:p w14:paraId="53AB0E9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9.11.1. Os resultados alcançados em relação à contratada, com a verificação dos prazos de execução e da qualidade demandada;</w:t>
      </w:r>
    </w:p>
    <w:p w14:paraId="645C247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9.11.2. Os recursos humanos empregados, em função da quantidade e da formação profissional exigidas;</w:t>
      </w:r>
    </w:p>
    <w:p w14:paraId="3DEF4F4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9.11.3. A qualidade e quantidade dos recursos materiais utilizados;</w:t>
      </w:r>
    </w:p>
    <w:p w14:paraId="20C2430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9.11.4. A adequação dos serviços prestados à rotina de execução estabelecida;</w:t>
      </w:r>
    </w:p>
    <w:p w14:paraId="5791EEE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9.11.5. O cumprimento das demais obrigações decorrentes do contrato; e</w:t>
      </w:r>
    </w:p>
    <w:p w14:paraId="148811A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9.11.6. A satisfação do público usuário.</w:t>
      </w:r>
    </w:p>
    <w:p w14:paraId="431B054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9.12.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A6FA3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9.13.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66DA065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9.14.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55331DB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9.15. Na fiscalização do cumprimento das obrigações trabalhistas e sociais nas contratações continuadas com dedicação exclusiva dos trabalhadores da contratada, exigir-se-á, dentre outras, as seguintes comprovações:</w:t>
      </w:r>
    </w:p>
    <w:p w14:paraId="2506C51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 No caso de empresas regidas pela Consolidação das Leis Trabalhistas:</w:t>
      </w:r>
    </w:p>
    <w:p w14:paraId="0FC439F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9.16.1. Recolhimento da contribuição previdenciária estabelecida para o empregador e de seus empregados, conforme dispõe o artigo 195, §3º da Constituição Federal, sob pena de rescisão contratual;</w:t>
      </w:r>
    </w:p>
    <w:p w14:paraId="75F038B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9.16.2. Recolhimento do FGTS, referente ao mês anterior;</w:t>
      </w:r>
    </w:p>
    <w:p w14:paraId="1BBD37C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9.16.3. Pagamento de salários no prazo previsto em Lei, referente ao mês anterior;</w:t>
      </w:r>
    </w:p>
    <w:p w14:paraId="451178A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9.16.4. Fornecimento de vale-transporte e auxílio-alimentação, quando cabível;</w:t>
      </w:r>
    </w:p>
    <w:p w14:paraId="4A4F653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9.16.5. Pagamento do 13º salário;</w:t>
      </w:r>
    </w:p>
    <w:p w14:paraId="62EA6C5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9.16.6. Concessão de férias e correspondente pagamento do adicional de férias, na forma da Lei;</w:t>
      </w:r>
    </w:p>
    <w:p w14:paraId="564BD18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9.16.7. Realização de exames admissionais e demissionais e periódicos, quando for o caso;</w:t>
      </w:r>
    </w:p>
    <w:p w14:paraId="35B2D6A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9.16.8. Eventuais cursos de treinamento e reciclagem;</w:t>
      </w:r>
    </w:p>
    <w:p w14:paraId="28E29D7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9.16.9. Encaminhamento das informações trabalhistas exigidas pela legislação, tais como a RAIS e o CAGED;</w:t>
      </w:r>
    </w:p>
    <w:p w14:paraId="18C09AC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9.16.10. Cumprimento das obrigações contidas em convenção coletiva, acordo coletivo ou sentença normativa em dissídio coletivo de trabalho; e</w:t>
      </w:r>
    </w:p>
    <w:p w14:paraId="2FFF94DF"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9.16.11. Cumprimento das demais obrigações dispostas na Consolidação das Leis do Trabalho (CLT) em relação aos empregados vinculados ao contrato.</w:t>
      </w:r>
    </w:p>
    <w:p w14:paraId="3853C799" w14:textId="77777777" w:rsidR="00D86A2A" w:rsidRDefault="00D86A2A" w:rsidP="00D86A2A">
      <w:pPr>
        <w:widowControl w:val="0"/>
        <w:spacing w:after="0"/>
        <w:jc w:val="both"/>
        <w:rPr>
          <w:rFonts w:eastAsia="Times New Roman" w:cstheme="minorHAnsi"/>
          <w:lang w:eastAsia="pt-BR"/>
        </w:rPr>
      </w:pPr>
    </w:p>
    <w:p w14:paraId="7AFF0626" w14:textId="7B8F31D3"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10. CRITÉRIOS DE MEDIÇÃO E PAGAMENTO</w:t>
      </w:r>
    </w:p>
    <w:p w14:paraId="249BE98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10.1. A avaliação da execução do objeto utilizará os critérios de medição conforme disposto a seguir:</w:t>
      </w:r>
    </w:p>
    <w:p w14:paraId="0C5A8E2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 Será indicada a retenção ou glosa no pagamento, proporcional à irregularidade verificada, sem prejuízo das sanções cabíveis, caso se constate que a Contratada:</w:t>
      </w:r>
    </w:p>
    <w:p w14:paraId="090B304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 Não produzir os resultados acordados,</w:t>
      </w:r>
    </w:p>
    <w:p w14:paraId="0D48C92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10.2.2. Deixar de executar, ou não executar com a qualidade mínima exigida as atividades contratadas; ou</w:t>
      </w:r>
    </w:p>
    <w:p w14:paraId="3C5A769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10.2.3. Deixar de utilizar materiais e recursos humanos exigidos para a execução do serviço, ou utilizá-los com qualidade ou quantidade inferior à demandada.</w:t>
      </w:r>
    </w:p>
    <w:p w14:paraId="7584AEB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10.2.4. A utilização dos critérios acima não impede a aplicação concomitante de outros mecanismos para a avaliação da prestação dos serviços.</w:t>
      </w:r>
    </w:p>
    <w:p w14:paraId="7E2F61D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10.2.5. A sistemática de medição e pagamento será associada à execução de etapas do cronograma físico-financeiro vinculadas ao cumprimento de metas de resultado.</w:t>
      </w:r>
    </w:p>
    <w:p w14:paraId="7ACA754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10.2.6. As medições serão efetuadas na data prevista da conclusão das parcelas constantes do cronograma físico financeiro. Para efeito de medição e de faturamento relativo aos serviços executados, deverá ser considerado o cumprimento do avanço das etapas construtivas definidas no cronograma físico financeiro, que será peça integrante do contrato.</w:t>
      </w:r>
    </w:p>
    <w:p w14:paraId="44016FA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10.2.7. As medições da obra ou serviços serão efetuadas a cada 30 (trinta) dias, a contar da data da emissão da ordem de serviço. A Contratada deverá apresentar a planilha de medição compatível com o cronograma físico e financeiro, tendo a Secretaria Municipal de Obras prazo de 10 (dez) dias úteis para análise e conferência da mesma.</w:t>
      </w:r>
    </w:p>
    <w:p w14:paraId="0625D55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10.2.8. A contratada é obrigada a manter o histórico dos serviços executados e condições climáticas para execução dos trabalhos, tais medidas serão observadas através do preenchimento dos diários de obras (conforme modelo disponibilizado em anexo).</w:t>
      </w:r>
    </w:p>
    <w:p w14:paraId="7476BC8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10.2.9. Uma etapa será considerada efetivamente concluída quando os serviços previstos para aquela etapa, no Cronograma Físico-Financeiro, estiverem executados em sua totalidade.</w:t>
      </w:r>
    </w:p>
    <w:p w14:paraId="0A2C6BC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10.2.10. O contratado também apresentará, a cada medição, os documentos comprobatórios da procedência legal dos produtos e subprodutos florestais utilizados naquela etapa da execução contratual, quando for o caso.</w:t>
      </w:r>
    </w:p>
    <w:p w14:paraId="652F833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10.2.11. O recebimento desse documento por parte da municipalidade se dará pela seguinte forma:</w:t>
      </w:r>
    </w:p>
    <w:p w14:paraId="6AC8B6B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10.2.11.1. Os Diários de Obra serão preenchidos pela empresa diariamente, sendo entregues à Secretaria Municipal de Obras, por intermédio do fiscal da obra, mensalmente, junto com a solicitação de cada medição ou sempre que solicitado pela fiscalização.</w:t>
      </w:r>
    </w:p>
    <w:p w14:paraId="31170C2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10.2.11.2. O pagamento será efetuado conforme cronograma físico/financeiro aprovado. Vinculadas as medições, com o Laudo de Liberação.</w:t>
      </w:r>
    </w:p>
    <w:p w14:paraId="5C3A4DD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10.2.12. Será retido 15% (quinze por cento) do valor da última parcela caso tenha necessidade de sanar alguma pendência apontada pela fiscalização;</w:t>
      </w:r>
    </w:p>
    <w:p w14:paraId="43C9463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10.2.13. Vencida a vigência do prazo de execução com atraso, sem justificativa prévia, a última parcela somente será paga após executado 100% dos serviços contratados.</w:t>
      </w:r>
    </w:p>
    <w:p w14:paraId="1B97714B"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10.3. Do recebimento</w:t>
      </w:r>
    </w:p>
    <w:p w14:paraId="1BE1FE6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 Ao final de cada etapa da execução contratual, conforme previsto no Cronograma Físico-Financeiro, o Contratado apresentará a medição prévia dos serviços executados no período, por meio de planilha e memória de cálculo detalhada.</w:t>
      </w:r>
    </w:p>
    <w:p w14:paraId="47E952B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10.3.2. Uma etapa será considerada efetivamente concluída quando os serviços previstos para aquela etapa, no Cronograma Físico-Financeiro, estiverem executados em sua totalidade.</w:t>
      </w:r>
    </w:p>
    <w:p w14:paraId="5D17112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10.3.3. O contratado também apresentará, a cada medição, os documentos comprobatórios da procedência legal dos produtos e subprodutos florestais utilizados naquela etapa da execução contratual, quando for o caso.</w:t>
      </w:r>
    </w:p>
    <w:p w14:paraId="58F98A0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10.3.4. Os serviços serão recebidos provisoriamente, no prazo de 15 (quinze) dias, pelo fiscal, mediante termos detalhados, quando verificado o cumprimento das exigências de caráter técnico e administrativo.</w:t>
      </w:r>
    </w:p>
    <w:p w14:paraId="7831740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10.3.5. O prazo da disposição acima será contado do recebimento de comunicação de cobrança oriunda do contratado com a comprovação da prestação dos serviços a que se referem a parcela a ser paga.</w:t>
      </w:r>
    </w:p>
    <w:p w14:paraId="1C3E0F6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3E2E0C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10.3.7. Será considerado como ocorrido o recebimento provisório com a entrega do termo detalhado ou, em havendo mais de um a ser feito, com a entrega do último.</w:t>
      </w:r>
    </w:p>
    <w:p w14:paraId="01D608C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B1AEBD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10.3.9. A fiscalização não efetuará o ateste da última e/ou única medição de serviços até que sejam sanadas todas as eventuais pendências que possam vir a ser apontadas no Recebimento Provisório. (Art. 119 c/c art. 140 da Lei nº 14133, de 2021).</w:t>
      </w:r>
    </w:p>
    <w:p w14:paraId="22D6907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10.3.10. O recebimento provisório também ficará sujeito, quando cabível, à conclusão de todos os testes de campo e à entrega dos manuais e instruções exigíveis.</w:t>
      </w:r>
    </w:p>
    <w:p w14:paraId="1C72062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10.3.11. Os serviços poderão ser rejeitados, no todo ou em parte, quando em desacordo com as especificações constantes neste Termo de Referência e na proposta, sem prejuízo da aplicação das penalidades.</w:t>
      </w:r>
    </w:p>
    <w:p w14:paraId="5D62252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938F0E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10.3.13. 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387D821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10.3.14. 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41F569F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EEF74A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10.3.16. Emitir Termo Detalhado para efeito de recebimento definitivo dos serviços prestados, com base nos relatórios e documentações apresentadas;</w:t>
      </w:r>
    </w:p>
    <w:p w14:paraId="435C47B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10.3.17. Comunicar a empresa para que emita a Nota Fiscal ou Fatura, com o valor exato dimensionado pela fiscalização.</w:t>
      </w:r>
    </w:p>
    <w:p w14:paraId="4639531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10.3.18. Enviar a documentação pertinente ao setor financeiro para a formalização dos procedimentos de liquidação e pagamento, no valor dimensionado pela fiscalização e gestão.</w:t>
      </w:r>
    </w:p>
    <w:p w14:paraId="20345D2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10.3.19. No caso de controvérsia sobre a execução do objeto, quanto à dimensão, qualidade e quantidade, deverá ser observado o teor do </w:t>
      </w:r>
      <w:hyperlink r:id="rId9" w:anchor="art143" w:history="1">
        <w:r w:rsidRPr="00527B1F">
          <w:rPr>
            <w:rFonts w:eastAsia="Times New Roman" w:cstheme="minorHAnsi"/>
            <w:color w:val="0000FF"/>
            <w:u w:val="single"/>
            <w:lang w:eastAsia="pt-BR"/>
          </w:rPr>
          <w:t>art. 143 da Lei nº 14.133, de 2021</w:t>
        </w:r>
      </w:hyperlink>
      <w:r w:rsidRPr="00527B1F">
        <w:rPr>
          <w:rFonts w:eastAsia="Times New Roman" w:cstheme="minorHAnsi"/>
          <w:lang w:eastAsia="pt-BR"/>
        </w:rPr>
        <w:t>, comunicando-se à empresa para emissão de Nota Fiscal no que pertence à parcela incontroversa da execução do objeto, para efeito de liquidação e pagamento.</w:t>
      </w:r>
    </w:p>
    <w:p w14:paraId="13E5D6C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10.3.20. Nenhum prazo de recebimento ocorrerá enquanto pendente a solução, pelo contratado, de inconsistências verificadas na execução do objeto ou no instrumento de cobrança.</w:t>
      </w:r>
    </w:p>
    <w:p w14:paraId="736CE8E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10.3.21. O recebimento provisório ou definitivo não excluirá a responsabilidade civil pela solidez e pela segurança do serviço nem a responsabilidade ético-profissional pela perfeita execução do contrato.</w:t>
      </w:r>
    </w:p>
    <w:p w14:paraId="342EEB1D"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10.4. Liquidação</w:t>
      </w:r>
    </w:p>
    <w:p w14:paraId="06FE764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10.4.1. Recebida a Nota Fiscal ou documento de cobrança equivalente, correrá o prazo de dez dias úteis para fins de liquidação, na forma desta seção, prorrogáveis por igual período.</w:t>
      </w:r>
    </w:p>
    <w:p w14:paraId="6B0B505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 Para fins de liquidação, o setor competente deve verificar se a Nota Fiscal ou Fatura apresentada expressa os elementos necessários e essenciais do documento, tais como:</w:t>
      </w:r>
    </w:p>
    <w:p w14:paraId="2C16D4D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10.4.2.1. o prazo de validade;</w:t>
      </w:r>
    </w:p>
    <w:p w14:paraId="02EFA92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10.4.2.2. a data da emissão;</w:t>
      </w:r>
    </w:p>
    <w:p w14:paraId="3F38F25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10.4.2.3. os dados do contrato e do órgão contratante;</w:t>
      </w:r>
    </w:p>
    <w:p w14:paraId="06B6D8A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10.4.2.4. o período respectivo de execução do contrato;</w:t>
      </w:r>
    </w:p>
    <w:p w14:paraId="2FA1E9E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10.4.2.5. o valor a pagar; e</w:t>
      </w:r>
    </w:p>
    <w:p w14:paraId="719783C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10.4.2.6. eventual destaque do valor de retenções tributárias cabíveis.</w:t>
      </w:r>
    </w:p>
    <w:p w14:paraId="5CA77E5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A61AE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10.4.4. A Nota Fiscal ou Fatura deverá ser obrigatoriamente acompanhada da comprovação da regularidade fiscal, constatada por meio de consulta </w:t>
      </w:r>
      <w:r w:rsidRPr="00527B1F">
        <w:rPr>
          <w:rFonts w:eastAsia="Times New Roman" w:cstheme="minorHAnsi"/>
          <w:i/>
          <w:iCs/>
          <w:lang w:eastAsia="pt-BR"/>
        </w:rPr>
        <w:t>on-line</w:t>
      </w:r>
      <w:r w:rsidRPr="00527B1F">
        <w:rPr>
          <w:rFonts w:eastAsia="Times New Roman" w:cstheme="minorHAnsi"/>
          <w:lang w:eastAsia="pt-BR"/>
        </w:rPr>
        <w:t xml:space="preserve"> ao SICAF ou, na impossibilidade de acesso ao referido Sistema, mediante consulta aos sítios eletrônicos oficiais ou à documentação mencionada no art. 68 da Lei nº 14.133/2021.</w:t>
      </w:r>
    </w:p>
    <w:p w14:paraId="1F64021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10.4.5.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AB0055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C9B92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ED162F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10.4.8. Persistindo a irregularidade, o contratante deverá adotar as medidas necessárias à rescisão contratual nos autos do processo administrativo correspondente, assegurada ao contratado a ampla defesa.</w:t>
      </w:r>
    </w:p>
    <w:p w14:paraId="31CD737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10.4.9. Havendo a efetiva execução do objeto, os pagamentos serão realizados normalmente, até que se decida pela rescisão do contrato, caso o contratado não regularize sua situação junto ao SICAF.</w:t>
      </w:r>
    </w:p>
    <w:p w14:paraId="31D48E9A"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10.5. Prazo de pagamento</w:t>
      </w:r>
    </w:p>
    <w:p w14:paraId="426F7E0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10.5.1. O pagamento será efetuado no prazo máximo de até dez dias úteis, contados da finalização da liquidação da despesa, conforme seção anterior.</w:t>
      </w:r>
    </w:p>
    <w:p w14:paraId="4A4231A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10.5.2. No caso de atraso pelo Contratante, os valores devidos ao contratado serão atualizados monetariamente entre o termo final do prazo de pagamento até a data de sua efetiva realização, mediante aplicação do Índice Nacional de Custo da Construção -- M (INCC-M) de correção monetária.</w:t>
      </w:r>
    </w:p>
    <w:p w14:paraId="6877911B"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10.6. Forma de pagamento</w:t>
      </w:r>
    </w:p>
    <w:p w14:paraId="4E06B6E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10.6.1. O pagamento será realizado através de ordem bancária, para crédito em banco, agência e conta corrente indicados pelo contratado.</w:t>
      </w:r>
    </w:p>
    <w:p w14:paraId="72A3FD6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10.6.2. Será considerada data do pagamento o dia em que constar como emitida a ordem bancária para pagamento.</w:t>
      </w:r>
    </w:p>
    <w:p w14:paraId="183C724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10.6.3. Quando do pagamento, será efetuada a retenção tributária prevista na legislação aplicável.</w:t>
      </w:r>
    </w:p>
    <w:p w14:paraId="61F96B0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10.6.3.1. Independentemente do percentual de tributo inserido na planilha, quando houver, serão retidos na fonte, quando da realização do pagamento, os percentuais estabelecidos na legislação vigente.</w:t>
      </w:r>
    </w:p>
    <w:p w14:paraId="388CE0B0"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10.6.4.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94894C" w14:textId="3F777632"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11. DAS RETENÇÕES FISCAIS</w:t>
      </w:r>
    </w:p>
    <w:p w14:paraId="5063D56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11.1.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20FF352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11.2. Será aplicado a alíquota para retenção, conforme prevista na IN RFB nº. 1234/2012, e atualizações posteriores, editada nos termos do artigo 64 da Lei Federal nº. 9.430/96, aplicado por extensão aos pagamentos realizados por esta Municipalidade.</w:t>
      </w:r>
    </w:p>
    <w:p w14:paraId="79A7C7E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11.3. As hipóteses de retenção do IR na fonte e deduções na base de cálculo deverão ser informados nos documentos fiscais, bem como as hipóteses de dispensa de retenção, nos termos da IN RFB nº. 1234/2012.</w:t>
      </w:r>
    </w:p>
    <w:p w14:paraId="34ABD5FC"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11.4. As retenções serão realizadas no momento do pagamento dos valores decorrentes da prestação dos serviços contratados/fornecimento dos bens contratados, uma vez atestados e liquidados, mediante recolhimento.</w:t>
      </w:r>
    </w:p>
    <w:p w14:paraId="3F3CF6E5" w14:textId="64FE3075"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12. FORMA E CRITÉRIOS DE SELEÇÃO DO FORNECEDOR E REGIME DE EXECUÇÃO</w:t>
      </w:r>
    </w:p>
    <w:p w14:paraId="20D87A92" w14:textId="77777777" w:rsidR="00527B1F" w:rsidRDefault="00527B1F" w:rsidP="00D86A2A">
      <w:pPr>
        <w:widowControl w:val="0"/>
        <w:spacing w:after="0"/>
        <w:jc w:val="both"/>
        <w:rPr>
          <w:rFonts w:eastAsia="Times New Roman" w:cstheme="minorHAnsi"/>
          <w:b/>
          <w:bCs/>
          <w:lang w:eastAsia="pt-BR"/>
        </w:rPr>
      </w:pPr>
      <w:r w:rsidRPr="00527B1F">
        <w:rPr>
          <w:rFonts w:eastAsia="Times New Roman" w:cstheme="minorHAnsi"/>
          <w:lang w:eastAsia="pt-BR"/>
        </w:rPr>
        <w:t xml:space="preserve">12.1. A Contratada será selecionada por meio da realização de procedimento de </w:t>
      </w:r>
      <w:r w:rsidRPr="00527B1F">
        <w:rPr>
          <w:rFonts w:eastAsia="Times New Roman" w:cstheme="minorHAnsi"/>
          <w:b/>
          <w:bCs/>
          <w:lang w:eastAsia="pt-BR"/>
        </w:rPr>
        <w:t>LICITAÇÃO</w:t>
      </w:r>
      <w:r w:rsidRPr="00527B1F">
        <w:rPr>
          <w:rFonts w:eastAsia="Times New Roman" w:cstheme="minorHAnsi"/>
          <w:lang w:eastAsia="pt-BR"/>
        </w:rPr>
        <w:t xml:space="preserve">, na modalidade </w:t>
      </w:r>
      <w:r w:rsidRPr="00527B1F">
        <w:rPr>
          <w:rFonts w:eastAsia="Times New Roman" w:cstheme="minorHAnsi"/>
          <w:b/>
          <w:bCs/>
          <w:lang w:eastAsia="pt-BR"/>
        </w:rPr>
        <w:t>CONCORRÊNCIA</w:t>
      </w:r>
      <w:r w:rsidRPr="00527B1F">
        <w:rPr>
          <w:rFonts w:eastAsia="Times New Roman" w:cstheme="minorHAnsi"/>
          <w:lang w:eastAsia="pt-BR"/>
        </w:rPr>
        <w:t xml:space="preserve">, sob a forma </w:t>
      </w:r>
      <w:r w:rsidRPr="00527B1F">
        <w:rPr>
          <w:rFonts w:eastAsia="Times New Roman" w:cstheme="minorHAnsi"/>
          <w:b/>
          <w:bCs/>
          <w:lang w:eastAsia="pt-BR"/>
        </w:rPr>
        <w:t>PRESENCIAL</w:t>
      </w:r>
      <w:r w:rsidRPr="00527B1F">
        <w:rPr>
          <w:rFonts w:eastAsia="Times New Roman" w:cstheme="minorHAnsi"/>
          <w:lang w:eastAsia="pt-BR"/>
        </w:rPr>
        <w:t xml:space="preserve">, com adoção do critério de julgamento pelo </w:t>
      </w:r>
      <w:r w:rsidRPr="00527B1F">
        <w:rPr>
          <w:rFonts w:eastAsia="Times New Roman" w:cstheme="minorHAnsi"/>
          <w:b/>
          <w:bCs/>
          <w:lang w:eastAsia="pt-BR"/>
        </w:rPr>
        <w:t>MENOR PREÇO GLOBAL</w:t>
      </w:r>
      <w:r w:rsidRPr="00527B1F">
        <w:rPr>
          <w:rFonts w:eastAsia="Times New Roman" w:cstheme="minorHAnsi"/>
          <w:lang w:eastAsia="pt-BR"/>
        </w:rPr>
        <w:t xml:space="preserve">, no modo de disputa </w:t>
      </w:r>
      <w:r w:rsidRPr="00527B1F">
        <w:rPr>
          <w:rFonts w:eastAsia="Times New Roman" w:cstheme="minorHAnsi"/>
          <w:b/>
          <w:bCs/>
          <w:lang w:eastAsia="pt-BR"/>
        </w:rPr>
        <w:t>ABERTO</w:t>
      </w:r>
      <w:r w:rsidRPr="00527B1F">
        <w:rPr>
          <w:rFonts w:eastAsia="Times New Roman" w:cstheme="minorHAnsi"/>
          <w:lang w:eastAsia="pt-BR"/>
        </w:rPr>
        <w:t xml:space="preserve">, sob a execução pelo regime de </w:t>
      </w:r>
      <w:r w:rsidRPr="00527B1F">
        <w:rPr>
          <w:rFonts w:eastAsia="Times New Roman" w:cstheme="minorHAnsi"/>
          <w:b/>
          <w:bCs/>
          <w:lang w:eastAsia="pt-BR"/>
        </w:rPr>
        <w:t>EMPREITADA POR PREÇO GLOBAL.</w:t>
      </w:r>
    </w:p>
    <w:p w14:paraId="72E50E93" w14:textId="77777777" w:rsidR="000C0B4B" w:rsidRPr="006C49F9" w:rsidRDefault="000C0B4B" w:rsidP="00D86A2A">
      <w:pPr>
        <w:widowControl w:val="0"/>
        <w:autoSpaceDN w:val="0"/>
        <w:spacing w:after="0" w:line="240" w:lineRule="auto"/>
        <w:jc w:val="both"/>
        <w:textAlignment w:val="baseline"/>
        <w:rPr>
          <w:rFonts w:cstheme="minorHAnsi"/>
        </w:rPr>
      </w:pPr>
      <w:r w:rsidRPr="006C49F9">
        <w:rPr>
          <w:rFonts w:cstheme="minorHAnsi"/>
        </w:rPr>
        <w:t xml:space="preserve">A proposta a ser apresentada pelo licitante, deverá oferecer um percentual de desconto uniforme sobre todos os itens ou serviços previstos no edital. A adoção do método de </w:t>
      </w:r>
      <w:r w:rsidRPr="006C49F9">
        <w:rPr>
          <w:rFonts w:cstheme="minorHAnsi"/>
          <w:b/>
          <w:bCs/>
        </w:rPr>
        <w:t>desconto linear adotado pela municipalidade</w:t>
      </w:r>
      <w:r w:rsidRPr="006C49F9">
        <w:rPr>
          <w:rFonts w:cstheme="minorHAnsi"/>
        </w:rPr>
        <w:t xml:space="preserve"> visa buscar garantir que o abatimento seja aplicado de forma equilibrada em toda a planilha orçamentária, evitando distorções com descontos excessivos em alguns itens e irrelevantes em outros, reduzindo o risco de superfaturamento em itens específicos.</w:t>
      </w:r>
    </w:p>
    <w:p w14:paraId="2BE3028A"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12.2. Exigências de habilitação</w:t>
      </w:r>
    </w:p>
    <w:p w14:paraId="3EE5374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12.2.1.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A85B19F"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12.2.2. Serão ainda aceitos registros de CNPJ de licitante matriz e filial com diferenças de números de documentos pertinentes ao CND e ao CRF/FGTS, quando for comprovada a centralização do recolhimento dessas contribuições.</w:t>
      </w:r>
    </w:p>
    <w:p w14:paraId="75FC0803"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12.3. Documentos de habilitação jurídica</w:t>
      </w:r>
    </w:p>
    <w:p w14:paraId="60CC409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12.3.1. Registro comercial, no caso de empresa individual.</w:t>
      </w:r>
    </w:p>
    <w:p w14:paraId="16D7CC0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12.3.2.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FBB388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12.3.3. Inscrição do ato constitutivo, no caso de sociedades civis, acompanhada de ato formal de designação de diretoria em exercício.</w:t>
      </w:r>
    </w:p>
    <w:p w14:paraId="7C757DC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12.3.4. Decreto de autorização, em se tratando de empresa ou sociedade estrangeira em funcionamento no País.</w:t>
      </w:r>
    </w:p>
    <w:p w14:paraId="4266D4D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12.3.5. Procuração do representante do licitante no pregão, se for o caso.</w:t>
      </w:r>
    </w:p>
    <w:p w14:paraId="7E003A0E"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12.3.6. Os documentos acima deverão estar acompanhados de todas as alterações ou da consolidação respectiva.</w:t>
      </w:r>
    </w:p>
    <w:p w14:paraId="69C03840"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12.4. Documentos de habilitação fiscal, social e trabalhista</w:t>
      </w:r>
    </w:p>
    <w:p w14:paraId="0E3AD12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12.4.1. Cadastro Nacional de Pessoas Jurídicas (CNPJ);</w:t>
      </w:r>
    </w:p>
    <w:p w14:paraId="0177BB1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12.4.2. A inscrição no cadastro de contribuintes estadual e/ou municipal, se houver, relativo ao domicílio ou sede do licitante, pertinente ao ramo de atividade e compatível com o objeto contratual;</w:t>
      </w:r>
    </w:p>
    <w:p w14:paraId="6950171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12.4.3. Certificado de regularidade do FGTS, emitido pela Caixa Econômica Federal;</w:t>
      </w:r>
    </w:p>
    <w:p w14:paraId="4093F6F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12.4.4. Certidões de regularidade com a Fazenda Federal (Certidão Conjunta de Débitos relativos a Tributos Federais e à Dívida Ativa da União e Certidão relativa a Contribuições Previdenciárias); Fazenda Estadual e Fazenda Municipal;</w:t>
      </w:r>
    </w:p>
    <w:p w14:paraId="0775A2C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12.4.5. Certidão Negativa de Débitos Trabalhistas (CNDT), instituída pela Lei Federal n.º 12.440/2011;</w:t>
      </w:r>
    </w:p>
    <w:p w14:paraId="46F30968"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12.4.6. 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w:t>
      </w:r>
    </w:p>
    <w:p w14:paraId="74BCB571"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12.5. Documentos de habilitação econômico-financeira</w:t>
      </w:r>
    </w:p>
    <w:p w14:paraId="0689A80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12.5.1. Balanço patrimonial, demonstração de resultado de exercício e demais demonstrações contábeis dos 2 (dois) últimos exercícios sociais, comprovando:</w:t>
      </w:r>
    </w:p>
    <w:p w14:paraId="69FF4D9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12.5.1.1. índices de Liquidez Geral (LG), Liquidez Corrente (LC), e Solvência Geral (SG) superiores a 1 (um);</w:t>
      </w:r>
    </w:p>
    <w:p w14:paraId="02504CD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12.5.2. As demonstrações contábeis para cumprimento do item acima são:</w:t>
      </w:r>
    </w:p>
    <w:p w14:paraId="5D9F687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12.5.2.1. Demonstração de Resultado do Exercício dos 02 (dois) últimos exercícios sociais;</w:t>
      </w:r>
    </w:p>
    <w:p w14:paraId="4777206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12.5.2.2. Demonstração de Lucros ou Prejuízos Acumulados dos 02 (dois) últimos exercícios sociais;</w:t>
      </w:r>
    </w:p>
    <w:p w14:paraId="40220BD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12.5.2.3. Demonstração de Fluxo de Caixa dos 02 (dois) últimos exercícios sociais;</w:t>
      </w:r>
    </w:p>
    <w:p w14:paraId="752D38C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12.5.2.4. Demonstração de Valor Adicionado dos 02 (dois) últimos exercícios sociais;</w:t>
      </w:r>
    </w:p>
    <w:p w14:paraId="62E920C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12.5.2.5. Notas Explicativas dos 02 (dois) últimos exercícios sociais;</w:t>
      </w:r>
    </w:p>
    <w:p w14:paraId="249B92D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12.5.3. Os documentos exigidos nos itens acima serão limitados ao último exercício no caso de a pessoa jurídica ter sido constituída há menos de 2 (dois) anos.</w:t>
      </w:r>
    </w:p>
    <w:p w14:paraId="7F5E0BF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12.5.4. As empresas criadas no exercício financeiro da licitação deverão atender a todas as exigências da habilitação e ficarão autorizadas a substituir os demonstrativos contábeis pelo balanço de abertura.</w:t>
      </w:r>
    </w:p>
    <w:p w14:paraId="55FCE65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12.5.5. O atendimento dos índices econômicos interpostos no item 12.5.1.1. deverão ser atestados mediante declaração assinada por profissional habilitado da área contábil, apresentada pelo fornecedor.</w:t>
      </w:r>
    </w:p>
    <w:p w14:paraId="621E07C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12.5.6. 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351C30A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12.5.7. A documentação exigida nos itens acima poderá ser dispensada, total ou parcialmente quando for entrega imediata (até 30 dias após a ordem de compra) ou nas contratações em valores inferiores a ¼ (um quarto) do limite para dispensa de licitação para compras em geral (vide DECRETO Nº 11.871, DE 29 de dezembro de 2023).</w:t>
      </w:r>
    </w:p>
    <w:p w14:paraId="15838A0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12.5.8. Para Microempreendedor Individual (MEI) a documentação dos itens acima será dispensada.</w:t>
      </w:r>
    </w:p>
    <w:p w14:paraId="7253F993"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12.5.9. Certidão negativa de falência expedida pelo distribuidor da sede do fornecedor, emitida </w:t>
      </w:r>
      <w:r w:rsidRPr="00527B1F">
        <w:rPr>
          <w:rFonts w:eastAsia="Times New Roman" w:cstheme="minorHAnsi"/>
          <w:b/>
          <w:bCs/>
          <w:lang w:eastAsia="pt-BR"/>
        </w:rPr>
        <w:t>há menos de 90 (noventa) dias</w:t>
      </w:r>
      <w:r w:rsidRPr="00527B1F">
        <w:rPr>
          <w:rFonts w:eastAsia="Times New Roman" w:cstheme="minorHAnsi"/>
          <w:lang w:eastAsia="pt-BR"/>
        </w:rPr>
        <w:t xml:space="preserve"> da data marcada para o certame, caso o documento não possua data de validade.</w:t>
      </w:r>
    </w:p>
    <w:p w14:paraId="1A9A68FA"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12.6. Documento de habilitação técnica</w:t>
      </w:r>
    </w:p>
    <w:p w14:paraId="30B9F9F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12.6.1. Prova de registro da empresa no Conselho Regional de Engenharia e Agronomia -- CREA, ou Conselho de Arquitetura e Urbanismo -- CAU, em vigor.</w:t>
      </w:r>
    </w:p>
    <w:p w14:paraId="69B6521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12.6.2. Prova de registro do profissional responsável técnico, no Conselho Regional de Engenharia e Agronomia -- CREA, ou Conselho de Arquitetura e Urbanismo -- CAU, em vigor.</w:t>
      </w:r>
    </w:p>
    <w:p w14:paraId="1278176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12.6.3. 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24264BC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12.6.4. Atestado ou declaração de capacidade técnico-operacional, em nome da proponente, expedido por pessoa jurídica de direito público ou privado, de execução de no mínimo 01 (uma) obra de pavimentação asfáltica em CBUQ com características e porte compatíveis ou superiores ao objeto deste edital, contendo ao menos os serviços descritos na tabela abaixo:</w:t>
      </w:r>
    </w:p>
    <w:tbl>
      <w:tblPr>
        <w:tblStyle w:val="Tabelacomgrade"/>
        <w:tblW w:w="0" w:type="auto"/>
        <w:jc w:val="center"/>
        <w:tblLook w:val="04A0" w:firstRow="1" w:lastRow="0" w:firstColumn="1" w:lastColumn="0" w:noHBand="0" w:noVBand="1"/>
      </w:tblPr>
      <w:tblGrid>
        <w:gridCol w:w="8612"/>
      </w:tblGrid>
      <w:tr w:rsidR="00527B1F" w:rsidRPr="00527B1F" w14:paraId="5BD7BDD2" w14:textId="77777777" w:rsidTr="00D86A2A">
        <w:trPr>
          <w:jc w:val="center"/>
        </w:trPr>
        <w:tc>
          <w:tcPr>
            <w:tcW w:w="8612" w:type="dxa"/>
            <w:hideMark/>
          </w:tcPr>
          <w:p w14:paraId="6C358261" w14:textId="77777777" w:rsidR="00527B1F" w:rsidRPr="00527B1F" w:rsidRDefault="00527B1F" w:rsidP="00D86A2A">
            <w:pPr>
              <w:widowControl w:val="0"/>
              <w:spacing w:line="276" w:lineRule="auto"/>
              <w:jc w:val="center"/>
              <w:rPr>
                <w:rFonts w:eastAsia="Times New Roman" w:cstheme="minorHAnsi"/>
                <w:b/>
                <w:bCs/>
                <w:lang w:eastAsia="pt-BR"/>
              </w:rPr>
            </w:pPr>
            <w:r w:rsidRPr="00527B1F">
              <w:rPr>
                <w:rFonts w:eastAsia="Times New Roman" w:cstheme="minorHAnsi"/>
                <w:b/>
                <w:bCs/>
                <w:lang w:eastAsia="pt-BR"/>
              </w:rPr>
              <w:t>DESCRIÇÃO DOS SERVIÇOS</w:t>
            </w:r>
          </w:p>
        </w:tc>
      </w:tr>
      <w:tr w:rsidR="00527B1F" w:rsidRPr="00527B1F" w14:paraId="753567CB" w14:textId="77777777" w:rsidTr="00D86A2A">
        <w:trPr>
          <w:jc w:val="center"/>
        </w:trPr>
        <w:tc>
          <w:tcPr>
            <w:tcW w:w="8612" w:type="dxa"/>
            <w:hideMark/>
          </w:tcPr>
          <w:p w14:paraId="7E9A016B" w14:textId="1F014C67" w:rsidR="00527B1F" w:rsidRPr="00527B1F" w:rsidRDefault="00527B1F" w:rsidP="00D86A2A">
            <w:pPr>
              <w:widowControl w:val="0"/>
              <w:spacing w:line="276" w:lineRule="auto"/>
              <w:jc w:val="center"/>
              <w:rPr>
                <w:rFonts w:eastAsia="Times New Roman" w:cstheme="minorHAnsi"/>
                <w:lang w:eastAsia="pt-BR"/>
              </w:rPr>
            </w:pPr>
            <w:r w:rsidRPr="00527B1F">
              <w:rPr>
                <w:rFonts w:eastAsia="Times New Roman" w:cstheme="minorHAnsi"/>
                <w:lang w:eastAsia="pt-BR"/>
              </w:rPr>
              <w:t xml:space="preserve">Execução de pavimentação asfáltica em CBUQ com no mínimo </w:t>
            </w:r>
            <w:r w:rsidR="00B8477B">
              <w:rPr>
                <w:rFonts w:eastAsia="Times New Roman" w:cstheme="minorHAnsi"/>
                <w:lang w:eastAsia="pt-BR"/>
              </w:rPr>
              <w:t>15.944,18</w:t>
            </w:r>
            <w:r w:rsidRPr="00527B1F">
              <w:rPr>
                <w:rFonts w:eastAsia="Times New Roman" w:cstheme="minorHAnsi"/>
                <w:lang w:eastAsia="pt-BR"/>
              </w:rPr>
              <w:t xml:space="preserve"> m² </w:t>
            </w:r>
            <w:r w:rsidR="00A42565">
              <w:rPr>
                <w:rFonts w:eastAsia="Times New Roman" w:cstheme="minorHAnsi"/>
                <w:lang w:eastAsia="pt-BR"/>
              </w:rPr>
              <w:t>(</w:t>
            </w:r>
            <w:r w:rsidR="00B8477B">
              <w:rPr>
                <w:rFonts w:eastAsia="Times New Roman" w:cstheme="minorHAnsi"/>
                <w:lang w:eastAsia="pt-BR"/>
              </w:rPr>
              <w:t>quinze mil novecentos e quarenta e quatro reais e dezoito centavos</w:t>
            </w:r>
            <w:r w:rsidR="00C32C4E">
              <w:rPr>
                <w:rFonts w:eastAsia="Times New Roman" w:cstheme="minorHAnsi"/>
                <w:lang w:eastAsia="pt-BR"/>
              </w:rPr>
              <w:t>)</w:t>
            </w:r>
          </w:p>
        </w:tc>
      </w:tr>
      <w:tr w:rsidR="00C32C4E" w:rsidRPr="00527B1F" w14:paraId="3D3CEE13" w14:textId="77777777" w:rsidTr="00D86A2A">
        <w:trPr>
          <w:jc w:val="center"/>
        </w:trPr>
        <w:tc>
          <w:tcPr>
            <w:tcW w:w="8612" w:type="dxa"/>
          </w:tcPr>
          <w:p w14:paraId="761FCE5E" w14:textId="79DF89E5" w:rsidR="00C32C4E" w:rsidRPr="00527B1F" w:rsidRDefault="002C45BF" w:rsidP="00D86A2A">
            <w:pPr>
              <w:widowControl w:val="0"/>
              <w:jc w:val="center"/>
              <w:rPr>
                <w:rFonts w:eastAsia="Times New Roman" w:cstheme="minorHAnsi"/>
                <w:lang w:eastAsia="pt-BR"/>
              </w:rPr>
            </w:pPr>
            <w:r w:rsidRPr="00217B96">
              <w:rPr>
                <w:rFonts w:ascii="Calibri Light" w:eastAsia="Times New Roman" w:hAnsi="Calibri Light" w:cs="Calibri Light"/>
                <w:bCs/>
                <w:sz w:val="24"/>
                <w:szCs w:val="24"/>
                <w:lang w:eastAsia="pt-BR"/>
              </w:rPr>
              <w:t>Será admitida a soma de atestados para atender a quantidade mínima exigida.</w:t>
            </w:r>
          </w:p>
        </w:tc>
      </w:tr>
    </w:tbl>
    <w:p w14:paraId="1CDBD5C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12.6.5. Atestado ou declaração de capacidade técnico-profissional, fornecido por pessoa jurídica de direito público ou privado, em nome do responsável técnico indicado pela proponente, relativo à execução de no mínimo os serviços de complexidade tecnológica e operacional de características semelhantes ou superiores ao objeto licitado, contendo ao menos os serviços descritos na tabela acima.</w:t>
      </w:r>
    </w:p>
    <w:p w14:paraId="38A3FC1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12.6.5.1. Os atestados ou declarações do responsável técnico indicado, deverão ser comprovados através de Certidão de Acervo Técnico com atestado, emitida pelo CREA ou CAU.</w:t>
      </w:r>
    </w:p>
    <w:p w14:paraId="060AFA4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12.6.6. Para atendimento de ambos os atestados acima descritos, não é necessário constarem no mesmo documento, podendo serem comprovados em atestados distintos.</w:t>
      </w:r>
    </w:p>
    <w:p w14:paraId="6E30ACF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12.6.7. 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5C696A6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12.6.8. 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532310D6"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12.6.9. É vedado, sob pena de inabilitação, a indicação de um mesmo responsável técnico por mais de uma proponente.</w:t>
      </w:r>
    </w:p>
    <w:p w14:paraId="4A0695E2" w14:textId="1A977B55" w:rsidR="007711F1" w:rsidRPr="00214EC7" w:rsidRDefault="007711F1" w:rsidP="00D86A2A">
      <w:pPr>
        <w:widowControl w:val="0"/>
        <w:spacing w:after="0"/>
        <w:jc w:val="both"/>
        <w:rPr>
          <w:rFonts w:eastAsia="Times New Roman" w:cstheme="minorHAnsi"/>
          <w:b/>
          <w:bCs/>
          <w:lang w:eastAsia="pt-BR"/>
        </w:rPr>
      </w:pPr>
      <w:r>
        <w:rPr>
          <w:rFonts w:eastAsia="Times New Roman" w:cstheme="minorHAnsi"/>
          <w:b/>
          <w:bCs/>
          <w:lang w:eastAsia="pt-BR"/>
        </w:rPr>
        <w:t xml:space="preserve">12.7. </w:t>
      </w:r>
      <w:r w:rsidRPr="00214EC7">
        <w:rPr>
          <w:rFonts w:eastAsia="Times New Roman" w:cstheme="minorHAnsi"/>
          <w:b/>
          <w:bCs/>
          <w:lang w:eastAsia="pt-BR"/>
        </w:rPr>
        <w:t>Licenciamentos Ambientais:</w:t>
      </w:r>
    </w:p>
    <w:p w14:paraId="79B0C8C1" w14:textId="38E71301" w:rsidR="007711F1" w:rsidRPr="00214EC7" w:rsidRDefault="007711F1" w:rsidP="00D86A2A">
      <w:pPr>
        <w:widowControl w:val="0"/>
        <w:spacing w:after="0"/>
        <w:jc w:val="both"/>
        <w:rPr>
          <w:rFonts w:eastAsia="Times New Roman" w:cstheme="minorHAnsi"/>
          <w:lang w:eastAsia="pt-BR"/>
        </w:rPr>
      </w:pPr>
      <w:r w:rsidRPr="00214EC7">
        <w:rPr>
          <w:rFonts w:eastAsia="Times New Roman" w:cstheme="minorHAnsi"/>
          <w:lang w:eastAsia="pt-BR"/>
        </w:rPr>
        <w:t>12.</w:t>
      </w:r>
      <w:r>
        <w:rPr>
          <w:rFonts w:eastAsia="Times New Roman" w:cstheme="minorHAnsi"/>
          <w:lang w:eastAsia="pt-BR"/>
        </w:rPr>
        <w:t>7</w:t>
      </w:r>
      <w:r w:rsidRPr="00214EC7">
        <w:rPr>
          <w:rFonts w:eastAsia="Times New Roman" w:cstheme="minorHAnsi"/>
          <w:lang w:eastAsia="pt-BR"/>
        </w:rPr>
        <w:t>.1. Deverá ser apresentada, Licença Ambiental válida (Licença de Operação – LO) da pedreira fornecedora de agregados, emitida pelo Instituto Água e Terra (IAT), podendo ser própria ou de terceiros, desde que apresentada a devida comprovação de vínculo contratual.</w:t>
      </w:r>
    </w:p>
    <w:p w14:paraId="0E128329" w14:textId="38D5CC0A" w:rsidR="007711F1" w:rsidRPr="00214EC7" w:rsidRDefault="007711F1" w:rsidP="00D86A2A">
      <w:pPr>
        <w:widowControl w:val="0"/>
        <w:spacing w:after="0"/>
        <w:jc w:val="both"/>
        <w:rPr>
          <w:rFonts w:eastAsia="Times New Roman" w:cstheme="minorHAnsi"/>
          <w:lang w:eastAsia="pt-BR"/>
        </w:rPr>
      </w:pPr>
      <w:r w:rsidRPr="00214EC7">
        <w:rPr>
          <w:rFonts w:eastAsia="Times New Roman" w:cstheme="minorHAnsi"/>
          <w:lang w:eastAsia="pt-BR"/>
        </w:rPr>
        <w:t>1</w:t>
      </w:r>
      <w:r w:rsidR="00EA1CC5">
        <w:rPr>
          <w:rFonts w:eastAsia="Times New Roman" w:cstheme="minorHAnsi"/>
          <w:lang w:eastAsia="pt-BR"/>
        </w:rPr>
        <w:t>2</w:t>
      </w:r>
      <w:r w:rsidRPr="00214EC7">
        <w:rPr>
          <w:rFonts w:eastAsia="Times New Roman" w:cstheme="minorHAnsi"/>
          <w:lang w:eastAsia="pt-BR"/>
        </w:rPr>
        <w:t>.</w:t>
      </w:r>
      <w:r>
        <w:rPr>
          <w:rFonts w:eastAsia="Times New Roman" w:cstheme="minorHAnsi"/>
          <w:lang w:eastAsia="pt-BR"/>
        </w:rPr>
        <w:t>7</w:t>
      </w:r>
      <w:r w:rsidRPr="00214EC7">
        <w:rPr>
          <w:rFonts w:eastAsia="Times New Roman" w:cstheme="minorHAnsi"/>
          <w:lang w:eastAsia="pt-BR"/>
        </w:rPr>
        <w:t>.2. Deverá ainda apresentar Licença de Operação (LO) válida da usina de asfalto, também emitida pelo Instituto Água e Terra (IAT), podendo a usina ser própria ou contratada, desde que igualmente comprovado o vínculo contratual.</w:t>
      </w:r>
    </w:p>
    <w:p w14:paraId="773E76DC" w14:textId="3866DE46" w:rsidR="007711F1" w:rsidRPr="00214EC7" w:rsidRDefault="007711F1" w:rsidP="00D86A2A">
      <w:pPr>
        <w:widowControl w:val="0"/>
        <w:spacing w:after="0"/>
        <w:jc w:val="both"/>
        <w:rPr>
          <w:rFonts w:eastAsia="Times New Roman" w:cstheme="minorHAnsi"/>
          <w:lang w:eastAsia="pt-BR"/>
        </w:rPr>
      </w:pPr>
      <w:r w:rsidRPr="00214EC7">
        <w:rPr>
          <w:rFonts w:eastAsia="Times New Roman" w:cstheme="minorHAnsi"/>
          <w:lang w:eastAsia="pt-BR"/>
        </w:rPr>
        <w:t>1</w:t>
      </w:r>
      <w:r w:rsidR="00EA1CC5">
        <w:rPr>
          <w:rFonts w:eastAsia="Times New Roman" w:cstheme="minorHAnsi"/>
          <w:lang w:eastAsia="pt-BR"/>
        </w:rPr>
        <w:t>2</w:t>
      </w:r>
      <w:r w:rsidRPr="00214EC7">
        <w:rPr>
          <w:rFonts w:eastAsia="Times New Roman" w:cstheme="minorHAnsi"/>
          <w:lang w:eastAsia="pt-BR"/>
        </w:rPr>
        <w:t>.</w:t>
      </w:r>
      <w:r>
        <w:rPr>
          <w:rFonts w:eastAsia="Times New Roman" w:cstheme="minorHAnsi"/>
          <w:lang w:eastAsia="pt-BR"/>
        </w:rPr>
        <w:t>7</w:t>
      </w:r>
      <w:r w:rsidRPr="00214EC7">
        <w:rPr>
          <w:rFonts w:eastAsia="Times New Roman" w:cstheme="minorHAnsi"/>
          <w:lang w:eastAsia="pt-BR"/>
        </w:rPr>
        <w:t>.3. A usina de produção de Concreto Betuminoso Usinado a Quente (CBUQ) deverá estar localizada a uma distância máxima de 60 km do Município de Nova Prata do Iguaçu, atendendo ainda a todos os requisitos técnicos estabelecidos na especificação ES</w:t>
      </w:r>
      <w:r w:rsidRPr="00214EC7">
        <w:rPr>
          <w:rFonts w:ascii="Cambria Math" w:eastAsia="Times New Roman" w:hAnsi="Cambria Math" w:cs="Cambria Math"/>
          <w:lang w:eastAsia="pt-BR"/>
        </w:rPr>
        <w:t>‑</w:t>
      </w:r>
      <w:r w:rsidRPr="00214EC7">
        <w:rPr>
          <w:rFonts w:eastAsia="Times New Roman" w:cstheme="minorHAnsi"/>
          <w:lang w:eastAsia="pt-BR"/>
        </w:rPr>
        <w:t>P</w:t>
      </w:r>
      <w:r w:rsidRPr="00214EC7">
        <w:rPr>
          <w:rFonts w:ascii="Cambria Math" w:eastAsia="Times New Roman" w:hAnsi="Cambria Math" w:cs="Cambria Math"/>
          <w:lang w:eastAsia="pt-BR"/>
        </w:rPr>
        <w:t>‑</w:t>
      </w:r>
      <w:r w:rsidRPr="00214EC7">
        <w:rPr>
          <w:rFonts w:eastAsia="Times New Roman" w:cstheme="minorHAnsi"/>
          <w:lang w:eastAsia="pt-BR"/>
        </w:rPr>
        <w:t>21/17 DER/PR.</w:t>
      </w:r>
    </w:p>
    <w:p w14:paraId="3262D441" w14:textId="43B92DAC" w:rsidR="007711F1" w:rsidRDefault="007711F1" w:rsidP="00D86A2A">
      <w:pPr>
        <w:widowControl w:val="0"/>
        <w:spacing w:after="0"/>
        <w:jc w:val="both"/>
        <w:rPr>
          <w:rFonts w:eastAsia="Times New Roman" w:cstheme="minorHAnsi"/>
          <w:lang w:eastAsia="pt-BR"/>
        </w:rPr>
      </w:pPr>
      <w:r w:rsidRPr="00214EC7">
        <w:rPr>
          <w:rFonts w:eastAsia="Times New Roman" w:cstheme="minorHAnsi"/>
          <w:lang w:eastAsia="pt-BR"/>
        </w:rPr>
        <w:t>1</w:t>
      </w:r>
      <w:r w:rsidR="00EA1CC5">
        <w:rPr>
          <w:rFonts w:eastAsia="Times New Roman" w:cstheme="minorHAnsi"/>
          <w:lang w:eastAsia="pt-BR"/>
        </w:rPr>
        <w:t>2</w:t>
      </w:r>
      <w:r w:rsidRPr="00214EC7">
        <w:rPr>
          <w:rFonts w:eastAsia="Times New Roman" w:cstheme="minorHAnsi"/>
          <w:lang w:eastAsia="pt-BR"/>
        </w:rPr>
        <w:t>.</w:t>
      </w:r>
      <w:r>
        <w:rPr>
          <w:rFonts w:eastAsia="Times New Roman" w:cstheme="minorHAnsi"/>
          <w:lang w:eastAsia="pt-BR"/>
        </w:rPr>
        <w:t>7</w:t>
      </w:r>
      <w:r w:rsidRPr="00214EC7">
        <w:rPr>
          <w:rFonts w:eastAsia="Times New Roman" w:cstheme="minorHAnsi"/>
          <w:lang w:eastAsia="pt-BR"/>
        </w:rPr>
        <w:t xml:space="preserve">.4. Adicionalmente, a empresa deverá apresentar Alvará de Funcionamento vigente da usina de asfalto, expedido pelo município onde estiver instalada. </w:t>
      </w:r>
    </w:p>
    <w:p w14:paraId="44424960" w14:textId="4C841835" w:rsidR="00EA1CC5" w:rsidRDefault="00EA1CC5" w:rsidP="00D86A2A">
      <w:pPr>
        <w:widowControl w:val="0"/>
        <w:spacing w:after="0"/>
        <w:jc w:val="both"/>
        <w:rPr>
          <w:rFonts w:eastAsia="Times New Roman" w:cstheme="minorHAnsi"/>
          <w:color w:val="EE0000"/>
          <w:lang w:eastAsia="pt-BR"/>
        </w:rPr>
      </w:pPr>
      <w:r w:rsidRPr="006E5B26">
        <w:rPr>
          <w:rFonts w:eastAsia="Times New Roman" w:cstheme="minorHAnsi"/>
          <w:color w:val="EE0000"/>
          <w:lang w:eastAsia="pt-BR"/>
        </w:rPr>
        <w:t xml:space="preserve">12.7.5. </w:t>
      </w:r>
      <w:proofErr w:type="gramStart"/>
      <w:r w:rsidRPr="006E5B26">
        <w:rPr>
          <w:rFonts w:eastAsia="Times New Roman" w:cstheme="minorHAnsi"/>
          <w:color w:val="EE0000"/>
          <w:lang w:eastAsia="pt-BR"/>
        </w:rPr>
        <w:t>O itens</w:t>
      </w:r>
      <w:proofErr w:type="gramEnd"/>
      <w:r w:rsidRPr="006E5B26">
        <w:rPr>
          <w:rFonts w:eastAsia="Times New Roman" w:cstheme="minorHAnsi"/>
          <w:color w:val="EE0000"/>
          <w:lang w:eastAsia="pt-BR"/>
        </w:rPr>
        <w:t xml:space="preserve"> 12.7.1, 12.7.2, 12.7.3 e 17.7.4 serão exigidas na fase </w:t>
      </w:r>
      <w:proofErr w:type="spellStart"/>
      <w:r w:rsidRPr="006E5B26">
        <w:rPr>
          <w:rFonts w:eastAsia="Times New Roman" w:cstheme="minorHAnsi"/>
          <w:color w:val="EE0000"/>
          <w:lang w:eastAsia="pt-BR"/>
        </w:rPr>
        <w:t>constratual</w:t>
      </w:r>
      <w:proofErr w:type="spellEnd"/>
      <w:r w:rsidR="00D86A2A">
        <w:rPr>
          <w:rFonts w:eastAsia="Times New Roman" w:cstheme="minorHAnsi"/>
          <w:color w:val="EE0000"/>
          <w:lang w:eastAsia="pt-BR"/>
        </w:rPr>
        <w:t>, conforme previsão no Instrumento convocatório.</w:t>
      </w:r>
    </w:p>
    <w:p w14:paraId="07DBD0A8" w14:textId="77777777" w:rsidR="00D86A2A" w:rsidRPr="006E5B26" w:rsidRDefault="00D86A2A" w:rsidP="00D86A2A">
      <w:pPr>
        <w:widowControl w:val="0"/>
        <w:spacing w:after="0"/>
        <w:jc w:val="both"/>
        <w:rPr>
          <w:rFonts w:eastAsia="Times New Roman" w:cstheme="minorHAnsi"/>
          <w:color w:val="EE0000"/>
          <w:lang w:eastAsia="pt-BR"/>
        </w:rPr>
      </w:pPr>
    </w:p>
    <w:p w14:paraId="0349B66A" w14:textId="31874210"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13. ESTIMATIVAS DO VALOR DA CONTRATAÇÃO</w:t>
      </w:r>
    </w:p>
    <w:p w14:paraId="3DE7BDBA" w14:textId="1EA38A88"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13.1. O valor total estimado para a contratação é de R$ </w:t>
      </w:r>
      <w:r w:rsidR="00D666B3">
        <w:rPr>
          <w:rFonts w:cstheme="minorHAnsi"/>
        </w:rPr>
        <w:t>4.</w:t>
      </w:r>
      <w:r w:rsidR="00A42BD5">
        <w:rPr>
          <w:rFonts w:cstheme="minorHAnsi"/>
        </w:rPr>
        <w:t>350.136,42</w:t>
      </w:r>
      <w:r w:rsidR="00470C59" w:rsidRPr="005661D5">
        <w:rPr>
          <w:rFonts w:cstheme="minorHAnsi"/>
        </w:rPr>
        <w:t xml:space="preserve"> </w:t>
      </w:r>
      <w:r w:rsidR="00D666B3">
        <w:rPr>
          <w:rFonts w:cstheme="minorHAnsi"/>
        </w:rPr>
        <w:t xml:space="preserve">(quatro milhões, </w:t>
      </w:r>
      <w:r w:rsidR="00A42BD5">
        <w:rPr>
          <w:rFonts w:cstheme="minorHAnsi"/>
        </w:rPr>
        <w:t xml:space="preserve">trezentos e cinquenta </w:t>
      </w:r>
      <w:r w:rsidR="00D666B3">
        <w:rPr>
          <w:rFonts w:cstheme="minorHAnsi"/>
        </w:rPr>
        <w:t xml:space="preserve">mil </w:t>
      </w:r>
      <w:r w:rsidR="00A42BD5">
        <w:rPr>
          <w:rFonts w:cstheme="minorHAnsi"/>
        </w:rPr>
        <w:t>cento e trinta e seis</w:t>
      </w:r>
      <w:r w:rsidR="00D666B3">
        <w:rPr>
          <w:rFonts w:cstheme="minorHAnsi"/>
        </w:rPr>
        <w:t xml:space="preserve"> reais e </w:t>
      </w:r>
      <w:r w:rsidR="00A42BD5">
        <w:rPr>
          <w:rFonts w:cstheme="minorHAnsi"/>
        </w:rPr>
        <w:t>quarenta e dois</w:t>
      </w:r>
      <w:r w:rsidR="00D666B3">
        <w:rPr>
          <w:rFonts w:cstheme="minorHAnsi"/>
        </w:rPr>
        <w:t xml:space="preserve"> centavos</w:t>
      </w:r>
      <w:r w:rsidR="00470C59" w:rsidRPr="005661D5">
        <w:rPr>
          <w:rFonts w:cstheme="minorHAnsi"/>
        </w:rPr>
        <w:t>)</w:t>
      </w:r>
      <w:r w:rsidRPr="00527B1F">
        <w:rPr>
          <w:rFonts w:eastAsia="Times New Roman" w:cstheme="minorHAnsi"/>
          <w:lang w:eastAsia="pt-BR"/>
        </w:rPr>
        <w:t>, conforme planilha orçamentária, apêndice deste Termo de Referência.</w:t>
      </w:r>
    </w:p>
    <w:p w14:paraId="7E664B6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13.2. Os preços unitários adotados levaram em consideração os custos unitários previstos nas tabelas DER/PR (data base: março/2025) e SINAPI (data base: abril/2025), sem desoneração.</w:t>
      </w:r>
    </w:p>
    <w:p w14:paraId="3567C686"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13.3. Na determinação do orçamento, a taxa do Benefício e Despesas Indiretas (BDI) é aplicada à composição dos custos. Estes dados estão detalhados em documento anexo e devem ser utilizados como referência e apresentados de forma distinta na proposta da licitante.</w:t>
      </w:r>
    </w:p>
    <w:p w14:paraId="6937D254"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13.4. O valor estimado se baseou em composições DER/PR e SINAPI, pesquisas de mercado junto a fornecedores regionais, contratações similares de outros órgãos públicos publicadas no PNCP e banco de preços do Sistema PARANACIDADE.</w:t>
      </w:r>
    </w:p>
    <w:p w14:paraId="395AAA23" w14:textId="77777777" w:rsidR="00D86A2A" w:rsidRDefault="00D86A2A" w:rsidP="00D86A2A">
      <w:pPr>
        <w:widowControl w:val="0"/>
        <w:spacing w:after="0"/>
        <w:jc w:val="both"/>
        <w:rPr>
          <w:rFonts w:eastAsia="Times New Roman" w:cstheme="minorHAnsi"/>
          <w:lang w:eastAsia="pt-BR"/>
        </w:rPr>
      </w:pPr>
    </w:p>
    <w:p w14:paraId="1D8CBD94" w14:textId="1E332398"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14. DO REAJUSTAMENTO</w:t>
      </w:r>
    </w:p>
    <w:p w14:paraId="3B51A12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14.1. Os preços inicialmente contratados são fixos e irreajustáveis pelo prazo de um ano, contado da data do orçamento a que a proposta se referir.</w:t>
      </w:r>
    </w:p>
    <w:p w14:paraId="45A0D69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14.2. Excepcionalmente, se decorrer, ao longo da vigência do instrumento, o interregno de um ano, contado a partir da data de apresentação da proposta da CONTRATADA, os preços poderão ser reajustados, utilizando-se o Índice Nacional de Custo da Construção - INCC.</w:t>
      </w:r>
    </w:p>
    <w:p w14:paraId="4656701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14.3. A data-base do reajuste será vinculada à data do orçamento estimado.</w:t>
      </w:r>
    </w:p>
    <w:p w14:paraId="7D173CD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14.4. O reajuste será concedido mediante simples apostila, conforme dispõe o art. 136 da Lei Federal n.º 14.133, de 2021.</w:t>
      </w:r>
    </w:p>
    <w:p w14:paraId="7F868C3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14.5. Nos reajustes subsequentes ao primeiro, o interregno mínimo de um ano será contado a partir do último reajuste.</w:t>
      </w:r>
    </w:p>
    <w:p w14:paraId="67BE71D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14.6. Não serão admitidos apostilamentos com efeitos financeiros retroativos à data da sua assinatura.</w:t>
      </w:r>
    </w:p>
    <w:p w14:paraId="10227783"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14.7. A concessão de reajustes não pagos na época oportuna será apurada por procedimento próprio.</w:t>
      </w:r>
    </w:p>
    <w:p w14:paraId="154FA2BA" w14:textId="70D70E25"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15. ADEQUAÇÃO ORÇAMENTÁRIA</w:t>
      </w:r>
    </w:p>
    <w:p w14:paraId="2B226DA6" w14:textId="35B0F2D0"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15.1. A obra está em conformidade com a Lei de Diretrizes Orçamentárias, com a Lei complementar nº 101 de 04 de maio de 2000 e</w:t>
      </w:r>
      <w:r w:rsidR="0045464C">
        <w:rPr>
          <w:rFonts w:eastAsia="Times New Roman" w:cstheme="minorHAnsi"/>
          <w:lang w:eastAsia="pt-BR"/>
        </w:rPr>
        <w:t xml:space="preserve"> com o Decreto Estadual 10.547/2025 relativo a ações do Programa Estadual de Pavimentação sobre Pedras Irregulares</w:t>
      </w:r>
      <w:r w:rsidRPr="00527B1F">
        <w:rPr>
          <w:rFonts w:eastAsia="Times New Roman" w:cstheme="minorHAnsi"/>
          <w:lang w:eastAsia="pt-BR"/>
        </w:rPr>
        <w:t xml:space="preserve">, dispondo de recursos orçamentários para a pavimentação de vias urbanas em CBUQ, através do </w:t>
      </w:r>
      <w:proofErr w:type="gramStart"/>
      <w:r w:rsidRPr="0045464C">
        <w:rPr>
          <w:rFonts w:eastAsia="Times New Roman" w:cstheme="minorHAnsi"/>
          <w:b/>
          <w:bCs/>
          <w:lang w:eastAsia="pt-BR"/>
        </w:rPr>
        <w:t>convênio</w:t>
      </w:r>
      <w:r w:rsidR="0045464C">
        <w:rPr>
          <w:rFonts w:eastAsia="Times New Roman" w:cstheme="minorHAnsi"/>
          <w:b/>
          <w:bCs/>
          <w:lang w:eastAsia="pt-BR"/>
        </w:rPr>
        <w:t xml:space="preserve"> </w:t>
      </w:r>
      <w:r w:rsidRPr="0045464C">
        <w:rPr>
          <w:rFonts w:eastAsia="Times New Roman" w:cstheme="minorHAnsi"/>
          <w:b/>
          <w:bCs/>
          <w:lang w:eastAsia="pt-BR"/>
        </w:rPr>
        <w:t xml:space="preserve"> com</w:t>
      </w:r>
      <w:proofErr w:type="gramEnd"/>
      <w:r w:rsidRPr="0045464C">
        <w:rPr>
          <w:rFonts w:eastAsia="Times New Roman" w:cstheme="minorHAnsi"/>
          <w:b/>
          <w:bCs/>
          <w:lang w:eastAsia="pt-BR"/>
        </w:rPr>
        <w:t xml:space="preserve"> a SECID</w:t>
      </w:r>
      <w:r w:rsidR="0045464C" w:rsidRPr="0045464C">
        <w:rPr>
          <w:rFonts w:eastAsia="Times New Roman" w:cstheme="minorHAnsi"/>
          <w:b/>
          <w:bCs/>
          <w:lang w:eastAsia="pt-BR"/>
        </w:rPr>
        <w:t xml:space="preserve"> n° 1768/2025</w:t>
      </w:r>
      <w:r w:rsidR="0045464C">
        <w:rPr>
          <w:rFonts w:eastAsia="Times New Roman" w:cstheme="minorHAnsi"/>
          <w:lang w:eastAsia="pt-BR"/>
        </w:rPr>
        <w:t xml:space="preserve"> no valor de </w:t>
      </w:r>
      <w:r w:rsidR="0045464C" w:rsidRPr="00527B1F">
        <w:rPr>
          <w:rFonts w:eastAsia="Times New Roman" w:cstheme="minorHAnsi"/>
          <w:lang w:eastAsia="pt-BR"/>
        </w:rPr>
        <w:t xml:space="preserve">R$ </w:t>
      </w:r>
      <w:r w:rsidR="0045464C">
        <w:rPr>
          <w:rFonts w:cstheme="minorHAnsi"/>
        </w:rPr>
        <w:t>4.</w:t>
      </w:r>
      <w:r w:rsidR="007C7235">
        <w:rPr>
          <w:rFonts w:cstheme="minorHAnsi"/>
        </w:rPr>
        <w:t>350.136,42</w:t>
      </w:r>
      <w:r w:rsidR="0045464C" w:rsidRPr="005661D5">
        <w:rPr>
          <w:rFonts w:cstheme="minorHAnsi"/>
        </w:rPr>
        <w:t xml:space="preserve"> </w:t>
      </w:r>
      <w:r w:rsidR="0045464C">
        <w:rPr>
          <w:rFonts w:eastAsia="Times New Roman" w:cstheme="minorHAnsi"/>
          <w:lang w:eastAsia="pt-BR"/>
        </w:rPr>
        <w:t>sem</w:t>
      </w:r>
      <w:r w:rsidRPr="00527B1F">
        <w:rPr>
          <w:rFonts w:eastAsia="Times New Roman" w:cstheme="minorHAnsi"/>
          <w:lang w:eastAsia="pt-BR"/>
        </w:rPr>
        <w:t xml:space="preserve"> contrapartida municipal</w:t>
      </w:r>
      <w:r w:rsidR="0045464C">
        <w:rPr>
          <w:rFonts w:eastAsia="Times New Roman" w:cstheme="minorHAnsi"/>
          <w:lang w:eastAsia="pt-BR"/>
        </w:rPr>
        <w:t xml:space="preserve">, </w:t>
      </w:r>
      <w:r w:rsidRPr="00527B1F">
        <w:rPr>
          <w:rFonts w:eastAsia="Times New Roman" w:cstheme="minorHAnsi"/>
          <w:lang w:eastAsia="pt-BR"/>
        </w:rPr>
        <w:t>conforme dotação orçamentária específica que será indicada no edital.</w:t>
      </w:r>
    </w:p>
    <w:p w14:paraId="62D535FF" w14:textId="2E769319"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15.2. A previsão orçamentária observa o disposto na Lei Orçamentária Anual (LOA) </w:t>
      </w:r>
      <w:r w:rsidR="00D86A2A">
        <w:rPr>
          <w:rFonts w:eastAsia="Times New Roman" w:cstheme="minorHAnsi"/>
          <w:lang w:eastAsia="pt-BR"/>
        </w:rPr>
        <w:t>para o exercício de</w:t>
      </w:r>
      <w:r w:rsidRPr="00527B1F">
        <w:rPr>
          <w:rFonts w:eastAsia="Times New Roman" w:cstheme="minorHAnsi"/>
          <w:lang w:eastAsia="pt-BR"/>
        </w:rPr>
        <w:t xml:space="preserve"> 202</w:t>
      </w:r>
      <w:r w:rsidR="00D86A2A">
        <w:rPr>
          <w:rFonts w:eastAsia="Times New Roman" w:cstheme="minorHAnsi"/>
          <w:lang w:eastAsia="pt-BR"/>
        </w:rPr>
        <w:t>6</w:t>
      </w:r>
      <w:r w:rsidRPr="00527B1F">
        <w:rPr>
          <w:rFonts w:eastAsia="Times New Roman" w:cstheme="minorHAnsi"/>
          <w:lang w:eastAsia="pt-BR"/>
        </w:rPr>
        <w:t>, com dotação específica na ação de pavimentação urbana, programa de trabalho vinculado à Secretaria Municipal de Obras e Urbanismo.</w:t>
      </w:r>
    </w:p>
    <w:p w14:paraId="2885566C"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15.3. Os recursos estão dispostos na Rubrica orçamentária a ser especificada:</w:t>
      </w:r>
    </w:p>
    <w:p w14:paraId="2BF6CD91" w14:textId="77777777" w:rsidR="0045464C" w:rsidRPr="00527B1F" w:rsidRDefault="0045464C" w:rsidP="00D86A2A">
      <w:pPr>
        <w:widowControl w:val="0"/>
        <w:spacing w:after="0"/>
        <w:jc w:val="both"/>
        <w:rPr>
          <w:rFonts w:eastAsia="Times New Roman" w:cstheme="minorHAnsi"/>
          <w:lang w:eastAsia="pt-BR"/>
        </w:rPr>
      </w:pPr>
    </w:p>
    <w:tbl>
      <w:tblPr>
        <w:tblStyle w:val="Tabelacomgrade"/>
        <w:tblW w:w="4796" w:type="pct"/>
        <w:tblInd w:w="108" w:type="dxa"/>
        <w:tblLook w:val="04A0" w:firstRow="1" w:lastRow="0" w:firstColumn="1" w:lastColumn="0" w:noHBand="0" w:noVBand="1"/>
      </w:tblPr>
      <w:tblGrid>
        <w:gridCol w:w="2382"/>
        <w:gridCol w:w="6526"/>
      </w:tblGrid>
      <w:tr w:rsidR="00265D84" w:rsidRPr="00265D84" w14:paraId="01A9D05F" w14:textId="77777777" w:rsidTr="00527B1F">
        <w:tc>
          <w:tcPr>
            <w:tcW w:w="1337" w:type="pct"/>
            <w:hideMark/>
          </w:tcPr>
          <w:p w14:paraId="1E513E76" w14:textId="77777777" w:rsidR="00527B1F" w:rsidRPr="00265D84" w:rsidRDefault="00527B1F" w:rsidP="00D86A2A">
            <w:pPr>
              <w:widowControl w:val="0"/>
              <w:spacing w:line="276" w:lineRule="auto"/>
              <w:jc w:val="both"/>
              <w:rPr>
                <w:rFonts w:eastAsia="Times New Roman" w:cstheme="minorHAnsi"/>
                <w:b/>
                <w:bCs/>
                <w:lang w:eastAsia="pt-BR"/>
              </w:rPr>
            </w:pPr>
            <w:r w:rsidRPr="00265D84">
              <w:rPr>
                <w:rFonts w:eastAsia="Times New Roman" w:cstheme="minorHAnsi"/>
                <w:b/>
                <w:bCs/>
                <w:lang w:eastAsia="pt-BR"/>
              </w:rPr>
              <w:t>CÓDIGO</w:t>
            </w:r>
          </w:p>
        </w:tc>
        <w:tc>
          <w:tcPr>
            <w:tcW w:w="3663" w:type="pct"/>
            <w:hideMark/>
          </w:tcPr>
          <w:p w14:paraId="2DD5E473" w14:textId="77777777" w:rsidR="00527B1F" w:rsidRPr="00265D84" w:rsidRDefault="00527B1F" w:rsidP="00D86A2A">
            <w:pPr>
              <w:widowControl w:val="0"/>
              <w:spacing w:line="276" w:lineRule="auto"/>
              <w:jc w:val="both"/>
              <w:rPr>
                <w:rFonts w:eastAsia="Times New Roman" w:cstheme="minorHAnsi"/>
                <w:b/>
                <w:bCs/>
                <w:lang w:eastAsia="pt-BR"/>
              </w:rPr>
            </w:pPr>
            <w:r w:rsidRPr="00265D84">
              <w:rPr>
                <w:rFonts w:eastAsia="Times New Roman" w:cstheme="minorHAnsi"/>
                <w:b/>
                <w:bCs/>
                <w:lang w:eastAsia="pt-BR"/>
              </w:rPr>
              <w:t>DESCRIÇÃO</w:t>
            </w:r>
          </w:p>
        </w:tc>
      </w:tr>
      <w:tr w:rsidR="00265D84" w:rsidRPr="00265D84" w14:paraId="3AC6B2D2" w14:textId="77777777" w:rsidTr="00527B1F">
        <w:tc>
          <w:tcPr>
            <w:tcW w:w="1337" w:type="pct"/>
            <w:hideMark/>
          </w:tcPr>
          <w:p w14:paraId="6AAB6FA7" w14:textId="28072444" w:rsidR="00527B1F" w:rsidRPr="00265D84" w:rsidRDefault="00F60DF7" w:rsidP="00D86A2A">
            <w:pPr>
              <w:widowControl w:val="0"/>
              <w:spacing w:line="276" w:lineRule="auto"/>
              <w:jc w:val="both"/>
              <w:rPr>
                <w:rFonts w:eastAsia="Times New Roman" w:cstheme="minorHAnsi"/>
                <w:lang w:eastAsia="pt-BR"/>
              </w:rPr>
            </w:pPr>
            <w:r>
              <w:rPr>
                <w:rFonts w:eastAsia="Times New Roman" w:cstheme="minorHAnsi"/>
                <w:lang w:eastAsia="pt-BR"/>
              </w:rPr>
              <w:t>12</w:t>
            </w:r>
          </w:p>
        </w:tc>
        <w:tc>
          <w:tcPr>
            <w:tcW w:w="3663" w:type="pct"/>
            <w:hideMark/>
          </w:tcPr>
          <w:p w14:paraId="4DE73AC7" w14:textId="79E12594" w:rsidR="00527B1F" w:rsidRPr="00265D84" w:rsidRDefault="00527B1F" w:rsidP="00D86A2A">
            <w:pPr>
              <w:widowControl w:val="0"/>
              <w:spacing w:line="276" w:lineRule="auto"/>
              <w:jc w:val="both"/>
              <w:rPr>
                <w:rFonts w:eastAsia="Times New Roman" w:cstheme="minorHAnsi"/>
                <w:lang w:eastAsia="pt-BR"/>
              </w:rPr>
            </w:pPr>
            <w:r w:rsidRPr="00265D84">
              <w:rPr>
                <w:rFonts w:eastAsia="Times New Roman" w:cstheme="minorHAnsi"/>
                <w:lang w:eastAsia="pt-BR"/>
              </w:rPr>
              <w:t xml:space="preserve">Secretaria Municipal de </w:t>
            </w:r>
            <w:r w:rsidR="00F60DF7">
              <w:rPr>
                <w:rFonts w:eastAsia="Times New Roman" w:cstheme="minorHAnsi"/>
                <w:lang w:eastAsia="pt-BR"/>
              </w:rPr>
              <w:t xml:space="preserve">Viação, </w:t>
            </w:r>
            <w:r w:rsidRPr="00265D84">
              <w:rPr>
                <w:rFonts w:eastAsia="Times New Roman" w:cstheme="minorHAnsi"/>
                <w:lang w:eastAsia="pt-BR"/>
              </w:rPr>
              <w:t>Obras</w:t>
            </w:r>
            <w:r w:rsidR="00F60DF7">
              <w:rPr>
                <w:rFonts w:eastAsia="Times New Roman" w:cstheme="minorHAnsi"/>
                <w:lang w:eastAsia="pt-BR"/>
              </w:rPr>
              <w:t xml:space="preserve"> e serviços públicos</w:t>
            </w:r>
          </w:p>
        </w:tc>
      </w:tr>
      <w:tr w:rsidR="00265D84" w:rsidRPr="00265D84" w14:paraId="1C9C33CC" w14:textId="77777777" w:rsidTr="00527B1F">
        <w:tc>
          <w:tcPr>
            <w:tcW w:w="1337" w:type="pct"/>
            <w:hideMark/>
          </w:tcPr>
          <w:p w14:paraId="73C6E38C" w14:textId="33AD4E0D" w:rsidR="00527B1F" w:rsidRPr="00265D84" w:rsidRDefault="00265D84" w:rsidP="00D86A2A">
            <w:pPr>
              <w:widowControl w:val="0"/>
              <w:spacing w:line="276" w:lineRule="auto"/>
              <w:jc w:val="both"/>
              <w:rPr>
                <w:rFonts w:eastAsia="Times New Roman" w:cstheme="minorHAnsi"/>
                <w:lang w:eastAsia="pt-BR"/>
              </w:rPr>
            </w:pPr>
            <w:r w:rsidRPr="00265D84">
              <w:rPr>
                <w:rFonts w:eastAsia="Times New Roman" w:cstheme="minorHAnsi"/>
                <w:lang w:eastAsia="pt-BR"/>
              </w:rPr>
              <w:t>00</w:t>
            </w:r>
            <w:r w:rsidR="00F60DF7">
              <w:rPr>
                <w:rFonts w:eastAsia="Times New Roman" w:cstheme="minorHAnsi"/>
                <w:lang w:eastAsia="pt-BR"/>
              </w:rPr>
              <w:t>1</w:t>
            </w:r>
          </w:p>
        </w:tc>
        <w:tc>
          <w:tcPr>
            <w:tcW w:w="3663" w:type="pct"/>
            <w:hideMark/>
          </w:tcPr>
          <w:p w14:paraId="30147A15" w14:textId="2A064855" w:rsidR="00527B1F" w:rsidRPr="00265D84" w:rsidRDefault="00265D84" w:rsidP="00D86A2A">
            <w:pPr>
              <w:widowControl w:val="0"/>
              <w:spacing w:line="276" w:lineRule="auto"/>
              <w:jc w:val="both"/>
              <w:rPr>
                <w:rFonts w:eastAsia="Times New Roman" w:cstheme="minorHAnsi"/>
                <w:lang w:eastAsia="pt-BR"/>
              </w:rPr>
            </w:pPr>
            <w:r w:rsidRPr="00265D84">
              <w:rPr>
                <w:rFonts w:eastAsia="Times New Roman" w:cstheme="minorHAnsi"/>
                <w:lang w:eastAsia="pt-BR"/>
              </w:rPr>
              <w:t>Departamento de Obras</w:t>
            </w:r>
          </w:p>
        </w:tc>
      </w:tr>
      <w:tr w:rsidR="00265D84" w:rsidRPr="00265D84" w14:paraId="30BC82A6" w14:textId="77777777" w:rsidTr="00527B1F">
        <w:tc>
          <w:tcPr>
            <w:tcW w:w="1337" w:type="pct"/>
            <w:hideMark/>
          </w:tcPr>
          <w:p w14:paraId="2F7BED7B" w14:textId="01EBBC8E" w:rsidR="00527B1F" w:rsidRPr="00265D84" w:rsidRDefault="00265D84" w:rsidP="00D86A2A">
            <w:pPr>
              <w:widowControl w:val="0"/>
              <w:spacing w:line="276" w:lineRule="auto"/>
              <w:jc w:val="both"/>
              <w:rPr>
                <w:rFonts w:eastAsia="Times New Roman" w:cstheme="minorHAnsi"/>
                <w:lang w:eastAsia="pt-BR"/>
              </w:rPr>
            </w:pPr>
            <w:r w:rsidRPr="00265D84">
              <w:rPr>
                <w:rFonts w:ascii="Arial Narrow" w:hAnsi="Arial Narrow" w:cs="Arial"/>
                <w:snapToGrid w:val="0"/>
              </w:rPr>
              <w:t>15.</w:t>
            </w:r>
            <w:r w:rsidR="00F60DF7">
              <w:rPr>
                <w:rFonts w:ascii="Arial Narrow" w:hAnsi="Arial Narrow" w:cs="Arial"/>
                <w:snapToGrid w:val="0"/>
              </w:rPr>
              <w:t>0</w:t>
            </w:r>
            <w:r w:rsidRPr="00265D84">
              <w:rPr>
                <w:rFonts w:ascii="Arial Narrow" w:hAnsi="Arial Narrow" w:cs="Arial"/>
                <w:snapToGrid w:val="0"/>
              </w:rPr>
              <w:t>45</w:t>
            </w:r>
            <w:r w:rsidR="00F60DF7">
              <w:rPr>
                <w:rFonts w:ascii="Arial Narrow" w:hAnsi="Arial Narrow" w:cs="Arial"/>
                <w:snapToGrid w:val="0"/>
              </w:rPr>
              <w:t>1</w:t>
            </w:r>
            <w:r w:rsidRPr="00265D84">
              <w:rPr>
                <w:rFonts w:ascii="Arial Narrow" w:hAnsi="Arial Narrow" w:cs="Arial"/>
                <w:snapToGrid w:val="0"/>
              </w:rPr>
              <w:t>.001</w:t>
            </w:r>
            <w:r w:rsidR="00F60DF7">
              <w:rPr>
                <w:rFonts w:ascii="Arial Narrow" w:hAnsi="Arial Narrow" w:cs="Arial"/>
                <w:snapToGrid w:val="0"/>
              </w:rPr>
              <w:t>5.1-027</w:t>
            </w:r>
          </w:p>
        </w:tc>
        <w:tc>
          <w:tcPr>
            <w:tcW w:w="3663" w:type="pct"/>
            <w:hideMark/>
          </w:tcPr>
          <w:p w14:paraId="40524F64" w14:textId="25A8AB8A" w:rsidR="00527B1F" w:rsidRPr="00265D84" w:rsidRDefault="00265D84" w:rsidP="00D86A2A">
            <w:pPr>
              <w:widowControl w:val="0"/>
              <w:spacing w:line="276" w:lineRule="auto"/>
              <w:jc w:val="both"/>
              <w:rPr>
                <w:rFonts w:eastAsia="Times New Roman" w:cstheme="minorHAnsi"/>
                <w:lang w:eastAsia="pt-BR"/>
              </w:rPr>
            </w:pPr>
            <w:r w:rsidRPr="00265D84">
              <w:rPr>
                <w:rFonts w:eastAsia="Times New Roman" w:cstheme="minorHAnsi"/>
                <w:lang w:eastAsia="pt-BR"/>
              </w:rPr>
              <w:t>Pavimentação e Recape d</w:t>
            </w:r>
            <w:r w:rsidR="00F60DF7">
              <w:rPr>
                <w:rFonts w:eastAsia="Times New Roman" w:cstheme="minorHAnsi"/>
                <w:lang w:eastAsia="pt-BR"/>
              </w:rPr>
              <w:t>as ruas da cidade</w:t>
            </w:r>
          </w:p>
        </w:tc>
      </w:tr>
      <w:tr w:rsidR="00265D84" w:rsidRPr="00265D84" w14:paraId="08873FCE" w14:textId="77777777" w:rsidTr="00527B1F">
        <w:tc>
          <w:tcPr>
            <w:tcW w:w="1337" w:type="pct"/>
            <w:hideMark/>
          </w:tcPr>
          <w:p w14:paraId="4AECF38B" w14:textId="4DCB7355" w:rsidR="00527B1F" w:rsidRPr="00265D84" w:rsidRDefault="00265D84" w:rsidP="00D86A2A">
            <w:pPr>
              <w:widowControl w:val="0"/>
              <w:spacing w:line="276" w:lineRule="auto"/>
              <w:jc w:val="both"/>
              <w:rPr>
                <w:rFonts w:eastAsia="Times New Roman" w:cstheme="minorHAnsi"/>
                <w:lang w:eastAsia="pt-BR"/>
              </w:rPr>
            </w:pPr>
            <w:r w:rsidRPr="00265D84">
              <w:rPr>
                <w:rFonts w:ascii="Arial Narrow" w:hAnsi="Arial Narrow" w:cs="Arial"/>
                <w:snapToGrid w:val="0"/>
              </w:rPr>
              <w:t>4.4.90.51.00.00</w:t>
            </w:r>
          </w:p>
        </w:tc>
        <w:tc>
          <w:tcPr>
            <w:tcW w:w="3663" w:type="pct"/>
            <w:hideMark/>
          </w:tcPr>
          <w:p w14:paraId="7F480225" w14:textId="77777777" w:rsidR="00527B1F" w:rsidRPr="00265D84" w:rsidRDefault="00527B1F" w:rsidP="00D86A2A">
            <w:pPr>
              <w:widowControl w:val="0"/>
              <w:spacing w:line="276" w:lineRule="auto"/>
              <w:jc w:val="both"/>
              <w:rPr>
                <w:rFonts w:eastAsia="Times New Roman" w:cstheme="minorHAnsi"/>
                <w:lang w:eastAsia="pt-BR"/>
              </w:rPr>
            </w:pPr>
            <w:r w:rsidRPr="00265D84">
              <w:rPr>
                <w:rFonts w:eastAsia="Times New Roman" w:cstheme="minorHAnsi"/>
                <w:lang w:eastAsia="pt-BR"/>
              </w:rPr>
              <w:t>Obras e instalações</w:t>
            </w:r>
          </w:p>
        </w:tc>
      </w:tr>
    </w:tbl>
    <w:p w14:paraId="47A766C7"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15.4. A dotação relativa aos exercícios financeiros subsequentes será indicada após aprovação da Lei Orçamentária respectiva e liberação dos créditos correspondentes, mediante apostilamento, em conformidade com os programas de infraestrutura urbana estabelecidos.</w:t>
      </w:r>
    </w:p>
    <w:p w14:paraId="168513A5" w14:textId="77777777" w:rsidR="00D86A2A" w:rsidRDefault="00D86A2A" w:rsidP="00D86A2A">
      <w:pPr>
        <w:widowControl w:val="0"/>
        <w:spacing w:after="0"/>
        <w:jc w:val="both"/>
        <w:rPr>
          <w:rFonts w:eastAsia="Times New Roman" w:cstheme="minorHAnsi"/>
          <w:lang w:eastAsia="pt-BR"/>
        </w:rPr>
      </w:pPr>
    </w:p>
    <w:p w14:paraId="7C1EA8D2" w14:textId="76E667DF"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16. DAS OBRIGAÇÕES DA CONTRATANTE E CONTRATADA</w:t>
      </w:r>
    </w:p>
    <w:p w14:paraId="3F3F79E6"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16.1. São obrigações do CONTRATANTE:</w:t>
      </w:r>
    </w:p>
    <w:p w14:paraId="01343EE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16.1.1. Designar pessoa responsável para avaliar e conferir os serviços, sendo que os mesmos deverão estar em conformidade com o objeto solicitado na Ordem de Serviço;</w:t>
      </w:r>
    </w:p>
    <w:p w14:paraId="4C5DEF4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16.1.2. Cumprir todos os compromissos financeiros assumidos com a Contratada.</w:t>
      </w:r>
    </w:p>
    <w:p w14:paraId="4AB2061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16.1.3. Notificar, formal e tempestivamente, a Contratada sobre as irregularidades observadas no cumprimento das obrigações assumidas.</w:t>
      </w:r>
    </w:p>
    <w:p w14:paraId="2AA13AC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16.1.4. Aplicar as sanções administrativas contratuais pertinentes, em caso de inadimplemento.</w:t>
      </w:r>
    </w:p>
    <w:p w14:paraId="0658157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16.1.5. Comunicar prontamente a Contratada, qualquer anormalidade no objeto deste contrato, podendo recusar o recebimento, caso não esteja de acordo com as especificações e condições estabelecidas.</w:t>
      </w:r>
    </w:p>
    <w:p w14:paraId="7C3C732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16.1.6. Comunicar à Contratada qualquer irregularidade manifestada durante a vigência do contrato, para que sejam adotadas as medidas pertinentes.</w:t>
      </w:r>
    </w:p>
    <w:p w14:paraId="3619D7B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16.1.7. Conferir e acompanhar os serviços, através do fiscal e gestor do contrato, e caso haja alguma divergência com o serviço solicitado e o entregue, requerer a sua reexecução imediata.</w:t>
      </w:r>
    </w:p>
    <w:p w14:paraId="187449FD"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16.1.8. Permitir que os funcionários da licitante vencedora tenham acesso aos locais de execução dos serviços.</w:t>
      </w:r>
    </w:p>
    <w:p w14:paraId="40473A97"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16.1.9. Proceder o recebimento provisório e, não havendo mais pendências, ao recebimento definitivo da obra, nos termos do § 2º da Lei 14.133/2021.</w:t>
      </w:r>
    </w:p>
    <w:p w14:paraId="079F77D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16.1.10. </w:t>
      </w:r>
      <w:proofErr w:type="spellStart"/>
      <w:r w:rsidRPr="00527B1F">
        <w:rPr>
          <w:rFonts w:eastAsia="Times New Roman" w:cstheme="minorHAnsi"/>
          <w:lang w:eastAsia="pt-BR"/>
        </w:rPr>
        <w:t>Fornecer</w:t>
      </w:r>
      <w:proofErr w:type="spellEnd"/>
      <w:r w:rsidRPr="00527B1F">
        <w:rPr>
          <w:rFonts w:eastAsia="Times New Roman" w:cstheme="minorHAnsi"/>
          <w:lang w:eastAsia="pt-BR"/>
        </w:rPr>
        <w:t>, a qualquer tempo, mediante solicitação escrita da Contratada, informações adicionais, dirimir dúvidas e orientar em todos os casos omissos.</w:t>
      </w:r>
    </w:p>
    <w:p w14:paraId="0BC63E4B" w14:textId="77777777" w:rsid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16.1.11. Disponibilizar as vias urbanas onde serão executados os serviços de pavimentação, devidamente demarcadas conforme projetos.</w:t>
      </w:r>
    </w:p>
    <w:p w14:paraId="4F507107" w14:textId="77777777" w:rsidR="00527B1F" w:rsidRPr="00527B1F" w:rsidRDefault="00527B1F" w:rsidP="00D86A2A">
      <w:pPr>
        <w:widowControl w:val="0"/>
        <w:spacing w:after="0"/>
        <w:jc w:val="both"/>
        <w:outlineLvl w:val="2"/>
        <w:rPr>
          <w:rFonts w:eastAsia="Times New Roman" w:cstheme="minorHAnsi"/>
          <w:b/>
          <w:bCs/>
          <w:lang w:eastAsia="pt-BR"/>
        </w:rPr>
      </w:pPr>
      <w:r w:rsidRPr="00527B1F">
        <w:rPr>
          <w:rFonts w:eastAsia="Times New Roman" w:cstheme="minorHAnsi"/>
          <w:b/>
          <w:bCs/>
          <w:lang w:eastAsia="pt-BR"/>
        </w:rPr>
        <w:t>16.2. São obrigações da CONTRATADA:</w:t>
      </w:r>
    </w:p>
    <w:p w14:paraId="5C0CF2B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 O contratado deverá manter preposto aceito pela Administração no local da obra para representá-lo na execução do contrato.</w:t>
      </w:r>
    </w:p>
    <w:p w14:paraId="77C7E96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16.2.2. Cumprir integralmente as obrigações assumidas, conforme especificações contidas nesse Termo de Referência.</w:t>
      </w:r>
    </w:p>
    <w:p w14:paraId="4B5345C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16.2.3. Manter, todas as condições de habilitação e qualificação exigidas durante toda execução do contrato, de acordo com o art. 92, XVI, da Lei 14.133/2021, informando a contratante à ocorrência de qualquer alteração nas referidas condições.</w:t>
      </w:r>
    </w:p>
    <w:p w14:paraId="54A9BAB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16.2.4. Executar os serviços, em estrita conformidade com as especificações contidas no contrato, Memorial Técnico Descritivo, projetos e proposta de preços apresentada, à qual se vincula, não sendo admitidas retificações, cancelamentos, quer seja de preços, quer seja nas condições estabelecidas.</w:t>
      </w:r>
    </w:p>
    <w:p w14:paraId="0E6BDD6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16.2.5. A contratada é responsável perante o Município, por todos os atos de seus subordinados durante a execução dos serviços, devendo afastar, dentro de 24 (vinte e quatro) horas, por comunicação escrita, qualquer de seus empregados cuja permanência nos serviços for julgada, inconveniente pelo Município, observando rigorosamente todas as prescrições relativas às leis trabalhistas, previdenciárias, assistenciais, securitárias, sindicais, indenizações e despesas por acidentes de trabalho, considerada como única empregadora.</w:t>
      </w:r>
    </w:p>
    <w:p w14:paraId="5B18E49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16.2.5.1. Responsabilizar-se pelos danos causados diretamente à Administração ou a terceiros em razão da execução do contrato, e não excluirá nem reduzirá essa responsabilidade a fiscalização ou o acompanhamento pelo contratante, de acordo com o art. 120 da Lei nº 14.133/2021.</w:t>
      </w:r>
    </w:p>
    <w:p w14:paraId="6505AB6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16.2.6. Certificar-se, preliminarmente, de todas as condições exigidas no Contrato, não sendo levada em consideração qualquer argumentação posterior de desconhecimento.</w:t>
      </w:r>
    </w:p>
    <w:p w14:paraId="258E4E2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16.2.7. Comunicar, imediatamente e por escrito, a Administração Municipal, qualquer anormalidade verificada, inclusive de ordem funcional, para que sejam adotadas as providências de regularização necessárias.</w:t>
      </w:r>
    </w:p>
    <w:p w14:paraId="5F5870E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16.2.8. Atender com prontidão as reclamações por parte do recebedor do objeto da presente licitação.</w:t>
      </w:r>
    </w:p>
    <w:p w14:paraId="5EEF2B3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16.2.9. A contratada será obrigada a reparar, corrigir, remover, reconstruir ou substituir, a suas expensas, no total ou em parte, o objeto do contrato em que se verificarem vícios, defeitos ou incorreções resultantes de sua execução ou de materiais nela empregados, em um prazo a ser convencionado entre as partes, observando o limite máximo de 30 (trinta) dias.</w:t>
      </w:r>
    </w:p>
    <w:p w14:paraId="185B02FB"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16.2.10. Comunicar a contratante, imediatamente, a ocorrência de qualquer fato que possa implicar no atraso na entrega do objeto desta Licitação.</w:t>
      </w:r>
    </w:p>
    <w:p w14:paraId="768E0AA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16.2.11. A contratada deverá observar rigorosamente as normas de segurança, ambiental, de higiene e medicina do trabalho, bem como a legislação de proteção de dados (LGPD).</w:t>
      </w:r>
    </w:p>
    <w:p w14:paraId="423BC711"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16.2.12. Apresentar os empregados devidamente uniformizados e identificados por meio de crachá, além de fornecer e fiscalizar o uso de EPIs (Equipamentos de Proteção Individual) aos seus funcionários e prepostos.</w:t>
      </w:r>
    </w:p>
    <w:p w14:paraId="0A50B0B8"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16.2.13. A contratada deverá apresentar relação atualizada de empregados registrados na empresa e atuantes na obra contratada.</w:t>
      </w:r>
    </w:p>
    <w:p w14:paraId="549838A4"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16.2.14. Será de responsabilidade da contratada o controle tecnológico de todos os materiais utilizados nos diversos serviços de pavimentação. Os custos destes serviços deverão ser diluídos nos preços unitários de cada serviço constante na planilha de preços, executado por firma idônea especializada, indicada pela contratada e aprovada pelo gestor e fiscal do contrato.</w:t>
      </w:r>
    </w:p>
    <w:p w14:paraId="6EC1D57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16.2.15. Mensalmente, a contratada enviará à fiscalização cópia do relatório de controle tecnológico dos serviços executados naquele mês.</w:t>
      </w:r>
    </w:p>
    <w:p w14:paraId="1D268FD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16.2.16. Manter, em todos os locais de serviços, um seguro sistema de sinalização e segurança, de acordo com as normas de segurança do trabalho e do CONTRAN.</w:t>
      </w:r>
    </w:p>
    <w:p w14:paraId="6B6A117C"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16.2.17. A contratada é responsável pela limpeza da obra e manutenção dos serviços até a entrega da mesma.</w:t>
      </w:r>
    </w:p>
    <w:p w14:paraId="5F2DBA1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16.2.18. Não manter em seu quadro de pessoal menores em horário noturno de trabalho ou em serviços perigosos ou insalubres, não manter, ainda, em qualquer trabalho, menores de 16 (dezesseis) anos, salvo na condição de aprendiz, a partir de 14 (quatorze) anos.</w:t>
      </w:r>
    </w:p>
    <w:p w14:paraId="7848912A"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16.2.19. Examinar completamente os projetos, as peças gráficas, as especificações técnicas, memoriais e todos os documentos, obtendo todas as informações necessárias sobre qualquer ponto duvidoso do objeto.</w:t>
      </w:r>
    </w:p>
    <w:p w14:paraId="12F5FAC9"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16.2.20. Apresentar na Secretaria Municipal competente, Matrícula do INSS e ART/RRT de execução da obra, em até 2 (dois) dias após a emissão da Ordem de Serviço.</w:t>
      </w:r>
    </w:p>
    <w:p w14:paraId="01A2B4AF"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16.2.21. </w:t>
      </w:r>
      <w:proofErr w:type="spellStart"/>
      <w:r w:rsidRPr="00527B1F">
        <w:rPr>
          <w:rFonts w:eastAsia="Times New Roman" w:cstheme="minorHAnsi"/>
          <w:lang w:eastAsia="pt-BR"/>
        </w:rPr>
        <w:t>Fornecer</w:t>
      </w:r>
      <w:proofErr w:type="spellEnd"/>
      <w:r w:rsidRPr="00527B1F">
        <w:rPr>
          <w:rFonts w:eastAsia="Times New Roman" w:cstheme="minorHAnsi"/>
          <w:lang w:eastAsia="pt-BR"/>
        </w:rPr>
        <w:t>, ao término da obra, manual de manutenção da pavimentação asfáltica, contendo instruções de conservação e manutenção preventiva.</w:t>
      </w:r>
    </w:p>
    <w:p w14:paraId="59FA51DF" w14:textId="77777777" w:rsidR="00527B1F" w:rsidRPr="00F53EA9"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 xml:space="preserve">16.2.22. Executar treinamento da equipe municipal de fiscalização na leitura de medições e no </w:t>
      </w:r>
      <w:r w:rsidRPr="00F53EA9">
        <w:rPr>
          <w:rFonts w:eastAsia="Times New Roman" w:cstheme="minorHAnsi"/>
          <w:lang w:eastAsia="pt-BR"/>
        </w:rPr>
        <w:t>uso das peças técnicas de controle tecnológico.</w:t>
      </w:r>
    </w:p>
    <w:p w14:paraId="7E2CACE1" w14:textId="77777777" w:rsidR="00F36F4B" w:rsidRPr="00F53EA9" w:rsidRDefault="00F36F4B" w:rsidP="00D86A2A">
      <w:pPr>
        <w:widowControl w:val="0"/>
        <w:spacing w:after="0"/>
        <w:jc w:val="both"/>
        <w:rPr>
          <w:rFonts w:eastAsia="Times New Roman" w:cstheme="minorHAnsi"/>
          <w:lang w:eastAsia="pt-BR"/>
        </w:rPr>
      </w:pPr>
      <w:r w:rsidRPr="00F53EA9">
        <w:rPr>
          <w:rFonts w:eastAsia="Times New Roman" w:cstheme="minorHAnsi"/>
          <w:lang w:eastAsia="pt-BR"/>
        </w:rPr>
        <w:t>16.2.23 – Cumprir todas as demais obrigações decorrentes da aplicação das normas técnicas do DER/PR, DNIT e da legislação vigente aplicável à pavimentação asfáltica.</w:t>
      </w:r>
    </w:p>
    <w:p w14:paraId="12F140AE" w14:textId="77777777" w:rsidR="00F36F4B" w:rsidRPr="00F53EA9" w:rsidRDefault="00F36F4B" w:rsidP="00D86A2A">
      <w:pPr>
        <w:widowControl w:val="0"/>
        <w:spacing w:after="0"/>
        <w:jc w:val="both"/>
        <w:rPr>
          <w:rFonts w:eastAsia="Times New Roman" w:cstheme="minorHAnsi"/>
          <w:lang w:eastAsia="pt-BR"/>
        </w:rPr>
      </w:pPr>
      <w:r w:rsidRPr="00F53EA9">
        <w:rPr>
          <w:rFonts w:eastAsia="Times New Roman" w:cstheme="minorHAnsi"/>
          <w:lang w:eastAsia="pt-BR"/>
        </w:rPr>
        <w:t>16.2.24 – Produzir a massa asfáltica em conformidade com as normas da ABNT, mantendo temperatura entre 150 °C e 180 °C, de modo a garantir que o material chegue ao local de aplicação em condições adequadas de utilização, sem comprometer sua eficácia e durabilidade.</w:t>
      </w:r>
    </w:p>
    <w:p w14:paraId="4C4B2050" w14:textId="77777777" w:rsidR="00F36F4B" w:rsidRPr="00F53EA9" w:rsidRDefault="00F36F4B" w:rsidP="00D86A2A">
      <w:pPr>
        <w:widowControl w:val="0"/>
        <w:spacing w:after="0"/>
        <w:jc w:val="both"/>
        <w:rPr>
          <w:rFonts w:eastAsia="Times New Roman" w:cstheme="minorHAnsi"/>
          <w:lang w:eastAsia="pt-BR"/>
        </w:rPr>
      </w:pPr>
      <w:r w:rsidRPr="00F53EA9">
        <w:rPr>
          <w:rFonts w:eastAsia="Times New Roman" w:cstheme="minorHAnsi"/>
          <w:lang w:eastAsia="pt-BR"/>
        </w:rPr>
        <w:t>16.2.25 – Dispor, no ato da aplicação do CBUQ na pista, de termômetro capaz de comprovar a temperatura indicada no item 16.2.24, sob pena de rejeição do material pela fiscalização.</w:t>
      </w:r>
    </w:p>
    <w:p w14:paraId="600E33AB" w14:textId="77777777" w:rsidR="00F36F4B" w:rsidRDefault="00F36F4B" w:rsidP="00D86A2A">
      <w:pPr>
        <w:widowControl w:val="0"/>
        <w:spacing w:after="0"/>
        <w:jc w:val="both"/>
        <w:rPr>
          <w:rFonts w:eastAsia="Times New Roman" w:cstheme="minorHAnsi"/>
          <w:lang w:eastAsia="pt-BR"/>
        </w:rPr>
      </w:pPr>
      <w:r w:rsidRPr="00F53EA9">
        <w:rPr>
          <w:rFonts w:eastAsia="Times New Roman" w:cstheme="minorHAnsi"/>
          <w:lang w:eastAsia="pt-BR"/>
        </w:rPr>
        <w:t>16.2.27 – Caso a Usina de Asfalto não seja de propriedade da empresa contratada, apresentar contrato de fornecimento válido entre as partes, garantindo a disponibilização do material para a execução dos serviços.</w:t>
      </w:r>
    </w:p>
    <w:p w14:paraId="23D3171A" w14:textId="77777777" w:rsidR="00D86A2A" w:rsidRPr="00F53EA9" w:rsidRDefault="00D86A2A" w:rsidP="00D86A2A">
      <w:pPr>
        <w:widowControl w:val="0"/>
        <w:spacing w:after="0"/>
        <w:jc w:val="both"/>
        <w:rPr>
          <w:rFonts w:eastAsia="Times New Roman" w:cstheme="minorHAnsi"/>
          <w:lang w:eastAsia="pt-BR"/>
        </w:rPr>
      </w:pPr>
    </w:p>
    <w:p w14:paraId="3FEE6158" w14:textId="661D22D1" w:rsidR="00527B1F" w:rsidRPr="00527B1F" w:rsidRDefault="00527B1F" w:rsidP="00D86A2A">
      <w:pPr>
        <w:widowControl w:val="0"/>
        <w:spacing w:after="0"/>
        <w:jc w:val="both"/>
        <w:outlineLvl w:val="1"/>
        <w:rPr>
          <w:rFonts w:eastAsia="Times New Roman" w:cstheme="minorHAnsi"/>
          <w:b/>
          <w:bCs/>
          <w:lang w:eastAsia="pt-BR"/>
        </w:rPr>
      </w:pPr>
      <w:r w:rsidRPr="00527B1F">
        <w:rPr>
          <w:rFonts w:eastAsia="Times New Roman" w:cstheme="minorHAnsi"/>
          <w:b/>
          <w:bCs/>
          <w:lang w:eastAsia="pt-BR"/>
        </w:rPr>
        <w:t>17. DAS SANÇÕES ADMINISTRATIVAS</w:t>
      </w:r>
    </w:p>
    <w:p w14:paraId="37193760"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17.1. A multa poderá ser aplicada em conjunto com todas as demais sanções.</w:t>
      </w:r>
    </w:p>
    <w:p w14:paraId="5D6E1F8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17.2. Aplicação de advertência acrescida de multa:</w:t>
      </w:r>
    </w:p>
    <w:tbl>
      <w:tblPr>
        <w:tblStyle w:val="Tabelacomgrade"/>
        <w:tblW w:w="0" w:type="auto"/>
        <w:tblInd w:w="108" w:type="dxa"/>
        <w:tblLook w:val="04A0" w:firstRow="1" w:lastRow="0" w:firstColumn="1" w:lastColumn="0" w:noHBand="0" w:noVBand="1"/>
      </w:tblPr>
      <w:tblGrid>
        <w:gridCol w:w="5245"/>
        <w:gridCol w:w="3934"/>
      </w:tblGrid>
      <w:tr w:rsidR="00527B1F" w:rsidRPr="00527B1F" w14:paraId="1B6718AF" w14:textId="77777777" w:rsidTr="00D86A2A">
        <w:tc>
          <w:tcPr>
            <w:tcW w:w="5245" w:type="dxa"/>
            <w:hideMark/>
          </w:tcPr>
          <w:p w14:paraId="64BBC2EC"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Descumprimento</w:t>
            </w:r>
          </w:p>
        </w:tc>
        <w:tc>
          <w:tcPr>
            <w:tcW w:w="3934" w:type="dxa"/>
            <w:hideMark/>
          </w:tcPr>
          <w:p w14:paraId="1231CBE0"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Aplicação</w:t>
            </w:r>
          </w:p>
        </w:tc>
      </w:tr>
      <w:tr w:rsidR="00527B1F" w:rsidRPr="00527B1F" w14:paraId="53BFB73A" w14:textId="77777777" w:rsidTr="00D86A2A">
        <w:tc>
          <w:tcPr>
            <w:tcW w:w="5245" w:type="dxa"/>
            <w:hideMark/>
          </w:tcPr>
          <w:p w14:paraId="5D2AAFEA"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Descumprimento, de pequena relevância, de obrigação legal ou infração à Lei quando não se justifica aplicação de sanção mais grave</w:t>
            </w:r>
          </w:p>
        </w:tc>
        <w:tc>
          <w:tcPr>
            <w:tcW w:w="3934" w:type="dxa"/>
            <w:hideMark/>
          </w:tcPr>
          <w:p w14:paraId="49AB82A4"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Multa de 1% do valor do contrato + advertência</w:t>
            </w:r>
          </w:p>
        </w:tc>
      </w:tr>
      <w:tr w:rsidR="00527B1F" w:rsidRPr="00527B1F" w14:paraId="6CCE3379" w14:textId="77777777" w:rsidTr="00D86A2A">
        <w:tc>
          <w:tcPr>
            <w:tcW w:w="5245" w:type="dxa"/>
            <w:hideMark/>
          </w:tcPr>
          <w:p w14:paraId="7CE50A40"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Inexecução parcial de obrigação contratual principal ou acessória de pequena relevância, a critério da Administração, quando não se justificar aplicação de sanção mais grave</w:t>
            </w:r>
          </w:p>
        </w:tc>
        <w:tc>
          <w:tcPr>
            <w:tcW w:w="3934" w:type="dxa"/>
            <w:hideMark/>
          </w:tcPr>
          <w:p w14:paraId="79C745D0"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Multa de 3% do valor do contrato + advertência</w:t>
            </w:r>
          </w:p>
        </w:tc>
      </w:tr>
      <w:tr w:rsidR="00527B1F" w:rsidRPr="00527B1F" w14:paraId="308BFC0C" w14:textId="77777777" w:rsidTr="00D86A2A">
        <w:tc>
          <w:tcPr>
            <w:tcW w:w="5245" w:type="dxa"/>
            <w:hideMark/>
          </w:tcPr>
          <w:p w14:paraId="3D998CFD"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Atraso na execução de até 30 dias</w:t>
            </w:r>
          </w:p>
        </w:tc>
        <w:tc>
          <w:tcPr>
            <w:tcW w:w="3934" w:type="dxa"/>
            <w:hideMark/>
          </w:tcPr>
          <w:p w14:paraId="46C28C45"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Multa de mora diária de até 0,3%, calculada sobre o valor global do contrato ou da parcela em atraso</w:t>
            </w:r>
          </w:p>
        </w:tc>
      </w:tr>
    </w:tbl>
    <w:p w14:paraId="05512F0E"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17.3. Aplicação de impedimento de licitar e contratar, acrescida de multa:</w:t>
      </w:r>
    </w:p>
    <w:tbl>
      <w:tblPr>
        <w:tblStyle w:val="Tabelacomgrade"/>
        <w:tblW w:w="0" w:type="auto"/>
        <w:tblInd w:w="108" w:type="dxa"/>
        <w:tblLook w:val="04A0" w:firstRow="1" w:lastRow="0" w:firstColumn="1" w:lastColumn="0" w:noHBand="0" w:noVBand="1"/>
      </w:tblPr>
      <w:tblGrid>
        <w:gridCol w:w="5245"/>
        <w:gridCol w:w="3934"/>
      </w:tblGrid>
      <w:tr w:rsidR="00527B1F" w:rsidRPr="00527B1F" w14:paraId="197EE615" w14:textId="77777777" w:rsidTr="00D86A2A">
        <w:tc>
          <w:tcPr>
            <w:tcW w:w="5245" w:type="dxa"/>
            <w:hideMark/>
          </w:tcPr>
          <w:p w14:paraId="1686E5A2"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Descumprimento</w:t>
            </w:r>
          </w:p>
        </w:tc>
        <w:tc>
          <w:tcPr>
            <w:tcW w:w="3934" w:type="dxa"/>
            <w:hideMark/>
          </w:tcPr>
          <w:p w14:paraId="50243E82"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Aplicação</w:t>
            </w:r>
          </w:p>
        </w:tc>
      </w:tr>
      <w:tr w:rsidR="00527B1F" w:rsidRPr="001B3601" w14:paraId="30A1D8BD" w14:textId="77777777" w:rsidTr="00D86A2A">
        <w:tc>
          <w:tcPr>
            <w:tcW w:w="5245" w:type="dxa"/>
            <w:hideMark/>
          </w:tcPr>
          <w:p w14:paraId="344D79D6"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Dar causa à inexecução parcial do contrato, que cause grave dano à Administração</w:t>
            </w:r>
          </w:p>
        </w:tc>
        <w:tc>
          <w:tcPr>
            <w:tcW w:w="3934" w:type="dxa"/>
            <w:hideMark/>
          </w:tcPr>
          <w:p w14:paraId="1B47E827"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10% do valor do contrato + impedimento de licitar</w:t>
            </w:r>
          </w:p>
        </w:tc>
      </w:tr>
      <w:tr w:rsidR="00527B1F" w:rsidRPr="001B3601" w14:paraId="43F3939C" w14:textId="77777777" w:rsidTr="00D86A2A">
        <w:tc>
          <w:tcPr>
            <w:tcW w:w="5245" w:type="dxa"/>
            <w:hideMark/>
          </w:tcPr>
          <w:p w14:paraId="4C04A9D2"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Inexecução total do contrato</w:t>
            </w:r>
          </w:p>
        </w:tc>
        <w:tc>
          <w:tcPr>
            <w:tcW w:w="3934" w:type="dxa"/>
            <w:hideMark/>
          </w:tcPr>
          <w:p w14:paraId="69F3AAFD"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30% do valor do contrato + impedimento de licitar</w:t>
            </w:r>
          </w:p>
        </w:tc>
      </w:tr>
      <w:tr w:rsidR="00527B1F" w:rsidRPr="001B3601" w14:paraId="09D2CE04" w14:textId="77777777" w:rsidTr="00D86A2A">
        <w:tc>
          <w:tcPr>
            <w:tcW w:w="5245" w:type="dxa"/>
            <w:hideMark/>
          </w:tcPr>
          <w:p w14:paraId="7272B07E"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Deixar de entregar documentação exigida para o certame</w:t>
            </w:r>
          </w:p>
        </w:tc>
        <w:tc>
          <w:tcPr>
            <w:tcW w:w="3934" w:type="dxa"/>
            <w:hideMark/>
          </w:tcPr>
          <w:p w14:paraId="34E9D666"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10% do valor do contrato + impedimento de licitar</w:t>
            </w:r>
          </w:p>
        </w:tc>
      </w:tr>
      <w:tr w:rsidR="00527B1F" w:rsidRPr="001B3601" w14:paraId="209E950E" w14:textId="77777777" w:rsidTr="00D86A2A">
        <w:tc>
          <w:tcPr>
            <w:tcW w:w="5245" w:type="dxa"/>
            <w:hideMark/>
          </w:tcPr>
          <w:p w14:paraId="77362373"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Não manter proposta, salvo em decorrência de fato superveniente devidamente justificado</w:t>
            </w:r>
          </w:p>
        </w:tc>
        <w:tc>
          <w:tcPr>
            <w:tcW w:w="3934" w:type="dxa"/>
            <w:hideMark/>
          </w:tcPr>
          <w:p w14:paraId="72FAF53A"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10% do valor do contrato + impedimento de licitar</w:t>
            </w:r>
          </w:p>
        </w:tc>
      </w:tr>
      <w:tr w:rsidR="00527B1F" w:rsidRPr="001B3601" w14:paraId="1443A1C8" w14:textId="77777777" w:rsidTr="00D86A2A">
        <w:tc>
          <w:tcPr>
            <w:tcW w:w="5245" w:type="dxa"/>
            <w:hideMark/>
          </w:tcPr>
          <w:p w14:paraId="7EC8EB9C"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Não celebrar o contrato ou não entregar a documentação exigida para a contratação, quando convocado dentro do prazo de validade de sua proposta</w:t>
            </w:r>
          </w:p>
        </w:tc>
        <w:tc>
          <w:tcPr>
            <w:tcW w:w="3934" w:type="dxa"/>
            <w:hideMark/>
          </w:tcPr>
          <w:p w14:paraId="7D03C258"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20% do valor do contrato + impedimento de licitar</w:t>
            </w:r>
          </w:p>
        </w:tc>
      </w:tr>
      <w:tr w:rsidR="00527B1F" w:rsidRPr="001B3601" w14:paraId="679941A4" w14:textId="77777777" w:rsidTr="00D86A2A">
        <w:tc>
          <w:tcPr>
            <w:tcW w:w="5245" w:type="dxa"/>
            <w:hideMark/>
          </w:tcPr>
          <w:p w14:paraId="01A23A38"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Ensejar o retardamento da execução ou da entrega do objeto da licitação sem motivo justificado</w:t>
            </w:r>
          </w:p>
        </w:tc>
        <w:tc>
          <w:tcPr>
            <w:tcW w:w="3934" w:type="dxa"/>
            <w:hideMark/>
          </w:tcPr>
          <w:p w14:paraId="47A03189"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15% do valor do contrato + impedimento de licitar</w:t>
            </w:r>
          </w:p>
        </w:tc>
      </w:tr>
    </w:tbl>
    <w:p w14:paraId="7D7812F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17.4. Aplicação de declaração de inidoneidade, acrescida de multa:</w:t>
      </w:r>
    </w:p>
    <w:tbl>
      <w:tblPr>
        <w:tblStyle w:val="Tabelacomgrade"/>
        <w:tblW w:w="0" w:type="auto"/>
        <w:tblInd w:w="108" w:type="dxa"/>
        <w:tblLook w:val="04A0" w:firstRow="1" w:lastRow="0" w:firstColumn="1" w:lastColumn="0" w:noHBand="0" w:noVBand="1"/>
      </w:tblPr>
      <w:tblGrid>
        <w:gridCol w:w="5245"/>
        <w:gridCol w:w="3934"/>
      </w:tblGrid>
      <w:tr w:rsidR="00527B1F" w:rsidRPr="00527B1F" w14:paraId="23D5BECF" w14:textId="77777777" w:rsidTr="00D86A2A">
        <w:tc>
          <w:tcPr>
            <w:tcW w:w="5245" w:type="dxa"/>
            <w:hideMark/>
          </w:tcPr>
          <w:p w14:paraId="027C2DCE"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Descumprimento</w:t>
            </w:r>
          </w:p>
        </w:tc>
        <w:tc>
          <w:tcPr>
            <w:tcW w:w="3934" w:type="dxa"/>
            <w:hideMark/>
          </w:tcPr>
          <w:p w14:paraId="70F5E16B" w14:textId="77777777" w:rsidR="00527B1F" w:rsidRPr="00527B1F" w:rsidRDefault="00527B1F" w:rsidP="00D86A2A">
            <w:pPr>
              <w:widowControl w:val="0"/>
              <w:spacing w:line="276" w:lineRule="auto"/>
              <w:jc w:val="both"/>
              <w:rPr>
                <w:rFonts w:eastAsia="Times New Roman" w:cstheme="minorHAnsi"/>
                <w:b/>
                <w:bCs/>
                <w:lang w:eastAsia="pt-BR"/>
              </w:rPr>
            </w:pPr>
            <w:r w:rsidRPr="00527B1F">
              <w:rPr>
                <w:rFonts w:eastAsia="Times New Roman" w:cstheme="minorHAnsi"/>
                <w:b/>
                <w:bCs/>
                <w:lang w:eastAsia="pt-BR"/>
              </w:rPr>
              <w:t>Aplicação</w:t>
            </w:r>
          </w:p>
        </w:tc>
      </w:tr>
      <w:tr w:rsidR="00527B1F" w:rsidRPr="00527B1F" w14:paraId="1E8EF4A1" w14:textId="77777777" w:rsidTr="00D86A2A">
        <w:tc>
          <w:tcPr>
            <w:tcW w:w="5245" w:type="dxa"/>
            <w:hideMark/>
          </w:tcPr>
          <w:p w14:paraId="5A05DC32"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Apresentar declaração ou documentação falsa exigida para o certame ou prestar declaração falsa durante a licitação ou a execução do contrato</w:t>
            </w:r>
          </w:p>
        </w:tc>
        <w:tc>
          <w:tcPr>
            <w:tcW w:w="3934" w:type="dxa"/>
            <w:hideMark/>
          </w:tcPr>
          <w:p w14:paraId="2DDD5191"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25% do valor do contrato + declaração de inidoneidade</w:t>
            </w:r>
          </w:p>
        </w:tc>
      </w:tr>
      <w:tr w:rsidR="00527B1F" w:rsidRPr="00527B1F" w14:paraId="60AD8060" w14:textId="77777777" w:rsidTr="00D86A2A">
        <w:tc>
          <w:tcPr>
            <w:tcW w:w="5245" w:type="dxa"/>
            <w:hideMark/>
          </w:tcPr>
          <w:p w14:paraId="6D4B8CDE"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Fraudar a licitação ou praticar ato fraudulento na execução do contrato</w:t>
            </w:r>
          </w:p>
        </w:tc>
        <w:tc>
          <w:tcPr>
            <w:tcW w:w="3934" w:type="dxa"/>
            <w:hideMark/>
          </w:tcPr>
          <w:p w14:paraId="06680C53"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25% do valor do contrato + declaração de inidoneidade</w:t>
            </w:r>
          </w:p>
        </w:tc>
      </w:tr>
      <w:tr w:rsidR="00527B1F" w:rsidRPr="00527B1F" w14:paraId="23F4A3D9" w14:textId="77777777" w:rsidTr="00D86A2A">
        <w:tc>
          <w:tcPr>
            <w:tcW w:w="5245" w:type="dxa"/>
            <w:hideMark/>
          </w:tcPr>
          <w:p w14:paraId="7B22D3DD"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Comportar-se de modo inidôneo ou cometer fraude de qualquer natureza</w:t>
            </w:r>
          </w:p>
        </w:tc>
        <w:tc>
          <w:tcPr>
            <w:tcW w:w="3934" w:type="dxa"/>
            <w:hideMark/>
          </w:tcPr>
          <w:p w14:paraId="0226C232"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20% do valor do contrato + declaração de inidoneidade</w:t>
            </w:r>
          </w:p>
        </w:tc>
      </w:tr>
      <w:tr w:rsidR="00527B1F" w:rsidRPr="00527B1F" w14:paraId="04AA9904" w14:textId="77777777" w:rsidTr="00D86A2A">
        <w:tc>
          <w:tcPr>
            <w:tcW w:w="5245" w:type="dxa"/>
            <w:hideMark/>
          </w:tcPr>
          <w:p w14:paraId="7B3E91B3"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Praticar atos ilícitos com vistas a frustrar os objetivos da licitação</w:t>
            </w:r>
          </w:p>
        </w:tc>
        <w:tc>
          <w:tcPr>
            <w:tcW w:w="3934" w:type="dxa"/>
            <w:hideMark/>
          </w:tcPr>
          <w:p w14:paraId="2A687704"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25% do valor do contrato + declaração de inidoneidade</w:t>
            </w:r>
          </w:p>
        </w:tc>
      </w:tr>
      <w:tr w:rsidR="00527B1F" w:rsidRPr="00527B1F" w14:paraId="48D5417B" w14:textId="77777777" w:rsidTr="00D86A2A">
        <w:tc>
          <w:tcPr>
            <w:tcW w:w="5245" w:type="dxa"/>
            <w:hideMark/>
          </w:tcPr>
          <w:p w14:paraId="1FBCE9A6" w14:textId="77777777" w:rsidR="00527B1F" w:rsidRPr="00527B1F" w:rsidRDefault="00527B1F" w:rsidP="00D86A2A">
            <w:pPr>
              <w:widowControl w:val="0"/>
              <w:spacing w:line="276" w:lineRule="auto"/>
              <w:jc w:val="both"/>
              <w:rPr>
                <w:rFonts w:eastAsia="Times New Roman" w:cstheme="minorHAnsi"/>
                <w:lang w:eastAsia="pt-BR"/>
              </w:rPr>
            </w:pPr>
            <w:r w:rsidRPr="00527B1F">
              <w:rPr>
                <w:rFonts w:eastAsia="Times New Roman" w:cstheme="minorHAnsi"/>
                <w:lang w:eastAsia="pt-BR"/>
              </w:rPr>
              <w:t>Praticar ato lesivo previsto no art. 5° da Lei Federal n° 12.846/2013</w:t>
            </w:r>
          </w:p>
        </w:tc>
        <w:tc>
          <w:tcPr>
            <w:tcW w:w="3934" w:type="dxa"/>
            <w:hideMark/>
          </w:tcPr>
          <w:p w14:paraId="2D5C4BD0" w14:textId="77777777" w:rsidR="00527B1F" w:rsidRPr="001B3601" w:rsidRDefault="00527B1F" w:rsidP="00D86A2A">
            <w:pPr>
              <w:widowControl w:val="0"/>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30% do valor do contrato + declaração de inidoneidade</w:t>
            </w:r>
          </w:p>
        </w:tc>
      </w:tr>
    </w:tbl>
    <w:p w14:paraId="383DDA22"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17.5. 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 na Lei Federal n.º 12.846/2013.</w:t>
      </w:r>
    </w:p>
    <w:p w14:paraId="37E62B03"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17.6. 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Administração Pública do Estado do Paraná.</w:t>
      </w:r>
    </w:p>
    <w:p w14:paraId="140CD1B5" w14:textId="77777777" w:rsidR="00527B1F" w:rsidRPr="00527B1F" w:rsidRDefault="00527B1F" w:rsidP="00D86A2A">
      <w:pPr>
        <w:widowControl w:val="0"/>
        <w:spacing w:after="0"/>
        <w:jc w:val="both"/>
        <w:rPr>
          <w:rFonts w:eastAsia="Times New Roman" w:cstheme="minorHAnsi"/>
          <w:lang w:eastAsia="pt-BR"/>
        </w:rPr>
      </w:pPr>
      <w:r w:rsidRPr="00527B1F">
        <w:rPr>
          <w:rFonts w:eastAsia="Times New Roman" w:cstheme="minorHAnsi"/>
          <w:lang w:eastAsia="pt-BR"/>
        </w:rPr>
        <w:t>17.7. As multas previstas neste edital poderão ser descontadas do pagamento eventualmente devido pelo contratante decorrente de outros contratos firmados com a Administração Pública Municipal.</w:t>
      </w:r>
    </w:p>
    <w:p w14:paraId="4AD5C866" w14:textId="06CDA490" w:rsidR="00527B1F" w:rsidRDefault="00527B1F" w:rsidP="00D86A2A">
      <w:pPr>
        <w:widowControl w:val="0"/>
        <w:spacing w:after="0"/>
        <w:jc w:val="both"/>
        <w:rPr>
          <w:rFonts w:eastAsia="Times New Roman" w:cstheme="minorHAnsi"/>
          <w:lang w:eastAsia="pt-BR"/>
        </w:rPr>
      </w:pPr>
    </w:p>
    <w:p w14:paraId="575E2698" w14:textId="7B5BA465" w:rsidR="00BC263C" w:rsidRPr="008E0FCD" w:rsidRDefault="00BC263C" w:rsidP="00BC263C">
      <w:pPr>
        <w:spacing w:after="0"/>
        <w:jc w:val="both"/>
        <w:rPr>
          <w:rFonts w:ascii="Calibri Light" w:eastAsia="Times New Roman" w:hAnsi="Calibri Light" w:cs="Calibri Light"/>
          <w:b/>
          <w:bCs/>
          <w:lang w:eastAsia="pt-BR"/>
        </w:rPr>
      </w:pPr>
      <w:r>
        <w:rPr>
          <w:b/>
          <w:bCs/>
        </w:rPr>
        <w:t>18</w:t>
      </w:r>
      <w:r w:rsidRPr="008E0FCD">
        <w:rPr>
          <w:b/>
          <w:bCs/>
        </w:rPr>
        <w:t>. DISPOSIÇÕES GERAIS</w:t>
      </w:r>
    </w:p>
    <w:p w14:paraId="51FB6697" w14:textId="6D2D58B3" w:rsidR="00BC263C" w:rsidRPr="00CE2293" w:rsidRDefault="00BC263C" w:rsidP="00BC263C">
      <w:pPr>
        <w:spacing w:after="0"/>
        <w:jc w:val="both"/>
        <w:rPr>
          <w:rFonts w:ascii="Calibri Light" w:eastAsia="Times New Roman" w:hAnsi="Calibri Light" w:cs="Calibri Light"/>
          <w:lang w:eastAsia="pt-BR"/>
        </w:rPr>
      </w:pPr>
      <w:r>
        <w:t>18</w:t>
      </w:r>
      <w:r>
        <w:t>.1. Integram este Termo de Referência, para todos os efeitos legais e contratuais, os seguintes documentos:</w:t>
      </w:r>
    </w:p>
    <w:p w14:paraId="349B92BC" w14:textId="77777777" w:rsidR="00BC263C" w:rsidRPr="00CE2293" w:rsidRDefault="00BC263C" w:rsidP="00BC263C">
      <w:pPr>
        <w:spacing w:after="0"/>
        <w:jc w:val="both"/>
        <w:rPr>
          <w:rFonts w:ascii="Calibri Light" w:eastAsia="Times New Roman" w:hAnsi="Calibri Light" w:cs="Calibri Light"/>
          <w:lang w:eastAsia="pt-BR"/>
        </w:rPr>
      </w:pPr>
      <w:r>
        <w:t>I – Planilha orçamentária global detalhada por itens, conforme orçamento aprovado;</w:t>
      </w:r>
    </w:p>
    <w:p w14:paraId="4F591501" w14:textId="77777777" w:rsidR="00BC263C" w:rsidRPr="00CE2293" w:rsidRDefault="00BC263C" w:rsidP="00BC263C">
      <w:pPr>
        <w:spacing w:after="0"/>
        <w:jc w:val="both"/>
        <w:rPr>
          <w:rFonts w:ascii="Calibri Light" w:eastAsia="Times New Roman" w:hAnsi="Calibri Light" w:cs="Calibri Light"/>
          <w:lang w:eastAsia="pt-BR"/>
        </w:rPr>
      </w:pPr>
      <w:r>
        <w:t>II – Cronograma físico-financeiro, estruturado em etapas executivas;</w:t>
      </w:r>
    </w:p>
    <w:p w14:paraId="2787B7FB" w14:textId="77777777" w:rsidR="00BC263C" w:rsidRPr="00CE2293" w:rsidRDefault="00BC263C" w:rsidP="00BC263C">
      <w:pPr>
        <w:spacing w:after="0"/>
        <w:jc w:val="both"/>
        <w:rPr>
          <w:rFonts w:ascii="Calibri Light" w:eastAsia="Times New Roman" w:hAnsi="Calibri Light" w:cs="Calibri Light"/>
          <w:lang w:eastAsia="pt-BR"/>
        </w:rPr>
      </w:pPr>
      <w:r>
        <w:t>III – Descrição detalhada das etapas de execução dos serviços;</w:t>
      </w:r>
    </w:p>
    <w:p w14:paraId="1CA9F240" w14:textId="77777777" w:rsidR="00BC263C" w:rsidRPr="00CE2293" w:rsidRDefault="00BC263C" w:rsidP="00BC263C">
      <w:pPr>
        <w:spacing w:after="0"/>
        <w:jc w:val="both"/>
        <w:rPr>
          <w:rFonts w:ascii="Calibri Light" w:eastAsia="Times New Roman" w:hAnsi="Calibri Light" w:cs="Calibri Light"/>
          <w:lang w:eastAsia="pt-BR"/>
        </w:rPr>
      </w:pPr>
      <w:r>
        <w:t>IV – Projeto executivo completo, incluindo:</w:t>
      </w:r>
    </w:p>
    <w:p w14:paraId="3EBF4177" w14:textId="5676D624" w:rsidR="00BC263C" w:rsidRPr="00BC263C" w:rsidRDefault="00BC263C" w:rsidP="00BC263C">
      <w:pPr>
        <w:pStyle w:val="PargrafodaLista"/>
        <w:numPr>
          <w:ilvl w:val="0"/>
          <w:numId w:val="16"/>
        </w:numPr>
        <w:spacing w:after="0"/>
        <w:jc w:val="both"/>
        <w:rPr>
          <w:rFonts w:ascii="Calibri Light" w:eastAsia="Times New Roman" w:hAnsi="Calibri Light" w:cs="Calibri Light"/>
          <w:lang w:eastAsia="pt-BR"/>
        </w:rPr>
      </w:pPr>
      <w:r>
        <w:t xml:space="preserve">Memorial descritivo; </w:t>
      </w:r>
    </w:p>
    <w:p w14:paraId="4A3F3F42" w14:textId="5D57504A" w:rsidR="00BC263C" w:rsidRPr="00BC263C" w:rsidRDefault="00BC263C" w:rsidP="00BC263C">
      <w:pPr>
        <w:pStyle w:val="PargrafodaLista"/>
        <w:numPr>
          <w:ilvl w:val="0"/>
          <w:numId w:val="16"/>
        </w:numPr>
        <w:spacing w:after="0"/>
        <w:jc w:val="both"/>
        <w:rPr>
          <w:rFonts w:ascii="Calibri Light" w:eastAsia="Times New Roman" w:hAnsi="Calibri Light" w:cs="Calibri Light"/>
          <w:lang w:eastAsia="pt-BR"/>
        </w:rPr>
      </w:pPr>
      <w:r>
        <w:t xml:space="preserve">Projeto geométrico; </w:t>
      </w:r>
    </w:p>
    <w:p w14:paraId="776A9653" w14:textId="60E8AC07" w:rsidR="00BC263C" w:rsidRPr="00BC263C" w:rsidRDefault="00BC263C" w:rsidP="00BC263C">
      <w:pPr>
        <w:pStyle w:val="PargrafodaLista"/>
        <w:numPr>
          <w:ilvl w:val="0"/>
          <w:numId w:val="16"/>
        </w:numPr>
        <w:spacing w:after="0"/>
        <w:jc w:val="both"/>
        <w:rPr>
          <w:rFonts w:ascii="Calibri Light" w:eastAsia="Times New Roman" w:hAnsi="Calibri Light" w:cs="Calibri Light"/>
          <w:lang w:eastAsia="pt-BR"/>
        </w:rPr>
      </w:pPr>
      <w:r>
        <w:t xml:space="preserve">Dimensionamento do pavimento (com base em análises </w:t>
      </w:r>
      <w:proofErr w:type="spellStart"/>
      <w:r>
        <w:t>deflectométricas</w:t>
      </w:r>
      <w:proofErr w:type="spellEnd"/>
      <w:r>
        <w:t xml:space="preserve"> – DNER PRO 11/79); </w:t>
      </w:r>
    </w:p>
    <w:p w14:paraId="4F15D5B4" w14:textId="1B679E8C" w:rsidR="00BC263C" w:rsidRPr="00BC263C" w:rsidRDefault="00BC263C" w:rsidP="00BC263C">
      <w:pPr>
        <w:pStyle w:val="PargrafodaLista"/>
        <w:numPr>
          <w:ilvl w:val="0"/>
          <w:numId w:val="16"/>
        </w:numPr>
        <w:spacing w:after="0"/>
        <w:jc w:val="both"/>
        <w:rPr>
          <w:rFonts w:ascii="Calibri Light" w:eastAsia="Times New Roman" w:hAnsi="Calibri Light" w:cs="Calibri Light"/>
          <w:lang w:eastAsia="pt-BR"/>
        </w:rPr>
      </w:pPr>
      <w:r>
        <w:t xml:space="preserve">Projeto de drenagem (conforme Álbum DER/PR); </w:t>
      </w:r>
    </w:p>
    <w:p w14:paraId="13B4356E" w14:textId="15BFFE29" w:rsidR="00BC263C" w:rsidRPr="00BC263C" w:rsidRDefault="00BC263C" w:rsidP="00BC263C">
      <w:pPr>
        <w:pStyle w:val="PargrafodaLista"/>
        <w:numPr>
          <w:ilvl w:val="0"/>
          <w:numId w:val="16"/>
        </w:numPr>
        <w:spacing w:after="0"/>
        <w:jc w:val="both"/>
        <w:rPr>
          <w:rFonts w:ascii="Calibri Light" w:eastAsia="Times New Roman" w:hAnsi="Calibri Light" w:cs="Calibri Light"/>
          <w:lang w:eastAsia="pt-BR"/>
        </w:rPr>
      </w:pPr>
      <w:r>
        <w:t xml:space="preserve">Projeto de sinalização viária; </w:t>
      </w:r>
    </w:p>
    <w:p w14:paraId="03728B0A" w14:textId="77777777" w:rsidR="00BC263C" w:rsidRPr="00CE2293" w:rsidRDefault="00BC263C" w:rsidP="00BC263C">
      <w:pPr>
        <w:spacing w:after="0"/>
        <w:jc w:val="both"/>
        <w:rPr>
          <w:rFonts w:ascii="Calibri Light" w:eastAsia="Times New Roman" w:hAnsi="Calibri Light" w:cs="Calibri Light"/>
          <w:lang w:eastAsia="pt-BR"/>
        </w:rPr>
      </w:pPr>
      <w:r>
        <w:t>V – Especificações técnicas aplicáveis do DER/PR;</w:t>
      </w:r>
    </w:p>
    <w:p w14:paraId="5C4CBC72" w14:textId="77777777" w:rsidR="00BC263C" w:rsidRPr="00CE2293" w:rsidRDefault="00BC263C" w:rsidP="00BC263C">
      <w:pPr>
        <w:spacing w:after="0"/>
        <w:jc w:val="both"/>
        <w:rPr>
          <w:rFonts w:ascii="Calibri Light" w:eastAsia="Times New Roman" w:hAnsi="Calibri Light" w:cs="Calibri Light"/>
          <w:lang w:eastAsia="pt-BR"/>
        </w:rPr>
      </w:pPr>
      <w:r>
        <w:t>VI – Estudo Técnico Preliminar – ETP.</w:t>
      </w:r>
    </w:p>
    <w:p w14:paraId="06E65C00" w14:textId="49185637" w:rsidR="00BC263C" w:rsidRPr="00CE2293" w:rsidRDefault="00BC263C" w:rsidP="00BC263C">
      <w:pPr>
        <w:spacing w:after="0"/>
        <w:jc w:val="both"/>
        <w:rPr>
          <w:rFonts w:ascii="Calibri Light" w:eastAsia="Times New Roman" w:hAnsi="Calibri Light" w:cs="Calibri Light"/>
          <w:lang w:eastAsia="pt-BR"/>
        </w:rPr>
      </w:pPr>
      <w:r>
        <w:t>18</w:t>
      </w:r>
      <w:r>
        <w:t>.1.2. A planilha orçamentária final deverá seguir o modelo aprovado pelo órgão concedente, conforme documentação constante do processo administrativo.</w:t>
      </w:r>
    </w:p>
    <w:p w14:paraId="4E6425C5" w14:textId="49D69508" w:rsidR="00BC263C" w:rsidRPr="00CE2293" w:rsidRDefault="00BC263C" w:rsidP="00BC263C">
      <w:pPr>
        <w:spacing w:after="0"/>
        <w:jc w:val="both"/>
        <w:rPr>
          <w:rFonts w:ascii="Calibri Light" w:eastAsia="Times New Roman" w:hAnsi="Calibri Light" w:cs="Calibri Light"/>
          <w:b/>
          <w:bCs/>
          <w:lang w:eastAsia="pt-BR"/>
        </w:rPr>
      </w:pPr>
      <w:r>
        <w:t>18</w:t>
      </w:r>
      <w:r>
        <w:t>.2. Casos omissos</w:t>
      </w:r>
    </w:p>
    <w:p w14:paraId="7309D220" w14:textId="15F28018" w:rsidR="00BC263C" w:rsidRPr="00CE2293" w:rsidRDefault="00BC263C" w:rsidP="00BC263C">
      <w:pPr>
        <w:spacing w:after="0"/>
        <w:jc w:val="both"/>
        <w:rPr>
          <w:rFonts w:ascii="Calibri Light" w:eastAsia="Times New Roman" w:hAnsi="Calibri Light" w:cs="Calibri Light"/>
          <w:lang w:eastAsia="pt-BR"/>
        </w:rPr>
      </w:pPr>
      <w:r>
        <w:t>18</w:t>
      </w:r>
      <w:r>
        <w:t>.2.1. Os casos omissos serão resolvidos pela autoridade competente, com base na legislação vigente, especialmente:</w:t>
      </w:r>
    </w:p>
    <w:p w14:paraId="5ACF147A" w14:textId="77777777" w:rsidR="00BC263C" w:rsidRPr="00CE2293" w:rsidRDefault="00BC263C" w:rsidP="00BC263C">
      <w:pPr>
        <w:spacing w:after="0"/>
        <w:jc w:val="both"/>
        <w:rPr>
          <w:rFonts w:ascii="Calibri Light" w:eastAsia="Times New Roman" w:hAnsi="Calibri Light" w:cs="Calibri Light"/>
          <w:lang w:eastAsia="pt-BR"/>
        </w:rPr>
      </w:pPr>
      <w:r>
        <w:t>I – Lei nº 14.133/2021;</w:t>
      </w:r>
    </w:p>
    <w:p w14:paraId="55517A17" w14:textId="77777777" w:rsidR="00BC263C" w:rsidRPr="00CE2293" w:rsidRDefault="00BC263C" w:rsidP="00BC263C">
      <w:pPr>
        <w:spacing w:after="0"/>
        <w:jc w:val="both"/>
        <w:rPr>
          <w:rFonts w:ascii="Calibri Light" w:eastAsia="Times New Roman" w:hAnsi="Calibri Light" w:cs="Calibri Light"/>
          <w:lang w:eastAsia="pt-BR"/>
        </w:rPr>
      </w:pPr>
      <w:r>
        <w:t>II – Normas técnicas do DER/PR e DNIT;</w:t>
      </w:r>
    </w:p>
    <w:p w14:paraId="31C5A22B" w14:textId="77777777" w:rsidR="00BC263C" w:rsidRPr="00CE2293" w:rsidRDefault="00BC263C" w:rsidP="00BC263C">
      <w:pPr>
        <w:spacing w:after="0"/>
        <w:jc w:val="both"/>
        <w:rPr>
          <w:rFonts w:ascii="Calibri Light" w:eastAsia="Times New Roman" w:hAnsi="Calibri Light" w:cs="Calibri Light"/>
          <w:lang w:eastAsia="pt-BR"/>
        </w:rPr>
      </w:pPr>
      <w:r>
        <w:t>III – Legislação ambiental aplicável;</w:t>
      </w:r>
    </w:p>
    <w:p w14:paraId="05EB0EFC" w14:textId="77777777" w:rsidR="00BC263C" w:rsidRPr="00CE2293" w:rsidRDefault="00BC263C" w:rsidP="00BC263C">
      <w:pPr>
        <w:spacing w:after="0"/>
        <w:jc w:val="both"/>
        <w:rPr>
          <w:rFonts w:ascii="Calibri Light" w:eastAsia="Times New Roman" w:hAnsi="Calibri Light" w:cs="Calibri Light"/>
          <w:lang w:eastAsia="pt-BR"/>
        </w:rPr>
      </w:pPr>
      <w:r>
        <w:t>IV – Princípios da Administração Pública.</w:t>
      </w:r>
    </w:p>
    <w:p w14:paraId="25AA9857" w14:textId="4B08A0ED" w:rsidR="00BC263C" w:rsidRPr="00CE2293" w:rsidRDefault="00BC263C" w:rsidP="00BC263C">
      <w:pPr>
        <w:spacing w:after="0"/>
        <w:jc w:val="both"/>
        <w:rPr>
          <w:rFonts w:ascii="Calibri Light" w:eastAsia="Times New Roman" w:hAnsi="Calibri Light" w:cs="Calibri Light"/>
          <w:b/>
          <w:bCs/>
          <w:lang w:eastAsia="pt-BR"/>
        </w:rPr>
      </w:pPr>
      <w:r>
        <w:t>18</w:t>
      </w:r>
      <w:r>
        <w:t>.3. Esclarecimentos técnicos</w:t>
      </w:r>
    </w:p>
    <w:p w14:paraId="1CA2FD53" w14:textId="777BC734" w:rsidR="00BC263C" w:rsidRPr="00CE2293" w:rsidRDefault="00BC263C" w:rsidP="00BC263C">
      <w:pPr>
        <w:spacing w:after="0"/>
        <w:jc w:val="both"/>
        <w:rPr>
          <w:rFonts w:ascii="Calibri Light" w:eastAsia="Times New Roman" w:hAnsi="Calibri Light" w:cs="Calibri Light"/>
          <w:lang w:eastAsia="pt-BR"/>
        </w:rPr>
      </w:pPr>
      <w:r>
        <w:t>18</w:t>
      </w:r>
      <w:r>
        <w:t>.3.1. As dúvidas técnicas relativas a este Termo de Referência poderão ser formalmente encaminhadas à Secretaria Municipal de Infraestrutura, Programas e Projetos, até 3 (três) dias úteis antes da data de abertura da licitação.</w:t>
      </w:r>
    </w:p>
    <w:p w14:paraId="33DD2A13" w14:textId="3251B67F" w:rsidR="00BC263C" w:rsidRPr="00CE2293" w:rsidRDefault="00BC263C" w:rsidP="00BC263C">
      <w:pPr>
        <w:spacing w:after="0"/>
        <w:jc w:val="both"/>
        <w:rPr>
          <w:rFonts w:ascii="Calibri Light" w:eastAsia="Times New Roman" w:hAnsi="Calibri Light" w:cs="Calibri Light"/>
          <w:b/>
          <w:bCs/>
          <w:lang w:eastAsia="pt-BR"/>
        </w:rPr>
      </w:pPr>
      <w:r>
        <w:t>18</w:t>
      </w:r>
      <w:r>
        <w:t>.4. Vinculação ao Estudo Técnico Preliminar</w:t>
      </w:r>
    </w:p>
    <w:p w14:paraId="46A3FB56" w14:textId="0F837DAE" w:rsidR="00BC263C" w:rsidRPr="00CE2293" w:rsidRDefault="00BC263C" w:rsidP="00BC263C">
      <w:pPr>
        <w:spacing w:after="0"/>
        <w:jc w:val="both"/>
        <w:rPr>
          <w:rFonts w:ascii="Calibri Light" w:eastAsia="Times New Roman" w:hAnsi="Calibri Light" w:cs="Calibri Light"/>
          <w:lang w:eastAsia="pt-BR"/>
        </w:rPr>
      </w:pPr>
      <w:r>
        <w:t>18</w:t>
      </w:r>
      <w:r>
        <w:t>.4.1. Este Termo de Referência foi elaborado com base no Estudo Técnico Preliminar – ETP, integrante do processo administrativo, contemplando:</w:t>
      </w:r>
    </w:p>
    <w:p w14:paraId="1BEDE351" w14:textId="77777777" w:rsidR="00BC263C" w:rsidRPr="00CE2293" w:rsidRDefault="00BC263C" w:rsidP="00BC263C">
      <w:pPr>
        <w:spacing w:after="0"/>
        <w:jc w:val="both"/>
        <w:rPr>
          <w:rFonts w:ascii="Calibri Light" w:eastAsia="Times New Roman" w:hAnsi="Calibri Light" w:cs="Calibri Light"/>
          <w:lang w:eastAsia="pt-BR"/>
        </w:rPr>
      </w:pPr>
      <w:r>
        <w:t>I – Aspectos técnicos, incluindo dimensionamento estrutural e especificações do DER/PR;</w:t>
      </w:r>
    </w:p>
    <w:p w14:paraId="1036626F" w14:textId="77777777" w:rsidR="00BC263C" w:rsidRPr="00CE2293" w:rsidRDefault="00BC263C" w:rsidP="00BC263C">
      <w:pPr>
        <w:spacing w:after="0"/>
        <w:jc w:val="both"/>
        <w:rPr>
          <w:rFonts w:ascii="Calibri Light" w:eastAsia="Times New Roman" w:hAnsi="Calibri Light" w:cs="Calibri Light"/>
          <w:lang w:eastAsia="pt-BR"/>
        </w:rPr>
      </w:pPr>
      <w:r>
        <w:t>II – Aspectos econômicos, incluindo definição do valor estimado e fonte de recursos;</w:t>
      </w:r>
    </w:p>
    <w:p w14:paraId="116B0528" w14:textId="77777777" w:rsidR="00BC263C" w:rsidRPr="00CE2293" w:rsidRDefault="00BC263C" w:rsidP="00BC263C">
      <w:pPr>
        <w:spacing w:after="0"/>
        <w:jc w:val="both"/>
        <w:rPr>
          <w:rFonts w:ascii="Calibri Light" w:eastAsia="Times New Roman" w:hAnsi="Calibri Light" w:cs="Calibri Light"/>
          <w:lang w:eastAsia="pt-BR"/>
        </w:rPr>
      </w:pPr>
      <w:r>
        <w:t>III – Aspectos operacionais, incluindo cronograma e metodologia executiva;</w:t>
      </w:r>
    </w:p>
    <w:p w14:paraId="51B19849" w14:textId="77777777" w:rsidR="00BC263C" w:rsidRPr="00CE2293" w:rsidRDefault="00BC263C" w:rsidP="00BC263C">
      <w:pPr>
        <w:spacing w:after="0"/>
        <w:jc w:val="both"/>
        <w:rPr>
          <w:rFonts w:ascii="Calibri Light" w:eastAsia="Times New Roman" w:hAnsi="Calibri Light" w:cs="Calibri Light"/>
          <w:lang w:eastAsia="pt-BR"/>
        </w:rPr>
      </w:pPr>
      <w:r>
        <w:t>IV – Aspectos jurídicos aplicáveis à contratação.</w:t>
      </w:r>
    </w:p>
    <w:p w14:paraId="252C10AC" w14:textId="343D0738" w:rsidR="00BC263C" w:rsidRPr="00CE2293" w:rsidRDefault="00BC263C" w:rsidP="00BC263C">
      <w:pPr>
        <w:spacing w:after="0"/>
        <w:jc w:val="both"/>
        <w:rPr>
          <w:rFonts w:ascii="Calibri Light" w:eastAsia="Times New Roman" w:hAnsi="Calibri Light" w:cs="Calibri Light"/>
          <w:b/>
          <w:bCs/>
          <w:lang w:eastAsia="pt-BR"/>
        </w:rPr>
      </w:pPr>
      <w:r>
        <w:t>18</w:t>
      </w:r>
      <w:r>
        <w:t>.5. Princípios aplicáveis</w:t>
      </w:r>
    </w:p>
    <w:p w14:paraId="26885C65" w14:textId="4A934ED8" w:rsidR="00BC263C" w:rsidRPr="00CE2293" w:rsidRDefault="00BC263C" w:rsidP="00BC263C">
      <w:pPr>
        <w:spacing w:after="0"/>
        <w:jc w:val="both"/>
        <w:rPr>
          <w:rFonts w:ascii="Calibri Light" w:eastAsia="Times New Roman" w:hAnsi="Calibri Light" w:cs="Calibri Light"/>
          <w:lang w:eastAsia="pt-BR"/>
        </w:rPr>
      </w:pPr>
      <w:r>
        <w:t>18</w:t>
      </w:r>
      <w:r>
        <w:t>.5.1. A contratação observará os princípios da legalidade, impessoalidade, moralidade, publicidade, eficiência, isonomia, economicidade e desenvolvimento nacional sustentável, conforme art. 5º da Lei nº 14.133/2021.</w:t>
      </w:r>
    </w:p>
    <w:p w14:paraId="584D5439" w14:textId="632FAD69" w:rsidR="00BC263C" w:rsidRPr="00CE2293" w:rsidRDefault="00BC263C" w:rsidP="00BC263C">
      <w:pPr>
        <w:spacing w:after="0"/>
        <w:jc w:val="both"/>
        <w:rPr>
          <w:rFonts w:ascii="Calibri Light" w:eastAsia="Times New Roman" w:hAnsi="Calibri Light" w:cs="Calibri Light"/>
          <w:b/>
          <w:bCs/>
          <w:lang w:eastAsia="pt-BR"/>
        </w:rPr>
      </w:pPr>
      <w:r>
        <w:t>18</w:t>
      </w:r>
      <w:r>
        <w:t>.6. Visita técnica</w:t>
      </w:r>
    </w:p>
    <w:p w14:paraId="29A4FE21" w14:textId="335362E4" w:rsidR="00BC263C" w:rsidRPr="00CE2293" w:rsidRDefault="00BC263C" w:rsidP="00BC263C">
      <w:pPr>
        <w:spacing w:after="0"/>
        <w:jc w:val="both"/>
        <w:rPr>
          <w:rFonts w:ascii="Calibri Light" w:eastAsia="Times New Roman" w:hAnsi="Calibri Light" w:cs="Calibri Light"/>
          <w:lang w:eastAsia="pt-BR"/>
        </w:rPr>
      </w:pPr>
      <w:r>
        <w:t>18</w:t>
      </w:r>
      <w:r>
        <w:t>.6.1. A realização de visita técnica ao local da obra será facultativa, podendo ser agendada junto ao Departamento de Engenharia, até 3 (três) dias úteis antes da data da licitação.</w:t>
      </w:r>
    </w:p>
    <w:p w14:paraId="39B5EF49" w14:textId="62414089" w:rsidR="00BC263C" w:rsidRPr="00CE2293" w:rsidRDefault="00BC263C" w:rsidP="00BC263C">
      <w:pPr>
        <w:spacing w:after="0"/>
        <w:jc w:val="both"/>
        <w:rPr>
          <w:rFonts w:ascii="Calibri Light" w:eastAsia="Times New Roman" w:hAnsi="Calibri Light" w:cs="Calibri Light"/>
          <w:lang w:eastAsia="pt-BR"/>
        </w:rPr>
      </w:pPr>
      <w:r>
        <w:t>18</w:t>
      </w:r>
      <w:r>
        <w:t>.6.2. A visita tem por objetivo possibilitar o pleno conhecimento das condições locais de execução dos serviços, não sendo admitidas alegações posteriores de desconhecimento.</w:t>
      </w:r>
    </w:p>
    <w:p w14:paraId="13A99F4F" w14:textId="107B30E3" w:rsidR="00BC263C" w:rsidRPr="00CE2293" w:rsidRDefault="00BC263C" w:rsidP="00BC263C">
      <w:pPr>
        <w:spacing w:after="0"/>
        <w:jc w:val="both"/>
        <w:rPr>
          <w:rFonts w:ascii="Calibri Light" w:eastAsia="Times New Roman" w:hAnsi="Calibri Light" w:cs="Calibri Light"/>
          <w:lang w:eastAsia="pt-BR"/>
        </w:rPr>
      </w:pPr>
      <w:r>
        <w:t>18</w:t>
      </w:r>
      <w:r>
        <w:t>.7. Fiscalização e controle da execução</w:t>
      </w:r>
    </w:p>
    <w:p w14:paraId="6D5160BB" w14:textId="08FA3F2A" w:rsidR="00BC263C" w:rsidRPr="00CE2293" w:rsidRDefault="00BC263C" w:rsidP="00BC263C">
      <w:pPr>
        <w:spacing w:after="0"/>
        <w:jc w:val="both"/>
        <w:rPr>
          <w:rFonts w:ascii="Calibri Light" w:eastAsia="Times New Roman" w:hAnsi="Calibri Light" w:cs="Calibri Light"/>
          <w:lang w:eastAsia="pt-BR"/>
        </w:rPr>
      </w:pPr>
      <w:r>
        <w:t>18</w:t>
      </w:r>
      <w:r>
        <w:t>.7.1. A execução da obra estará sujeita à fiscalização rigorosa, especialmente quanto a:</w:t>
      </w:r>
    </w:p>
    <w:p w14:paraId="65F8C743" w14:textId="77777777" w:rsidR="00BC263C" w:rsidRPr="00CE2293" w:rsidRDefault="00BC263C" w:rsidP="00BC263C">
      <w:pPr>
        <w:spacing w:after="0"/>
        <w:jc w:val="both"/>
        <w:rPr>
          <w:rFonts w:ascii="Calibri Light" w:eastAsia="Times New Roman" w:hAnsi="Calibri Light" w:cs="Calibri Light"/>
          <w:lang w:eastAsia="pt-BR"/>
        </w:rPr>
      </w:pPr>
      <w:r>
        <w:t>I – Cumprimento das especificações técnicas do DER/PR, DNIT e ABNT;</w:t>
      </w:r>
    </w:p>
    <w:p w14:paraId="140153BF" w14:textId="77777777" w:rsidR="00BC263C" w:rsidRPr="00CE2293" w:rsidRDefault="00BC263C" w:rsidP="00BC263C">
      <w:pPr>
        <w:spacing w:after="0"/>
        <w:jc w:val="both"/>
        <w:rPr>
          <w:rFonts w:ascii="Calibri Light" w:eastAsia="Times New Roman" w:hAnsi="Calibri Light" w:cs="Calibri Light"/>
          <w:lang w:eastAsia="pt-BR"/>
        </w:rPr>
      </w:pPr>
      <w:r>
        <w:t>II – Atendimento ao projeto executivo;</w:t>
      </w:r>
    </w:p>
    <w:p w14:paraId="11F68A46" w14:textId="77777777" w:rsidR="00BC263C" w:rsidRPr="00CE2293" w:rsidRDefault="00BC263C" w:rsidP="00BC263C">
      <w:pPr>
        <w:spacing w:after="0"/>
        <w:jc w:val="both"/>
        <w:rPr>
          <w:rFonts w:ascii="Calibri Light" w:eastAsia="Times New Roman" w:hAnsi="Calibri Light" w:cs="Calibri Light"/>
          <w:lang w:eastAsia="pt-BR"/>
        </w:rPr>
      </w:pPr>
      <w:r>
        <w:t>III – Manutenção da regularidade dos licenciamentos ambientais;</w:t>
      </w:r>
    </w:p>
    <w:p w14:paraId="3A2368A3" w14:textId="77777777" w:rsidR="00BC263C" w:rsidRPr="00CE2293" w:rsidRDefault="00BC263C" w:rsidP="00BC263C">
      <w:pPr>
        <w:spacing w:after="0"/>
        <w:jc w:val="both"/>
        <w:rPr>
          <w:rFonts w:ascii="Calibri Light" w:eastAsia="Times New Roman" w:hAnsi="Calibri Light" w:cs="Calibri Light"/>
          <w:lang w:eastAsia="pt-BR"/>
        </w:rPr>
      </w:pPr>
      <w:r>
        <w:t>IV – Realização de ensaios tecnológicos;</w:t>
      </w:r>
    </w:p>
    <w:p w14:paraId="7B71FA72" w14:textId="77777777" w:rsidR="00BC263C" w:rsidRPr="00CE2293" w:rsidRDefault="00BC263C" w:rsidP="00BC263C">
      <w:pPr>
        <w:spacing w:after="0"/>
        <w:jc w:val="both"/>
        <w:rPr>
          <w:rFonts w:ascii="Calibri Light" w:eastAsia="Times New Roman" w:hAnsi="Calibri Light" w:cs="Calibri Light"/>
          <w:lang w:eastAsia="pt-BR"/>
        </w:rPr>
      </w:pPr>
      <w:r>
        <w:t>V – Conformidade com o dimensionamento estrutural do pavimento.</w:t>
      </w:r>
    </w:p>
    <w:p w14:paraId="5EA1E152" w14:textId="2477F8EB" w:rsidR="00BC263C" w:rsidRPr="00CE2293" w:rsidRDefault="00BC263C" w:rsidP="00BC263C">
      <w:pPr>
        <w:spacing w:after="0"/>
        <w:jc w:val="both"/>
        <w:rPr>
          <w:rFonts w:ascii="Calibri Light" w:eastAsia="Times New Roman" w:hAnsi="Calibri Light" w:cs="Calibri Light"/>
          <w:lang w:eastAsia="pt-BR"/>
        </w:rPr>
      </w:pPr>
      <w:r>
        <w:t>18</w:t>
      </w:r>
      <w:r>
        <w:t>.7.2. O descumprimento de requisitos técnicos essenciais poderá ensejar:</w:t>
      </w:r>
    </w:p>
    <w:p w14:paraId="034DF503" w14:textId="77777777" w:rsidR="00BC263C" w:rsidRPr="00CE2293" w:rsidRDefault="00BC263C" w:rsidP="00BC263C">
      <w:pPr>
        <w:spacing w:after="0"/>
        <w:jc w:val="both"/>
        <w:rPr>
          <w:rFonts w:ascii="Calibri Light" w:eastAsia="Times New Roman" w:hAnsi="Calibri Light" w:cs="Calibri Light"/>
          <w:lang w:eastAsia="pt-BR"/>
        </w:rPr>
      </w:pPr>
      <w:r>
        <w:t>I – Rejeição dos serviços executados;</w:t>
      </w:r>
    </w:p>
    <w:p w14:paraId="60BD2EFB" w14:textId="77777777" w:rsidR="00BC263C" w:rsidRPr="00CE2293" w:rsidRDefault="00BC263C" w:rsidP="00BC263C">
      <w:pPr>
        <w:spacing w:after="0"/>
        <w:jc w:val="both"/>
        <w:rPr>
          <w:rFonts w:ascii="Calibri Light" w:eastAsia="Times New Roman" w:hAnsi="Calibri Light" w:cs="Calibri Light"/>
          <w:lang w:eastAsia="pt-BR"/>
        </w:rPr>
      </w:pPr>
      <w:r>
        <w:t>II – Determinação de refazimento;</w:t>
      </w:r>
    </w:p>
    <w:p w14:paraId="54C04A8C" w14:textId="77777777" w:rsidR="00BC263C" w:rsidRPr="00CE2293" w:rsidRDefault="00BC263C" w:rsidP="00BC263C">
      <w:pPr>
        <w:spacing w:after="0"/>
        <w:jc w:val="both"/>
        <w:rPr>
          <w:rFonts w:ascii="Calibri Light" w:eastAsia="Times New Roman" w:hAnsi="Calibri Light" w:cs="Calibri Light"/>
          <w:lang w:eastAsia="pt-BR"/>
        </w:rPr>
      </w:pPr>
      <w:r>
        <w:t>III – Aplicação de sanções administrativas;</w:t>
      </w:r>
    </w:p>
    <w:p w14:paraId="6FF8B4E6" w14:textId="77777777" w:rsidR="00BC263C" w:rsidRDefault="00BC263C" w:rsidP="00BC263C">
      <w:pPr>
        <w:spacing w:after="0"/>
        <w:jc w:val="both"/>
      </w:pPr>
      <w:r>
        <w:t>IV – Demais medidas previstas contratualmente.</w:t>
      </w:r>
    </w:p>
    <w:p w14:paraId="3340C5CE" w14:textId="2F36E223" w:rsidR="00BC263C" w:rsidRPr="00721B58" w:rsidRDefault="00BC263C" w:rsidP="00BC263C">
      <w:pPr>
        <w:spacing w:after="0"/>
        <w:jc w:val="both"/>
        <w:rPr>
          <w:rFonts w:ascii="Calibri Light" w:eastAsia="Times New Roman" w:hAnsi="Calibri Light" w:cs="Calibri Light"/>
          <w:b/>
          <w:bCs/>
          <w:u w:val="single"/>
          <w:lang w:eastAsia="pt-BR"/>
        </w:rPr>
      </w:pPr>
      <w:r>
        <w:t>18</w:t>
      </w:r>
      <w:r>
        <w:t xml:space="preserve">.8. </w:t>
      </w:r>
      <w:r w:rsidRPr="00721B58">
        <w:rPr>
          <w:rFonts w:ascii="Calibri Light" w:eastAsia="Times New Roman" w:hAnsi="Calibri Light" w:cs="Calibri Light"/>
          <w:b/>
          <w:bCs/>
          <w:u w:val="single"/>
          <w:lang w:eastAsia="pt-BR"/>
        </w:rPr>
        <w:t xml:space="preserve">Havendo qualquer discordância entre o Termo de Referência e o Edital Padronizado do Órgão Repassador </w:t>
      </w:r>
      <w:proofErr w:type="spellStart"/>
      <w:r w:rsidRPr="00721B58">
        <w:rPr>
          <w:rFonts w:ascii="Calibri Light" w:eastAsia="Times New Roman" w:hAnsi="Calibri Light" w:cs="Calibri Light"/>
          <w:b/>
          <w:bCs/>
          <w:u w:val="single"/>
          <w:lang w:eastAsia="pt-BR"/>
        </w:rPr>
        <w:t>prevalecará</w:t>
      </w:r>
      <w:proofErr w:type="spellEnd"/>
      <w:r w:rsidRPr="00721B58">
        <w:rPr>
          <w:rFonts w:ascii="Calibri Light" w:eastAsia="Times New Roman" w:hAnsi="Calibri Light" w:cs="Calibri Light"/>
          <w:b/>
          <w:bCs/>
          <w:u w:val="single"/>
          <w:lang w:eastAsia="pt-BR"/>
        </w:rPr>
        <w:t xml:space="preserve"> as informações contidas no Edital.</w:t>
      </w:r>
    </w:p>
    <w:p w14:paraId="0E912CCE" w14:textId="77777777" w:rsidR="00BC263C" w:rsidRDefault="00BC263C" w:rsidP="00D86A2A">
      <w:pPr>
        <w:widowControl w:val="0"/>
        <w:spacing w:after="0"/>
        <w:jc w:val="both"/>
        <w:rPr>
          <w:rFonts w:eastAsia="Times New Roman" w:cstheme="minorHAnsi"/>
          <w:lang w:eastAsia="pt-BR"/>
        </w:rPr>
      </w:pPr>
    </w:p>
    <w:p w14:paraId="5CF5356B" w14:textId="08C9DDC2" w:rsidR="00BC263C" w:rsidRPr="008E0FCD" w:rsidRDefault="00BC263C" w:rsidP="00BC263C">
      <w:pPr>
        <w:spacing w:after="0"/>
        <w:jc w:val="both"/>
        <w:rPr>
          <w:rFonts w:ascii="Calibri Light" w:eastAsia="Times New Roman" w:hAnsi="Calibri Light" w:cs="Calibri Light"/>
          <w:b/>
          <w:bCs/>
          <w:lang w:eastAsia="pt-BR"/>
        </w:rPr>
      </w:pPr>
      <w:r>
        <w:rPr>
          <w:b/>
          <w:bCs/>
        </w:rPr>
        <w:t>19</w:t>
      </w:r>
      <w:r w:rsidRPr="008E0FCD">
        <w:rPr>
          <w:b/>
          <w:bCs/>
        </w:rPr>
        <w:t>. RESPONSABILIDADE E APROVAÇÃO</w:t>
      </w:r>
    </w:p>
    <w:p w14:paraId="460F3D1C" w14:textId="58AB915A" w:rsidR="00BC263C" w:rsidRPr="00CE2293" w:rsidRDefault="00BC263C" w:rsidP="00BC263C">
      <w:pPr>
        <w:spacing w:after="0"/>
        <w:jc w:val="both"/>
        <w:rPr>
          <w:rFonts w:ascii="Calibri Light" w:eastAsia="Times New Roman" w:hAnsi="Calibri Light" w:cs="Calibri Light"/>
          <w:lang w:eastAsia="pt-BR"/>
        </w:rPr>
      </w:pPr>
      <w:r>
        <w:t>19</w:t>
      </w:r>
      <w:r>
        <w:t>.1. O responsável pela elaboração deste Termo de Referência declara que seu conteúdo:</w:t>
      </w:r>
    </w:p>
    <w:p w14:paraId="51A842F2" w14:textId="77777777" w:rsidR="00BC263C" w:rsidRPr="00CE2293" w:rsidRDefault="00BC263C" w:rsidP="00BC263C">
      <w:pPr>
        <w:spacing w:after="0"/>
        <w:jc w:val="both"/>
        <w:rPr>
          <w:rFonts w:ascii="Calibri Light" w:eastAsia="Times New Roman" w:hAnsi="Calibri Light" w:cs="Calibri Light"/>
          <w:lang w:eastAsia="pt-BR"/>
        </w:rPr>
      </w:pPr>
      <w:r>
        <w:t>I – Está em conformidade com o Estudo Técnico Preliminar – ETP;</w:t>
      </w:r>
    </w:p>
    <w:p w14:paraId="3F1D2DB5" w14:textId="77777777" w:rsidR="00BC263C" w:rsidRPr="00CE2293" w:rsidRDefault="00BC263C" w:rsidP="00BC263C">
      <w:pPr>
        <w:spacing w:after="0"/>
        <w:jc w:val="both"/>
        <w:rPr>
          <w:rFonts w:ascii="Calibri Light" w:eastAsia="Times New Roman" w:hAnsi="Calibri Light" w:cs="Calibri Light"/>
          <w:lang w:eastAsia="pt-BR"/>
        </w:rPr>
      </w:pPr>
      <w:r>
        <w:t>II – Atende às normas técnicas aplicáveis do DER/PR, DNIT e ABNT;</w:t>
      </w:r>
    </w:p>
    <w:p w14:paraId="5D6F52E4" w14:textId="77777777" w:rsidR="00BC263C" w:rsidRPr="00CE2293" w:rsidRDefault="00BC263C" w:rsidP="00BC263C">
      <w:pPr>
        <w:spacing w:after="0"/>
        <w:jc w:val="both"/>
        <w:rPr>
          <w:rFonts w:ascii="Calibri Light" w:eastAsia="Times New Roman" w:hAnsi="Calibri Light" w:cs="Calibri Light"/>
          <w:lang w:eastAsia="pt-BR"/>
        </w:rPr>
      </w:pPr>
      <w:r>
        <w:t>III – Observa a legislação vigente, especialmente a Lei nº 14.133/2021;</w:t>
      </w:r>
    </w:p>
    <w:p w14:paraId="12CBE260" w14:textId="77777777" w:rsidR="00BC263C" w:rsidRPr="00CE2293" w:rsidRDefault="00BC263C" w:rsidP="00BC263C">
      <w:pPr>
        <w:spacing w:after="0"/>
        <w:jc w:val="both"/>
        <w:rPr>
          <w:rFonts w:ascii="Calibri Light" w:eastAsia="Times New Roman" w:hAnsi="Calibri Light" w:cs="Calibri Light"/>
          <w:lang w:eastAsia="pt-BR"/>
        </w:rPr>
      </w:pPr>
      <w:r>
        <w:t>IV – Está alinhado ao projeto executivo e demais documentos técnicos da contratação;</w:t>
      </w:r>
    </w:p>
    <w:p w14:paraId="32B845C8" w14:textId="77777777" w:rsidR="00BC263C" w:rsidRPr="00CE2293" w:rsidRDefault="00BC263C" w:rsidP="00BC263C">
      <w:pPr>
        <w:spacing w:after="0"/>
        <w:jc w:val="both"/>
        <w:rPr>
          <w:rFonts w:ascii="Calibri Light" w:eastAsia="Times New Roman" w:hAnsi="Calibri Light" w:cs="Calibri Light"/>
          <w:lang w:eastAsia="pt-BR"/>
        </w:rPr>
      </w:pPr>
      <w:r>
        <w:t>V – Atende às diretrizes e modelos adotados pela Administração Municipal.</w:t>
      </w:r>
    </w:p>
    <w:p w14:paraId="2CE80ADB" w14:textId="77777777" w:rsidR="00BC263C" w:rsidRPr="00527B1F" w:rsidRDefault="00BC263C" w:rsidP="00D86A2A">
      <w:pPr>
        <w:widowControl w:val="0"/>
        <w:spacing w:after="0"/>
        <w:jc w:val="both"/>
        <w:rPr>
          <w:rFonts w:eastAsia="Times New Roman" w:cstheme="minorHAnsi"/>
          <w:lang w:eastAsia="pt-BR"/>
        </w:rPr>
      </w:pPr>
    </w:p>
    <w:p w14:paraId="0675BB03" w14:textId="1A2EECBA" w:rsidR="00527B1F" w:rsidRPr="00527B1F" w:rsidRDefault="00527B1F" w:rsidP="00D86A2A">
      <w:pPr>
        <w:widowControl w:val="0"/>
        <w:spacing w:after="0"/>
        <w:jc w:val="both"/>
        <w:rPr>
          <w:rFonts w:eastAsia="Times New Roman" w:cstheme="minorHAnsi"/>
          <w:lang w:eastAsia="pt-BR"/>
        </w:rPr>
      </w:pPr>
    </w:p>
    <w:p w14:paraId="6D942047" w14:textId="25D46E81" w:rsidR="00527B1F" w:rsidRDefault="00527B1F" w:rsidP="00D86A2A">
      <w:pPr>
        <w:widowControl w:val="0"/>
        <w:spacing w:after="0"/>
        <w:jc w:val="right"/>
        <w:rPr>
          <w:rFonts w:eastAsia="Times New Roman" w:cstheme="minorHAnsi"/>
          <w:b/>
          <w:bCs/>
          <w:lang w:eastAsia="pt-BR"/>
        </w:rPr>
      </w:pPr>
      <w:r w:rsidRPr="00527B1F">
        <w:rPr>
          <w:rFonts w:eastAsia="Times New Roman" w:cstheme="minorHAnsi"/>
          <w:b/>
          <w:bCs/>
          <w:lang w:eastAsia="pt-BR"/>
        </w:rPr>
        <w:t xml:space="preserve">Nova Prata do Iguaçu, </w:t>
      </w:r>
      <w:r w:rsidR="00D86A2A">
        <w:rPr>
          <w:rFonts w:eastAsia="Times New Roman" w:cstheme="minorHAnsi"/>
          <w:b/>
          <w:bCs/>
          <w:lang w:eastAsia="pt-BR"/>
        </w:rPr>
        <w:t>29</w:t>
      </w:r>
      <w:r w:rsidR="00742E4C">
        <w:rPr>
          <w:rFonts w:eastAsia="Times New Roman" w:cstheme="minorHAnsi"/>
          <w:b/>
          <w:bCs/>
          <w:lang w:eastAsia="pt-BR"/>
        </w:rPr>
        <w:t xml:space="preserve"> de </w:t>
      </w:r>
      <w:r w:rsidR="00D86A2A">
        <w:rPr>
          <w:rFonts w:eastAsia="Times New Roman" w:cstheme="minorHAnsi"/>
          <w:b/>
          <w:bCs/>
          <w:lang w:eastAsia="pt-BR"/>
        </w:rPr>
        <w:t>abril</w:t>
      </w:r>
      <w:r w:rsidR="003B27EF">
        <w:rPr>
          <w:rFonts w:eastAsia="Times New Roman" w:cstheme="minorHAnsi"/>
          <w:b/>
          <w:bCs/>
          <w:lang w:eastAsia="pt-BR"/>
        </w:rPr>
        <w:t xml:space="preserve"> </w:t>
      </w:r>
      <w:r w:rsidR="00742E4C">
        <w:rPr>
          <w:rFonts w:eastAsia="Times New Roman" w:cstheme="minorHAnsi"/>
          <w:b/>
          <w:bCs/>
          <w:lang w:eastAsia="pt-BR"/>
        </w:rPr>
        <w:t>202</w:t>
      </w:r>
      <w:r w:rsidR="003B27EF">
        <w:rPr>
          <w:rFonts w:eastAsia="Times New Roman" w:cstheme="minorHAnsi"/>
          <w:b/>
          <w:bCs/>
          <w:lang w:eastAsia="pt-BR"/>
        </w:rPr>
        <w:t>6</w:t>
      </w:r>
      <w:r w:rsidR="00742E4C">
        <w:rPr>
          <w:rFonts w:eastAsia="Times New Roman" w:cstheme="minorHAnsi"/>
          <w:b/>
          <w:bCs/>
          <w:lang w:eastAsia="pt-BR"/>
        </w:rPr>
        <w:t>.</w:t>
      </w:r>
    </w:p>
    <w:p w14:paraId="7DAA245E" w14:textId="77777777" w:rsidR="00545566" w:rsidRDefault="00545566" w:rsidP="00D86A2A">
      <w:pPr>
        <w:widowControl w:val="0"/>
        <w:spacing w:after="0"/>
        <w:jc w:val="both"/>
        <w:rPr>
          <w:rFonts w:eastAsia="Times New Roman" w:cstheme="minorHAnsi"/>
          <w:b/>
          <w:bCs/>
          <w:lang w:eastAsia="pt-BR"/>
        </w:rPr>
      </w:pPr>
    </w:p>
    <w:p w14:paraId="1BB8D7F2" w14:textId="77777777" w:rsidR="00545566" w:rsidRPr="00527B1F" w:rsidRDefault="00545566" w:rsidP="00D86A2A">
      <w:pPr>
        <w:widowControl w:val="0"/>
        <w:spacing w:after="0"/>
        <w:jc w:val="both"/>
        <w:rPr>
          <w:rFonts w:eastAsia="Times New Roman" w:cstheme="minorHAnsi"/>
          <w:lang w:eastAsia="pt-BR"/>
        </w:rPr>
      </w:pPr>
    </w:p>
    <w:p w14:paraId="66A73ADA" w14:textId="40A4946C" w:rsidR="00527B1F" w:rsidRPr="00527B1F" w:rsidRDefault="003B27EF" w:rsidP="00D86A2A">
      <w:pPr>
        <w:widowControl w:val="0"/>
        <w:spacing w:after="0"/>
        <w:jc w:val="center"/>
        <w:rPr>
          <w:rFonts w:eastAsia="Times New Roman" w:cstheme="minorHAnsi"/>
          <w:lang w:eastAsia="pt-BR"/>
        </w:rPr>
      </w:pPr>
      <w:r>
        <w:rPr>
          <w:rFonts w:eastAsia="Times New Roman" w:cstheme="minorHAnsi"/>
          <w:b/>
          <w:bCs/>
          <w:lang w:eastAsia="pt-BR"/>
        </w:rPr>
        <w:t>Responsável pela</w:t>
      </w:r>
      <w:r w:rsidR="00527B1F" w:rsidRPr="00527B1F">
        <w:rPr>
          <w:rFonts w:eastAsia="Times New Roman" w:cstheme="minorHAnsi"/>
          <w:b/>
          <w:bCs/>
          <w:lang w:eastAsia="pt-BR"/>
        </w:rPr>
        <w:t xml:space="preserve"> Elaboração</w:t>
      </w:r>
      <w:r>
        <w:rPr>
          <w:rFonts w:eastAsia="Times New Roman" w:cstheme="minorHAnsi"/>
          <w:b/>
          <w:bCs/>
          <w:lang w:eastAsia="pt-BR"/>
        </w:rPr>
        <w:t xml:space="preserve"> deste Termo de Referência</w:t>
      </w:r>
      <w:r w:rsidR="00527B1F" w:rsidRPr="00527B1F">
        <w:rPr>
          <w:rFonts w:eastAsia="Times New Roman" w:cstheme="minorHAnsi"/>
          <w:b/>
          <w:bCs/>
          <w:lang w:eastAsia="pt-BR"/>
        </w:rPr>
        <w:t>:</w:t>
      </w:r>
    </w:p>
    <w:p w14:paraId="4F3FE2E4" w14:textId="77777777" w:rsidR="003B27EF" w:rsidRDefault="003B27EF" w:rsidP="00D86A2A">
      <w:pPr>
        <w:pStyle w:val="PargrafodaLista"/>
        <w:widowControl w:val="0"/>
        <w:spacing w:after="0"/>
        <w:jc w:val="both"/>
        <w:rPr>
          <w:rFonts w:eastAsia="Times New Roman" w:cstheme="minorHAnsi"/>
          <w:b/>
          <w:bCs/>
          <w:lang w:eastAsia="pt-BR"/>
        </w:rPr>
      </w:pPr>
    </w:p>
    <w:p w14:paraId="5BBDD282" w14:textId="77777777" w:rsidR="00D86A2A" w:rsidRDefault="00D86A2A" w:rsidP="00D86A2A">
      <w:pPr>
        <w:pStyle w:val="PargrafodaLista"/>
        <w:widowControl w:val="0"/>
        <w:spacing w:after="0"/>
        <w:ind w:left="1440"/>
        <w:jc w:val="both"/>
        <w:rPr>
          <w:rFonts w:eastAsia="Times New Roman" w:cstheme="minorHAnsi"/>
          <w:b/>
          <w:bCs/>
          <w:lang w:eastAsia="pt-BR"/>
        </w:rPr>
      </w:pPr>
    </w:p>
    <w:p w14:paraId="1EB38781" w14:textId="77777777" w:rsidR="00D86A2A" w:rsidRDefault="00D86A2A" w:rsidP="00D86A2A">
      <w:pPr>
        <w:pStyle w:val="PargrafodaLista"/>
        <w:widowControl w:val="0"/>
        <w:spacing w:after="0"/>
        <w:ind w:left="1440"/>
        <w:jc w:val="both"/>
        <w:rPr>
          <w:rFonts w:eastAsia="Times New Roman" w:cstheme="minorHAnsi"/>
          <w:b/>
          <w:bCs/>
          <w:lang w:eastAsia="pt-BR"/>
        </w:rPr>
      </w:pPr>
    </w:p>
    <w:p w14:paraId="3CD2F9F2" w14:textId="77777777" w:rsidR="00D86A2A" w:rsidRDefault="0031661B" w:rsidP="00D86A2A">
      <w:pPr>
        <w:pStyle w:val="PargrafodaLista"/>
        <w:widowControl w:val="0"/>
        <w:spacing w:after="0"/>
        <w:ind w:left="0"/>
        <w:jc w:val="center"/>
        <w:rPr>
          <w:rFonts w:eastAsia="Times New Roman" w:cstheme="minorHAnsi"/>
          <w:lang w:eastAsia="pt-BR"/>
        </w:rPr>
      </w:pPr>
      <w:r w:rsidRPr="0031661B">
        <w:rPr>
          <w:rFonts w:eastAsia="Times New Roman" w:cstheme="minorHAnsi"/>
          <w:b/>
          <w:bCs/>
          <w:lang w:eastAsia="pt-BR"/>
        </w:rPr>
        <w:t xml:space="preserve">Cleuza Castro de Jesus </w:t>
      </w:r>
      <w:r w:rsidRPr="0031661B">
        <w:rPr>
          <w:rFonts w:eastAsia="Times New Roman" w:cstheme="minorHAnsi"/>
          <w:lang w:eastAsia="pt-BR"/>
        </w:rPr>
        <w:t xml:space="preserve"> </w:t>
      </w:r>
    </w:p>
    <w:p w14:paraId="3DC16DC6" w14:textId="42CC9092" w:rsidR="0031661B" w:rsidRDefault="0031661B" w:rsidP="00D86A2A">
      <w:pPr>
        <w:pStyle w:val="PargrafodaLista"/>
        <w:widowControl w:val="0"/>
        <w:spacing w:after="0"/>
        <w:ind w:left="0"/>
        <w:jc w:val="center"/>
        <w:rPr>
          <w:rFonts w:eastAsia="Times New Roman" w:cstheme="minorHAnsi"/>
          <w:lang w:eastAsia="pt-BR"/>
        </w:rPr>
      </w:pPr>
      <w:r w:rsidRPr="0031661B">
        <w:rPr>
          <w:rFonts w:eastAsia="Times New Roman" w:cstheme="minorHAnsi"/>
          <w:lang w:eastAsia="pt-BR"/>
        </w:rPr>
        <w:t>Matrícula: 15.211-1</w:t>
      </w:r>
    </w:p>
    <w:p w14:paraId="0F45B93F" w14:textId="7A5B0A01" w:rsidR="00D86A2A" w:rsidRPr="0031661B" w:rsidRDefault="00D86A2A" w:rsidP="00D86A2A">
      <w:pPr>
        <w:pStyle w:val="PargrafodaLista"/>
        <w:widowControl w:val="0"/>
        <w:spacing w:after="0"/>
        <w:ind w:left="0"/>
        <w:jc w:val="center"/>
        <w:rPr>
          <w:rFonts w:eastAsia="Times New Roman" w:cstheme="minorHAnsi"/>
          <w:lang w:eastAsia="pt-BR"/>
        </w:rPr>
      </w:pPr>
      <w:r>
        <w:rPr>
          <w:rFonts w:eastAsia="Times New Roman" w:cstheme="minorHAnsi"/>
          <w:lang w:eastAsia="pt-BR"/>
        </w:rPr>
        <w:t>Engenheira Civil</w:t>
      </w:r>
    </w:p>
    <w:p w14:paraId="5FA5F8BB" w14:textId="1FD10DD4" w:rsidR="00527B1F" w:rsidRPr="00527B1F" w:rsidRDefault="00527B1F" w:rsidP="00D86A2A">
      <w:pPr>
        <w:widowControl w:val="0"/>
        <w:spacing w:after="0"/>
        <w:ind w:left="720"/>
        <w:jc w:val="both"/>
        <w:rPr>
          <w:rFonts w:eastAsia="Times New Roman" w:cstheme="minorHAnsi"/>
          <w:lang w:eastAsia="pt-BR"/>
        </w:rPr>
      </w:pPr>
    </w:p>
    <w:p w14:paraId="7D441810" w14:textId="153C48D4" w:rsidR="00527B1F" w:rsidRPr="00527B1F" w:rsidRDefault="00527B1F" w:rsidP="00D86A2A">
      <w:pPr>
        <w:widowControl w:val="0"/>
        <w:spacing w:after="0"/>
        <w:jc w:val="both"/>
        <w:rPr>
          <w:rFonts w:eastAsia="Times New Roman" w:cstheme="minorHAnsi"/>
          <w:lang w:eastAsia="pt-BR"/>
        </w:rPr>
      </w:pPr>
    </w:p>
    <w:sectPr w:rsidR="00527B1F" w:rsidRPr="00527B1F" w:rsidSect="00D86A2A">
      <w:headerReference w:type="default" r:id="rId10"/>
      <w:endnotePr>
        <w:numFmt w:val="decimal"/>
      </w:endnotePr>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D311F" w14:textId="77777777" w:rsidR="00315365" w:rsidRDefault="00315365" w:rsidP="002823B1">
      <w:pPr>
        <w:spacing w:after="0" w:line="240" w:lineRule="auto"/>
      </w:pPr>
      <w:r>
        <w:separator/>
      </w:r>
    </w:p>
  </w:endnote>
  <w:endnote w:type="continuationSeparator" w:id="0">
    <w:p w14:paraId="63D12EBC" w14:textId="77777777" w:rsidR="00315365" w:rsidRDefault="00315365"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FB8E8" w14:textId="77777777" w:rsidR="00315365" w:rsidRDefault="00315365" w:rsidP="002823B1">
      <w:pPr>
        <w:spacing w:after="0" w:line="240" w:lineRule="auto"/>
      </w:pPr>
      <w:r>
        <w:separator/>
      </w:r>
    </w:p>
  </w:footnote>
  <w:footnote w:type="continuationSeparator" w:id="0">
    <w:p w14:paraId="1EC69E73" w14:textId="77777777" w:rsidR="00315365" w:rsidRDefault="00315365"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4378A014" w14:textId="77777777" w:rsidTr="00285B0A">
      <w:tc>
        <w:tcPr>
          <w:tcW w:w="1483" w:type="dxa"/>
        </w:tcPr>
        <w:p w14:paraId="4CE3934F" w14:textId="77777777" w:rsidR="005C620C" w:rsidRDefault="005C620C" w:rsidP="00A8039A">
          <w:pPr>
            <w:rPr>
              <w:b/>
            </w:rPr>
          </w:pPr>
          <w:r w:rsidRPr="00A16EED">
            <w:rPr>
              <w:b/>
              <w:noProof/>
              <w:lang w:eastAsia="pt-BR"/>
            </w:rPr>
            <w:drawing>
              <wp:inline distT="0" distB="0" distL="0" distR="0" wp14:anchorId="483AA430" wp14:editId="0CB99F6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51971717"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2C5D9B95" w14:textId="77777777" w:rsidR="005C620C" w:rsidRPr="004E5AE2" w:rsidRDefault="005C620C" w:rsidP="00A8039A">
          <w:pPr>
            <w:pStyle w:val="Cabealho"/>
            <w:ind w:right="360" w:firstLine="34"/>
            <w:jc w:val="center"/>
            <w:rPr>
              <w:b/>
            </w:rPr>
          </w:pPr>
          <w:r w:rsidRPr="004E5AE2">
            <w:rPr>
              <w:b/>
            </w:rPr>
            <w:t>Estado do Paraná</w:t>
          </w:r>
        </w:p>
        <w:p w14:paraId="1E266EE2"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5A20027"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77E"/>
    <w:multiLevelType w:val="multilevel"/>
    <w:tmpl w:val="3F2C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D33A0"/>
    <w:multiLevelType w:val="multilevel"/>
    <w:tmpl w:val="920E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51C8F"/>
    <w:multiLevelType w:val="multilevel"/>
    <w:tmpl w:val="A750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3557F"/>
    <w:multiLevelType w:val="multilevel"/>
    <w:tmpl w:val="6864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F0076"/>
    <w:multiLevelType w:val="multilevel"/>
    <w:tmpl w:val="9614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E14CB8"/>
    <w:multiLevelType w:val="multilevel"/>
    <w:tmpl w:val="00F0765C"/>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4603134"/>
    <w:multiLevelType w:val="hybridMultilevel"/>
    <w:tmpl w:val="B6C2AF3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5D8C0225"/>
    <w:multiLevelType w:val="multilevel"/>
    <w:tmpl w:val="DC18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704948"/>
    <w:multiLevelType w:val="hybridMultilevel"/>
    <w:tmpl w:val="42762C74"/>
    <w:lvl w:ilvl="0" w:tplc="3DCE7282">
      <w:start w:val="1"/>
      <w:numFmt w:val="lowerLetter"/>
      <w:lvlText w:val="%1)"/>
      <w:lvlJc w:val="left"/>
      <w:pPr>
        <w:ind w:left="720" w:hanging="360"/>
      </w:pPr>
      <w:rPr>
        <w:rFonts w:asciiTheme="minorHAnsi" w:eastAsiaTheme="minorHAnsi" w:hAnsiTheme="minorHAnsi" w:cstheme="minorBid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85E31F6"/>
    <w:multiLevelType w:val="multilevel"/>
    <w:tmpl w:val="E16C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D73C04"/>
    <w:multiLevelType w:val="multilevel"/>
    <w:tmpl w:val="35C6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445B03"/>
    <w:multiLevelType w:val="multilevel"/>
    <w:tmpl w:val="88B4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15424C"/>
    <w:multiLevelType w:val="multilevel"/>
    <w:tmpl w:val="228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335700">
    <w:abstractNumId w:val="6"/>
  </w:num>
  <w:num w:numId="2" w16cid:durableId="943075375">
    <w:abstractNumId w:val="1"/>
  </w:num>
  <w:num w:numId="3" w16cid:durableId="1533960409">
    <w:abstractNumId w:val="10"/>
  </w:num>
  <w:num w:numId="4" w16cid:durableId="1931424182">
    <w:abstractNumId w:val="15"/>
  </w:num>
  <w:num w:numId="5" w16cid:durableId="209151246">
    <w:abstractNumId w:val="12"/>
  </w:num>
  <w:num w:numId="6" w16cid:durableId="1481455755">
    <w:abstractNumId w:val="3"/>
  </w:num>
  <w:num w:numId="7" w16cid:durableId="305936533">
    <w:abstractNumId w:val="14"/>
  </w:num>
  <w:num w:numId="8" w16cid:durableId="1487893616">
    <w:abstractNumId w:val="9"/>
  </w:num>
  <w:num w:numId="9" w16cid:durableId="688680734">
    <w:abstractNumId w:val="5"/>
  </w:num>
  <w:num w:numId="10" w16cid:durableId="242375288">
    <w:abstractNumId w:val="2"/>
  </w:num>
  <w:num w:numId="11" w16cid:durableId="414329145">
    <w:abstractNumId w:val="13"/>
  </w:num>
  <w:num w:numId="12" w16cid:durableId="1554196853">
    <w:abstractNumId w:val="0"/>
  </w:num>
  <w:num w:numId="13" w16cid:durableId="1079519702">
    <w:abstractNumId w:val="4"/>
  </w:num>
  <w:num w:numId="14" w16cid:durableId="491720512">
    <w:abstractNumId w:val="7"/>
  </w:num>
  <w:num w:numId="15" w16cid:durableId="1195459480">
    <w:abstractNumId w:val="8"/>
  </w:num>
  <w:num w:numId="16" w16cid:durableId="16805004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23ACC"/>
    <w:rsid w:val="000576B9"/>
    <w:rsid w:val="00060C2B"/>
    <w:rsid w:val="00067C15"/>
    <w:rsid w:val="00070961"/>
    <w:rsid w:val="00092BF3"/>
    <w:rsid w:val="000A34BB"/>
    <w:rsid w:val="000B09D9"/>
    <w:rsid w:val="000B43C4"/>
    <w:rsid w:val="000B4F53"/>
    <w:rsid w:val="000C0B4B"/>
    <w:rsid w:val="000C4E3A"/>
    <w:rsid w:val="000D7E9D"/>
    <w:rsid w:val="000E363B"/>
    <w:rsid w:val="000F190C"/>
    <w:rsid w:val="00117B7D"/>
    <w:rsid w:val="00142303"/>
    <w:rsid w:val="001463C6"/>
    <w:rsid w:val="00157858"/>
    <w:rsid w:val="0016243B"/>
    <w:rsid w:val="00165121"/>
    <w:rsid w:val="00174FB0"/>
    <w:rsid w:val="001762C6"/>
    <w:rsid w:val="001871F3"/>
    <w:rsid w:val="001B067A"/>
    <w:rsid w:val="001B3601"/>
    <w:rsid w:val="001F1FBA"/>
    <w:rsid w:val="00202BED"/>
    <w:rsid w:val="002237C3"/>
    <w:rsid w:val="00265D84"/>
    <w:rsid w:val="00267072"/>
    <w:rsid w:val="002736B6"/>
    <w:rsid w:val="002823B1"/>
    <w:rsid w:val="00285B0A"/>
    <w:rsid w:val="002A386D"/>
    <w:rsid w:val="002C45BF"/>
    <w:rsid w:val="002E11C0"/>
    <w:rsid w:val="002F16DC"/>
    <w:rsid w:val="002F7786"/>
    <w:rsid w:val="00311067"/>
    <w:rsid w:val="00315365"/>
    <w:rsid w:val="00315DFF"/>
    <w:rsid w:val="0031661B"/>
    <w:rsid w:val="00341A20"/>
    <w:rsid w:val="00342596"/>
    <w:rsid w:val="003703EF"/>
    <w:rsid w:val="00370A3D"/>
    <w:rsid w:val="00381DF8"/>
    <w:rsid w:val="00391FE3"/>
    <w:rsid w:val="0039321B"/>
    <w:rsid w:val="00393223"/>
    <w:rsid w:val="003B1364"/>
    <w:rsid w:val="003B27EF"/>
    <w:rsid w:val="003C296D"/>
    <w:rsid w:val="003E2D5B"/>
    <w:rsid w:val="003F430C"/>
    <w:rsid w:val="003F482F"/>
    <w:rsid w:val="00403FBF"/>
    <w:rsid w:val="004045C9"/>
    <w:rsid w:val="00407DB3"/>
    <w:rsid w:val="004111A9"/>
    <w:rsid w:val="00413D2D"/>
    <w:rsid w:val="00415567"/>
    <w:rsid w:val="00417E8D"/>
    <w:rsid w:val="00426B50"/>
    <w:rsid w:val="00434007"/>
    <w:rsid w:val="0045464C"/>
    <w:rsid w:val="0046063D"/>
    <w:rsid w:val="0046399F"/>
    <w:rsid w:val="004649EE"/>
    <w:rsid w:val="00470C59"/>
    <w:rsid w:val="00476364"/>
    <w:rsid w:val="004768FB"/>
    <w:rsid w:val="00497763"/>
    <w:rsid w:val="004A51A3"/>
    <w:rsid w:val="004C49A1"/>
    <w:rsid w:val="004C518F"/>
    <w:rsid w:val="004C763E"/>
    <w:rsid w:val="004F5E02"/>
    <w:rsid w:val="005206DD"/>
    <w:rsid w:val="005260E8"/>
    <w:rsid w:val="00527B1F"/>
    <w:rsid w:val="00535A82"/>
    <w:rsid w:val="00545566"/>
    <w:rsid w:val="005516C9"/>
    <w:rsid w:val="00560751"/>
    <w:rsid w:val="00562EA9"/>
    <w:rsid w:val="0056644B"/>
    <w:rsid w:val="00574ABC"/>
    <w:rsid w:val="00592867"/>
    <w:rsid w:val="00596624"/>
    <w:rsid w:val="005A1822"/>
    <w:rsid w:val="005B1784"/>
    <w:rsid w:val="005C620C"/>
    <w:rsid w:val="005E55A1"/>
    <w:rsid w:val="005F0038"/>
    <w:rsid w:val="005F3032"/>
    <w:rsid w:val="005F61EE"/>
    <w:rsid w:val="006006C7"/>
    <w:rsid w:val="006161C6"/>
    <w:rsid w:val="00623FBB"/>
    <w:rsid w:val="00624C67"/>
    <w:rsid w:val="0062709E"/>
    <w:rsid w:val="00634D8F"/>
    <w:rsid w:val="0063575E"/>
    <w:rsid w:val="0065005B"/>
    <w:rsid w:val="006552EF"/>
    <w:rsid w:val="006554D0"/>
    <w:rsid w:val="00693D93"/>
    <w:rsid w:val="006B253F"/>
    <w:rsid w:val="006B6A01"/>
    <w:rsid w:val="006C49F9"/>
    <w:rsid w:val="006E5B26"/>
    <w:rsid w:val="00703088"/>
    <w:rsid w:val="00742E4C"/>
    <w:rsid w:val="00744A50"/>
    <w:rsid w:val="00746A27"/>
    <w:rsid w:val="007711F1"/>
    <w:rsid w:val="00776386"/>
    <w:rsid w:val="00783F03"/>
    <w:rsid w:val="0078449E"/>
    <w:rsid w:val="007A0AD0"/>
    <w:rsid w:val="007A4A94"/>
    <w:rsid w:val="007B0327"/>
    <w:rsid w:val="007C021F"/>
    <w:rsid w:val="007C7235"/>
    <w:rsid w:val="007E39B1"/>
    <w:rsid w:val="007F49CE"/>
    <w:rsid w:val="007F5953"/>
    <w:rsid w:val="007F7AFB"/>
    <w:rsid w:val="00813667"/>
    <w:rsid w:val="00816AC8"/>
    <w:rsid w:val="00826C41"/>
    <w:rsid w:val="00831E5F"/>
    <w:rsid w:val="00836A0B"/>
    <w:rsid w:val="00866F3B"/>
    <w:rsid w:val="0087097A"/>
    <w:rsid w:val="00883AA3"/>
    <w:rsid w:val="00890A36"/>
    <w:rsid w:val="008A5431"/>
    <w:rsid w:val="008E79ED"/>
    <w:rsid w:val="008F091A"/>
    <w:rsid w:val="00907673"/>
    <w:rsid w:val="0091087D"/>
    <w:rsid w:val="0092320D"/>
    <w:rsid w:val="009247A4"/>
    <w:rsid w:val="00934432"/>
    <w:rsid w:val="00963B94"/>
    <w:rsid w:val="00983936"/>
    <w:rsid w:val="00993447"/>
    <w:rsid w:val="009B548A"/>
    <w:rsid w:val="009E0855"/>
    <w:rsid w:val="009F1B82"/>
    <w:rsid w:val="00A02BB6"/>
    <w:rsid w:val="00A3350C"/>
    <w:rsid w:val="00A36B00"/>
    <w:rsid w:val="00A42565"/>
    <w:rsid w:val="00A42BD5"/>
    <w:rsid w:val="00A45CF1"/>
    <w:rsid w:val="00A62D39"/>
    <w:rsid w:val="00A67015"/>
    <w:rsid w:val="00A71261"/>
    <w:rsid w:val="00A80330"/>
    <w:rsid w:val="00AA459E"/>
    <w:rsid w:val="00AA49ED"/>
    <w:rsid w:val="00AA5C41"/>
    <w:rsid w:val="00AB32D4"/>
    <w:rsid w:val="00AC35CA"/>
    <w:rsid w:val="00AC4B9D"/>
    <w:rsid w:val="00B00A47"/>
    <w:rsid w:val="00B150EC"/>
    <w:rsid w:val="00B16AD0"/>
    <w:rsid w:val="00B246EA"/>
    <w:rsid w:val="00B50D62"/>
    <w:rsid w:val="00B741D7"/>
    <w:rsid w:val="00B80628"/>
    <w:rsid w:val="00B8477B"/>
    <w:rsid w:val="00B87EA3"/>
    <w:rsid w:val="00B95F5B"/>
    <w:rsid w:val="00BA1C27"/>
    <w:rsid w:val="00BA6849"/>
    <w:rsid w:val="00BA6CA2"/>
    <w:rsid w:val="00BB539D"/>
    <w:rsid w:val="00BB6B80"/>
    <w:rsid w:val="00BC263C"/>
    <w:rsid w:val="00BC3BAB"/>
    <w:rsid w:val="00BC3D21"/>
    <w:rsid w:val="00BD4EBD"/>
    <w:rsid w:val="00BD4FD1"/>
    <w:rsid w:val="00BE3F93"/>
    <w:rsid w:val="00C128DC"/>
    <w:rsid w:val="00C137B0"/>
    <w:rsid w:val="00C140EC"/>
    <w:rsid w:val="00C17647"/>
    <w:rsid w:val="00C27EBF"/>
    <w:rsid w:val="00C30281"/>
    <w:rsid w:val="00C32C4E"/>
    <w:rsid w:val="00C545A7"/>
    <w:rsid w:val="00C570D5"/>
    <w:rsid w:val="00C71AB4"/>
    <w:rsid w:val="00C77C92"/>
    <w:rsid w:val="00C82A52"/>
    <w:rsid w:val="00C962CB"/>
    <w:rsid w:val="00CD4ECC"/>
    <w:rsid w:val="00CF71B3"/>
    <w:rsid w:val="00D04541"/>
    <w:rsid w:val="00D05532"/>
    <w:rsid w:val="00D20CF0"/>
    <w:rsid w:val="00D248B2"/>
    <w:rsid w:val="00D27088"/>
    <w:rsid w:val="00D46252"/>
    <w:rsid w:val="00D55925"/>
    <w:rsid w:val="00D66260"/>
    <w:rsid w:val="00D666B3"/>
    <w:rsid w:val="00D86A2A"/>
    <w:rsid w:val="00D903CB"/>
    <w:rsid w:val="00D9647B"/>
    <w:rsid w:val="00DB1C70"/>
    <w:rsid w:val="00DB6698"/>
    <w:rsid w:val="00DD0EE1"/>
    <w:rsid w:val="00DD1C90"/>
    <w:rsid w:val="00DD2537"/>
    <w:rsid w:val="00E02BE2"/>
    <w:rsid w:val="00E06423"/>
    <w:rsid w:val="00E20975"/>
    <w:rsid w:val="00E23719"/>
    <w:rsid w:val="00E46AF1"/>
    <w:rsid w:val="00E60EE3"/>
    <w:rsid w:val="00E638E4"/>
    <w:rsid w:val="00EA1CC5"/>
    <w:rsid w:val="00EB5CAC"/>
    <w:rsid w:val="00EB5E08"/>
    <w:rsid w:val="00EC05B7"/>
    <w:rsid w:val="00EE0866"/>
    <w:rsid w:val="00EE3169"/>
    <w:rsid w:val="00F36F4B"/>
    <w:rsid w:val="00F3793E"/>
    <w:rsid w:val="00F53EA9"/>
    <w:rsid w:val="00F60DF7"/>
    <w:rsid w:val="00F86232"/>
    <w:rsid w:val="00F87E29"/>
    <w:rsid w:val="00F902CA"/>
    <w:rsid w:val="00FA0A1C"/>
    <w:rsid w:val="00FB461E"/>
    <w:rsid w:val="00FD6320"/>
    <w:rsid w:val="00FE189E"/>
    <w:rsid w:val="00FE5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3AFDA66"/>
  <w15:docId w15:val="{EBB17086-5101-40FD-9043-1F2F5FB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092B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customStyle="1" w:styleId="Ttulo4Char">
    <w:name w:val="Título 4 Char"/>
    <w:basedOn w:val="Fontepargpadro"/>
    <w:link w:val="Ttulo4"/>
    <w:uiPriority w:val="9"/>
    <w:rsid w:val="00092BF3"/>
    <w:rPr>
      <w:rFonts w:asciiTheme="majorHAnsi" w:eastAsiaTheme="majorEastAsia" w:hAnsiTheme="majorHAnsi" w:cstheme="majorBidi"/>
      <w:i/>
      <w:iCs/>
      <w:color w:val="365F91" w:themeColor="accent1" w:themeShade="BF"/>
    </w:rPr>
  </w:style>
  <w:style w:type="numbering" w:customStyle="1" w:styleId="Semlista1">
    <w:name w:val="Sem lista1"/>
    <w:next w:val="Semlista"/>
    <w:uiPriority w:val="99"/>
    <w:semiHidden/>
    <w:unhideWhenUsed/>
    <w:rsid w:val="00527B1F"/>
  </w:style>
  <w:style w:type="paragraph" w:customStyle="1" w:styleId="msonormal0">
    <w:name w:val="msonormal"/>
    <w:basedOn w:val="Normal"/>
    <w:rsid w:val="00527B1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27B1F"/>
    <w:rPr>
      <w:i/>
      <w:iCs/>
    </w:rPr>
  </w:style>
  <w:style w:type="paragraph" w:styleId="PargrafodaLista">
    <w:name w:val="List Paragraph"/>
    <w:basedOn w:val="Normal"/>
    <w:link w:val="PargrafodaListaChar"/>
    <w:uiPriority w:val="1"/>
    <w:qFormat/>
    <w:rsid w:val="0031661B"/>
    <w:pPr>
      <w:ind w:left="720"/>
      <w:contextualSpacing/>
    </w:pPr>
  </w:style>
  <w:style w:type="character" w:customStyle="1" w:styleId="PargrafodaListaChar">
    <w:name w:val="Parágrafo da Lista Char"/>
    <w:link w:val="PargrafodaLista"/>
    <w:uiPriority w:val="1"/>
    <w:rsid w:val="000F1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75358742">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114AD-E2DD-4EBD-A689-813FE8DD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26</Pages>
  <Words>11653</Words>
  <Characters>62928</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 SAS</dc:creator>
  <cp:lastModifiedBy>User</cp:lastModifiedBy>
  <cp:revision>110</cp:revision>
  <dcterms:created xsi:type="dcterms:W3CDTF">2025-07-31T12:09:00Z</dcterms:created>
  <dcterms:modified xsi:type="dcterms:W3CDTF">2026-05-01T14:31:00Z</dcterms:modified>
</cp:coreProperties>
</file>