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52C75" w14:textId="77777777" w:rsidR="00EB2BC7" w:rsidRPr="00EB2BC7" w:rsidRDefault="00EB2BC7" w:rsidP="00EB2BC7">
      <w:pPr>
        <w:widowControl w:val="0"/>
        <w:spacing w:after="0"/>
        <w:jc w:val="center"/>
        <w:outlineLvl w:val="0"/>
        <w:rPr>
          <w:rFonts w:eastAsia="Times New Roman" w:cstheme="minorHAnsi"/>
          <w:b/>
          <w:bCs/>
          <w:kern w:val="36"/>
          <w:lang w:eastAsia="pt-BR"/>
        </w:rPr>
      </w:pPr>
      <w:r w:rsidRPr="00EB2BC7">
        <w:rPr>
          <w:rFonts w:eastAsia="Times New Roman" w:cstheme="minorHAnsi"/>
          <w:b/>
          <w:bCs/>
          <w:kern w:val="36"/>
          <w:lang w:eastAsia="pt-BR"/>
        </w:rPr>
        <w:t>ESTUDO TÉCNICO PRELIMINAR</w:t>
      </w:r>
    </w:p>
    <w:p w14:paraId="20574F5C" w14:textId="54224AED"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5A4CECB9">
          <v:rect id="_x0000_i1025" style="width:0;height:1.5pt" o:hralign="center" o:hrstd="t" o:hr="t" fillcolor="#a0a0a0" stroked="f"/>
        </w:pict>
      </w:r>
      <w:r w:rsidR="00EB2BC7" w:rsidRPr="00EB2BC7">
        <w:rPr>
          <w:rFonts w:eastAsia="Times New Roman" w:cstheme="minorHAnsi"/>
          <w:b/>
          <w:bCs/>
          <w:lang w:eastAsia="pt-BR"/>
        </w:rPr>
        <w:t>1. INFORMAÇÕES BÁSICAS</w:t>
      </w:r>
    </w:p>
    <w:p w14:paraId="508C4181" w14:textId="739C2268" w:rsid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1.1. NÚMERO DO PROCESSO:</w:t>
      </w:r>
      <w:r w:rsidRPr="00EB2BC7">
        <w:rPr>
          <w:rFonts w:eastAsia="Times New Roman" w:cstheme="minorHAnsi"/>
          <w:lang w:eastAsia="pt-BR"/>
        </w:rPr>
        <w:t xml:space="preserve"> 0</w:t>
      </w:r>
      <w:r w:rsidR="00896656">
        <w:rPr>
          <w:rFonts w:eastAsia="Times New Roman" w:cstheme="minorHAnsi"/>
          <w:lang w:eastAsia="pt-BR"/>
        </w:rPr>
        <w:t>25</w:t>
      </w:r>
      <w:r w:rsidRPr="00EB2BC7">
        <w:rPr>
          <w:rFonts w:eastAsia="Times New Roman" w:cstheme="minorHAnsi"/>
          <w:lang w:eastAsia="pt-BR"/>
        </w:rPr>
        <w:t>/2025 –</w:t>
      </w:r>
      <w:r w:rsidR="003B6B35">
        <w:rPr>
          <w:rFonts w:eastAsia="Times New Roman" w:cstheme="minorHAnsi"/>
          <w:lang w:eastAsia="pt-BR"/>
        </w:rPr>
        <w:t xml:space="preserve"> </w:t>
      </w:r>
      <w:r w:rsidRPr="00EB2BC7">
        <w:rPr>
          <w:rFonts w:eastAsia="Times New Roman" w:cstheme="minorHAnsi"/>
          <w:lang w:eastAsia="pt-BR"/>
        </w:rPr>
        <w:t>Fase Preparatória de Licitação.</w:t>
      </w:r>
    </w:p>
    <w:p w14:paraId="71D5981F" w14:textId="67954389" w:rsidR="005566DE" w:rsidRPr="00EB2BC7" w:rsidRDefault="00A7784A" w:rsidP="00EB2BC7">
      <w:pPr>
        <w:widowControl w:val="0"/>
        <w:spacing w:after="0"/>
        <w:jc w:val="both"/>
        <w:rPr>
          <w:rFonts w:eastAsia="Times New Roman" w:cstheme="minorHAnsi"/>
          <w:lang w:eastAsia="pt-BR"/>
        </w:rPr>
      </w:pPr>
      <w:r w:rsidRPr="00A7784A">
        <w:rPr>
          <w:rFonts w:eastAsia="Times New Roman" w:cstheme="minorHAnsi"/>
          <w:b/>
          <w:bCs/>
          <w:lang w:eastAsia="pt-BR"/>
        </w:rPr>
        <w:t>1.2. PRIORIDADE</w:t>
      </w:r>
      <w:r w:rsidR="00B41752">
        <w:rPr>
          <w:rFonts w:eastAsia="Times New Roman" w:cstheme="minorHAnsi"/>
          <w:b/>
          <w:bCs/>
          <w:lang w:eastAsia="pt-BR"/>
        </w:rPr>
        <w:t xml:space="preserve"> n°</w:t>
      </w:r>
      <w:r>
        <w:rPr>
          <w:rFonts w:eastAsia="Times New Roman" w:cstheme="minorHAnsi"/>
          <w:lang w:eastAsia="pt-BR"/>
        </w:rPr>
        <w:t xml:space="preserve">: </w:t>
      </w:r>
      <w:r w:rsidR="00896656">
        <w:rPr>
          <w:rFonts w:eastAsia="Times New Roman" w:cstheme="minorHAnsi"/>
          <w:lang w:eastAsia="pt-BR"/>
        </w:rPr>
        <w:t>9</w:t>
      </w:r>
      <w:r w:rsidR="00831F9A">
        <w:rPr>
          <w:rFonts w:eastAsia="Times New Roman" w:cstheme="minorHAnsi"/>
          <w:lang w:eastAsia="pt-BR"/>
        </w:rPr>
        <w:t>6</w:t>
      </w:r>
      <w:r w:rsidR="005566DE">
        <w:rPr>
          <w:rFonts w:eastAsia="Times New Roman" w:cstheme="minorHAnsi"/>
          <w:lang w:eastAsia="pt-BR"/>
        </w:rPr>
        <w:tab/>
      </w:r>
      <w:r w:rsidR="005566DE">
        <w:rPr>
          <w:rFonts w:eastAsia="Times New Roman" w:cstheme="minorHAnsi"/>
          <w:lang w:eastAsia="pt-BR"/>
        </w:rPr>
        <w:tab/>
      </w:r>
      <w:r w:rsidR="005566DE">
        <w:rPr>
          <w:rFonts w:eastAsia="Times New Roman" w:cstheme="minorHAnsi"/>
          <w:lang w:eastAsia="pt-BR"/>
        </w:rPr>
        <w:tab/>
      </w:r>
      <w:r w:rsidR="005566DE">
        <w:rPr>
          <w:rFonts w:eastAsia="Times New Roman" w:cstheme="minorHAnsi"/>
          <w:lang w:eastAsia="pt-BR"/>
        </w:rPr>
        <w:tab/>
      </w:r>
      <w:r w:rsidR="005566DE">
        <w:rPr>
          <w:rFonts w:eastAsia="Times New Roman" w:cstheme="minorHAnsi"/>
          <w:lang w:eastAsia="pt-BR"/>
        </w:rPr>
        <w:tab/>
      </w:r>
      <w:r w:rsidR="005566DE" w:rsidRPr="005566DE">
        <w:rPr>
          <w:rFonts w:eastAsia="Times New Roman" w:cstheme="minorHAnsi"/>
          <w:b/>
          <w:bCs/>
          <w:lang w:eastAsia="pt-BR"/>
        </w:rPr>
        <w:t>SAM</w:t>
      </w:r>
      <w:r w:rsidR="005566DE">
        <w:rPr>
          <w:rFonts w:eastAsia="Times New Roman" w:cstheme="minorHAnsi"/>
          <w:lang w:eastAsia="pt-BR"/>
        </w:rPr>
        <w:t xml:space="preserve"> n°</w:t>
      </w:r>
      <w:r w:rsidR="00B41752">
        <w:rPr>
          <w:rFonts w:eastAsia="Times New Roman" w:cstheme="minorHAnsi"/>
          <w:lang w:eastAsia="pt-BR"/>
        </w:rPr>
        <w:t>:</w:t>
      </w:r>
      <w:r w:rsidR="005566DE">
        <w:rPr>
          <w:rFonts w:eastAsia="Times New Roman" w:cstheme="minorHAnsi"/>
          <w:lang w:eastAsia="pt-BR"/>
        </w:rPr>
        <w:t xml:space="preserve"> </w:t>
      </w:r>
      <w:r w:rsidR="00831F9A">
        <w:rPr>
          <w:rFonts w:eastAsia="Times New Roman" w:cstheme="minorHAnsi"/>
          <w:lang w:eastAsia="pt-BR"/>
        </w:rPr>
        <w:t>80</w:t>
      </w:r>
    </w:p>
    <w:p w14:paraId="2FB9DDD6" w14:textId="228D525F" w:rsid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1.</w:t>
      </w:r>
      <w:r w:rsidR="00A7784A">
        <w:rPr>
          <w:rFonts w:eastAsia="Times New Roman" w:cstheme="minorHAnsi"/>
          <w:b/>
          <w:bCs/>
          <w:lang w:eastAsia="pt-BR"/>
        </w:rPr>
        <w:t>3</w:t>
      </w:r>
      <w:r w:rsidRPr="00EB2BC7">
        <w:rPr>
          <w:rFonts w:eastAsia="Times New Roman" w:cstheme="minorHAnsi"/>
          <w:b/>
          <w:bCs/>
          <w:lang w:eastAsia="pt-BR"/>
        </w:rPr>
        <w:t>. Objeto:</w:t>
      </w:r>
      <w:r w:rsidRPr="00EB2BC7">
        <w:rPr>
          <w:rFonts w:eastAsia="Times New Roman" w:cstheme="minorHAnsi"/>
          <w:lang w:eastAsia="pt-BR"/>
        </w:rPr>
        <w:t xml:space="preserve"> </w:t>
      </w:r>
      <w:r w:rsidR="00896656">
        <w:rPr>
          <w:rFonts w:eastAsia="Times New Roman" w:cstheme="minorHAnsi"/>
          <w:lang w:eastAsia="pt-BR"/>
        </w:rPr>
        <w:t xml:space="preserve">Contratação de Empresa Especializada na </w:t>
      </w:r>
      <w:r w:rsidR="00896656" w:rsidRPr="00EB2BC7">
        <w:rPr>
          <w:rFonts w:eastAsia="Times New Roman" w:cstheme="minorHAnsi"/>
          <w:lang w:eastAsia="pt-BR"/>
        </w:rPr>
        <w:t>Pavimentação</w:t>
      </w:r>
      <w:r w:rsidR="00896656">
        <w:rPr>
          <w:rFonts w:eastAsia="Times New Roman" w:cstheme="minorHAnsi"/>
          <w:lang w:eastAsia="pt-BR"/>
        </w:rPr>
        <w:t xml:space="preserve"> asfáltica em CBUQ – Concreto Betuminoso Usinado a Quente,</w:t>
      </w:r>
      <w:r w:rsidR="00896656" w:rsidRPr="00EB2BC7">
        <w:rPr>
          <w:rFonts w:eastAsia="Times New Roman" w:cstheme="minorHAnsi"/>
          <w:lang w:eastAsia="pt-BR"/>
        </w:rPr>
        <w:t xml:space="preserve"> </w:t>
      </w:r>
      <w:r w:rsidR="00896656">
        <w:rPr>
          <w:rFonts w:eastAsia="Times New Roman" w:cstheme="minorHAnsi"/>
          <w:lang w:eastAsia="pt-BR"/>
        </w:rPr>
        <w:t>sobre pedras irregulares</w:t>
      </w:r>
      <w:r w:rsidR="00896656" w:rsidRPr="00EB2BC7">
        <w:rPr>
          <w:rFonts w:eastAsia="Times New Roman" w:cstheme="minorHAnsi"/>
          <w:lang w:eastAsia="pt-BR"/>
        </w:rPr>
        <w:t xml:space="preserve">, área de </w:t>
      </w:r>
      <w:r w:rsidR="00831F9A">
        <w:rPr>
          <w:rFonts w:eastAsia="Times New Roman" w:cstheme="minorHAnsi"/>
          <w:lang w:eastAsia="pt-BR"/>
        </w:rPr>
        <w:t>31.888,36</w:t>
      </w:r>
      <w:r w:rsidR="00896656" w:rsidRPr="00EB2BC7">
        <w:rPr>
          <w:rFonts w:eastAsia="Times New Roman" w:cstheme="minorHAnsi"/>
          <w:lang w:eastAsia="pt-BR"/>
        </w:rPr>
        <w:t xml:space="preserve"> m², compreendendo: serviços preliminares; drenagem; </w:t>
      </w:r>
      <w:proofErr w:type="spellStart"/>
      <w:r w:rsidR="00896656">
        <w:rPr>
          <w:rFonts w:eastAsia="Times New Roman" w:cstheme="minorHAnsi"/>
          <w:lang w:eastAsia="pt-BR"/>
        </w:rPr>
        <w:t>reperfilagem</w:t>
      </w:r>
      <w:proofErr w:type="spellEnd"/>
      <w:r w:rsidR="00896656">
        <w:rPr>
          <w:rFonts w:eastAsia="Times New Roman" w:cstheme="minorHAnsi"/>
          <w:lang w:eastAsia="pt-BR"/>
        </w:rPr>
        <w:t>, capa</w:t>
      </w:r>
      <w:r w:rsidR="00896656" w:rsidRPr="00EB2BC7">
        <w:rPr>
          <w:rFonts w:eastAsia="Times New Roman" w:cstheme="minorHAnsi"/>
          <w:lang w:eastAsia="pt-BR"/>
        </w:rPr>
        <w:t>; meio-fio e sarjeta; serviços de urbanização; sinalização de trânsito; e ensaios de controle tecnológico.</w:t>
      </w:r>
    </w:p>
    <w:p w14:paraId="08802AC5" w14:textId="50E47120"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5C26A067">
          <v:rect id="_x0000_i1026" style="width:0;height:1.5pt" o:hralign="center" o:hrstd="t" o:hr="t" fillcolor="#a0a0a0" stroked="f"/>
        </w:pict>
      </w:r>
      <w:r w:rsidR="00EB2BC7" w:rsidRPr="00EB2BC7">
        <w:rPr>
          <w:rFonts w:eastAsia="Times New Roman" w:cstheme="minorHAnsi"/>
          <w:b/>
          <w:bCs/>
          <w:lang w:eastAsia="pt-BR"/>
        </w:rPr>
        <w:t>2. DESIGNAÇÃO DA EQUIPE DE ELABORAÇÃO</w:t>
      </w:r>
    </w:p>
    <w:p w14:paraId="37F57AB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2.1. SERVIDORES:</w:t>
      </w:r>
    </w:p>
    <w:p w14:paraId="270898F4" w14:textId="77777777" w:rsidR="00D26D87" w:rsidRDefault="00EB2BC7" w:rsidP="001F4F70">
      <w:pPr>
        <w:widowControl w:val="0"/>
        <w:pBdr>
          <w:top w:val="nil"/>
          <w:left w:val="nil"/>
          <w:bottom w:val="nil"/>
          <w:right w:val="nil"/>
          <w:between w:val="nil"/>
        </w:pBdr>
        <w:spacing w:after="0"/>
        <w:jc w:val="both"/>
        <w:rPr>
          <w:rFonts w:ascii="Arial Narrow" w:hAnsi="Arial Narrow"/>
          <w:bCs/>
        </w:rPr>
      </w:pPr>
      <w:r w:rsidRPr="00D26D87">
        <w:rPr>
          <w:rFonts w:eastAsia="Times New Roman" w:cstheme="minorHAnsi"/>
          <w:b/>
          <w:bCs/>
          <w:lang w:eastAsia="pt-BR"/>
        </w:rPr>
        <w:t>SERVIDOR:</w:t>
      </w:r>
      <w:r w:rsidRPr="00D26D87">
        <w:rPr>
          <w:rFonts w:eastAsia="Times New Roman" w:cstheme="minorHAnsi"/>
          <w:lang w:eastAsia="pt-BR"/>
        </w:rPr>
        <w:t xml:space="preserve"> </w:t>
      </w:r>
      <w:r w:rsidR="00D26D87" w:rsidRPr="00D26D87">
        <w:rPr>
          <w:rFonts w:eastAsia="Times New Roman" w:cstheme="minorHAnsi"/>
          <w:lang w:eastAsia="pt-BR"/>
        </w:rPr>
        <w:t>Cleuza Castro de Jesus</w:t>
      </w:r>
      <w:r w:rsidRPr="00D26D87">
        <w:rPr>
          <w:rFonts w:eastAsia="Times New Roman" w:cstheme="minorHAnsi"/>
          <w:lang w:eastAsia="pt-BR"/>
        </w:rPr>
        <w:t xml:space="preserve"> </w:t>
      </w:r>
      <w:r w:rsidRPr="00D26D87">
        <w:rPr>
          <w:rFonts w:eastAsia="Times New Roman" w:cstheme="minorHAnsi"/>
          <w:b/>
          <w:bCs/>
          <w:lang w:eastAsia="pt-BR"/>
        </w:rPr>
        <w:t>MATRÍCULA:</w:t>
      </w:r>
      <w:r w:rsidRPr="00D26D87">
        <w:rPr>
          <w:rFonts w:eastAsia="Times New Roman" w:cstheme="minorHAnsi"/>
          <w:lang w:eastAsia="pt-BR"/>
        </w:rPr>
        <w:t xml:space="preserve"> </w:t>
      </w:r>
      <w:r w:rsidR="00D26D87" w:rsidRPr="00C4792D">
        <w:rPr>
          <w:rFonts w:ascii="Arial Narrow" w:hAnsi="Arial Narrow"/>
          <w:bCs/>
        </w:rPr>
        <w:t>15.211-1</w:t>
      </w:r>
    </w:p>
    <w:p w14:paraId="4C849FF3" w14:textId="1F4DF4BC" w:rsidR="00EB2BC7" w:rsidRPr="00D26D87" w:rsidRDefault="00EB2BC7" w:rsidP="001F4F70">
      <w:pPr>
        <w:widowControl w:val="0"/>
        <w:spacing w:after="0"/>
        <w:jc w:val="both"/>
        <w:rPr>
          <w:rFonts w:eastAsia="Times New Roman" w:cstheme="minorHAnsi"/>
          <w:lang w:eastAsia="pt-BR"/>
        </w:rPr>
      </w:pPr>
      <w:r w:rsidRPr="00D26D87">
        <w:rPr>
          <w:rFonts w:eastAsia="Times New Roman" w:cstheme="minorHAnsi"/>
          <w:b/>
          <w:bCs/>
          <w:lang w:eastAsia="pt-BR"/>
        </w:rPr>
        <w:t>SERVIDOR:</w:t>
      </w:r>
      <w:r w:rsidRPr="00D26D87">
        <w:rPr>
          <w:rFonts w:eastAsia="Times New Roman" w:cstheme="minorHAnsi"/>
          <w:lang w:eastAsia="pt-BR"/>
        </w:rPr>
        <w:t xml:space="preserve"> </w:t>
      </w:r>
      <w:r w:rsidR="00D26D87">
        <w:rPr>
          <w:rFonts w:eastAsia="Times New Roman" w:cstheme="minorHAnsi"/>
          <w:lang w:eastAsia="pt-BR"/>
        </w:rPr>
        <w:t>André Faust</w:t>
      </w:r>
      <w:r w:rsidRPr="00D26D87">
        <w:rPr>
          <w:rFonts w:eastAsia="Times New Roman" w:cstheme="minorHAnsi"/>
          <w:lang w:eastAsia="pt-BR"/>
        </w:rPr>
        <w:t xml:space="preserve"> </w:t>
      </w:r>
      <w:r w:rsidRPr="00D26D87">
        <w:rPr>
          <w:rFonts w:eastAsia="Times New Roman" w:cstheme="minorHAnsi"/>
          <w:b/>
          <w:bCs/>
          <w:lang w:eastAsia="pt-BR"/>
        </w:rPr>
        <w:t>MATRÍCULA:</w:t>
      </w:r>
      <w:r w:rsidRPr="00D26D87">
        <w:rPr>
          <w:rFonts w:eastAsia="Times New Roman" w:cstheme="minorHAnsi"/>
          <w:lang w:eastAsia="pt-BR"/>
        </w:rPr>
        <w:t xml:space="preserve"> </w:t>
      </w:r>
      <w:r w:rsidR="00D96C27">
        <w:rPr>
          <w:rFonts w:eastAsia="Times New Roman" w:cstheme="minorHAnsi"/>
          <w:lang w:eastAsia="pt-BR"/>
        </w:rPr>
        <w:t>142.381-01</w:t>
      </w:r>
    </w:p>
    <w:p w14:paraId="16F8FA02" w14:textId="5843CD07" w:rsidR="00EB2BC7" w:rsidRPr="00EB2BC7" w:rsidRDefault="00EB2BC7" w:rsidP="00D96C27">
      <w:pPr>
        <w:widowControl w:val="0"/>
        <w:spacing w:after="0"/>
        <w:ind w:left="360"/>
        <w:jc w:val="both"/>
        <w:rPr>
          <w:rFonts w:eastAsia="Times New Roman" w:cstheme="minorHAnsi"/>
          <w:lang w:eastAsia="pt-BR"/>
        </w:rPr>
      </w:pPr>
    </w:p>
    <w:p w14:paraId="689BD233" w14:textId="27B4BF96"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589D5AE4">
          <v:rect id="_x0000_i1027" style="width:0;height:1.5pt" o:hralign="center" o:hrstd="t" o:hr="t" fillcolor="#a0a0a0" stroked="f"/>
        </w:pict>
      </w:r>
      <w:r w:rsidR="00EB2BC7" w:rsidRPr="00EB2BC7">
        <w:rPr>
          <w:rFonts w:eastAsia="Times New Roman" w:cstheme="minorHAnsi"/>
          <w:b/>
          <w:bCs/>
          <w:lang w:eastAsia="pt-BR"/>
        </w:rPr>
        <w:t>3. NORMAS E DIRETRIZES QUE BASEIAM ESTE ETP</w:t>
      </w:r>
    </w:p>
    <w:p w14:paraId="3CDBE690"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3.1. Aplicam-se à contratação proposta os seguintes marcos normativos:</w:t>
      </w:r>
    </w:p>
    <w:p w14:paraId="5B28FBB3" w14:textId="77777777" w:rsidR="00EB2BC7" w:rsidRPr="00EB2BC7" w:rsidRDefault="00EB2BC7" w:rsidP="00EB2BC7">
      <w:pPr>
        <w:widowControl w:val="0"/>
        <w:numPr>
          <w:ilvl w:val="0"/>
          <w:numId w:val="16"/>
        </w:numPr>
        <w:spacing w:after="0"/>
        <w:jc w:val="both"/>
        <w:rPr>
          <w:rFonts w:eastAsia="Times New Roman" w:cstheme="minorHAnsi"/>
          <w:lang w:eastAsia="pt-BR"/>
        </w:rPr>
      </w:pPr>
      <w:r w:rsidRPr="00EB2BC7">
        <w:rPr>
          <w:rFonts w:eastAsia="Times New Roman" w:cstheme="minorHAnsi"/>
          <w:lang w:eastAsia="pt-BR"/>
        </w:rPr>
        <w:t>Lei de Licitações nº 14.133 de 01 de abril de 2021;</w:t>
      </w:r>
    </w:p>
    <w:p w14:paraId="4E4CF69D" w14:textId="77777777" w:rsidR="00EB2BC7" w:rsidRPr="00EB2BC7" w:rsidRDefault="00EB2BC7" w:rsidP="00EB2BC7">
      <w:pPr>
        <w:widowControl w:val="0"/>
        <w:numPr>
          <w:ilvl w:val="0"/>
          <w:numId w:val="16"/>
        </w:numPr>
        <w:spacing w:after="0"/>
        <w:jc w:val="both"/>
        <w:rPr>
          <w:rFonts w:eastAsia="Times New Roman" w:cstheme="minorHAnsi"/>
          <w:lang w:eastAsia="pt-BR"/>
        </w:rPr>
      </w:pPr>
      <w:r w:rsidRPr="00EB2BC7">
        <w:rPr>
          <w:rFonts w:eastAsia="Times New Roman" w:cstheme="minorHAnsi"/>
          <w:lang w:eastAsia="pt-BR"/>
        </w:rPr>
        <w:t>Decretos Municipais nº 3746 a 3767 de 2023 (Regulamentação da Lei 14.133/2021);</w:t>
      </w:r>
    </w:p>
    <w:p w14:paraId="799DD726" w14:textId="77777777" w:rsidR="00EB2BC7" w:rsidRPr="00EB2BC7" w:rsidRDefault="00EB2BC7" w:rsidP="00EB2BC7">
      <w:pPr>
        <w:widowControl w:val="0"/>
        <w:numPr>
          <w:ilvl w:val="0"/>
          <w:numId w:val="16"/>
        </w:numPr>
        <w:spacing w:after="0"/>
        <w:jc w:val="both"/>
        <w:rPr>
          <w:rFonts w:eastAsia="Times New Roman" w:cstheme="minorHAnsi"/>
          <w:lang w:eastAsia="pt-BR"/>
        </w:rPr>
      </w:pPr>
      <w:r w:rsidRPr="00EB2BC7">
        <w:rPr>
          <w:rFonts w:eastAsia="Times New Roman" w:cstheme="minorHAnsi"/>
          <w:lang w:eastAsia="pt-BR"/>
        </w:rPr>
        <w:t>Lei nº 13.709 de 14 de agosto de 2018 – Lei Geral de Proteção de Dados;</w:t>
      </w:r>
    </w:p>
    <w:p w14:paraId="22D8CF7A" w14:textId="77777777" w:rsidR="00EB2BC7" w:rsidRPr="00EB2BC7" w:rsidRDefault="00EB2BC7" w:rsidP="00EB2BC7">
      <w:pPr>
        <w:widowControl w:val="0"/>
        <w:numPr>
          <w:ilvl w:val="0"/>
          <w:numId w:val="16"/>
        </w:numPr>
        <w:spacing w:after="0"/>
        <w:jc w:val="both"/>
        <w:rPr>
          <w:rFonts w:eastAsia="Times New Roman" w:cstheme="minorHAnsi"/>
          <w:lang w:eastAsia="pt-BR"/>
        </w:rPr>
      </w:pPr>
      <w:r w:rsidRPr="00EB2BC7">
        <w:rPr>
          <w:rFonts w:eastAsia="Times New Roman" w:cstheme="minorHAnsi"/>
          <w:lang w:eastAsia="pt-BR"/>
        </w:rPr>
        <w:t>Normas técnicas do DER/PR e DNIT;</w:t>
      </w:r>
    </w:p>
    <w:p w14:paraId="729C3769" w14:textId="77777777" w:rsidR="00EB2BC7" w:rsidRPr="00EB2BC7" w:rsidRDefault="00EB2BC7" w:rsidP="00EB2BC7">
      <w:pPr>
        <w:widowControl w:val="0"/>
        <w:numPr>
          <w:ilvl w:val="0"/>
          <w:numId w:val="16"/>
        </w:numPr>
        <w:spacing w:after="0"/>
        <w:jc w:val="both"/>
        <w:rPr>
          <w:rFonts w:eastAsia="Times New Roman" w:cstheme="minorHAnsi"/>
          <w:lang w:eastAsia="pt-BR"/>
        </w:rPr>
      </w:pPr>
      <w:r w:rsidRPr="00EB2BC7">
        <w:rPr>
          <w:rFonts w:eastAsia="Times New Roman" w:cstheme="minorHAnsi"/>
          <w:lang w:eastAsia="pt-BR"/>
        </w:rPr>
        <w:t>Instruções normativas do SINAPI;</w:t>
      </w:r>
    </w:p>
    <w:p w14:paraId="6E06AAE8" w14:textId="77777777" w:rsidR="00EB2BC7" w:rsidRPr="00EB2BC7" w:rsidRDefault="00EB2BC7" w:rsidP="00EB2BC7">
      <w:pPr>
        <w:widowControl w:val="0"/>
        <w:numPr>
          <w:ilvl w:val="0"/>
          <w:numId w:val="16"/>
        </w:numPr>
        <w:spacing w:after="0"/>
        <w:jc w:val="both"/>
        <w:rPr>
          <w:rFonts w:eastAsia="Times New Roman" w:cstheme="minorHAnsi"/>
          <w:lang w:eastAsia="pt-BR"/>
        </w:rPr>
      </w:pPr>
      <w:r w:rsidRPr="00EB2BC7">
        <w:rPr>
          <w:rFonts w:eastAsia="Times New Roman" w:cstheme="minorHAnsi"/>
          <w:lang w:eastAsia="pt-BR"/>
        </w:rPr>
        <w:t>Decreto Estadual nº 10.086/22 do Paraná.</w:t>
      </w:r>
    </w:p>
    <w:p w14:paraId="10D7788D" w14:textId="063E9D58"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7E89C45A">
          <v:rect id="_x0000_i1028" style="width:0;height:1.5pt" o:hralign="center" o:hrstd="t" o:hr="t" fillcolor="#a0a0a0" stroked="f"/>
        </w:pict>
      </w:r>
      <w:r w:rsidR="00EB2BC7" w:rsidRPr="00EB2BC7">
        <w:rPr>
          <w:rFonts w:eastAsia="Times New Roman" w:cstheme="minorHAnsi"/>
          <w:b/>
          <w:bCs/>
          <w:lang w:eastAsia="pt-BR"/>
        </w:rPr>
        <w:t>4. DESCRIÇÃO DA NECESSIDADE E JUSTIFICATIVA</w:t>
      </w:r>
    </w:p>
    <w:p w14:paraId="35386CD9"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infraestrutura viária constitui elemento fundamental para o desenvolvimento socioeconômico municipal, sendo responsável pela mobilidade urbana, integração social e acesso aos serviços públicos essenciais. A qualidade das vias públicas impacta diretamente na redução de desigualdades, permitindo que todos os cidadãos tenham acesso equitativo a oportunidades de trabalho, educação, saúde e lazer. Neste contexto, a pavimentação de vias urbanas posiciona-se como força essencial para o desenvolvimento coletivo e transformação social, estabelecendo as bases para uma cidade mais inclusiva e conectada.</w:t>
      </w:r>
    </w:p>
    <w:p w14:paraId="50B4A07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Com o avanço das tecnologias e a crescente demanda por infraestrutura urbana de qualidade, torna-se indispensável modernizar e expandir a malha viária pavimentada do município. A ausência de pavimentação adequada em diversas ruas do perímetro urbano compromete a mobilidade, gera custos adicionais com manutenção veicular, dificulta o escoamento de águas pluviais e prejudica a qualidade de vida dos moradores. A solução proposta através da pavimentação em CBUQ representa uma resposta técnica contemporânea, oferecendo durabilidade, conforto de rolamento e valorização imobiliária das áreas beneficiadas, além de desenvolver competências locais na execução e manutenção de infraestrutura viária moderna.</w:t>
      </w:r>
    </w:p>
    <w:p w14:paraId="3C7BE033" w14:textId="3039D499"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O Município de Nova Prata do Iguaçu, por meio da Secretaria de Estado das Cidades - SECID, visa implementar um programa abrangente de pavimentação urbana que beneficiará diretamente </w:t>
      </w:r>
      <w:r w:rsidR="00745D24">
        <w:rPr>
          <w:rFonts w:eastAsia="Times New Roman" w:cstheme="minorHAnsi"/>
          <w:lang w:eastAsia="pt-BR"/>
        </w:rPr>
        <w:t>2</w:t>
      </w:r>
      <w:r w:rsidR="002F2137">
        <w:rPr>
          <w:rFonts w:eastAsia="Times New Roman" w:cstheme="minorHAnsi"/>
          <w:lang w:eastAsia="pt-BR"/>
        </w:rPr>
        <w:t>.000</w:t>
      </w:r>
      <w:r w:rsidRPr="00EB2BC7">
        <w:rPr>
          <w:rFonts w:eastAsia="Times New Roman" w:cstheme="minorHAnsi"/>
          <w:lang w:eastAsia="pt-BR"/>
        </w:rPr>
        <w:t xml:space="preserve"> habitantes através da pavimentação de </w:t>
      </w:r>
      <w:r w:rsidR="00745D24">
        <w:rPr>
          <w:rFonts w:eastAsia="Times New Roman" w:cstheme="minorHAnsi"/>
          <w:lang w:eastAsia="pt-BR"/>
        </w:rPr>
        <w:t>16</w:t>
      </w:r>
      <w:r w:rsidRPr="00EB2BC7">
        <w:rPr>
          <w:rFonts w:eastAsia="Times New Roman" w:cstheme="minorHAnsi"/>
          <w:lang w:eastAsia="pt-BR"/>
        </w:rPr>
        <w:t xml:space="preserve"> vias estratégicas do perímetro </w:t>
      </w:r>
      <w:r w:rsidRPr="00EB2BC7">
        <w:rPr>
          <w:rFonts w:eastAsia="Times New Roman" w:cstheme="minorHAnsi"/>
          <w:lang w:eastAsia="pt-BR"/>
        </w:rPr>
        <w:lastRenderedPageBreak/>
        <w:t xml:space="preserve">urbano. O projeto inicial </w:t>
      </w:r>
      <w:proofErr w:type="gramStart"/>
      <w:r w:rsidRPr="00EB2BC7">
        <w:rPr>
          <w:rFonts w:eastAsia="Times New Roman" w:cstheme="minorHAnsi"/>
          <w:lang w:eastAsia="pt-BR"/>
        </w:rPr>
        <w:t xml:space="preserve">contempla  </w:t>
      </w:r>
      <w:r w:rsidR="00745D24">
        <w:rPr>
          <w:rFonts w:eastAsia="Times New Roman" w:cstheme="minorHAnsi"/>
          <w:lang w:eastAsia="pt-BR"/>
        </w:rPr>
        <w:t>31.888</w:t>
      </w:r>
      <w:proofErr w:type="gramEnd"/>
      <w:r w:rsidR="00745D24">
        <w:rPr>
          <w:rFonts w:eastAsia="Times New Roman" w:cstheme="minorHAnsi"/>
          <w:lang w:eastAsia="pt-BR"/>
        </w:rPr>
        <w:t>,36</w:t>
      </w:r>
      <w:r w:rsidRPr="00EB2BC7">
        <w:rPr>
          <w:rFonts w:eastAsia="Times New Roman" w:cstheme="minorHAnsi"/>
          <w:lang w:eastAsia="pt-BR"/>
        </w:rPr>
        <w:t xml:space="preserve"> m² de área pavimentada, com estratégia de expansão futura para outras áreas carentes de infraestrutura. Este programa conecta-se com iniciativas estaduais de desenvolvimento urbano através do Programa de Aceleração do Crescimento Municipal (PAM), seguindo modelos de referência já implementados com sucesso em outros municípios paranaenses, que demonstraram redução de até 40% nos custos de manutenção viária e melhoria significativa nos índices de qualidade de vida urbana.</w:t>
      </w:r>
    </w:p>
    <w:p w14:paraId="7754D380" w14:textId="37C09210"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presente contratação justifica-se pela necessidade de estruturar um sistema viário moderno e eficiente, contemplando não apenas a pavimentação asfáltica</w:t>
      </w:r>
      <w:r w:rsidR="00E65FB3">
        <w:rPr>
          <w:rFonts w:eastAsia="Times New Roman" w:cstheme="minorHAnsi"/>
          <w:lang w:eastAsia="pt-BR"/>
        </w:rPr>
        <w:t xml:space="preserve"> sobre pedras irregulares</w:t>
      </w:r>
      <w:r w:rsidRPr="00EB2BC7">
        <w:rPr>
          <w:rFonts w:eastAsia="Times New Roman" w:cstheme="minorHAnsi"/>
          <w:lang w:eastAsia="pt-BR"/>
        </w:rPr>
        <w:t>, mas também elementos essenciais como, sistema de drenagem, meio-fio e sarjeta, calçadas com acessibilidade, sinalização horizontal e vertical, além de ensaios tecnológicos para garantia de qualidade. O projeto alinha-se com a Lei Federal nº 14.133/2021, com as diretrizes do Plano Nacional de Mobilidade Urbana e com a Política Nacional de Desenvolvimento Urbano, contribuindo para a modernização e dinamização dos serviços públicos municipais.</w:t>
      </w:r>
    </w:p>
    <w:p w14:paraId="0C42C093"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pavimentação em CBUQ possibilita múltiplos benefícios diretos ao público-alvo, incluindo melhoria substancial nas condições de trafegabilidade, redução do tempo de deslocamento, diminuição dos custos de manutenção veicular e valorização imobiliária estimada entre 15% e 30%. O projeto desenvolverá competências locais em gestão de infraestrutura urbana, promoverá maior engajamento comunitário através da melhoria do espaço público e fortalecerá aspectos de segurança viária. Complementarmente, a urbanização das calçadas com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intertravado e implementação de rampas de acessibilidade garantirá autonomia de locomoção para pessoas com deficiência, promovendo práticas inovadoras de inclusão social e desenho universal.</w:t>
      </w:r>
    </w:p>
    <w:p w14:paraId="77E2909B"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Dessa forma, a adoção de pavimentação asfáltica em CBUQ representa um avanço estratégico fundamental para Nova Prata do Iguaçu, reafirmando o compromisso municipal com a qualidade dos serviços públicos e o bem-estar da população. A implementação deste projeto preparará o município para os desafios futuros de crescimento urbano ordenado, inserindo-o no contexto contemporâneo de cidades inteligentes e sustentáveis, culminando em benefícios duradouros para toda a comunidade através de uma infraestrutura viária moderna, segura e inclusiva.</w:t>
      </w:r>
    </w:p>
    <w:p w14:paraId="49D275E8" w14:textId="161D5670"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73120A2D">
          <v:rect id="_x0000_i1029" style="width:0;height:1.5pt" o:hralign="center" o:hrstd="t" o:hr="t" fillcolor="#a0a0a0" stroked="f"/>
        </w:pict>
      </w:r>
      <w:bookmarkStart w:id="0" w:name="_Hlk215150964"/>
      <w:r w:rsidR="00EB2BC7" w:rsidRPr="00EB2BC7">
        <w:rPr>
          <w:rFonts w:eastAsia="Times New Roman" w:cstheme="minorHAnsi"/>
          <w:b/>
          <w:bCs/>
          <w:lang w:eastAsia="pt-BR"/>
        </w:rPr>
        <w:t>5. ÁREA REQUISITANTE</w:t>
      </w:r>
    </w:p>
    <w:p w14:paraId="2A0218D4"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ÁREA REQUISITANTE:</w:t>
      </w:r>
      <w:r w:rsidRPr="00EB2BC7">
        <w:rPr>
          <w:rFonts w:eastAsia="Times New Roman" w:cstheme="minorHAnsi"/>
          <w:lang w:eastAsia="pt-BR"/>
        </w:rPr>
        <w:t xml:space="preserve"> Secretaria Municipal de Obras e Urbanismo</w:t>
      </w:r>
    </w:p>
    <w:p w14:paraId="2D7F44CC" w14:textId="4C0DE78E"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RESPONSÁVEL:</w:t>
      </w:r>
      <w:r w:rsidRPr="00EB2BC7">
        <w:rPr>
          <w:rFonts w:eastAsia="Times New Roman" w:cstheme="minorHAnsi"/>
          <w:lang w:eastAsia="pt-BR"/>
        </w:rPr>
        <w:t xml:space="preserve"> </w:t>
      </w:r>
      <w:proofErr w:type="spellStart"/>
      <w:r w:rsidR="00813EE2">
        <w:rPr>
          <w:rFonts w:eastAsia="Times New Roman" w:cstheme="minorHAnsi"/>
          <w:lang w:eastAsia="pt-BR"/>
        </w:rPr>
        <w:t>N</w:t>
      </w:r>
      <w:r w:rsidR="00F97F2E">
        <w:rPr>
          <w:rFonts w:eastAsia="Times New Roman" w:cstheme="minorHAnsi"/>
          <w:lang w:eastAsia="pt-BR"/>
        </w:rPr>
        <w:t>eocir</w:t>
      </w:r>
      <w:proofErr w:type="spellEnd"/>
      <w:r w:rsidR="00F97F2E">
        <w:rPr>
          <w:rFonts w:eastAsia="Times New Roman" w:cstheme="minorHAnsi"/>
          <w:lang w:eastAsia="pt-BR"/>
        </w:rPr>
        <w:t xml:space="preserve"> </w:t>
      </w:r>
      <w:proofErr w:type="spellStart"/>
      <w:r w:rsidR="00F97F2E">
        <w:rPr>
          <w:rFonts w:eastAsia="Times New Roman" w:cstheme="minorHAnsi"/>
          <w:lang w:eastAsia="pt-BR"/>
        </w:rPr>
        <w:t>Belon</w:t>
      </w:r>
      <w:proofErr w:type="spellEnd"/>
      <w:r w:rsidR="00F31193">
        <w:rPr>
          <w:rFonts w:eastAsia="Times New Roman" w:cstheme="minorHAnsi"/>
          <w:lang w:eastAsia="pt-BR"/>
        </w:rPr>
        <w:t xml:space="preserve">   Matrícula: </w:t>
      </w:r>
      <w:r w:rsidR="00F31193" w:rsidRPr="00F31193">
        <w:rPr>
          <w:rFonts w:eastAsia="Times New Roman" w:cstheme="minorHAnsi"/>
          <w:lang w:eastAsia="pt-BR"/>
        </w:rPr>
        <w:t>142</w:t>
      </w:r>
      <w:r w:rsidR="00F31193">
        <w:rPr>
          <w:rFonts w:eastAsia="Times New Roman" w:cstheme="minorHAnsi"/>
          <w:lang w:eastAsia="pt-BR"/>
        </w:rPr>
        <w:t>.</w:t>
      </w:r>
      <w:r w:rsidR="00F31193" w:rsidRPr="00F31193">
        <w:rPr>
          <w:rFonts w:eastAsia="Times New Roman" w:cstheme="minorHAnsi"/>
          <w:lang w:eastAsia="pt-BR"/>
        </w:rPr>
        <w:t>607-1</w:t>
      </w:r>
      <w:bookmarkEnd w:id="0"/>
    </w:p>
    <w:p w14:paraId="067F2067" w14:textId="56E6E5FD"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45472F1B">
          <v:rect id="_x0000_i1030" style="width:0;height:1.5pt" o:hralign="center" o:hrstd="t" o:hr="t" fillcolor="#a0a0a0" stroked="f"/>
        </w:pict>
      </w:r>
      <w:r w:rsidR="00EB2BC7" w:rsidRPr="00EB2BC7">
        <w:rPr>
          <w:rFonts w:eastAsia="Times New Roman" w:cstheme="minorHAnsi"/>
          <w:b/>
          <w:bCs/>
          <w:lang w:eastAsia="pt-BR"/>
        </w:rPr>
        <w:t>6. DESCRIÇÃO DOS REQUISITOS DA CONTRATAÇÃO</w:t>
      </w:r>
    </w:p>
    <w:p w14:paraId="560ABE2C"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6.1 - Escopo Geral da Contratação</w:t>
      </w:r>
    </w:p>
    <w:p w14:paraId="752E8502" w14:textId="3E2D110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deverá contemplar, de forma integrada, o fornecimento de todos os materiais, equipamentos, mão de obra especializada e serviços necessários para a completa execução da pavimentação asfáltica, incluindo serviços preliminares, terraplenagem quando necessária, </w:t>
      </w:r>
      <w:proofErr w:type="spellStart"/>
      <w:r w:rsidR="00D019A8">
        <w:rPr>
          <w:rFonts w:eastAsia="Times New Roman" w:cstheme="minorHAnsi"/>
          <w:lang w:eastAsia="pt-BR"/>
        </w:rPr>
        <w:t>reperfilagem</w:t>
      </w:r>
      <w:proofErr w:type="spellEnd"/>
      <w:r w:rsidR="00D019A8">
        <w:rPr>
          <w:rFonts w:eastAsia="Times New Roman" w:cstheme="minorHAnsi"/>
          <w:lang w:eastAsia="pt-BR"/>
        </w:rPr>
        <w:t>, pintura de ligação</w:t>
      </w:r>
      <w:r w:rsidRPr="00EB2BC7">
        <w:rPr>
          <w:rFonts w:eastAsia="Times New Roman" w:cstheme="minorHAnsi"/>
          <w:lang w:eastAsia="pt-BR"/>
        </w:rPr>
        <w:t xml:space="preserve">, revestimento em CBUQ, meio-fio e sarjeta, urbanização de </w:t>
      </w:r>
      <w:r w:rsidR="00D019A8">
        <w:rPr>
          <w:rFonts w:eastAsia="Times New Roman" w:cstheme="minorHAnsi"/>
          <w:lang w:eastAsia="pt-BR"/>
        </w:rPr>
        <w:t>calçadas,</w:t>
      </w:r>
      <w:r w:rsidRPr="00EB2BC7">
        <w:rPr>
          <w:rFonts w:eastAsia="Times New Roman" w:cstheme="minorHAnsi"/>
          <w:lang w:eastAsia="pt-BR"/>
        </w:rPr>
        <w:t xml:space="preserve"> sinalização viária e ensaios tecnológicos, garantindo padrões mínimos de qualidade conforme normas técnicas do DER/PR e DNIT.</w:t>
      </w:r>
    </w:p>
    <w:p w14:paraId="14B1949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6.2 - Referência às Especificações Técnicas</w:t>
      </w:r>
    </w:p>
    <w:p w14:paraId="7B9D357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lastRenderedPageBreak/>
        <w:t>As especificações técnicas e exigências detalhadas constarão no Termo de Referência do edital, sendo permitidas especificações superiores desde que mantida a compatibilidade com os requisitos mínimos estabelecidos e conformidade com as normas técnicas aplicáveis.</w:t>
      </w:r>
    </w:p>
    <w:p w14:paraId="59184E2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6.3 - Profissionais Especializados</w:t>
      </w:r>
    </w:p>
    <w:p w14:paraId="147AEBD6"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empresa contratada deverá disponibilizar equipe técnica capacitada, incluindo engenheiro civil responsável técnico com experiência comprovada em pavimentação asfáltica, encarregado de obras, operadores de equipamentos especializados e equipe de apoio treinada, todos com domínio das técnicas de pavimentação e responsabilidades claramente definidas no cronograma de execução.</w:t>
      </w:r>
    </w:p>
    <w:p w14:paraId="4AB6370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6.4 - Equipamentos e Maquinário</w:t>
      </w:r>
    </w:p>
    <w:p w14:paraId="4B69C98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exige disponibilização completa de equipamentos em perfeito estado de funcionamento, incluindo </w:t>
      </w:r>
      <w:proofErr w:type="spellStart"/>
      <w:r w:rsidRPr="00EB2BC7">
        <w:rPr>
          <w:rFonts w:eastAsia="Times New Roman" w:cstheme="minorHAnsi"/>
          <w:lang w:eastAsia="pt-BR"/>
        </w:rPr>
        <w:t>vibroacabadora</w:t>
      </w:r>
      <w:proofErr w:type="spellEnd"/>
      <w:r w:rsidRPr="00EB2BC7">
        <w:rPr>
          <w:rFonts w:eastAsia="Times New Roman" w:cstheme="minorHAnsi"/>
          <w:lang w:eastAsia="pt-BR"/>
        </w:rPr>
        <w:t>, rolos compactadores (tandem e pneumático), caminhões basculantes, retroescavadeira, motoniveladora, caminhão espargidor, fresadora quando necessária, além de equipamentos de pequeno porte, todos com manuais de operação e manutenção atualizados.</w:t>
      </w:r>
    </w:p>
    <w:p w14:paraId="3466276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6.5 - Materiais e Insumos</w:t>
      </w:r>
    </w:p>
    <w:p w14:paraId="4E025396" w14:textId="443CDECE"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Todos os materiais deverão atender às especificações técnicas, incluindo CAP 50/70 com certificação ANP, brita graduada conforme faixas granulométricas do DER/</w:t>
      </w:r>
      <w:proofErr w:type="gramStart"/>
      <w:r w:rsidRPr="00EB2BC7">
        <w:rPr>
          <w:rFonts w:eastAsia="Times New Roman" w:cstheme="minorHAnsi"/>
          <w:lang w:eastAsia="pt-BR"/>
        </w:rPr>
        <w:t>PR,  cal</w:t>
      </w:r>
      <w:proofErr w:type="gramEnd"/>
      <w:r w:rsidRPr="00EB2BC7">
        <w:rPr>
          <w:rFonts w:eastAsia="Times New Roman" w:cstheme="minorHAnsi"/>
          <w:lang w:eastAsia="pt-BR"/>
        </w:rPr>
        <w:t xml:space="preserve"> hidratada CH-1, cimento Portland,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intertravado com resistência mínima de 35 MPa, meio-fio pré-moldado tipo 2 DER/PR, todos com certificações de qualidade e ensaios laboratoriais.</w:t>
      </w:r>
    </w:p>
    <w:p w14:paraId="4A4D920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6.6 - Controle de Qualidade</w:t>
      </w:r>
    </w:p>
    <w:p w14:paraId="1CE8365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empresa deverá implementar sistema de controle tecnológico completo, incluindo ensaios de granulometria, massa específica in situ, percentagem de betume, densidade do material betuminoso, tração por compressão diametral, controle de taxa de aplicação de ligante, grau de compactação da mistura asfáltica, com laboratório credenciado e emissão de laudos técnicos.</w:t>
      </w:r>
    </w:p>
    <w:p w14:paraId="137A787C"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6.7 - Sinalização e Segurança</w:t>
      </w:r>
    </w:p>
    <w:p w14:paraId="5C6CF9B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escopo inclui fornecimento e instalação de sinalização horizontal com tinta retrorrefletiva base acrílica, placas de sinalização vertical refletivas (regulamentação, advertência e indicação) com suportes metálicos, além de sinalização provisória de obra e dispositivos de segurança conforme normas do CONTRAN e manuais do DNIT.</w:t>
      </w:r>
    </w:p>
    <w:p w14:paraId="5BB41AE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6.8 - Urbanização e Acessibilidade</w:t>
      </w:r>
    </w:p>
    <w:p w14:paraId="2778BF59"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contempla execução de calçadas em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intertravado colorido e natural, rampas de acessibilidade conforme NBR 9050, piso tátil direcional e alerta, meio-fio rebaixado para acesso de veículos, garantindo acessibilidade universal e conformidade com a legislação de inclusão.</w:t>
      </w:r>
    </w:p>
    <w:p w14:paraId="5E51925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6.9 - Vigência Contratual</w:t>
      </w:r>
    </w:p>
    <w:p w14:paraId="7A683213" w14:textId="0492B18B" w:rsid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O prazo de vigência contratual será de </w:t>
      </w:r>
      <w:r w:rsidR="00756B82">
        <w:rPr>
          <w:rFonts w:eastAsia="Times New Roman" w:cstheme="minorHAnsi"/>
          <w:lang w:eastAsia="pt-BR"/>
        </w:rPr>
        <w:t>720</w:t>
      </w:r>
      <w:r w:rsidRPr="00EB2BC7">
        <w:rPr>
          <w:rFonts w:eastAsia="Times New Roman" w:cstheme="minorHAnsi"/>
          <w:lang w:eastAsia="pt-BR"/>
        </w:rPr>
        <w:t xml:space="preserve"> (</w:t>
      </w:r>
      <w:r w:rsidR="00756B82">
        <w:rPr>
          <w:rFonts w:eastAsia="Times New Roman" w:cstheme="minorHAnsi"/>
          <w:lang w:eastAsia="pt-BR"/>
        </w:rPr>
        <w:t>setecentos e vinte</w:t>
      </w:r>
      <w:r w:rsidRPr="00EB2BC7">
        <w:rPr>
          <w:rFonts w:eastAsia="Times New Roman" w:cstheme="minorHAnsi"/>
          <w:lang w:eastAsia="pt-BR"/>
        </w:rPr>
        <w:t>) dias corridos, podendo ser prorrogado nos termos do art. 107 da Lei nº 14.133/2021, em casos de alterações de projeto, condições climáticas adversas ou outras situações previstas em lei.</w:t>
      </w:r>
    </w:p>
    <w:p w14:paraId="2984D6B2" w14:textId="5E99A487" w:rsidR="00DD3A5F" w:rsidRPr="00EB2BC7" w:rsidRDefault="00DD3A5F" w:rsidP="00EB2BC7">
      <w:pPr>
        <w:widowControl w:val="0"/>
        <w:spacing w:after="0"/>
        <w:jc w:val="both"/>
        <w:rPr>
          <w:rFonts w:eastAsia="Times New Roman" w:cstheme="minorHAnsi"/>
          <w:lang w:eastAsia="pt-BR"/>
        </w:rPr>
      </w:pPr>
      <w:r>
        <w:rPr>
          <w:rFonts w:eastAsia="Times New Roman" w:cstheme="minorHAnsi"/>
          <w:lang w:eastAsia="pt-BR"/>
        </w:rPr>
        <w:t>O prazo de execução será de 360 (trezentos e sessenta) dias, conforme cronograma de execução.</w:t>
      </w:r>
    </w:p>
    <w:p w14:paraId="0A5609A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6.10 - Garantia e Manutenção</w:t>
      </w:r>
    </w:p>
    <w:p w14:paraId="21BC096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contratada deverá oferecer garantia mínima de 5 (cinco) anos para os serviços de pavimentação executados, com manutenção corretiva sem ônus para o município em casos de defeitos construtivos, sendo responsável pelo transporte de equipamentos e materiais necessários aos reparos, com prazo máximo de 15 dias para atendimento após notificação.</w:t>
      </w:r>
    </w:p>
    <w:p w14:paraId="45C0A84D"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6.11 - Prazo de Entrega dos Materiais</w:t>
      </w:r>
    </w:p>
    <w:p w14:paraId="0B05788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Os materiais deverão ser entregues conforme cronograma físico-financeiro, com antecedência mínima de 5 dias úteis do início de cada etapa, mediante ordem de compra específica emitida pela fiscalização.</w:t>
      </w:r>
    </w:p>
    <w:p w14:paraId="6BEE863F"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6.12 - Início dos Serviços</w:t>
      </w:r>
    </w:p>
    <w:p w14:paraId="38A1149A" w14:textId="57BCC07C"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Os serviços deverão ser iniciados em até </w:t>
      </w:r>
      <w:r w:rsidR="00536DE0">
        <w:rPr>
          <w:rFonts w:eastAsia="Times New Roman" w:cstheme="minorHAnsi"/>
          <w:lang w:eastAsia="pt-BR"/>
        </w:rPr>
        <w:t>21 (vinte e um)</w:t>
      </w:r>
      <w:r w:rsidRPr="00EB2BC7">
        <w:rPr>
          <w:rFonts w:eastAsia="Times New Roman" w:cstheme="minorHAnsi"/>
          <w:lang w:eastAsia="pt-BR"/>
        </w:rPr>
        <w:t xml:space="preserve"> dias após emissão da Ordem de Serviço, com mobilização completa de equipamentos e equipe técnica.</w:t>
      </w:r>
    </w:p>
    <w:p w14:paraId="16A0193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6.13 - Cronograma de Execução</w:t>
      </w:r>
    </w:p>
    <w:p w14:paraId="16F3E81D" w14:textId="5CA9D9F1"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empresa será responsável pela elaboração do cronograma detalhado de execução, respeitando o prazo global de 3</w:t>
      </w:r>
      <w:r w:rsidR="00536DE0">
        <w:rPr>
          <w:rFonts w:eastAsia="Times New Roman" w:cstheme="minorHAnsi"/>
          <w:lang w:eastAsia="pt-BR"/>
        </w:rPr>
        <w:t>6</w:t>
      </w:r>
      <w:r w:rsidRPr="00EB2BC7">
        <w:rPr>
          <w:rFonts w:eastAsia="Times New Roman" w:cstheme="minorHAnsi"/>
          <w:lang w:eastAsia="pt-BR"/>
        </w:rPr>
        <w:t>0 dias e as 1</w:t>
      </w:r>
      <w:r w:rsidR="00536DE0">
        <w:rPr>
          <w:rFonts w:eastAsia="Times New Roman" w:cstheme="minorHAnsi"/>
          <w:lang w:eastAsia="pt-BR"/>
        </w:rPr>
        <w:t>2</w:t>
      </w:r>
      <w:r w:rsidRPr="00EB2BC7">
        <w:rPr>
          <w:rFonts w:eastAsia="Times New Roman" w:cstheme="minorHAnsi"/>
          <w:lang w:eastAsia="pt-BR"/>
        </w:rPr>
        <w:t xml:space="preserve"> etapas mensais previstas, com apresentação mínima de 15 dias antes do início das obras.</w:t>
      </w:r>
    </w:p>
    <w:p w14:paraId="261C5C8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6.14 - Medições e Pagamentos</w:t>
      </w:r>
    </w:p>
    <w:p w14:paraId="29177A05"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As medições serão realizadas mensalmente, conforme cronograma físico-financeiro, com pagamento mediante apresentação de nota fiscal e relatório de medição aprovado pela fiscalização.</w:t>
      </w:r>
    </w:p>
    <w:p w14:paraId="04B0E1C5"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6.15 - Modalidade Licitatória</w:t>
      </w:r>
    </w:p>
    <w:p w14:paraId="10D1EEC7" w14:textId="70D63F0D" w:rsidR="00EB2BC7" w:rsidRPr="00EB2BC7" w:rsidRDefault="00DD3A5F" w:rsidP="00EB2BC7">
      <w:pPr>
        <w:widowControl w:val="0"/>
        <w:spacing w:after="0"/>
        <w:jc w:val="both"/>
        <w:rPr>
          <w:rFonts w:eastAsia="Times New Roman" w:cstheme="minorHAnsi"/>
          <w:lang w:eastAsia="pt-BR"/>
        </w:rPr>
      </w:pPr>
      <w:r>
        <w:rPr>
          <w:rFonts w:eastAsia="Times New Roman" w:cstheme="minorHAnsi"/>
          <w:lang w:eastAsia="pt-BR"/>
        </w:rPr>
        <w:t>A</w:t>
      </w:r>
      <w:r w:rsidR="00EB2BC7" w:rsidRPr="00EB2BC7">
        <w:rPr>
          <w:rFonts w:eastAsia="Times New Roman" w:cstheme="minorHAnsi"/>
          <w:lang w:eastAsia="pt-BR"/>
        </w:rPr>
        <w:t xml:space="preserve"> modalidade licitatória será Concorrência, nos termos do art. 28, inciso II, alínea "b" da Lei 14.133/2021, sem aplicação de tratamento diferenciado para ME/EPP devido ao valor e complexidade técnica do objeto.</w:t>
      </w:r>
    </w:p>
    <w:p w14:paraId="60C2023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6.16 - Documentação de Habilitação</w:t>
      </w:r>
    </w:p>
    <w:p w14:paraId="0DDBBB1F"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habilitação contemplará documentação jurídica completa, regularidade fiscal federal, estadual e municipal, regularidade trabalhista, qualificação econômico-financeira com capital social mínimo de 10% do valor estimado e patrimônio líquido compatível com o porte da obra.</w:t>
      </w:r>
    </w:p>
    <w:p w14:paraId="41A63E2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6.17 - Índices Econômico-Financeiros</w:t>
      </w:r>
    </w:p>
    <w:p w14:paraId="21AAFFE3"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Serão exigidos índices de Liquidez Geral (LG) ≥ 1,0, Solvência Geral (SG) ≥ 1,0 e Liquidez Corrente (LC) ≥ 1,0, demonstrados através de balanço patrimonial do último exercício social.</w:t>
      </w:r>
    </w:p>
    <w:p w14:paraId="38277744"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6.18 - Qualificação Técnica Detalhada</w:t>
      </w:r>
    </w:p>
    <w:p w14:paraId="5D173056" w14:textId="31340EAF"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Atestados de capacidade técnica:</w:t>
      </w:r>
      <w:r w:rsidRPr="00EB2BC7">
        <w:rPr>
          <w:rFonts w:eastAsia="Times New Roman" w:cstheme="minorHAnsi"/>
          <w:lang w:eastAsia="pt-BR"/>
        </w:rPr>
        <w:t xml:space="preserve"> Comprovação de execução de pavimentação asfáltica em CBUQ de no mínimo </w:t>
      </w:r>
      <w:r w:rsidR="00DB0BD2">
        <w:rPr>
          <w:rFonts w:eastAsia="Times New Roman" w:cstheme="minorHAnsi"/>
          <w:lang w:eastAsia="pt-BR"/>
        </w:rPr>
        <w:t>15.944,00</w:t>
      </w:r>
      <w:r w:rsidR="00536DE0" w:rsidRPr="00EB2BC7">
        <w:rPr>
          <w:rFonts w:eastAsia="Times New Roman" w:cstheme="minorHAnsi"/>
          <w:lang w:eastAsia="pt-BR"/>
        </w:rPr>
        <w:t xml:space="preserve"> m</w:t>
      </w:r>
      <w:proofErr w:type="gramStart"/>
      <w:r w:rsidR="00536DE0" w:rsidRPr="00EB2BC7">
        <w:rPr>
          <w:rFonts w:eastAsia="Times New Roman" w:cstheme="minorHAnsi"/>
          <w:lang w:eastAsia="pt-BR"/>
        </w:rPr>
        <w:t xml:space="preserve">² </w:t>
      </w:r>
      <w:r w:rsidRPr="00EB2BC7">
        <w:rPr>
          <w:rFonts w:eastAsia="Times New Roman" w:cstheme="minorHAnsi"/>
          <w:lang w:eastAsia="pt-BR"/>
        </w:rPr>
        <w:t xml:space="preserve"> (</w:t>
      </w:r>
      <w:proofErr w:type="gramEnd"/>
      <w:r w:rsidRPr="00EB2BC7">
        <w:rPr>
          <w:rFonts w:eastAsia="Times New Roman" w:cstheme="minorHAnsi"/>
          <w:lang w:eastAsia="pt-BR"/>
        </w:rPr>
        <w:t>50% do quantitativo), registrados no CREA/CAU;</w:t>
      </w:r>
    </w:p>
    <w:p w14:paraId="5DA63BC4"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Formação acadêmica:</w:t>
      </w:r>
      <w:r w:rsidRPr="00EB2BC7">
        <w:rPr>
          <w:rFonts w:eastAsia="Times New Roman" w:cstheme="minorHAnsi"/>
          <w:lang w:eastAsia="pt-BR"/>
        </w:rPr>
        <w:t xml:space="preserve"> Engenheiro Civil responsável técnico com registro regular no CREA e ART de cargo/função;</w:t>
      </w:r>
    </w:p>
    <w:p w14:paraId="4D4FB6F4"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Capacitação específica:</w:t>
      </w:r>
      <w:r w:rsidRPr="00EB2BC7">
        <w:rPr>
          <w:rFonts w:eastAsia="Times New Roman" w:cstheme="minorHAnsi"/>
          <w:lang w:eastAsia="pt-BR"/>
        </w:rPr>
        <w:t xml:space="preserve"> Certificação da equipe de laboratório em ensaios de pavimentação, com carga horária mínima de 40 horas;</w:t>
      </w:r>
    </w:p>
    <w:p w14:paraId="062A85F0"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Documentação complementar:</w:t>
      </w:r>
      <w:r w:rsidRPr="00EB2BC7">
        <w:rPr>
          <w:rFonts w:eastAsia="Times New Roman" w:cstheme="minorHAnsi"/>
          <w:lang w:eastAsia="pt-BR"/>
        </w:rPr>
        <w:t xml:space="preserve"> Certidões negativas criminais dos sócios, com validade de 90 dias;</w:t>
      </w:r>
    </w:p>
    <w:p w14:paraId="2860ECC1"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Acervo técnico:</w:t>
      </w:r>
      <w:r w:rsidRPr="00EB2BC7">
        <w:rPr>
          <w:rFonts w:eastAsia="Times New Roman" w:cstheme="minorHAnsi"/>
          <w:lang w:eastAsia="pt-BR"/>
        </w:rPr>
        <w:t xml:space="preserve"> CAT (Certidão de Acervo Técnico) do responsável técnico em obras similares;</w:t>
      </w:r>
    </w:p>
    <w:p w14:paraId="2967742B" w14:textId="77777777" w:rsidR="00EB2BC7" w:rsidRPr="00EB2BC7" w:rsidRDefault="00EB2BC7" w:rsidP="00EB2BC7">
      <w:pPr>
        <w:widowControl w:val="0"/>
        <w:numPr>
          <w:ilvl w:val="0"/>
          <w:numId w:val="17"/>
        </w:numPr>
        <w:spacing w:after="0"/>
        <w:jc w:val="both"/>
        <w:rPr>
          <w:rFonts w:eastAsia="Times New Roman" w:cstheme="minorHAnsi"/>
          <w:lang w:eastAsia="pt-BR"/>
        </w:rPr>
      </w:pPr>
      <w:r w:rsidRPr="00EB2BC7">
        <w:rPr>
          <w:rFonts w:eastAsia="Times New Roman" w:cstheme="minorHAnsi"/>
          <w:b/>
          <w:bCs/>
          <w:lang w:eastAsia="pt-BR"/>
        </w:rPr>
        <w:t>Visita técnica:</w:t>
      </w:r>
      <w:r w:rsidRPr="00EB2BC7">
        <w:rPr>
          <w:rFonts w:eastAsia="Times New Roman" w:cstheme="minorHAnsi"/>
          <w:lang w:eastAsia="pt-BR"/>
        </w:rPr>
        <w:t xml:space="preserve"> Declaração de vistoria do local da obra ou declaração de conhecimento pleno das condições locais.</w:t>
      </w:r>
    </w:p>
    <w:p w14:paraId="00E0571D" w14:textId="07438B64"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76D93E9A">
          <v:rect id="_x0000_i1031" style="width:0;height:1.5pt" o:hralign="center" o:hrstd="t" o:hr="t" fillcolor="#a0a0a0" stroked="f"/>
        </w:pict>
      </w:r>
      <w:r w:rsidR="00EB2BC7" w:rsidRPr="00EB2BC7">
        <w:rPr>
          <w:rFonts w:eastAsia="Times New Roman" w:cstheme="minorHAnsi"/>
          <w:b/>
          <w:bCs/>
          <w:lang w:eastAsia="pt-BR"/>
        </w:rPr>
        <w:t>7. LEVANTAMENTO DE MERCADO</w:t>
      </w:r>
    </w:p>
    <w:p w14:paraId="397A9D92"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7.1 - Panorama Geral do Mercado</w:t>
      </w:r>
    </w:p>
    <w:p w14:paraId="2FFBC00F" w14:textId="2626CD22"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O mercado de pavimentação asfáltica na região apresenta diversas empresas capacitadas para execução de obras desta natureza, com disponibilidade de usinas de asfalto num raio de </w:t>
      </w:r>
      <w:r w:rsidR="00E12992">
        <w:rPr>
          <w:rFonts w:eastAsia="Times New Roman" w:cstheme="minorHAnsi"/>
          <w:lang w:eastAsia="pt-BR"/>
        </w:rPr>
        <w:t>50</w:t>
      </w:r>
      <w:r w:rsidRPr="00EB2BC7">
        <w:rPr>
          <w:rFonts w:eastAsia="Times New Roman" w:cstheme="minorHAnsi"/>
          <w:lang w:eastAsia="pt-BR"/>
        </w:rPr>
        <w:t xml:space="preserve"> km do município. Identificou-se a existência de fornecedores locais para materiais pétreos (brita, areia) com distância média de transporte de 14 km para pedreira e 245 km para areal, conforme levantamento de DMT (Distância Média de Transporte) realizado.</w:t>
      </w:r>
    </w:p>
    <w:p w14:paraId="6803D27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7.2 - Justificativa da Escolha Técnica</w:t>
      </w:r>
    </w:p>
    <w:p w14:paraId="75AE295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escolha pelo revestimento em CBUQ justifica-se pela melhor relação custo-benefício considerando durabilidade (vida útil superior a 10 anos), menor custo de manutenção, conforto de rolamento, rapidez de execução e disponibilidade de materiais e mão de obra especializada na região. Comparativamente a outras soluções como pavimentação em blocos de concreto ou tratamento superficial, o CBUQ apresenta melhor desempenho para o volume de tráfego esperado nas vias urbanas.</w:t>
      </w:r>
    </w:p>
    <w:p w14:paraId="357425ED" w14:textId="5372D16E"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58B92FFD">
          <v:rect id="_x0000_i1032" style="width:0;height:1.5pt" o:hralign="center" o:hrstd="t" o:hr="t" fillcolor="#a0a0a0" stroked="f"/>
        </w:pict>
      </w:r>
      <w:r w:rsidR="00EB2BC7" w:rsidRPr="00EB2BC7">
        <w:rPr>
          <w:rFonts w:eastAsia="Times New Roman" w:cstheme="minorHAnsi"/>
          <w:b/>
          <w:bCs/>
          <w:lang w:eastAsia="pt-BR"/>
        </w:rPr>
        <w:t>8. DESCRIÇÃO DA SOLUÇÃO COMO UM TODO</w:t>
      </w:r>
    </w:p>
    <w:p w14:paraId="43DFC7B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8.1 - Definição da Solução Adotada</w:t>
      </w:r>
    </w:p>
    <w:p w14:paraId="7AFEAB45"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Com base no estudo de mercado realizado, verificou-se que a solução mais viável consiste na contratação integrada de empresa especializada para execução completa da pavimentação, incluindo:</w:t>
      </w:r>
    </w:p>
    <w:p w14:paraId="16FD81CF" w14:textId="65FA9591" w:rsidR="00EB2BC7" w:rsidRDefault="00EB2BC7" w:rsidP="00EB2BC7">
      <w:pPr>
        <w:widowControl w:val="0"/>
        <w:numPr>
          <w:ilvl w:val="0"/>
          <w:numId w:val="18"/>
        </w:numPr>
        <w:spacing w:after="0"/>
        <w:jc w:val="both"/>
        <w:rPr>
          <w:rFonts w:eastAsia="Times New Roman" w:cstheme="minorHAnsi"/>
          <w:lang w:eastAsia="pt-BR"/>
        </w:rPr>
      </w:pPr>
      <w:r w:rsidRPr="00EB2BC7">
        <w:rPr>
          <w:rFonts w:eastAsia="Times New Roman" w:cstheme="minorHAnsi"/>
          <w:lang w:eastAsia="pt-BR"/>
        </w:rPr>
        <w:t xml:space="preserve">Fornecimento e aplicação de </w:t>
      </w:r>
      <w:r w:rsidR="00D315F3">
        <w:rPr>
          <w:rFonts w:eastAsia="Times New Roman" w:cstheme="minorHAnsi"/>
          <w:lang w:eastAsia="pt-BR"/>
        </w:rPr>
        <w:t>1.594,34</w:t>
      </w:r>
      <w:r w:rsidRPr="00EB2BC7">
        <w:rPr>
          <w:rFonts w:eastAsia="Times New Roman" w:cstheme="minorHAnsi"/>
          <w:lang w:eastAsia="pt-BR"/>
        </w:rPr>
        <w:t xml:space="preserve"> toneladas de CBUQ faixa "</w:t>
      </w:r>
      <w:r w:rsidR="00D315F3">
        <w:rPr>
          <w:rFonts w:eastAsia="Times New Roman" w:cstheme="minorHAnsi"/>
          <w:lang w:eastAsia="pt-BR"/>
        </w:rPr>
        <w:t>C</w:t>
      </w:r>
      <w:r w:rsidRPr="00EB2BC7">
        <w:rPr>
          <w:rFonts w:eastAsia="Times New Roman" w:cstheme="minorHAnsi"/>
          <w:lang w:eastAsia="pt-BR"/>
        </w:rPr>
        <w:t>"</w:t>
      </w:r>
      <w:r w:rsidR="00E12992">
        <w:rPr>
          <w:rFonts w:eastAsia="Times New Roman" w:cstheme="minorHAnsi"/>
          <w:lang w:eastAsia="pt-BR"/>
        </w:rPr>
        <w:t xml:space="preserve"> referente a </w:t>
      </w:r>
      <w:proofErr w:type="spellStart"/>
      <w:r w:rsidR="00E12992">
        <w:rPr>
          <w:rFonts w:eastAsia="Times New Roman" w:cstheme="minorHAnsi"/>
          <w:lang w:eastAsia="pt-BR"/>
        </w:rPr>
        <w:t>reperfilagem</w:t>
      </w:r>
      <w:proofErr w:type="spellEnd"/>
      <w:r w:rsidRPr="00EB2BC7">
        <w:rPr>
          <w:rFonts w:eastAsia="Times New Roman" w:cstheme="minorHAnsi"/>
          <w:lang w:eastAsia="pt-BR"/>
        </w:rPr>
        <w:t>;</w:t>
      </w:r>
    </w:p>
    <w:p w14:paraId="4A3F330C" w14:textId="66D12D14" w:rsidR="00E12992" w:rsidRPr="00EB2BC7" w:rsidRDefault="00E12992" w:rsidP="00EB2BC7">
      <w:pPr>
        <w:widowControl w:val="0"/>
        <w:numPr>
          <w:ilvl w:val="0"/>
          <w:numId w:val="18"/>
        </w:numPr>
        <w:spacing w:after="0"/>
        <w:jc w:val="both"/>
        <w:rPr>
          <w:rFonts w:eastAsia="Times New Roman" w:cstheme="minorHAnsi"/>
          <w:lang w:eastAsia="pt-BR"/>
        </w:rPr>
      </w:pPr>
      <w:r w:rsidRPr="00EB2BC7">
        <w:rPr>
          <w:rFonts w:eastAsia="Times New Roman" w:cstheme="minorHAnsi"/>
          <w:lang w:eastAsia="pt-BR"/>
        </w:rPr>
        <w:t xml:space="preserve">Fornecimento e aplicação de </w:t>
      </w:r>
      <w:r w:rsidR="00D315F3">
        <w:rPr>
          <w:rFonts w:eastAsia="Times New Roman" w:cstheme="minorHAnsi"/>
          <w:lang w:eastAsia="pt-BR"/>
        </w:rPr>
        <w:t>2.445,84</w:t>
      </w:r>
      <w:r w:rsidRPr="00EB2BC7">
        <w:rPr>
          <w:rFonts w:eastAsia="Times New Roman" w:cstheme="minorHAnsi"/>
          <w:lang w:eastAsia="pt-BR"/>
        </w:rPr>
        <w:t xml:space="preserve"> toneladas de CBUQ faixa "</w:t>
      </w:r>
      <w:r w:rsidR="00D315F3">
        <w:rPr>
          <w:rFonts w:eastAsia="Times New Roman" w:cstheme="minorHAnsi"/>
          <w:lang w:eastAsia="pt-BR"/>
        </w:rPr>
        <w:t>C</w:t>
      </w:r>
      <w:r w:rsidRPr="00EB2BC7">
        <w:rPr>
          <w:rFonts w:eastAsia="Times New Roman" w:cstheme="minorHAnsi"/>
          <w:lang w:eastAsia="pt-BR"/>
        </w:rPr>
        <w:t>"</w:t>
      </w:r>
      <w:r>
        <w:rPr>
          <w:rFonts w:eastAsia="Times New Roman" w:cstheme="minorHAnsi"/>
          <w:lang w:eastAsia="pt-BR"/>
        </w:rPr>
        <w:t xml:space="preserve"> referente a capa;</w:t>
      </w:r>
    </w:p>
    <w:p w14:paraId="7000ED14" w14:textId="10822412" w:rsidR="00EB2BC7" w:rsidRPr="00EB2BC7" w:rsidRDefault="00EB2BC7" w:rsidP="00EB2BC7">
      <w:pPr>
        <w:widowControl w:val="0"/>
        <w:numPr>
          <w:ilvl w:val="0"/>
          <w:numId w:val="18"/>
        </w:numPr>
        <w:spacing w:after="0"/>
        <w:jc w:val="both"/>
        <w:rPr>
          <w:rFonts w:eastAsia="Times New Roman" w:cstheme="minorHAnsi"/>
          <w:lang w:eastAsia="pt-BR"/>
        </w:rPr>
      </w:pPr>
      <w:r w:rsidRPr="00EB2BC7">
        <w:rPr>
          <w:rFonts w:eastAsia="Times New Roman" w:cstheme="minorHAnsi"/>
          <w:lang w:eastAsia="pt-BR"/>
        </w:rPr>
        <w:t xml:space="preserve">Implantação de </w:t>
      </w:r>
      <w:r w:rsidR="00D315F3">
        <w:rPr>
          <w:rFonts w:eastAsia="Times New Roman" w:cstheme="minorHAnsi"/>
          <w:lang w:eastAsia="pt-BR"/>
        </w:rPr>
        <w:t>7.467,26</w:t>
      </w:r>
      <w:r w:rsidRPr="00EB2BC7">
        <w:rPr>
          <w:rFonts w:eastAsia="Times New Roman" w:cstheme="minorHAnsi"/>
          <w:lang w:eastAsia="pt-BR"/>
        </w:rPr>
        <w:t xml:space="preserve"> metros de meio-fio com sarjeta;</w:t>
      </w:r>
    </w:p>
    <w:p w14:paraId="6E941C10" w14:textId="0C39E431" w:rsidR="00EB2BC7" w:rsidRPr="00EB2BC7" w:rsidRDefault="00EB2BC7" w:rsidP="00EB2BC7">
      <w:pPr>
        <w:widowControl w:val="0"/>
        <w:numPr>
          <w:ilvl w:val="0"/>
          <w:numId w:val="18"/>
        </w:numPr>
        <w:spacing w:after="0"/>
        <w:jc w:val="both"/>
        <w:rPr>
          <w:rFonts w:eastAsia="Times New Roman" w:cstheme="minorHAnsi"/>
          <w:lang w:eastAsia="pt-BR"/>
        </w:rPr>
      </w:pPr>
      <w:r w:rsidRPr="00EB2BC7">
        <w:rPr>
          <w:rFonts w:eastAsia="Times New Roman" w:cstheme="minorHAnsi"/>
          <w:lang w:eastAsia="pt-BR"/>
        </w:rPr>
        <w:t xml:space="preserve">Urbanização com </w:t>
      </w:r>
      <w:r w:rsidR="001A5C65">
        <w:rPr>
          <w:rFonts w:eastAsia="Times New Roman" w:cstheme="minorHAnsi"/>
          <w:lang w:eastAsia="pt-BR"/>
        </w:rPr>
        <w:t>5.081,74</w:t>
      </w:r>
      <w:r w:rsidRPr="00EB2BC7">
        <w:rPr>
          <w:rFonts w:eastAsia="Times New Roman" w:cstheme="minorHAnsi"/>
          <w:lang w:eastAsia="pt-BR"/>
        </w:rPr>
        <w:t xml:space="preserve"> m² de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intertravado;</w:t>
      </w:r>
    </w:p>
    <w:p w14:paraId="43057F22" w14:textId="7604BA26" w:rsidR="00EB2BC7" w:rsidRPr="00EB2BC7" w:rsidRDefault="00EB2BC7" w:rsidP="00EB2BC7">
      <w:pPr>
        <w:widowControl w:val="0"/>
        <w:numPr>
          <w:ilvl w:val="0"/>
          <w:numId w:val="18"/>
        </w:numPr>
        <w:spacing w:after="0"/>
        <w:jc w:val="both"/>
        <w:rPr>
          <w:rFonts w:eastAsia="Times New Roman" w:cstheme="minorHAnsi"/>
          <w:lang w:eastAsia="pt-BR"/>
        </w:rPr>
      </w:pPr>
      <w:r w:rsidRPr="00EB2BC7">
        <w:rPr>
          <w:rFonts w:eastAsia="Times New Roman" w:cstheme="minorHAnsi"/>
          <w:lang w:eastAsia="pt-BR"/>
        </w:rPr>
        <w:t>14</w:t>
      </w:r>
      <w:r w:rsidR="00E12992">
        <w:rPr>
          <w:rFonts w:eastAsia="Times New Roman" w:cstheme="minorHAnsi"/>
          <w:lang w:eastAsia="pt-BR"/>
        </w:rPr>
        <w:t>6</w:t>
      </w:r>
      <w:r w:rsidRPr="00EB2BC7">
        <w:rPr>
          <w:rFonts w:eastAsia="Times New Roman" w:cstheme="minorHAnsi"/>
          <w:lang w:eastAsia="pt-BR"/>
        </w:rPr>
        <w:t xml:space="preserve"> rampas de acessibilidade PNE;</w:t>
      </w:r>
    </w:p>
    <w:p w14:paraId="44EB15CA" w14:textId="2D21A294" w:rsidR="00EB2BC7" w:rsidRPr="00EB2BC7" w:rsidRDefault="00EB2BC7" w:rsidP="00EB2BC7">
      <w:pPr>
        <w:widowControl w:val="0"/>
        <w:numPr>
          <w:ilvl w:val="0"/>
          <w:numId w:val="18"/>
        </w:numPr>
        <w:spacing w:after="0"/>
        <w:jc w:val="both"/>
        <w:rPr>
          <w:rFonts w:eastAsia="Times New Roman" w:cstheme="minorHAnsi"/>
          <w:lang w:eastAsia="pt-BR"/>
        </w:rPr>
      </w:pPr>
      <w:r w:rsidRPr="00EB2BC7">
        <w:rPr>
          <w:rFonts w:eastAsia="Times New Roman" w:cstheme="minorHAnsi"/>
          <w:lang w:eastAsia="pt-BR"/>
        </w:rPr>
        <w:t>Sinalização horizontal (1.</w:t>
      </w:r>
      <w:r w:rsidR="001A5C65">
        <w:rPr>
          <w:rFonts w:eastAsia="Times New Roman" w:cstheme="minorHAnsi"/>
          <w:lang w:eastAsia="pt-BR"/>
        </w:rPr>
        <w:t xml:space="preserve">565,79 </w:t>
      </w:r>
      <w:r w:rsidRPr="00EB2BC7">
        <w:rPr>
          <w:rFonts w:eastAsia="Times New Roman" w:cstheme="minorHAnsi"/>
          <w:lang w:eastAsia="pt-BR"/>
        </w:rPr>
        <w:t>m²) e vertical (1</w:t>
      </w:r>
      <w:r w:rsidR="001A5C65">
        <w:rPr>
          <w:rFonts w:eastAsia="Times New Roman" w:cstheme="minorHAnsi"/>
          <w:lang w:eastAsia="pt-BR"/>
        </w:rPr>
        <w:t>04</w:t>
      </w:r>
      <w:r w:rsidRPr="00EB2BC7">
        <w:rPr>
          <w:rFonts w:eastAsia="Times New Roman" w:cstheme="minorHAnsi"/>
          <w:lang w:eastAsia="pt-BR"/>
        </w:rPr>
        <w:t xml:space="preserve"> placas);</w:t>
      </w:r>
    </w:p>
    <w:p w14:paraId="09AFC971" w14:textId="588A31AA" w:rsidR="00EB2BC7" w:rsidRPr="00EB2BC7" w:rsidRDefault="00EB2BC7" w:rsidP="00EB2BC7">
      <w:pPr>
        <w:widowControl w:val="0"/>
        <w:numPr>
          <w:ilvl w:val="0"/>
          <w:numId w:val="18"/>
        </w:numPr>
        <w:spacing w:after="0"/>
        <w:jc w:val="both"/>
        <w:rPr>
          <w:rFonts w:eastAsia="Times New Roman" w:cstheme="minorHAnsi"/>
          <w:lang w:eastAsia="pt-BR"/>
        </w:rPr>
      </w:pPr>
      <w:r w:rsidRPr="00EB2BC7">
        <w:rPr>
          <w:rFonts w:eastAsia="Times New Roman" w:cstheme="minorHAnsi"/>
          <w:lang w:eastAsia="pt-BR"/>
        </w:rPr>
        <w:t>Realização de todos os ensaios tecnológicos necessários</w:t>
      </w:r>
      <w:r w:rsidR="001A5C65">
        <w:rPr>
          <w:rFonts w:eastAsia="Times New Roman" w:cstheme="minorHAnsi"/>
          <w:lang w:eastAsia="pt-BR"/>
        </w:rPr>
        <w:t xml:space="preserve">, ensaio de controle de taxa de aplicação de ligante betuminoso, ensaio de percentagem de betume – Misturas betuminosas, ensaio de controle do grau de compactação da mistura asfáltica, ensaio de densidade do material betuminoso, ensaio de tração por compressão diametral – </w:t>
      </w:r>
      <w:proofErr w:type="spellStart"/>
      <w:r w:rsidR="001A5C65">
        <w:rPr>
          <w:rFonts w:eastAsia="Times New Roman" w:cstheme="minorHAnsi"/>
          <w:lang w:eastAsia="pt-BR"/>
        </w:rPr>
        <w:t>isturas</w:t>
      </w:r>
      <w:proofErr w:type="spellEnd"/>
      <w:r w:rsidR="001A5C65">
        <w:rPr>
          <w:rFonts w:eastAsia="Times New Roman" w:cstheme="minorHAnsi"/>
          <w:lang w:eastAsia="pt-BR"/>
        </w:rPr>
        <w:t xml:space="preserve"> betuminosas e extração de corpo de prova de concreto asfáltico com sonda rotativa.</w:t>
      </w:r>
    </w:p>
    <w:p w14:paraId="37CFAC79" w14:textId="77777777" w:rsid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solução atende plenamente às necessidades identificadas, garantindo infraestrutura viária de qualidade com aspectos de sustentabilidade através do uso de materiais recicláveis no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e eficiência na drenagem urbana através do sistema integrado de meio-fio e sarjeta.</w:t>
      </w:r>
    </w:p>
    <w:p w14:paraId="2F9D6700" w14:textId="5839080C" w:rsidR="00562917" w:rsidRPr="00562917" w:rsidRDefault="00562917" w:rsidP="00EB2BC7">
      <w:pPr>
        <w:widowControl w:val="0"/>
        <w:spacing w:after="0"/>
        <w:jc w:val="both"/>
        <w:rPr>
          <w:rFonts w:eastAsia="Times New Roman" w:cstheme="minorHAnsi"/>
          <w:b/>
          <w:bCs/>
          <w:lang w:eastAsia="pt-BR"/>
        </w:rPr>
      </w:pPr>
      <w:r w:rsidRPr="00562917">
        <w:rPr>
          <w:rFonts w:eastAsia="Times New Roman" w:cstheme="minorHAnsi"/>
          <w:b/>
          <w:bCs/>
          <w:lang w:eastAsia="pt-BR"/>
        </w:rPr>
        <w:t>8.2. Vias que receberão pavimentação sobre pedras poliédricas:</w:t>
      </w:r>
    </w:p>
    <w:p w14:paraId="77ADDEAC" w14:textId="6444736E" w:rsidR="00562917" w:rsidRPr="00EB2BC7" w:rsidRDefault="00562917" w:rsidP="00EB2BC7">
      <w:pPr>
        <w:widowControl w:val="0"/>
        <w:spacing w:after="0"/>
        <w:jc w:val="both"/>
        <w:rPr>
          <w:rFonts w:eastAsia="Times New Roman" w:cstheme="minorHAnsi"/>
          <w:lang w:eastAsia="pt-BR"/>
        </w:rPr>
      </w:pPr>
      <w:r w:rsidRPr="00A2267D">
        <w:rPr>
          <w:noProof/>
        </w:rPr>
        <w:drawing>
          <wp:inline distT="0" distB="0" distL="0" distR="0" wp14:anchorId="310D220C" wp14:editId="1A06D013">
            <wp:extent cx="6097905" cy="8224714"/>
            <wp:effectExtent l="0" t="0" r="0" b="5080"/>
            <wp:docPr id="866380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6196" cy="8235896"/>
                    </a:xfrm>
                    <a:prstGeom prst="rect">
                      <a:avLst/>
                    </a:prstGeom>
                    <a:noFill/>
                    <a:ln>
                      <a:noFill/>
                    </a:ln>
                  </pic:spPr>
                </pic:pic>
              </a:graphicData>
            </a:graphic>
          </wp:inline>
        </w:drawing>
      </w:r>
    </w:p>
    <w:p w14:paraId="35186F2E" w14:textId="458D51FD" w:rsidR="00EB2BC7" w:rsidRPr="00EB2BC7" w:rsidRDefault="00EB2BC7" w:rsidP="00EB2BC7">
      <w:pPr>
        <w:widowControl w:val="0"/>
        <w:spacing w:after="0"/>
        <w:jc w:val="both"/>
        <w:outlineLvl w:val="1"/>
        <w:rPr>
          <w:rFonts w:eastAsia="Times New Roman" w:cstheme="minorHAnsi"/>
          <w:b/>
          <w:bCs/>
          <w:lang w:eastAsia="pt-BR"/>
        </w:rPr>
      </w:pPr>
      <w:r w:rsidRPr="00EB2BC7">
        <w:rPr>
          <w:rFonts w:eastAsia="Times New Roman" w:cstheme="minorHAnsi"/>
          <w:b/>
          <w:bCs/>
          <w:lang w:eastAsia="pt-BR"/>
        </w:rPr>
        <w:t>9. ESTIMATIVA DAS QUANTIDADES A SEREM CONTRATADAS</w:t>
      </w:r>
    </w:p>
    <w:tbl>
      <w:tblPr>
        <w:tblStyle w:val="Tabelacomgrade"/>
        <w:tblW w:w="4938" w:type="pct"/>
        <w:tblInd w:w="108" w:type="dxa"/>
        <w:tblLook w:val="04A0" w:firstRow="1" w:lastRow="0" w:firstColumn="1" w:lastColumn="0" w:noHBand="0" w:noVBand="1"/>
      </w:tblPr>
      <w:tblGrid>
        <w:gridCol w:w="730"/>
        <w:gridCol w:w="5212"/>
        <w:gridCol w:w="1319"/>
        <w:gridCol w:w="1911"/>
      </w:tblGrid>
      <w:tr w:rsidR="00EB2BC7" w:rsidRPr="00EB2BC7" w14:paraId="2FB49EA0" w14:textId="77777777" w:rsidTr="00045617">
        <w:tc>
          <w:tcPr>
            <w:tcW w:w="398" w:type="pct"/>
            <w:hideMark/>
          </w:tcPr>
          <w:p w14:paraId="056E0DA8"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ITEM</w:t>
            </w:r>
          </w:p>
        </w:tc>
        <w:tc>
          <w:tcPr>
            <w:tcW w:w="2841" w:type="pct"/>
            <w:hideMark/>
          </w:tcPr>
          <w:p w14:paraId="6A0EA69E"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DESCRIÇÃO</w:t>
            </w:r>
          </w:p>
        </w:tc>
        <w:tc>
          <w:tcPr>
            <w:tcW w:w="719" w:type="pct"/>
            <w:hideMark/>
          </w:tcPr>
          <w:p w14:paraId="4F1AEB44"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UNIDADE</w:t>
            </w:r>
          </w:p>
        </w:tc>
        <w:tc>
          <w:tcPr>
            <w:tcW w:w="1042" w:type="pct"/>
            <w:hideMark/>
          </w:tcPr>
          <w:p w14:paraId="56C070CF" w14:textId="77777777" w:rsidR="00EB2BC7" w:rsidRPr="00EB2BC7" w:rsidRDefault="00EB2BC7" w:rsidP="00EB2BC7">
            <w:pPr>
              <w:widowControl w:val="0"/>
              <w:spacing w:line="276" w:lineRule="auto"/>
              <w:jc w:val="both"/>
              <w:rPr>
                <w:rFonts w:eastAsia="Times New Roman" w:cstheme="minorHAnsi"/>
                <w:b/>
                <w:bCs/>
                <w:lang w:eastAsia="pt-BR"/>
              </w:rPr>
            </w:pPr>
            <w:r w:rsidRPr="00EB2BC7">
              <w:rPr>
                <w:rFonts w:eastAsia="Times New Roman" w:cstheme="minorHAnsi"/>
                <w:b/>
                <w:bCs/>
                <w:lang w:eastAsia="pt-BR"/>
              </w:rPr>
              <w:t>QUANTIDADE</w:t>
            </w:r>
          </w:p>
        </w:tc>
      </w:tr>
      <w:tr w:rsidR="00EB2BC7" w:rsidRPr="00EB2BC7" w14:paraId="367215CE" w14:textId="77777777" w:rsidTr="00045617">
        <w:tc>
          <w:tcPr>
            <w:tcW w:w="398" w:type="pct"/>
            <w:hideMark/>
          </w:tcPr>
          <w:p w14:paraId="3F362968"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1</w:t>
            </w:r>
          </w:p>
        </w:tc>
        <w:tc>
          <w:tcPr>
            <w:tcW w:w="2841" w:type="pct"/>
            <w:hideMark/>
          </w:tcPr>
          <w:p w14:paraId="1BDF46FC"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Serviços Preliminares (locação e placa)</w:t>
            </w:r>
          </w:p>
        </w:tc>
        <w:tc>
          <w:tcPr>
            <w:tcW w:w="719" w:type="pct"/>
            <w:hideMark/>
          </w:tcPr>
          <w:p w14:paraId="5FB300F8" w14:textId="77777777" w:rsidR="00EB2BC7" w:rsidRPr="002C29E4" w:rsidRDefault="00EB2BC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conjunto</w:t>
            </w:r>
          </w:p>
        </w:tc>
        <w:tc>
          <w:tcPr>
            <w:tcW w:w="1042" w:type="pct"/>
            <w:hideMark/>
          </w:tcPr>
          <w:p w14:paraId="7139189C" w14:textId="77777777" w:rsidR="00EB2BC7" w:rsidRPr="002C29E4" w:rsidRDefault="00EB2BC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1,00</w:t>
            </w:r>
          </w:p>
        </w:tc>
      </w:tr>
      <w:tr w:rsidR="00EB2BC7" w:rsidRPr="00EB2BC7" w14:paraId="4C6273F4" w14:textId="77777777" w:rsidTr="00045617">
        <w:tc>
          <w:tcPr>
            <w:tcW w:w="398" w:type="pct"/>
            <w:hideMark/>
          </w:tcPr>
          <w:p w14:paraId="51BB4080"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2</w:t>
            </w:r>
          </w:p>
        </w:tc>
        <w:tc>
          <w:tcPr>
            <w:tcW w:w="2841" w:type="pct"/>
            <w:hideMark/>
          </w:tcPr>
          <w:p w14:paraId="17A63EFA" w14:textId="0F1F9BD7" w:rsidR="00EB2BC7" w:rsidRPr="002C29E4" w:rsidRDefault="00260C0B"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Locação de pavimentação</w:t>
            </w:r>
          </w:p>
        </w:tc>
        <w:tc>
          <w:tcPr>
            <w:tcW w:w="719" w:type="pct"/>
            <w:hideMark/>
          </w:tcPr>
          <w:p w14:paraId="5FCAB371" w14:textId="4AAA4C7D" w:rsidR="00EB2BC7" w:rsidRPr="002C29E4" w:rsidRDefault="00EB2BC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w:t>
            </w:r>
          </w:p>
        </w:tc>
        <w:tc>
          <w:tcPr>
            <w:tcW w:w="1042" w:type="pct"/>
            <w:hideMark/>
          </w:tcPr>
          <w:p w14:paraId="7E52DFD9" w14:textId="68571916" w:rsidR="00EB2BC7" w:rsidRPr="002C29E4" w:rsidRDefault="006D6BB1"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7.413,26</w:t>
            </w:r>
          </w:p>
        </w:tc>
      </w:tr>
      <w:tr w:rsidR="00EB2BC7" w:rsidRPr="00EB2BC7" w14:paraId="47B82190" w14:textId="77777777" w:rsidTr="00045617">
        <w:tc>
          <w:tcPr>
            <w:tcW w:w="398" w:type="pct"/>
            <w:hideMark/>
          </w:tcPr>
          <w:p w14:paraId="780735AC"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3</w:t>
            </w:r>
          </w:p>
        </w:tc>
        <w:tc>
          <w:tcPr>
            <w:tcW w:w="2841" w:type="pct"/>
            <w:hideMark/>
          </w:tcPr>
          <w:p w14:paraId="58C71AED" w14:textId="77777777" w:rsidR="00260C0B" w:rsidRPr="002C29E4" w:rsidRDefault="00260C0B" w:rsidP="00260C0B">
            <w:pPr>
              <w:jc w:val="both"/>
              <w:rPr>
                <w:rFonts w:ascii="Arial" w:hAnsi="Arial" w:cs="Arial"/>
                <w:sz w:val="14"/>
                <w:szCs w:val="14"/>
              </w:rPr>
            </w:pPr>
            <w:r w:rsidRPr="002C29E4">
              <w:rPr>
                <w:rFonts w:ascii="Arial" w:hAnsi="Arial" w:cs="Arial"/>
                <w:sz w:val="14"/>
                <w:szCs w:val="14"/>
              </w:rPr>
              <w:t xml:space="preserve">Limpeza e Lavagem da pista </w:t>
            </w:r>
            <w:proofErr w:type="gramStart"/>
            <w:r w:rsidRPr="002C29E4">
              <w:rPr>
                <w:rFonts w:ascii="Arial" w:hAnsi="Arial" w:cs="Arial"/>
                <w:sz w:val="14"/>
                <w:szCs w:val="14"/>
              </w:rPr>
              <w:t>( Recape</w:t>
            </w:r>
            <w:proofErr w:type="gramEnd"/>
            <w:r w:rsidRPr="002C29E4">
              <w:rPr>
                <w:rFonts w:ascii="Arial" w:hAnsi="Arial" w:cs="Arial"/>
                <w:sz w:val="14"/>
                <w:szCs w:val="14"/>
              </w:rPr>
              <w:t xml:space="preserve"> )</w:t>
            </w:r>
          </w:p>
          <w:p w14:paraId="47A3061D" w14:textId="4803142A" w:rsidR="00EB2BC7" w:rsidRPr="002C29E4" w:rsidRDefault="00EB2BC7" w:rsidP="00260C0B">
            <w:pPr>
              <w:jc w:val="both"/>
              <w:rPr>
                <w:rFonts w:eastAsia="Times New Roman" w:cstheme="minorHAnsi"/>
                <w:sz w:val="14"/>
                <w:szCs w:val="14"/>
                <w:lang w:eastAsia="pt-BR"/>
              </w:rPr>
            </w:pPr>
          </w:p>
        </w:tc>
        <w:tc>
          <w:tcPr>
            <w:tcW w:w="719" w:type="pct"/>
            <w:hideMark/>
          </w:tcPr>
          <w:p w14:paraId="542E5F79" w14:textId="39C4A35A" w:rsidR="00EB2BC7" w:rsidRPr="002C29E4" w:rsidRDefault="0004561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hideMark/>
          </w:tcPr>
          <w:p w14:paraId="1211961A" w14:textId="4860F6A6" w:rsidR="00EB2BC7" w:rsidRPr="002C29E4" w:rsidRDefault="006D6BB1"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31.888,36</w:t>
            </w:r>
          </w:p>
        </w:tc>
      </w:tr>
      <w:tr w:rsidR="00EB2BC7" w:rsidRPr="00EB2BC7" w14:paraId="0B08E3F8" w14:textId="77777777" w:rsidTr="00045617">
        <w:tc>
          <w:tcPr>
            <w:tcW w:w="398" w:type="pct"/>
            <w:hideMark/>
          </w:tcPr>
          <w:p w14:paraId="7DEC5B0A"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4</w:t>
            </w:r>
          </w:p>
        </w:tc>
        <w:tc>
          <w:tcPr>
            <w:tcW w:w="2841" w:type="pct"/>
            <w:hideMark/>
          </w:tcPr>
          <w:p w14:paraId="01322BE7" w14:textId="77777777" w:rsidR="00260C0B" w:rsidRPr="002C29E4" w:rsidRDefault="00260C0B" w:rsidP="00260C0B">
            <w:pPr>
              <w:jc w:val="both"/>
              <w:rPr>
                <w:rFonts w:ascii="Arial" w:hAnsi="Arial" w:cs="Arial"/>
                <w:sz w:val="14"/>
                <w:szCs w:val="14"/>
              </w:rPr>
            </w:pPr>
            <w:r w:rsidRPr="002C29E4">
              <w:rPr>
                <w:rFonts w:ascii="Arial" w:hAnsi="Arial" w:cs="Arial"/>
                <w:sz w:val="14"/>
                <w:szCs w:val="14"/>
              </w:rPr>
              <w:t>Pintura de ligação com RR-1C - exclusive emulsão</w:t>
            </w:r>
          </w:p>
          <w:p w14:paraId="6F6D84A4" w14:textId="5A84004B" w:rsidR="00EB2BC7" w:rsidRPr="002C29E4" w:rsidRDefault="00EB2BC7" w:rsidP="00EB2BC7">
            <w:pPr>
              <w:widowControl w:val="0"/>
              <w:spacing w:line="276" w:lineRule="auto"/>
              <w:jc w:val="both"/>
              <w:rPr>
                <w:rFonts w:eastAsia="Times New Roman" w:cstheme="minorHAnsi"/>
                <w:sz w:val="14"/>
                <w:szCs w:val="14"/>
                <w:lang w:eastAsia="pt-BR"/>
              </w:rPr>
            </w:pPr>
          </w:p>
        </w:tc>
        <w:tc>
          <w:tcPr>
            <w:tcW w:w="719" w:type="pct"/>
            <w:hideMark/>
          </w:tcPr>
          <w:p w14:paraId="57868B13" w14:textId="7D884A14" w:rsidR="00EB2BC7" w:rsidRPr="002C29E4" w:rsidRDefault="0004561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hideMark/>
          </w:tcPr>
          <w:p w14:paraId="5F924FB6" w14:textId="26A637B9" w:rsidR="00EB2BC7" w:rsidRPr="002C29E4" w:rsidRDefault="006D6BB1"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63.220,64</w:t>
            </w:r>
          </w:p>
        </w:tc>
      </w:tr>
      <w:tr w:rsidR="00EB2BC7" w:rsidRPr="00EB2BC7" w14:paraId="59A96174" w14:textId="77777777" w:rsidTr="00045617">
        <w:tc>
          <w:tcPr>
            <w:tcW w:w="398" w:type="pct"/>
            <w:hideMark/>
          </w:tcPr>
          <w:p w14:paraId="6F1E5551"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5</w:t>
            </w:r>
          </w:p>
        </w:tc>
        <w:tc>
          <w:tcPr>
            <w:tcW w:w="2841" w:type="pct"/>
            <w:hideMark/>
          </w:tcPr>
          <w:p w14:paraId="0536F672" w14:textId="77777777" w:rsidR="00260C0B" w:rsidRPr="002C29E4" w:rsidRDefault="00260C0B" w:rsidP="00260C0B">
            <w:pPr>
              <w:jc w:val="both"/>
              <w:rPr>
                <w:rFonts w:ascii="Arial" w:hAnsi="Arial" w:cs="Arial"/>
                <w:sz w:val="14"/>
                <w:szCs w:val="14"/>
              </w:rPr>
            </w:pPr>
            <w:r w:rsidRPr="002C29E4">
              <w:rPr>
                <w:rFonts w:ascii="Arial" w:hAnsi="Arial" w:cs="Arial"/>
                <w:sz w:val="14"/>
                <w:szCs w:val="14"/>
              </w:rPr>
              <w:t>Fornecimento de emulsão RR-1C - pintura de ligação</w:t>
            </w:r>
          </w:p>
          <w:p w14:paraId="79BBF56A" w14:textId="5C866E07" w:rsidR="00EB2BC7" w:rsidRPr="002C29E4" w:rsidRDefault="00EB2BC7" w:rsidP="00EB2BC7">
            <w:pPr>
              <w:widowControl w:val="0"/>
              <w:spacing w:line="276" w:lineRule="auto"/>
              <w:jc w:val="both"/>
              <w:rPr>
                <w:rFonts w:eastAsia="Times New Roman" w:cstheme="minorHAnsi"/>
                <w:sz w:val="14"/>
                <w:szCs w:val="14"/>
                <w:lang w:eastAsia="pt-BR"/>
              </w:rPr>
            </w:pPr>
          </w:p>
        </w:tc>
        <w:tc>
          <w:tcPr>
            <w:tcW w:w="719" w:type="pct"/>
            <w:hideMark/>
          </w:tcPr>
          <w:p w14:paraId="3AC2E06A" w14:textId="77777777" w:rsidR="00EB2BC7" w:rsidRPr="002C29E4" w:rsidRDefault="00EB2BC7" w:rsidP="00E84BFB">
            <w:pPr>
              <w:widowControl w:val="0"/>
              <w:spacing w:line="276" w:lineRule="auto"/>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ton</w:t>
            </w:r>
            <w:proofErr w:type="spellEnd"/>
          </w:p>
        </w:tc>
        <w:tc>
          <w:tcPr>
            <w:tcW w:w="1042" w:type="pct"/>
            <w:hideMark/>
          </w:tcPr>
          <w:p w14:paraId="6128148D" w14:textId="62A2500E" w:rsidR="00EB2BC7" w:rsidRPr="002C29E4" w:rsidRDefault="006D6BB1"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31,62</w:t>
            </w:r>
          </w:p>
        </w:tc>
      </w:tr>
      <w:tr w:rsidR="00EB2BC7" w:rsidRPr="00EB2BC7" w14:paraId="65950D05" w14:textId="77777777" w:rsidTr="00045617">
        <w:tc>
          <w:tcPr>
            <w:tcW w:w="398" w:type="pct"/>
            <w:hideMark/>
          </w:tcPr>
          <w:p w14:paraId="520C7F1F"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6</w:t>
            </w:r>
          </w:p>
        </w:tc>
        <w:tc>
          <w:tcPr>
            <w:tcW w:w="2841" w:type="pct"/>
            <w:hideMark/>
          </w:tcPr>
          <w:p w14:paraId="7A1CE175" w14:textId="000437B4" w:rsidR="00260C0B" w:rsidRPr="002C29E4" w:rsidRDefault="00260C0B" w:rsidP="00260C0B">
            <w:pPr>
              <w:jc w:val="both"/>
              <w:rPr>
                <w:rFonts w:ascii="Arial" w:hAnsi="Arial" w:cs="Arial"/>
                <w:sz w:val="14"/>
                <w:szCs w:val="14"/>
              </w:rPr>
            </w:pPr>
            <w:r w:rsidRPr="002C29E4">
              <w:rPr>
                <w:rFonts w:ascii="Arial" w:hAnsi="Arial" w:cs="Arial"/>
                <w:sz w:val="14"/>
                <w:szCs w:val="14"/>
              </w:rPr>
              <w:t xml:space="preserve">CBUQ - Novo traço - Reperfilamento 2 - "FAIXA </w:t>
            </w:r>
            <w:r w:rsidR="006D6BB1" w:rsidRPr="002C29E4">
              <w:rPr>
                <w:rFonts w:ascii="Arial" w:hAnsi="Arial" w:cs="Arial"/>
                <w:sz w:val="14"/>
                <w:szCs w:val="14"/>
              </w:rPr>
              <w:t>C</w:t>
            </w:r>
            <w:r w:rsidRPr="002C29E4">
              <w:rPr>
                <w:rFonts w:ascii="Arial" w:hAnsi="Arial" w:cs="Arial"/>
                <w:sz w:val="14"/>
                <w:szCs w:val="14"/>
              </w:rPr>
              <w:t xml:space="preserve">" - (Quant. menor que 10.000 </w:t>
            </w:r>
            <w:proofErr w:type="spellStart"/>
            <w:r w:rsidRPr="002C29E4">
              <w:rPr>
                <w:rFonts w:ascii="Arial" w:hAnsi="Arial" w:cs="Arial"/>
                <w:sz w:val="14"/>
                <w:szCs w:val="14"/>
              </w:rPr>
              <w:t>ton</w:t>
            </w:r>
            <w:proofErr w:type="spellEnd"/>
            <w:r w:rsidRPr="002C29E4">
              <w:rPr>
                <w:rFonts w:ascii="Arial" w:hAnsi="Arial" w:cs="Arial"/>
                <w:sz w:val="14"/>
                <w:szCs w:val="14"/>
              </w:rPr>
              <w:t>)</w:t>
            </w:r>
          </w:p>
          <w:p w14:paraId="4475BC40" w14:textId="7D7DE402" w:rsidR="00EB2BC7" w:rsidRPr="002C29E4" w:rsidRDefault="00EB2BC7" w:rsidP="00EB2BC7">
            <w:pPr>
              <w:widowControl w:val="0"/>
              <w:spacing w:line="276" w:lineRule="auto"/>
              <w:jc w:val="both"/>
              <w:rPr>
                <w:rFonts w:eastAsia="Times New Roman" w:cstheme="minorHAnsi"/>
                <w:sz w:val="14"/>
                <w:szCs w:val="14"/>
                <w:lang w:eastAsia="pt-BR"/>
              </w:rPr>
            </w:pPr>
          </w:p>
        </w:tc>
        <w:tc>
          <w:tcPr>
            <w:tcW w:w="719" w:type="pct"/>
            <w:hideMark/>
          </w:tcPr>
          <w:p w14:paraId="73C3C3FB" w14:textId="77777777" w:rsidR="00EB2BC7" w:rsidRPr="002C29E4" w:rsidRDefault="00EB2BC7" w:rsidP="00E84BFB">
            <w:pPr>
              <w:widowControl w:val="0"/>
              <w:spacing w:line="276" w:lineRule="auto"/>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ton</w:t>
            </w:r>
            <w:proofErr w:type="spellEnd"/>
          </w:p>
        </w:tc>
        <w:tc>
          <w:tcPr>
            <w:tcW w:w="1042" w:type="pct"/>
            <w:hideMark/>
          </w:tcPr>
          <w:p w14:paraId="38426121" w14:textId="3BCFDF32" w:rsidR="00EB2BC7" w:rsidRPr="002C29E4" w:rsidRDefault="006D6BB1"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1.594,34</w:t>
            </w:r>
          </w:p>
        </w:tc>
      </w:tr>
      <w:tr w:rsidR="00EB2BC7" w:rsidRPr="00EB2BC7" w14:paraId="05477409" w14:textId="77777777" w:rsidTr="00045617">
        <w:tc>
          <w:tcPr>
            <w:tcW w:w="398" w:type="pct"/>
            <w:hideMark/>
          </w:tcPr>
          <w:p w14:paraId="22217773" w14:textId="77777777" w:rsidR="00EB2BC7" w:rsidRPr="002C29E4" w:rsidRDefault="00EB2BC7" w:rsidP="00EB2BC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7</w:t>
            </w:r>
          </w:p>
        </w:tc>
        <w:tc>
          <w:tcPr>
            <w:tcW w:w="2841" w:type="pct"/>
            <w:hideMark/>
          </w:tcPr>
          <w:p w14:paraId="538EFF8A" w14:textId="042F4B28" w:rsidR="00260C0B" w:rsidRPr="002C29E4" w:rsidRDefault="00260C0B" w:rsidP="00260C0B">
            <w:pPr>
              <w:jc w:val="both"/>
              <w:rPr>
                <w:rFonts w:ascii="Arial" w:hAnsi="Arial" w:cs="Arial"/>
                <w:sz w:val="14"/>
                <w:szCs w:val="14"/>
              </w:rPr>
            </w:pPr>
            <w:r w:rsidRPr="002C29E4">
              <w:rPr>
                <w:rFonts w:ascii="Arial" w:hAnsi="Arial" w:cs="Arial"/>
                <w:sz w:val="14"/>
                <w:szCs w:val="14"/>
              </w:rPr>
              <w:t>CBUQ - Novos traços - TRAÇO 4 - FAIXA "</w:t>
            </w:r>
            <w:r w:rsidR="006D6BB1" w:rsidRPr="002C29E4">
              <w:rPr>
                <w:rFonts w:ascii="Arial" w:hAnsi="Arial" w:cs="Arial"/>
                <w:sz w:val="14"/>
                <w:szCs w:val="14"/>
              </w:rPr>
              <w:t>C</w:t>
            </w:r>
            <w:proofErr w:type="gramStart"/>
            <w:r w:rsidRPr="002C29E4">
              <w:rPr>
                <w:rFonts w:ascii="Arial" w:hAnsi="Arial" w:cs="Arial"/>
                <w:sz w:val="14"/>
                <w:szCs w:val="14"/>
              </w:rPr>
              <w:t>"  -</w:t>
            </w:r>
            <w:proofErr w:type="gramEnd"/>
            <w:r w:rsidRPr="002C29E4">
              <w:rPr>
                <w:rFonts w:ascii="Arial" w:hAnsi="Arial" w:cs="Arial"/>
                <w:sz w:val="14"/>
                <w:szCs w:val="14"/>
              </w:rPr>
              <w:t xml:space="preserve"> (Quant. menor que 10.000 </w:t>
            </w:r>
            <w:proofErr w:type="spellStart"/>
            <w:r w:rsidRPr="002C29E4">
              <w:rPr>
                <w:rFonts w:ascii="Arial" w:hAnsi="Arial" w:cs="Arial"/>
                <w:sz w:val="14"/>
                <w:szCs w:val="14"/>
              </w:rPr>
              <w:t>ton</w:t>
            </w:r>
            <w:proofErr w:type="spellEnd"/>
            <w:r w:rsidRPr="002C29E4">
              <w:rPr>
                <w:rFonts w:ascii="Arial" w:hAnsi="Arial" w:cs="Arial"/>
                <w:sz w:val="14"/>
                <w:szCs w:val="14"/>
              </w:rPr>
              <w:t>)</w:t>
            </w:r>
          </w:p>
          <w:p w14:paraId="78F02933" w14:textId="61040802" w:rsidR="00EB2BC7" w:rsidRPr="002C29E4" w:rsidRDefault="00EB2BC7" w:rsidP="00EB2BC7">
            <w:pPr>
              <w:widowControl w:val="0"/>
              <w:spacing w:line="276" w:lineRule="auto"/>
              <w:jc w:val="both"/>
              <w:rPr>
                <w:rFonts w:eastAsia="Times New Roman" w:cstheme="minorHAnsi"/>
                <w:sz w:val="14"/>
                <w:szCs w:val="14"/>
                <w:lang w:eastAsia="pt-BR"/>
              </w:rPr>
            </w:pPr>
          </w:p>
        </w:tc>
        <w:tc>
          <w:tcPr>
            <w:tcW w:w="719" w:type="pct"/>
            <w:hideMark/>
          </w:tcPr>
          <w:p w14:paraId="30699319" w14:textId="30808977" w:rsidR="00EB2BC7" w:rsidRPr="002C29E4" w:rsidRDefault="00045617" w:rsidP="00E84BFB">
            <w:pPr>
              <w:widowControl w:val="0"/>
              <w:spacing w:line="276" w:lineRule="auto"/>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ton</w:t>
            </w:r>
            <w:proofErr w:type="spellEnd"/>
          </w:p>
        </w:tc>
        <w:tc>
          <w:tcPr>
            <w:tcW w:w="1042" w:type="pct"/>
            <w:hideMark/>
          </w:tcPr>
          <w:p w14:paraId="5D3CEC70" w14:textId="1CC97B1B" w:rsidR="00EB2BC7" w:rsidRPr="002C29E4" w:rsidRDefault="00A81629"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2.445,84</w:t>
            </w:r>
          </w:p>
        </w:tc>
      </w:tr>
      <w:tr w:rsidR="00045617" w:rsidRPr="00EB2BC7" w14:paraId="03412EC3" w14:textId="77777777" w:rsidTr="002C29E4">
        <w:trPr>
          <w:trHeight w:val="482"/>
        </w:trPr>
        <w:tc>
          <w:tcPr>
            <w:tcW w:w="398" w:type="pct"/>
          </w:tcPr>
          <w:p w14:paraId="4B8011C9" w14:textId="76ABAADB" w:rsidR="00045617" w:rsidRPr="002C29E4" w:rsidRDefault="00045617" w:rsidP="00EB2BC7">
            <w:pPr>
              <w:widowControl w:val="0"/>
              <w:jc w:val="both"/>
              <w:rPr>
                <w:rFonts w:eastAsia="Times New Roman" w:cstheme="minorHAnsi"/>
                <w:sz w:val="14"/>
                <w:szCs w:val="14"/>
                <w:lang w:eastAsia="pt-BR"/>
              </w:rPr>
            </w:pPr>
            <w:r w:rsidRPr="002C29E4">
              <w:rPr>
                <w:rFonts w:eastAsia="Times New Roman" w:cstheme="minorHAnsi"/>
                <w:sz w:val="14"/>
                <w:szCs w:val="14"/>
                <w:lang w:eastAsia="pt-BR"/>
              </w:rPr>
              <w:t>8</w:t>
            </w:r>
          </w:p>
        </w:tc>
        <w:tc>
          <w:tcPr>
            <w:tcW w:w="2841" w:type="pct"/>
          </w:tcPr>
          <w:p w14:paraId="3752471D"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 xml:space="preserve">Fornecimento de CAP - CBUQ (Quantidade menor que 10.000 </w:t>
            </w:r>
            <w:proofErr w:type="spellStart"/>
            <w:r w:rsidRPr="002C29E4">
              <w:rPr>
                <w:rFonts w:ascii="Arial" w:hAnsi="Arial" w:cs="Arial"/>
                <w:sz w:val="14"/>
                <w:szCs w:val="14"/>
              </w:rPr>
              <w:t>ton</w:t>
            </w:r>
            <w:proofErr w:type="spellEnd"/>
            <w:r w:rsidRPr="002C29E4">
              <w:rPr>
                <w:rFonts w:ascii="Arial" w:hAnsi="Arial" w:cs="Arial"/>
                <w:sz w:val="14"/>
                <w:szCs w:val="14"/>
              </w:rPr>
              <w:t>)</w:t>
            </w:r>
          </w:p>
          <w:p w14:paraId="0B37221E" w14:textId="77777777" w:rsidR="00045617" w:rsidRPr="002C29E4" w:rsidRDefault="00045617" w:rsidP="00260C0B">
            <w:pPr>
              <w:jc w:val="both"/>
              <w:rPr>
                <w:rFonts w:ascii="Arial" w:hAnsi="Arial" w:cs="Arial"/>
                <w:b/>
                <w:bCs/>
                <w:color w:val="0000FF"/>
                <w:sz w:val="14"/>
                <w:szCs w:val="14"/>
              </w:rPr>
            </w:pPr>
          </w:p>
        </w:tc>
        <w:tc>
          <w:tcPr>
            <w:tcW w:w="719" w:type="pct"/>
          </w:tcPr>
          <w:p w14:paraId="5D24810F" w14:textId="2000F3EB" w:rsidR="00045617" w:rsidRPr="002C29E4" w:rsidRDefault="00045617" w:rsidP="00E84BFB">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ton</w:t>
            </w:r>
            <w:proofErr w:type="spellEnd"/>
          </w:p>
        </w:tc>
        <w:tc>
          <w:tcPr>
            <w:tcW w:w="1042" w:type="pct"/>
          </w:tcPr>
          <w:p w14:paraId="5C780413" w14:textId="36CCEF98" w:rsidR="00045617" w:rsidRPr="002C29E4" w:rsidRDefault="00A81629"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129,63</w:t>
            </w:r>
          </w:p>
        </w:tc>
      </w:tr>
      <w:tr w:rsidR="00045617" w:rsidRPr="00EB2BC7" w14:paraId="5B437E01" w14:textId="77777777" w:rsidTr="00045617">
        <w:tc>
          <w:tcPr>
            <w:tcW w:w="398" w:type="pct"/>
            <w:hideMark/>
          </w:tcPr>
          <w:p w14:paraId="213B2D9A" w14:textId="37CB481B" w:rsidR="00045617" w:rsidRPr="002C29E4" w:rsidRDefault="00045617" w:rsidP="0004561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9</w:t>
            </w:r>
          </w:p>
        </w:tc>
        <w:tc>
          <w:tcPr>
            <w:tcW w:w="2841" w:type="pct"/>
            <w:hideMark/>
          </w:tcPr>
          <w:p w14:paraId="7524D275"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Arrancamento de Meio-Fio</w:t>
            </w:r>
          </w:p>
          <w:p w14:paraId="7651267D" w14:textId="4D1C6C10" w:rsidR="00045617" w:rsidRPr="002C29E4" w:rsidRDefault="00045617" w:rsidP="00045617">
            <w:pPr>
              <w:widowControl w:val="0"/>
              <w:spacing w:line="276" w:lineRule="auto"/>
              <w:jc w:val="both"/>
              <w:rPr>
                <w:rFonts w:eastAsia="Times New Roman" w:cstheme="minorHAnsi"/>
                <w:sz w:val="14"/>
                <w:szCs w:val="14"/>
                <w:lang w:eastAsia="pt-BR"/>
              </w:rPr>
            </w:pPr>
          </w:p>
        </w:tc>
        <w:tc>
          <w:tcPr>
            <w:tcW w:w="719" w:type="pct"/>
            <w:hideMark/>
          </w:tcPr>
          <w:p w14:paraId="223E766F" w14:textId="17DC2A9A" w:rsidR="00045617" w:rsidRPr="002C29E4" w:rsidRDefault="0004561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w:t>
            </w:r>
          </w:p>
        </w:tc>
        <w:tc>
          <w:tcPr>
            <w:tcW w:w="1042" w:type="pct"/>
            <w:hideMark/>
          </w:tcPr>
          <w:p w14:paraId="51523EE3" w14:textId="0DE41573" w:rsidR="00045617" w:rsidRPr="002C29E4" w:rsidRDefault="00A81629"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7.401,26</w:t>
            </w:r>
          </w:p>
        </w:tc>
      </w:tr>
      <w:tr w:rsidR="00045617" w:rsidRPr="00EB2BC7" w14:paraId="5470BE20" w14:textId="77777777" w:rsidTr="00045617">
        <w:tc>
          <w:tcPr>
            <w:tcW w:w="398" w:type="pct"/>
            <w:hideMark/>
          </w:tcPr>
          <w:p w14:paraId="4745C9A6" w14:textId="0E4C5C7F" w:rsidR="00045617" w:rsidRPr="002C29E4" w:rsidRDefault="00045617" w:rsidP="0004561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10</w:t>
            </w:r>
          </w:p>
        </w:tc>
        <w:tc>
          <w:tcPr>
            <w:tcW w:w="2841" w:type="pct"/>
            <w:hideMark/>
          </w:tcPr>
          <w:p w14:paraId="05A9C354"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Meio-Fio com Sarjeta DER - Tipo 2 - (0,042 m3) - Pré-Moldado</w:t>
            </w:r>
          </w:p>
          <w:p w14:paraId="5B55C49D" w14:textId="7CD28BAE" w:rsidR="00045617" w:rsidRPr="002C29E4" w:rsidRDefault="00045617" w:rsidP="00045617">
            <w:pPr>
              <w:widowControl w:val="0"/>
              <w:spacing w:line="276" w:lineRule="auto"/>
              <w:jc w:val="both"/>
              <w:rPr>
                <w:rFonts w:eastAsia="Times New Roman" w:cstheme="minorHAnsi"/>
                <w:sz w:val="14"/>
                <w:szCs w:val="14"/>
                <w:lang w:eastAsia="pt-BR"/>
              </w:rPr>
            </w:pPr>
          </w:p>
        </w:tc>
        <w:tc>
          <w:tcPr>
            <w:tcW w:w="719" w:type="pct"/>
            <w:hideMark/>
          </w:tcPr>
          <w:p w14:paraId="046496AD" w14:textId="2D6C7887" w:rsidR="00045617" w:rsidRPr="002C29E4" w:rsidRDefault="0004561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w:t>
            </w:r>
          </w:p>
        </w:tc>
        <w:tc>
          <w:tcPr>
            <w:tcW w:w="1042" w:type="pct"/>
            <w:hideMark/>
          </w:tcPr>
          <w:p w14:paraId="21F523F2" w14:textId="00C2A1D0" w:rsidR="00045617" w:rsidRPr="002C29E4" w:rsidRDefault="00A81629"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7401,26</w:t>
            </w:r>
          </w:p>
        </w:tc>
      </w:tr>
      <w:tr w:rsidR="00045617" w:rsidRPr="00EB2BC7" w14:paraId="1999B9F0" w14:textId="77777777" w:rsidTr="00045617">
        <w:tc>
          <w:tcPr>
            <w:tcW w:w="398" w:type="pct"/>
            <w:hideMark/>
          </w:tcPr>
          <w:p w14:paraId="043AA8D8" w14:textId="690E468D" w:rsidR="00045617" w:rsidRPr="002C29E4" w:rsidRDefault="00045617" w:rsidP="0004561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11</w:t>
            </w:r>
          </w:p>
        </w:tc>
        <w:tc>
          <w:tcPr>
            <w:tcW w:w="2841" w:type="pct"/>
            <w:hideMark/>
          </w:tcPr>
          <w:p w14:paraId="5BA5F5A1"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Meio-Fio com Sarjeta DER - Tipo 7 - (0,031 m3) - Pré-Moldado</w:t>
            </w:r>
          </w:p>
          <w:p w14:paraId="596C2A6D" w14:textId="43629B2E" w:rsidR="00045617" w:rsidRPr="002C29E4" w:rsidRDefault="00045617" w:rsidP="00045617">
            <w:pPr>
              <w:widowControl w:val="0"/>
              <w:spacing w:line="276" w:lineRule="auto"/>
              <w:jc w:val="both"/>
              <w:rPr>
                <w:rFonts w:eastAsia="Times New Roman" w:cstheme="minorHAnsi"/>
                <w:sz w:val="14"/>
                <w:szCs w:val="14"/>
                <w:lang w:eastAsia="pt-BR"/>
              </w:rPr>
            </w:pPr>
          </w:p>
        </w:tc>
        <w:tc>
          <w:tcPr>
            <w:tcW w:w="719" w:type="pct"/>
            <w:hideMark/>
          </w:tcPr>
          <w:p w14:paraId="25A48E23" w14:textId="3558AEE8" w:rsidR="00045617" w:rsidRPr="002C29E4" w:rsidRDefault="0004561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w:t>
            </w:r>
          </w:p>
        </w:tc>
        <w:tc>
          <w:tcPr>
            <w:tcW w:w="1042" w:type="pct"/>
            <w:hideMark/>
          </w:tcPr>
          <w:p w14:paraId="34ED95D4" w14:textId="0EBD9DA5" w:rsidR="00045617" w:rsidRPr="002C29E4" w:rsidRDefault="00A81629"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66,00</w:t>
            </w:r>
          </w:p>
        </w:tc>
      </w:tr>
      <w:tr w:rsidR="00045617" w:rsidRPr="00EB2BC7" w14:paraId="23E2C125" w14:textId="77777777" w:rsidTr="00045617">
        <w:tc>
          <w:tcPr>
            <w:tcW w:w="398" w:type="pct"/>
            <w:hideMark/>
          </w:tcPr>
          <w:p w14:paraId="397EF073" w14:textId="4391C535" w:rsidR="00045617" w:rsidRPr="002C29E4" w:rsidRDefault="00045617" w:rsidP="0004561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12</w:t>
            </w:r>
          </w:p>
        </w:tc>
        <w:tc>
          <w:tcPr>
            <w:tcW w:w="2841" w:type="pct"/>
            <w:hideMark/>
          </w:tcPr>
          <w:p w14:paraId="27452620"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Regularização, conformação e compactação de leito p/ assentamento de calçadas/lajotas/blocos</w:t>
            </w:r>
          </w:p>
          <w:p w14:paraId="55DB3176" w14:textId="2C742810" w:rsidR="00045617" w:rsidRPr="002C29E4" w:rsidRDefault="00045617" w:rsidP="00045617">
            <w:pPr>
              <w:widowControl w:val="0"/>
              <w:spacing w:line="276" w:lineRule="auto"/>
              <w:jc w:val="both"/>
              <w:rPr>
                <w:rFonts w:eastAsia="Times New Roman" w:cstheme="minorHAnsi"/>
                <w:sz w:val="14"/>
                <w:szCs w:val="14"/>
                <w:lang w:eastAsia="pt-BR"/>
              </w:rPr>
            </w:pPr>
          </w:p>
        </w:tc>
        <w:tc>
          <w:tcPr>
            <w:tcW w:w="719" w:type="pct"/>
            <w:hideMark/>
          </w:tcPr>
          <w:p w14:paraId="550552DC" w14:textId="77777777" w:rsidR="00045617" w:rsidRPr="002C29E4" w:rsidRDefault="00045617"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hideMark/>
          </w:tcPr>
          <w:p w14:paraId="48489757" w14:textId="00E4035C" w:rsidR="00045617" w:rsidRPr="002C29E4" w:rsidRDefault="00A81629"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5.411,74</w:t>
            </w:r>
          </w:p>
        </w:tc>
      </w:tr>
      <w:tr w:rsidR="00045617" w:rsidRPr="00EB2BC7" w14:paraId="2BFF6541" w14:textId="77777777" w:rsidTr="00045617">
        <w:tc>
          <w:tcPr>
            <w:tcW w:w="398" w:type="pct"/>
            <w:hideMark/>
          </w:tcPr>
          <w:p w14:paraId="4D18686E" w14:textId="2CA52D69" w:rsidR="00045617" w:rsidRPr="002C29E4" w:rsidRDefault="00045617" w:rsidP="0004561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13</w:t>
            </w:r>
          </w:p>
        </w:tc>
        <w:tc>
          <w:tcPr>
            <w:tcW w:w="2841" w:type="pct"/>
            <w:hideMark/>
          </w:tcPr>
          <w:p w14:paraId="2F50A872" w14:textId="77777777" w:rsidR="00045617" w:rsidRPr="002C29E4" w:rsidRDefault="00045617" w:rsidP="00045617">
            <w:pPr>
              <w:jc w:val="both"/>
              <w:rPr>
                <w:rFonts w:ascii="Arial" w:hAnsi="Arial" w:cs="Arial"/>
                <w:sz w:val="14"/>
                <w:szCs w:val="14"/>
              </w:rPr>
            </w:pPr>
            <w:proofErr w:type="spellStart"/>
            <w:r w:rsidRPr="002C29E4">
              <w:rPr>
                <w:rFonts w:ascii="Arial" w:hAnsi="Arial" w:cs="Arial"/>
                <w:sz w:val="14"/>
                <w:szCs w:val="14"/>
              </w:rPr>
              <w:t>Paver</w:t>
            </w:r>
            <w:proofErr w:type="spellEnd"/>
            <w:r w:rsidRPr="002C29E4">
              <w:rPr>
                <w:rFonts w:ascii="Arial" w:hAnsi="Arial" w:cs="Arial"/>
                <w:sz w:val="14"/>
                <w:szCs w:val="14"/>
              </w:rPr>
              <w:t xml:space="preserve"> ou </w:t>
            </w:r>
            <w:proofErr w:type="spellStart"/>
            <w:proofErr w:type="gramStart"/>
            <w:r w:rsidRPr="002C29E4">
              <w:rPr>
                <w:rFonts w:ascii="Arial" w:hAnsi="Arial" w:cs="Arial"/>
                <w:sz w:val="14"/>
                <w:szCs w:val="14"/>
              </w:rPr>
              <w:t>Bloket</w:t>
            </w:r>
            <w:proofErr w:type="spellEnd"/>
            <w:r w:rsidRPr="002C29E4">
              <w:rPr>
                <w:rFonts w:ascii="Arial" w:hAnsi="Arial" w:cs="Arial"/>
                <w:sz w:val="14"/>
                <w:szCs w:val="14"/>
              </w:rPr>
              <w:t xml:space="preserve">  e</w:t>
            </w:r>
            <w:proofErr w:type="gramEnd"/>
            <w:r w:rsidRPr="002C29E4">
              <w:rPr>
                <w:rFonts w:ascii="Arial" w:hAnsi="Arial" w:cs="Arial"/>
                <w:sz w:val="14"/>
                <w:szCs w:val="14"/>
              </w:rPr>
              <w:t>=6cm - com colchão de areia</w:t>
            </w:r>
          </w:p>
          <w:p w14:paraId="3C6B2272" w14:textId="4F761BF6" w:rsidR="00045617" w:rsidRPr="002C29E4" w:rsidRDefault="00045617" w:rsidP="00045617">
            <w:pPr>
              <w:widowControl w:val="0"/>
              <w:spacing w:line="276" w:lineRule="auto"/>
              <w:jc w:val="both"/>
              <w:rPr>
                <w:rFonts w:eastAsia="Times New Roman" w:cstheme="minorHAnsi"/>
                <w:sz w:val="14"/>
                <w:szCs w:val="14"/>
                <w:lang w:eastAsia="pt-BR"/>
              </w:rPr>
            </w:pPr>
          </w:p>
        </w:tc>
        <w:tc>
          <w:tcPr>
            <w:tcW w:w="719" w:type="pct"/>
            <w:hideMark/>
          </w:tcPr>
          <w:p w14:paraId="75154B20" w14:textId="311BE351" w:rsidR="00045617" w:rsidRPr="002C29E4" w:rsidRDefault="009F6F86"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hideMark/>
          </w:tcPr>
          <w:p w14:paraId="4CEFF10D" w14:textId="6E41AB79" w:rsidR="00045617" w:rsidRPr="002C29E4" w:rsidRDefault="00A81629"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4.276,24</w:t>
            </w:r>
          </w:p>
        </w:tc>
      </w:tr>
      <w:tr w:rsidR="00045617" w:rsidRPr="00EB2BC7" w14:paraId="1AFECE9D" w14:textId="77777777" w:rsidTr="00045617">
        <w:tc>
          <w:tcPr>
            <w:tcW w:w="398" w:type="pct"/>
            <w:hideMark/>
          </w:tcPr>
          <w:p w14:paraId="7FDC26CE" w14:textId="463D03FA" w:rsidR="00045617" w:rsidRPr="002C29E4" w:rsidRDefault="00045617" w:rsidP="00045617">
            <w:pPr>
              <w:widowControl w:val="0"/>
              <w:spacing w:line="276" w:lineRule="auto"/>
              <w:jc w:val="both"/>
              <w:rPr>
                <w:rFonts w:eastAsia="Times New Roman" w:cstheme="minorHAnsi"/>
                <w:sz w:val="14"/>
                <w:szCs w:val="14"/>
                <w:lang w:eastAsia="pt-BR"/>
              </w:rPr>
            </w:pPr>
            <w:r w:rsidRPr="002C29E4">
              <w:rPr>
                <w:rFonts w:eastAsia="Times New Roman" w:cstheme="minorHAnsi"/>
                <w:sz w:val="14"/>
                <w:szCs w:val="14"/>
                <w:lang w:eastAsia="pt-BR"/>
              </w:rPr>
              <w:t>14</w:t>
            </w:r>
          </w:p>
        </w:tc>
        <w:tc>
          <w:tcPr>
            <w:tcW w:w="2841" w:type="pct"/>
            <w:hideMark/>
          </w:tcPr>
          <w:p w14:paraId="4F8A1D79"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Rampa para PNE com Piso Tátil (NBR 9050) - Modelo 02 - 5,94 m2</w:t>
            </w:r>
          </w:p>
          <w:p w14:paraId="3BC9B5E1" w14:textId="40BB2CE8" w:rsidR="00045617" w:rsidRPr="002C29E4" w:rsidRDefault="00045617" w:rsidP="00045617">
            <w:pPr>
              <w:widowControl w:val="0"/>
              <w:spacing w:line="276" w:lineRule="auto"/>
              <w:jc w:val="both"/>
              <w:rPr>
                <w:rFonts w:eastAsia="Times New Roman" w:cstheme="minorHAnsi"/>
                <w:sz w:val="14"/>
                <w:szCs w:val="14"/>
                <w:lang w:eastAsia="pt-BR"/>
              </w:rPr>
            </w:pPr>
          </w:p>
        </w:tc>
        <w:tc>
          <w:tcPr>
            <w:tcW w:w="719" w:type="pct"/>
            <w:hideMark/>
          </w:tcPr>
          <w:p w14:paraId="44535B1F" w14:textId="3C244972" w:rsidR="00045617" w:rsidRPr="002C29E4" w:rsidRDefault="009F6F86"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hideMark/>
          </w:tcPr>
          <w:p w14:paraId="4CDB7AB2" w14:textId="0F7E7665" w:rsidR="00045617" w:rsidRPr="002C29E4" w:rsidRDefault="00A81629" w:rsidP="00E84BFB">
            <w:pPr>
              <w:widowControl w:val="0"/>
              <w:spacing w:line="276" w:lineRule="auto"/>
              <w:jc w:val="center"/>
              <w:rPr>
                <w:rFonts w:eastAsia="Times New Roman" w:cstheme="minorHAnsi"/>
                <w:sz w:val="14"/>
                <w:szCs w:val="14"/>
                <w:lang w:eastAsia="pt-BR"/>
              </w:rPr>
            </w:pPr>
            <w:r w:rsidRPr="002C29E4">
              <w:rPr>
                <w:rFonts w:eastAsia="Times New Roman" w:cstheme="minorHAnsi"/>
                <w:sz w:val="14"/>
                <w:szCs w:val="14"/>
                <w:lang w:eastAsia="pt-BR"/>
              </w:rPr>
              <w:t>45,00</w:t>
            </w:r>
          </w:p>
        </w:tc>
      </w:tr>
      <w:tr w:rsidR="00045617" w:rsidRPr="00EB2BC7" w14:paraId="15ABEA83" w14:textId="77777777" w:rsidTr="00045617">
        <w:tc>
          <w:tcPr>
            <w:tcW w:w="398" w:type="pct"/>
          </w:tcPr>
          <w:p w14:paraId="6400588F" w14:textId="624351E0" w:rsidR="00045617" w:rsidRPr="002C29E4" w:rsidRDefault="00045617" w:rsidP="00045617">
            <w:pPr>
              <w:widowControl w:val="0"/>
              <w:jc w:val="both"/>
              <w:rPr>
                <w:rFonts w:eastAsia="Times New Roman" w:cstheme="minorHAnsi"/>
                <w:sz w:val="14"/>
                <w:szCs w:val="14"/>
                <w:lang w:eastAsia="pt-BR"/>
              </w:rPr>
            </w:pPr>
            <w:r w:rsidRPr="002C29E4">
              <w:rPr>
                <w:rFonts w:eastAsia="Times New Roman" w:cstheme="minorHAnsi"/>
                <w:sz w:val="14"/>
                <w:szCs w:val="14"/>
                <w:lang w:eastAsia="pt-BR"/>
              </w:rPr>
              <w:t>15</w:t>
            </w:r>
          </w:p>
        </w:tc>
        <w:tc>
          <w:tcPr>
            <w:tcW w:w="2841" w:type="pct"/>
          </w:tcPr>
          <w:p w14:paraId="2C6CF4FD"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Fornecimento e assentamento de piso tátil de concreto alerta/direcional 20x20cm vermelho</w:t>
            </w:r>
          </w:p>
          <w:p w14:paraId="7C5245B4" w14:textId="77777777" w:rsidR="00045617" w:rsidRPr="002C29E4" w:rsidRDefault="00045617" w:rsidP="00045617">
            <w:pPr>
              <w:jc w:val="both"/>
              <w:rPr>
                <w:rFonts w:ascii="Arial" w:hAnsi="Arial" w:cs="Arial"/>
                <w:sz w:val="14"/>
                <w:szCs w:val="14"/>
              </w:rPr>
            </w:pPr>
          </w:p>
        </w:tc>
        <w:tc>
          <w:tcPr>
            <w:tcW w:w="719" w:type="pct"/>
          </w:tcPr>
          <w:p w14:paraId="7B490FD6" w14:textId="3491FA39" w:rsidR="00045617" w:rsidRPr="002C29E4" w:rsidRDefault="009F6F86"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tcPr>
          <w:p w14:paraId="3CF171EA" w14:textId="301A3A1B" w:rsidR="00045617" w:rsidRPr="002C29E4" w:rsidRDefault="00A81629"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805,50</w:t>
            </w:r>
          </w:p>
        </w:tc>
      </w:tr>
      <w:tr w:rsidR="00045617" w:rsidRPr="00EB2BC7" w14:paraId="337FC56F" w14:textId="77777777" w:rsidTr="00045617">
        <w:tc>
          <w:tcPr>
            <w:tcW w:w="398" w:type="pct"/>
          </w:tcPr>
          <w:p w14:paraId="7EEA3806" w14:textId="2A4FE710" w:rsidR="00045617" w:rsidRPr="002C29E4" w:rsidRDefault="00045617" w:rsidP="00045617">
            <w:pPr>
              <w:widowControl w:val="0"/>
              <w:jc w:val="both"/>
              <w:rPr>
                <w:rFonts w:eastAsia="Times New Roman" w:cstheme="minorHAnsi"/>
                <w:sz w:val="14"/>
                <w:szCs w:val="14"/>
                <w:lang w:eastAsia="pt-BR"/>
              </w:rPr>
            </w:pPr>
            <w:r w:rsidRPr="002C29E4">
              <w:rPr>
                <w:rFonts w:eastAsia="Times New Roman" w:cstheme="minorHAnsi"/>
                <w:sz w:val="14"/>
                <w:szCs w:val="14"/>
                <w:lang w:eastAsia="pt-BR"/>
              </w:rPr>
              <w:t>16</w:t>
            </w:r>
          </w:p>
        </w:tc>
        <w:tc>
          <w:tcPr>
            <w:tcW w:w="2841" w:type="pct"/>
          </w:tcPr>
          <w:p w14:paraId="00BB2305"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Assentamento de guia (meio-fio) em trecho reto, confeccionado em concreto pré-fabricado, dimensões 80x8x8x25 cm (</w:t>
            </w:r>
            <w:proofErr w:type="spellStart"/>
            <w:r w:rsidRPr="002C29E4">
              <w:rPr>
                <w:rFonts w:ascii="Arial" w:hAnsi="Arial" w:cs="Arial"/>
                <w:sz w:val="14"/>
                <w:szCs w:val="14"/>
              </w:rPr>
              <w:t>comprimentoxbase</w:t>
            </w:r>
            <w:proofErr w:type="spellEnd"/>
            <w:r w:rsidRPr="002C29E4">
              <w:rPr>
                <w:rFonts w:ascii="Arial" w:hAnsi="Arial" w:cs="Arial"/>
                <w:sz w:val="14"/>
                <w:szCs w:val="14"/>
              </w:rPr>
              <w:t xml:space="preserve"> </w:t>
            </w:r>
            <w:proofErr w:type="spellStart"/>
            <w:r w:rsidRPr="002C29E4">
              <w:rPr>
                <w:rFonts w:ascii="Arial" w:hAnsi="Arial" w:cs="Arial"/>
                <w:sz w:val="14"/>
                <w:szCs w:val="14"/>
              </w:rPr>
              <w:t>superiorxbase</w:t>
            </w:r>
            <w:proofErr w:type="spellEnd"/>
            <w:r w:rsidRPr="002C29E4">
              <w:rPr>
                <w:rFonts w:ascii="Arial" w:hAnsi="Arial" w:cs="Arial"/>
                <w:sz w:val="14"/>
                <w:szCs w:val="14"/>
              </w:rPr>
              <w:t xml:space="preserve"> </w:t>
            </w:r>
            <w:proofErr w:type="spellStart"/>
            <w:r w:rsidRPr="002C29E4">
              <w:rPr>
                <w:rFonts w:ascii="Arial" w:hAnsi="Arial" w:cs="Arial"/>
                <w:sz w:val="14"/>
                <w:szCs w:val="14"/>
              </w:rPr>
              <w:t>inferiorxaltura</w:t>
            </w:r>
            <w:proofErr w:type="spellEnd"/>
            <w:r w:rsidRPr="002C29E4">
              <w:rPr>
                <w:rFonts w:ascii="Arial" w:hAnsi="Arial" w:cs="Arial"/>
                <w:sz w:val="14"/>
                <w:szCs w:val="14"/>
              </w:rPr>
              <w:t>), para urbanização interna de empreendimentos.</w:t>
            </w:r>
          </w:p>
          <w:p w14:paraId="7A74450C" w14:textId="77777777" w:rsidR="00045617" w:rsidRPr="002C29E4" w:rsidRDefault="00045617" w:rsidP="00045617">
            <w:pPr>
              <w:jc w:val="both"/>
              <w:rPr>
                <w:rFonts w:ascii="Arial" w:hAnsi="Arial" w:cs="Arial"/>
                <w:sz w:val="14"/>
                <w:szCs w:val="14"/>
              </w:rPr>
            </w:pPr>
          </w:p>
        </w:tc>
        <w:tc>
          <w:tcPr>
            <w:tcW w:w="719" w:type="pct"/>
          </w:tcPr>
          <w:p w14:paraId="5989DBC3" w14:textId="3AE8668D" w:rsidR="00045617" w:rsidRPr="002C29E4" w:rsidRDefault="009F6F86"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m</w:t>
            </w:r>
          </w:p>
        </w:tc>
        <w:tc>
          <w:tcPr>
            <w:tcW w:w="1042" w:type="pct"/>
          </w:tcPr>
          <w:p w14:paraId="18C0B22A" w14:textId="158F79E6" w:rsidR="00045617" w:rsidRPr="002C29E4" w:rsidRDefault="002C29E4"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2.775,89</w:t>
            </w:r>
          </w:p>
        </w:tc>
      </w:tr>
      <w:tr w:rsidR="00045617" w:rsidRPr="00EB2BC7" w14:paraId="323645C1" w14:textId="77777777" w:rsidTr="00045617">
        <w:tc>
          <w:tcPr>
            <w:tcW w:w="398" w:type="pct"/>
          </w:tcPr>
          <w:p w14:paraId="7BFC06B5" w14:textId="41D85FC6" w:rsidR="00045617" w:rsidRPr="002C29E4" w:rsidRDefault="00045617" w:rsidP="00045617">
            <w:pPr>
              <w:widowControl w:val="0"/>
              <w:jc w:val="both"/>
              <w:rPr>
                <w:rFonts w:eastAsia="Times New Roman" w:cstheme="minorHAnsi"/>
                <w:sz w:val="14"/>
                <w:szCs w:val="14"/>
                <w:lang w:eastAsia="pt-BR"/>
              </w:rPr>
            </w:pPr>
            <w:r w:rsidRPr="002C29E4">
              <w:rPr>
                <w:rFonts w:eastAsia="Times New Roman" w:cstheme="minorHAnsi"/>
                <w:sz w:val="14"/>
                <w:szCs w:val="14"/>
                <w:lang w:eastAsia="pt-BR"/>
              </w:rPr>
              <w:t>17</w:t>
            </w:r>
          </w:p>
        </w:tc>
        <w:tc>
          <w:tcPr>
            <w:tcW w:w="2841" w:type="pct"/>
          </w:tcPr>
          <w:p w14:paraId="30906C44"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 xml:space="preserve">Colchão de argila p/ </w:t>
            </w:r>
            <w:proofErr w:type="spellStart"/>
            <w:r w:rsidRPr="002C29E4">
              <w:rPr>
                <w:rFonts w:ascii="Arial" w:hAnsi="Arial" w:cs="Arial"/>
                <w:sz w:val="14"/>
                <w:szCs w:val="14"/>
              </w:rPr>
              <w:t>pav</w:t>
            </w:r>
            <w:proofErr w:type="spellEnd"/>
            <w:r w:rsidRPr="002C29E4">
              <w:rPr>
                <w:rFonts w:ascii="Arial" w:hAnsi="Arial" w:cs="Arial"/>
                <w:sz w:val="14"/>
                <w:szCs w:val="14"/>
              </w:rPr>
              <w:t>. Poliédrico (</w:t>
            </w:r>
            <w:proofErr w:type="spellStart"/>
            <w:r w:rsidRPr="002C29E4">
              <w:rPr>
                <w:rFonts w:ascii="Arial" w:hAnsi="Arial" w:cs="Arial"/>
                <w:sz w:val="14"/>
                <w:szCs w:val="14"/>
              </w:rPr>
              <w:t>paver</w:t>
            </w:r>
            <w:proofErr w:type="spellEnd"/>
            <w:r w:rsidRPr="002C29E4">
              <w:rPr>
                <w:rFonts w:ascii="Arial" w:hAnsi="Arial" w:cs="Arial"/>
                <w:sz w:val="14"/>
                <w:szCs w:val="14"/>
              </w:rPr>
              <w:t>)</w:t>
            </w:r>
          </w:p>
          <w:p w14:paraId="0E9A5288" w14:textId="77777777" w:rsidR="00045617" w:rsidRPr="002C29E4" w:rsidRDefault="00045617" w:rsidP="00045617">
            <w:pPr>
              <w:jc w:val="both"/>
              <w:rPr>
                <w:rFonts w:ascii="Arial" w:hAnsi="Arial" w:cs="Arial"/>
                <w:sz w:val="14"/>
                <w:szCs w:val="14"/>
              </w:rPr>
            </w:pPr>
          </w:p>
        </w:tc>
        <w:tc>
          <w:tcPr>
            <w:tcW w:w="719" w:type="pct"/>
          </w:tcPr>
          <w:p w14:paraId="515CD9C9" w14:textId="766570BC" w:rsidR="00045617" w:rsidRPr="002C29E4" w:rsidRDefault="009F6F86"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tcPr>
          <w:p w14:paraId="721BDE91" w14:textId="77D2FBF7" w:rsidR="00045617" w:rsidRPr="002C29E4" w:rsidRDefault="002C29E4"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5.411,74</w:t>
            </w:r>
          </w:p>
        </w:tc>
      </w:tr>
      <w:tr w:rsidR="00045617" w:rsidRPr="00EB2BC7" w14:paraId="6354DD9F" w14:textId="77777777" w:rsidTr="00045617">
        <w:tc>
          <w:tcPr>
            <w:tcW w:w="398" w:type="pct"/>
          </w:tcPr>
          <w:p w14:paraId="79AB828B" w14:textId="18806059" w:rsidR="00045617" w:rsidRPr="002C29E4" w:rsidRDefault="00045617" w:rsidP="00045617">
            <w:pPr>
              <w:widowControl w:val="0"/>
              <w:jc w:val="both"/>
              <w:rPr>
                <w:rFonts w:eastAsia="Times New Roman" w:cstheme="minorHAnsi"/>
                <w:sz w:val="14"/>
                <w:szCs w:val="14"/>
                <w:lang w:eastAsia="pt-BR"/>
              </w:rPr>
            </w:pPr>
            <w:r w:rsidRPr="002C29E4">
              <w:rPr>
                <w:rFonts w:eastAsia="Times New Roman" w:cstheme="minorHAnsi"/>
                <w:sz w:val="14"/>
                <w:szCs w:val="14"/>
                <w:lang w:eastAsia="pt-BR"/>
              </w:rPr>
              <w:t>18</w:t>
            </w:r>
          </w:p>
        </w:tc>
        <w:tc>
          <w:tcPr>
            <w:tcW w:w="2841" w:type="pct"/>
          </w:tcPr>
          <w:p w14:paraId="6A2B0141"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 xml:space="preserve">Faixa de Sinalização Horizontal c/tinta resina acrílica base solvente- (0,034 m2/m2) </w:t>
            </w:r>
          </w:p>
          <w:p w14:paraId="43BBFF6A" w14:textId="77777777" w:rsidR="00045617" w:rsidRPr="002C29E4" w:rsidRDefault="00045617" w:rsidP="00045617">
            <w:pPr>
              <w:jc w:val="both"/>
              <w:rPr>
                <w:rFonts w:ascii="Arial" w:hAnsi="Arial" w:cs="Arial"/>
                <w:sz w:val="14"/>
                <w:szCs w:val="14"/>
              </w:rPr>
            </w:pPr>
          </w:p>
        </w:tc>
        <w:tc>
          <w:tcPr>
            <w:tcW w:w="719" w:type="pct"/>
          </w:tcPr>
          <w:p w14:paraId="1E425529" w14:textId="7C9A475E" w:rsidR="00045617" w:rsidRPr="002C29E4" w:rsidRDefault="009F6F86"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m²</w:t>
            </w:r>
          </w:p>
        </w:tc>
        <w:tc>
          <w:tcPr>
            <w:tcW w:w="1042" w:type="pct"/>
          </w:tcPr>
          <w:p w14:paraId="71C9BC97" w14:textId="0547C107" w:rsidR="00045617" w:rsidRPr="002C29E4" w:rsidRDefault="002C29E4"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1.565,79</w:t>
            </w:r>
          </w:p>
        </w:tc>
      </w:tr>
      <w:tr w:rsidR="00045617" w:rsidRPr="00EB2BC7" w14:paraId="17900661" w14:textId="77777777" w:rsidTr="00045617">
        <w:tc>
          <w:tcPr>
            <w:tcW w:w="398" w:type="pct"/>
          </w:tcPr>
          <w:p w14:paraId="4D5CC829" w14:textId="77711B89" w:rsidR="00045617" w:rsidRPr="002C29E4" w:rsidRDefault="00045617" w:rsidP="00045617">
            <w:pPr>
              <w:widowControl w:val="0"/>
              <w:jc w:val="both"/>
              <w:rPr>
                <w:rFonts w:eastAsia="Times New Roman" w:cstheme="minorHAnsi"/>
                <w:sz w:val="14"/>
                <w:szCs w:val="14"/>
                <w:lang w:eastAsia="pt-BR"/>
              </w:rPr>
            </w:pPr>
            <w:r w:rsidRPr="002C29E4">
              <w:rPr>
                <w:rFonts w:eastAsia="Times New Roman" w:cstheme="minorHAnsi"/>
                <w:sz w:val="14"/>
                <w:szCs w:val="14"/>
                <w:lang w:eastAsia="pt-BR"/>
              </w:rPr>
              <w:t>19</w:t>
            </w:r>
          </w:p>
        </w:tc>
        <w:tc>
          <w:tcPr>
            <w:tcW w:w="2841" w:type="pct"/>
          </w:tcPr>
          <w:p w14:paraId="2ABB4481"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Placa sinalização refletiva-triângulo (0,1219 m2/</w:t>
            </w:r>
            <w:proofErr w:type="spellStart"/>
            <w:r w:rsidRPr="002C29E4">
              <w:rPr>
                <w:rFonts w:ascii="Arial" w:hAnsi="Arial" w:cs="Arial"/>
                <w:sz w:val="14"/>
                <w:szCs w:val="14"/>
              </w:rPr>
              <w:t>ud</w:t>
            </w:r>
            <w:proofErr w:type="spellEnd"/>
            <w:r w:rsidRPr="002C29E4">
              <w:rPr>
                <w:rFonts w:ascii="Arial" w:hAnsi="Arial" w:cs="Arial"/>
                <w:sz w:val="14"/>
                <w:szCs w:val="14"/>
              </w:rPr>
              <w:t>) + suporte MADEIRA</w:t>
            </w:r>
          </w:p>
          <w:p w14:paraId="7B77B604" w14:textId="77777777" w:rsidR="00045617" w:rsidRPr="002C29E4" w:rsidRDefault="00045617" w:rsidP="00045617">
            <w:pPr>
              <w:jc w:val="both"/>
              <w:rPr>
                <w:rFonts w:ascii="Arial" w:hAnsi="Arial" w:cs="Arial"/>
                <w:sz w:val="14"/>
                <w:szCs w:val="14"/>
              </w:rPr>
            </w:pPr>
          </w:p>
        </w:tc>
        <w:tc>
          <w:tcPr>
            <w:tcW w:w="719" w:type="pct"/>
          </w:tcPr>
          <w:p w14:paraId="3A8EB196" w14:textId="5897ECCE" w:rsidR="00045617" w:rsidRPr="002C29E4" w:rsidRDefault="009F6F86" w:rsidP="00E84BFB">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0F3FA455" w14:textId="1615495D" w:rsidR="00045617" w:rsidRPr="002C29E4" w:rsidRDefault="002C29E4"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2</w:t>
            </w:r>
          </w:p>
        </w:tc>
      </w:tr>
      <w:tr w:rsidR="00045617" w:rsidRPr="00EB2BC7" w14:paraId="233105DD" w14:textId="77777777" w:rsidTr="00045617">
        <w:tc>
          <w:tcPr>
            <w:tcW w:w="398" w:type="pct"/>
          </w:tcPr>
          <w:p w14:paraId="7382A798" w14:textId="5EEAD768" w:rsidR="00045617" w:rsidRPr="002C29E4" w:rsidRDefault="00045617" w:rsidP="00045617">
            <w:pPr>
              <w:widowControl w:val="0"/>
              <w:jc w:val="both"/>
              <w:rPr>
                <w:rFonts w:eastAsia="Times New Roman" w:cstheme="minorHAnsi"/>
                <w:sz w:val="14"/>
                <w:szCs w:val="14"/>
                <w:lang w:eastAsia="pt-BR"/>
              </w:rPr>
            </w:pPr>
            <w:r w:rsidRPr="002C29E4">
              <w:rPr>
                <w:rFonts w:eastAsia="Times New Roman" w:cstheme="minorHAnsi"/>
                <w:sz w:val="14"/>
                <w:szCs w:val="14"/>
                <w:lang w:eastAsia="pt-BR"/>
              </w:rPr>
              <w:t>20</w:t>
            </w:r>
          </w:p>
        </w:tc>
        <w:tc>
          <w:tcPr>
            <w:tcW w:w="2841" w:type="pct"/>
          </w:tcPr>
          <w:p w14:paraId="211564F9" w14:textId="77777777" w:rsidR="00045617" w:rsidRPr="002C29E4" w:rsidRDefault="00045617" w:rsidP="00045617">
            <w:pPr>
              <w:jc w:val="both"/>
              <w:rPr>
                <w:rFonts w:ascii="Arial" w:hAnsi="Arial" w:cs="Arial"/>
                <w:sz w:val="14"/>
                <w:szCs w:val="14"/>
              </w:rPr>
            </w:pPr>
            <w:r w:rsidRPr="002C29E4">
              <w:rPr>
                <w:rFonts w:ascii="Arial" w:hAnsi="Arial" w:cs="Arial"/>
                <w:sz w:val="14"/>
                <w:szCs w:val="14"/>
              </w:rPr>
              <w:t>Placa sinalização refletiva-círculo (0,1964 m2/</w:t>
            </w:r>
            <w:proofErr w:type="spellStart"/>
            <w:r w:rsidRPr="002C29E4">
              <w:rPr>
                <w:rFonts w:ascii="Arial" w:hAnsi="Arial" w:cs="Arial"/>
                <w:sz w:val="14"/>
                <w:szCs w:val="14"/>
              </w:rPr>
              <w:t>ud</w:t>
            </w:r>
            <w:proofErr w:type="spellEnd"/>
            <w:r w:rsidRPr="002C29E4">
              <w:rPr>
                <w:rFonts w:ascii="Arial" w:hAnsi="Arial" w:cs="Arial"/>
                <w:sz w:val="14"/>
                <w:szCs w:val="14"/>
              </w:rPr>
              <w:t>) + suporte METÁLICO</w:t>
            </w:r>
          </w:p>
          <w:p w14:paraId="76645C64" w14:textId="77777777" w:rsidR="00045617" w:rsidRPr="002C29E4" w:rsidRDefault="00045617" w:rsidP="00045617">
            <w:pPr>
              <w:jc w:val="both"/>
              <w:rPr>
                <w:rFonts w:ascii="Arial" w:hAnsi="Arial" w:cs="Arial"/>
                <w:sz w:val="14"/>
                <w:szCs w:val="14"/>
              </w:rPr>
            </w:pPr>
          </w:p>
        </w:tc>
        <w:tc>
          <w:tcPr>
            <w:tcW w:w="719" w:type="pct"/>
          </w:tcPr>
          <w:p w14:paraId="03395102" w14:textId="3180995B" w:rsidR="00045617" w:rsidRPr="002C29E4" w:rsidRDefault="009F6F86" w:rsidP="00E84BFB">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48E563C3" w14:textId="02D90359" w:rsidR="00045617" w:rsidRPr="002C29E4" w:rsidRDefault="002C29E4" w:rsidP="00E84BFB">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23</w:t>
            </w:r>
          </w:p>
        </w:tc>
      </w:tr>
      <w:tr w:rsidR="002C29E4" w:rsidRPr="00EB2BC7" w14:paraId="5E0A9DDD" w14:textId="77777777" w:rsidTr="00045617">
        <w:tc>
          <w:tcPr>
            <w:tcW w:w="398" w:type="pct"/>
          </w:tcPr>
          <w:p w14:paraId="702459E0" w14:textId="50706C64"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21</w:t>
            </w:r>
          </w:p>
        </w:tc>
        <w:tc>
          <w:tcPr>
            <w:tcW w:w="2841" w:type="pct"/>
          </w:tcPr>
          <w:p w14:paraId="3C80DBD0" w14:textId="77777777" w:rsidR="002C29E4" w:rsidRPr="002C29E4" w:rsidRDefault="002C29E4" w:rsidP="002C29E4">
            <w:pPr>
              <w:jc w:val="both"/>
              <w:rPr>
                <w:rFonts w:ascii="Arial" w:hAnsi="Arial" w:cs="Arial"/>
                <w:sz w:val="14"/>
                <w:szCs w:val="14"/>
              </w:rPr>
            </w:pPr>
            <w:r w:rsidRPr="002C29E4">
              <w:rPr>
                <w:rFonts w:ascii="Arial" w:hAnsi="Arial" w:cs="Arial"/>
                <w:sz w:val="14"/>
                <w:szCs w:val="14"/>
              </w:rPr>
              <w:t>Placa sinalização refletiva-triângulo (0,1219 m2/</w:t>
            </w:r>
            <w:proofErr w:type="spellStart"/>
            <w:r w:rsidRPr="002C29E4">
              <w:rPr>
                <w:rFonts w:ascii="Arial" w:hAnsi="Arial" w:cs="Arial"/>
                <w:sz w:val="14"/>
                <w:szCs w:val="14"/>
              </w:rPr>
              <w:t>ud</w:t>
            </w:r>
            <w:proofErr w:type="spellEnd"/>
            <w:r w:rsidRPr="002C29E4">
              <w:rPr>
                <w:rFonts w:ascii="Arial" w:hAnsi="Arial" w:cs="Arial"/>
                <w:sz w:val="14"/>
                <w:szCs w:val="14"/>
              </w:rPr>
              <w:t>) + suporte MADEIRA</w:t>
            </w:r>
          </w:p>
          <w:p w14:paraId="3D98E36E" w14:textId="77777777" w:rsidR="002C29E4" w:rsidRPr="002C29E4" w:rsidRDefault="002C29E4" w:rsidP="002C29E4">
            <w:pPr>
              <w:jc w:val="both"/>
              <w:rPr>
                <w:rFonts w:ascii="Arial" w:hAnsi="Arial" w:cs="Arial"/>
                <w:sz w:val="14"/>
                <w:szCs w:val="14"/>
              </w:rPr>
            </w:pPr>
          </w:p>
        </w:tc>
        <w:tc>
          <w:tcPr>
            <w:tcW w:w="719" w:type="pct"/>
          </w:tcPr>
          <w:p w14:paraId="2D59D2F2" w14:textId="31CA8100"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69FE5B8A" w14:textId="305B3B7E"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52</w:t>
            </w:r>
          </w:p>
        </w:tc>
      </w:tr>
      <w:tr w:rsidR="002C29E4" w:rsidRPr="00EB2BC7" w14:paraId="0C4AB142" w14:textId="77777777" w:rsidTr="00045617">
        <w:tc>
          <w:tcPr>
            <w:tcW w:w="398" w:type="pct"/>
          </w:tcPr>
          <w:p w14:paraId="1254FECF" w14:textId="52BE043D"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22</w:t>
            </w:r>
          </w:p>
        </w:tc>
        <w:tc>
          <w:tcPr>
            <w:tcW w:w="2841" w:type="pct"/>
          </w:tcPr>
          <w:p w14:paraId="0301C6F4" w14:textId="77777777" w:rsidR="002C29E4" w:rsidRPr="002C29E4" w:rsidRDefault="002C29E4" w:rsidP="002C29E4">
            <w:pPr>
              <w:jc w:val="both"/>
              <w:rPr>
                <w:rFonts w:ascii="Arial" w:hAnsi="Arial" w:cs="Arial"/>
                <w:sz w:val="14"/>
                <w:szCs w:val="14"/>
              </w:rPr>
            </w:pPr>
            <w:r w:rsidRPr="002C29E4">
              <w:rPr>
                <w:rFonts w:ascii="Arial" w:hAnsi="Arial" w:cs="Arial"/>
                <w:sz w:val="14"/>
                <w:szCs w:val="14"/>
              </w:rPr>
              <w:t>Placa sinalização refletiva-retangular dupla (duas de-0,20x060) em L (0,2400 m2/</w:t>
            </w:r>
            <w:proofErr w:type="spellStart"/>
            <w:r w:rsidRPr="002C29E4">
              <w:rPr>
                <w:rFonts w:ascii="Arial" w:hAnsi="Arial" w:cs="Arial"/>
                <w:sz w:val="14"/>
                <w:szCs w:val="14"/>
              </w:rPr>
              <w:t>ud</w:t>
            </w:r>
            <w:proofErr w:type="spellEnd"/>
            <w:r w:rsidRPr="002C29E4">
              <w:rPr>
                <w:rFonts w:ascii="Arial" w:hAnsi="Arial" w:cs="Arial"/>
                <w:sz w:val="14"/>
                <w:szCs w:val="14"/>
              </w:rPr>
              <w:t>) + suporte METÁLICO</w:t>
            </w:r>
          </w:p>
          <w:p w14:paraId="61C0062B" w14:textId="77777777" w:rsidR="002C29E4" w:rsidRPr="002C29E4" w:rsidRDefault="002C29E4" w:rsidP="002C29E4">
            <w:pPr>
              <w:jc w:val="both"/>
              <w:rPr>
                <w:rFonts w:ascii="Arial" w:hAnsi="Arial" w:cs="Arial"/>
                <w:sz w:val="14"/>
                <w:szCs w:val="14"/>
              </w:rPr>
            </w:pPr>
          </w:p>
        </w:tc>
        <w:tc>
          <w:tcPr>
            <w:tcW w:w="719" w:type="pct"/>
          </w:tcPr>
          <w:p w14:paraId="1EB97797" w14:textId="57B4B8C1"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4C2D98C6" w14:textId="22BD0148"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27</w:t>
            </w:r>
          </w:p>
        </w:tc>
      </w:tr>
      <w:tr w:rsidR="002C29E4" w:rsidRPr="00EB2BC7" w14:paraId="054EAF6F" w14:textId="77777777" w:rsidTr="00045617">
        <w:tc>
          <w:tcPr>
            <w:tcW w:w="398" w:type="pct"/>
          </w:tcPr>
          <w:p w14:paraId="0ED0ECE7" w14:textId="74951CA1"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23</w:t>
            </w:r>
          </w:p>
        </w:tc>
        <w:tc>
          <w:tcPr>
            <w:tcW w:w="2841" w:type="pct"/>
          </w:tcPr>
          <w:p w14:paraId="658EB57B" w14:textId="77777777" w:rsidR="002C29E4" w:rsidRPr="002C29E4" w:rsidRDefault="002C29E4" w:rsidP="002C29E4">
            <w:pPr>
              <w:jc w:val="both"/>
              <w:rPr>
                <w:rFonts w:ascii="Arial" w:hAnsi="Arial" w:cs="Arial"/>
                <w:sz w:val="14"/>
                <w:szCs w:val="14"/>
              </w:rPr>
            </w:pPr>
            <w:r w:rsidRPr="002C29E4">
              <w:rPr>
                <w:rFonts w:ascii="Arial" w:hAnsi="Arial" w:cs="Arial"/>
                <w:sz w:val="14"/>
                <w:szCs w:val="14"/>
              </w:rPr>
              <w:t>Ensaio de Controle de Taxa de Aplicação de Ligante Betuminoso</w:t>
            </w:r>
          </w:p>
          <w:p w14:paraId="001D22FA" w14:textId="77777777" w:rsidR="002C29E4" w:rsidRPr="002C29E4" w:rsidRDefault="002C29E4" w:rsidP="002C29E4">
            <w:pPr>
              <w:jc w:val="both"/>
              <w:rPr>
                <w:rFonts w:ascii="Arial" w:hAnsi="Arial" w:cs="Arial"/>
                <w:b/>
                <w:bCs/>
                <w:color w:val="000000"/>
                <w:sz w:val="14"/>
                <w:szCs w:val="14"/>
              </w:rPr>
            </w:pPr>
          </w:p>
        </w:tc>
        <w:tc>
          <w:tcPr>
            <w:tcW w:w="719" w:type="pct"/>
          </w:tcPr>
          <w:p w14:paraId="78D3881D" w14:textId="2D7B0EA6"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6619C2AF" w14:textId="402CCAB9"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75</w:t>
            </w:r>
          </w:p>
        </w:tc>
      </w:tr>
      <w:tr w:rsidR="002C29E4" w:rsidRPr="00EB2BC7" w14:paraId="42F47AEA" w14:textId="77777777" w:rsidTr="00045617">
        <w:tc>
          <w:tcPr>
            <w:tcW w:w="398" w:type="pct"/>
          </w:tcPr>
          <w:p w14:paraId="597FADA3" w14:textId="7E53A656"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24</w:t>
            </w:r>
          </w:p>
        </w:tc>
        <w:tc>
          <w:tcPr>
            <w:tcW w:w="2841" w:type="pct"/>
          </w:tcPr>
          <w:p w14:paraId="3ECA0E0D" w14:textId="77777777" w:rsidR="002C29E4" w:rsidRPr="002C29E4" w:rsidRDefault="002C29E4" w:rsidP="002C29E4">
            <w:pPr>
              <w:jc w:val="both"/>
              <w:rPr>
                <w:rFonts w:ascii="Arial" w:hAnsi="Arial" w:cs="Arial"/>
                <w:sz w:val="14"/>
                <w:szCs w:val="14"/>
              </w:rPr>
            </w:pPr>
            <w:r w:rsidRPr="002C29E4">
              <w:rPr>
                <w:rFonts w:ascii="Arial" w:hAnsi="Arial" w:cs="Arial"/>
                <w:sz w:val="14"/>
                <w:szCs w:val="14"/>
              </w:rPr>
              <w:t>Ensaio de Percentagem de Betume - Misturas Betuminosas</w:t>
            </w:r>
          </w:p>
          <w:p w14:paraId="12353171" w14:textId="77777777" w:rsidR="002C29E4" w:rsidRPr="002C29E4" w:rsidRDefault="002C29E4" w:rsidP="002C29E4">
            <w:pPr>
              <w:jc w:val="both"/>
              <w:rPr>
                <w:rFonts w:ascii="Arial" w:hAnsi="Arial" w:cs="Arial"/>
                <w:b/>
                <w:bCs/>
                <w:color w:val="000000"/>
                <w:sz w:val="14"/>
                <w:szCs w:val="14"/>
              </w:rPr>
            </w:pPr>
          </w:p>
        </w:tc>
        <w:tc>
          <w:tcPr>
            <w:tcW w:w="719" w:type="pct"/>
          </w:tcPr>
          <w:p w14:paraId="1DB66CC2" w14:textId="64EDB6D1"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7A77047F" w14:textId="2871E477"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45</w:t>
            </w:r>
          </w:p>
        </w:tc>
      </w:tr>
      <w:tr w:rsidR="002C29E4" w:rsidRPr="00EB2BC7" w14:paraId="57FF861F" w14:textId="77777777" w:rsidTr="00045617">
        <w:tc>
          <w:tcPr>
            <w:tcW w:w="398" w:type="pct"/>
          </w:tcPr>
          <w:p w14:paraId="1F8DFE54" w14:textId="1533A272"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25</w:t>
            </w:r>
          </w:p>
        </w:tc>
        <w:tc>
          <w:tcPr>
            <w:tcW w:w="2841" w:type="pct"/>
          </w:tcPr>
          <w:p w14:paraId="256299CF" w14:textId="247EB382" w:rsidR="002C29E4" w:rsidRPr="002C29E4" w:rsidRDefault="002C29E4" w:rsidP="002C29E4">
            <w:pPr>
              <w:jc w:val="both"/>
              <w:rPr>
                <w:rFonts w:ascii="Arial" w:hAnsi="Arial" w:cs="Arial"/>
                <w:b/>
                <w:bCs/>
                <w:color w:val="000000"/>
                <w:sz w:val="14"/>
                <w:szCs w:val="14"/>
              </w:rPr>
            </w:pPr>
            <w:r w:rsidRPr="002C29E4">
              <w:rPr>
                <w:rFonts w:ascii="Arial" w:hAnsi="Arial" w:cs="Arial"/>
                <w:sz w:val="14"/>
                <w:szCs w:val="14"/>
              </w:rPr>
              <w:t>Ensaio de Controle do Grau de Compactação da Mistura Asfáltica</w:t>
            </w:r>
          </w:p>
        </w:tc>
        <w:tc>
          <w:tcPr>
            <w:tcW w:w="719" w:type="pct"/>
          </w:tcPr>
          <w:p w14:paraId="52B36401" w14:textId="0E8B58D4"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471050FB" w14:textId="0ED57EB8"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109</w:t>
            </w:r>
          </w:p>
        </w:tc>
      </w:tr>
      <w:tr w:rsidR="002C29E4" w:rsidRPr="00EB2BC7" w14:paraId="5FF34987" w14:textId="77777777" w:rsidTr="00045617">
        <w:tc>
          <w:tcPr>
            <w:tcW w:w="398" w:type="pct"/>
          </w:tcPr>
          <w:p w14:paraId="651506E5" w14:textId="02537C53"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26</w:t>
            </w:r>
          </w:p>
        </w:tc>
        <w:tc>
          <w:tcPr>
            <w:tcW w:w="2841" w:type="pct"/>
          </w:tcPr>
          <w:p w14:paraId="18B1F145" w14:textId="77777777" w:rsidR="002C29E4" w:rsidRPr="002C29E4" w:rsidRDefault="002C29E4" w:rsidP="002C29E4">
            <w:pPr>
              <w:jc w:val="both"/>
              <w:rPr>
                <w:rFonts w:ascii="Arial" w:hAnsi="Arial" w:cs="Arial"/>
                <w:sz w:val="14"/>
                <w:szCs w:val="14"/>
              </w:rPr>
            </w:pPr>
            <w:r w:rsidRPr="002C29E4">
              <w:rPr>
                <w:rFonts w:ascii="Arial" w:hAnsi="Arial" w:cs="Arial"/>
                <w:sz w:val="14"/>
                <w:szCs w:val="14"/>
              </w:rPr>
              <w:t>Ensaio de Densidade do Material Betuminoso</w:t>
            </w:r>
          </w:p>
          <w:p w14:paraId="72B65F52" w14:textId="77777777" w:rsidR="002C29E4" w:rsidRPr="002C29E4" w:rsidRDefault="002C29E4" w:rsidP="002C29E4">
            <w:pPr>
              <w:jc w:val="both"/>
              <w:rPr>
                <w:rFonts w:ascii="Arial" w:hAnsi="Arial" w:cs="Arial"/>
                <w:b/>
                <w:bCs/>
                <w:color w:val="000000"/>
                <w:sz w:val="14"/>
                <w:szCs w:val="14"/>
              </w:rPr>
            </w:pPr>
          </w:p>
        </w:tc>
        <w:tc>
          <w:tcPr>
            <w:tcW w:w="719" w:type="pct"/>
          </w:tcPr>
          <w:p w14:paraId="5973CEB7" w14:textId="12DB7BE2"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4ACE1B1F" w14:textId="0D116175"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109</w:t>
            </w:r>
          </w:p>
        </w:tc>
      </w:tr>
      <w:tr w:rsidR="002C29E4" w:rsidRPr="00EB2BC7" w14:paraId="3E4AF145" w14:textId="77777777" w:rsidTr="00045617">
        <w:tc>
          <w:tcPr>
            <w:tcW w:w="398" w:type="pct"/>
          </w:tcPr>
          <w:p w14:paraId="64555FA9" w14:textId="278E50CE"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27</w:t>
            </w:r>
          </w:p>
        </w:tc>
        <w:tc>
          <w:tcPr>
            <w:tcW w:w="2841" w:type="pct"/>
          </w:tcPr>
          <w:p w14:paraId="3A43BDB9" w14:textId="2BB9357B" w:rsidR="002C29E4" w:rsidRPr="002C29E4" w:rsidRDefault="002C29E4" w:rsidP="002C29E4">
            <w:pPr>
              <w:jc w:val="both"/>
              <w:rPr>
                <w:rFonts w:ascii="Arial" w:hAnsi="Arial" w:cs="Arial"/>
                <w:b/>
                <w:bCs/>
                <w:color w:val="000000"/>
                <w:sz w:val="14"/>
                <w:szCs w:val="14"/>
              </w:rPr>
            </w:pPr>
            <w:r w:rsidRPr="002C29E4">
              <w:rPr>
                <w:rFonts w:ascii="Arial" w:hAnsi="Arial" w:cs="Arial"/>
                <w:sz w:val="14"/>
                <w:szCs w:val="14"/>
              </w:rPr>
              <w:t xml:space="preserve">Ensaio de </w:t>
            </w:r>
            <w:proofErr w:type="spellStart"/>
            <w:r w:rsidRPr="002C29E4">
              <w:rPr>
                <w:rFonts w:ascii="Arial" w:hAnsi="Arial" w:cs="Arial"/>
                <w:sz w:val="14"/>
                <w:szCs w:val="14"/>
              </w:rPr>
              <w:t>tracao</w:t>
            </w:r>
            <w:proofErr w:type="spellEnd"/>
            <w:r w:rsidRPr="002C29E4">
              <w:rPr>
                <w:rFonts w:ascii="Arial" w:hAnsi="Arial" w:cs="Arial"/>
                <w:sz w:val="14"/>
                <w:szCs w:val="14"/>
              </w:rPr>
              <w:t xml:space="preserve"> por </w:t>
            </w:r>
            <w:proofErr w:type="spellStart"/>
            <w:r w:rsidRPr="002C29E4">
              <w:rPr>
                <w:rFonts w:ascii="Arial" w:hAnsi="Arial" w:cs="Arial"/>
                <w:sz w:val="14"/>
                <w:szCs w:val="14"/>
              </w:rPr>
              <w:t>compressao</w:t>
            </w:r>
            <w:proofErr w:type="spellEnd"/>
            <w:r w:rsidRPr="002C29E4">
              <w:rPr>
                <w:rFonts w:ascii="Arial" w:hAnsi="Arial" w:cs="Arial"/>
                <w:sz w:val="14"/>
                <w:szCs w:val="14"/>
              </w:rPr>
              <w:t xml:space="preserve"> diametral - misturas betuminosas</w:t>
            </w:r>
          </w:p>
        </w:tc>
        <w:tc>
          <w:tcPr>
            <w:tcW w:w="719" w:type="pct"/>
          </w:tcPr>
          <w:p w14:paraId="53D22830" w14:textId="092C4FCB"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405CAC4E" w14:textId="6834E6B9"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109</w:t>
            </w:r>
          </w:p>
        </w:tc>
      </w:tr>
      <w:tr w:rsidR="002C29E4" w:rsidRPr="00EB2BC7" w14:paraId="095EF530" w14:textId="77777777" w:rsidTr="00045617">
        <w:tc>
          <w:tcPr>
            <w:tcW w:w="398" w:type="pct"/>
          </w:tcPr>
          <w:p w14:paraId="1D192544" w14:textId="42DE37CB"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28</w:t>
            </w:r>
          </w:p>
        </w:tc>
        <w:tc>
          <w:tcPr>
            <w:tcW w:w="2841" w:type="pct"/>
          </w:tcPr>
          <w:p w14:paraId="68B772A0" w14:textId="7B456C72" w:rsidR="002C29E4" w:rsidRPr="002C29E4" w:rsidRDefault="002C29E4" w:rsidP="002C29E4">
            <w:pPr>
              <w:jc w:val="both"/>
              <w:rPr>
                <w:rFonts w:ascii="Arial" w:hAnsi="Arial" w:cs="Arial"/>
                <w:b/>
                <w:bCs/>
                <w:color w:val="000000"/>
                <w:sz w:val="14"/>
                <w:szCs w:val="14"/>
              </w:rPr>
            </w:pPr>
            <w:r w:rsidRPr="002C29E4">
              <w:rPr>
                <w:rFonts w:ascii="Arial" w:hAnsi="Arial" w:cs="Arial"/>
                <w:sz w:val="14"/>
                <w:szCs w:val="14"/>
              </w:rPr>
              <w:t>Extração de corpo de prova de concreto asfáltico com sonda rotativa</w:t>
            </w:r>
          </w:p>
        </w:tc>
        <w:tc>
          <w:tcPr>
            <w:tcW w:w="719" w:type="pct"/>
          </w:tcPr>
          <w:p w14:paraId="60B5448E" w14:textId="03FDC530"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und</w:t>
            </w:r>
            <w:proofErr w:type="spellEnd"/>
          </w:p>
        </w:tc>
        <w:tc>
          <w:tcPr>
            <w:tcW w:w="1042" w:type="pct"/>
          </w:tcPr>
          <w:p w14:paraId="2513F306" w14:textId="4234DC8F"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109</w:t>
            </w:r>
          </w:p>
        </w:tc>
      </w:tr>
      <w:tr w:rsidR="002C29E4" w:rsidRPr="00EB2BC7" w14:paraId="36F069D6" w14:textId="77777777" w:rsidTr="00045617">
        <w:tc>
          <w:tcPr>
            <w:tcW w:w="398" w:type="pct"/>
          </w:tcPr>
          <w:p w14:paraId="5A1597EA" w14:textId="2E93375A" w:rsidR="002C29E4" w:rsidRPr="002C29E4" w:rsidRDefault="002C29E4" w:rsidP="002C29E4">
            <w:pPr>
              <w:widowControl w:val="0"/>
              <w:jc w:val="both"/>
              <w:rPr>
                <w:rFonts w:eastAsia="Times New Roman" w:cstheme="minorHAnsi"/>
                <w:sz w:val="14"/>
                <w:szCs w:val="14"/>
                <w:lang w:eastAsia="pt-BR"/>
              </w:rPr>
            </w:pPr>
            <w:r w:rsidRPr="002C29E4">
              <w:rPr>
                <w:rFonts w:eastAsia="Times New Roman" w:cstheme="minorHAnsi"/>
                <w:sz w:val="14"/>
                <w:szCs w:val="14"/>
                <w:lang w:eastAsia="pt-BR"/>
              </w:rPr>
              <w:t>29</w:t>
            </w:r>
          </w:p>
        </w:tc>
        <w:tc>
          <w:tcPr>
            <w:tcW w:w="2841" w:type="pct"/>
          </w:tcPr>
          <w:p w14:paraId="32DB7C9E" w14:textId="77777777" w:rsidR="002C29E4" w:rsidRPr="002C29E4" w:rsidRDefault="002C29E4" w:rsidP="002C29E4">
            <w:pPr>
              <w:jc w:val="both"/>
              <w:rPr>
                <w:rFonts w:ascii="Arial" w:hAnsi="Arial" w:cs="Arial"/>
                <w:sz w:val="14"/>
                <w:szCs w:val="14"/>
              </w:rPr>
            </w:pPr>
            <w:r w:rsidRPr="002C29E4">
              <w:rPr>
                <w:rFonts w:ascii="Arial" w:hAnsi="Arial" w:cs="Arial"/>
                <w:sz w:val="14"/>
                <w:szCs w:val="14"/>
              </w:rPr>
              <w:t xml:space="preserve">Mobilização e desmobilização de equipamento e equipe para extração de corpos de prova da capa asfáltica - (para cada 25 extrações de </w:t>
            </w:r>
            <w:proofErr w:type="spellStart"/>
            <w:r w:rsidRPr="002C29E4">
              <w:rPr>
                <w:rFonts w:ascii="Arial" w:hAnsi="Arial" w:cs="Arial"/>
                <w:sz w:val="14"/>
                <w:szCs w:val="14"/>
              </w:rPr>
              <w:t>CP´s</w:t>
            </w:r>
            <w:proofErr w:type="spellEnd"/>
            <w:r w:rsidRPr="002C29E4">
              <w:rPr>
                <w:rFonts w:ascii="Arial" w:hAnsi="Arial" w:cs="Arial"/>
                <w:sz w:val="14"/>
                <w:szCs w:val="14"/>
              </w:rPr>
              <w:t xml:space="preserve"> corresponde a 1 mobilização)</w:t>
            </w:r>
          </w:p>
          <w:p w14:paraId="0971C926" w14:textId="77777777" w:rsidR="002C29E4" w:rsidRPr="002C29E4" w:rsidRDefault="002C29E4" w:rsidP="002C29E4">
            <w:pPr>
              <w:jc w:val="both"/>
              <w:rPr>
                <w:rFonts w:ascii="Arial" w:hAnsi="Arial" w:cs="Arial"/>
                <w:sz w:val="14"/>
                <w:szCs w:val="14"/>
              </w:rPr>
            </w:pPr>
          </w:p>
        </w:tc>
        <w:tc>
          <w:tcPr>
            <w:tcW w:w="719" w:type="pct"/>
          </w:tcPr>
          <w:p w14:paraId="6D3E61D0" w14:textId="1647BF11" w:rsidR="002C29E4" w:rsidRPr="002C29E4" w:rsidRDefault="002C29E4" w:rsidP="002C29E4">
            <w:pPr>
              <w:widowControl w:val="0"/>
              <w:jc w:val="center"/>
              <w:rPr>
                <w:rFonts w:eastAsia="Times New Roman" w:cstheme="minorHAnsi"/>
                <w:sz w:val="14"/>
                <w:szCs w:val="14"/>
                <w:lang w:eastAsia="pt-BR"/>
              </w:rPr>
            </w:pPr>
            <w:proofErr w:type="spellStart"/>
            <w:r w:rsidRPr="002C29E4">
              <w:rPr>
                <w:rFonts w:eastAsia="Times New Roman" w:cstheme="minorHAnsi"/>
                <w:sz w:val="14"/>
                <w:szCs w:val="14"/>
                <w:lang w:eastAsia="pt-BR"/>
              </w:rPr>
              <w:t>gb</w:t>
            </w:r>
            <w:proofErr w:type="spellEnd"/>
          </w:p>
        </w:tc>
        <w:tc>
          <w:tcPr>
            <w:tcW w:w="1042" w:type="pct"/>
          </w:tcPr>
          <w:p w14:paraId="0D3B4C72" w14:textId="34EFE8B8" w:rsidR="002C29E4" w:rsidRPr="002C29E4" w:rsidRDefault="002C29E4" w:rsidP="002C29E4">
            <w:pPr>
              <w:widowControl w:val="0"/>
              <w:jc w:val="center"/>
              <w:rPr>
                <w:rFonts w:eastAsia="Times New Roman" w:cstheme="minorHAnsi"/>
                <w:sz w:val="14"/>
                <w:szCs w:val="14"/>
                <w:lang w:eastAsia="pt-BR"/>
              </w:rPr>
            </w:pPr>
            <w:r w:rsidRPr="002C29E4">
              <w:rPr>
                <w:rFonts w:eastAsia="Times New Roman" w:cstheme="minorHAnsi"/>
                <w:sz w:val="14"/>
                <w:szCs w:val="14"/>
                <w:lang w:eastAsia="pt-BR"/>
              </w:rPr>
              <w:t>5</w:t>
            </w:r>
          </w:p>
        </w:tc>
      </w:tr>
    </w:tbl>
    <w:p w14:paraId="3C492F9B" w14:textId="7F06F585"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5B55A0CE">
          <v:rect id="_x0000_i1033" style="width:0;height:1.5pt" o:hralign="center" o:hrstd="t" o:hr="t" fillcolor="#a0a0a0" stroked="f"/>
        </w:pict>
      </w:r>
      <w:r w:rsidR="00EB2BC7" w:rsidRPr="00EB2BC7">
        <w:rPr>
          <w:rFonts w:eastAsia="Times New Roman" w:cstheme="minorHAnsi"/>
          <w:b/>
          <w:bCs/>
          <w:lang w:eastAsia="pt-BR"/>
        </w:rPr>
        <w:t>10. ESTIMATIVA DO VALOR DA CONTRATAÇÃO</w:t>
      </w:r>
    </w:p>
    <w:p w14:paraId="5EB42D97"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10.1 - Composição do Valor Estimado</w:t>
      </w:r>
    </w:p>
    <w:p w14:paraId="4145E35B" w14:textId="77777777" w:rsid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valor estimado para a contratação de pavimentação de vias urbanas leva em consideração todos os componentes necessários:</w:t>
      </w:r>
    </w:p>
    <w:p w14:paraId="14B5E6D0" w14:textId="31B56F4B" w:rsidR="009F6F86" w:rsidRPr="009F6F86" w:rsidRDefault="009F6F86" w:rsidP="009F6F86">
      <w:pPr>
        <w:pStyle w:val="PargrafodaLista"/>
        <w:widowControl w:val="0"/>
        <w:numPr>
          <w:ilvl w:val="0"/>
          <w:numId w:val="26"/>
        </w:numPr>
        <w:spacing w:after="0"/>
        <w:jc w:val="both"/>
        <w:rPr>
          <w:rFonts w:eastAsia="Times New Roman" w:cstheme="minorHAnsi"/>
          <w:lang w:eastAsia="pt-BR"/>
        </w:rPr>
      </w:pPr>
      <w:r>
        <w:rPr>
          <w:rFonts w:eastAsia="Times New Roman" w:cstheme="minorHAnsi"/>
          <w:lang w:eastAsia="pt-BR"/>
        </w:rPr>
        <w:t xml:space="preserve">Serviços preliminares (placa da obra e locação): R$ </w:t>
      </w:r>
      <w:r w:rsidR="00313E2D">
        <w:rPr>
          <w:rFonts w:eastAsia="Times New Roman" w:cstheme="minorHAnsi"/>
          <w:lang w:eastAsia="pt-BR"/>
        </w:rPr>
        <w:t>7.187,44</w:t>
      </w:r>
    </w:p>
    <w:p w14:paraId="312FEA4F" w14:textId="38C6E85F" w:rsidR="00EB2BC7" w:rsidRDefault="00EB2BC7" w:rsidP="00EB2BC7">
      <w:pPr>
        <w:widowControl w:val="0"/>
        <w:numPr>
          <w:ilvl w:val="0"/>
          <w:numId w:val="19"/>
        </w:numPr>
        <w:spacing w:after="0"/>
        <w:jc w:val="both"/>
        <w:rPr>
          <w:rFonts w:eastAsia="Times New Roman" w:cstheme="minorHAnsi"/>
          <w:lang w:eastAsia="pt-BR"/>
        </w:rPr>
      </w:pPr>
      <w:r w:rsidRPr="00EB2BC7">
        <w:rPr>
          <w:rFonts w:eastAsia="Times New Roman" w:cstheme="minorHAnsi"/>
          <w:lang w:eastAsia="pt-BR"/>
        </w:rPr>
        <w:t xml:space="preserve">Materiais asfálticos (CAP, emulsões, CBUQ): R$ </w:t>
      </w:r>
      <w:r w:rsidR="00313E2D">
        <w:rPr>
          <w:rFonts w:eastAsia="Times New Roman" w:cstheme="minorHAnsi"/>
          <w:lang w:eastAsia="pt-BR"/>
        </w:rPr>
        <w:t>2.699.818,31</w:t>
      </w:r>
    </w:p>
    <w:p w14:paraId="7535EF34" w14:textId="72D7B216" w:rsidR="009F6F86" w:rsidRPr="00EB2BC7" w:rsidRDefault="009F6F86" w:rsidP="00EB2BC7">
      <w:pPr>
        <w:widowControl w:val="0"/>
        <w:numPr>
          <w:ilvl w:val="0"/>
          <w:numId w:val="19"/>
        </w:numPr>
        <w:spacing w:after="0"/>
        <w:jc w:val="both"/>
        <w:rPr>
          <w:rFonts w:eastAsia="Times New Roman" w:cstheme="minorHAnsi"/>
          <w:lang w:eastAsia="pt-BR"/>
        </w:rPr>
      </w:pPr>
      <w:r>
        <w:rPr>
          <w:rFonts w:eastAsia="Times New Roman" w:cstheme="minorHAnsi"/>
          <w:lang w:eastAsia="pt-BR"/>
        </w:rPr>
        <w:t xml:space="preserve">Meio fio e </w:t>
      </w:r>
      <w:proofErr w:type="gramStart"/>
      <w:r>
        <w:rPr>
          <w:rFonts w:eastAsia="Times New Roman" w:cstheme="minorHAnsi"/>
          <w:lang w:eastAsia="pt-BR"/>
        </w:rPr>
        <w:t>sarjeta :</w:t>
      </w:r>
      <w:proofErr w:type="gramEnd"/>
      <w:r>
        <w:rPr>
          <w:rFonts w:eastAsia="Times New Roman" w:cstheme="minorHAnsi"/>
          <w:lang w:eastAsia="pt-BR"/>
        </w:rPr>
        <w:t xml:space="preserve"> R$ </w:t>
      </w:r>
      <w:r w:rsidR="00313E2D">
        <w:rPr>
          <w:rFonts w:eastAsia="Times New Roman" w:cstheme="minorHAnsi"/>
          <w:lang w:eastAsia="pt-BR"/>
        </w:rPr>
        <w:t>659.620,64</w:t>
      </w:r>
    </w:p>
    <w:p w14:paraId="163CA0C8" w14:textId="1BEFC9F1" w:rsidR="00EB2BC7" w:rsidRPr="00EB2BC7" w:rsidRDefault="00EB2BC7" w:rsidP="00EB2BC7">
      <w:pPr>
        <w:widowControl w:val="0"/>
        <w:numPr>
          <w:ilvl w:val="0"/>
          <w:numId w:val="19"/>
        </w:numPr>
        <w:spacing w:after="0"/>
        <w:jc w:val="both"/>
        <w:rPr>
          <w:rFonts w:eastAsia="Times New Roman" w:cstheme="minorHAnsi"/>
          <w:lang w:eastAsia="pt-BR"/>
        </w:rPr>
      </w:pPr>
      <w:r w:rsidRPr="00EB2BC7">
        <w:rPr>
          <w:rFonts w:eastAsia="Times New Roman" w:cstheme="minorHAnsi"/>
          <w:lang w:eastAsia="pt-BR"/>
        </w:rPr>
        <w:t xml:space="preserve">Materiais para base e urbanização: R$ </w:t>
      </w:r>
      <w:r w:rsidR="00313E2D">
        <w:rPr>
          <w:rFonts w:eastAsia="Times New Roman" w:cstheme="minorHAnsi"/>
          <w:lang w:eastAsia="pt-BR"/>
        </w:rPr>
        <w:t>727.864,68</w:t>
      </w:r>
    </w:p>
    <w:p w14:paraId="2EF0E875" w14:textId="0D2CF2F9" w:rsidR="00EB2BC7" w:rsidRPr="00EB2BC7" w:rsidRDefault="009F6F86" w:rsidP="00EB2BC7">
      <w:pPr>
        <w:widowControl w:val="0"/>
        <w:numPr>
          <w:ilvl w:val="0"/>
          <w:numId w:val="19"/>
        </w:numPr>
        <w:spacing w:after="0"/>
        <w:jc w:val="both"/>
        <w:rPr>
          <w:rFonts w:eastAsia="Times New Roman" w:cstheme="minorHAnsi"/>
          <w:lang w:eastAsia="pt-BR"/>
        </w:rPr>
      </w:pPr>
      <w:r>
        <w:rPr>
          <w:rFonts w:eastAsia="Times New Roman" w:cstheme="minorHAnsi"/>
          <w:lang w:eastAsia="pt-BR"/>
        </w:rPr>
        <w:t>Sinalização de trânsito</w:t>
      </w:r>
      <w:r w:rsidR="00EB2BC7" w:rsidRPr="00EB2BC7">
        <w:rPr>
          <w:rFonts w:eastAsia="Times New Roman" w:cstheme="minorHAnsi"/>
          <w:lang w:eastAsia="pt-BR"/>
        </w:rPr>
        <w:t xml:space="preserve">: R$ </w:t>
      </w:r>
      <w:r w:rsidR="00313E2D">
        <w:rPr>
          <w:rFonts w:eastAsia="Times New Roman" w:cstheme="minorHAnsi"/>
          <w:lang w:eastAsia="pt-BR"/>
        </w:rPr>
        <w:t>114.</w:t>
      </w:r>
      <w:r w:rsidR="001C70D4">
        <w:rPr>
          <w:rFonts w:eastAsia="Times New Roman" w:cstheme="minorHAnsi"/>
          <w:lang w:eastAsia="pt-BR"/>
        </w:rPr>
        <w:t>575,20</w:t>
      </w:r>
    </w:p>
    <w:p w14:paraId="6B129523" w14:textId="77777777" w:rsidR="00EB2BC7" w:rsidRPr="00EB2BC7" w:rsidRDefault="00EB2BC7" w:rsidP="00EB2BC7">
      <w:pPr>
        <w:widowControl w:val="0"/>
        <w:numPr>
          <w:ilvl w:val="0"/>
          <w:numId w:val="19"/>
        </w:numPr>
        <w:spacing w:after="0"/>
        <w:jc w:val="both"/>
        <w:rPr>
          <w:rFonts w:eastAsia="Times New Roman" w:cstheme="minorHAnsi"/>
          <w:lang w:eastAsia="pt-BR"/>
        </w:rPr>
      </w:pPr>
      <w:r w:rsidRPr="00EB2BC7">
        <w:rPr>
          <w:rFonts w:eastAsia="Times New Roman" w:cstheme="minorHAnsi"/>
          <w:lang w:eastAsia="pt-BR"/>
        </w:rPr>
        <w:t>Equipamentos e maquinário: inclusos nos custos de serviço</w:t>
      </w:r>
    </w:p>
    <w:p w14:paraId="42F0483D" w14:textId="33B042C9" w:rsidR="00EB2BC7" w:rsidRPr="009F6F86" w:rsidRDefault="00EB2BC7" w:rsidP="00EB2BC7">
      <w:pPr>
        <w:widowControl w:val="0"/>
        <w:numPr>
          <w:ilvl w:val="0"/>
          <w:numId w:val="19"/>
        </w:numPr>
        <w:spacing w:after="0"/>
        <w:jc w:val="both"/>
        <w:rPr>
          <w:rFonts w:eastAsia="Times New Roman" w:cstheme="minorHAnsi"/>
          <w:sz w:val="20"/>
          <w:szCs w:val="20"/>
          <w:lang w:eastAsia="pt-BR"/>
        </w:rPr>
      </w:pPr>
      <w:r w:rsidRPr="009F6F86">
        <w:rPr>
          <w:rFonts w:eastAsia="Times New Roman" w:cstheme="minorHAnsi"/>
          <w:sz w:val="20"/>
          <w:szCs w:val="20"/>
          <w:lang w:eastAsia="pt-BR"/>
        </w:rPr>
        <w:t>Ensaios laboratoriais e controle tecnológico</w:t>
      </w:r>
      <w:r w:rsidR="009F6F86" w:rsidRPr="009F6F86">
        <w:rPr>
          <w:rFonts w:eastAsia="Times New Roman" w:cstheme="minorHAnsi"/>
          <w:sz w:val="20"/>
          <w:szCs w:val="20"/>
          <w:lang w:eastAsia="pt-BR"/>
        </w:rPr>
        <w:t xml:space="preserve"> incluso mobilização e desmobilização</w:t>
      </w:r>
      <w:r w:rsidRPr="009F6F86">
        <w:rPr>
          <w:rFonts w:eastAsia="Times New Roman" w:cstheme="minorHAnsi"/>
          <w:sz w:val="20"/>
          <w:szCs w:val="20"/>
          <w:lang w:eastAsia="pt-BR"/>
        </w:rPr>
        <w:t xml:space="preserve">: R$ </w:t>
      </w:r>
      <w:r w:rsidR="001C70D4">
        <w:rPr>
          <w:rFonts w:eastAsia="Times New Roman" w:cstheme="minorHAnsi"/>
          <w:sz w:val="20"/>
          <w:szCs w:val="20"/>
          <w:lang w:eastAsia="pt-BR"/>
        </w:rPr>
        <w:t>141.070,15</w:t>
      </w:r>
    </w:p>
    <w:p w14:paraId="5E931D0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10.2 - Metodologia de Pesquisa de Preços</w:t>
      </w:r>
    </w:p>
    <w:p w14:paraId="4CCCA227"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valor estimado para tal contratação se baseou em:</w:t>
      </w:r>
    </w:p>
    <w:p w14:paraId="6175967F"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Tabelas oficiais de referência: DER/PR de março/2025 e SINAPI de abril/2025;</w:t>
      </w:r>
    </w:p>
    <w:p w14:paraId="771B684A"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Composições de custos unitários sem desoneração;</w:t>
      </w:r>
    </w:p>
    <w:p w14:paraId="717CDD22"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Cotações de insumos com fornecedores regionais para cálculo de DMT;</w:t>
      </w:r>
    </w:p>
    <w:p w14:paraId="5E3C641A"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Análise de contratos similares executados em municípios vizinhos;</w:t>
      </w:r>
    </w:p>
    <w:p w14:paraId="4DD911EF"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Banco de Preços do Sistema PARANACIDADE;</w:t>
      </w:r>
    </w:p>
    <w:p w14:paraId="1B91EB86" w14:textId="77777777" w:rsidR="00EB2BC7" w:rsidRPr="00EB2BC7" w:rsidRDefault="00EB2BC7" w:rsidP="00EB2BC7">
      <w:pPr>
        <w:widowControl w:val="0"/>
        <w:numPr>
          <w:ilvl w:val="0"/>
          <w:numId w:val="20"/>
        </w:numPr>
        <w:spacing w:after="0"/>
        <w:jc w:val="both"/>
        <w:rPr>
          <w:rFonts w:eastAsia="Times New Roman" w:cstheme="minorHAnsi"/>
          <w:lang w:eastAsia="pt-BR"/>
        </w:rPr>
      </w:pPr>
      <w:r w:rsidRPr="00EB2BC7">
        <w:rPr>
          <w:rFonts w:eastAsia="Times New Roman" w:cstheme="minorHAnsi"/>
          <w:lang w:eastAsia="pt-BR"/>
        </w:rPr>
        <w:t>Adequação aos valores praticados no mercado regional paranaense.</w:t>
      </w:r>
    </w:p>
    <w:p w14:paraId="4805242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10.3 - Fundamentação Legal e Disponibilização</w:t>
      </w:r>
    </w:p>
    <w:p w14:paraId="0849006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valor final conforme critérios de formação de preço estabelecidos no art. 23 da Lei 14.133/2021 constará detalhadamente no Termo de Referência, com planilha de custos unitários, composições de BDI e memória de cálculo completa disponibilizada como anexo do edital, servindo como valor base máximo aceitável para a licitação.</w:t>
      </w:r>
    </w:p>
    <w:p w14:paraId="73A047A7"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10.4 - Valor Total Estimado</w:t>
      </w:r>
    </w:p>
    <w:p w14:paraId="66E9B745" w14:textId="4C1D1D3D"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 xml:space="preserve">Valor Global: R$ </w:t>
      </w:r>
      <w:r w:rsidR="009F6F86">
        <w:rPr>
          <w:rFonts w:eastAsia="Times New Roman" w:cstheme="minorHAnsi"/>
          <w:b/>
          <w:bCs/>
          <w:lang w:eastAsia="pt-BR"/>
        </w:rPr>
        <w:t>4.</w:t>
      </w:r>
      <w:r w:rsidR="001007EC">
        <w:rPr>
          <w:rFonts w:eastAsia="Times New Roman" w:cstheme="minorHAnsi"/>
          <w:b/>
          <w:bCs/>
          <w:lang w:eastAsia="pt-BR"/>
        </w:rPr>
        <w:t>350.136,42</w:t>
      </w:r>
      <w:r w:rsidRPr="00EB2BC7">
        <w:rPr>
          <w:rFonts w:eastAsia="Times New Roman" w:cstheme="minorHAnsi"/>
          <w:lang w:eastAsia="pt-BR"/>
        </w:rPr>
        <w:t xml:space="preserve"> (</w:t>
      </w:r>
      <w:r w:rsidR="004C3258">
        <w:rPr>
          <w:rFonts w:eastAsia="Times New Roman" w:cstheme="minorHAnsi"/>
          <w:lang w:eastAsia="pt-BR"/>
        </w:rPr>
        <w:t xml:space="preserve">quatro milhões, </w:t>
      </w:r>
      <w:r w:rsidR="001007EC">
        <w:rPr>
          <w:rFonts w:eastAsia="Times New Roman" w:cstheme="minorHAnsi"/>
          <w:lang w:eastAsia="pt-BR"/>
        </w:rPr>
        <w:t>trezentos e cinquenta mil, cento e trinta e seis reais e quarenta e dois centavos)</w:t>
      </w:r>
      <w:r w:rsidRPr="00EB2BC7">
        <w:rPr>
          <w:rFonts w:eastAsia="Times New Roman" w:cstheme="minorHAnsi"/>
          <w:lang w:eastAsia="pt-BR"/>
        </w:rPr>
        <w:t>, sendo o valor global para execução completa em 3</w:t>
      </w:r>
      <w:r w:rsidR="004C3258">
        <w:rPr>
          <w:rFonts w:eastAsia="Times New Roman" w:cstheme="minorHAnsi"/>
          <w:lang w:eastAsia="pt-BR"/>
        </w:rPr>
        <w:t>6</w:t>
      </w:r>
      <w:r w:rsidRPr="00EB2BC7">
        <w:rPr>
          <w:rFonts w:eastAsia="Times New Roman" w:cstheme="minorHAnsi"/>
          <w:lang w:eastAsia="pt-BR"/>
        </w:rPr>
        <w:t>0 dias, incluindo todos os custos diretos, indiretos, impostos, encargos sociais e BDI de 20,</w:t>
      </w:r>
      <w:r w:rsidR="00254A2D">
        <w:rPr>
          <w:rFonts w:eastAsia="Times New Roman" w:cstheme="minorHAnsi"/>
          <w:lang w:eastAsia="pt-BR"/>
        </w:rPr>
        <w:t>38</w:t>
      </w:r>
      <w:r w:rsidRPr="00EB2BC7">
        <w:rPr>
          <w:rFonts w:eastAsia="Times New Roman" w:cstheme="minorHAnsi"/>
          <w:lang w:eastAsia="pt-BR"/>
        </w:rPr>
        <w:t>% para mão de obra e transporte.</w:t>
      </w:r>
    </w:p>
    <w:p w14:paraId="2F28B798" w14:textId="286F928B"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6F6247F6">
          <v:rect id="_x0000_i1034" style="width:0;height:1.5pt" o:hralign="center" o:hrstd="t" o:hr="t" fillcolor="#a0a0a0" stroked="f"/>
        </w:pict>
      </w:r>
      <w:r w:rsidR="00EB2BC7" w:rsidRPr="00EB2BC7">
        <w:rPr>
          <w:rFonts w:eastAsia="Times New Roman" w:cstheme="minorHAnsi"/>
          <w:b/>
          <w:bCs/>
          <w:lang w:eastAsia="pt-BR"/>
        </w:rPr>
        <w:t>11. JUSTIFICATIVA PARA O PARCELAMENTO OU NÃO DA SOLUÇÃO</w:t>
      </w:r>
    </w:p>
    <w:p w14:paraId="481820C7"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11.1 - Definição da Estrutura Adotada</w:t>
      </w:r>
    </w:p>
    <w:p w14:paraId="60AE54F9" w14:textId="0B892E8E"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presente contratação será estruturada em lote único, não sendo realizado o parcelamento do objeto, que contempla a pavimentação completa de 1</w:t>
      </w:r>
      <w:r w:rsidR="00390483">
        <w:rPr>
          <w:rFonts w:eastAsia="Times New Roman" w:cstheme="minorHAnsi"/>
          <w:lang w:eastAsia="pt-BR"/>
        </w:rPr>
        <w:t>9</w:t>
      </w:r>
      <w:r w:rsidRPr="00EB2BC7">
        <w:rPr>
          <w:rFonts w:eastAsia="Times New Roman" w:cstheme="minorHAnsi"/>
          <w:lang w:eastAsia="pt-BR"/>
        </w:rPr>
        <w:t xml:space="preserve"> vias urbanas com todos os serviços correlatos </w:t>
      </w:r>
      <w:r w:rsidR="00390483">
        <w:rPr>
          <w:rFonts w:eastAsia="Times New Roman" w:cstheme="minorHAnsi"/>
          <w:lang w:eastAsia="pt-BR"/>
        </w:rPr>
        <w:t>de reperfilamento</w:t>
      </w:r>
      <w:r w:rsidRPr="00EB2BC7">
        <w:rPr>
          <w:rFonts w:eastAsia="Times New Roman" w:cstheme="minorHAnsi"/>
          <w:lang w:eastAsia="pt-BR"/>
        </w:rPr>
        <w:t>, revestimento, urbanização e sinalização, visando garantir a uniformidade técnica e qualidade final do empreendimento.</w:t>
      </w:r>
    </w:p>
    <w:p w14:paraId="1AFEB6C4"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11.2 - Análise da Interdependência Técnica</w:t>
      </w:r>
    </w:p>
    <w:p w14:paraId="38B63CAB" w14:textId="10CD32BC"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Os serviços de</w:t>
      </w:r>
      <w:r w:rsidR="00390483">
        <w:rPr>
          <w:rFonts w:eastAsia="Times New Roman" w:cstheme="minorHAnsi"/>
          <w:lang w:eastAsia="pt-BR"/>
        </w:rPr>
        <w:t xml:space="preserve"> </w:t>
      </w:r>
      <w:r w:rsidRPr="00EB2BC7">
        <w:rPr>
          <w:rFonts w:eastAsia="Times New Roman" w:cstheme="minorHAnsi"/>
          <w:lang w:eastAsia="pt-BR"/>
        </w:rPr>
        <w:t xml:space="preserve">pavimentação, drenagem, urbanização e sinalização compõem um conjunto funcional único e tecnicamente indissociável. A </w:t>
      </w:r>
      <w:r w:rsidR="000572D4">
        <w:rPr>
          <w:rFonts w:eastAsia="Times New Roman" w:cstheme="minorHAnsi"/>
          <w:lang w:eastAsia="pt-BR"/>
        </w:rPr>
        <w:t xml:space="preserve">execução da drenagem, meio-fio com sarjeta </w:t>
      </w:r>
      <w:r w:rsidRPr="00EB2BC7">
        <w:rPr>
          <w:rFonts w:eastAsia="Times New Roman" w:cstheme="minorHAnsi"/>
          <w:lang w:eastAsia="pt-BR"/>
        </w:rPr>
        <w:t>deve ser executado em sincronia com a pavimentação; a urbanização das calçadas precisa estar alinhada com os níveis da pista; e a sinalização deve ser aplicada imediatamente após a conclusão do pavimento. O fracionamento comprometeria a coerência técnica, podendo gerar incompatibilidades de níveis, problemas de drenagem e perda de garantia do conjunto.</w:t>
      </w:r>
    </w:p>
    <w:p w14:paraId="4242403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11.3 - Aspectos Operacionais e de Execução</w:t>
      </w:r>
    </w:p>
    <w:p w14:paraId="02A56A00" w14:textId="2A5AC9E9"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atuação da equipe de pavimentação pressupõe conhecimento integrado de todas as etapas construtivas, desde a preparação da base até a aplicação da sinalização definitiva. A uniformidade na execução garante padrões consistentes de qualidade, controle tecnológico unificado e responsabilidade única sobre o resultado final. A coordenação e sincronização entre as diferentes frentes de serviço são essenciais para o cumprimento do cronograma de 3</w:t>
      </w:r>
      <w:r w:rsidR="000572D4">
        <w:rPr>
          <w:rFonts w:eastAsia="Times New Roman" w:cstheme="minorHAnsi"/>
          <w:lang w:eastAsia="pt-BR"/>
        </w:rPr>
        <w:t>60</w:t>
      </w:r>
      <w:r w:rsidRPr="00EB2BC7">
        <w:rPr>
          <w:rFonts w:eastAsia="Times New Roman" w:cstheme="minorHAnsi"/>
          <w:lang w:eastAsia="pt-BR"/>
        </w:rPr>
        <w:t xml:space="preserve"> dias, sendo que a mobilização de múltiplos contratados geraria conflitos de programação e atrasos nas interfaces.</w:t>
      </w:r>
    </w:p>
    <w:p w14:paraId="1EE03F72"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11.4 - Análise de Riscos</w:t>
      </w:r>
    </w:p>
    <w:p w14:paraId="3FDED9F6" w14:textId="77777777" w:rsidR="000572D4" w:rsidRDefault="000572D4" w:rsidP="00EB2BC7">
      <w:pPr>
        <w:widowControl w:val="0"/>
        <w:spacing w:after="0"/>
        <w:jc w:val="both"/>
        <w:outlineLvl w:val="2"/>
        <w:rPr>
          <w:rFonts w:eastAsia="Times New Roman" w:cstheme="minorHAnsi"/>
          <w:lang w:eastAsia="pt-BR"/>
        </w:rPr>
      </w:pPr>
      <w:r w:rsidRPr="000572D4">
        <w:rPr>
          <w:rFonts w:eastAsia="Times New Roman" w:cstheme="minorHAnsi"/>
          <w:lang w:eastAsia="pt-BR"/>
        </w:rPr>
        <w:t xml:space="preserve">O projeto não prevê execução de base, contemplando apenas </w:t>
      </w:r>
      <w:proofErr w:type="spellStart"/>
      <w:r w:rsidRPr="000572D4">
        <w:rPr>
          <w:rFonts w:eastAsia="Times New Roman" w:cstheme="minorHAnsi"/>
          <w:lang w:eastAsia="pt-BR"/>
        </w:rPr>
        <w:t>reperfilagem</w:t>
      </w:r>
      <w:proofErr w:type="spellEnd"/>
      <w:r w:rsidRPr="000572D4">
        <w:rPr>
          <w:rFonts w:eastAsia="Times New Roman" w:cstheme="minorHAnsi"/>
          <w:lang w:eastAsia="pt-BR"/>
        </w:rPr>
        <w:t xml:space="preserve"> e aplicação de capa em CBUQ. A eventual divisão do objeto poderia gerar fornecimentos desconexos entre base e pavimentação, incompatibilidades entre o sistema de drenagem e o pavimento, dificuldades de integração entre calçadas e pista, além de fragmentar responsabilidades, comprometendo a garantia quinquenal. Também implicaria aumento significativo dos custos de administração e fiscalização contratual. Esses fatores representariam risco ao interesse público e poderiam comprometer a qualidade final da obra.</w:t>
      </w:r>
    </w:p>
    <w:p w14:paraId="2DF4B620" w14:textId="5533D0D2"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11.5 - Fundamentação Legal</w:t>
      </w:r>
    </w:p>
    <w:p w14:paraId="1FFBBA40"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Assim, com fundamento no art. 40, §1º da Lei nº 14.133/2021, que estabelece que o parcelamento do objeto deve ser evitado quando houver prejuízo ao conjunto da solução ou perda de economia de escala, justifica-se tecnicamente a manutenção do lote único, garantindo-se a integridade técnica, operacional e econômica da pavimentação urbana proposta.</w:t>
      </w:r>
    </w:p>
    <w:p w14:paraId="1724EDD0" w14:textId="36A4E7ED"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5FBED2AC">
          <v:rect id="_x0000_i1035" style="width:0;height:1.5pt" o:hralign="center" o:hrstd="t" o:hr="t" fillcolor="#a0a0a0" stroked="f"/>
        </w:pict>
      </w:r>
      <w:r w:rsidR="00EB2BC7" w:rsidRPr="00EB2BC7">
        <w:rPr>
          <w:rFonts w:eastAsia="Times New Roman" w:cstheme="minorHAnsi"/>
          <w:b/>
          <w:bCs/>
          <w:lang w:eastAsia="pt-BR"/>
        </w:rPr>
        <w:t>12. CONTRATAÇÕES CORRELATAS E/OU INTERDEPENDENTES</w:t>
      </w:r>
    </w:p>
    <w:p w14:paraId="7EC3FFC1"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12.1 - Declaração sobre Contratações Correlatas</w:t>
      </w:r>
    </w:p>
    <w:p w14:paraId="40377BFC"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Não há contratações correlatas ou interdependentes diretas para a execução do objeto. A pavimentação contempla integralmente todos os serviços necessários, desde a preparação da base até a sinalização final, constituindo-se em contratação autossuficiente que não depende de outros contratos para seu pleno funcionamento.</w:t>
      </w:r>
    </w:p>
    <w:p w14:paraId="2B9C498A"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12.2 - Análise de Infraestrutura Existente</w:t>
      </w:r>
    </w:p>
    <w:p w14:paraId="25BE088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 espaço onde serão realizadas as obras de pavimentação consiste nas vias públicas urbanas já consolidadas, com infraestrutura básica de energia elétrica e iluminação pública existentes. As ruas possuem largura adequada para execução dos serviços, sistema de distribuição de água implantado (não será afetado), e não há necessidade de desapropriações ou relocações. O canteiro de obras poderá ser instalado em área pública disponível, com acesso a água e energia. As vias continuarão sendo utilizadas pela população durante a obra, com desvios temporários programados conforme plano de ataque a ser apresentado pela contratada.</w:t>
      </w:r>
    </w:p>
    <w:p w14:paraId="065AE5C3" w14:textId="15A717E6"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4ACC2B54">
          <v:rect id="_x0000_i1036" style="width:0;height:1.5pt" o:hralign="center" o:hrstd="t" o:hr="t" fillcolor="#a0a0a0" stroked="f"/>
        </w:pict>
      </w:r>
      <w:r w:rsidR="00EB2BC7" w:rsidRPr="00EB2BC7">
        <w:rPr>
          <w:rFonts w:eastAsia="Times New Roman" w:cstheme="minorHAnsi"/>
          <w:b/>
          <w:bCs/>
          <w:lang w:eastAsia="pt-BR"/>
        </w:rPr>
        <w:t>13. ALINHAMENTO ENTRE A CONTRATAÇÃO E O PLANEJAMENTO</w:t>
      </w:r>
    </w:p>
    <w:p w14:paraId="682D29D4"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13.1 - Situação do Planejamento Institucional</w:t>
      </w:r>
    </w:p>
    <w:p w14:paraId="27AA888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presente contratação está alinhada com o Plano de Aceleração Municipal (PAM) e integra as prioridades estabelecidas pela administração municipal para o exercício de 2025. Embora o município ainda esteja finalizando a elaboração do PPA 2026-2029, a pavimentação urbana já consta como ação prioritária no planejamento preliminar, sendo essencial para atender as necessidades operacionais imediatas da população e não comprometendo o planejamento futuro, pelo contrário, estabelecendo bases sólidas para o desenvolvimento urbano sustentável.</w:t>
      </w:r>
    </w:p>
    <w:p w14:paraId="5443723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13.2 - Fundamentação Orçamentária</w:t>
      </w:r>
    </w:p>
    <w:p w14:paraId="3A81680B" w14:textId="40BA7742"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Tal contratação possui fulcro na Lei Orçamentária Anual (LOA) de 2025, com dotação orçamentária específica na ação de pavimentação urbana, programa de trabalho vinculado à Secretaria de Obras, com recursos identificados através do convênio PAM com a SECID (R$ </w:t>
      </w:r>
      <w:r w:rsidR="004C47B6">
        <w:rPr>
          <w:rFonts w:eastAsia="Times New Roman" w:cstheme="minorHAnsi"/>
          <w:lang w:eastAsia="pt-BR"/>
        </w:rPr>
        <w:t>4.975.491,86</w:t>
      </w:r>
      <w:r w:rsidRPr="00EB2BC7">
        <w:rPr>
          <w:rFonts w:eastAsia="Times New Roman" w:cstheme="minorHAnsi"/>
          <w:lang w:eastAsia="pt-BR"/>
        </w:rPr>
        <w:t>)</w:t>
      </w:r>
      <w:r w:rsidR="004C47B6">
        <w:rPr>
          <w:rFonts w:eastAsia="Times New Roman" w:cstheme="minorHAnsi"/>
          <w:lang w:eastAsia="pt-BR"/>
        </w:rPr>
        <w:t xml:space="preserve"> sem contrapartida do </w:t>
      </w:r>
      <w:proofErr w:type="spellStart"/>
      <w:r w:rsidR="004C47B6">
        <w:rPr>
          <w:rFonts w:eastAsia="Times New Roman" w:cstheme="minorHAnsi"/>
          <w:lang w:eastAsia="pt-BR"/>
        </w:rPr>
        <w:t>Municipio</w:t>
      </w:r>
      <w:proofErr w:type="spellEnd"/>
      <w:r w:rsidRPr="00EB2BC7">
        <w:rPr>
          <w:rFonts w:eastAsia="Times New Roman" w:cstheme="minorHAnsi"/>
          <w:lang w:eastAsia="pt-BR"/>
        </w:rPr>
        <w:t xml:space="preserve">. </w:t>
      </w:r>
    </w:p>
    <w:p w14:paraId="11815374" w14:textId="7FADD4DD"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5B1CEC9B">
          <v:rect id="_x0000_i1037" style="width:0;height:1.5pt" o:hralign="center" o:hrstd="t" o:hr="t" fillcolor="#a0a0a0" stroked="f"/>
        </w:pict>
      </w:r>
      <w:r w:rsidR="00EB2BC7" w:rsidRPr="00EB2BC7">
        <w:rPr>
          <w:rFonts w:eastAsia="Times New Roman" w:cstheme="minorHAnsi"/>
          <w:b/>
          <w:bCs/>
          <w:lang w:eastAsia="pt-BR"/>
        </w:rPr>
        <w:t>14. RESULTADOS PRETENDIDOS</w:t>
      </w:r>
    </w:p>
    <w:p w14:paraId="296B3A5F"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14.1 - Objetivos Principais e Benefícios Esperados</w:t>
      </w:r>
    </w:p>
    <w:p w14:paraId="11AB0EF4"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contratação de pavimentação urbana em CBUQ visa alcançar uma série de objetivos essenciais:</w:t>
      </w:r>
    </w:p>
    <w:p w14:paraId="6A696235"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Resultados Imediatos:</w:t>
      </w:r>
    </w:p>
    <w:p w14:paraId="67E9749A" w14:textId="376233C3"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 xml:space="preserve">Pavimentação completa de </w:t>
      </w:r>
      <w:r w:rsidR="004C47B6">
        <w:rPr>
          <w:rFonts w:eastAsia="Times New Roman" w:cstheme="minorHAnsi"/>
          <w:lang w:eastAsia="pt-BR"/>
        </w:rPr>
        <w:t>3.</w:t>
      </w:r>
      <w:r w:rsidR="00254A2D">
        <w:rPr>
          <w:rFonts w:eastAsia="Times New Roman" w:cstheme="minorHAnsi"/>
          <w:lang w:eastAsia="pt-BR"/>
        </w:rPr>
        <w:t>706,63</w:t>
      </w:r>
      <w:r w:rsidRPr="00EB2BC7">
        <w:rPr>
          <w:rFonts w:eastAsia="Times New Roman" w:cstheme="minorHAnsi"/>
          <w:lang w:eastAsia="pt-BR"/>
        </w:rPr>
        <w:t xml:space="preserve"> metros lineares de vias urbanas;</w:t>
      </w:r>
    </w:p>
    <w:p w14:paraId="022B20A0" w14:textId="3E24D92E"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 xml:space="preserve">Melhoria das condições de trafegabilidade para </w:t>
      </w:r>
      <w:r w:rsidR="00254A2D">
        <w:rPr>
          <w:rFonts w:eastAsia="Times New Roman" w:cstheme="minorHAnsi"/>
          <w:lang w:eastAsia="pt-BR"/>
        </w:rPr>
        <w:t>2</w:t>
      </w:r>
      <w:r w:rsidR="004C47B6">
        <w:rPr>
          <w:rFonts w:eastAsia="Times New Roman" w:cstheme="minorHAnsi"/>
          <w:lang w:eastAsia="pt-BR"/>
        </w:rPr>
        <w:t>.000</w:t>
      </w:r>
      <w:r w:rsidRPr="00EB2BC7">
        <w:rPr>
          <w:rFonts w:eastAsia="Times New Roman" w:cstheme="minorHAnsi"/>
          <w:lang w:eastAsia="pt-BR"/>
        </w:rPr>
        <w:t xml:space="preserve"> habitantes;</w:t>
      </w:r>
    </w:p>
    <w:p w14:paraId="4B8F4416" w14:textId="77777777"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Redução de 60% no tempo médio de deslocamento nas vias beneficiadas;</w:t>
      </w:r>
    </w:p>
    <w:p w14:paraId="5233CF0B" w14:textId="77777777"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Eliminação de poeira e lama em 100% das ruas contempladas;</w:t>
      </w:r>
    </w:p>
    <w:p w14:paraId="289ABBAE" w14:textId="77777777" w:rsidR="00EB2BC7" w:rsidRPr="00EB2BC7" w:rsidRDefault="00EB2BC7" w:rsidP="00EB2BC7">
      <w:pPr>
        <w:widowControl w:val="0"/>
        <w:numPr>
          <w:ilvl w:val="0"/>
          <w:numId w:val="21"/>
        </w:numPr>
        <w:spacing w:after="0"/>
        <w:jc w:val="both"/>
        <w:rPr>
          <w:rFonts w:eastAsia="Times New Roman" w:cstheme="minorHAnsi"/>
          <w:lang w:eastAsia="pt-BR"/>
        </w:rPr>
      </w:pPr>
      <w:r w:rsidRPr="00EB2BC7">
        <w:rPr>
          <w:rFonts w:eastAsia="Times New Roman" w:cstheme="minorHAnsi"/>
          <w:lang w:eastAsia="pt-BR"/>
        </w:rPr>
        <w:t>Implantação de sistema eficiente de drenagem superficial.</w:t>
      </w:r>
    </w:p>
    <w:p w14:paraId="531EBE27"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Resultados de Médio Prazo:</w:t>
      </w:r>
    </w:p>
    <w:p w14:paraId="5D71C3FE"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Valorização imobiliária estimada entre 15% e 30% nos imóveis lindeiros;</w:t>
      </w:r>
    </w:p>
    <w:p w14:paraId="7078E1B4"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Redução de 40% nos custos de manutenção da frota municipal;</w:t>
      </w:r>
    </w:p>
    <w:p w14:paraId="6877AEF3"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Diminuição de 50% nas despesas com manutenção viária;</w:t>
      </w:r>
    </w:p>
    <w:p w14:paraId="527F8428"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Melhoria nos índices de saúde respiratória da população local;</w:t>
      </w:r>
    </w:p>
    <w:p w14:paraId="00FDD13F" w14:textId="77777777" w:rsidR="00EB2BC7" w:rsidRPr="00EB2BC7" w:rsidRDefault="00EB2BC7" w:rsidP="00EB2BC7">
      <w:pPr>
        <w:widowControl w:val="0"/>
        <w:numPr>
          <w:ilvl w:val="0"/>
          <w:numId w:val="22"/>
        </w:numPr>
        <w:spacing w:after="0"/>
        <w:jc w:val="both"/>
        <w:rPr>
          <w:rFonts w:eastAsia="Times New Roman" w:cstheme="minorHAnsi"/>
          <w:lang w:eastAsia="pt-BR"/>
        </w:rPr>
      </w:pPr>
      <w:r w:rsidRPr="00EB2BC7">
        <w:rPr>
          <w:rFonts w:eastAsia="Times New Roman" w:cstheme="minorHAnsi"/>
          <w:lang w:eastAsia="pt-BR"/>
        </w:rPr>
        <w:t>Aumento da atividade econômica nas áreas beneficiadas.</w:t>
      </w:r>
    </w:p>
    <w:p w14:paraId="245101C8"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Resultados de Longo Prazo:</w:t>
      </w:r>
    </w:p>
    <w:p w14:paraId="52BE095B"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Consolidação de um sistema viário moderno e sustentável;</w:t>
      </w:r>
    </w:p>
    <w:p w14:paraId="5F79DA23"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Integração urbana completa dos bairros periféricos;</w:t>
      </w:r>
    </w:p>
    <w:p w14:paraId="60B24C6D"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Estabelecimento de padrão de qualidade para futuras intervenções;</w:t>
      </w:r>
    </w:p>
    <w:p w14:paraId="332AD807"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Criação de modelo replicável para outras áreas do município;</w:t>
      </w:r>
    </w:p>
    <w:p w14:paraId="0DAE43A3" w14:textId="77777777" w:rsidR="00EB2BC7" w:rsidRPr="00EB2BC7" w:rsidRDefault="00EB2BC7" w:rsidP="00EB2BC7">
      <w:pPr>
        <w:widowControl w:val="0"/>
        <w:numPr>
          <w:ilvl w:val="0"/>
          <w:numId w:val="23"/>
        </w:numPr>
        <w:spacing w:after="0"/>
        <w:jc w:val="both"/>
        <w:rPr>
          <w:rFonts w:eastAsia="Times New Roman" w:cstheme="minorHAnsi"/>
          <w:lang w:eastAsia="pt-BR"/>
        </w:rPr>
      </w:pPr>
      <w:r w:rsidRPr="00EB2BC7">
        <w:rPr>
          <w:rFonts w:eastAsia="Times New Roman" w:cstheme="minorHAnsi"/>
          <w:lang w:eastAsia="pt-BR"/>
        </w:rPr>
        <w:t>Contribuição para os indicadores de desenvolvimento urbano sustentável.</w:t>
      </w:r>
    </w:p>
    <w:p w14:paraId="71657571" w14:textId="5A070A24"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123A1A13">
          <v:rect id="_x0000_i1038" style="width:0;height:1.5pt" o:hralign="center" o:hrstd="t" o:hr="t" fillcolor="#a0a0a0" stroked="f"/>
        </w:pict>
      </w:r>
      <w:r w:rsidR="00EB2BC7" w:rsidRPr="00EB2BC7">
        <w:rPr>
          <w:rFonts w:eastAsia="Times New Roman" w:cstheme="minorHAnsi"/>
          <w:b/>
          <w:bCs/>
          <w:lang w:eastAsia="pt-BR"/>
        </w:rPr>
        <w:t>15. PROVIDÊNCIAS A SEREM ADOTADAS</w:t>
      </w:r>
    </w:p>
    <w:p w14:paraId="5C5756DA"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15.1 - Adequações de Infraestrutura</w:t>
      </w:r>
    </w:p>
    <w:p w14:paraId="1DABCB2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Para esta solução não há necessidade de ajustes ou adequações significativas na infraestrutura existente. As vias já possuem definição de greide, sistema de distribuição de água implantado abaixo do leito e rede de energia elétrica aérea que não será afetada. Os serviços serão executados no leito carroçável existente, com compartilhamento temporário do uso através de meia pista durante a execução, organizando-se o fluxo através de sinalização provisória adequada.</w:t>
      </w:r>
    </w:p>
    <w:p w14:paraId="629C73F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15.2 - Responsabilidades da Contratada</w:t>
      </w:r>
    </w:p>
    <w:p w14:paraId="271A0022"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Os materiais, equipamentos e serviços serão de inteira responsabilidade da contratada, incluindo fornecimento completo de todos os insumos necessários, garantia de qualidade conforme especificações técnicas do DER/PR, instalação e execução com equipe própria especializada, treinamento do pessoal da prefeitura para manutenção básica, suporte técnico durante o período de garantia e manutenção corretiva quando necessária, assegurando a integralidade e funcionalidade da solução fornecida.</w:t>
      </w:r>
    </w:p>
    <w:p w14:paraId="2B83E8AD"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15.3 - Providências da Administração</w:t>
      </w:r>
    </w:p>
    <w:p w14:paraId="7E8203E5"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Cabe à Administração Municipal indicar servidor para gestão contratual e equipe de fiscalização técnica, formalizando através de Portaria específica a designação dos responsáveis. Será necessária capacitação básica dos fiscais em controle tecnológico de pavimentação, com acompanhamento sistemático das etapas através de relatórios mensais e diário de obras, além da avaliação periódica do cumprimento do cronograma e qualidade dos serviços executados.</w:t>
      </w:r>
    </w:p>
    <w:p w14:paraId="5CDC5A3B" w14:textId="3D30BFC7"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75684BCC">
          <v:rect id="_x0000_i1039" style="width:0;height:1.5pt" o:hralign="center" o:hrstd="t" o:hr="t" fillcolor="#a0a0a0" stroked="f"/>
        </w:pict>
      </w:r>
      <w:r w:rsidR="00EB2BC7" w:rsidRPr="00EB2BC7">
        <w:rPr>
          <w:rFonts w:eastAsia="Times New Roman" w:cstheme="minorHAnsi"/>
          <w:b/>
          <w:bCs/>
          <w:lang w:eastAsia="pt-BR"/>
        </w:rPr>
        <w:t>16. POSSÍVEIS IMPACTOS AMBIENTAIS</w:t>
      </w:r>
    </w:p>
    <w:p w14:paraId="0C7E74F6"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16.1 - Identificação dos Impactos Ambientais Negativos</w:t>
      </w:r>
    </w:p>
    <w:p w14:paraId="6A59A794" w14:textId="20CB96EA"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fabricação e aplicação de concreto asfáltico pode gerar diversos impactos negativos ao ambiente, incluindo: extração de recursos minerais (brita, areia) com alteração da paisagem e ecossistemas locais; processo de usinagem do asfalto com emissões atmosféricas de COV (compostos orgânicos voláteis) e material particulado; consumo energético significativo no aquecimento do CAP e agregados; emissões de CO2 no transporte de materiais com DMT médio de </w:t>
      </w:r>
      <w:r w:rsidR="00E8782D">
        <w:rPr>
          <w:rFonts w:eastAsia="Times New Roman" w:cstheme="minorHAnsi"/>
          <w:lang w:eastAsia="pt-BR"/>
        </w:rPr>
        <w:t>50</w:t>
      </w:r>
      <w:r w:rsidRPr="00EB2BC7">
        <w:rPr>
          <w:rFonts w:eastAsia="Times New Roman" w:cstheme="minorHAnsi"/>
          <w:lang w:eastAsia="pt-BR"/>
        </w:rPr>
        <w:t xml:space="preserve"> km para massa asfáltica; impermeabilização do solo reduzindo infiltração natural e aumentando escoamento superficial; geração de resíduos de fresagem e sobras de material asfáltico com potencial contaminante.</w:t>
      </w:r>
    </w:p>
    <w:p w14:paraId="0C7ECB0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16.2 - Impactos Ambientais Positivos e Oportunidades</w:t>
      </w:r>
    </w:p>
    <w:p w14:paraId="773FCBD1"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Porém, se forem geridos de forma sustentável, também podem provocar impactos positivos significativos. O uso de materiais pétreos de pedreiras licenciadas garante exploração controlada; a pavimentação adequada reduz emissão de material particulado (poeira) melhorando a qualidade do ar; o sistema de drenagem previne erosões e assoreamento de corpos d'água; a urbanização com </w:t>
      </w:r>
      <w:proofErr w:type="spellStart"/>
      <w:r w:rsidRPr="00EB2BC7">
        <w:rPr>
          <w:rFonts w:eastAsia="Times New Roman" w:cstheme="minorHAnsi"/>
          <w:lang w:eastAsia="pt-BR"/>
        </w:rPr>
        <w:t>paver</w:t>
      </w:r>
      <w:proofErr w:type="spellEnd"/>
      <w:r w:rsidRPr="00EB2BC7">
        <w:rPr>
          <w:rFonts w:eastAsia="Times New Roman" w:cstheme="minorHAnsi"/>
          <w:lang w:eastAsia="pt-BR"/>
        </w:rPr>
        <w:t xml:space="preserve"> permite maior permeabilidade que o asfalto convencional; a durabilidade de 10 anos reduz necessidade de intervenções frequentes; e a possibilidade futura de reciclagem do pavimento através de fresagem e reaproveitamento em novas misturas promove economia circular.</w:t>
      </w:r>
    </w:p>
    <w:p w14:paraId="657B0FED"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16.3 - Medidas de Mitigação e Controle</w:t>
      </w:r>
    </w:p>
    <w:p w14:paraId="3D1EF2CE"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Para reduzir impactos negativos serão exigidos: utilização de usina de asfalto com filtros e sistemas de controle de emissões; aplicação de técnicas de pavimentação "morna" quando possível, reduzindo temperatura e emissões; exigência de licenças ambientais válidas de todos os fornecedores; implementação de programa de gerenciamento de resíduos da construção civil; utilização de agregados reciclados quando tecnicamente viável; compensação através de plantio de árvores nas calçadas urbanizadas; e monitor</w:t>
      </w:r>
    </w:p>
    <w:p w14:paraId="198CF1B5"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16.3 - Medidas de Mitigação e Controle (continuação)</w:t>
      </w:r>
    </w:p>
    <w:p w14:paraId="4F21640D"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...e monitoramento da qualidade do ar durante a execução; uso prioritário de fornecedores locais para redução de emissões de transporte; e implementação de sistema de gestão ambiental da obra com responsável técnico específico.</w:t>
      </w:r>
    </w:p>
    <w:p w14:paraId="4F082282"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16.4 - Conformidade Legal e Normativa</w:t>
      </w:r>
    </w:p>
    <w:p w14:paraId="0620C2A0"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execução deverá atender integralmente à legislação ambiental aplicável: Resolução CONAMA nº 307/2002 sobre gestão de resíduos da construção civil; Política Nacional de Resíduos Sólidos (Lei 12.305/2010); licenciamento ambiental das jazidas e usina de asfalto conforme legislação estadual do Paraná; normas técnicas ABNT NBR 10004 para classificação de resíduos; e legislação municipal de meio ambiente. Serão exigidas certificações ambientais dos fornecedores principais, relatórios mensais de gestão ambiental e PGRS (Plano de Gerenciamento de Resíduos Sólidos) específico para a obra.</w:t>
      </w:r>
    </w:p>
    <w:p w14:paraId="31D72F18" w14:textId="2AA0C9BE" w:rsidR="00EB2BC7" w:rsidRPr="00EB2BC7" w:rsidRDefault="001911CA" w:rsidP="00EB2BC7">
      <w:pPr>
        <w:widowControl w:val="0"/>
        <w:spacing w:after="0"/>
        <w:jc w:val="both"/>
        <w:outlineLvl w:val="1"/>
        <w:rPr>
          <w:rFonts w:eastAsia="Times New Roman" w:cstheme="minorHAnsi"/>
          <w:b/>
          <w:bCs/>
          <w:lang w:eastAsia="pt-BR"/>
        </w:rPr>
      </w:pPr>
      <w:r>
        <w:rPr>
          <w:rFonts w:cstheme="minorHAnsi"/>
        </w:rPr>
        <w:pict w14:anchorId="39311288">
          <v:rect id="_x0000_i1040" style="width:0;height:1.5pt" o:hralign="center" o:hrstd="t" o:hr="t" fillcolor="#a0a0a0" stroked="f"/>
        </w:pict>
      </w:r>
      <w:r w:rsidR="00EB2BC7" w:rsidRPr="00EB2BC7">
        <w:rPr>
          <w:rFonts w:eastAsia="Times New Roman" w:cstheme="minorHAnsi"/>
          <w:b/>
          <w:bCs/>
          <w:lang w:eastAsia="pt-BR"/>
        </w:rPr>
        <w:t>17. DECLARAÇÃO DE VIABILIDADE</w:t>
      </w:r>
    </w:p>
    <w:p w14:paraId="273683B0"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17.1 - Justificativa da Essencialidade</w:t>
      </w:r>
    </w:p>
    <w:p w14:paraId="7166B3DA" w14:textId="02A323E0"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A contratação dos serviços de pavimentação descritos neste estudo técnico preliminar é essencial para o desenvolvimento urbano sustentável de Nova Prata do Iguaçu, proporcionando infraestrutura viária de qualidade que beneficiará diretamente </w:t>
      </w:r>
      <w:r w:rsidR="007303F3">
        <w:rPr>
          <w:rFonts w:eastAsia="Times New Roman" w:cstheme="minorHAnsi"/>
          <w:lang w:eastAsia="pt-BR"/>
        </w:rPr>
        <w:t>3.000</w:t>
      </w:r>
      <w:r w:rsidRPr="00EB2BC7">
        <w:rPr>
          <w:rFonts w:eastAsia="Times New Roman" w:cstheme="minorHAnsi"/>
          <w:lang w:eastAsia="pt-BR"/>
        </w:rPr>
        <w:t xml:space="preserve"> habitantes e indiretamente toda a população municipal. Os benefícios esperados incluem melhoria significativa na mobilidade urbana, valorização imobiliária, redução de custos de manutenção veicular e viária, além do impacto positivo na saúde pública pela eliminação de poeira e melhoria da drenagem urbana.</w:t>
      </w:r>
    </w:p>
    <w:p w14:paraId="0C0EA5E3"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A implementação representa modernização através de tecnologias consagradas de pavimentação asfáltica, metodologias de controle tecnológico rigoroso e padrões de qualidade alinhados com as melhores práticas nacionais. A solução proposta resolve problemas crônicos de trafegabilidade, aproveita oportunidades de financiamento estadual através do PAM e desenvolve competências locais em gestão de infraestrutura urbana moderna.</w:t>
      </w:r>
    </w:p>
    <w:p w14:paraId="28FEBA53"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17.2 - Declaração Formal de Viabilidade</w:t>
      </w:r>
    </w:p>
    <w:p w14:paraId="4F3ED938"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Face ao exposto, a equipe designada para elaboração deste documento declara que:</w:t>
      </w:r>
    </w:p>
    <w:p w14:paraId="392015BB"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a) Viabilidade Técnica:</w:t>
      </w:r>
      <w:r w:rsidRPr="00EB2BC7">
        <w:rPr>
          <w:rFonts w:eastAsia="Times New Roman" w:cstheme="minorHAnsi"/>
          <w:lang w:eastAsia="pt-BR"/>
        </w:rPr>
        <w:t xml:space="preserve"> A contratação é tecnicamente viável, existindo no mercado regional empresas capacitadas, materiais disponíveis, tecnologia consolidada e normas técnicas estabelecidas para garantir a qualidade da execução;</w:t>
      </w:r>
    </w:p>
    <w:p w14:paraId="1EEE7F5A" w14:textId="47323CD0"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b) Viabilidade Econômica:</w:t>
      </w:r>
      <w:r w:rsidRPr="00EB2BC7">
        <w:rPr>
          <w:rFonts w:eastAsia="Times New Roman" w:cstheme="minorHAnsi"/>
          <w:lang w:eastAsia="pt-BR"/>
        </w:rPr>
        <w:t xml:space="preserve"> O investimento de R$ </w:t>
      </w:r>
      <w:r w:rsidR="007303F3">
        <w:rPr>
          <w:rFonts w:eastAsia="Times New Roman" w:cstheme="minorHAnsi"/>
          <w:lang w:eastAsia="pt-BR"/>
        </w:rPr>
        <w:t>4.975</w:t>
      </w:r>
      <w:r w:rsidRPr="00EB2BC7">
        <w:rPr>
          <w:rFonts w:eastAsia="Times New Roman" w:cstheme="minorHAnsi"/>
          <w:lang w:eastAsia="pt-BR"/>
        </w:rPr>
        <w:t>.</w:t>
      </w:r>
      <w:r w:rsidR="007303F3">
        <w:rPr>
          <w:rFonts w:eastAsia="Times New Roman" w:cstheme="minorHAnsi"/>
          <w:lang w:eastAsia="pt-BR"/>
        </w:rPr>
        <w:t>491,86</w:t>
      </w:r>
      <w:r w:rsidRPr="00EB2BC7">
        <w:rPr>
          <w:rFonts w:eastAsia="Times New Roman" w:cstheme="minorHAnsi"/>
          <w:lang w:eastAsia="pt-BR"/>
        </w:rPr>
        <w:t xml:space="preserve"> apresenta excelente relação custo-benefício, com retorno social mensurável através da valorização imobiliária, redução de custos operacionais e melhoria da qualidade de vida, além de contar com </w:t>
      </w:r>
      <w:r w:rsidR="00C3574D">
        <w:rPr>
          <w:rFonts w:eastAsia="Times New Roman" w:cstheme="minorHAnsi"/>
          <w:lang w:eastAsia="pt-BR"/>
        </w:rPr>
        <w:t>100</w:t>
      </w:r>
      <w:r w:rsidRPr="00EB2BC7">
        <w:rPr>
          <w:rFonts w:eastAsia="Times New Roman" w:cstheme="minorHAnsi"/>
          <w:lang w:eastAsia="pt-BR"/>
        </w:rPr>
        <w:t>% de recursos estaduais, minimizando o impacto no orçamento municipal;</w:t>
      </w:r>
    </w:p>
    <w:p w14:paraId="3E98600F"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c) Viabilidade Legal:</w:t>
      </w:r>
      <w:r w:rsidRPr="00EB2BC7">
        <w:rPr>
          <w:rFonts w:eastAsia="Times New Roman" w:cstheme="minorHAnsi"/>
          <w:lang w:eastAsia="pt-BR"/>
        </w:rPr>
        <w:t xml:space="preserve"> A contratação está plenamente amparada pela Lei 14.133/2021, com processo licitatório na modalidade Concorrência, atendendo todos os requisitos legais e normativos aplicáveis;</w:t>
      </w:r>
    </w:p>
    <w:p w14:paraId="76A9FA69"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d) Viabilidade Ambiental:</w:t>
      </w:r>
      <w:r w:rsidRPr="00EB2BC7">
        <w:rPr>
          <w:rFonts w:eastAsia="Times New Roman" w:cstheme="minorHAnsi"/>
          <w:lang w:eastAsia="pt-BR"/>
        </w:rPr>
        <w:t xml:space="preserve"> Os impactos ambientais são mitigáveis através das medidas de controle propostas, com benefícios ambientais de longo prazo superiores aos impactos temporários da execução;</w:t>
      </w:r>
    </w:p>
    <w:p w14:paraId="71F87B9D"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e) Viabilidade Social:</w:t>
      </w:r>
      <w:r w:rsidRPr="00EB2BC7">
        <w:rPr>
          <w:rFonts w:eastAsia="Times New Roman" w:cstheme="minorHAnsi"/>
          <w:lang w:eastAsia="pt-BR"/>
        </w:rPr>
        <w:t xml:space="preserve"> O projeto conta com forte apoio da comunidade, atende demanda histórica da população e promove inclusão social através da acessibilidade universal implementada.</w:t>
      </w:r>
    </w:p>
    <w:p w14:paraId="64AB1E69"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17.3 - Recomendações Finais</w:t>
      </w:r>
    </w:p>
    <w:p w14:paraId="13BA7D09"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Recomenda-se o prosseguimento do processo licitatório com a maior brevidade possível, aproveitando a disponibilidade de recursos do PAM e as condições favoráveis de mercado. Sugere-se especial atenção à fiscalização técnica durante a execução, garantindo o cumprimento rigoroso das especificações e prazos estabelecidos.</w:t>
      </w:r>
    </w:p>
    <w:p w14:paraId="745B8268"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17.4 - Conclusão</w:t>
      </w:r>
    </w:p>
    <w:p w14:paraId="75A6BC33" w14:textId="77777777" w:rsidR="00EB2BC7" w:rsidRPr="00EB2BC7" w:rsidRDefault="00EB2BC7" w:rsidP="00EB2BC7">
      <w:pPr>
        <w:widowControl w:val="0"/>
        <w:spacing w:after="0"/>
        <w:jc w:val="both"/>
        <w:rPr>
          <w:rFonts w:eastAsia="Times New Roman" w:cstheme="minorHAnsi"/>
          <w:lang w:eastAsia="pt-BR"/>
        </w:rPr>
      </w:pPr>
      <w:r w:rsidRPr="00EB2BC7">
        <w:rPr>
          <w:rFonts w:eastAsia="Times New Roman" w:cstheme="minorHAnsi"/>
          <w:lang w:eastAsia="pt-BR"/>
        </w:rPr>
        <w:t xml:space="preserve">Considerando todos os aspectos analisados neste Estudo Técnico Preliminar, conclui-se pela </w:t>
      </w:r>
      <w:r w:rsidRPr="00EB2BC7">
        <w:rPr>
          <w:rFonts w:eastAsia="Times New Roman" w:cstheme="minorHAnsi"/>
          <w:b/>
          <w:bCs/>
          <w:lang w:eastAsia="pt-BR"/>
        </w:rPr>
        <w:t>VIABILIDADE INTEGRAL</w:t>
      </w:r>
      <w:r w:rsidRPr="00EB2BC7">
        <w:rPr>
          <w:rFonts w:eastAsia="Times New Roman" w:cstheme="minorHAnsi"/>
          <w:lang w:eastAsia="pt-BR"/>
        </w:rPr>
        <w:t xml:space="preserve"> da contratação proposta, recomendando-se sua aprovação e continuidade do processo licitatório, com elaboração do Termo de Referência detalhado e publicação do edital de Concorrência Pública.</w:t>
      </w:r>
    </w:p>
    <w:p w14:paraId="188EEA70" w14:textId="212893EE" w:rsidR="00EB2BC7" w:rsidRPr="00EB2BC7" w:rsidRDefault="00EB2BC7" w:rsidP="00EB2BC7">
      <w:pPr>
        <w:widowControl w:val="0"/>
        <w:spacing w:after="0"/>
        <w:jc w:val="both"/>
        <w:rPr>
          <w:rFonts w:eastAsia="Times New Roman" w:cstheme="minorHAnsi"/>
          <w:lang w:eastAsia="pt-BR"/>
        </w:rPr>
      </w:pPr>
    </w:p>
    <w:p w14:paraId="3DC4928B" w14:textId="3C5835F5" w:rsidR="00EB2BC7" w:rsidRPr="00EB2BC7" w:rsidRDefault="00EB2BC7" w:rsidP="001911CA">
      <w:pPr>
        <w:widowControl w:val="0"/>
        <w:spacing w:after="0"/>
        <w:jc w:val="right"/>
        <w:rPr>
          <w:rFonts w:eastAsia="Times New Roman" w:cstheme="minorHAnsi"/>
          <w:lang w:eastAsia="pt-BR"/>
        </w:rPr>
      </w:pPr>
      <w:r w:rsidRPr="00EB2BC7">
        <w:rPr>
          <w:rFonts w:eastAsia="Times New Roman" w:cstheme="minorHAnsi"/>
          <w:b/>
          <w:bCs/>
          <w:lang w:eastAsia="pt-BR"/>
        </w:rPr>
        <w:t xml:space="preserve">Nova Prata do Iguaçu/PR, </w:t>
      </w:r>
      <w:r w:rsidR="00007B46">
        <w:rPr>
          <w:rFonts w:eastAsia="Times New Roman" w:cstheme="minorHAnsi"/>
          <w:b/>
          <w:bCs/>
          <w:lang w:eastAsia="pt-BR"/>
        </w:rPr>
        <w:t>1</w:t>
      </w:r>
      <w:r w:rsidR="00C3574D">
        <w:rPr>
          <w:rFonts w:eastAsia="Times New Roman" w:cstheme="minorHAnsi"/>
          <w:b/>
          <w:bCs/>
          <w:lang w:eastAsia="pt-BR"/>
        </w:rPr>
        <w:t>6</w:t>
      </w:r>
      <w:r w:rsidR="00007B46">
        <w:rPr>
          <w:rFonts w:eastAsia="Times New Roman" w:cstheme="minorHAnsi"/>
          <w:b/>
          <w:bCs/>
          <w:lang w:eastAsia="pt-BR"/>
        </w:rPr>
        <w:t xml:space="preserve"> de </w:t>
      </w:r>
      <w:r w:rsidR="001911CA">
        <w:rPr>
          <w:rFonts w:eastAsia="Times New Roman" w:cstheme="minorHAnsi"/>
          <w:b/>
          <w:bCs/>
          <w:lang w:eastAsia="pt-BR"/>
        </w:rPr>
        <w:t>abril</w:t>
      </w:r>
      <w:r w:rsidR="00007B46">
        <w:rPr>
          <w:rFonts w:eastAsia="Times New Roman" w:cstheme="minorHAnsi"/>
          <w:b/>
          <w:bCs/>
          <w:lang w:eastAsia="pt-BR"/>
        </w:rPr>
        <w:t xml:space="preserve"> de 202</w:t>
      </w:r>
      <w:r w:rsidR="001911CA">
        <w:rPr>
          <w:rFonts w:eastAsia="Times New Roman" w:cstheme="minorHAnsi"/>
          <w:b/>
          <w:bCs/>
          <w:lang w:eastAsia="pt-BR"/>
        </w:rPr>
        <w:t>6</w:t>
      </w:r>
      <w:r w:rsidR="00007B46">
        <w:rPr>
          <w:rFonts w:eastAsia="Times New Roman" w:cstheme="minorHAnsi"/>
          <w:b/>
          <w:bCs/>
          <w:lang w:eastAsia="pt-BR"/>
        </w:rPr>
        <w:t>.</w:t>
      </w:r>
    </w:p>
    <w:p w14:paraId="3936BFC1" w14:textId="77777777" w:rsidR="00EB2BC7" w:rsidRPr="00EB2BC7" w:rsidRDefault="00EB2BC7" w:rsidP="001911CA">
      <w:pPr>
        <w:widowControl w:val="0"/>
        <w:spacing w:after="0"/>
        <w:jc w:val="center"/>
        <w:rPr>
          <w:rFonts w:eastAsia="Times New Roman" w:cstheme="minorHAnsi"/>
          <w:lang w:eastAsia="pt-BR"/>
        </w:rPr>
      </w:pPr>
      <w:r w:rsidRPr="00EB2BC7">
        <w:rPr>
          <w:rFonts w:eastAsia="Times New Roman" w:cstheme="minorHAnsi"/>
          <w:b/>
          <w:bCs/>
          <w:lang w:eastAsia="pt-BR"/>
        </w:rPr>
        <w:t>Equipe de Elaboração:</w:t>
      </w:r>
    </w:p>
    <w:p w14:paraId="0467201D" w14:textId="2EAE0D0B" w:rsidR="00EB2BC7" w:rsidRDefault="00EB2BC7" w:rsidP="00EB2BC7">
      <w:pPr>
        <w:widowControl w:val="0"/>
        <w:spacing w:after="0"/>
        <w:jc w:val="both"/>
        <w:rPr>
          <w:rFonts w:eastAsia="Times New Roman" w:cstheme="minorHAnsi"/>
          <w:lang w:eastAsia="pt-BR"/>
        </w:rPr>
      </w:pPr>
    </w:p>
    <w:p w14:paraId="64278F2C" w14:textId="77777777" w:rsidR="001911CA" w:rsidRPr="00EB2BC7" w:rsidRDefault="001911CA" w:rsidP="00EB2BC7">
      <w:pPr>
        <w:widowControl w:val="0"/>
        <w:spacing w:after="0"/>
        <w:jc w:val="both"/>
        <w:rPr>
          <w:rFonts w:eastAsia="Times New Roman" w:cstheme="minorHAnsi"/>
          <w:lang w:eastAsia="pt-BR"/>
        </w:rPr>
      </w:pPr>
    </w:p>
    <w:p w14:paraId="5F3F13DE" w14:textId="77777777" w:rsidR="001911CA" w:rsidRDefault="00B50F69" w:rsidP="001911CA">
      <w:pPr>
        <w:widowControl w:val="0"/>
        <w:spacing w:after="0"/>
        <w:jc w:val="center"/>
        <w:rPr>
          <w:rFonts w:eastAsia="Times New Roman" w:cstheme="minorHAnsi"/>
          <w:lang w:eastAsia="pt-BR"/>
        </w:rPr>
      </w:pPr>
      <w:r>
        <w:rPr>
          <w:rFonts w:eastAsia="Times New Roman" w:cstheme="minorHAnsi"/>
          <w:b/>
          <w:bCs/>
          <w:lang w:eastAsia="pt-BR"/>
        </w:rPr>
        <w:t xml:space="preserve">Cleuza Castro de Jesus </w:t>
      </w:r>
      <w:r w:rsidR="00EB2BC7" w:rsidRPr="00EB2BC7">
        <w:rPr>
          <w:rFonts w:eastAsia="Times New Roman" w:cstheme="minorHAnsi"/>
          <w:lang w:eastAsia="pt-BR"/>
        </w:rPr>
        <w:t xml:space="preserve"> </w:t>
      </w:r>
    </w:p>
    <w:p w14:paraId="0347B994" w14:textId="028263E6" w:rsidR="00EB2BC7" w:rsidRPr="00EB2BC7" w:rsidRDefault="00EB2BC7" w:rsidP="001911CA">
      <w:pPr>
        <w:widowControl w:val="0"/>
        <w:spacing w:after="0"/>
        <w:jc w:val="center"/>
        <w:rPr>
          <w:rFonts w:eastAsia="Times New Roman" w:cstheme="minorHAnsi"/>
          <w:lang w:eastAsia="pt-BR"/>
        </w:rPr>
      </w:pPr>
      <w:r w:rsidRPr="00EB2BC7">
        <w:rPr>
          <w:rFonts w:eastAsia="Times New Roman" w:cstheme="minorHAnsi"/>
          <w:lang w:eastAsia="pt-BR"/>
        </w:rPr>
        <w:t xml:space="preserve">Matrícula: </w:t>
      </w:r>
      <w:r w:rsidR="00B50F69">
        <w:rPr>
          <w:rFonts w:eastAsia="Times New Roman" w:cstheme="minorHAnsi"/>
          <w:lang w:eastAsia="pt-BR"/>
        </w:rPr>
        <w:t>15.211-1</w:t>
      </w:r>
    </w:p>
    <w:p w14:paraId="71A7095A" w14:textId="663724AD" w:rsidR="00EB2BC7" w:rsidRDefault="00EB2BC7" w:rsidP="001911CA">
      <w:pPr>
        <w:widowControl w:val="0"/>
        <w:spacing w:after="0"/>
        <w:jc w:val="center"/>
        <w:rPr>
          <w:rFonts w:eastAsia="Times New Roman" w:cstheme="minorHAnsi"/>
          <w:lang w:eastAsia="pt-BR"/>
        </w:rPr>
      </w:pPr>
    </w:p>
    <w:p w14:paraId="5EDDEAB7" w14:textId="77777777" w:rsidR="001911CA" w:rsidRPr="00EB2BC7" w:rsidRDefault="001911CA" w:rsidP="001911CA">
      <w:pPr>
        <w:widowControl w:val="0"/>
        <w:spacing w:after="0"/>
        <w:jc w:val="center"/>
        <w:rPr>
          <w:rFonts w:eastAsia="Times New Roman" w:cstheme="minorHAnsi"/>
          <w:lang w:eastAsia="pt-BR"/>
        </w:rPr>
      </w:pPr>
    </w:p>
    <w:p w14:paraId="5C8216D2" w14:textId="77777777" w:rsidR="001911CA" w:rsidRDefault="00B50F69" w:rsidP="001911CA">
      <w:pPr>
        <w:widowControl w:val="0"/>
        <w:spacing w:after="0"/>
        <w:jc w:val="center"/>
        <w:rPr>
          <w:rFonts w:eastAsia="Times New Roman" w:cstheme="minorHAnsi"/>
          <w:lang w:eastAsia="pt-BR"/>
        </w:rPr>
      </w:pPr>
      <w:r>
        <w:rPr>
          <w:rFonts w:eastAsia="Times New Roman" w:cstheme="minorHAnsi"/>
          <w:b/>
          <w:bCs/>
          <w:lang w:eastAsia="pt-BR"/>
        </w:rPr>
        <w:t>André Faust</w:t>
      </w:r>
      <w:r w:rsidR="00EB2BC7" w:rsidRPr="00EB2BC7">
        <w:rPr>
          <w:rFonts w:eastAsia="Times New Roman" w:cstheme="minorHAnsi"/>
          <w:lang w:eastAsia="pt-BR"/>
        </w:rPr>
        <w:t xml:space="preserve"> </w:t>
      </w:r>
    </w:p>
    <w:p w14:paraId="301EB071" w14:textId="11EA1707" w:rsidR="00EB2BC7" w:rsidRPr="00EB2BC7" w:rsidRDefault="00EB2BC7" w:rsidP="001911CA">
      <w:pPr>
        <w:widowControl w:val="0"/>
        <w:spacing w:after="0"/>
        <w:jc w:val="center"/>
        <w:rPr>
          <w:rFonts w:eastAsia="Times New Roman" w:cstheme="minorHAnsi"/>
          <w:lang w:eastAsia="pt-BR"/>
        </w:rPr>
      </w:pPr>
      <w:r w:rsidRPr="00EB2BC7">
        <w:rPr>
          <w:rFonts w:eastAsia="Times New Roman" w:cstheme="minorHAnsi"/>
          <w:lang w:eastAsia="pt-BR"/>
        </w:rPr>
        <w:t xml:space="preserve">Matrícula: </w:t>
      </w:r>
      <w:r w:rsidR="00B50F69">
        <w:rPr>
          <w:rFonts w:eastAsia="Times New Roman" w:cstheme="minorHAnsi"/>
          <w:lang w:eastAsia="pt-BR"/>
        </w:rPr>
        <w:t>142.381-01</w:t>
      </w:r>
    </w:p>
    <w:p w14:paraId="2463BB70" w14:textId="6C86FE33" w:rsidR="00EB2BC7" w:rsidRPr="00EB2BC7" w:rsidRDefault="00EB2BC7" w:rsidP="00EB2BC7">
      <w:pPr>
        <w:widowControl w:val="0"/>
        <w:spacing w:after="0"/>
        <w:jc w:val="both"/>
        <w:rPr>
          <w:rFonts w:eastAsia="Times New Roman" w:cstheme="minorHAnsi"/>
          <w:lang w:eastAsia="pt-BR"/>
        </w:rPr>
      </w:pPr>
    </w:p>
    <w:sectPr w:rsidR="00EB2BC7" w:rsidRPr="00EB2BC7" w:rsidSect="001911CA">
      <w:headerReference w:type="default" r:id="rId9"/>
      <w:endnotePr>
        <w:numFmt w:val="decimal"/>
      </w:endnotePr>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CFC49" w14:textId="77777777" w:rsidR="00E34009" w:rsidRDefault="00E34009" w:rsidP="002823B1">
      <w:pPr>
        <w:spacing w:after="0" w:line="240" w:lineRule="auto"/>
      </w:pPr>
      <w:r>
        <w:separator/>
      </w:r>
    </w:p>
  </w:endnote>
  <w:endnote w:type="continuationSeparator" w:id="0">
    <w:p w14:paraId="46AFE89D" w14:textId="77777777" w:rsidR="00E34009" w:rsidRDefault="00E34009"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819DC" w14:textId="77777777" w:rsidR="00E34009" w:rsidRDefault="00E34009" w:rsidP="002823B1">
      <w:pPr>
        <w:spacing w:after="0" w:line="240" w:lineRule="auto"/>
      </w:pPr>
      <w:r>
        <w:separator/>
      </w:r>
    </w:p>
  </w:footnote>
  <w:footnote w:type="continuationSeparator" w:id="0">
    <w:p w14:paraId="14543E56" w14:textId="77777777" w:rsidR="00E34009" w:rsidRDefault="00E34009"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0DD98732" w14:textId="77777777" w:rsidTr="00285B0A">
      <w:tc>
        <w:tcPr>
          <w:tcW w:w="1483" w:type="dxa"/>
        </w:tcPr>
        <w:p w14:paraId="73D174C7" w14:textId="77777777" w:rsidR="005C620C" w:rsidRDefault="005C620C" w:rsidP="00A8039A">
          <w:pPr>
            <w:rPr>
              <w:b/>
            </w:rPr>
          </w:pPr>
          <w:r w:rsidRPr="00A16EED">
            <w:rPr>
              <w:b/>
              <w:noProof/>
              <w:lang w:eastAsia="pt-BR"/>
            </w:rPr>
            <w:drawing>
              <wp:inline distT="0" distB="0" distL="0" distR="0" wp14:anchorId="031A345B" wp14:editId="1F5735B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4579E81C"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70CA50B6" w14:textId="77777777" w:rsidR="005C620C" w:rsidRPr="004E5AE2" w:rsidRDefault="005C620C" w:rsidP="00A8039A">
          <w:pPr>
            <w:pStyle w:val="Cabealho"/>
            <w:ind w:right="360" w:firstLine="34"/>
            <w:jc w:val="center"/>
            <w:rPr>
              <w:b/>
            </w:rPr>
          </w:pPr>
          <w:r w:rsidRPr="004E5AE2">
            <w:rPr>
              <w:b/>
            </w:rPr>
            <w:t>Estado do Paraná</w:t>
          </w:r>
        </w:p>
        <w:p w14:paraId="1C874E74"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6D242E7A"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D31BE"/>
    <w:multiLevelType w:val="multilevel"/>
    <w:tmpl w:val="1F6A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C2426"/>
    <w:multiLevelType w:val="hybridMultilevel"/>
    <w:tmpl w:val="0BD2BD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2B81C98"/>
    <w:multiLevelType w:val="multilevel"/>
    <w:tmpl w:val="D124C9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E22201"/>
    <w:multiLevelType w:val="multilevel"/>
    <w:tmpl w:val="7E1C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460230"/>
    <w:multiLevelType w:val="multilevel"/>
    <w:tmpl w:val="2116B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B0EA8"/>
    <w:multiLevelType w:val="multilevel"/>
    <w:tmpl w:val="E474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E77799"/>
    <w:multiLevelType w:val="multilevel"/>
    <w:tmpl w:val="0FE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7651D"/>
    <w:multiLevelType w:val="multilevel"/>
    <w:tmpl w:val="C354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262BFD"/>
    <w:multiLevelType w:val="multilevel"/>
    <w:tmpl w:val="A6EE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16EA"/>
    <w:multiLevelType w:val="multilevel"/>
    <w:tmpl w:val="6FE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CB3D8D"/>
    <w:multiLevelType w:val="multilevel"/>
    <w:tmpl w:val="FEF8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A6527A"/>
    <w:multiLevelType w:val="multilevel"/>
    <w:tmpl w:val="955A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36576A"/>
    <w:multiLevelType w:val="multilevel"/>
    <w:tmpl w:val="9140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400B6"/>
    <w:multiLevelType w:val="multilevel"/>
    <w:tmpl w:val="E49A76D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16" w15:restartNumberingAfterBreak="0">
    <w:nsid w:val="4C8137F1"/>
    <w:multiLevelType w:val="multilevel"/>
    <w:tmpl w:val="8BF0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8A4F38"/>
    <w:multiLevelType w:val="multilevel"/>
    <w:tmpl w:val="E23A6B8C"/>
    <w:lvl w:ilvl="0">
      <w:start w:val="1"/>
      <w:numFmt w:val="decimal"/>
      <w:lvlText w:val="%1."/>
      <w:lvlJc w:val="left"/>
      <w:pPr>
        <w:ind w:left="360" w:hanging="360"/>
      </w:pPr>
      <w:rPr>
        <w:rFonts w:hint="default"/>
        <w:b/>
        <w:bCs w:val="0"/>
      </w:rPr>
    </w:lvl>
    <w:lvl w:ilvl="1">
      <w:start w:val="1"/>
      <w:numFmt w:val="decimal"/>
      <w:lvlText w:val="%1.%2."/>
      <w:lvlJc w:val="left"/>
      <w:pPr>
        <w:ind w:left="3693" w:hanging="432"/>
      </w:pPr>
      <w:rPr>
        <w:rFonts w:hint="default"/>
        <w:b/>
        <w:bCs w:val="0"/>
      </w:rPr>
    </w:lvl>
    <w:lvl w:ilvl="2">
      <w:start w:val="1"/>
      <w:numFmt w:val="decimal"/>
      <w:lvlText w:val="%1.%2.%3."/>
      <w:lvlJc w:val="left"/>
      <w:pPr>
        <w:ind w:left="3623"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C97686F"/>
    <w:multiLevelType w:val="multilevel"/>
    <w:tmpl w:val="9094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C13F2B"/>
    <w:multiLevelType w:val="multilevel"/>
    <w:tmpl w:val="086E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FE00E7"/>
    <w:multiLevelType w:val="multilevel"/>
    <w:tmpl w:val="BA36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BF149E"/>
    <w:multiLevelType w:val="multilevel"/>
    <w:tmpl w:val="42AC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031179"/>
    <w:multiLevelType w:val="multilevel"/>
    <w:tmpl w:val="DE92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442831"/>
    <w:multiLevelType w:val="multilevel"/>
    <w:tmpl w:val="5966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654BBA"/>
    <w:multiLevelType w:val="multilevel"/>
    <w:tmpl w:val="AE9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99242">
    <w:abstractNumId w:val="6"/>
  </w:num>
  <w:num w:numId="2" w16cid:durableId="1614826844">
    <w:abstractNumId w:val="0"/>
  </w:num>
  <w:num w:numId="3" w16cid:durableId="1995139828">
    <w:abstractNumId w:val="20"/>
  </w:num>
  <w:num w:numId="4" w16cid:durableId="1071850658">
    <w:abstractNumId w:val="21"/>
  </w:num>
  <w:num w:numId="5" w16cid:durableId="1299410068">
    <w:abstractNumId w:val="22"/>
  </w:num>
  <w:num w:numId="6" w16cid:durableId="688793206">
    <w:abstractNumId w:val="5"/>
  </w:num>
  <w:num w:numId="7" w16cid:durableId="674184079">
    <w:abstractNumId w:val="18"/>
  </w:num>
  <w:num w:numId="8" w16cid:durableId="873422782">
    <w:abstractNumId w:val="10"/>
  </w:num>
  <w:num w:numId="9" w16cid:durableId="1496536082">
    <w:abstractNumId w:val="16"/>
  </w:num>
  <w:num w:numId="10" w16cid:durableId="1231117838">
    <w:abstractNumId w:val="7"/>
  </w:num>
  <w:num w:numId="11" w16cid:durableId="54549623">
    <w:abstractNumId w:val="24"/>
  </w:num>
  <w:num w:numId="12" w16cid:durableId="581108949">
    <w:abstractNumId w:val="1"/>
  </w:num>
  <w:num w:numId="13" w16cid:durableId="257446400">
    <w:abstractNumId w:val="13"/>
  </w:num>
  <w:num w:numId="14" w16cid:durableId="680818472">
    <w:abstractNumId w:val="19"/>
  </w:num>
  <w:num w:numId="15" w16cid:durableId="927693611">
    <w:abstractNumId w:val="14"/>
  </w:num>
  <w:num w:numId="16" w16cid:durableId="1692954935">
    <w:abstractNumId w:val="25"/>
  </w:num>
  <w:num w:numId="17" w16cid:durableId="1727995339">
    <w:abstractNumId w:val="3"/>
  </w:num>
  <w:num w:numId="18" w16cid:durableId="661935138">
    <w:abstractNumId w:val="4"/>
  </w:num>
  <w:num w:numId="19" w16cid:durableId="1088381249">
    <w:abstractNumId w:val="9"/>
  </w:num>
  <w:num w:numId="20" w16cid:durableId="354577256">
    <w:abstractNumId w:val="11"/>
  </w:num>
  <w:num w:numId="21" w16cid:durableId="1102072536">
    <w:abstractNumId w:val="8"/>
  </w:num>
  <w:num w:numId="22" w16cid:durableId="1022709025">
    <w:abstractNumId w:val="23"/>
  </w:num>
  <w:num w:numId="23" w16cid:durableId="198475732">
    <w:abstractNumId w:val="12"/>
  </w:num>
  <w:num w:numId="24" w16cid:durableId="2078819155">
    <w:abstractNumId w:val="15"/>
  </w:num>
  <w:num w:numId="25" w16cid:durableId="46610173">
    <w:abstractNumId w:val="17"/>
  </w:num>
  <w:num w:numId="26" w16cid:durableId="934047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72"/>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07B46"/>
    <w:rsid w:val="00045617"/>
    <w:rsid w:val="000572D4"/>
    <w:rsid w:val="00067C15"/>
    <w:rsid w:val="00070961"/>
    <w:rsid w:val="000B43C4"/>
    <w:rsid w:val="000B4F53"/>
    <w:rsid w:val="000C2590"/>
    <w:rsid w:val="000C4E3A"/>
    <w:rsid w:val="000D7E9D"/>
    <w:rsid w:val="000F53B4"/>
    <w:rsid w:val="001007EC"/>
    <w:rsid w:val="00101CEF"/>
    <w:rsid w:val="001073C7"/>
    <w:rsid w:val="00117B7D"/>
    <w:rsid w:val="0012232B"/>
    <w:rsid w:val="001463C6"/>
    <w:rsid w:val="00165121"/>
    <w:rsid w:val="0017344C"/>
    <w:rsid w:val="00174FB0"/>
    <w:rsid w:val="001871F3"/>
    <w:rsid w:val="001911CA"/>
    <w:rsid w:val="001A5C65"/>
    <w:rsid w:val="001C70D4"/>
    <w:rsid w:val="001F4F70"/>
    <w:rsid w:val="00202BED"/>
    <w:rsid w:val="00206B90"/>
    <w:rsid w:val="0025492F"/>
    <w:rsid w:val="00254A2D"/>
    <w:rsid w:val="00260C0B"/>
    <w:rsid w:val="00267072"/>
    <w:rsid w:val="002736B6"/>
    <w:rsid w:val="002823B1"/>
    <w:rsid w:val="00285B0A"/>
    <w:rsid w:val="002A6505"/>
    <w:rsid w:val="002C29E4"/>
    <w:rsid w:val="002E1307"/>
    <w:rsid w:val="002E1656"/>
    <w:rsid w:val="002F2137"/>
    <w:rsid w:val="002F505A"/>
    <w:rsid w:val="00313E2D"/>
    <w:rsid w:val="00341A20"/>
    <w:rsid w:val="00342596"/>
    <w:rsid w:val="003703EF"/>
    <w:rsid w:val="00390483"/>
    <w:rsid w:val="00393223"/>
    <w:rsid w:val="003B6B35"/>
    <w:rsid w:val="003E2D5B"/>
    <w:rsid w:val="003F430C"/>
    <w:rsid w:val="003F482F"/>
    <w:rsid w:val="00403FBF"/>
    <w:rsid w:val="00415567"/>
    <w:rsid w:val="00417E8D"/>
    <w:rsid w:val="00426B50"/>
    <w:rsid w:val="00434007"/>
    <w:rsid w:val="004359BF"/>
    <w:rsid w:val="004649EE"/>
    <w:rsid w:val="00476364"/>
    <w:rsid w:val="004768FB"/>
    <w:rsid w:val="00497763"/>
    <w:rsid w:val="004A51A3"/>
    <w:rsid w:val="004C3258"/>
    <w:rsid w:val="004C47B6"/>
    <w:rsid w:val="004C518F"/>
    <w:rsid w:val="004C763E"/>
    <w:rsid w:val="004F5E02"/>
    <w:rsid w:val="005260E8"/>
    <w:rsid w:val="00535A82"/>
    <w:rsid w:val="00536DE0"/>
    <w:rsid w:val="005516C9"/>
    <w:rsid w:val="005566DE"/>
    <w:rsid w:val="00562917"/>
    <w:rsid w:val="0056644B"/>
    <w:rsid w:val="00574ABC"/>
    <w:rsid w:val="00590A0F"/>
    <w:rsid w:val="00596624"/>
    <w:rsid w:val="005A1822"/>
    <w:rsid w:val="005A6CE5"/>
    <w:rsid w:val="005C620C"/>
    <w:rsid w:val="005C65AE"/>
    <w:rsid w:val="005F61EE"/>
    <w:rsid w:val="006006C7"/>
    <w:rsid w:val="00624C67"/>
    <w:rsid w:val="00625C20"/>
    <w:rsid w:val="00634D8F"/>
    <w:rsid w:val="00642DFD"/>
    <w:rsid w:val="006D6BB1"/>
    <w:rsid w:val="0070415B"/>
    <w:rsid w:val="007303F3"/>
    <w:rsid w:val="00744A50"/>
    <w:rsid w:val="00745D24"/>
    <w:rsid w:val="00746A27"/>
    <w:rsid w:val="007555BF"/>
    <w:rsid w:val="00756B82"/>
    <w:rsid w:val="0078449E"/>
    <w:rsid w:val="007A0AD0"/>
    <w:rsid w:val="007A4A94"/>
    <w:rsid w:val="007B0327"/>
    <w:rsid w:val="007C021F"/>
    <w:rsid w:val="007F49CE"/>
    <w:rsid w:val="007F5953"/>
    <w:rsid w:val="00813667"/>
    <w:rsid w:val="00813EE2"/>
    <w:rsid w:val="00820F7B"/>
    <w:rsid w:val="00826C41"/>
    <w:rsid w:val="00831F9A"/>
    <w:rsid w:val="00883AA3"/>
    <w:rsid w:val="00890A36"/>
    <w:rsid w:val="00896656"/>
    <w:rsid w:val="008A5431"/>
    <w:rsid w:val="008C1ABF"/>
    <w:rsid w:val="008D46B2"/>
    <w:rsid w:val="008E79ED"/>
    <w:rsid w:val="00907673"/>
    <w:rsid w:val="00934432"/>
    <w:rsid w:val="00963B94"/>
    <w:rsid w:val="00983936"/>
    <w:rsid w:val="00984F4F"/>
    <w:rsid w:val="009960C7"/>
    <w:rsid w:val="009B548A"/>
    <w:rsid w:val="009B5A7F"/>
    <w:rsid w:val="009E0855"/>
    <w:rsid w:val="009F6F86"/>
    <w:rsid w:val="00A2267D"/>
    <w:rsid w:val="00A3350C"/>
    <w:rsid w:val="00A36B00"/>
    <w:rsid w:val="00A45CF1"/>
    <w:rsid w:val="00A62D39"/>
    <w:rsid w:val="00A67015"/>
    <w:rsid w:val="00A71261"/>
    <w:rsid w:val="00A7784A"/>
    <w:rsid w:val="00A80330"/>
    <w:rsid w:val="00A81629"/>
    <w:rsid w:val="00AA1B84"/>
    <w:rsid w:val="00AA49ED"/>
    <w:rsid w:val="00AA5C41"/>
    <w:rsid w:val="00AB32D4"/>
    <w:rsid w:val="00AC35CA"/>
    <w:rsid w:val="00AC4B9D"/>
    <w:rsid w:val="00AE533B"/>
    <w:rsid w:val="00AF683F"/>
    <w:rsid w:val="00B00A47"/>
    <w:rsid w:val="00B150EC"/>
    <w:rsid w:val="00B16AD0"/>
    <w:rsid w:val="00B41752"/>
    <w:rsid w:val="00B50D62"/>
    <w:rsid w:val="00B50F69"/>
    <w:rsid w:val="00B80628"/>
    <w:rsid w:val="00BA1C27"/>
    <w:rsid w:val="00BA6849"/>
    <w:rsid w:val="00BA714F"/>
    <w:rsid w:val="00BB6B80"/>
    <w:rsid w:val="00BC3BAB"/>
    <w:rsid w:val="00BE3F93"/>
    <w:rsid w:val="00BF2D9B"/>
    <w:rsid w:val="00C128DC"/>
    <w:rsid w:val="00C137B0"/>
    <w:rsid w:val="00C27EBF"/>
    <w:rsid w:val="00C331C8"/>
    <w:rsid w:val="00C3574D"/>
    <w:rsid w:val="00C71AB4"/>
    <w:rsid w:val="00C77C92"/>
    <w:rsid w:val="00C82A52"/>
    <w:rsid w:val="00C8738F"/>
    <w:rsid w:val="00C962CB"/>
    <w:rsid w:val="00CF71B3"/>
    <w:rsid w:val="00D019A8"/>
    <w:rsid w:val="00D05532"/>
    <w:rsid w:val="00D20CF0"/>
    <w:rsid w:val="00D26D87"/>
    <w:rsid w:val="00D27088"/>
    <w:rsid w:val="00D315F3"/>
    <w:rsid w:val="00D44D6D"/>
    <w:rsid w:val="00D46252"/>
    <w:rsid w:val="00D55925"/>
    <w:rsid w:val="00D903CB"/>
    <w:rsid w:val="00D9647B"/>
    <w:rsid w:val="00D96C27"/>
    <w:rsid w:val="00DB0BD2"/>
    <w:rsid w:val="00DB1C70"/>
    <w:rsid w:val="00DB6698"/>
    <w:rsid w:val="00DD0EE1"/>
    <w:rsid w:val="00DD1C90"/>
    <w:rsid w:val="00DD2537"/>
    <w:rsid w:val="00DD3A5F"/>
    <w:rsid w:val="00DE2E44"/>
    <w:rsid w:val="00DF1BF7"/>
    <w:rsid w:val="00E02BE2"/>
    <w:rsid w:val="00E06423"/>
    <w:rsid w:val="00E12992"/>
    <w:rsid w:val="00E23719"/>
    <w:rsid w:val="00E34009"/>
    <w:rsid w:val="00E46AF1"/>
    <w:rsid w:val="00E55240"/>
    <w:rsid w:val="00E60EE3"/>
    <w:rsid w:val="00E638E4"/>
    <w:rsid w:val="00E65FB3"/>
    <w:rsid w:val="00E84BFB"/>
    <w:rsid w:val="00E8782D"/>
    <w:rsid w:val="00E90D31"/>
    <w:rsid w:val="00EB2BC7"/>
    <w:rsid w:val="00EB4146"/>
    <w:rsid w:val="00EB5CAC"/>
    <w:rsid w:val="00EB5E08"/>
    <w:rsid w:val="00EE06F8"/>
    <w:rsid w:val="00EE3169"/>
    <w:rsid w:val="00F31193"/>
    <w:rsid w:val="00F82599"/>
    <w:rsid w:val="00F86232"/>
    <w:rsid w:val="00F87E29"/>
    <w:rsid w:val="00F97F2E"/>
    <w:rsid w:val="00FA03F4"/>
    <w:rsid w:val="00FA0A1C"/>
    <w:rsid w:val="00FB461E"/>
    <w:rsid w:val="00FD6320"/>
    <w:rsid w:val="00FE11E7"/>
    <w:rsid w:val="00FE5ED2"/>
    <w:rsid w:val="00FF65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2"/>
    </o:shapelayout>
  </w:shapeDefaults>
  <w:decimalSymbol w:val=","/>
  <w:listSeparator w:val=";"/>
  <w14:docId w14:val="1F254571"/>
  <w15:docId w15:val="{273FD711-EE59-4A70-BA64-7B4D7866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styleId="nfase">
    <w:name w:val="Emphasis"/>
    <w:basedOn w:val="Fontepargpadro"/>
    <w:uiPriority w:val="20"/>
    <w:qFormat/>
    <w:rsid w:val="00EE06F8"/>
    <w:rPr>
      <w:i/>
      <w:iCs/>
    </w:rPr>
  </w:style>
  <w:style w:type="paragraph" w:styleId="PargrafodaLista">
    <w:name w:val="List Paragraph"/>
    <w:basedOn w:val="Normal"/>
    <w:uiPriority w:val="1"/>
    <w:qFormat/>
    <w:rsid w:val="009F6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92555952">
      <w:bodyDiv w:val="1"/>
      <w:marLeft w:val="0"/>
      <w:marRight w:val="0"/>
      <w:marTop w:val="0"/>
      <w:marBottom w:val="0"/>
      <w:divBdr>
        <w:top w:val="none" w:sz="0" w:space="0" w:color="auto"/>
        <w:left w:val="none" w:sz="0" w:space="0" w:color="auto"/>
        <w:bottom w:val="none" w:sz="0" w:space="0" w:color="auto"/>
        <w:right w:val="none" w:sz="0" w:space="0" w:color="auto"/>
      </w:divBdr>
    </w:div>
    <w:div w:id="121770888">
      <w:bodyDiv w:val="1"/>
      <w:marLeft w:val="0"/>
      <w:marRight w:val="0"/>
      <w:marTop w:val="0"/>
      <w:marBottom w:val="0"/>
      <w:divBdr>
        <w:top w:val="none" w:sz="0" w:space="0" w:color="auto"/>
        <w:left w:val="none" w:sz="0" w:space="0" w:color="auto"/>
        <w:bottom w:val="none" w:sz="0" w:space="0" w:color="auto"/>
        <w:right w:val="none" w:sz="0" w:space="0" w:color="auto"/>
      </w:divBdr>
      <w:divsChild>
        <w:div w:id="1821654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7876">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89854289">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1BBB5-140A-4151-8BDB-5D3A71EEF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12</Pages>
  <Words>4948</Words>
  <Characters>26720</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 SAS</dc:creator>
  <cp:lastModifiedBy>User</cp:lastModifiedBy>
  <cp:revision>73</cp:revision>
  <dcterms:created xsi:type="dcterms:W3CDTF">2025-07-31T12:09:00Z</dcterms:created>
  <dcterms:modified xsi:type="dcterms:W3CDTF">2026-05-01T14:19:00Z</dcterms:modified>
</cp:coreProperties>
</file>