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header4.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left"/>
        <w:rPr>
          <w:lang w:val="pt-BR"/>
        </w:rPr>
      </w:pPr>
      <w:r>
        <w:rPr>
          <w:rFonts w:ascii="Arial" w:hAnsi="Arial"/>
          <w:b/>
          <w:sz w:val="21"/>
          <w:szCs w:val="21"/>
          <w:lang w:val="pt-BR"/>
        </w:rPr>
        <w:t>PROCESSO LICITATÓRIO Nº 87/2024</w:t>
      </w:r>
    </w:p>
    <w:p>
      <w:pPr>
        <w:pStyle w:val="Normal"/>
        <w:spacing w:lineRule="auto" w:line="276" w:before="0" w:after="0"/>
        <w:jc w:val="left"/>
        <w:rPr>
          <w:lang w:val="pt-BR"/>
        </w:rPr>
      </w:pPr>
      <w:r>
        <w:rPr>
          <w:rFonts w:ascii="Arial" w:hAnsi="Arial"/>
          <w:b/>
          <w:sz w:val="21"/>
          <w:szCs w:val="21"/>
          <w:lang w:val="pt-BR"/>
        </w:rPr>
        <w:t>DISPENSA DE LICITAÇÃO Nº 58/2024</w:t>
      </w:r>
    </w:p>
    <w:p>
      <w:pPr>
        <w:pStyle w:val="Corpodotexto"/>
        <w:spacing w:lineRule="auto" w:line="360" w:before="0" w:after="0"/>
        <w:jc w:val="center"/>
        <w:rPr>
          <w:rFonts w:ascii="Arial" w:hAnsi="Arial"/>
          <w:b/>
          <w:b/>
          <w:sz w:val="21"/>
          <w:szCs w:val="21"/>
        </w:rPr>
      </w:pPr>
      <w:r>
        <w:rPr>
          <w:rFonts w:ascii="Arial" w:hAnsi="Arial"/>
          <w:b/>
          <w:sz w:val="21"/>
          <w:szCs w:val="21"/>
        </w:rPr>
      </w:r>
    </w:p>
    <w:p>
      <w:pPr>
        <w:pStyle w:val="Corpodotexto"/>
        <w:spacing w:lineRule="auto" w:line="360" w:before="0" w:after="0"/>
        <w:jc w:val="center"/>
        <w:rPr>
          <w:rFonts w:ascii="Arial" w:hAnsi="Arial"/>
          <w:b/>
          <w:b/>
          <w:sz w:val="21"/>
          <w:szCs w:val="21"/>
        </w:rPr>
      </w:pPr>
      <w:r>
        <w:rPr>
          <w:rFonts w:ascii="Arial" w:hAnsi="Arial"/>
          <w:b/>
          <w:sz w:val="21"/>
          <w:szCs w:val="21"/>
        </w:rPr>
      </w:r>
    </w:p>
    <w:p>
      <w:pPr>
        <w:pStyle w:val="Corpodotexto"/>
        <w:spacing w:lineRule="auto" w:line="360" w:before="0" w:after="0"/>
        <w:jc w:val="center"/>
        <w:rPr>
          <w:lang w:val="pt-BR"/>
        </w:rPr>
      </w:pPr>
      <w:r>
        <w:rPr>
          <w:rFonts w:ascii="Arial" w:hAnsi="Arial"/>
          <w:b/>
          <w:sz w:val="21"/>
          <w:szCs w:val="21"/>
          <w:lang w:val="pt-BR"/>
        </w:rPr>
        <w:t>DIVULGAÇÃO DE DISPENSA DE LICITAÇÃO</w:t>
      </w:r>
    </w:p>
    <w:p>
      <w:pPr>
        <w:pStyle w:val="Normal"/>
        <w:spacing w:lineRule="auto" w:line="360" w:before="0" w:after="0"/>
        <w:jc w:val="center"/>
        <w:rPr>
          <w:rFonts w:ascii="Arial" w:hAnsi="Arial"/>
          <w:b/>
          <w:b/>
          <w:sz w:val="21"/>
          <w:szCs w:val="21"/>
        </w:rPr>
      </w:pPr>
      <w:r>
        <w:rPr>
          <w:rFonts w:ascii="Arial" w:hAnsi="Arial"/>
          <w:b/>
          <w:sz w:val="21"/>
          <w:szCs w:val="21"/>
        </w:rPr>
      </w:r>
    </w:p>
    <w:p>
      <w:pPr>
        <w:pStyle w:val="Normal"/>
        <w:spacing w:lineRule="auto" w:line="360" w:before="0" w:after="0"/>
        <w:jc w:val="both"/>
        <w:rPr>
          <w:rFonts w:ascii="Arial" w:hAnsi="Arial"/>
          <w:bCs/>
          <w:iCs/>
          <w:sz w:val="21"/>
          <w:szCs w:val="21"/>
          <w:lang w:val="pt-BR"/>
        </w:rPr>
      </w:pPr>
      <w:r>
        <w:rPr>
          <w:rFonts w:ascii="Arial" w:hAnsi="Arial"/>
          <w:bCs/>
          <w:iCs/>
          <w:sz w:val="21"/>
          <w:szCs w:val="21"/>
          <w:lang w:val="pt-BR"/>
        </w:rPr>
      </w:r>
    </w:p>
    <w:p>
      <w:pPr>
        <w:pStyle w:val="Normal"/>
        <w:spacing w:lineRule="auto" w:line="360" w:before="0" w:after="0"/>
        <w:jc w:val="both"/>
        <w:rPr>
          <w:lang w:val="pt-BR"/>
        </w:rPr>
      </w:pPr>
      <w:r>
        <w:rPr>
          <w:rFonts w:eastAsia="Times New Roman" w:cs="Arial" w:ascii="Arial" w:hAnsi="Arial"/>
          <w:bCs/>
          <w:iCs/>
          <w:sz w:val="21"/>
          <w:szCs w:val="21"/>
          <w:lang w:val="pt-BR" w:eastAsia="pt-BR"/>
        </w:rPr>
        <w:t xml:space="preserve">O Município de Lindoia do Sul/SC, Estado de Santa Catarina, inscrito no CNPJ nº 78.510.112/0001-80, </w:t>
      </w:r>
      <w:r>
        <w:rPr>
          <w:rFonts w:ascii="Arial" w:hAnsi="Arial"/>
          <w:iCs/>
          <w:sz w:val="21"/>
          <w:szCs w:val="21"/>
          <w:lang w:val="pt-BR"/>
        </w:rPr>
        <w:t xml:space="preserve">torna público para conhecimento de todos os </w:t>
      </w:r>
      <w:r>
        <w:rPr>
          <w:rFonts w:ascii="Arial" w:hAnsi="Arial"/>
          <w:sz w:val="21"/>
          <w:szCs w:val="21"/>
          <w:lang w:val="pt-BR"/>
        </w:rPr>
        <w:t xml:space="preserve">interessados que realizará processo de dispensa de licitação conforme objeto abaixo, nos termos do art. 75, inciso II, da Lei Federal n. 14.133/2021 e conforme previsto pelo Decreto n. 4.072/2024 do </w:t>
      </w:r>
      <w:r>
        <w:rPr>
          <w:rFonts w:eastAsia="Times New Roman" w:cs="Arial" w:ascii="Arial" w:hAnsi="Arial"/>
          <w:bCs/>
          <w:iCs/>
          <w:sz w:val="21"/>
          <w:szCs w:val="21"/>
          <w:lang w:val="pt-BR" w:eastAsia="pt-BR"/>
        </w:rPr>
        <w:t>Município de Lindoia do Sul/SC</w:t>
      </w:r>
      <w:r>
        <w:rPr>
          <w:rFonts w:ascii="Arial" w:hAnsi="Arial"/>
          <w:sz w:val="21"/>
          <w:szCs w:val="21"/>
          <w:lang w:val="pt-BR"/>
        </w:rPr>
        <w:t>.</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center"/>
        <w:rPr>
          <w:lang w:val="pt-BR"/>
        </w:rPr>
      </w:pPr>
      <w:r>
        <w:rPr>
          <w:rFonts w:ascii="Arial" w:hAnsi="Arial"/>
          <w:b/>
          <w:sz w:val="21"/>
          <w:szCs w:val="21"/>
          <w:lang w:val="pt-BR"/>
        </w:rPr>
        <w:t>I – DO OBJETO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 xml:space="preserve">1.1. O objeto do presente documento é a divulgação da contratação por dispensa de licitação, com a finalidade de obter, de eventuais interessados, propostas adicionais àquela que a Administração pretende contratar, conforme disposto no art. 75, § 3º, da Lei Federal n. 14.133/2021 e no Decreto n. 4.072/2024 do </w:t>
      </w:r>
      <w:r>
        <w:rPr>
          <w:rFonts w:eastAsia="Times New Roman" w:cs="Arial" w:ascii="Arial" w:hAnsi="Arial"/>
          <w:bCs/>
          <w:iCs/>
          <w:sz w:val="21"/>
          <w:szCs w:val="21"/>
          <w:lang w:val="pt-BR" w:eastAsia="pt-BR"/>
        </w:rPr>
        <w:t>Município de Lindoia do Sul/SC</w:t>
      </w:r>
      <w:r>
        <w:rPr>
          <w:rFonts w:ascii="Arial" w:hAnsi="Arial"/>
          <w:sz w:val="21"/>
          <w:szCs w:val="21"/>
          <w:lang w:val="pt-BR"/>
        </w:rPr>
        <w:t>.</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1.2. Segue a descrição do objeto que se pretende contratar, com valor estimado de referência:</w:t>
      </w:r>
    </w:p>
    <w:p>
      <w:pPr>
        <w:pStyle w:val="Normal"/>
        <w:spacing w:lineRule="auto" w:line="360" w:before="0" w:after="0"/>
        <w:jc w:val="both"/>
        <w:rPr>
          <w:rFonts w:ascii="Arial" w:hAnsi="Arial"/>
          <w:sz w:val="21"/>
          <w:szCs w:val="21"/>
        </w:rPr>
      </w:pPr>
      <w:r>
        <w:rPr>
          <w:rFonts w:ascii="Arial" w:hAnsi="Arial"/>
          <w:sz w:val="21"/>
          <w:szCs w:val="21"/>
        </w:rPr>
      </w:r>
    </w:p>
    <w:p>
      <w:pPr>
        <w:pStyle w:val="Normal"/>
        <w:spacing w:lineRule="auto" w:line="360" w:before="0" w:after="0"/>
        <w:jc w:val="both"/>
        <w:rPr>
          <w:rFonts w:ascii="Arial" w:hAnsi="Arial"/>
          <w:sz w:val="21"/>
          <w:szCs w:val="21"/>
        </w:rPr>
      </w:pPr>
      <w:r>
        <w:rPr>
          <w:rFonts w:ascii="Arial" w:hAnsi="Arial"/>
          <w:sz w:val="21"/>
          <w:szCs w:val="21"/>
        </w:rPr>
      </w:r>
    </w:p>
    <w:tbl>
      <w:tblPr>
        <w:tblW w:w="9174" w:type="dxa"/>
        <w:jc w:val="left"/>
        <w:tblInd w:w="-152" w:type="dxa"/>
        <w:tblLayout w:type="fixed"/>
        <w:tblCellMar>
          <w:top w:w="0" w:type="dxa"/>
          <w:left w:w="70" w:type="dxa"/>
          <w:bottom w:w="0" w:type="dxa"/>
          <w:right w:w="70" w:type="dxa"/>
        </w:tblCellMar>
      </w:tblPr>
      <w:tblGrid>
        <w:gridCol w:w="766"/>
        <w:gridCol w:w="737"/>
        <w:gridCol w:w="688"/>
        <w:gridCol w:w="4413"/>
        <w:gridCol w:w="1249"/>
        <w:gridCol w:w="1320"/>
      </w:tblGrid>
      <w:tr>
        <w:trPr>
          <w:tblHeader w:val="true"/>
          <w:trHeight w:val="567" w:hRule="atLeast"/>
        </w:trPr>
        <w:tc>
          <w:tcPr>
            <w:tcW w:w="9173" w:type="dxa"/>
            <w:gridSpan w:val="6"/>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LOTE 01</w:t>
            </w:r>
          </w:p>
        </w:tc>
      </w:tr>
      <w:tr>
        <w:trPr>
          <w:tblHeader w:val="true"/>
          <w:trHeight w:val="567" w:hRule="atLeast"/>
        </w:trPr>
        <w:tc>
          <w:tcPr>
            <w:tcW w:w="766"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bookmarkStart w:id="0" w:name="_Hlk128582997"/>
            <w:bookmarkStart w:id="1" w:name="_Hlk141098965"/>
            <w:bookmarkEnd w:id="0"/>
            <w:bookmarkEnd w:id="1"/>
            <w:r>
              <w:rPr>
                <w:rFonts w:eastAsia="Times New Roman"/>
                <w:b/>
                <w:bCs/>
                <w:color w:val="000000"/>
                <w:sz w:val="20"/>
                <w:szCs w:val="20"/>
                <w:lang w:eastAsia="pt-BR"/>
              </w:rPr>
              <w:t>ITEM</w:t>
            </w:r>
          </w:p>
        </w:tc>
        <w:tc>
          <w:tcPr>
            <w:tcW w:w="737"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QTD</w:t>
            </w:r>
          </w:p>
        </w:tc>
        <w:tc>
          <w:tcPr>
            <w:tcW w:w="688"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UNIDADE</w:t>
            </w:r>
          </w:p>
        </w:tc>
        <w:tc>
          <w:tcPr>
            <w:tcW w:w="4413"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DESCRIÇÃO</w:t>
            </w:r>
          </w:p>
        </w:tc>
        <w:tc>
          <w:tcPr>
            <w:tcW w:w="1249" w:type="dxa"/>
            <w:tcBorders>
              <w:top w:val="single" w:sz="8" w:space="0" w:color="000000"/>
              <w:left w:val="single" w:sz="4"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 xml:space="preserve">PREÇO ESTIMADO UNITÁRIO </w:t>
            </w:r>
          </w:p>
        </w:tc>
        <w:tc>
          <w:tcPr>
            <w:tcW w:w="1320" w:type="dxa"/>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jc w:val="center"/>
              <w:rPr>
                <w:rFonts w:eastAsia="Times New Roman"/>
                <w:b/>
                <w:b/>
                <w:bCs/>
                <w:color w:val="000000"/>
                <w:sz w:val="20"/>
                <w:szCs w:val="20"/>
                <w:lang w:eastAsia="pt-BR"/>
              </w:rPr>
            </w:pPr>
            <w:r>
              <w:rPr>
                <w:rFonts w:eastAsia="Times New Roman"/>
                <w:b/>
                <w:bCs/>
                <w:color w:val="000000"/>
                <w:sz w:val="20"/>
                <w:szCs w:val="20"/>
                <w:lang w:eastAsia="pt-BR"/>
              </w:rPr>
              <w:t xml:space="preserve">PREÇO </w:t>
            </w:r>
          </w:p>
          <w:p>
            <w:pPr>
              <w:pStyle w:val="Normal"/>
              <w:widowControl w:val="false"/>
              <w:spacing w:lineRule="auto" w:line="240"/>
              <w:jc w:val="center"/>
              <w:rPr>
                <w:rFonts w:eastAsia="Times New Roman"/>
                <w:b/>
                <w:b/>
                <w:bCs/>
                <w:color w:val="000000"/>
                <w:sz w:val="20"/>
                <w:szCs w:val="20"/>
                <w:lang w:eastAsia="pt-BR"/>
              </w:rPr>
            </w:pPr>
            <w:r>
              <w:rPr>
                <w:rFonts w:eastAsia="Times New Roman"/>
                <w:b/>
                <w:bCs/>
                <w:color w:val="000000"/>
                <w:sz w:val="20"/>
                <w:szCs w:val="20"/>
                <w:lang w:eastAsia="pt-BR"/>
              </w:rPr>
              <w:t>ESTIMADO</w:t>
            </w:r>
          </w:p>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TOTAL</w:t>
            </w:r>
          </w:p>
        </w:tc>
      </w:tr>
      <w:tr>
        <w:trPr>
          <w:trHeight w:val="567" w:hRule="atLeast"/>
        </w:trPr>
        <w:tc>
          <w:tcPr>
            <w:tcW w:w="766" w:type="dxa"/>
            <w:tcBorders>
              <w:left w:val="single" w:sz="8" w:space="0" w:color="000000"/>
              <w:bottom w:val="single" w:sz="8" w:space="0" w:color="000000"/>
            </w:tcBorders>
            <w:vAlign w:val="center"/>
          </w:tcPr>
          <w:p>
            <w:pPr>
              <w:pStyle w:val="Contedodatabela"/>
              <w:widowControl w:val="false"/>
              <w:snapToGrid w:val="false"/>
              <w:spacing w:before="0" w:after="160"/>
              <w:rPr>
                <w:sz w:val="20"/>
                <w:szCs w:val="20"/>
              </w:rPr>
            </w:pPr>
            <w:r>
              <w:rPr>
                <w:sz w:val="20"/>
                <w:szCs w:val="20"/>
              </w:rPr>
              <w:t>01</w:t>
            </w:r>
          </w:p>
        </w:tc>
        <w:tc>
          <w:tcPr>
            <w:tcW w:w="737" w:type="dxa"/>
            <w:tcBorders>
              <w:left w:val="single" w:sz="8" w:space="0" w:color="000000"/>
              <w:bottom w:val="single" w:sz="8" w:space="0" w:color="000000"/>
            </w:tcBorders>
            <w:vAlign w:val="center"/>
          </w:tcPr>
          <w:p>
            <w:pPr>
              <w:pStyle w:val="Contedodatabela"/>
              <w:widowControl w:val="false"/>
              <w:snapToGrid w:val="false"/>
              <w:spacing w:before="0" w:after="160"/>
              <w:rPr>
                <w:sz w:val="20"/>
                <w:szCs w:val="20"/>
              </w:rPr>
            </w:pPr>
            <w:r>
              <w:rPr>
                <w:sz w:val="20"/>
                <w:szCs w:val="20"/>
              </w:rPr>
              <w:t>01</w:t>
            </w:r>
          </w:p>
        </w:tc>
        <w:tc>
          <w:tcPr>
            <w:tcW w:w="688" w:type="dxa"/>
            <w:tcBorders>
              <w:left w:val="single" w:sz="8" w:space="0" w:color="000000"/>
              <w:bottom w:val="single" w:sz="8" w:space="0" w:color="000000"/>
            </w:tcBorders>
            <w:vAlign w:val="center"/>
          </w:tcPr>
          <w:p>
            <w:pPr>
              <w:pStyle w:val="Normal"/>
              <w:widowControl w:val="false"/>
              <w:snapToGrid w:val="false"/>
              <w:spacing w:before="0" w:after="160"/>
              <w:rPr>
                <w:sz w:val="20"/>
                <w:szCs w:val="20"/>
              </w:rPr>
            </w:pPr>
            <w:r>
              <w:rPr>
                <w:sz w:val="20"/>
                <w:szCs w:val="20"/>
              </w:rPr>
              <w:t>Serv.</w:t>
            </w:r>
          </w:p>
        </w:tc>
        <w:tc>
          <w:tcPr>
            <w:tcW w:w="4413" w:type="dxa"/>
            <w:tcBorders>
              <w:left w:val="single" w:sz="8" w:space="0" w:color="000000"/>
              <w:bottom w:val="single" w:sz="4" w:space="0" w:color="000000"/>
            </w:tcBorders>
            <w:vAlign w:val="center"/>
          </w:tcPr>
          <w:p>
            <w:pPr>
              <w:pStyle w:val="Normal"/>
              <w:widowControl w:val="false"/>
              <w:snapToGrid w:val="false"/>
              <w:spacing w:before="0" w:after="160"/>
              <w:jc w:val="both"/>
              <w:rPr/>
            </w:pPr>
            <w:bookmarkStart w:id="2" w:name="_Hlk173827517"/>
            <w:r>
              <w:rPr>
                <w:rFonts w:eastAsia="Times New Roman"/>
                <w:color w:val="000000"/>
                <w:kern w:val="0"/>
                <w:sz w:val="20"/>
                <w:szCs w:val="20"/>
                <w:lang w:eastAsia="pt-BR" w:bidi="ar-SA"/>
              </w:rPr>
              <w:t xml:space="preserve">Contratação de empresa para prestação de serviços técnico-especializados em processo de seleção de recursos humanos, a fim de elaborar, realizar e operacionalizar Processo Seletivo </w:t>
            </w:r>
            <w:r>
              <w:rPr>
                <w:sz w:val="20"/>
                <w:szCs w:val="20"/>
              </w:rPr>
              <w:t xml:space="preserve">de provas e títulos, destinado </w:t>
            </w:r>
            <w:r>
              <w:rPr>
                <w:rFonts w:eastAsia="TT4Eo00"/>
                <w:color w:val="000000"/>
                <w:sz w:val="20"/>
                <w:szCs w:val="20"/>
              </w:rPr>
              <w:t xml:space="preserve">para admissão de Professor em caráter temporário de excepcional interesse público </w:t>
            </w:r>
            <w:r>
              <w:rPr>
                <w:rFonts w:eastAsia="Times New Roman"/>
                <w:kern w:val="0"/>
                <w:sz w:val="20"/>
                <w:szCs w:val="20"/>
                <w:lang w:eastAsia="pt-BR" w:bidi="ar-SA"/>
              </w:rPr>
              <w:t>do município de Lindóia do Sul.</w:t>
            </w:r>
            <w:bookmarkEnd w:id="2"/>
          </w:p>
        </w:tc>
        <w:tc>
          <w:tcPr>
            <w:tcW w:w="1249" w:type="dxa"/>
            <w:tcBorders>
              <w:left w:val="single" w:sz="4" w:space="0" w:color="000000"/>
              <w:bottom w:val="single" w:sz="8" w:space="0" w:color="000000"/>
            </w:tcBorders>
            <w:vAlign w:val="center"/>
          </w:tcPr>
          <w:p>
            <w:pPr>
              <w:pStyle w:val="Normal"/>
              <w:widowControl w:val="false"/>
              <w:snapToGrid w:val="false"/>
              <w:spacing w:lineRule="auto" w:line="240" w:before="0" w:after="160"/>
              <w:rPr/>
            </w:pPr>
            <w:r>
              <w:rPr>
                <w:rFonts w:eastAsia="Times New Roman"/>
                <w:color w:val="000000"/>
                <w:sz w:val="20"/>
                <w:szCs w:val="20"/>
                <w:lang w:eastAsia="pt-BR"/>
              </w:rPr>
              <w:t>R$ 4.400,00</w:t>
            </w:r>
          </w:p>
        </w:tc>
        <w:tc>
          <w:tcPr>
            <w:tcW w:w="1320" w:type="dxa"/>
            <w:tcBorders>
              <w:left w:val="single" w:sz="8" w:space="0" w:color="000000"/>
              <w:bottom w:val="single" w:sz="8" w:space="0" w:color="000000"/>
              <w:right w:val="single" w:sz="8" w:space="0" w:color="000000"/>
            </w:tcBorders>
            <w:vAlign w:val="center"/>
          </w:tcPr>
          <w:p>
            <w:pPr>
              <w:pStyle w:val="Normal"/>
              <w:widowControl w:val="false"/>
              <w:snapToGrid w:val="false"/>
              <w:spacing w:lineRule="auto" w:line="240" w:before="0" w:after="160"/>
              <w:rPr/>
            </w:pPr>
            <w:r>
              <w:rPr>
                <w:sz w:val="20"/>
                <w:szCs w:val="20"/>
              </w:rPr>
              <w:t>R$ 4.400,00</w:t>
            </w:r>
          </w:p>
        </w:tc>
      </w:tr>
      <w:tr>
        <w:trPr>
          <w:trHeight w:val="567" w:hRule="atLeast"/>
        </w:trPr>
        <w:tc>
          <w:tcPr>
            <w:tcW w:w="7853" w:type="dxa"/>
            <w:gridSpan w:val="5"/>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napToGrid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TOTAL</w:t>
            </w:r>
          </w:p>
        </w:tc>
        <w:tc>
          <w:tcPr>
            <w:tcW w:w="132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napToGrid w:val="false"/>
              <w:spacing w:lineRule="auto" w:line="240" w:before="0" w:after="160"/>
              <w:jc w:val="center"/>
              <w:rPr/>
            </w:pPr>
            <w:r>
              <w:rPr>
                <w:b/>
                <w:bCs/>
                <w:sz w:val="20"/>
                <w:szCs w:val="20"/>
              </w:rPr>
              <w:t>R$ 4.400,00</w:t>
            </w:r>
          </w:p>
        </w:tc>
      </w:tr>
    </w:tbl>
    <w:p>
      <w:pPr>
        <w:pStyle w:val="Normal"/>
        <w:spacing w:lineRule="auto" w:line="360" w:before="0" w:after="0"/>
        <w:jc w:val="center"/>
        <w:rPr>
          <w:rFonts w:ascii="Arial" w:hAnsi="Arial"/>
          <w:sz w:val="21"/>
          <w:szCs w:val="21"/>
        </w:rPr>
      </w:pPr>
      <w:r>
        <w:rPr>
          <w:rFonts w:ascii="Arial" w:hAnsi="Arial"/>
          <w:sz w:val="21"/>
          <w:szCs w:val="21"/>
        </w:rPr>
      </w:r>
    </w:p>
    <w:p>
      <w:pPr>
        <w:pStyle w:val="Normal"/>
        <w:spacing w:lineRule="auto" w:line="360" w:before="0" w:after="0"/>
        <w:jc w:val="center"/>
        <w:rPr>
          <w:rFonts w:ascii="Arial" w:hAnsi="Arial"/>
          <w:sz w:val="21"/>
          <w:szCs w:val="21"/>
        </w:rPr>
      </w:pPr>
      <w:r>
        <w:rPr>
          <w:rFonts w:ascii="Arial" w:hAnsi="Arial"/>
          <w:b/>
          <w:sz w:val="21"/>
          <w:szCs w:val="21"/>
          <w:lang w:val="pt-BR"/>
        </w:rPr>
        <w:t>II – DO PRAZO DA DIVULGAÇÃO</w:t>
      </w:r>
    </w:p>
    <w:p>
      <w:pPr>
        <w:pStyle w:val="Normal"/>
        <w:spacing w:lineRule="auto" w:line="360" w:before="0" w:after="0"/>
        <w:jc w:val="both"/>
        <w:rPr>
          <w:rFonts w:ascii="Arial" w:hAnsi="Arial"/>
          <w:bCs/>
          <w:sz w:val="21"/>
          <w:szCs w:val="21"/>
          <w:lang w:val="pt-BR"/>
        </w:rPr>
      </w:pPr>
      <w:r>
        <w:rPr>
          <w:rFonts w:ascii="Arial" w:hAnsi="Arial"/>
          <w:bCs/>
          <w:sz w:val="21"/>
          <w:szCs w:val="21"/>
          <w:lang w:val="pt-BR"/>
        </w:rPr>
      </w:r>
    </w:p>
    <w:p>
      <w:pPr>
        <w:pStyle w:val="Normal"/>
        <w:spacing w:lineRule="auto" w:line="360" w:before="0" w:after="0"/>
        <w:jc w:val="both"/>
        <w:rPr>
          <w:lang w:val="pt-BR"/>
        </w:rPr>
      </w:pPr>
      <w:r>
        <w:rPr>
          <w:rFonts w:ascii="Arial" w:hAnsi="Arial"/>
          <w:bCs/>
          <w:sz w:val="21"/>
          <w:szCs w:val="21"/>
          <w:lang w:val="pt-BR"/>
        </w:rPr>
        <w:t xml:space="preserve">2.1. O prazo para apresentação de propostas adicionais pelos eventuais interessados inicia em </w:t>
      </w:r>
      <w:r>
        <w:rPr>
          <w:rFonts w:ascii="Arial" w:hAnsi="Arial"/>
          <w:bCs/>
          <w:sz w:val="21"/>
          <w:szCs w:val="21"/>
          <w:lang w:val="pt-BR"/>
        </w:rPr>
        <w:t>03</w:t>
      </w:r>
      <w:r>
        <w:rPr>
          <w:rFonts w:ascii="Arial" w:hAnsi="Arial"/>
          <w:bCs/>
          <w:sz w:val="21"/>
          <w:szCs w:val="21"/>
          <w:shd w:fill="auto" w:val="clear"/>
          <w:lang w:val="pt-BR"/>
        </w:rPr>
        <w:t xml:space="preserve"> de </w:t>
      </w:r>
      <w:r>
        <w:rPr>
          <w:rFonts w:ascii="Arial" w:hAnsi="Arial"/>
          <w:bCs/>
          <w:sz w:val="21"/>
          <w:szCs w:val="21"/>
          <w:shd w:fill="auto" w:val="clear"/>
          <w:lang w:val="pt-BR"/>
        </w:rPr>
        <w:t>setembro</w:t>
      </w:r>
      <w:r>
        <w:rPr>
          <w:rFonts w:ascii="Arial" w:hAnsi="Arial"/>
          <w:bCs/>
          <w:color w:val="000000"/>
          <w:sz w:val="21"/>
          <w:szCs w:val="21"/>
          <w:shd w:fill="auto" w:val="clear"/>
          <w:lang w:val="pt-BR"/>
        </w:rPr>
        <w:t xml:space="preserve"> de 2024 e encerra em </w:t>
      </w:r>
      <w:r>
        <w:rPr>
          <w:rFonts w:ascii="Arial" w:hAnsi="Arial"/>
          <w:bCs/>
          <w:color w:val="000000"/>
          <w:sz w:val="21"/>
          <w:szCs w:val="21"/>
          <w:shd w:fill="auto" w:val="clear"/>
          <w:lang w:val="pt-BR"/>
        </w:rPr>
        <w:t>05</w:t>
      </w:r>
      <w:r>
        <w:rPr>
          <w:rFonts w:ascii="Arial" w:hAnsi="Arial"/>
          <w:bCs/>
          <w:color w:val="000000"/>
          <w:sz w:val="21"/>
          <w:szCs w:val="21"/>
          <w:shd w:fill="auto" w:val="clear"/>
          <w:lang w:val="pt-BR"/>
        </w:rPr>
        <w:t xml:space="preserve"> de setembro de 2024.</w:t>
      </w:r>
    </w:p>
    <w:p>
      <w:pPr>
        <w:pStyle w:val="Normal"/>
        <w:spacing w:lineRule="auto" w:line="360" w:before="0" w:after="0"/>
        <w:jc w:val="both"/>
        <w:rPr>
          <w:lang w:val="pt-BR"/>
        </w:rPr>
      </w:pPr>
      <w:r>
        <w:rPr>
          <w:lang w:val="pt-BR"/>
        </w:rPr>
      </w:r>
    </w:p>
    <w:p>
      <w:pPr>
        <w:pStyle w:val="Normal"/>
        <w:spacing w:lineRule="auto" w:line="360" w:before="0" w:after="0"/>
        <w:jc w:val="center"/>
        <w:rPr>
          <w:lang w:val="pt-BR"/>
        </w:rPr>
      </w:pPr>
      <w:r>
        <w:rPr>
          <w:rFonts w:ascii="Arial" w:hAnsi="Arial"/>
          <w:b/>
          <w:sz w:val="21"/>
          <w:szCs w:val="21"/>
          <w:lang w:val="pt-BR"/>
        </w:rPr>
        <w:t>III – DO PROCEDIMENTO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pPr>
      <w:r>
        <w:rPr>
          <w:rFonts w:ascii="Arial" w:hAnsi="Arial"/>
          <w:sz w:val="21"/>
          <w:szCs w:val="21"/>
          <w:lang w:val="pt-BR"/>
        </w:rPr>
        <w:t xml:space="preserve">3.1. Os eventuais interessados deverão encaminhar suas propostas para o endereço eletrônico </w:t>
      </w:r>
      <w:r>
        <w:rPr>
          <w:rStyle w:val="LinkdaInternet"/>
          <w:rFonts w:ascii="Arial" w:hAnsi="Arial"/>
          <w:sz w:val="21"/>
          <w:szCs w:val="21"/>
          <w:lang w:val="pt-BR"/>
        </w:rPr>
        <w:t>licita@lindoiadosul.sc.gov.br</w:t>
      </w:r>
      <w:r>
        <w:rPr>
          <w:rFonts w:ascii="Arial" w:hAnsi="Arial"/>
          <w:sz w:val="21"/>
          <w:szCs w:val="21"/>
          <w:lang w:val="pt-BR"/>
        </w:rPr>
        <w:t xml:space="preserve"> no prazo supracitado, as quais observarão o disposto a seguir:</w:t>
      </w:r>
    </w:p>
    <w:p>
      <w:pPr>
        <w:pStyle w:val="Normal"/>
        <w:spacing w:lineRule="auto" w:line="360" w:before="0" w:after="0"/>
        <w:ind w:left="567" w:hanging="0"/>
        <w:jc w:val="both"/>
        <w:rPr>
          <w:lang w:val="pt-BR"/>
        </w:rPr>
      </w:pPr>
      <w:r>
        <w:rPr>
          <w:rFonts w:ascii="Arial" w:hAnsi="Arial"/>
          <w:sz w:val="21"/>
          <w:szCs w:val="21"/>
          <w:lang w:val="pt-BR"/>
        </w:rPr>
        <w:t xml:space="preserve">a) conter o nome do proponente, endereço, identificação (individual ou social), o nº do CNPJ e da Inscrição Estadual, número de telefone, e e-mail; </w:t>
      </w:r>
    </w:p>
    <w:p>
      <w:pPr>
        <w:pStyle w:val="Normal"/>
        <w:spacing w:lineRule="auto" w:line="360" w:before="0" w:after="0"/>
        <w:ind w:left="567" w:hanging="0"/>
        <w:jc w:val="both"/>
        <w:rPr>
          <w:lang w:val="pt-BR"/>
        </w:rPr>
      </w:pPr>
      <w:r>
        <w:rPr>
          <w:rFonts w:ascii="Arial" w:hAnsi="Arial"/>
          <w:sz w:val="21"/>
          <w:szCs w:val="21"/>
          <w:lang w:val="pt-BR"/>
        </w:rPr>
        <w:t xml:space="preserve">b) suas folhas devem estar datadas, assinadas e rubricadas pelo seu representante legal, podendo ser de forma digital, desde que atendidos os requisitos legais; </w:t>
      </w:r>
    </w:p>
    <w:p>
      <w:pPr>
        <w:pStyle w:val="Normal"/>
        <w:spacing w:lineRule="auto" w:line="360" w:before="0" w:after="0"/>
        <w:ind w:left="567" w:hanging="0"/>
        <w:jc w:val="both"/>
        <w:rPr>
          <w:lang w:val="pt-BR"/>
        </w:rPr>
      </w:pPr>
      <w:r>
        <w:rPr>
          <w:rFonts w:ascii="Arial" w:hAnsi="Arial"/>
          <w:sz w:val="21"/>
          <w:szCs w:val="21"/>
          <w:lang w:val="pt-BR"/>
        </w:rPr>
        <w:t xml:space="preserve">c) nos preços propostos deverão estar incluídos todos os custos diretos e indiretos necessários à perfeita execução do objeto,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 </w:t>
      </w:r>
    </w:p>
    <w:p>
      <w:pPr>
        <w:pStyle w:val="Normal"/>
        <w:spacing w:lineRule="auto" w:line="360" w:before="0" w:after="0"/>
        <w:ind w:left="567" w:hanging="0"/>
        <w:jc w:val="both"/>
        <w:rPr>
          <w:lang w:val="pt-BR"/>
        </w:rPr>
      </w:pPr>
      <w:r>
        <w:rPr>
          <w:rFonts w:ascii="Arial" w:hAnsi="Arial"/>
          <w:sz w:val="21"/>
          <w:szCs w:val="21"/>
          <w:lang w:val="pt-BR"/>
        </w:rPr>
        <w:t xml:space="preserve">d) o prazo de validade da proposta de preços que não poderá ser inferior a 60 (sessenta) dias, contados da abertura do prazo para envio; </w:t>
      </w:r>
    </w:p>
    <w:p>
      <w:pPr>
        <w:pStyle w:val="Normal"/>
        <w:spacing w:lineRule="auto" w:line="360" w:before="0" w:after="0"/>
        <w:ind w:left="567" w:hanging="0"/>
        <w:jc w:val="both"/>
        <w:rPr>
          <w:lang w:val="pt-BR"/>
        </w:rPr>
      </w:pPr>
      <w:r>
        <w:rPr>
          <w:rFonts w:ascii="Arial" w:hAnsi="Arial"/>
          <w:sz w:val="21"/>
          <w:szCs w:val="21"/>
          <w:lang w:val="pt-BR"/>
        </w:rPr>
        <w:t xml:space="preserve">e) conter valor unitário e valor total com a quantidade estimada, o valor total deverá constar também por extenso; </w:t>
      </w:r>
    </w:p>
    <w:p>
      <w:pPr>
        <w:pStyle w:val="Normal"/>
        <w:spacing w:lineRule="auto" w:line="360" w:before="0" w:after="0"/>
        <w:ind w:left="567" w:hanging="0"/>
        <w:jc w:val="both"/>
        <w:rPr>
          <w:lang w:val="pt-BR"/>
        </w:rPr>
      </w:pPr>
      <w:r>
        <w:rPr>
          <w:rFonts w:ascii="Arial" w:hAnsi="Arial"/>
          <w:sz w:val="21"/>
          <w:szCs w:val="21"/>
          <w:lang w:val="pt-BR"/>
        </w:rPr>
        <w:t>f) conter discriminados em moeda corrente nacional os preços dos itens limitados a 02 (duas) casas decimais para os centavos; e</w:t>
      </w:r>
    </w:p>
    <w:p>
      <w:pPr>
        <w:pStyle w:val="Normal"/>
        <w:spacing w:lineRule="auto" w:line="360" w:before="0" w:after="0"/>
        <w:ind w:left="567" w:hanging="0"/>
        <w:jc w:val="both"/>
        <w:rPr>
          <w:lang w:val="pt-BR"/>
        </w:rPr>
      </w:pPr>
      <w:r>
        <w:rPr>
          <w:rFonts w:ascii="Arial" w:hAnsi="Arial"/>
          <w:sz w:val="21"/>
          <w:szCs w:val="21"/>
          <w:lang w:val="pt-BR"/>
        </w:rPr>
        <w:t>g) especificação completa do produto oferecido de acordo com as apresentadas na Proposta Eletrônica com informações técnicas que possibilitem a sua completa avaliação, totalmente e estritamente conforme descrito acima.</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3.2. O eventual interessado, ao enviar sua proposta, declara compreender que não está participando de uma licitação, mas fornecendo proposta adicional para a aferição, por parte da Administração, da vantajosidade da escolha a ser contratada em processo de dispensa de licitação.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 xml:space="preserve">3.3. O prosseguimento do processo de contratação direta já iniciado não é condicionado à apresentação de propostas, podendo ser realizada a contratação mesmo que o prazo transcorra </w:t>
      </w:r>
      <w:r>
        <w:rPr>
          <w:rFonts w:ascii="Arial" w:hAnsi="Arial"/>
          <w:i/>
          <w:iCs/>
          <w:sz w:val="21"/>
          <w:szCs w:val="21"/>
          <w:lang w:val="pt-BR"/>
        </w:rPr>
        <w:t>in albis</w:t>
      </w:r>
      <w:r>
        <w:rPr>
          <w:rFonts w:ascii="Arial" w:hAnsi="Arial"/>
          <w:sz w:val="21"/>
          <w:szCs w:val="21"/>
          <w:lang w:val="pt-BR"/>
        </w:rPr>
        <w:t>.</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3.4. A seleção da contratada não estará restrita àqueles que encaminharem suas propostas, podendo a Administração selecionar a proposta de terceiro alheio a este procedimento.</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3.5. A divulgação da proposta selecionada como mais vantajosa far-se-á junto ao teor da autorização da autoridade competente, a qual fará a indicação da pessoa a ser contratada, nos termos do art. 72, inciso VIII e parágrafo único, da Lei Federal n. 14.133/2021.</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lang w:val="pt-BR"/>
        </w:rPr>
      </w:pPr>
      <w:r>
        <w:rPr>
          <w:rFonts w:ascii="Arial" w:hAnsi="Arial"/>
          <w:sz w:val="21"/>
          <w:szCs w:val="21"/>
          <w:lang w:val="pt-BR"/>
        </w:rPr>
        <w:t>3.6. Dúvidas ou esclarecimentos poderão ser solicitadas através do endereço eletrônico supracitado.</w:t>
      </w:r>
    </w:p>
    <w:p>
      <w:pPr>
        <w:pStyle w:val="Normal"/>
        <w:spacing w:lineRule="auto" w:line="360" w:before="0" w:after="0"/>
        <w:jc w:val="both"/>
        <w:rPr>
          <w:lang w:val="pt-BR"/>
        </w:rPr>
      </w:pPr>
      <w:r>
        <w:rPr>
          <w:lang w:val="pt-BR"/>
        </w:rPr>
      </w:r>
    </w:p>
    <w:p>
      <w:pPr>
        <w:pStyle w:val="Normal"/>
        <w:spacing w:lineRule="auto" w:line="360" w:before="0" w:after="0"/>
        <w:jc w:val="center"/>
        <w:rPr>
          <w:b/>
          <w:b/>
          <w:bCs/>
          <w:lang w:val="pt-BR"/>
        </w:rPr>
      </w:pPr>
      <w:r>
        <w:rPr>
          <w:rFonts w:ascii="Arial" w:hAnsi="Arial"/>
          <w:b/>
          <w:bCs/>
          <w:sz w:val="21"/>
          <w:szCs w:val="21"/>
          <w:lang w:val="pt-BR"/>
        </w:rPr>
        <w:t>IV – DOS DOCUMENTOS A SEREM APRESENTADOS PELA FUTURA CONTRATADA</w:t>
      </w:r>
    </w:p>
    <w:p>
      <w:pPr>
        <w:pStyle w:val="Normal"/>
        <w:spacing w:lineRule="auto" w:line="360" w:before="0" w:after="0"/>
        <w:jc w:val="both"/>
        <w:rPr>
          <w:rFonts w:ascii="Arial" w:hAnsi="Arial"/>
          <w:sz w:val="21"/>
          <w:szCs w:val="21"/>
          <w:lang w:val="pt-BR"/>
        </w:rPr>
      </w:pPr>
      <w:r>
        <w:rPr>
          <w:rFonts w:ascii="Arial" w:hAnsi="Arial"/>
          <w:sz w:val="21"/>
          <w:szCs w:val="21"/>
          <w:lang w:val="pt-BR"/>
        </w:rPr>
      </w:r>
    </w:p>
    <w:p>
      <w:pPr>
        <w:pStyle w:val="Normal"/>
        <w:spacing w:lineRule="auto" w:line="360" w:before="0" w:after="0"/>
        <w:jc w:val="both"/>
        <w:rPr>
          <w:rFonts w:ascii="Arial" w:hAnsi="Arial"/>
          <w:sz w:val="21"/>
          <w:szCs w:val="21"/>
          <w:lang w:val="pt-BR"/>
        </w:rPr>
      </w:pPr>
      <w:r>
        <w:rPr>
          <w:rFonts w:ascii="Arial" w:hAnsi="Arial"/>
          <w:sz w:val="21"/>
          <w:szCs w:val="21"/>
          <w:lang w:val="pt-BR"/>
        </w:rPr>
        <w:t>4.1. Após decisão da autoridade competente, a futura contratada deverá apresentar ao Município os seguintes documentos:</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color w:val="000000"/>
          <w:sz w:val="21"/>
          <w:szCs w:val="21"/>
          <w:lang w:val="pt-BR" w:eastAsia="ar-SA"/>
        </w:rPr>
        <w:t>Ato constitutivo, estatuto ou contrato social em vigor, devidamente registrado, em se tratando de sociedades comerciais, e, no caso de sociedades por ações, acompanhado dos documentos de eleição de seus atuais administradores, com a comprovação da publicação na imprensa da ata arquivada, bem como das respectivas alterações, caso existam.</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color w:val="000000"/>
          <w:sz w:val="21"/>
          <w:szCs w:val="21"/>
          <w:lang w:val="pt-BR" w:eastAsia="ar-SA"/>
        </w:rPr>
        <w:t>Certidão Conjunta Negativa (ou Positiva com Efeitos de Negativa) de Débitos Relativos a Tributos Federais e à Dívida Ativa da União e de contribuições sociais;</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color w:val="000000"/>
          <w:sz w:val="21"/>
          <w:szCs w:val="21"/>
          <w:lang w:val="pt-BR" w:eastAsia="ar-SA"/>
        </w:rPr>
        <w:t>Certidão Negativa (ou Positiva com Efeitos de Negativa) de Débitos Estaduais relativos ao Estado sede do proponente;</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color w:val="000000"/>
          <w:sz w:val="21"/>
          <w:szCs w:val="21"/>
          <w:lang w:val="pt-BR" w:eastAsia="ar-SA"/>
        </w:rPr>
        <w:t>Certidão Negativa (ou Positiva com Efeitos de Negativa) de Débitos Municipais, relativa ao Município da sede do proponente;</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color w:val="000000"/>
          <w:sz w:val="21"/>
          <w:szCs w:val="21"/>
          <w:lang w:val="pt-BR" w:eastAsia="ar-SA"/>
        </w:rPr>
        <w:t>Prova de regularidade relativa ao Fundo de Garantia por Tempo de Serviço (CRF do FGTS), demonstrando situação regular no cumprimento dos encargos sociais, instituídos por Lei;</w:t>
      </w:r>
    </w:p>
    <w:p>
      <w:pPr>
        <w:pStyle w:val="Normal"/>
        <w:numPr>
          <w:ilvl w:val="0"/>
          <w:numId w:val="1"/>
        </w:numPr>
        <w:suppressAutoHyphens w:val="false"/>
        <w:spacing w:lineRule="auto" w:line="360" w:before="0" w:after="120"/>
        <w:ind w:left="967" w:right="-2" w:hanging="283"/>
        <w:jc w:val="both"/>
        <w:rPr>
          <w:lang w:val="pt-BR"/>
        </w:rPr>
      </w:pPr>
      <w:r>
        <w:rPr>
          <w:rFonts w:eastAsia="Calibri" w:cs="Arial" w:ascii="Arial" w:hAnsi="Arial"/>
          <w:kern w:val="0"/>
          <w:sz w:val="21"/>
          <w:szCs w:val="21"/>
          <w:lang w:val="pt-BR" w:eastAsia="pt-BR"/>
        </w:rPr>
        <w:t>Prova de inexistência de débitos inadimplentes perante a Justiça do Trabalho, mediante a apresentação de Certidão Negativa de Débitos Trabalhistas (CNDT), instituída pela Lei nº 12.440 de 07 de julho de 2011;</w:t>
      </w:r>
    </w:p>
    <w:p>
      <w:pPr>
        <w:pStyle w:val="Normal"/>
        <w:numPr>
          <w:ilvl w:val="0"/>
          <w:numId w:val="1"/>
        </w:numPr>
        <w:suppressAutoHyphens w:val="false"/>
        <w:spacing w:lineRule="auto" w:line="360" w:before="0" w:after="120"/>
        <w:ind w:left="967" w:right="-2" w:hanging="283"/>
        <w:jc w:val="both"/>
        <w:rPr/>
      </w:pPr>
      <w:r>
        <w:rPr>
          <w:rFonts w:cs="Arial" w:ascii="Arial" w:hAnsi="Arial"/>
          <w:b w:val="false"/>
          <w:bCs w:val="false"/>
          <w:color w:val="000000"/>
          <w:sz w:val="21"/>
          <w:szCs w:val="21"/>
          <w:lang w:val="pt-BR" w:eastAsia="ar-SA"/>
        </w:rPr>
        <w:t>Certidão Negativa de Falência e Concordata, expedida por distribuidor da sede do licitante; (ATENÇÃO: para os Estados em que se aplica, deverão apresentar a certidão emitida através do sistema SAJ</w:t>
      </w:r>
      <w:r>
        <w:rPr>
          <w:rFonts w:cs="Arial" w:ascii="Arial" w:hAnsi="Arial"/>
          <w:b w:val="false"/>
          <w:bCs w:val="false"/>
          <w:sz w:val="21"/>
          <w:szCs w:val="21"/>
          <w:lang w:val="pt-BR" w:eastAsia="ar-SA"/>
        </w:rPr>
        <w:t>,</w:t>
      </w:r>
      <w:r>
        <w:rPr>
          <w:rFonts w:cs="Arial" w:ascii="Arial" w:hAnsi="Arial"/>
          <w:b w:val="false"/>
          <w:bCs w:val="false"/>
          <w:color w:val="000000"/>
          <w:sz w:val="21"/>
          <w:szCs w:val="21"/>
          <w:lang w:val="pt-BR" w:eastAsia="ar-SA"/>
        </w:rPr>
        <w:t xml:space="preserve"> com a respectiva certidão de registros cadastrados no sistema eproc</w:t>
      </w:r>
      <w:r>
        <w:rPr>
          <w:rFonts w:cs="Arial" w:ascii="Arial" w:hAnsi="Arial"/>
          <w:b w:val="false"/>
          <w:bCs w:val="false"/>
          <w:sz w:val="21"/>
          <w:szCs w:val="21"/>
          <w:lang w:val="pt-BR" w:eastAsia="ar-SA"/>
        </w:rPr>
        <w:t>);</w:t>
      </w:r>
    </w:p>
    <w:p>
      <w:pPr>
        <w:pStyle w:val="Normal"/>
        <w:numPr>
          <w:ilvl w:val="0"/>
          <w:numId w:val="1"/>
        </w:numPr>
        <w:suppressAutoHyphens w:val="false"/>
        <w:spacing w:lineRule="auto" w:line="360" w:before="0" w:after="120"/>
        <w:ind w:left="967" w:right="-2" w:hanging="283"/>
        <w:jc w:val="both"/>
        <w:rPr/>
      </w:pPr>
      <w:r>
        <w:rPr>
          <w:rFonts w:cs="Arial" w:ascii="Arial" w:hAnsi="Arial"/>
          <w:b w:val="false"/>
          <w:bCs w:val="false"/>
          <w:sz w:val="21"/>
          <w:szCs w:val="21"/>
          <w:lang w:val="pt-BR"/>
        </w:rPr>
        <w:t xml:space="preserve">Relatório de consulta negativa (contendo Razão Social e CNPJ) junto ao Cadastro Nacional das Empresas Inidôneas e Suspensas – CEIS, através do endereço eletrônico </w:t>
      </w:r>
      <w:r>
        <w:rPr>
          <w:rStyle w:val="LinkdaInternet"/>
          <w:rFonts w:cs="Arial" w:ascii="Arial" w:hAnsi="Arial"/>
          <w:b w:val="false"/>
          <w:bCs w:val="false"/>
          <w:sz w:val="21"/>
          <w:szCs w:val="21"/>
          <w:lang w:val="pt-BR"/>
        </w:rPr>
        <w:t>https://portaldatransparencia.gov.br/sancoes/consulta?ordenarPor=nomeSancionado&amp;direcao=asc</w:t>
      </w:r>
      <w:r>
        <w:rPr>
          <w:rFonts w:cs="Arial" w:ascii="Arial" w:hAnsi="Arial"/>
          <w:b w:val="false"/>
          <w:bCs w:val="false"/>
          <w:sz w:val="21"/>
          <w:szCs w:val="21"/>
          <w:lang w:val="pt-BR"/>
        </w:rPr>
        <w:t xml:space="preserve">,  emitido nos últimos 10 (dez) dias; </w:t>
      </w:r>
    </w:p>
    <w:p>
      <w:pPr>
        <w:pStyle w:val="Normal"/>
        <w:numPr>
          <w:ilvl w:val="0"/>
          <w:numId w:val="1"/>
        </w:numPr>
        <w:suppressAutoHyphens w:val="false"/>
        <w:spacing w:lineRule="auto" w:line="360" w:before="0" w:after="120"/>
        <w:ind w:left="967" w:right="-2" w:hanging="283"/>
        <w:jc w:val="both"/>
        <w:rPr/>
      </w:pPr>
      <w:r>
        <w:rPr>
          <w:rFonts w:cs="Arial" w:ascii="Arial" w:hAnsi="Arial"/>
          <w:b w:val="false"/>
          <w:bCs w:val="false"/>
          <w:sz w:val="21"/>
          <w:szCs w:val="21"/>
          <w:lang w:val="pt-BR"/>
        </w:rPr>
        <w:t xml:space="preserve">Certidões Negativa de Licitante Inidôneos, em nome da empresa licitante (CNPJ) e do sócio majoritário (CPF), emitida através do endereço eletrônico </w:t>
      </w:r>
      <w:hyperlink r:id="rId2">
        <w:r>
          <w:rPr>
            <w:rStyle w:val="LinkdaInternet"/>
            <w:rFonts w:cs="Arial" w:ascii="Arial" w:hAnsi="Arial"/>
            <w:b w:val="false"/>
            <w:bCs w:val="false"/>
            <w:sz w:val="21"/>
            <w:szCs w:val="21"/>
            <w:lang w:val="pt-BR"/>
          </w:rPr>
          <w:t>https://contas.tcu.gov.br/ords/f?p=704144:3:101016560152123::NO:3,4,6</w:t>
        </w:r>
      </w:hyperlink>
      <w:r>
        <w:rPr>
          <w:rStyle w:val="LinkdaInternet"/>
          <w:rFonts w:cs="Arial" w:ascii="Arial" w:hAnsi="Arial"/>
          <w:b w:val="false"/>
          <w:bCs w:val="false"/>
          <w:sz w:val="21"/>
          <w:szCs w:val="21"/>
          <w:lang w:val="pt-BR"/>
        </w:rPr>
        <w:t>::</w:t>
      </w:r>
    </w:p>
    <w:p>
      <w:pPr>
        <w:pStyle w:val="PargrafodaLista"/>
        <w:widowControl w:val="false"/>
        <w:numPr>
          <w:ilvl w:val="0"/>
          <w:numId w:val="1"/>
        </w:numPr>
        <w:suppressAutoHyphens w:val="true"/>
        <w:bidi w:val="0"/>
        <w:spacing w:lineRule="auto" w:line="360" w:before="0" w:after="0"/>
        <w:ind w:left="964" w:right="0" w:hanging="283"/>
        <w:contextualSpacing/>
        <w:jc w:val="both"/>
        <w:rPr/>
      </w:pPr>
      <w:r>
        <w:rPr>
          <w:rStyle w:val="LinkdaInternet"/>
          <w:rFonts w:cs="Arial" w:ascii="Arial" w:hAnsi="Arial"/>
          <w:b w:val="false"/>
          <w:bCs w:val="false"/>
          <w:color w:val="auto"/>
          <w:sz w:val="21"/>
          <w:szCs w:val="21"/>
          <w:u w:val="none"/>
          <w:lang w:val="pt-BR" w:eastAsia="ar-SA"/>
        </w:rPr>
        <w:t>Cadastro Nacional de Condenações Cíveis por Atos de Improbidade Administrativa, mantido pelo Conselho Nacional de Justiça, em nome da empresa licitante (CNPJ) e do sócio majoritário (CPF), emitida através do endereço eletrônico</w:t>
      </w:r>
      <w:r>
        <w:rPr>
          <w:rStyle w:val="LinkdaInternet"/>
          <w:rFonts w:cs="Arial" w:ascii="Arial" w:hAnsi="Arial"/>
          <w:b w:val="false"/>
          <w:bCs w:val="false"/>
          <w:sz w:val="21"/>
          <w:szCs w:val="21"/>
          <w:lang w:val="pt-BR" w:eastAsia="ar-SA"/>
        </w:rPr>
        <w:t xml:space="preserve"> (</w:t>
      </w:r>
      <w:hyperlink r:id="rId3">
        <w:r>
          <w:rPr>
            <w:rStyle w:val="LinkdaInternet"/>
            <w:rFonts w:eastAsia="Calibri" w:cs="Arial" w:ascii="Arial" w:hAnsi="Arial"/>
            <w:b w:val="false"/>
            <w:bCs w:val="false"/>
            <w:sz w:val="21"/>
            <w:szCs w:val="21"/>
            <w:lang w:val="pt-BR" w:eastAsia="ar-SA"/>
          </w:rPr>
          <w:t>www.cnj.jus.br/improbidade_adm/consultar_requerido.php</w:t>
        </w:r>
      </w:hyperlink>
      <w:r>
        <w:rPr>
          <w:rStyle w:val="LinkdaInternet"/>
          <w:rFonts w:cs="Arial" w:ascii="Arial" w:hAnsi="Arial"/>
          <w:b w:val="false"/>
          <w:bCs w:val="false"/>
          <w:sz w:val="21"/>
          <w:szCs w:val="21"/>
          <w:lang w:val="pt-BR" w:eastAsia="ar-SA"/>
        </w:rPr>
        <w:t xml:space="preserve">).  </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color w:val="000000"/>
          <w:kern w:val="0"/>
          <w:sz w:val="21"/>
          <w:szCs w:val="21"/>
          <w:lang w:val="pt-BR" w:eastAsia="pt-BR"/>
        </w:rPr>
        <w:t>Declaração de Atendimento à Legislação Trabalhista de Proteção à Criança e ao Adolescent</w:t>
      </w:r>
      <w:r>
        <w:rPr>
          <w:rFonts w:eastAsia="Times New Roman" w:cs="Arial" w:ascii="Arial" w:hAnsi="Arial"/>
          <w:b w:val="false"/>
          <w:bCs w:val="false"/>
          <w:color w:val="000000"/>
          <w:kern w:val="0"/>
          <w:sz w:val="21"/>
          <w:szCs w:val="21"/>
          <w:lang w:val="pt-BR" w:eastAsia="pt-BR"/>
        </w:rPr>
        <w:t>e, disposto no inciso XXXIII do art. 7º da Constituição Federal.</w:t>
      </w:r>
    </w:p>
    <w:p>
      <w:pPr>
        <w:pStyle w:val="Normal"/>
        <w:numPr>
          <w:ilvl w:val="0"/>
          <w:numId w:val="1"/>
        </w:numPr>
        <w:suppressAutoHyphens w:val="false"/>
        <w:spacing w:lineRule="auto" w:line="360" w:before="0" w:after="120"/>
        <w:ind w:left="967" w:right="-2" w:hanging="283"/>
        <w:jc w:val="both"/>
        <w:rPr>
          <w:lang w:val="pt-BR"/>
        </w:rPr>
      </w:pPr>
      <w:r>
        <w:rPr>
          <w:rFonts w:cs="Arial" w:ascii="Arial" w:hAnsi="Arial"/>
          <w:b w:val="false"/>
          <w:bCs w:val="false"/>
          <w:color w:val="000000"/>
          <w:sz w:val="21"/>
          <w:szCs w:val="21"/>
          <w:lang w:val="pt-BR" w:eastAsia="ar-SA"/>
        </w:rPr>
        <w:t>Declaração de idoneidade.</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 xml:space="preserve"> </w:t>
      </w:r>
      <w:r>
        <w:rPr>
          <w:rFonts w:eastAsia="Times New Roman" w:cs="Arial" w:ascii="Arial" w:hAnsi="Arial"/>
          <w:b w:val="false"/>
          <w:bCs w:val="false"/>
          <w:kern w:val="0"/>
          <w:sz w:val="21"/>
          <w:szCs w:val="21"/>
          <w:lang w:val="pt-BR" w:eastAsia="ar-SA"/>
        </w:rPr>
        <w:t>Declaração de inexistência de vínculo social e funcional, (Modelo específico).</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 xml:space="preserve"> </w:t>
      </w:r>
      <w:r>
        <w:rPr>
          <w:rFonts w:eastAsia="Times New Roman" w:cs="Arial" w:ascii="Arial" w:hAnsi="Arial"/>
          <w:b w:val="false"/>
          <w:bCs w:val="false"/>
          <w:kern w:val="0"/>
          <w:sz w:val="21"/>
          <w:szCs w:val="21"/>
          <w:lang w:val="pt-BR" w:eastAsia="ar-SA"/>
        </w:rPr>
        <w:t>DECLARAÇÃO de que cumpre as exigências de reserva de cargos para pessoa com deficiência e para reabilitado da Previdência Social, previstas em lei e em outras normas específicas.</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condutas vigentes na data de entrega das propostas, sob pena de desclassificação.</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Declaração de que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Declaração de ausência de condenação judicial por exploração de trabalho infantil, por submissão de trabalhadores a condições análogas às de escravo ou por contratação de adolescentes nos casos vedados pela legislação trabalhista.</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Declaração de enquadramento de Receita Bruta (para empresas de pequeno porte, de que não contrataram com a Administração Pública até o limite estabelecido em Lei).</w:t>
      </w:r>
    </w:p>
    <w:p>
      <w:pPr>
        <w:pStyle w:val="Normal"/>
        <w:numPr>
          <w:ilvl w:val="0"/>
          <w:numId w:val="1"/>
        </w:numPr>
        <w:suppressAutoHyphens w:val="false"/>
        <w:spacing w:lineRule="auto" w:line="360" w:before="0" w:after="120"/>
        <w:ind w:left="967" w:right="-2" w:hanging="283"/>
        <w:jc w:val="both"/>
        <w:rPr>
          <w:lang w:val="pt-BR"/>
        </w:rPr>
      </w:pPr>
      <w:r>
        <w:rPr>
          <w:rFonts w:eastAsia="Times New Roman" w:cs="Arial" w:ascii="Arial" w:hAnsi="Arial"/>
          <w:b w:val="false"/>
          <w:bCs w:val="false"/>
          <w:kern w:val="0"/>
          <w:sz w:val="21"/>
          <w:szCs w:val="21"/>
          <w:lang w:val="pt-BR" w:eastAsia="ar-SA"/>
        </w:rPr>
        <w:t>Comprovante de registro no Conselho Regional de Administração do estado, nos termos do inciso I do Art. 67 da Lei 14.133/2021.</w:t>
      </w:r>
    </w:p>
    <w:p>
      <w:pPr>
        <w:pStyle w:val="Normal"/>
        <w:numPr>
          <w:ilvl w:val="0"/>
          <w:numId w:val="0"/>
        </w:numPr>
        <w:suppressAutoHyphens w:val="false"/>
        <w:spacing w:lineRule="auto" w:line="360" w:before="0" w:after="120"/>
        <w:ind w:left="967" w:right="-2" w:hanging="0"/>
        <w:jc w:val="both"/>
        <w:rPr>
          <w:lang w:val="pt-BR"/>
        </w:rPr>
      </w:pPr>
      <w:r>
        <w:rPr>
          <w:lang w:val="pt-BR"/>
        </w:rPr>
      </w:r>
    </w:p>
    <w:p>
      <w:pPr>
        <w:pStyle w:val="Normal"/>
        <w:suppressAutoHyphens w:val="true"/>
        <w:spacing w:lineRule="auto" w:line="360" w:before="0" w:after="0"/>
        <w:jc w:val="center"/>
        <w:rPr>
          <w:lang w:val="pt-BR"/>
        </w:rPr>
      </w:pPr>
      <w:r>
        <w:rPr>
          <w:rFonts w:cs="Arial" w:ascii="Arial" w:hAnsi="Arial"/>
          <w:b/>
          <w:sz w:val="21"/>
          <w:szCs w:val="21"/>
          <w:lang w:val="pt-BR"/>
        </w:rPr>
        <w:t>Munic</w:t>
      </w:r>
      <w:r>
        <w:rPr>
          <w:rFonts w:cs="Arial" w:ascii="Arial" w:hAnsi="Arial"/>
          <w:b/>
          <w:color w:val="000000"/>
          <w:sz w:val="21"/>
          <w:szCs w:val="21"/>
          <w:lang w:val="pt-BR"/>
        </w:rPr>
        <w:t xml:space="preserve">ípio de Lindoia do Sul, </w:t>
      </w:r>
      <w:r>
        <w:rPr>
          <w:rFonts w:cs="Arial" w:ascii="Arial" w:hAnsi="Arial"/>
          <w:b/>
          <w:color w:val="000000"/>
          <w:sz w:val="21"/>
          <w:szCs w:val="21"/>
          <w:lang w:val="pt-BR"/>
        </w:rPr>
        <w:t>02</w:t>
      </w:r>
      <w:r>
        <w:rPr>
          <w:rFonts w:cs="Arial" w:ascii="Arial" w:hAnsi="Arial"/>
          <w:b/>
          <w:color w:val="000000"/>
          <w:sz w:val="21"/>
          <w:szCs w:val="21"/>
          <w:lang w:val="pt-BR"/>
        </w:rPr>
        <w:t xml:space="preserve"> de </w:t>
      </w:r>
      <w:r>
        <w:rPr>
          <w:rFonts w:cs="Arial" w:ascii="Arial" w:hAnsi="Arial"/>
          <w:b/>
          <w:color w:val="000000"/>
          <w:sz w:val="21"/>
          <w:szCs w:val="21"/>
          <w:lang w:val="pt-BR"/>
        </w:rPr>
        <w:t>setembro</w:t>
      </w:r>
      <w:r>
        <w:rPr>
          <w:rFonts w:cs="Arial" w:ascii="Arial" w:hAnsi="Arial"/>
          <w:b/>
          <w:color w:val="000000"/>
          <w:sz w:val="21"/>
          <w:szCs w:val="21"/>
          <w:lang w:val="pt-BR"/>
        </w:rPr>
        <w:t xml:space="preserve"> de 2024.</w:t>
      </w:r>
    </w:p>
    <w:p>
      <w:pPr>
        <w:pStyle w:val="Normal"/>
        <w:suppressAutoHyphens w:val="true"/>
        <w:spacing w:lineRule="auto" w:line="360" w:before="0" w:after="0"/>
        <w:jc w:val="center"/>
        <w:rPr>
          <w:rFonts w:ascii="Arial" w:hAnsi="Arial" w:cs="Arial"/>
          <w:b/>
          <w:b/>
          <w:color w:val="000000"/>
          <w:sz w:val="21"/>
          <w:szCs w:val="21"/>
          <w:lang w:val="pt-BR"/>
        </w:rPr>
      </w:pPr>
      <w:r>
        <w:rPr>
          <w:rFonts w:cs="Arial" w:ascii="Arial" w:hAnsi="Arial"/>
          <w:b/>
          <w:color w:val="000000"/>
          <w:sz w:val="21"/>
          <w:szCs w:val="21"/>
          <w:lang w:val="pt-BR"/>
        </w:rPr>
      </w:r>
    </w:p>
    <w:p>
      <w:pPr>
        <w:pStyle w:val="Normal"/>
        <w:suppressAutoHyphens w:val="true"/>
        <w:spacing w:lineRule="auto" w:line="360" w:before="0" w:after="0"/>
        <w:jc w:val="center"/>
        <w:rPr>
          <w:rFonts w:ascii="Arial" w:hAnsi="Arial" w:cs="Arial"/>
          <w:b/>
          <w:b/>
          <w:sz w:val="21"/>
          <w:szCs w:val="21"/>
          <w:lang w:val="pt-BR"/>
        </w:rPr>
      </w:pPr>
      <w:r>
        <w:rPr>
          <w:rFonts w:cs="Arial" w:ascii="Arial" w:hAnsi="Arial"/>
          <w:b/>
          <w:sz w:val="21"/>
          <w:szCs w:val="21"/>
          <w:lang w:val="pt-BR"/>
        </w:rPr>
      </w:r>
    </w:p>
    <w:p>
      <w:pPr>
        <w:pStyle w:val="Normal"/>
        <w:suppressAutoHyphens w:val="true"/>
        <w:spacing w:lineRule="auto" w:line="360" w:before="0" w:after="0"/>
        <w:jc w:val="center"/>
        <w:rPr>
          <w:rFonts w:ascii="Arial" w:hAnsi="Arial" w:cs="Arial"/>
          <w:b/>
          <w:b/>
          <w:sz w:val="21"/>
          <w:szCs w:val="21"/>
          <w:lang w:val="pt-BR"/>
        </w:rPr>
      </w:pPr>
      <w:r>
        <w:rPr>
          <w:rFonts w:cs="Arial" w:ascii="Arial" w:hAnsi="Arial"/>
          <w:b/>
          <w:sz w:val="21"/>
          <w:szCs w:val="21"/>
          <w:lang w:val="pt-BR"/>
        </w:rPr>
      </w:r>
    </w:p>
    <w:p>
      <w:pPr>
        <w:pStyle w:val="Normal"/>
        <w:suppressAutoHyphens w:val="true"/>
        <w:spacing w:lineRule="auto" w:line="360" w:before="0" w:after="0"/>
        <w:jc w:val="center"/>
        <w:rPr>
          <w:rFonts w:ascii="Arial" w:hAnsi="Arial" w:cs="Arial"/>
          <w:b/>
          <w:b/>
          <w:sz w:val="21"/>
          <w:szCs w:val="21"/>
          <w:lang w:val="pt-BR"/>
        </w:rPr>
      </w:pPr>
      <w:r>
        <w:rPr>
          <w:rFonts w:cs="Arial" w:ascii="Arial" w:hAnsi="Arial"/>
          <w:b/>
          <w:sz w:val="21"/>
          <w:szCs w:val="21"/>
          <w:lang w:val="pt-BR"/>
        </w:rPr>
      </w:r>
    </w:p>
    <w:p>
      <w:pPr>
        <w:pStyle w:val="Normal"/>
        <w:widowControl w:val="false"/>
        <w:tabs>
          <w:tab w:val="clear" w:pos="708"/>
          <w:tab w:val="left" w:pos="1701" w:leader="none"/>
        </w:tabs>
        <w:spacing w:lineRule="auto" w:line="360" w:before="0" w:after="0"/>
        <w:jc w:val="center"/>
        <w:textAlignment w:val="baseline"/>
        <w:rPr>
          <w:lang w:val="pt-BR"/>
        </w:rPr>
      </w:pPr>
      <w:r>
        <w:rPr>
          <w:rFonts w:eastAsia="Times New Roman" w:cs="Arial" w:ascii="Arial" w:hAnsi="Arial"/>
          <w:b/>
          <w:color w:val="000000"/>
          <w:sz w:val="21"/>
          <w:szCs w:val="21"/>
          <w:lang w:val="pt-BR" w:eastAsia="pt-BR"/>
        </w:rPr>
        <w:t>Neudi Angelo Bertol</w:t>
      </w:r>
    </w:p>
    <w:p>
      <w:pPr>
        <w:pStyle w:val="Normal"/>
        <w:widowControl w:val="false"/>
        <w:tabs>
          <w:tab w:val="clear" w:pos="708"/>
          <w:tab w:val="left" w:pos="1701" w:leader="none"/>
        </w:tabs>
        <w:spacing w:lineRule="auto" w:line="360" w:before="0" w:after="0"/>
        <w:jc w:val="center"/>
        <w:textAlignment w:val="baseline"/>
        <w:rPr>
          <w:lang w:val="pt-BR"/>
        </w:rPr>
      </w:pPr>
      <w:r>
        <w:rPr>
          <w:rFonts w:eastAsia="Times New Roman" w:cs="Arial" w:ascii="Arial" w:hAnsi="Arial"/>
          <w:b/>
          <w:color w:val="000000"/>
          <w:sz w:val="21"/>
          <w:szCs w:val="21"/>
          <w:lang w:val="pt-BR" w:eastAsia="pt-BR"/>
        </w:rPr>
        <w:t>Prefeito Municipal</w:t>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left"/>
        <w:textAlignment w:val="baseline"/>
        <w:rPr/>
      </w:pPr>
      <w:r>
        <w:rPr/>
        <w:t>Anexo I – Minuta do contrato.</w:t>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pStyle w:val="Normal"/>
        <w:widowControl w:val="false"/>
        <w:tabs>
          <w:tab w:val="clear" w:pos="708"/>
          <w:tab w:val="left" w:pos="1701" w:leader="none"/>
        </w:tabs>
        <w:spacing w:lineRule="auto" w:line="360" w:before="0" w:after="0"/>
        <w:jc w:val="center"/>
        <w:textAlignment w:val="baseline"/>
        <w:rPr>
          <w:lang w:val="pt-BR"/>
        </w:rPr>
      </w:pPr>
      <w:r>
        <w:rPr>
          <w:lang w:val="pt-BR"/>
        </w:rPr>
      </w:r>
    </w:p>
    <w:p>
      <w:pPr>
        <w:sectPr>
          <w:headerReference w:type="even" r:id="rId4"/>
          <w:headerReference w:type="default" r:id="rId5"/>
          <w:headerReference w:type="first" r:id="rId6"/>
          <w:footerReference w:type="default" r:id="rId7"/>
          <w:type w:val="nextPage"/>
          <w:pgSz w:w="11906" w:h="16838"/>
          <w:pgMar w:left="1701" w:right="1133" w:gutter="0" w:header="426" w:top="1987" w:footer="0" w:bottom="426"/>
          <w:pgNumType w:fmt="decimal"/>
          <w:formProt w:val="false"/>
          <w:textDirection w:val="lrTb"/>
          <w:docGrid w:type="default" w:linePitch="360" w:charSpace="4096"/>
        </w:sectPr>
        <w:pStyle w:val="Normal"/>
        <w:widowControl w:val="false"/>
        <w:tabs>
          <w:tab w:val="clear" w:pos="708"/>
          <w:tab w:val="left" w:pos="1701" w:leader="none"/>
        </w:tabs>
        <w:spacing w:lineRule="auto" w:line="360" w:before="0" w:after="0"/>
        <w:jc w:val="center"/>
        <w:textAlignment w:val="baseline"/>
        <w:rPr>
          <w:lang w:val="pt-BR"/>
        </w:rPr>
      </w:pPr>
      <w:r>
        <w:rPr>
          <w:lang w:val="pt-BR"/>
        </w:rPr>
      </w:r>
      <w:r>
        <w:br w:type="page"/>
      </w:r>
    </w:p>
    <w:p>
      <w:pPr>
        <w:pStyle w:val="Normal"/>
        <w:widowControl/>
        <w:suppressAutoHyphens w:val="true"/>
        <w:bidi w:val="0"/>
        <w:spacing w:lineRule="auto" w:line="360" w:before="0" w:after="0"/>
        <w:ind w:left="0" w:right="0" w:hanging="0"/>
        <w:jc w:val="center"/>
        <w:rPr/>
      </w:pPr>
      <w:r>
        <w:rPr>
          <w:rFonts w:cs="Arial" w:ascii="Arial" w:hAnsi="Arial"/>
          <w:b/>
          <w:bCs/>
          <w:sz w:val="21"/>
          <w:szCs w:val="21"/>
        </w:rPr>
        <w:t>ANEXO I</w:t>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360" w:before="0" w:after="0"/>
        <w:ind w:left="0" w:right="0" w:hanging="0"/>
        <w:jc w:val="both"/>
        <w:rPr/>
      </w:pPr>
      <w:r>
        <w:rPr>
          <w:rFonts w:cs="Arial" w:ascii="Arial" w:hAnsi="Arial"/>
          <w:b/>
          <w:bCs/>
          <w:sz w:val="21"/>
          <w:szCs w:val="21"/>
        </w:rPr>
        <w:t>PROCESSO LICITATÓRIO Nº 87/2024</w:t>
      </w:r>
    </w:p>
    <w:p>
      <w:pPr>
        <w:pStyle w:val="Normal"/>
        <w:widowControl/>
        <w:suppressAutoHyphens w:val="true"/>
        <w:bidi w:val="0"/>
        <w:spacing w:lineRule="auto" w:line="360" w:before="0" w:after="0"/>
        <w:ind w:left="0" w:right="0" w:hanging="0"/>
        <w:jc w:val="both"/>
        <w:rPr/>
      </w:pPr>
      <w:r>
        <w:rPr>
          <w:rFonts w:cs="Arial" w:ascii="Arial" w:hAnsi="Arial"/>
          <w:b/>
          <w:bCs/>
          <w:sz w:val="21"/>
          <w:szCs w:val="21"/>
        </w:rPr>
        <w:t>DISPENSA DE LICITAÇÃO Nº 58/2024</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MINUTA DO CONTRATO Nº __/2024</w:t>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spacing w:lineRule="auto" w:line="360"/>
        <w:ind w:left="2835" w:right="0" w:hanging="0"/>
        <w:jc w:val="both"/>
        <w:rPr/>
      </w:pPr>
      <w:r>
        <w:rPr>
          <w:rFonts w:eastAsia="Times New Roman" w:cs="Arial" w:ascii="Arial" w:hAnsi="Arial"/>
          <w:color w:val="000000"/>
          <w:kern w:val="0"/>
          <w:sz w:val="21"/>
          <w:szCs w:val="21"/>
          <w:lang w:eastAsia="zh-CN"/>
        </w:rPr>
        <w:t xml:space="preserve">CONTRATO QUE ENTRE SI CELEBRAM 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color w:val="000000"/>
          <w:kern w:val="0"/>
          <w:sz w:val="21"/>
          <w:szCs w:val="21"/>
          <w:lang w:eastAsia="zh-CN"/>
        </w:rPr>
        <w:t xml:space="preserve"> E A EMPRESA </w:t>
      </w:r>
      <w:r>
        <w:rPr>
          <w:rFonts w:eastAsia="Times New Roman" w:cs="Arial" w:ascii="Arial" w:hAnsi="Arial"/>
          <w:b/>
          <w:bCs/>
          <w:color w:val="000000"/>
          <w:kern w:val="0"/>
          <w:sz w:val="21"/>
          <w:szCs w:val="21"/>
          <w:lang w:eastAsia="zh-CN"/>
        </w:rPr>
        <w:t>________________</w:t>
      </w:r>
      <w:r>
        <w:rPr>
          <w:rFonts w:eastAsia="Times New Roman" w:cs="Arial" w:ascii="Arial" w:hAnsi="Arial"/>
          <w:color w:val="000000"/>
          <w:kern w:val="0"/>
          <w:sz w:val="21"/>
          <w:szCs w:val="21"/>
          <w:lang w:eastAsia="zh-CN"/>
        </w:rPr>
        <w:t>, OBJETIVANDO</w:t>
      </w:r>
      <w:r>
        <w:rPr>
          <w:rFonts w:eastAsia="Times New Roman" w:cs="Arial" w:ascii="Arial" w:hAnsi="Arial"/>
          <w:bCs/>
          <w:color w:val="000000"/>
          <w:kern w:val="0"/>
          <w:sz w:val="21"/>
          <w:szCs w:val="21"/>
          <w:shd w:fill="auto" w:val="clear"/>
          <w:lang w:eastAsia="zh-CN"/>
        </w:rPr>
        <w:t xml:space="preserve"> […]</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pPr>
      <w:r>
        <w:rPr>
          <w:rFonts w:eastAsia="Times New Roman" w:cs="Arial" w:ascii="Arial" w:hAnsi="Arial"/>
          <w:bCs/>
          <w:color w:val="000000"/>
          <w:kern w:val="0"/>
          <w:sz w:val="21"/>
          <w:szCs w:val="21"/>
          <w:lang w:eastAsia="zh-CN"/>
        </w:rPr>
        <w:t xml:space="preserve">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bCs/>
          <w:color w:val="000000"/>
          <w:kern w:val="0"/>
          <w:sz w:val="21"/>
          <w:szCs w:val="21"/>
          <w:lang w:eastAsia="zh-CN"/>
        </w:rPr>
        <w:t xml:space="preserve">, pessoa jurídica de direito público interno, inscrita no CNPJ-MF sob o nº 78.510.112/0001-80, com sede na Rua Tamandaré, 98, Centro, Lindóia do Sul, SC, CEP 89.735-000, neste ato representado pelo Prefeito Municipal, </w:t>
      </w:r>
      <w:r>
        <w:rPr>
          <w:rFonts w:eastAsia="Times New Roman" w:cs="Arial" w:ascii="Arial" w:hAnsi="Arial"/>
          <w:b/>
          <w:bCs/>
          <w:color w:val="000000"/>
          <w:kern w:val="0"/>
          <w:sz w:val="21"/>
          <w:szCs w:val="21"/>
          <w:lang w:eastAsia="zh-CN"/>
        </w:rPr>
        <w:t>Neudi Angelo Bertol</w:t>
      </w:r>
      <w:r>
        <w:rPr>
          <w:rFonts w:eastAsia="Times New Roman" w:cs="Arial" w:ascii="Arial" w:hAnsi="Arial"/>
          <w:bCs/>
          <w:color w:val="000000"/>
          <w:kern w:val="0"/>
          <w:sz w:val="21"/>
          <w:szCs w:val="21"/>
          <w:lang w:eastAsia="zh-CN"/>
        </w:rPr>
        <w:t xml:space="preserve">, inscrito no CPF sob número </w:t>
      </w:r>
      <w:r>
        <w:rPr>
          <w:rFonts w:eastAsia="Times New Roman" w:cs="Arial" w:ascii="Arial" w:hAnsi="Arial"/>
          <w:b w:val="false"/>
          <w:bCs w:val="false"/>
          <w:color w:val="000000"/>
          <w:kern w:val="2"/>
          <w:sz w:val="21"/>
          <w:szCs w:val="21"/>
          <w:shd w:fill="auto" w:val="clear"/>
          <w:lang w:val="pt-BR" w:eastAsia="ar-SA"/>
        </w:rPr>
        <w:t>347.xxx.xxx-06</w:t>
      </w:r>
      <w:r>
        <w:rPr>
          <w:rFonts w:eastAsia="Times New Roman" w:cs="Arial" w:ascii="Arial" w:hAnsi="Arial"/>
          <w:bCs/>
          <w:color w:val="000000"/>
          <w:kern w:val="0"/>
          <w:sz w:val="21"/>
          <w:szCs w:val="21"/>
          <w:lang w:eastAsia="zh-CN"/>
        </w:rPr>
        <w:t xml:space="preserve">, doravante denominada simplesmente </w:t>
      </w:r>
      <w:r>
        <w:rPr>
          <w:rFonts w:eastAsia="Times New Roman" w:cs="Arial" w:ascii="Arial" w:hAnsi="Arial"/>
          <w:b/>
          <w:bCs/>
          <w:color w:val="000000"/>
          <w:kern w:val="0"/>
          <w:sz w:val="21"/>
          <w:szCs w:val="21"/>
          <w:lang w:eastAsia="zh-CN"/>
        </w:rPr>
        <w:t>CONTRATANTE</w:t>
      </w:r>
      <w:r>
        <w:rPr>
          <w:rFonts w:cs="Arial" w:ascii="Arial" w:hAnsi="Arial"/>
          <w:sz w:val="21"/>
          <w:szCs w:val="21"/>
        </w:rPr>
        <w:t xml:space="preserve"> e de outro lado a empresa</w:t>
      </w:r>
      <w:r>
        <w:rPr>
          <w:rFonts w:cs="Arial" w:ascii="Arial" w:hAnsi="Arial"/>
          <w:b/>
          <w:bCs/>
          <w:sz w:val="21"/>
          <w:szCs w:val="21"/>
        </w:rPr>
        <w:t xml:space="preserve"> _____________</w:t>
      </w:r>
      <w:r>
        <w:rPr>
          <w:rFonts w:cs="Arial" w:ascii="Arial" w:hAnsi="Arial"/>
          <w:sz w:val="21"/>
          <w:szCs w:val="21"/>
        </w:rPr>
        <w:t>, pessoa jurídica de direito privado, situada na _______________, na cidade de _______- SC, inscrita no CNPJ sob o nº __________, neste ato representada pela sua representante Legal Sra. __________</w:t>
      </w:r>
      <w:r>
        <w:rPr>
          <w:rFonts w:cs="Arial" w:ascii="Arial" w:hAnsi="Arial"/>
          <w:b/>
          <w:bCs/>
          <w:sz w:val="21"/>
          <w:szCs w:val="21"/>
        </w:rPr>
        <w:t>,</w:t>
      </w:r>
      <w:r>
        <w:rPr>
          <w:rFonts w:cs="Arial" w:ascii="Arial" w:hAnsi="Arial"/>
          <w:b w:val="false"/>
          <w:bCs w:val="false"/>
          <w:sz w:val="21"/>
          <w:szCs w:val="21"/>
        </w:rPr>
        <w:t xml:space="preserve"> inscrito no CPF ____.xxx.xxx-__, </w:t>
      </w:r>
      <w:r>
        <w:rPr>
          <w:rFonts w:cs="Arial" w:ascii="Arial" w:hAnsi="Arial"/>
          <w:sz w:val="21"/>
          <w:szCs w:val="21"/>
        </w:rPr>
        <w:t xml:space="preserve">doravante denominada </w:t>
      </w:r>
      <w:r>
        <w:rPr>
          <w:rFonts w:cs="Arial" w:ascii="Arial" w:hAnsi="Arial"/>
          <w:b/>
          <w:bCs/>
          <w:sz w:val="21"/>
          <w:szCs w:val="21"/>
        </w:rPr>
        <w:t>CONTRATADA</w:t>
      </w:r>
      <w:r>
        <w:rPr>
          <w:rFonts w:cs="Arial" w:ascii="Arial" w:hAnsi="Arial"/>
          <w:sz w:val="21"/>
          <w:szCs w:val="21"/>
        </w:rPr>
        <w:t>, ajustam e contratam a execução do objeto descrito abaixo, que se regerá pelo disposto neste Contrato, nas disposições do Decreto Municipal nº 4.072/2024, na Lei Federal 14.133/21 e alterações posteriores, aplicando-se os preceitos de direito público, as normas e princípios de direito administrativo e supletivamente, os princípios da teoria geral dos contratos e as disposições do direito privado.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1. CLÁUSULA PRIMEIRA – DO OBJETO</w:t>
      </w:r>
    </w:p>
    <w:p>
      <w:pPr>
        <w:pStyle w:val="Normal"/>
        <w:widowControl/>
        <w:suppressAutoHyphens w:val="true"/>
        <w:bidi w:val="0"/>
        <w:spacing w:lineRule="auto" w:line="360" w:before="0" w:after="0"/>
        <w:ind w:left="0" w:right="0" w:hanging="0"/>
        <w:jc w:val="both"/>
        <w:rPr>
          <w:rFonts w:ascii="Arial" w:hAnsi="Arial" w:cs="Arial"/>
          <w:b/>
          <w:b/>
          <w:sz w:val="21"/>
          <w:szCs w:val="21"/>
          <w:lang w:eastAsia="zxx"/>
        </w:rPr>
      </w:pPr>
      <w:r>
        <w:rPr>
          <w:rFonts w:cs="Arial" w:ascii="Arial" w:hAnsi="Arial"/>
          <w:b/>
          <w:sz w:val="21"/>
          <w:szCs w:val="21"/>
          <w:lang w:eastAsia="zxx"/>
        </w:rPr>
      </w:r>
    </w:p>
    <w:p>
      <w:pPr>
        <w:pStyle w:val="Normal"/>
        <w:ind w:hanging="0"/>
        <w:jc w:val="both"/>
        <w:rPr/>
      </w:pPr>
      <w:r>
        <w:rPr>
          <w:rStyle w:val="Fontepargpadro"/>
          <w:rFonts w:cs="Arial" w:ascii="Arial" w:hAnsi="Arial"/>
          <w:b w:val="false"/>
          <w:bCs/>
          <w:color w:val="111111"/>
          <w:sz w:val="21"/>
          <w:szCs w:val="21"/>
          <w:u w:val="none"/>
          <w:shd w:fill="auto" w:val="clear"/>
          <w:lang w:eastAsia="zxx"/>
        </w:rPr>
        <w:t>1.1. O objeto deste processo compreende a contratação direta de empresa para</w:t>
      </w:r>
      <w:r>
        <w:rPr>
          <w:rStyle w:val="Fontepargpadro"/>
          <w:rFonts w:eastAsia="Times New Roman" w:cs="Arial" w:ascii="Arial" w:hAnsi="Arial"/>
          <w:b w:val="false"/>
          <w:bCs/>
          <w:color w:val="000000"/>
          <w:kern w:val="0"/>
          <w:sz w:val="21"/>
          <w:szCs w:val="21"/>
          <w:u w:val="none"/>
          <w:shd w:fill="auto" w:val="clear"/>
          <w:lang w:eastAsia="pt-BR" w:bidi="ar-SA"/>
        </w:rPr>
        <w:t xml:space="preserve"> prestação de serviços técnicos especializados em processo de seleção de recursos humanos, a fim de elaborar, realizar e operacionalizar</w:t>
      </w:r>
      <w:r>
        <w:rPr>
          <w:rStyle w:val="Fontepargpadro"/>
          <w:rFonts w:eastAsia="Times New Roman" w:cs="Arial" w:ascii="Arial" w:hAnsi="Arial"/>
          <w:b w:val="false"/>
          <w:bCs/>
          <w:color w:val="111111"/>
          <w:kern w:val="0"/>
          <w:sz w:val="21"/>
          <w:szCs w:val="21"/>
          <w:u w:val="none"/>
          <w:shd w:fill="auto" w:val="clear"/>
          <w:lang w:eastAsia="pt-BR" w:bidi="ar-SA"/>
        </w:rPr>
        <w:t xml:space="preserve"> Processo Seletivo</w:t>
      </w:r>
      <w:r>
        <w:rPr>
          <w:rStyle w:val="Fontepargpadro"/>
          <w:rFonts w:cs="Arial" w:ascii="Arial" w:hAnsi="Arial"/>
          <w:b/>
          <w:bCs/>
          <w:color w:val="111111"/>
          <w:sz w:val="21"/>
          <w:szCs w:val="21"/>
          <w:u w:val="none"/>
          <w:shd w:fill="auto" w:val="clear"/>
          <w:lang w:eastAsia="zxx"/>
        </w:rPr>
        <w:t xml:space="preserve"> </w:t>
      </w:r>
      <w:r>
        <w:rPr>
          <w:rStyle w:val="Fontepargpadro"/>
          <w:rFonts w:cs="Arial" w:ascii="Arial" w:hAnsi="Arial"/>
          <w:b w:val="false"/>
          <w:bCs/>
          <w:color w:val="111111"/>
          <w:sz w:val="21"/>
          <w:szCs w:val="21"/>
          <w:u w:val="none"/>
          <w:shd w:fill="auto" w:val="clear"/>
          <w:lang w:eastAsia="zxx"/>
        </w:rPr>
        <w:t xml:space="preserve">de provas e títulos, destinado </w:t>
      </w:r>
      <w:r>
        <w:rPr>
          <w:rStyle w:val="Fontepargpadro"/>
          <w:rFonts w:eastAsia="TT4Eo00" w:cs="Arial" w:ascii="Arial" w:hAnsi="Arial"/>
          <w:b w:val="false"/>
          <w:bCs/>
          <w:color w:val="000000"/>
          <w:sz w:val="21"/>
          <w:szCs w:val="21"/>
          <w:u w:val="none"/>
          <w:shd w:fill="auto" w:val="clear"/>
          <w:lang w:eastAsia="zxx"/>
        </w:rPr>
        <w:t xml:space="preserve">para admissão de Professor em caráter temporário de excepcional interesse público </w:t>
      </w:r>
      <w:r>
        <w:rPr>
          <w:rStyle w:val="Fontepargpadro"/>
          <w:rFonts w:eastAsia="Times New Roman" w:cs="Arial" w:ascii="Arial" w:hAnsi="Arial"/>
          <w:b w:val="false"/>
          <w:bCs/>
          <w:color w:val="111111"/>
          <w:kern w:val="0"/>
          <w:sz w:val="21"/>
          <w:szCs w:val="21"/>
          <w:u w:val="none"/>
          <w:shd w:fill="auto" w:val="clear"/>
          <w:lang w:eastAsia="pt-BR" w:bidi="ar-SA"/>
        </w:rPr>
        <w:t xml:space="preserve">do município de Lindóia do Sul, </w:t>
      </w:r>
      <w:r>
        <w:rPr>
          <w:rStyle w:val="Fontepargpadro"/>
          <w:rFonts w:cs="Arial" w:ascii="Arial" w:hAnsi="Arial"/>
          <w:b w:val="false"/>
          <w:bCs/>
          <w:color w:val="111111"/>
          <w:sz w:val="21"/>
          <w:szCs w:val="21"/>
          <w:u w:val="none"/>
          <w:shd w:fill="auto" w:val="clear"/>
          <w:lang w:eastAsia="zxx"/>
        </w:rPr>
        <w:t>conforme especificações constantes no Termo de Referência.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pPr>
      <w:r>
        <w:rPr>
          <w:rFonts w:cs="Arial" w:ascii="Arial" w:hAnsi="Arial"/>
          <w:sz w:val="21"/>
          <w:szCs w:val="21"/>
        </w:rPr>
        <w:t>1.2. O</w:t>
      </w:r>
      <w:r>
        <w:rPr>
          <w:rFonts w:eastAsia="Arial" w:cs="Arial" w:ascii="Arial" w:hAnsi="Arial"/>
          <w:sz w:val="21"/>
          <w:szCs w:val="21"/>
        </w:rPr>
        <w:t>s valores encontram-se transcritos a seguir.</w:t>
      </w:r>
    </w:p>
    <w:p>
      <w:pPr>
        <w:pStyle w:val="Normal"/>
        <w:widowControl/>
        <w:suppressAutoHyphens w:val="true"/>
        <w:bidi w:val="0"/>
        <w:spacing w:lineRule="auto" w:line="360" w:before="0" w:after="0"/>
        <w:ind w:left="0" w:right="0" w:hanging="0"/>
        <w:jc w:val="both"/>
        <w:rPr>
          <w:rFonts w:ascii="Arial" w:hAnsi="Arial" w:eastAsia="Arial" w:cs="Arial"/>
          <w:sz w:val="21"/>
          <w:szCs w:val="21"/>
        </w:rPr>
      </w:pPr>
      <w:r>
        <w:rPr>
          <w:rFonts w:eastAsia="Arial"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eastAsia="Arial" w:cs="Arial"/>
          <w:sz w:val="21"/>
          <w:szCs w:val="21"/>
        </w:rPr>
      </w:pPr>
      <w:r>
        <w:rPr>
          <w:rFonts w:eastAsia="Arial"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eastAsia="Arial" w:cs="Arial"/>
          <w:sz w:val="21"/>
          <w:szCs w:val="21"/>
        </w:rPr>
      </w:pPr>
      <w:r>
        <w:rPr>
          <w:rFonts w:eastAsia="Arial" w:cs="Arial" w:ascii="Arial" w:hAnsi="Arial"/>
          <w:sz w:val="21"/>
          <w:szCs w:val="21"/>
        </w:rPr>
      </w:r>
    </w:p>
    <w:tbl>
      <w:tblPr>
        <w:tblW w:w="9174" w:type="dxa"/>
        <w:jc w:val="left"/>
        <w:tblInd w:w="-152" w:type="dxa"/>
        <w:tblLayout w:type="fixed"/>
        <w:tblCellMar>
          <w:top w:w="0" w:type="dxa"/>
          <w:left w:w="70" w:type="dxa"/>
          <w:bottom w:w="0" w:type="dxa"/>
          <w:right w:w="70" w:type="dxa"/>
        </w:tblCellMar>
      </w:tblPr>
      <w:tblGrid>
        <w:gridCol w:w="766"/>
        <w:gridCol w:w="737"/>
        <w:gridCol w:w="688"/>
        <w:gridCol w:w="4413"/>
        <w:gridCol w:w="1249"/>
        <w:gridCol w:w="1320"/>
      </w:tblGrid>
      <w:tr>
        <w:trPr>
          <w:tblHeader w:val="true"/>
          <w:trHeight w:val="567" w:hRule="atLeast"/>
        </w:trPr>
        <w:tc>
          <w:tcPr>
            <w:tcW w:w="9173" w:type="dxa"/>
            <w:gridSpan w:val="6"/>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LOTE 01</w:t>
            </w:r>
          </w:p>
        </w:tc>
      </w:tr>
      <w:tr>
        <w:trPr>
          <w:tblHeader w:val="true"/>
          <w:trHeight w:val="567" w:hRule="atLeast"/>
        </w:trPr>
        <w:tc>
          <w:tcPr>
            <w:tcW w:w="766"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bookmarkStart w:id="3" w:name="_Hlk1285829971"/>
            <w:bookmarkStart w:id="4" w:name="_Hlk1410989651"/>
            <w:bookmarkEnd w:id="3"/>
            <w:bookmarkEnd w:id="4"/>
            <w:r>
              <w:rPr>
                <w:rFonts w:eastAsia="Times New Roman"/>
                <w:b/>
                <w:bCs/>
                <w:color w:val="000000"/>
                <w:sz w:val="20"/>
                <w:szCs w:val="20"/>
                <w:lang w:eastAsia="pt-BR"/>
              </w:rPr>
              <w:t>ITEM</w:t>
            </w:r>
          </w:p>
        </w:tc>
        <w:tc>
          <w:tcPr>
            <w:tcW w:w="737"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QTD</w:t>
            </w:r>
          </w:p>
        </w:tc>
        <w:tc>
          <w:tcPr>
            <w:tcW w:w="688"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UNIDADE</w:t>
            </w:r>
          </w:p>
        </w:tc>
        <w:tc>
          <w:tcPr>
            <w:tcW w:w="4413" w:type="dxa"/>
            <w:tcBorders>
              <w:top w:val="single" w:sz="8" w:space="0" w:color="000000"/>
              <w:left w:val="single" w:sz="8"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DESCRIÇÃO</w:t>
            </w:r>
          </w:p>
        </w:tc>
        <w:tc>
          <w:tcPr>
            <w:tcW w:w="1249" w:type="dxa"/>
            <w:tcBorders>
              <w:top w:val="single" w:sz="8" w:space="0" w:color="000000"/>
              <w:left w:val="single" w:sz="4" w:space="0" w:color="000000"/>
              <w:bottom w:val="single" w:sz="8" w:space="0" w:color="000000"/>
            </w:tcBorders>
            <w:shd w:fill="969696" w:val="clear"/>
            <w:vAlign w:val="center"/>
          </w:tcPr>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 xml:space="preserve">PREÇO ESTIMADO UNITÁRIO </w:t>
            </w:r>
          </w:p>
        </w:tc>
        <w:tc>
          <w:tcPr>
            <w:tcW w:w="1320" w:type="dxa"/>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jc w:val="center"/>
              <w:rPr>
                <w:rFonts w:eastAsia="Times New Roman"/>
                <w:b/>
                <w:b/>
                <w:bCs/>
                <w:color w:val="000000"/>
                <w:sz w:val="20"/>
                <w:szCs w:val="20"/>
                <w:lang w:eastAsia="pt-BR"/>
              </w:rPr>
            </w:pPr>
            <w:r>
              <w:rPr>
                <w:rFonts w:eastAsia="Times New Roman"/>
                <w:b/>
                <w:bCs/>
                <w:color w:val="000000"/>
                <w:sz w:val="20"/>
                <w:szCs w:val="20"/>
                <w:lang w:eastAsia="pt-BR"/>
              </w:rPr>
              <w:t xml:space="preserve">PREÇO </w:t>
            </w:r>
          </w:p>
          <w:p>
            <w:pPr>
              <w:pStyle w:val="Normal"/>
              <w:widowControl w:val="false"/>
              <w:spacing w:lineRule="auto" w:line="240"/>
              <w:jc w:val="center"/>
              <w:rPr>
                <w:rFonts w:eastAsia="Times New Roman"/>
                <w:b/>
                <w:b/>
                <w:bCs/>
                <w:color w:val="000000"/>
                <w:sz w:val="20"/>
                <w:szCs w:val="20"/>
                <w:lang w:eastAsia="pt-BR"/>
              </w:rPr>
            </w:pPr>
            <w:r>
              <w:rPr>
                <w:rFonts w:eastAsia="Times New Roman"/>
                <w:b/>
                <w:bCs/>
                <w:color w:val="000000"/>
                <w:sz w:val="20"/>
                <w:szCs w:val="20"/>
                <w:lang w:eastAsia="pt-BR"/>
              </w:rPr>
              <w:t>ESTIMADO</w:t>
            </w:r>
          </w:p>
          <w:p>
            <w:pPr>
              <w:pStyle w:val="Normal"/>
              <w:widowControl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TOTAL</w:t>
            </w:r>
          </w:p>
        </w:tc>
      </w:tr>
      <w:tr>
        <w:trPr>
          <w:trHeight w:val="567" w:hRule="atLeast"/>
        </w:trPr>
        <w:tc>
          <w:tcPr>
            <w:tcW w:w="766" w:type="dxa"/>
            <w:tcBorders>
              <w:left w:val="single" w:sz="8" w:space="0" w:color="000000"/>
              <w:bottom w:val="single" w:sz="8" w:space="0" w:color="000000"/>
            </w:tcBorders>
            <w:vAlign w:val="center"/>
          </w:tcPr>
          <w:p>
            <w:pPr>
              <w:pStyle w:val="Contedodatabela"/>
              <w:widowControl w:val="false"/>
              <w:snapToGrid w:val="false"/>
              <w:spacing w:before="0" w:after="160"/>
              <w:rPr>
                <w:sz w:val="20"/>
                <w:szCs w:val="20"/>
              </w:rPr>
            </w:pPr>
            <w:r>
              <w:rPr>
                <w:sz w:val="20"/>
                <w:szCs w:val="20"/>
              </w:rPr>
              <w:t>01</w:t>
            </w:r>
          </w:p>
        </w:tc>
        <w:tc>
          <w:tcPr>
            <w:tcW w:w="737" w:type="dxa"/>
            <w:tcBorders>
              <w:left w:val="single" w:sz="8" w:space="0" w:color="000000"/>
              <w:bottom w:val="single" w:sz="8" w:space="0" w:color="000000"/>
            </w:tcBorders>
            <w:vAlign w:val="center"/>
          </w:tcPr>
          <w:p>
            <w:pPr>
              <w:pStyle w:val="Contedodatabela"/>
              <w:widowControl w:val="false"/>
              <w:snapToGrid w:val="false"/>
              <w:spacing w:before="0" w:after="160"/>
              <w:rPr>
                <w:sz w:val="20"/>
                <w:szCs w:val="20"/>
              </w:rPr>
            </w:pPr>
            <w:r>
              <w:rPr>
                <w:sz w:val="20"/>
                <w:szCs w:val="20"/>
              </w:rPr>
              <w:t>01</w:t>
            </w:r>
          </w:p>
        </w:tc>
        <w:tc>
          <w:tcPr>
            <w:tcW w:w="688" w:type="dxa"/>
            <w:tcBorders>
              <w:left w:val="single" w:sz="8" w:space="0" w:color="000000"/>
              <w:bottom w:val="single" w:sz="8" w:space="0" w:color="000000"/>
            </w:tcBorders>
            <w:vAlign w:val="center"/>
          </w:tcPr>
          <w:p>
            <w:pPr>
              <w:pStyle w:val="Normal"/>
              <w:widowControl w:val="false"/>
              <w:snapToGrid w:val="false"/>
              <w:spacing w:before="0" w:after="160"/>
              <w:rPr>
                <w:sz w:val="20"/>
                <w:szCs w:val="20"/>
              </w:rPr>
            </w:pPr>
            <w:r>
              <w:rPr>
                <w:sz w:val="20"/>
                <w:szCs w:val="20"/>
              </w:rPr>
              <w:t>Serv.</w:t>
            </w:r>
          </w:p>
        </w:tc>
        <w:tc>
          <w:tcPr>
            <w:tcW w:w="4413" w:type="dxa"/>
            <w:tcBorders>
              <w:left w:val="single" w:sz="8" w:space="0" w:color="000000"/>
              <w:bottom w:val="single" w:sz="4" w:space="0" w:color="000000"/>
            </w:tcBorders>
            <w:vAlign w:val="center"/>
          </w:tcPr>
          <w:p>
            <w:pPr>
              <w:pStyle w:val="Normal"/>
              <w:widowControl w:val="false"/>
              <w:snapToGrid w:val="false"/>
              <w:spacing w:before="0" w:after="160"/>
              <w:jc w:val="both"/>
              <w:rPr/>
            </w:pPr>
            <w:bookmarkStart w:id="5" w:name="_Hlk1738275171"/>
            <w:r>
              <w:rPr>
                <w:rFonts w:eastAsia="Times New Roman"/>
                <w:color w:val="000000"/>
                <w:kern w:val="0"/>
                <w:sz w:val="20"/>
                <w:szCs w:val="20"/>
                <w:lang w:eastAsia="pt-BR" w:bidi="ar-SA"/>
              </w:rPr>
              <w:t xml:space="preserve">Contratação de empresa para prestação de serviços técnico-especializados em processo de seleção de recursos humanos, a fim de elaborar, realizar e operacionalizar Processo Seletivo </w:t>
            </w:r>
            <w:r>
              <w:rPr>
                <w:sz w:val="20"/>
                <w:szCs w:val="20"/>
              </w:rPr>
              <w:t xml:space="preserve">de provas e títulos, destinado </w:t>
            </w:r>
            <w:r>
              <w:rPr>
                <w:rFonts w:eastAsia="TT4Eo00"/>
                <w:color w:val="000000"/>
                <w:sz w:val="20"/>
                <w:szCs w:val="20"/>
              </w:rPr>
              <w:t xml:space="preserve">para admissão de Professor em caráter temporário de excepcional interesse público </w:t>
            </w:r>
            <w:r>
              <w:rPr>
                <w:rFonts w:eastAsia="Times New Roman"/>
                <w:kern w:val="0"/>
                <w:sz w:val="20"/>
                <w:szCs w:val="20"/>
                <w:lang w:eastAsia="pt-BR" w:bidi="ar-SA"/>
              </w:rPr>
              <w:t>do município de Lindóia do Sul.</w:t>
            </w:r>
            <w:bookmarkEnd w:id="5"/>
          </w:p>
        </w:tc>
        <w:tc>
          <w:tcPr>
            <w:tcW w:w="1249" w:type="dxa"/>
            <w:tcBorders>
              <w:left w:val="single" w:sz="4" w:space="0" w:color="000000"/>
              <w:bottom w:val="single" w:sz="8" w:space="0" w:color="000000"/>
            </w:tcBorders>
            <w:vAlign w:val="center"/>
          </w:tcPr>
          <w:p>
            <w:pPr>
              <w:pStyle w:val="Normal"/>
              <w:widowControl w:val="false"/>
              <w:snapToGrid w:val="false"/>
              <w:spacing w:lineRule="auto" w:line="240" w:before="0" w:after="160"/>
              <w:rPr/>
            </w:pPr>
            <w:r>
              <w:rPr>
                <w:rFonts w:eastAsia="Times New Roman"/>
                <w:color w:val="000000"/>
                <w:sz w:val="20"/>
                <w:szCs w:val="20"/>
                <w:lang w:eastAsia="pt-BR"/>
              </w:rPr>
              <w:t>R$ 4.400,00</w:t>
            </w:r>
          </w:p>
        </w:tc>
        <w:tc>
          <w:tcPr>
            <w:tcW w:w="1320" w:type="dxa"/>
            <w:tcBorders>
              <w:left w:val="single" w:sz="8" w:space="0" w:color="000000"/>
              <w:bottom w:val="single" w:sz="8" w:space="0" w:color="000000"/>
              <w:right w:val="single" w:sz="8" w:space="0" w:color="000000"/>
            </w:tcBorders>
            <w:vAlign w:val="center"/>
          </w:tcPr>
          <w:p>
            <w:pPr>
              <w:pStyle w:val="Normal"/>
              <w:widowControl w:val="false"/>
              <w:snapToGrid w:val="false"/>
              <w:spacing w:lineRule="auto" w:line="240" w:before="0" w:after="160"/>
              <w:rPr/>
            </w:pPr>
            <w:r>
              <w:rPr>
                <w:sz w:val="20"/>
                <w:szCs w:val="20"/>
              </w:rPr>
              <w:t>R$ 4.400,00</w:t>
            </w:r>
          </w:p>
        </w:tc>
      </w:tr>
      <w:tr>
        <w:trPr>
          <w:trHeight w:val="567" w:hRule="atLeast"/>
        </w:trPr>
        <w:tc>
          <w:tcPr>
            <w:tcW w:w="7853" w:type="dxa"/>
            <w:gridSpan w:val="5"/>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napToGrid w:val="false"/>
              <w:spacing w:lineRule="auto" w:line="240" w:before="0" w:after="160"/>
              <w:jc w:val="center"/>
              <w:rPr>
                <w:rFonts w:eastAsia="Times New Roman"/>
                <w:b/>
                <w:b/>
                <w:bCs/>
                <w:color w:val="000000"/>
                <w:sz w:val="20"/>
                <w:szCs w:val="20"/>
                <w:lang w:eastAsia="pt-BR"/>
              </w:rPr>
            </w:pPr>
            <w:r>
              <w:rPr>
                <w:rFonts w:eastAsia="Times New Roman"/>
                <w:b/>
                <w:bCs/>
                <w:color w:val="000000"/>
                <w:sz w:val="20"/>
                <w:szCs w:val="20"/>
                <w:lang w:eastAsia="pt-BR"/>
              </w:rPr>
              <w:t>TOTAL</w:t>
            </w:r>
          </w:p>
        </w:tc>
        <w:tc>
          <w:tcPr>
            <w:tcW w:w="132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widowControl w:val="false"/>
              <w:snapToGrid w:val="false"/>
              <w:spacing w:lineRule="auto" w:line="240" w:before="0" w:after="160"/>
              <w:jc w:val="center"/>
              <w:rPr/>
            </w:pPr>
            <w:r>
              <w:rPr>
                <w:b/>
                <w:bCs/>
                <w:sz w:val="20"/>
                <w:szCs w:val="20"/>
              </w:rPr>
              <w:t>R$ 4.400,00</w:t>
            </w:r>
          </w:p>
        </w:tc>
      </w:tr>
    </w:tbl>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2. CLÁUSULA SEGUNDA – DA EXECUÇÃO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2.1. O objeto será executado segundo a proposta apresentada, o Termo de Referência (cujo conteúdo é parte integrante deste contrato) e os termos do processo administrativo de dispensa de licitação.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before="0" w:after="200"/>
        <w:jc w:val="both"/>
        <w:rPr>
          <w:rFonts w:ascii="Arial" w:hAnsi="Arial"/>
          <w:sz w:val="21"/>
          <w:szCs w:val="21"/>
        </w:rPr>
      </w:pPr>
      <w:r>
        <w:rPr>
          <w:rFonts w:ascii="Arial" w:hAnsi="Arial"/>
          <w:color w:val="000000"/>
          <w:sz w:val="21"/>
          <w:szCs w:val="21"/>
        </w:rPr>
        <w:t>2.2. A execução deverá atender aos seguintes requisitos técnicos para a realização do objeto:</w:t>
      </w:r>
    </w:p>
    <w:p>
      <w:pPr>
        <w:pStyle w:val="PargrafodaLista"/>
        <w:numPr>
          <w:ilvl w:val="0"/>
          <w:numId w:val="2"/>
        </w:numPr>
        <w:spacing w:before="0" w:after="200"/>
        <w:ind w:left="720" w:right="0" w:hanging="360"/>
        <w:contextualSpacing/>
        <w:jc w:val="both"/>
        <w:rPr>
          <w:rFonts w:ascii="Arial" w:hAnsi="Arial"/>
          <w:sz w:val="21"/>
          <w:szCs w:val="21"/>
        </w:rPr>
      </w:pPr>
      <w:r>
        <w:rPr>
          <w:rFonts w:cs="Arial" w:ascii="Arial" w:hAnsi="Arial"/>
          <w:color w:val="000000"/>
          <w:sz w:val="21"/>
          <w:szCs w:val="21"/>
        </w:rPr>
        <w:t>Planejamento;</w:t>
      </w:r>
    </w:p>
    <w:p>
      <w:pPr>
        <w:pStyle w:val="PargrafodaLista"/>
        <w:numPr>
          <w:ilvl w:val="0"/>
          <w:numId w:val="2"/>
        </w:numPr>
        <w:spacing w:before="0" w:after="200"/>
        <w:ind w:left="720" w:right="0" w:hanging="360"/>
        <w:contextualSpacing/>
        <w:jc w:val="both"/>
        <w:rPr>
          <w:rFonts w:ascii="Arial" w:hAnsi="Arial"/>
          <w:sz w:val="21"/>
          <w:szCs w:val="21"/>
        </w:rPr>
      </w:pPr>
      <w:r>
        <w:rPr>
          <w:rFonts w:cs="Arial" w:ascii="Arial" w:hAnsi="Arial"/>
          <w:color w:val="000000"/>
          <w:sz w:val="21"/>
          <w:szCs w:val="21"/>
        </w:rPr>
        <w:t>Organização;</w:t>
      </w:r>
    </w:p>
    <w:p>
      <w:pPr>
        <w:pStyle w:val="PargrafodaLista"/>
        <w:numPr>
          <w:ilvl w:val="0"/>
          <w:numId w:val="2"/>
        </w:numPr>
        <w:spacing w:before="0" w:after="200"/>
        <w:ind w:left="720" w:right="0" w:hanging="360"/>
        <w:contextualSpacing/>
        <w:jc w:val="both"/>
        <w:rPr>
          <w:rFonts w:ascii="Arial" w:hAnsi="Arial" w:cs="Arial"/>
          <w:color w:val="000000"/>
          <w:sz w:val="21"/>
          <w:szCs w:val="21"/>
        </w:rPr>
      </w:pPr>
      <w:r>
        <w:rPr>
          <w:rFonts w:cs="Arial" w:ascii="Arial" w:hAnsi="Arial"/>
          <w:color w:val="000000"/>
          <w:sz w:val="21"/>
          <w:szCs w:val="21"/>
        </w:rPr>
        <w:t>Coordenação;</w:t>
      </w:r>
    </w:p>
    <w:p>
      <w:pPr>
        <w:pStyle w:val="PargrafodaLista"/>
        <w:numPr>
          <w:ilvl w:val="0"/>
          <w:numId w:val="2"/>
        </w:numPr>
        <w:spacing w:before="0" w:after="200"/>
        <w:ind w:left="720" w:right="0" w:hanging="360"/>
        <w:contextualSpacing/>
        <w:jc w:val="both"/>
        <w:rPr>
          <w:rFonts w:ascii="Arial" w:hAnsi="Arial"/>
          <w:sz w:val="21"/>
          <w:szCs w:val="21"/>
        </w:rPr>
      </w:pPr>
      <w:r>
        <w:rPr>
          <w:rFonts w:cs="Arial" w:ascii="Arial" w:hAnsi="Arial"/>
          <w:color w:val="000000"/>
          <w:sz w:val="21"/>
          <w:szCs w:val="21"/>
        </w:rPr>
        <w:t>Execução.</w:t>
      </w:r>
    </w:p>
    <w:p>
      <w:pPr>
        <w:pStyle w:val="Normal"/>
        <w:suppressAutoHyphens w:val="false"/>
        <w:spacing w:lineRule="auto" w:line="360" w:before="0" w:after="160"/>
        <w:ind w:hanging="0"/>
        <w:jc w:val="both"/>
        <w:rPr>
          <w:rFonts w:ascii="Arial" w:hAnsi="Arial"/>
          <w:sz w:val="21"/>
          <w:szCs w:val="21"/>
        </w:rPr>
      </w:pPr>
      <w:r>
        <w:rPr>
          <w:rFonts w:eastAsia="Calibri" w:cs="Arial" w:ascii="Arial" w:hAnsi="Arial"/>
          <w:color w:val="000000"/>
          <w:kern w:val="2"/>
          <w:sz w:val="21"/>
          <w:szCs w:val="21"/>
          <w:lang w:eastAsia="en-US" w:bidi="ar-SA"/>
        </w:rPr>
        <w:t xml:space="preserve">2.1.1. </w:t>
      </w:r>
      <w:r>
        <w:rPr>
          <w:rFonts w:eastAsia="Calibri" w:ascii="Arial" w:hAnsi="Arial"/>
          <w:kern w:val="2"/>
          <w:sz w:val="21"/>
          <w:szCs w:val="21"/>
          <w:lang w:eastAsia="en-US" w:bidi="ar-SA"/>
        </w:rPr>
        <w:t>Executar todas as atividades relativas ao Processo Seletivo, bem como a elaboração dos documentos básicos fornecendo os materiais e os serviços técnicos de aplicação das provas, conforme Termo de Referência e previsões editalícias;</w:t>
      </w:r>
    </w:p>
    <w:p>
      <w:pPr>
        <w:pStyle w:val="Normal"/>
        <w:suppressAutoHyphens w:val="false"/>
        <w:spacing w:lineRule="auto" w:line="360" w:before="0" w:after="160"/>
        <w:ind w:hanging="0"/>
        <w:jc w:val="both"/>
        <w:rPr>
          <w:rFonts w:eastAsia="Calibri"/>
          <w:kern w:val="2"/>
          <w:lang w:eastAsia="en-US" w:bidi="ar-SA"/>
        </w:rPr>
      </w:pPr>
      <w:r>
        <w:rPr>
          <w:rFonts w:eastAsia="Calibri"/>
          <w:kern w:val="2"/>
          <w:lang w:eastAsia="en-US" w:bidi="ar-SA"/>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2.1.2. A empresa CONTRATADA ficará responsável por todos os procedimentos administrativos e pelo fornecimento de todo o material necessário para realização do certame.</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2.1.3. O objeto abrange todos os serviços, atos, procedimentos, deslocamento, atividades e fornecimentos de mão de obra e material necessários ao seu pleno, total e integral cumprimento, bem como todas as demais atribuições e responsabilidades para o fiel cumprimento do objeto.</w:t>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 xml:space="preserve"> </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2.1.4. No preço cotado já deverá estar incluído eventuais vantagens e/ou abatimentos, impostos, taxas e encargos sociais, obrigações trabalhistas, previdenciárias, fiscais e comerciais, assim como despesas com transportes e deslocamentos e outros quaisquer que incidam sobre a contratação.</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2.1.5. As questões/provas deverão ser inéditas, elaboradas, avaliadas e revisadas por profissionais especializados no conteúdo específico da matéria, criteriosamente selecionados por sua titulação, experiência, competência e idoneidade;</w:t>
      </w:r>
    </w:p>
    <w:p>
      <w:pPr>
        <w:pStyle w:val="Normal"/>
        <w:suppressAutoHyphens w:val="false"/>
        <w:spacing w:lineRule="auto" w:line="360" w:before="120" w:after="120"/>
        <w:ind w:hanging="0"/>
        <w:jc w:val="both"/>
        <w:rPr>
          <w:rFonts w:eastAsia="Calibri"/>
          <w:kern w:val="0"/>
          <w:lang w:eastAsia="en-US" w:bidi="ar-SA"/>
        </w:rPr>
      </w:pPr>
      <w:r>
        <w:rPr>
          <w:rFonts w:eastAsia="Calibri"/>
          <w:kern w:val="0"/>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2.1.6. A proponente deverá possuir sistema de correção de provas por leitura óptica.</w:t>
      </w:r>
    </w:p>
    <w:p>
      <w:pPr>
        <w:pStyle w:val="Normal"/>
        <w:suppressAutoHyphens w:val="false"/>
        <w:spacing w:lineRule="auto" w:line="360" w:before="120" w:after="120"/>
        <w:ind w:hanging="0"/>
        <w:jc w:val="both"/>
        <w:rPr>
          <w:rFonts w:eastAsia="Calibri"/>
          <w:kern w:val="0"/>
          <w:lang w:eastAsia="en-US" w:bidi="ar-SA"/>
        </w:rPr>
      </w:pPr>
      <w:r>
        <w:rPr>
          <w:rFonts w:eastAsia="Calibri"/>
          <w:kern w:val="0"/>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2.1.7. A Empresa será responsável pela elaboração de relatórios contendo os nomes e números de inscrição dos candidatos (homologação das inscrições), das listas de presença na data da prova, de relatórios contendo notas individuais em cada disciplina por cargo, de relatórios contendo número de acertos feitos pelo candidato em cada disciplina, de pareceres referentes a possíveis recursos ou reclamações administrativas, de relatórios dos candidatos empatados, relatório do resultado do processo de seleção por ordem de classificação.</w:t>
      </w:r>
    </w:p>
    <w:p>
      <w:pPr>
        <w:pStyle w:val="Normal"/>
        <w:suppressAutoHyphens w:val="false"/>
        <w:spacing w:lineRule="auto" w:line="360" w:before="120" w:after="120"/>
        <w:ind w:hanging="0"/>
        <w:jc w:val="both"/>
        <w:rPr>
          <w:rFonts w:eastAsia="Calibri"/>
          <w:kern w:val="0"/>
          <w:lang w:eastAsia="en-US" w:bidi="ar-SA"/>
        </w:rPr>
      </w:pPr>
      <w:r>
        <w:rPr>
          <w:rFonts w:eastAsia="Calibri"/>
          <w:kern w:val="0"/>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2.1.8. A Empresa será responsável pelas inscrições via internet, através de site próprio, com disponibilidade de ficha de inscrição on-line e geração de boleto bancário com código de barras para pagamento em rede bancária;</w:t>
      </w:r>
    </w:p>
    <w:p>
      <w:pPr>
        <w:pStyle w:val="Normal"/>
        <w:suppressAutoHyphens w:val="false"/>
        <w:spacing w:lineRule="auto" w:line="360" w:before="120" w:after="120"/>
        <w:ind w:hanging="0"/>
        <w:jc w:val="both"/>
        <w:rPr>
          <w:rFonts w:eastAsia="Calibri"/>
          <w:kern w:val="0"/>
          <w:lang w:eastAsia="en-US" w:bidi="ar-SA"/>
        </w:rPr>
      </w:pPr>
      <w:r>
        <w:rPr>
          <w:rFonts w:eastAsia="Calibri"/>
          <w:kern w:val="0"/>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2.1.9. A Empresa será responsável pela elaboração, digitação, revisão técnica das provas por profissionais habilitados e aplicação das mesmas, com transporte até os locais destinados, devidamente lacradas e indevassáveis, garantindo o sigilo e segurança indispensáveis à lisura do Processo;</w:t>
      </w:r>
    </w:p>
    <w:p>
      <w:pPr>
        <w:pStyle w:val="Normal"/>
        <w:suppressAutoHyphens w:val="false"/>
        <w:spacing w:lineRule="auto" w:line="360" w:before="120" w:after="120"/>
        <w:ind w:hanging="0"/>
        <w:jc w:val="both"/>
        <w:rPr>
          <w:rFonts w:eastAsia="Calibri"/>
          <w:kern w:val="0"/>
          <w:lang w:eastAsia="en-US" w:bidi="ar-SA"/>
        </w:rPr>
      </w:pPr>
      <w:r>
        <w:rPr>
          <w:rFonts w:eastAsia="Calibri"/>
          <w:kern w:val="0"/>
          <w:lang w:eastAsia="en-US" w:bidi="ar-SA"/>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2.1.10. A Empresa será responsável pelas provas com questões teórico objetiva de múltipla escolha com 04 (quatro) alternativas (A, B, C, D) e 01 (uma) única resposta correta;</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2.1.11. A Empresa será responsável pela aplicação das provas, sinalização do local das provas, designação de Comissão Executiva de Coordenação, e designação de banca de fiscalização (fiscais) com o devido treinamento teórico-prático;</w:t>
      </w:r>
    </w:p>
    <w:p>
      <w:pPr>
        <w:pStyle w:val="Normal"/>
        <w:suppressAutoHyphens w:val="false"/>
        <w:spacing w:lineRule="auto" w:line="360" w:before="120" w:after="120"/>
        <w:ind w:hanging="0"/>
        <w:jc w:val="both"/>
        <w:rPr>
          <w:rFonts w:eastAsia="Calibri"/>
          <w:kern w:val="0"/>
          <w:lang w:eastAsia="en-US" w:bidi="ar-SA"/>
        </w:rPr>
      </w:pPr>
      <w:r>
        <w:rPr>
          <w:rFonts w:eastAsia="Calibri"/>
          <w:kern w:val="0"/>
          <w:lang w:eastAsia="en-US" w:bidi="ar-SA"/>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2.1.12. A Empresa será responsável pela confecção dos cadernos de provas escritas, com padronização de linguagem, revisão e diagramação, conforme o número de candidatos inscritos para cada cargo;</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2.1.13. A Empresa será responsável pela divulgação do gabarito oficial de todas as provas objetivas, em um prazo máximo de até 24 horas após a realização delas;</w:t>
      </w:r>
    </w:p>
    <w:p>
      <w:pPr>
        <w:pStyle w:val="Normal"/>
        <w:suppressAutoHyphens w:val="false"/>
        <w:spacing w:lineRule="auto" w:line="360" w:before="120" w:after="120"/>
        <w:ind w:hanging="0"/>
        <w:jc w:val="both"/>
        <w:rPr>
          <w:rFonts w:eastAsia="Calibri"/>
          <w:kern w:val="0"/>
          <w:lang w:eastAsia="en-US" w:bidi="ar-SA"/>
        </w:rPr>
      </w:pPr>
      <w:r>
        <w:rPr>
          <w:rFonts w:eastAsia="Calibri"/>
          <w:kern w:val="0"/>
          <w:lang w:eastAsia="en-US" w:bidi="ar-SA"/>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2.1.14. A Empresa será responsável pela correção dos cartões de respostas das provas escritas através de leitura óptica;</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2.1.15. A Empresa será responsável pela publicação de todos os atos referentes ao Processo de Seleção no site da CONTRATADA;</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2.1.16. A Empresa será responsável pelas informações aos candidatos em sua sede, por e-mail e/ou telefone, em todas as fases do processo de seleção;</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2.1.17. A Empresa será responsável pelos demais atos relacionados aos Processos de Seleção, com prestação de apoio técnico-jurídico à CONTRATANTE em todas as etapas dos certames;</w:t>
      </w:r>
    </w:p>
    <w:p>
      <w:pPr>
        <w:pStyle w:val="Normal"/>
        <w:suppressAutoHyphens w:val="false"/>
        <w:spacing w:lineRule="auto" w:line="360" w:before="120" w:after="120"/>
        <w:ind w:hanging="0"/>
        <w:jc w:val="both"/>
        <w:rPr>
          <w:rFonts w:eastAsia="Calibri"/>
          <w:kern w:val="0"/>
          <w:lang w:eastAsia="en-US" w:bidi="ar-SA"/>
        </w:rPr>
      </w:pPr>
      <w:r>
        <w:rPr>
          <w:rFonts w:eastAsia="Calibri"/>
          <w:kern w:val="0"/>
          <w:lang w:eastAsia="en-US" w:bidi="ar-SA"/>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2.1.18. Para contabilizar as notas, a prova de títulos considerará pontos de acordo com o nível de formação, bem como o tempo de serviço na área, e terá peso de 30% na nota final, os critérios serão definidos posteriormente na elaboração do edital. </w:t>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2.1.19. A prova teórica escrita, será composta por 20 questões, sendo 10 questões de conhecimentos específicos, 5 questões de língua portuguesa e 5 questões de conhecimentos sobre o município de Lindóia do Sul e conhecimentos gerais/atualidades. A somatória de pontos da prova teórica terá peso de 70% da nota final.</w:t>
      </w:r>
    </w:p>
    <w:p>
      <w:pPr>
        <w:pStyle w:val="Normal"/>
        <w:suppressAutoHyphens w:val="false"/>
        <w:spacing w:lineRule="auto" w:line="360" w:before="120" w:after="120"/>
        <w:ind w:hanging="0"/>
        <w:jc w:val="both"/>
        <w:rPr>
          <w:rFonts w:eastAsia="Calibri"/>
          <w:kern w:val="0"/>
          <w:lang w:eastAsia="en-US" w:bidi="ar-SA"/>
        </w:rPr>
      </w:pPr>
      <w:r>
        <w:rPr>
          <w:rFonts w:eastAsia="Calibri"/>
          <w:kern w:val="0"/>
          <w:lang w:eastAsia="en-US" w:bidi="ar-SA"/>
        </w:rPr>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t>2.1.20. Cada participante poderá se inscrever para até 2 vagas, e nesse caso, pagará duas inscrições.</w:t>
      </w:r>
    </w:p>
    <w:p>
      <w:pPr>
        <w:pStyle w:val="Normal"/>
        <w:suppressAutoHyphens w:val="false"/>
        <w:spacing w:lineRule="auto" w:line="360" w:before="120" w:after="120"/>
        <w:ind w:hanging="0"/>
        <w:jc w:val="both"/>
        <w:rPr>
          <w:rFonts w:ascii="Arial" w:hAnsi="Arial" w:eastAsia="Calibri"/>
          <w:kern w:val="0"/>
          <w:sz w:val="21"/>
          <w:szCs w:val="21"/>
          <w:lang w:eastAsia="en-US" w:bidi="ar-SA"/>
        </w:rPr>
      </w:pPr>
      <w:r>
        <w:rPr>
          <w:rFonts w:eastAsia="Calibri" w:ascii="Arial" w:hAnsi="Arial"/>
          <w:kern w:val="0"/>
          <w:sz w:val="21"/>
          <w:szCs w:val="21"/>
          <w:lang w:eastAsia="en-US" w:bidi="ar-SA"/>
        </w:rPr>
      </w:r>
    </w:p>
    <w:p>
      <w:pPr>
        <w:pStyle w:val="Normal"/>
        <w:suppressAutoHyphens w:val="false"/>
        <w:spacing w:lineRule="auto" w:line="360" w:before="120" w:after="120"/>
        <w:ind w:hanging="0"/>
        <w:jc w:val="both"/>
        <w:rPr>
          <w:rFonts w:ascii="Arial" w:hAnsi="Arial"/>
          <w:sz w:val="21"/>
          <w:szCs w:val="21"/>
        </w:rPr>
      </w:pPr>
      <w:r>
        <w:rPr>
          <w:rFonts w:eastAsia="Calibri" w:ascii="Arial" w:hAnsi="Arial"/>
          <w:kern w:val="0"/>
          <w:sz w:val="21"/>
          <w:szCs w:val="21"/>
          <w:lang w:eastAsia="en-US" w:bidi="ar-SA"/>
        </w:rPr>
        <w:t>2.1.21. As provas serão elaboradas de acordo com os cargos descritos abaixo, todos com exigência mínima de nível superior.</w:t>
      </w:r>
    </w:p>
    <w:p>
      <w:pPr>
        <w:pStyle w:val="Normal"/>
        <w:suppressAutoHyphens w:val="false"/>
        <w:spacing w:lineRule="auto" w:line="360" w:before="120" w:after="120"/>
        <w:jc w:val="both"/>
        <w:rPr>
          <w:rFonts w:ascii="Arial" w:hAnsi="Arial"/>
          <w:sz w:val="21"/>
          <w:szCs w:val="21"/>
        </w:rPr>
      </w:pPr>
      <w:r>
        <w:rPr>
          <w:rFonts w:ascii="Arial" w:hAnsi="Arial"/>
          <w:sz w:val="21"/>
          <w:szCs w:val="21"/>
        </w:rPr>
        <w:t>Descrição dos cargos:</w:t>
      </w:r>
    </w:p>
    <w:tbl>
      <w:tblPr>
        <w:tblW w:w="9492" w:type="dxa"/>
        <w:jc w:val="center"/>
        <w:tblInd w:w="0" w:type="dxa"/>
        <w:tblLayout w:type="fixed"/>
        <w:tblCellMar>
          <w:top w:w="0" w:type="dxa"/>
          <w:left w:w="108" w:type="dxa"/>
          <w:bottom w:w="0" w:type="dxa"/>
          <w:right w:w="108" w:type="dxa"/>
        </w:tblCellMar>
      </w:tblPr>
      <w:tblGrid>
        <w:gridCol w:w="8075"/>
        <w:gridCol w:w="1416"/>
      </w:tblGrid>
      <w:tr>
        <w:trPr/>
        <w:tc>
          <w:tcPr>
            <w:tcW w:w="807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160"/>
              <w:jc w:val="center"/>
              <w:rPr>
                <w:rFonts w:ascii="Arial" w:hAnsi="Arial" w:eastAsia="Calibri"/>
                <w:b/>
                <w:b/>
                <w:bCs/>
                <w:kern w:val="0"/>
                <w:sz w:val="21"/>
                <w:szCs w:val="21"/>
                <w:lang w:eastAsia="en-US" w:bidi="ar-SA"/>
              </w:rPr>
            </w:pPr>
            <w:r>
              <w:rPr>
                <w:rFonts w:eastAsia="Calibri" w:ascii="Arial" w:hAnsi="Arial"/>
                <w:b/>
                <w:bCs/>
                <w:kern w:val="0"/>
                <w:sz w:val="21"/>
                <w:szCs w:val="21"/>
                <w:lang w:eastAsia="en-US" w:bidi="ar-SA"/>
              </w:rPr>
              <w:t>Cargo</w:t>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160"/>
              <w:jc w:val="center"/>
              <w:rPr>
                <w:rFonts w:ascii="Arial" w:hAnsi="Arial" w:eastAsia="Calibri"/>
                <w:b/>
                <w:b/>
                <w:bCs/>
                <w:kern w:val="0"/>
                <w:sz w:val="21"/>
                <w:szCs w:val="21"/>
                <w:lang w:eastAsia="en-US" w:bidi="ar-SA"/>
              </w:rPr>
            </w:pPr>
            <w:r>
              <w:rPr>
                <w:rFonts w:eastAsia="Calibri" w:ascii="Arial" w:hAnsi="Arial"/>
                <w:b/>
                <w:bCs/>
                <w:kern w:val="0"/>
                <w:sz w:val="21"/>
                <w:szCs w:val="21"/>
                <w:lang w:eastAsia="en-US" w:bidi="ar-SA"/>
              </w:rPr>
              <w:t>Nível</w:t>
            </w:r>
          </w:p>
        </w:tc>
      </w:tr>
      <w:tr>
        <w:trPr/>
        <w:tc>
          <w:tcPr>
            <w:tcW w:w="807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160"/>
              <w:jc w:val="both"/>
              <w:rPr>
                <w:rFonts w:ascii="Arial" w:hAnsi="Arial" w:eastAsia="Calibri"/>
                <w:kern w:val="0"/>
                <w:sz w:val="21"/>
                <w:szCs w:val="21"/>
                <w:lang w:eastAsia="en-US" w:bidi="ar-SA"/>
              </w:rPr>
            </w:pPr>
            <w:r>
              <w:rPr>
                <w:rFonts w:eastAsia="Calibri" w:ascii="Arial" w:hAnsi="Arial"/>
                <w:kern w:val="0"/>
                <w:sz w:val="21"/>
                <w:szCs w:val="21"/>
                <w:lang w:eastAsia="en-US" w:bidi="ar-SA"/>
              </w:rPr>
              <w:t xml:space="preserve">Professor de Educação Infantil </w:t>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160"/>
              <w:jc w:val="both"/>
              <w:rPr>
                <w:rFonts w:ascii="Arial" w:hAnsi="Arial" w:eastAsia="Calibri"/>
                <w:kern w:val="0"/>
                <w:sz w:val="21"/>
                <w:szCs w:val="21"/>
                <w:lang w:eastAsia="en-US" w:bidi="ar-SA"/>
              </w:rPr>
            </w:pPr>
            <w:r>
              <w:rPr>
                <w:rFonts w:eastAsia="Calibri" w:ascii="Arial" w:hAnsi="Arial"/>
                <w:kern w:val="0"/>
                <w:sz w:val="21"/>
                <w:szCs w:val="21"/>
                <w:lang w:eastAsia="en-US" w:bidi="ar-SA"/>
              </w:rPr>
              <w:t>Superior</w:t>
            </w:r>
          </w:p>
        </w:tc>
      </w:tr>
      <w:tr>
        <w:trPr/>
        <w:tc>
          <w:tcPr>
            <w:tcW w:w="807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160"/>
              <w:jc w:val="both"/>
              <w:rPr>
                <w:rFonts w:ascii="Arial" w:hAnsi="Arial" w:eastAsia="Calibri"/>
                <w:kern w:val="0"/>
                <w:sz w:val="21"/>
                <w:szCs w:val="21"/>
                <w:lang w:eastAsia="en-US" w:bidi="ar-SA"/>
              </w:rPr>
            </w:pPr>
            <w:r>
              <w:rPr>
                <w:rFonts w:eastAsia="Calibri" w:ascii="Arial" w:hAnsi="Arial"/>
                <w:kern w:val="0"/>
                <w:sz w:val="21"/>
                <w:szCs w:val="21"/>
                <w:lang w:eastAsia="en-US" w:bidi="ar-SA"/>
              </w:rPr>
              <w:t>Professor de Ensino Fundamental</w:t>
            </w:r>
          </w:p>
        </w:tc>
        <w:tc>
          <w:tcPr>
            <w:tcW w:w="141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false"/>
              <w:spacing w:lineRule="auto" w:line="240" w:before="0" w:after="160"/>
              <w:jc w:val="both"/>
              <w:rPr>
                <w:rFonts w:ascii="Arial" w:hAnsi="Arial" w:eastAsia="Calibri"/>
                <w:kern w:val="0"/>
                <w:sz w:val="21"/>
                <w:szCs w:val="21"/>
                <w:lang w:eastAsia="en-US" w:bidi="ar-SA"/>
              </w:rPr>
            </w:pPr>
            <w:r>
              <w:rPr>
                <w:rFonts w:eastAsia="Calibri" w:ascii="Arial" w:hAnsi="Arial"/>
                <w:kern w:val="0"/>
                <w:sz w:val="21"/>
                <w:szCs w:val="21"/>
                <w:lang w:eastAsia="en-US" w:bidi="ar-SA"/>
              </w:rPr>
              <w:t>Superior</w:t>
            </w:r>
          </w:p>
        </w:tc>
      </w:tr>
    </w:tbl>
    <w:p>
      <w:pPr>
        <w:pStyle w:val="Normal"/>
        <w:suppressAutoHyphens w:val="false"/>
        <w:spacing w:lineRule="auto" w:line="360" w:before="0" w:after="160"/>
        <w:jc w:val="both"/>
        <w:rPr>
          <w:rFonts w:ascii="Arial" w:hAnsi="Arial" w:eastAsia="Calibri"/>
          <w:kern w:val="2"/>
          <w:sz w:val="21"/>
          <w:szCs w:val="21"/>
          <w:lang w:eastAsia="en-US" w:bidi="ar-SA"/>
        </w:rPr>
      </w:pPr>
      <w:r>
        <w:rPr>
          <w:rFonts w:eastAsia="Calibri" w:ascii="Arial" w:hAnsi="Arial"/>
          <w:kern w:val="2"/>
          <w:sz w:val="21"/>
          <w:szCs w:val="21"/>
          <w:lang w:eastAsia="en-US" w:bidi="ar-SA"/>
        </w:rPr>
      </w:r>
    </w:p>
    <w:p>
      <w:pPr>
        <w:pStyle w:val="Normal"/>
        <w:tabs>
          <w:tab w:val="clear" w:pos="708"/>
          <w:tab w:val="left" w:pos="567" w:leader="none"/>
          <w:tab w:val="left" w:pos="2340" w:leader="none"/>
          <w:tab w:val="left" w:pos="4464" w:leader="none"/>
        </w:tabs>
        <w:spacing w:lineRule="auto" w:line="360" w:before="142" w:after="142"/>
        <w:ind w:hanging="0"/>
        <w:jc w:val="both"/>
        <w:rPr>
          <w:rFonts w:ascii="Arial" w:hAnsi="Arial"/>
          <w:sz w:val="21"/>
          <w:szCs w:val="21"/>
        </w:rPr>
      </w:pPr>
      <w:r>
        <w:rPr>
          <w:rFonts w:ascii="Arial" w:hAnsi="Arial"/>
          <w:bCs/>
          <w:sz w:val="21"/>
          <w:szCs w:val="21"/>
        </w:rPr>
        <w:t>2.1.22. Em conformidade com o art. 117 da Lei Federal n. 14.133/2021, deverá ser designado fiscal de contrato e representante da administração pública para acompanhamento e fiscalização da execução dos contratos celebrados, conforme requisitos estabelecidos no art. 7º do referido diploma legal.</w:t>
      </w:r>
    </w:p>
    <w:p>
      <w:pPr>
        <w:pStyle w:val="Normal"/>
        <w:tabs>
          <w:tab w:val="clear" w:pos="708"/>
          <w:tab w:val="left" w:pos="567" w:leader="none"/>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bCs/>
          <w:sz w:val="21"/>
          <w:szCs w:val="21"/>
        </w:rPr>
        <w:t>2.1.23. Nos termos do art. 140 da Lei Federal n. 14.133/2021, o objeto do contrato será recebido</w:t>
      </w:r>
      <w:bookmarkStart w:id="6" w:name="art140i"/>
      <w:bookmarkEnd w:id="6"/>
      <w:r>
        <w:rPr>
          <w:rFonts w:ascii="Arial" w:hAnsi="Arial"/>
          <w:bCs/>
          <w:sz w:val="21"/>
          <w:szCs w:val="21"/>
        </w:rPr>
        <w:t>, provisoriamente, pelo responsável por seu acompanhamento e fiscalização, verificando se a publicação cumpriu as exigências de caráter técnico descritas neste Termo de Referência; e</w:t>
      </w:r>
      <w:bookmarkStart w:id="7" w:name="art140ib"/>
      <w:bookmarkEnd w:id="7"/>
      <w:r>
        <w:rPr>
          <w:rFonts w:ascii="Arial" w:hAnsi="Arial"/>
          <w:bCs/>
          <w:sz w:val="21"/>
          <w:szCs w:val="21"/>
        </w:rPr>
        <w:t>, definitivamente, por servidor ou comissão designada pela autoridade competente, mediante verificação de atendimento das exigências contratuais.</w:t>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t>2.1.24. Durante a execução do objeto do contrato fica reservado ao município autonomia para dirimir e decidir todos e quaisquer casos ou dúvidas que venham a surgir e/ou fugir da rotina, ou que não tenham sido previstos no Termo de Referência, ou, ainda, nas disposições do Contrato.</w:t>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t>2.1.25. O município efetuará a fiscalização e o acompanhamento da execução do objeto do contrato, podendo, a qualquer tempo, exigir que forneça os elementos necessários ao esclarecimento de quaisquer dúvidas relativas ao contrato. A fiscalização efetuada não exclui nem reduz as responsabilidades da contratada perante o contratante e/ou terceiros.</w:t>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t>2.1.26. A contratada deverá acatar a fiscalização do município quanto ao acompanhamento do cumprimento das obrigações pactuadas, prestando-lhe todos os esclarecimentos solicitados, bem como atendendo a todas às solicitações de informações.</w:t>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ascii="Arial" w:hAnsi="Arial"/>
          <w:sz w:val="21"/>
          <w:szCs w:val="21"/>
        </w:rPr>
      </w:r>
    </w:p>
    <w:p>
      <w:pPr>
        <w:pStyle w:val="Normal"/>
        <w:tabs>
          <w:tab w:val="clear" w:pos="708"/>
          <w:tab w:val="left" w:pos="2340" w:leader="none"/>
          <w:tab w:val="left" w:pos="4464" w:leader="none"/>
        </w:tabs>
        <w:spacing w:lineRule="auto" w:line="360" w:before="142" w:after="142"/>
        <w:ind w:hanging="0"/>
        <w:jc w:val="both"/>
        <w:rPr>
          <w:rFonts w:ascii="Arial" w:hAnsi="Arial"/>
          <w:sz w:val="21"/>
          <w:szCs w:val="21"/>
        </w:rPr>
      </w:pPr>
      <w:r>
        <w:rPr>
          <w:rFonts w:cs="Arial" w:ascii="Arial" w:hAnsi="Arial"/>
          <w:sz w:val="21"/>
          <w:szCs w:val="21"/>
        </w:rPr>
        <w:t>2.1.27. Qualquer comunicação ou notificação do contratante à contratada deverá merecer resposta conclusiva e por escrito no prazo máximo de 3 (três) dias úteis, contados do seu recebimento, submetendo-se, a contratada, às sanções e penalidades cabíveis, caso tal determinação não seja cumprida.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before="0" w:after="0"/>
        <w:ind w:left="0" w:right="0" w:hanging="0"/>
        <w:jc w:val="both"/>
        <w:rPr>
          <w:rFonts w:ascii="Arial" w:hAnsi="Arial"/>
          <w:sz w:val="21"/>
          <w:szCs w:val="21"/>
        </w:rPr>
      </w:pPr>
      <w:r>
        <w:rPr>
          <w:rFonts w:eastAsia="Times New Roman" w:cs="Arial" w:ascii="Arial" w:hAnsi="Arial"/>
          <w:bCs/>
          <w:color w:val="000000"/>
          <w:kern w:val="0"/>
          <w:sz w:val="21"/>
          <w:szCs w:val="21"/>
          <w:lang w:eastAsia="zh-CN"/>
        </w:rPr>
        <w:t>2.2.28. Todos os custos com o objeto, frete, deslocamento, entrega, serão de responsabilidade exclusiva da contratada. Sendo proibida a cobrança de qualquer outra despesa que venha a interferir no valor contratado;</w:t>
      </w:r>
    </w:p>
    <w:p>
      <w:pPr>
        <w:pStyle w:val="Normal"/>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3. CLÁUSULA TERCEIRA – DO VALOR TOTAL E DO PAGAMENTO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b w:val="false"/>
          <w:b w:val="false"/>
          <w:bCs w:val="false"/>
        </w:rPr>
      </w:pPr>
      <w:r>
        <w:rPr>
          <w:rFonts w:cs="Arial" w:ascii="Arial" w:hAnsi="Arial"/>
          <w:b w:val="false"/>
          <w:bCs w:val="false"/>
          <w:sz w:val="21"/>
          <w:szCs w:val="21"/>
        </w:rPr>
        <w:t>3.1. O valor total do presente Contrato é de R$</w:t>
      </w:r>
      <w:r>
        <w:rPr>
          <w:rFonts w:cs="Arial" w:ascii="Arial" w:hAnsi="Arial"/>
          <w:b w:val="false"/>
          <w:bCs w:val="false"/>
          <w:sz w:val="21"/>
          <w:szCs w:val="21"/>
          <w:shd w:fill="FFFFFF" w:val="clear"/>
        </w:rPr>
        <w:t xml:space="preserve"> 4.400,00 </w:t>
      </w:r>
      <w:r>
        <w:rPr>
          <w:rFonts w:cs="Arial" w:ascii="Arial" w:hAnsi="Arial"/>
          <w:b w:val="false"/>
          <w:bCs w:val="false"/>
          <w:sz w:val="21"/>
          <w:szCs w:val="21"/>
          <w:shd w:fill="FFFFFF" w:val="clear"/>
          <w:lang w:eastAsia="ar-SA"/>
        </w:rPr>
        <w:t>(quatro mil e quatrocentos reais),</w:t>
      </w:r>
      <w:r>
        <w:rPr>
          <w:rFonts w:cs="Arial" w:ascii="Arial" w:hAnsi="Arial"/>
          <w:b w:val="false"/>
          <w:bCs w:val="false"/>
          <w:sz w:val="21"/>
          <w:szCs w:val="21"/>
          <w:shd w:fill="FFFFFF" w:val="clear"/>
        </w:rPr>
        <w:t xml:space="preserve"> </w:t>
      </w:r>
      <w:r>
        <w:rPr>
          <w:rFonts w:cs="Arial" w:ascii="Arial" w:hAnsi="Arial"/>
          <w:b w:val="false"/>
          <w:bCs w:val="false"/>
          <w:sz w:val="21"/>
          <w:szCs w:val="21"/>
          <w:shd w:fill="auto" w:val="clear"/>
        </w:rPr>
        <w:t>pela prestação dos serviços.</w:t>
      </w:r>
    </w:p>
    <w:p>
      <w:pPr>
        <w:pStyle w:val="Normal"/>
        <w:widowControl/>
        <w:suppressAutoHyphens w:val="true"/>
        <w:bidi w:val="0"/>
        <w:spacing w:lineRule="auto" w:line="360" w:before="0" w:after="0"/>
        <w:ind w:left="0" w:right="0" w:hanging="0"/>
        <w:jc w:val="both"/>
        <w:rPr>
          <w:rFonts w:ascii="Arial" w:hAnsi="Arial"/>
          <w:sz w:val="21"/>
          <w:szCs w:val="21"/>
          <w:highlight w:val="none"/>
          <w:shd w:fill="FFFF00" w:val="clear"/>
        </w:rPr>
      </w:pPr>
      <w:r>
        <w:rPr>
          <w:rFonts w:ascii="Arial" w:hAnsi="Arial"/>
          <w:sz w:val="21"/>
          <w:szCs w:val="21"/>
          <w:shd w:fill="FFFF00" w:val="clear"/>
        </w:rPr>
      </w:r>
    </w:p>
    <w:p>
      <w:pPr>
        <w:pStyle w:val="Normal"/>
        <w:widowControl/>
        <w:suppressAutoHyphens w:val="true"/>
        <w:bidi w:val="0"/>
        <w:spacing w:lineRule="auto" w:line="360" w:before="0" w:after="0"/>
        <w:ind w:left="0" w:right="0" w:hanging="0"/>
        <w:jc w:val="both"/>
        <w:rPr>
          <w:rFonts w:ascii="Arial" w:hAnsi="Arial" w:cs="Arial"/>
          <w:sz w:val="21"/>
          <w:szCs w:val="21"/>
          <w:shd w:fill="FFFFFF" w:val="clear"/>
        </w:rPr>
      </w:pPr>
      <w:r>
        <w:rPr>
          <w:rFonts w:cs="Arial" w:ascii="Arial" w:hAnsi="Arial"/>
          <w:sz w:val="21"/>
          <w:szCs w:val="21"/>
          <w:shd w:fill="FFFFFF" w:val="clear"/>
        </w:rPr>
        <w:t>3.1.1. O valor a ser pago, corresponde ao valor constante na tabela do item 1.2 deste contrato.</w:t>
      </w:r>
    </w:p>
    <w:p>
      <w:pPr>
        <w:pStyle w:val="Normal"/>
        <w:widowControl/>
        <w:suppressAutoHyphens w:val="true"/>
        <w:bidi w:val="0"/>
        <w:spacing w:lineRule="auto" w:line="360" w:before="0" w:after="0"/>
        <w:ind w:left="0" w:right="0" w:hanging="0"/>
        <w:jc w:val="both"/>
        <w:rPr>
          <w:rFonts w:ascii="Arial" w:hAnsi="Arial" w:cs="Arial"/>
          <w:sz w:val="21"/>
          <w:szCs w:val="21"/>
          <w:shd w:fill="FFFFFF" w:val="clear"/>
        </w:rPr>
      </w:pPr>
      <w:r>
        <w:rPr>
          <w:rFonts w:cs="Arial" w:ascii="Arial" w:hAnsi="Arial"/>
          <w:sz w:val="21"/>
          <w:szCs w:val="21"/>
          <w:shd w:fill="FFFFFF" w:val="clear"/>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3.2. O pagamento objeto da prestação dos serviços, será feito em favor do contratado, através de boleto bancário ou mediante transferência bancária em conta-corrente de titularidade do Fornecedor, cujos dados devem ser idênticos ao da sua proposta.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3.2.1. 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sz w:val="21"/>
          <w:szCs w:val="21"/>
        </w:rPr>
        <w:t>3.2.2. O Município efetuará o pagamento em até 15 (quinze) dias, após a confirmação da prestação regular das atividades descritas no objeto deste contrato, acompanhado da respectiva Nota Fiscal eletrônica, atestada por servidor responsável.</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sz w:val="21"/>
          <w:szCs w:val="21"/>
          <w:shd w:fill="auto" w:val="clear"/>
        </w:rPr>
        <w:t xml:space="preserve">3.3. </w:t>
      </w:r>
      <w:r>
        <w:rPr>
          <w:rFonts w:cs="Arial" w:ascii="Arial" w:hAnsi="Arial"/>
          <w:sz w:val="21"/>
          <w:szCs w:val="21"/>
        </w:rPr>
        <w:t>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3.4.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before="0" w:after="0"/>
        <w:ind w:left="0" w:right="0" w:hanging="0"/>
        <w:jc w:val="both"/>
        <w:rPr>
          <w:rFonts w:ascii="Arial" w:hAnsi="Arial" w:cs="Arial"/>
          <w:sz w:val="21"/>
          <w:szCs w:val="21"/>
        </w:rPr>
      </w:pPr>
      <w:r>
        <w:rPr>
          <w:rFonts w:cs="Arial" w:ascii="Arial" w:hAnsi="Arial"/>
          <w:sz w:val="21"/>
          <w:szCs w:val="21"/>
        </w:rPr>
        <w:t>3.5. Se o CONTRATANTE não efetuar o pagamento no prazo previsto neste Contrato, e tendo a CONTRATADA,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4. CLÁUSULA QUARTA – DA DOTAÇÃO ORÇAMENTÁRIA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4.1. As despesas para a execução do objeto da presente contratação correrão a conta de dotação orçamentária, prevista na Lei Orçamentária Anual do exercício corrente, e terão a seguinte classificação: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tabs>
          <w:tab w:val="clear" w:pos="708"/>
          <w:tab w:val="left" w:pos="2340" w:leader="none"/>
          <w:tab w:val="left" w:pos="4464" w:leader="none"/>
        </w:tabs>
        <w:jc w:val="both"/>
        <w:rPr>
          <w:rFonts w:ascii="Arial" w:hAnsi="Arial"/>
          <w:b/>
          <w:b/>
          <w:bCs/>
          <w:sz w:val="21"/>
          <w:szCs w:val="21"/>
        </w:rPr>
      </w:pPr>
      <w:r>
        <w:rPr>
          <w:rFonts w:ascii="Arial" w:hAnsi="Arial"/>
          <w:b/>
          <w:bCs/>
          <w:sz w:val="21"/>
          <w:szCs w:val="21"/>
        </w:rPr>
        <w:t>PREFEITURA MUNICIPAL DE LINDÓIA DO SUL</w:t>
      </w:r>
    </w:p>
    <w:p>
      <w:pPr>
        <w:pStyle w:val="Normal"/>
        <w:tabs>
          <w:tab w:val="clear" w:pos="708"/>
          <w:tab w:val="left" w:pos="2340" w:leader="none"/>
          <w:tab w:val="left" w:pos="4464" w:leader="none"/>
        </w:tabs>
        <w:jc w:val="both"/>
        <w:rPr>
          <w:rFonts w:ascii="Arial" w:hAnsi="Arial"/>
          <w:b/>
          <w:b/>
          <w:bCs/>
          <w:sz w:val="21"/>
          <w:szCs w:val="21"/>
        </w:rPr>
      </w:pPr>
      <w:r>
        <w:rPr>
          <w:rFonts w:ascii="Arial" w:hAnsi="Arial"/>
          <w:b/>
          <w:bCs/>
          <w:sz w:val="21"/>
          <w:szCs w:val="21"/>
        </w:rPr>
        <w:t>04.001 – SECRETARIA MUN. DE EDUCAÇÃO, CULTURA E TURISMO</w:t>
      </w:r>
    </w:p>
    <w:p>
      <w:pPr>
        <w:pStyle w:val="Normal"/>
        <w:tabs>
          <w:tab w:val="clear" w:pos="708"/>
          <w:tab w:val="left" w:pos="2340" w:leader="none"/>
          <w:tab w:val="left" w:pos="4464" w:leader="none"/>
        </w:tabs>
        <w:jc w:val="both"/>
        <w:rPr>
          <w:rFonts w:ascii="Arial" w:hAnsi="Arial"/>
          <w:sz w:val="21"/>
          <w:szCs w:val="21"/>
        </w:rPr>
      </w:pPr>
      <w:r>
        <w:rPr>
          <w:rFonts w:ascii="Arial" w:hAnsi="Arial"/>
          <w:b/>
          <w:bCs/>
          <w:sz w:val="21"/>
          <w:szCs w:val="21"/>
        </w:rPr>
        <w:t xml:space="preserve">2.010 – </w:t>
      </w:r>
      <w:r>
        <w:rPr>
          <w:rFonts w:ascii="Arial" w:hAnsi="Arial"/>
          <w:sz w:val="21"/>
          <w:szCs w:val="21"/>
        </w:rPr>
        <w:t>EDUCAÇÃO INFANTIL – PRÉ-ESCOLAR</w:t>
      </w:r>
    </w:p>
    <w:p>
      <w:pPr>
        <w:pStyle w:val="Normal"/>
        <w:tabs>
          <w:tab w:val="clear" w:pos="708"/>
          <w:tab w:val="left" w:pos="2340" w:leader="none"/>
          <w:tab w:val="left" w:pos="4464" w:leader="none"/>
        </w:tabs>
        <w:jc w:val="both"/>
        <w:rPr>
          <w:rFonts w:ascii="Arial" w:hAnsi="Arial"/>
          <w:sz w:val="21"/>
          <w:szCs w:val="21"/>
        </w:rPr>
      </w:pPr>
      <w:r>
        <w:rPr>
          <w:rFonts w:ascii="Arial" w:hAnsi="Arial"/>
          <w:b/>
          <w:bCs/>
          <w:sz w:val="21"/>
          <w:szCs w:val="21"/>
        </w:rPr>
        <w:t xml:space="preserve">20 - </w:t>
      </w:r>
      <w:r>
        <w:rPr>
          <w:rFonts w:ascii="Arial" w:hAnsi="Arial"/>
          <w:sz w:val="21"/>
          <w:szCs w:val="21"/>
        </w:rPr>
        <w:t xml:space="preserve">3.3.90.00.00.00.00.00 – APLICAÇÕES DIRETAS 2.500.1001.0001 – RECURSOS ORDINÁRIOS </w:t>
      </w:r>
      <w:r>
        <w:rPr>
          <w:rFonts w:ascii="Arial" w:hAnsi="Arial"/>
          <w:b/>
          <w:bCs/>
          <w:sz w:val="21"/>
          <w:szCs w:val="21"/>
        </w:rPr>
        <w:t>R$ 2.200,00</w:t>
      </w:r>
    </w:p>
    <w:p>
      <w:pPr>
        <w:pStyle w:val="Normal"/>
        <w:tabs>
          <w:tab w:val="clear" w:pos="708"/>
          <w:tab w:val="left" w:pos="2340" w:leader="none"/>
          <w:tab w:val="left" w:pos="4464" w:leader="none"/>
        </w:tabs>
        <w:jc w:val="both"/>
        <w:rPr>
          <w:b/>
          <w:b/>
          <w:bCs/>
        </w:rPr>
      </w:pPr>
      <w:r>
        <w:rPr>
          <w:b/>
          <w:bCs/>
        </w:rPr>
      </w:r>
    </w:p>
    <w:p>
      <w:pPr>
        <w:pStyle w:val="Normal"/>
        <w:tabs>
          <w:tab w:val="clear" w:pos="708"/>
          <w:tab w:val="left" w:pos="2340" w:leader="none"/>
          <w:tab w:val="left" w:pos="4464" w:leader="none"/>
        </w:tabs>
        <w:jc w:val="both"/>
        <w:rPr>
          <w:rFonts w:ascii="Arial" w:hAnsi="Arial"/>
          <w:sz w:val="21"/>
          <w:szCs w:val="21"/>
        </w:rPr>
      </w:pPr>
      <w:r>
        <w:rPr>
          <w:rFonts w:ascii="Arial" w:hAnsi="Arial"/>
          <w:b/>
          <w:bCs/>
          <w:sz w:val="21"/>
          <w:szCs w:val="21"/>
        </w:rPr>
        <w:t xml:space="preserve">2.014 – </w:t>
      </w:r>
      <w:r>
        <w:rPr>
          <w:rFonts w:ascii="Arial" w:hAnsi="Arial"/>
          <w:sz w:val="21"/>
          <w:szCs w:val="21"/>
        </w:rPr>
        <w:t>MANUTENÇÃO DO ENSINO FUNDAMENTAL</w:t>
      </w:r>
    </w:p>
    <w:p>
      <w:pPr>
        <w:pStyle w:val="Normal"/>
        <w:tabs>
          <w:tab w:val="clear" w:pos="708"/>
          <w:tab w:val="left" w:pos="2340" w:leader="none"/>
          <w:tab w:val="left" w:pos="4464" w:leader="none"/>
        </w:tabs>
        <w:jc w:val="both"/>
        <w:rPr>
          <w:rFonts w:ascii="Arial" w:hAnsi="Arial"/>
          <w:sz w:val="21"/>
          <w:szCs w:val="21"/>
        </w:rPr>
      </w:pPr>
      <w:r>
        <w:rPr>
          <w:rFonts w:ascii="Arial" w:hAnsi="Arial"/>
          <w:b/>
          <w:bCs/>
          <w:sz w:val="21"/>
          <w:szCs w:val="21"/>
        </w:rPr>
        <w:t xml:space="preserve">33 – </w:t>
      </w:r>
      <w:r>
        <w:rPr>
          <w:rFonts w:ascii="Arial" w:hAnsi="Arial"/>
          <w:sz w:val="21"/>
          <w:szCs w:val="21"/>
        </w:rPr>
        <w:t>3.3.90.00.00.00.00.00 – APLICAÇÕES DIRETAS 1.500.1001.0001 – MDE – EDUCAÇÃO</w:t>
      </w:r>
    </w:p>
    <w:p>
      <w:pPr>
        <w:pStyle w:val="Normal"/>
        <w:tabs>
          <w:tab w:val="clear" w:pos="708"/>
          <w:tab w:val="left" w:pos="2340" w:leader="none"/>
          <w:tab w:val="left" w:pos="4464" w:leader="none"/>
        </w:tabs>
        <w:jc w:val="both"/>
        <w:rPr>
          <w:rFonts w:ascii="Arial" w:hAnsi="Arial"/>
          <w:sz w:val="21"/>
          <w:szCs w:val="21"/>
        </w:rPr>
      </w:pPr>
      <w:r>
        <w:rPr>
          <w:rFonts w:eastAsia="Times New Roman" w:cs="Arial" w:ascii="Arial" w:hAnsi="Arial"/>
          <w:b/>
          <w:bCs/>
          <w:color w:val="000000"/>
          <w:sz w:val="21"/>
          <w:szCs w:val="21"/>
          <w:shd w:fill="auto" w:val="clear"/>
          <w:lang w:eastAsia="pt-BR"/>
        </w:rPr>
        <w:t>R$ 2.200,00</w:t>
      </w:r>
    </w:p>
    <w:p>
      <w:pPr>
        <w:pStyle w:val="Normal"/>
        <w:widowControl/>
        <w:tabs>
          <w:tab w:val="clear" w:pos="708"/>
          <w:tab w:val="left" w:pos="2340" w:leader="none"/>
          <w:tab w:val="left" w:pos="4464" w:leader="none"/>
        </w:tabs>
        <w:suppressAutoHyphens w:val="true"/>
        <w:overflowPunct w:val="false"/>
        <w:bidi w:val="0"/>
        <w:spacing w:lineRule="auto" w:line="360" w:before="0" w:after="0"/>
        <w:ind w:left="0" w:right="0" w:hanging="0"/>
        <w:jc w:val="both"/>
        <w:rPr>
          <w:rFonts w:ascii="Arial" w:hAnsi="Arial" w:cs="Arial"/>
          <w:sz w:val="21"/>
          <w:szCs w:val="21"/>
          <w:highlight w:val="none"/>
          <w:shd w:fill="FFFF00" w:val="clear"/>
        </w:rPr>
      </w:pPr>
      <w:r>
        <w:rPr>
          <w:rFonts w:cs="Arial" w:ascii="Arial" w:hAnsi="Arial"/>
          <w:sz w:val="21"/>
          <w:szCs w:val="21"/>
          <w:shd w:fill="FFFF00" w:val="clear"/>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5. CLÁUSULA QUINTA – DAS OBRIGAÇÕES</w:t>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cs="Arial"/>
          <w:b w:val="false"/>
          <w:b w:val="false"/>
          <w:bCs w:val="false"/>
          <w:sz w:val="21"/>
          <w:szCs w:val="21"/>
        </w:rPr>
      </w:pPr>
      <w:r>
        <w:rPr>
          <w:rFonts w:cs="Arial" w:ascii="Arial" w:hAnsi="Arial"/>
          <w:b w:val="false"/>
          <w:bCs w:val="false"/>
          <w:sz w:val="21"/>
          <w:szCs w:val="21"/>
        </w:rPr>
        <w:t>5.1. Será de responsabilidade da CONTRATADA:</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a) </w:t>
        <w:tab/>
        <w:t>Executar o objeto do contrato de acordo a proposta apresentada e o Termo de Referência e nos termos do processo administrativo licitatório;</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b) </w:t>
        <w:tab/>
        <w:t>Manter, durante a execução do contrato todas as condições de habilitação previstas no processo administrativo licitatório e em compatibilidade com as obrigações assumidas;</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c)</w:t>
        <w:tab/>
        <w:t>Cumprir as exigências de reserva de cargos prevista em lei, bem como em outras normas específicas, para pessoa com deficiência, para reabilitado da Previdência Social e para aprendiz;</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d) </w:t>
        <w:tab/>
        <w:t>Responsabilizar-se por eventuais danos causados à Administração ou a terceiros, decorrentes de sua culpa ou dolo na execução do contrato, e ainda, indenizando qualquer prejuízo ou reparar os danos causados ao CONTRATANTE, em decorrência da execução ou ausência desta, com relação aos serviços;</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e)</w:t>
        <w:tab/>
        <w:t>Dispor de serviço próprio, de aparelhamento e pessoal técnico adequado e qualificado para a prestação das atividades ordinariamente contratadas, durante o período de vigência do Contrato;</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f) </w:t>
        <w:tab/>
        <w:t>Encaminhar à CONTRATANTE o boleto ou dados para transferência bancária para pagamento do serviço;</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g) </w:t>
        <w:tab/>
        <w:t>Emitir a nota fiscal/fatura contendo destacado o valor de todos os Tributos passível de retenção pelo Contratante, nos termos da legislação em vigor.</w:t>
      </w:r>
    </w:p>
    <w:p>
      <w:pPr>
        <w:pStyle w:val="Normal"/>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h) Não transferir a outrem, no todo ou em parte, os serviços avençados, sem prévia e expressa anuência da CONTRATANTE;</w:t>
      </w:r>
    </w:p>
    <w:p>
      <w:pPr>
        <w:pStyle w:val="Normal"/>
        <w:spacing w:lineRule="auto" w:line="360" w:before="0" w:after="0"/>
        <w:ind w:left="0" w:right="0" w:hanging="0"/>
        <w:jc w:val="both"/>
        <w:rPr>
          <w:rFonts w:ascii="Arial" w:hAnsi="Arial" w:cs="Arial"/>
          <w:bCs/>
          <w:sz w:val="21"/>
          <w:szCs w:val="21"/>
          <w:shd w:fill="auto" w:val="clear"/>
        </w:rPr>
      </w:pPr>
      <w:r>
        <w:rPr>
          <w:rFonts w:cs="Arial" w:ascii="Arial" w:hAnsi="Arial"/>
          <w:bCs/>
          <w:sz w:val="21"/>
          <w:szCs w:val="21"/>
          <w:shd w:fill="auto" w:val="clear"/>
        </w:rPr>
        <w:t xml:space="preserve">i) Realizar os serviços conforme determinação do município. </w:t>
      </w:r>
    </w:p>
    <w:p>
      <w:pPr>
        <w:pStyle w:val="Normal"/>
        <w:spacing w:lineRule="auto" w:line="360" w:before="0" w:after="0"/>
        <w:ind w:left="0" w:right="0" w:hanging="0"/>
        <w:jc w:val="both"/>
        <w:rPr>
          <w:rFonts w:ascii="Arial" w:hAnsi="Arial" w:cs="Arial"/>
          <w:bCs/>
          <w:sz w:val="21"/>
          <w:szCs w:val="21"/>
          <w:shd w:fill="auto" w:val="clear"/>
        </w:rPr>
      </w:pPr>
      <w:r>
        <w:rPr>
          <w:rFonts w:cs="Arial" w:ascii="Arial" w:hAnsi="Arial"/>
          <w:bCs/>
          <w:sz w:val="21"/>
          <w:szCs w:val="21"/>
          <w:shd w:fill="auto" w:val="clear"/>
        </w:rPr>
        <w:t xml:space="preserve">j) Permitir que os servidores do Município inspecionem a qualquer tempo e hora o andamento dos serviços; </w:t>
      </w:r>
    </w:p>
    <w:p>
      <w:pPr>
        <w:pStyle w:val="Normal"/>
        <w:spacing w:lineRule="auto" w:line="360" w:before="0" w:after="0"/>
        <w:ind w:left="0" w:right="0" w:hanging="0"/>
        <w:jc w:val="both"/>
        <w:rPr>
          <w:rFonts w:ascii="Arial" w:hAnsi="Arial" w:cs="Arial"/>
          <w:bCs/>
          <w:sz w:val="21"/>
          <w:szCs w:val="21"/>
          <w:shd w:fill="auto" w:val="clear"/>
        </w:rPr>
      </w:pPr>
      <w:r>
        <w:rPr>
          <w:rFonts w:cs="Arial" w:ascii="Arial" w:hAnsi="Arial"/>
          <w:bCs/>
          <w:sz w:val="21"/>
          <w:szCs w:val="21"/>
          <w:shd w:fill="auto" w:val="clear"/>
        </w:rPr>
        <w:t>k) Responder integralmente pelas obrigações contratuais, nos termos do art. 70 do Código de Processo Civil, no caso de, em qualquer hipótese, empregados da CONTRATADA intentarem reclamações trabalhistas contra a CONTRATANTE;</w:t>
      </w:r>
    </w:p>
    <w:p>
      <w:pPr>
        <w:pStyle w:val="Normal"/>
        <w:spacing w:lineRule="auto" w:line="360" w:before="0" w:after="0"/>
        <w:ind w:left="0" w:right="0" w:hanging="0"/>
        <w:jc w:val="both"/>
        <w:rPr>
          <w:rFonts w:ascii="Arial" w:hAnsi="Arial"/>
          <w:sz w:val="21"/>
          <w:szCs w:val="21"/>
        </w:rPr>
      </w:pPr>
      <w:r>
        <w:rPr>
          <w:rFonts w:cs="Arial" w:ascii="Arial" w:hAnsi="Arial"/>
          <w:bCs/>
          <w:sz w:val="21"/>
          <w:szCs w:val="21"/>
          <w:shd w:fill="auto" w:val="clear"/>
        </w:rPr>
        <w:t>l) Responsabilizar-se por todos os encargos sociais e trabalhistas;</w:t>
      </w:r>
    </w:p>
    <w:p>
      <w:pPr>
        <w:pStyle w:val="Normal"/>
        <w:spacing w:lineRule="auto" w:line="360" w:before="0" w:after="0"/>
        <w:ind w:left="0" w:right="0" w:hanging="0"/>
        <w:jc w:val="both"/>
        <w:rPr>
          <w:rFonts w:ascii="Arial" w:hAnsi="Arial" w:cs="Arial"/>
          <w:b w:val="false"/>
          <w:b w:val="false"/>
          <w:bCs w:val="false"/>
          <w:sz w:val="21"/>
          <w:szCs w:val="21"/>
        </w:rPr>
      </w:pPr>
      <w:r>
        <w:rPr>
          <w:rFonts w:cs="Arial" w:ascii="Arial" w:hAnsi="Arial"/>
          <w:b w:val="false"/>
          <w:bCs w:val="false"/>
          <w:sz w:val="21"/>
          <w:szCs w:val="21"/>
        </w:rPr>
      </w:r>
    </w:p>
    <w:p>
      <w:pPr>
        <w:pStyle w:val="Normal"/>
        <w:widowControl w:val="false"/>
        <w:spacing w:lineRule="auto" w:line="360" w:before="0" w:after="0"/>
        <w:jc w:val="both"/>
        <w:rPr>
          <w:rFonts w:ascii="Arial" w:hAnsi="Arial"/>
          <w:sz w:val="21"/>
          <w:szCs w:val="21"/>
        </w:rPr>
      </w:pPr>
      <w:r>
        <w:rPr>
          <w:rFonts w:cs="Arial" w:ascii="Arial" w:hAnsi="Arial"/>
          <w:b w:val="false"/>
          <w:bCs w:val="false"/>
          <w:sz w:val="21"/>
          <w:szCs w:val="21"/>
        </w:rPr>
        <w:t xml:space="preserve">5.2. </w:t>
      </w:r>
      <w:r>
        <w:rPr>
          <w:rFonts w:cs="Arial" w:ascii="Arial" w:hAnsi="Arial"/>
          <w:sz w:val="21"/>
          <w:szCs w:val="21"/>
        </w:rPr>
        <w:t>São obrigações e responsabilidades do CONTRATANTE:</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a)</w:t>
        <w:tab/>
        <w:t>Prestar as informações e os esclarecimentos que forem solicitados pela CONTRATADA;</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 xml:space="preserve">b) </w:t>
        <w:tab/>
        <w:t>Efetuar o pagamento pela prestação de serviço objeto do presente contrato, na forma e no prazo convencionado;</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c)</w:t>
        <w:tab/>
        <w:t>Rejeitar, no todo ou em parte, os serviços que a CONTRATADA executar em desacordo com as especificações constantes neste Contrato, solicitando, em tempo hábil, a substituição ou correção dos serviços que não tenham sido considerados adequados, restando ainda, a CONTRATADA, a obrigatoriedade da imediata reparação, sem ônus e sem prejuízo das demais sanções administrativas aplicáveis ao caso;</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d)</w:t>
        <w:tab/>
        <w:t>Empenhar os recursos necessários, garantindo o pagamento do objeto;</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e) Proporcionar todas as condições para que a CONTRATADA possa desempenhar seus serviços de acordo com as determinações do Termo de Referência, do Termo de Contrato e seus Anexos;</w:t>
      </w:r>
    </w:p>
    <w:p>
      <w:pPr>
        <w:pStyle w:val="Normal"/>
        <w:widowControl w:val="false"/>
        <w:tabs>
          <w:tab w:val="clear" w:pos="708"/>
          <w:tab w:val="left" w:pos="284" w:leader="none"/>
        </w:tabs>
        <w:spacing w:lineRule="auto" w:line="360" w:before="0" w:after="0"/>
        <w:ind w:left="0" w:right="0" w:hanging="0"/>
        <w:jc w:val="both"/>
        <w:rPr>
          <w:rFonts w:ascii="Arial" w:hAnsi="Arial" w:cs="Arial"/>
          <w:sz w:val="21"/>
          <w:szCs w:val="21"/>
        </w:rPr>
      </w:pPr>
      <w:r>
        <w:rPr>
          <w:rFonts w:cs="Arial" w:ascii="Arial" w:hAnsi="Arial"/>
          <w:sz w:val="21"/>
          <w:szCs w:val="21"/>
        </w:rPr>
        <w:t>f) Exercer a fiscalização dos serviços por empregados especialmente designados e documentar as ocorrências havidas, propor as adequações necessárias ao bom andamento dos serviços;</w:t>
      </w:r>
    </w:p>
    <w:p>
      <w:pPr>
        <w:pStyle w:val="Normal"/>
        <w:widowControl w:val="false"/>
        <w:tabs>
          <w:tab w:val="clear" w:pos="708"/>
          <w:tab w:val="left" w:pos="284" w:leader="none"/>
        </w:tabs>
        <w:spacing w:lineRule="auto" w:line="360" w:before="0" w:after="0"/>
        <w:ind w:left="284" w:right="0" w:hanging="284"/>
        <w:jc w:val="both"/>
        <w:rPr>
          <w:rFonts w:ascii="Arial" w:hAnsi="Arial" w:cs="Arial"/>
          <w:sz w:val="21"/>
          <w:szCs w:val="21"/>
        </w:rPr>
      </w:pPr>
      <w:r>
        <w:rPr>
          <w:rFonts w:cs="Arial" w:ascii="Arial" w:hAnsi="Arial"/>
          <w:sz w:val="21"/>
          <w:szCs w:val="21"/>
        </w:rPr>
        <w:t>g) Comunicar a CONTRATADA sobre qualquer ocorrência de erro de cobrança que venha a identificar, formalmente e preferencialmente por escrito, para que a devida correção ocorra na fatura.</w:t>
      </w:r>
    </w:p>
    <w:p>
      <w:pPr>
        <w:pStyle w:val="Normal"/>
        <w:widowControl w:val="false"/>
        <w:tabs>
          <w:tab w:val="clear" w:pos="708"/>
          <w:tab w:val="left" w:pos="284" w:leader="none"/>
        </w:tabs>
        <w:spacing w:lineRule="auto" w:line="360" w:before="0" w:after="0"/>
        <w:ind w:left="284" w:right="0" w:hanging="284"/>
        <w:jc w:val="both"/>
        <w:rPr>
          <w:rFonts w:ascii="Arial" w:hAnsi="Arial"/>
          <w:sz w:val="21"/>
          <w:szCs w:val="21"/>
        </w:rPr>
      </w:pPr>
      <w:r>
        <w:rPr>
          <w:rFonts w:cs="Arial" w:ascii="Arial" w:hAnsi="Arial"/>
          <w:sz w:val="21"/>
          <w:szCs w:val="21"/>
        </w:rPr>
        <w:t xml:space="preserve">h) </w:t>
      </w:r>
      <w:r>
        <w:rPr>
          <w:rFonts w:cs="Arial" w:ascii="Arial" w:hAnsi="Arial"/>
          <w:b w:val="false"/>
          <w:bCs w:val="false"/>
          <w:strike w:val="false"/>
          <w:dstrike w:val="false"/>
          <w:sz w:val="21"/>
          <w:szCs w:val="21"/>
          <w:u w:val="none"/>
          <w:shd w:fill="auto" w:val="clear"/>
        </w:rPr>
        <w:t>Facilitar o acesso da CONTRATADA</w:t>
      </w:r>
      <w:r>
        <w:rPr>
          <w:rFonts w:cs="Arial" w:ascii="Arial" w:hAnsi="Arial"/>
          <w:b/>
          <w:bCs/>
          <w:strike w:val="false"/>
          <w:dstrike w:val="false"/>
          <w:sz w:val="21"/>
          <w:szCs w:val="21"/>
          <w:u w:val="none"/>
          <w:shd w:fill="auto" w:val="clear"/>
        </w:rPr>
        <w:t xml:space="preserve"> </w:t>
      </w:r>
      <w:r>
        <w:rPr>
          <w:rFonts w:cs="Arial" w:ascii="Arial" w:hAnsi="Arial"/>
          <w:b w:val="false"/>
          <w:bCs/>
          <w:strike w:val="false"/>
          <w:dstrike w:val="false"/>
          <w:sz w:val="21"/>
          <w:szCs w:val="21"/>
          <w:u w:val="none"/>
          <w:shd w:fill="auto" w:val="clear"/>
        </w:rPr>
        <w:t>às áreas de trabalho, registros, documentação e demais informações necessárias ao bom desempenho das funções;</w:t>
      </w:r>
    </w:p>
    <w:p>
      <w:pPr>
        <w:pStyle w:val="Normal"/>
        <w:widowControl w:val="false"/>
        <w:tabs>
          <w:tab w:val="clear" w:pos="708"/>
          <w:tab w:val="left" w:pos="284" w:leader="none"/>
        </w:tabs>
        <w:spacing w:lineRule="auto" w:line="360" w:before="0" w:after="0"/>
        <w:ind w:left="284" w:right="0" w:hanging="284"/>
        <w:jc w:val="both"/>
        <w:rPr>
          <w:rFonts w:cs="Arial"/>
          <w:b w:val="false"/>
          <w:b w:val="false"/>
          <w:bCs/>
          <w:strike w:val="false"/>
          <w:dstrike w:val="false"/>
          <w:u w:val="none"/>
          <w:shd w:fill="auto" w:val="clear"/>
        </w:rPr>
      </w:pPr>
      <w:r>
        <w:rPr>
          <w:rFonts w:cs="Arial"/>
          <w:b w:val="false"/>
          <w:bCs/>
          <w:strike w:val="false"/>
          <w:dstrike w:val="false"/>
          <w:u w:val="none"/>
          <w:shd w:fill="auto" w:val="clear"/>
        </w:rPr>
      </w:r>
    </w:p>
    <w:p>
      <w:pPr>
        <w:pStyle w:val="Normal"/>
        <w:widowControl/>
        <w:suppressAutoHyphens w:val="true"/>
        <w:bidi w:val="0"/>
        <w:spacing w:lineRule="auto" w:line="360" w:before="0" w:after="0"/>
        <w:ind w:left="0" w:right="0" w:hanging="0"/>
        <w:jc w:val="both"/>
        <w:rPr>
          <w:rFonts w:ascii="Arial" w:hAnsi="Arial" w:cs="Arial"/>
          <w:b w:val="false"/>
          <w:b w:val="false"/>
          <w:bCs w:val="false"/>
          <w:sz w:val="21"/>
          <w:szCs w:val="21"/>
        </w:rPr>
      </w:pPr>
      <w:r>
        <w:rPr>
          <w:rFonts w:cs="Arial" w:ascii="Arial" w:hAnsi="Arial"/>
          <w:b w:val="false"/>
          <w:bCs w:val="false"/>
          <w:sz w:val="21"/>
          <w:szCs w:val="21"/>
        </w:rPr>
        <w:t>5.3. O CONTRATANTE não responderá por outros ônus, direitos ou obrigações decorrentes da execução do presente Contrato, cujo cumprimento e responsabilidade caberá exclusivamente à CONTRATADA.</w:t>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6. CLÁUSULA SEXTA – DAS PENALIDADES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6.1. O contratado será responsabilizado administrativamente pelas infrações previstas no art. 155 da Lei Federal n.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6.2. O Município de Lindóia do Sul poderá, garantido o contraditório e a ampla defesa, aplicar as seguintes sanções administrativas: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 – advertência;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II – multa;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6.3.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6.4. A recusa injustificada do adjudicatário em assinar o Contrato, no prazo máximo de 5 (cinco) dias úteis da notificação, implicará a aplicação da multa compensatória prevista no item anterior.</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6.5.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ab/>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6.6. Dependendo do descumprimento, se gerar algum prejuízo ao Município de Lindóia do Sul, poderá ser requerido do Contratado o valor de perdas e danos, após Processo Administrativo de reconhecimento da responsabilidade.</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6.7.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6.8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6.9.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6.11.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6.12.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6.13.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7.0 CLÁUSULA SÉTIMA – DA EXTINÇÃO</w:t>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7.1. O presente Contrato poderá ser extinto, independentemente de qualquer notificação judicial ou extrajudicial, no caso de inexecução total ou parcial, e pelos demais motivos enumerados no art. 137 da Lei Federal n. 14.133/2021, mediante decisão formalmente motivada nos autos do processo, assegurados o contraditório e ampla defesa.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7.2. A extinção contratual deverá observar as disposições da Lei Federal nº 14.133, de 2021.</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7.3. 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8. CLÁUSULA OITAVA – DA VIGÊNCIA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sz w:val="21"/>
          <w:szCs w:val="21"/>
        </w:rPr>
      </w:pPr>
      <w:r>
        <w:rPr>
          <w:rFonts w:cs="Arial" w:ascii="Arial" w:hAnsi="Arial"/>
          <w:sz w:val="21"/>
          <w:szCs w:val="21"/>
        </w:rPr>
        <w:t>8.1. O contrato t</w:t>
      </w:r>
      <w:bookmarkStart w:id="8" w:name="_Hlk141089761"/>
      <w:r>
        <w:rPr>
          <w:rFonts w:cs="Arial" w:ascii="Arial" w:hAnsi="Arial"/>
          <w:sz w:val="21"/>
          <w:szCs w:val="21"/>
        </w:rPr>
        <w:t>erá vigência de 01 (um) anos, a contar da publicação no PNCP, podendo ser prorrogada até o limite legal, conforme previsto no art. 107 da Lei Federal n. 14.133/2021.</w:t>
      </w:r>
      <w:bookmarkEnd w:id="8"/>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9. CLÁUSULA NONA – DA VINCULAÇÃO AO PROCESSO LICITATÓRIO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eastAsia="Calibri" w:eastAsiaTheme="minorHAnsi"/>
          <w:highlight w:val="none"/>
          <w:shd w:fill="auto" w:val="clear"/>
        </w:rPr>
      </w:pPr>
      <w:r>
        <w:rPr>
          <w:rFonts w:cs="Arial" w:ascii="Arial" w:hAnsi="Arial"/>
          <w:sz w:val="21"/>
          <w:szCs w:val="21"/>
          <w:shd w:fill="auto" w:val="clear"/>
        </w:rPr>
        <w:t>9.1. O presente instrumento encontra-se vinculado ao Processo Licitatório nº 87/2024, Dispensa de Licitação nº 58/2024.</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10. CLÁUSULA DÉCIMA – DA FISCALIZAÇÃO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cs="Arial"/>
          <w:sz w:val="21"/>
          <w:szCs w:val="21"/>
        </w:rPr>
      </w:pPr>
      <w:r>
        <w:rPr>
          <w:rFonts w:cs="Arial" w:ascii="Arial" w:hAnsi="Arial"/>
          <w:sz w:val="21"/>
          <w:szCs w:val="21"/>
        </w:rPr>
        <w:t>10.1. O CONTRATANTE fiscalizará a execução do Contrato, sempre que julgar necessário.</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sz w:val="21"/>
          <w:szCs w:val="21"/>
        </w:rPr>
      </w:pPr>
      <w:r>
        <w:rPr>
          <w:rFonts w:cs="Arial" w:ascii="Arial" w:hAnsi="Arial"/>
          <w:sz w:val="21"/>
          <w:szCs w:val="21"/>
        </w:rPr>
        <w:t xml:space="preserve">10.2. A fiscalização exercida não reduz nem exclui a responsabilidade da CONTRATADA, inclusive de terceiros, </w:t>
      </w:r>
      <w:r>
        <w:rPr>
          <w:rFonts w:cs="Arial" w:ascii="Arial" w:hAnsi="Arial"/>
          <w:b w:val="false"/>
          <w:bCs w:val="false"/>
          <w:sz w:val="21"/>
          <w:szCs w:val="21"/>
        </w:rPr>
        <w:t>por qualquer irregularidade.</w:t>
      </w:r>
    </w:p>
    <w:p>
      <w:pPr>
        <w:pStyle w:val="Normal"/>
        <w:spacing w:lineRule="auto" w:line="360" w:before="0" w:after="0"/>
        <w:jc w:val="both"/>
        <w:rPr>
          <w:rFonts w:ascii="Arial" w:hAnsi="Arial" w:cs="Arial"/>
          <w:b w:val="false"/>
          <w:b w:val="false"/>
          <w:bCs w:val="false"/>
          <w:sz w:val="21"/>
          <w:szCs w:val="21"/>
        </w:rPr>
      </w:pPr>
      <w:r>
        <w:rPr>
          <w:rFonts w:cs="Arial" w:ascii="Arial" w:hAnsi="Arial"/>
          <w:b w:val="false"/>
          <w:bCs w:val="false"/>
          <w:sz w:val="21"/>
          <w:szCs w:val="21"/>
        </w:rPr>
      </w:r>
    </w:p>
    <w:p>
      <w:pPr>
        <w:pStyle w:val="Normal"/>
        <w:widowControl/>
        <w:suppressAutoHyphens w:val="true"/>
        <w:bidi w:val="0"/>
        <w:spacing w:lineRule="auto" w:line="360" w:before="0" w:after="0"/>
        <w:ind w:left="0" w:right="0" w:hanging="0"/>
        <w:jc w:val="both"/>
        <w:rPr>
          <w:rFonts w:ascii="Arial" w:hAnsi="Arial" w:cs="Arial"/>
          <w:b w:val="false"/>
          <w:b w:val="false"/>
          <w:bCs w:val="false"/>
          <w:sz w:val="21"/>
          <w:szCs w:val="21"/>
        </w:rPr>
      </w:pPr>
      <w:r>
        <w:rPr>
          <w:rFonts w:cs="Arial" w:ascii="Arial" w:hAnsi="Arial"/>
          <w:b w:val="false"/>
          <w:bCs w:val="false"/>
          <w:sz w:val="21"/>
          <w:szCs w:val="21"/>
        </w:rPr>
        <w:t>10.3. O CONTRATANTE anotará em registro próprio todas as ocorrências relacionadas com a execução do Contrato, determinando o que for necessário à regularização das incidências observadas, podendo ainda fazer relatórios sobre o andamento do Contrato, sendo permitido multas por infrações cometidas pela CONTRATADA.</w:t>
      </w:r>
    </w:p>
    <w:p>
      <w:pPr>
        <w:pStyle w:val="Normal"/>
        <w:widowControl/>
        <w:suppressAutoHyphens w:val="true"/>
        <w:bidi w:val="0"/>
        <w:spacing w:lineRule="auto" w:line="360" w:before="0" w:after="0"/>
        <w:ind w:left="0" w:right="0" w:hanging="0"/>
        <w:jc w:val="both"/>
        <w:rPr>
          <w:rFonts w:ascii="Arial" w:hAnsi="Arial" w:cs="Arial"/>
          <w:b w:val="false"/>
          <w:b w:val="false"/>
          <w:bCs w:val="false"/>
          <w:sz w:val="21"/>
          <w:szCs w:val="21"/>
        </w:rPr>
      </w:pPr>
      <w:r>
        <w:rPr>
          <w:rFonts w:cs="Arial" w:ascii="Arial" w:hAnsi="Arial"/>
          <w:b w:val="false"/>
          <w:bCs w:val="false"/>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11. CLÁUSULA DÉCIMA PRIMEIRA – ANTICORRUPÇÃO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11.1.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12. CLÁUSULA DÉCIMA SEGUNDA – DAS NORMAS E PRECEITOS COMPLEMENTARES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12.1. Aplicam-se à execução deste Contrato e aos casos omissos as normas da Lei Federal nº 14.133/21 e alterações, os preceitos do direito público, os princípios da teoria geral dos Contratos e as disposições do direito privado.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13. CLÁUSULA DÉCIMA TERCEIRA – DA PROTEÇÃO DE DADOS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13.1.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13.2.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13.3. Considerando o caráter público desta contratação, o compartilhamento de dados observará ao disposto no Capítulo IV da LGPD.</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13.4.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val="false"/>
        <w:spacing w:lineRule="auto" w:line="360" w:before="0" w:after="0"/>
        <w:ind w:left="0" w:right="-1" w:hanging="0"/>
        <w:jc w:val="both"/>
        <w:rPr>
          <w:rFonts w:ascii="Arial" w:hAnsi="Arial" w:cs="Arial"/>
          <w:b/>
          <w:b/>
          <w:bCs/>
          <w:sz w:val="21"/>
          <w:szCs w:val="21"/>
        </w:rPr>
      </w:pPr>
      <w:r>
        <w:rPr>
          <w:rFonts w:cs="Arial" w:ascii="Arial" w:hAnsi="Arial"/>
          <w:b/>
          <w:bCs/>
          <w:sz w:val="21"/>
          <w:szCs w:val="21"/>
        </w:rPr>
        <w:t>CLÁUSULA DÉCIMA QUARTA – MODELO DE GESTÃO DO CONTRATO</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sz w:val="21"/>
          <w:szCs w:val="21"/>
        </w:rPr>
      </w:pPr>
      <w:r>
        <w:rPr>
          <w:rFonts w:cs="Arial" w:ascii="Arial" w:hAnsi="Arial"/>
          <w:sz w:val="21"/>
          <w:szCs w:val="21"/>
        </w:rPr>
        <w:t>14.1.</w:t>
      </w:r>
      <w:bookmarkStart w:id="9" w:name="_Hlk141089505"/>
      <w:r>
        <w:rPr>
          <w:rFonts w:cs="Arial" w:ascii="Arial" w:hAnsi="Arial"/>
          <w:sz w:val="21"/>
          <w:szCs w:val="21"/>
        </w:rPr>
        <w:t xml:space="preserve"> Durante a execução do objeto do contrato fica reservado ao CONTRATANTE autonomia para dirimir e decidir todos e quaisquer casos ou dúvidas que venham a surgir e/ou fugir da rotina, ou que não tenham sido previstos no Termo de Referência, ou, ainda, nas disposições do Contrato.</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cs="Arial"/>
          <w:sz w:val="21"/>
          <w:szCs w:val="21"/>
        </w:rPr>
      </w:pPr>
      <w:r>
        <w:rPr>
          <w:rFonts w:cs="Arial" w:ascii="Arial" w:hAnsi="Arial"/>
          <w:sz w:val="21"/>
          <w:szCs w:val="21"/>
        </w:rPr>
        <w:t>14.2. O CONTRATANTE efetuará a fiscalização e o acompanhamento da execução do objeto do contrato, podendo, a qualquer tempo, exigir da CONTRATADA que forneça os elementos necessários ao esclarecimento de quaisquer dúvidas relativas ao contrato, tais como: dados estatísticos, demonstrativos de custos, notas fiscais, mapa de registro e controle dos serviços etc.</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cs="Arial"/>
          <w:sz w:val="21"/>
          <w:szCs w:val="21"/>
        </w:rPr>
      </w:pPr>
      <w:r>
        <w:rPr>
          <w:rFonts w:cs="Arial" w:ascii="Arial" w:hAnsi="Arial"/>
          <w:sz w:val="21"/>
          <w:szCs w:val="21"/>
        </w:rPr>
        <w:t>14.3. A CONTRATADA deverá acatar a fiscalização do CONTRATANTE quanto ao acompanhamento do cumprimento das obrigações pactuadas, prestando-lhe todos os esclarecimentos solicitados, bem como atendendo a todas às solicitações de informações.</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cs="Arial"/>
          <w:sz w:val="21"/>
          <w:szCs w:val="21"/>
        </w:rPr>
      </w:pPr>
      <w:r>
        <w:rPr>
          <w:rFonts w:cs="Arial" w:ascii="Arial" w:hAnsi="Arial"/>
          <w:sz w:val="21"/>
          <w:szCs w:val="21"/>
        </w:rPr>
        <w:t xml:space="preserve">14.4. A fiscalização efetuada não exclui nem reduz as responsabilidades da CONTRATADA perante o CONTRATANTE e/ou terceiros. </w:t>
      </w:r>
    </w:p>
    <w:p>
      <w:pPr>
        <w:pStyle w:val="Normal"/>
        <w:spacing w:lineRule="auto" w:line="360" w:before="0" w:after="0"/>
        <w:jc w:val="both"/>
        <w:rPr>
          <w:rFonts w:ascii="Arial" w:hAnsi="Arial" w:cs="Arial"/>
          <w:sz w:val="21"/>
          <w:szCs w:val="21"/>
        </w:rPr>
      </w:pPr>
      <w:r>
        <w:rPr>
          <w:rFonts w:cs="Arial" w:ascii="Arial" w:hAnsi="Arial"/>
          <w:sz w:val="21"/>
          <w:szCs w:val="21"/>
        </w:rPr>
      </w:r>
    </w:p>
    <w:p>
      <w:pPr>
        <w:pStyle w:val="Normal"/>
        <w:spacing w:lineRule="auto" w:line="360" w:before="0" w:after="0"/>
        <w:jc w:val="both"/>
        <w:rPr>
          <w:rFonts w:ascii="Arial" w:hAnsi="Arial" w:cs="Arial"/>
          <w:sz w:val="21"/>
          <w:szCs w:val="21"/>
        </w:rPr>
      </w:pPr>
      <w:r>
        <w:rPr>
          <w:rFonts w:cs="Arial" w:ascii="Arial" w:hAnsi="Arial"/>
          <w:sz w:val="21"/>
          <w:szCs w:val="21"/>
        </w:rPr>
        <w:t>14.5. Qualquer comunicação ou notificação do CONTRATANTE à CONTRATADA deverá merecer resposta conclusiva e por escrito no prazo máximo de 3 (três) dias úteis, contados do seu recebimento, submetendo-se, a CONTRATADA, às sanções e penalidades cabíveis, caso tal determinação não seja cumprida.</w:t>
      </w:r>
      <w:bookmarkEnd w:id="9"/>
    </w:p>
    <w:p>
      <w:pPr>
        <w:pStyle w:val="Normal"/>
        <w:widowControl w:val="false"/>
        <w:spacing w:lineRule="auto" w:line="360" w:before="0" w:after="0"/>
        <w:ind w:left="0" w:right="-1"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b/>
          <w:b/>
          <w:bCs/>
          <w:sz w:val="21"/>
          <w:szCs w:val="21"/>
        </w:rPr>
      </w:pPr>
      <w:r>
        <w:rPr>
          <w:rFonts w:cs="Arial" w:ascii="Arial" w:hAnsi="Arial"/>
          <w:b/>
          <w:bCs/>
          <w:sz w:val="21"/>
          <w:szCs w:val="21"/>
        </w:rPr>
        <w:t>CLÁUSULA DÉCIMA QUINTA – DO FORO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t>15.1. É competente o foro da Comarca de Ipumirim, no Estado de Santa Catarina, para dirimir quaisquer dúvidas, porventura, oriundas do presente contrato.</w:t>
      </w:r>
    </w:p>
    <w:p>
      <w:pPr>
        <w:pStyle w:val="Normal"/>
        <w:widowControl/>
        <w:suppressAutoHyphens w:val="true"/>
        <w:bidi w:val="0"/>
        <w:spacing w:lineRule="auto" w:line="360"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360"/>
        <w:ind w:left="2835"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t>E, por estarem justas e compromissadas, as partes assinam o presente contrato em 02 (duas) vias de igual teor, que, depois de lido e achado conforme, é assinado pelas partes contratantes e por duas testemunhas.</w:t>
      </w:r>
    </w:p>
    <w:p>
      <w:pPr>
        <w:pStyle w:val="Normal"/>
        <w:spacing w:lineRule="auto" w:line="36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ind w:left="2835" w:right="0" w:hanging="0"/>
        <w:jc w:val="both"/>
        <w:rPr>
          <w:rFonts w:ascii="Arial" w:hAnsi="Arial"/>
          <w:sz w:val="21"/>
          <w:szCs w:val="21"/>
        </w:rPr>
      </w:pPr>
      <w:r>
        <w:rPr>
          <w:rFonts w:cs="Arial" w:ascii="Arial" w:hAnsi="Arial"/>
          <w:color w:val="000000"/>
          <w:sz w:val="21"/>
          <w:szCs w:val="21"/>
          <w:lang w:val="pt-BR" w:eastAsia="ar-SA"/>
        </w:rPr>
        <w:t>Lindóia do Sul, SC, __ de agosto de 2024.</w:t>
      </w:r>
    </w:p>
    <w:p>
      <w:pPr>
        <w:pStyle w:val="Normal"/>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before="0" w:after="0"/>
        <w:ind w:left="0" w:right="0" w:hanging="0"/>
        <w:rPr>
          <w:rFonts w:ascii="Arial" w:hAnsi="Arial" w:cs="Arial"/>
          <w:color w:val="000000"/>
          <w:sz w:val="21"/>
          <w:szCs w:val="21"/>
          <w:lang w:val="pt-BR" w:eastAsia="ar-SA"/>
        </w:rPr>
      </w:pPr>
      <w:r>
        <w:rPr>
          <w:rFonts w:cs="Arial" w:ascii="Arial" w:hAnsi="Arial"/>
          <w:color w:val="000000"/>
          <w:sz w:val="21"/>
          <w:szCs w:val="21"/>
          <w:lang w:val="pt-BR" w:eastAsia="ar-SA"/>
        </w:rPr>
      </w:r>
    </w:p>
    <w:tbl>
      <w:tblPr>
        <w:tblW w:w="9072" w:type="dxa"/>
        <w:jc w:val="left"/>
        <w:tblInd w:w="0" w:type="dxa"/>
        <w:tblLayout w:type="fixed"/>
        <w:tblCellMar>
          <w:top w:w="0" w:type="dxa"/>
          <w:left w:w="108" w:type="dxa"/>
          <w:bottom w:w="0" w:type="dxa"/>
          <w:right w:w="108" w:type="dxa"/>
        </w:tblCellMar>
      </w:tblPr>
      <w:tblGrid>
        <w:gridCol w:w="4536"/>
        <w:gridCol w:w="4535"/>
      </w:tblGrid>
      <w:tr>
        <w:trPr/>
        <w:tc>
          <w:tcPr>
            <w:tcW w:w="4536" w:type="dxa"/>
            <w:tcBorders/>
          </w:tcPr>
          <w:p>
            <w:pPr>
              <w:pStyle w:val="Normal"/>
              <w:widowControl w:val="false"/>
              <w:spacing w:lineRule="auto" w:line="360" w:before="0" w:after="0"/>
              <w:ind w:left="0" w:right="0" w:hanging="0"/>
              <w:jc w:val="center"/>
              <w:rPr>
                <w:rFonts w:ascii="Arial" w:hAnsi="Arial" w:cs="Arial"/>
                <w:b/>
                <w:b/>
                <w:bCs/>
                <w:sz w:val="21"/>
                <w:szCs w:val="21"/>
                <w:shd w:fill="auto" w:val="clear"/>
              </w:rPr>
            </w:pPr>
            <w:r>
              <w:rPr>
                <w:rFonts w:cs="Arial" w:ascii="Arial" w:hAnsi="Arial"/>
                <w:b/>
                <w:bCs/>
                <w:sz w:val="21"/>
                <w:szCs w:val="21"/>
                <w:shd w:fill="auto" w:val="clear"/>
              </w:rPr>
              <w:t>Neudi Angelo Bertol</w:t>
            </w:r>
          </w:p>
          <w:p>
            <w:pPr>
              <w:pStyle w:val="Normal"/>
              <w:widowControl w:val="false"/>
              <w:spacing w:lineRule="auto" w:line="360" w:before="0" w:after="0"/>
              <w:ind w:left="0" w:right="0" w:hanging="0"/>
              <w:jc w:val="center"/>
              <w:rPr>
                <w:rFonts w:ascii="Arial" w:hAnsi="Arial" w:cs="Arial"/>
                <w:b/>
                <w:b/>
                <w:color w:val="000000"/>
                <w:sz w:val="21"/>
                <w:szCs w:val="21"/>
                <w:lang w:val="pt-BR" w:eastAsia="ar-SA"/>
              </w:rPr>
            </w:pPr>
            <w:r>
              <w:rPr>
                <w:rFonts w:cs="Arial" w:ascii="Arial" w:hAnsi="Arial"/>
                <w:b/>
                <w:color w:val="000000"/>
                <w:sz w:val="21"/>
                <w:szCs w:val="21"/>
                <w:lang w:val="pt-BR" w:eastAsia="ar-SA"/>
              </w:rPr>
              <w:t xml:space="preserve">Prefeito Municipal </w:t>
            </w:r>
          </w:p>
          <w:p>
            <w:pPr>
              <w:pStyle w:val="Normal"/>
              <w:widowControl w:val="false"/>
              <w:spacing w:lineRule="auto" w:line="360" w:before="0" w:after="0"/>
              <w:ind w:left="0" w:right="0" w:hanging="0"/>
              <w:jc w:val="center"/>
              <w:rPr>
                <w:rFonts w:ascii="Arial" w:hAnsi="Arial" w:cs="Arial"/>
                <w:b/>
                <w:b/>
                <w:color w:val="000000"/>
                <w:sz w:val="21"/>
                <w:szCs w:val="21"/>
                <w:lang w:val="pt-BR" w:eastAsia="ar-SA"/>
              </w:rPr>
            </w:pPr>
            <w:r>
              <w:rPr>
                <w:rFonts w:cs="Arial" w:ascii="Arial" w:hAnsi="Arial"/>
                <w:b/>
                <w:color w:val="000000"/>
                <w:sz w:val="21"/>
                <w:szCs w:val="21"/>
                <w:lang w:val="pt-BR" w:eastAsia="ar-SA"/>
              </w:rPr>
              <w:t>CONTRATANTE</w:t>
            </w:r>
          </w:p>
        </w:tc>
        <w:tc>
          <w:tcPr>
            <w:tcW w:w="4535" w:type="dxa"/>
            <w:tcBorders/>
          </w:tcPr>
          <w:p>
            <w:pPr>
              <w:pStyle w:val="Normal"/>
              <w:widowControl w:val="false"/>
              <w:snapToGrid w:val="false"/>
              <w:spacing w:lineRule="auto" w:line="360" w:before="0" w:after="0"/>
              <w:ind w:left="0" w:right="0" w:hanging="0"/>
              <w:jc w:val="center"/>
              <w:rPr>
                <w:rFonts w:ascii="Arial" w:hAnsi="Arial" w:cs="Arial"/>
                <w:b/>
                <w:b/>
                <w:bCs/>
                <w:sz w:val="21"/>
                <w:szCs w:val="21"/>
                <w:lang w:val="pt-BR"/>
              </w:rPr>
            </w:pPr>
            <w:r>
              <w:rPr>
                <w:rFonts w:cs="Arial" w:ascii="Arial" w:hAnsi="Arial"/>
                <w:b/>
                <w:bCs/>
                <w:sz w:val="21"/>
                <w:szCs w:val="21"/>
                <w:lang w:val="pt-BR"/>
              </w:rPr>
            </w:r>
          </w:p>
          <w:p>
            <w:pPr>
              <w:pStyle w:val="Normal"/>
              <w:widowControl w:val="false"/>
              <w:spacing w:lineRule="auto" w:line="360" w:before="0" w:after="0"/>
              <w:ind w:left="0" w:right="0" w:hanging="0"/>
              <w:jc w:val="center"/>
              <w:rPr>
                <w:rFonts w:ascii="Arial" w:hAnsi="Arial" w:cs="Arial"/>
                <w:b/>
                <w:b/>
                <w:color w:val="000000"/>
                <w:sz w:val="21"/>
                <w:szCs w:val="21"/>
                <w:lang w:val="pt-BR" w:eastAsia="ar-SA"/>
              </w:rPr>
            </w:pPr>
            <w:r>
              <w:rPr>
                <w:rFonts w:cs="Arial" w:ascii="Arial" w:hAnsi="Arial"/>
                <w:b/>
                <w:color w:val="000000"/>
                <w:sz w:val="21"/>
                <w:szCs w:val="21"/>
                <w:lang w:val="pt-BR" w:eastAsia="ar-SA"/>
              </w:rPr>
              <w:t>CONTRATADA</w:t>
            </w:r>
          </w:p>
        </w:tc>
      </w:tr>
    </w:tbl>
    <w:p>
      <w:pPr>
        <w:pStyle w:val="Normal"/>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t>Testemunhas:</w:t>
      </w:r>
    </w:p>
    <w:p>
      <w:pPr>
        <w:pStyle w:val="Normal"/>
        <w:tabs>
          <w:tab w:val="clear" w:pos="708"/>
          <w:tab w:val="left" w:pos="4536" w:leader="none"/>
        </w:tabs>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t>01. ______________________________</w:t>
        <w:tab/>
        <w:t>02. ______________________________</w:t>
      </w:r>
    </w:p>
    <w:p>
      <w:pPr>
        <w:pStyle w:val="Normal"/>
        <w:tabs>
          <w:tab w:val="clear" w:pos="708"/>
          <w:tab w:val="left" w:pos="709" w:leader="none"/>
          <w:tab w:val="left" w:pos="4536" w:leader="none"/>
          <w:tab w:val="left" w:pos="5245" w:leader="none"/>
        </w:tabs>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t>Nome:</w:t>
        <w:tab/>
        <w:tab/>
        <w:t>Nome:</w:t>
        <w:tab/>
      </w:r>
    </w:p>
    <w:p>
      <w:pPr>
        <w:pStyle w:val="Normal"/>
        <w:tabs>
          <w:tab w:val="clear" w:pos="708"/>
          <w:tab w:val="left" w:pos="709" w:leader="none"/>
          <w:tab w:val="left" w:pos="4536" w:leader="none"/>
          <w:tab w:val="left" w:pos="5245" w:leader="none"/>
        </w:tabs>
        <w:spacing w:lineRule="auto" w:line="360"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t xml:space="preserve">CPF: </w:t>
        <w:tab/>
        <w:tab/>
        <w:t xml:space="preserve">CPF: </w:t>
      </w:r>
    </w:p>
    <w:p>
      <w:pPr>
        <w:pStyle w:val="Normal"/>
        <w:spacing w:lineRule="auto" w:line="360" w:before="0" w:after="0"/>
        <w:ind w:left="0" w:right="0" w:hanging="0"/>
        <w:rPr>
          <w:rFonts w:ascii="Arial" w:hAnsi="Arial" w:cs="Arial"/>
          <w:sz w:val="21"/>
          <w:szCs w:val="21"/>
          <w:lang w:val="pt-BR" w:eastAsia="ar-SA"/>
        </w:rPr>
      </w:pPr>
      <w:r>
        <w:rPr>
          <w:rFonts w:cs="Arial" w:ascii="Arial" w:hAnsi="Arial"/>
          <w:sz w:val="21"/>
          <w:szCs w:val="21"/>
          <w:lang w:val="pt-BR" w:eastAsia="ar-SA"/>
        </w:rPr>
      </w:r>
    </w:p>
    <w:p>
      <w:pPr>
        <w:pStyle w:val="Normal"/>
        <w:spacing w:lineRule="auto" w:line="360" w:before="0" w:after="0"/>
        <w:ind w:left="0" w:right="0" w:hanging="0"/>
        <w:rPr>
          <w:rFonts w:ascii="Arial" w:hAnsi="Arial" w:cs="Arial"/>
          <w:sz w:val="21"/>
          <w:szCs w:val="21"/>
          <w:lang w:val="pt-BR" w:eastAsia="ar-SA"/>
        </w:rPr>
      </w:pPr>
      <w:r>
        <w:rPr>
          <w:rFonts w:cs="Arial" w:ascii="Arial" w:hAnsi="Arial"/>
          <w:sz w:val="21"/>
          <w:szCs w:val="21"/>
          <w:lang w:val="pt-BR" w:eastAsia="ar-SA"/>
        </w:rPr>
      </w:r>
    </w:p>
    <w:p>
      <w:pPr>
        <w:pStyle w:val="Normal"/>
        <w:spacing w:lineRule="auto" w:line="360" w:before="0" w:after="0"/>
        <w:ind w:left="0" w:right="0" w:hanging="0"/>
        <w:rPr>
          <w:rFonts w:ascii="Arial" w:hAnsi="Arial" w:cs="Arial"/>
          <w:sz w:val="21"/>
          <w:szCs w:val="21"/>
          <w:lang w:val="pt-BR" w:eastAsia="ar-SA"/>
        </w:rPr>
      </w:pPr>
      <w:r>
        <w:rPr>
          <w:rFonts w:cs="Arial" w:ascii="Arial" w:hAnsi="Arial"/>
          <w:sz w:val="21"/>
          <w:szCs w:val="21"/>
          <w:lang w:val="pt-BR" w:eastAsia="ar-SA"/>
        </w:rPr>
      </w:r>
    </w:p>
    <w:p>
      <w:pPr>
        <w:pStyle w:val="Normal"/>
        <w:spacing w:lineRule="auto" w:line="360" w:before="0" w:after="0"/>
        <w:ind w:left="0" w:right="0" w:hanging="0"/>
        <w:rPr>
          <w:rFonts w:ascii="Arial" w:hAnsi="Arial"/>
          <w:sz w:val="21"/>
          <w:szCs w:val="21"/>
        </w:rPr>
      </w:pPr>
      <w:r>
        <w:rPr>
          <w:rFonts w:eastAsia="Times New Roman" w:cs="Arial" w:ascii="Arial" w:hAnsi="Arial"/>
          <w:b/>
          <w:bCs/>
          <w:sz w:val="21"/>
          <w:szCs w:val="21"/>
          <w:lang w:val="pt-BR" w:eastAsia="ar-SA"/>
        </w:rPr>
        <w:t>________________</w:t>
        <w:tab/>
        <w:tab/>
        <w:tab/>
        <w:tab/>
        <w:tab/>
        <w:t>________________</w:t>
      </w:r>
    </w:p>
    <w:p>
      <w:pPr>
        <w:pStyle w:val="Normal"/>
        <w:spacing w:lineRule="auto" w:line="360" w:before="0" w:after="0"/>
        <w:ind w:left="0" w:right="0" w:hanging="0"/>
        <w:rPr>
          <w:rFonts w:ascii="Arial" w:hAnsi="Arial" w:cs="Arial"/>
          <w:b/>
          <w:b/>
          <w:sz w:val="21"/>
          <w:szCs w:val="21"/>
          <w:lang w:val="pt-BR" w:eastAsia="ar-SA"/>
        </w:rPr>
      </w:pPr>
      <w:r>
        <w:rPr>
          <w:rFonts w:eastAsia="Times New Roman" w:cs="Arial" w:ascii="Arial" w:hAnsi="Arial"/>
          <w:b/>
          <w:color w:val="000000"/>
          <w:sz w:val="21"/>
          <w:szCs w:val="21"/>
          <w:lang w:val="pt-BR" w:eastAsia="pt-BR"/>
        </w:rPr>
        <w:t>Gestor do Contrato</w:t>
        <w:tab/>
        <w:tab/>
        <w:tab/>
        <w:tab/>
        <w:tab/>
        <w:t>Fiscal do Contrato</w:t>
      </w:r>
    </w:p>
    <w:sectPr>
      <w:headerReference w:type="even" r:id="rId8"/>
      <w:headerReference w:type="default" r:id="rId9"/>
      <w:headerReference w:type="first" r:id="rId10"/>
      <w:footerReference w:type="default" r:id="rId11"/>
      <w:type w:val="nextPage"/>
      <w:pgSz w:w="11906" w:h="16838"/>
      <w:pgMar w:left="1701" w:right="1133" w:gutter="0" w:header="426" w:top="1987" w:footer="0" w:bottom="426"/>
      <w:pgNumType w:start="1"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roman"/>
    <w:pitch w:val="variable"/>
  </w:font>
  <w:font w:name="Arial Unicode MS">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6840855" cy="992505"/>
          <wp:effectExtent l="0" t="0" r="0" b="0"/>
          <wp:docPr id="4"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pic:cNvPicPr>
                    <a:picLocks noChangeAspect="1" noChangeArrowheads="1"/>
                  </pic:cNvPicPr>
                </pic:nvPicPr>
                <pic:blipFill>
                  <a:blip r:embed="rId1"/>
                  <a:srcRect l="-30" t="-140" r="-30" b="-140"/>
                  <a:stretch>
                    <a:fillRect/>
                  </a:stretch>
                </pic:blipFill>
                <pic:spPr bwMode="auto">
                  <a:xfrm>
                    <a:off x="0" y="0"/>
                    <a:ext cx="6840855" cy="992505"/>
                  </a:xfrm>
                  <a:prstGeom prst="rect">
                    <a:avLst/>
                  </a:prstGeom>
                </pic:spPr>
              </pic:pic>
            </a:graphicData>
          </a:graphic>
        </wp:inline>
      </w:drawing>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6840855" cy="992505"/>
          <wp:effectExtent l="0" t="0" r="0" b="0"/>
          <wp:docPr id="8"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8" descr=""/>
                  <pic:cNvPicPr>
                    <a:picLocks noChangeAspect="1" noChangeArrowheads="1"/>
                  </pic:cNvPicPr>
                </pic:nvPicPr>
                <pic:blipFill>
                  <a:blip r:embed="rId1"/>
                  <a:srcRect l="-30" t="-140" r="-30" b="-140"/>
                  <a:stretch>
                    <a:fillRect/>
                  </a:stretch>
                </pic:blipFill>
                <pic:spPr bwMode="auto">
                  <a:xfrm>
                    <a:off x="0" y="0"/>
                    <a:ext cx="6840855" cy="992505"/>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7182485" cy="8892540"/>
          <wp:effectExtent l="0" t="0" r="0" b="0"/>
          <wp:wrapNone/>
          <wp:docPr id="1" name="WordPictureWatermark56988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56988954" descr=""/>
                  <pic:cNvPicPr>
                    <a:picLocks noChangeAspect="1" noChangeArrowheads="1"/>
                  </pic:cNvPicPr>
                </pic:nvPicPr>
                <pic:blipFill>
                  <a:blip r:embed="rId1"/>
                  <a:stretch>
                    <a:fillRect/>
                  </a:stretch>
                </pic:blipFill>
                <pic:spPr bwMode="auto">
                  <a:xfrm>
                    <a:off x="0" y="0"/>
                    <a:ext cx="7182485" cy="889254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391275" cy="1087755"/>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rcRect l="-30" t="-183" r="-30" b="-183"/>
                  <a:stretch>
                    <a:fillRect/>
                  </a:stretch>
                </pic:blipFill>
                <pic:spPr bwMode="auto">
                  <a:xfrm>
                    <a:off x="0" y="0"/>
                    <a:ext cx="6391275" cy="1087755"/>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391275" cy="1087755"/>
          <wp:effectExtent l="0" t="0" r="0" b="0"/>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1"/>
                  <a:srcRect l="-30" t="-183" r="-30" b="-183"/>
                  <a:stretch>
                    <a:fillRect/>
                  </a:stretch>
                </pic:blipFill>
                <pic:spPr bwMode="auto">
                  <a:xfrm>
                    <a:off x="0" y="0"/>
                    <a:ext cx="6391275" cy="1087755"/>
                  </a:xfrm>
                  <a:prstGeom prst="rect">
                    <a:avLst/>
                  </a:prstGeom>
                </pic:spPr>
              </pic:pic>
            </a:graphicData>
          </a:graphic>
        </wp:inline>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7182485" cy="8892540"/>
          <wp:effectExtent l="0" t="0" r="0" b="0"/>
          <wp:wrapNone/>
          <wp:docPr id="5"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descr=""/>
                  <pic:cNvPicPr>
                    <a:picLocks noChangeAspect="1" noChangeArrowheads="1"/>
                  </pic:cNvPicPr>
                </pic:nvPicPr>
                <pic:blipFill>
                  <a:blip r:embed="rId1"/>
                  <a:stretch>
                    <a:fillRect/>
                  </a:stretch>
                </pic:blipFill>
                <pic:spPr bwMode="auto">
                  <a:xfrm>
                    <a:off x="0" y="0"/>
                    <a:ext cx="7182485" cy="8892540"/>
                  </a:xfrm>
                  <a:prstGeom prst="rect">
                    <a:avLst/>
                  </a:prstGeom>
                </pic:spPr>
              </pic:pic>
            </a:graphicData>
          </a:graphic>
        </wp:anchor>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391275" cy="1087755"/>
          <wp:effectExtent l="0" t="0" r="0" b="0"/>
          <wp:docPr id="6"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descr=""/>
                  <pic:cNvPicPr>
                    <a:picLocks noChangeAspect="1" noChangeArrowheads="1"/>
                  </pic:cNvPicPr>
                </pic:nvPicPr>
                <pic:blipFill>
                  <a:blip r:embed="rId1"/>
                  <a:srcRect l="-30" t="-183" r="-30" b="-183"/>
                  <a:stretch>
                    <a:fillRect/>
                  </a:stretch>
                </pic:blipFill>
                <pic:spPr bwMode="auto">
                  <a:xfrm>
                    <a:off x="0" y="0"/>
                    <a:ext cx="6391275" cy="1087755"/>
                  </a:xfrm>
                  <a:prstGeom prst="rect">
                    <a:avLst/>
                  </a:prstGeom>
                </pic:spPr>
              </pic:pic>
            </a:graphicData>
          </a:graphic>
        </wp:inline>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391275" cy="1087755"/>
          <wp:effectExtent l="0" t="0" r="0" b="0"/>
          <wp:docPr id="7"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6" descr=""/>
                  <pic:cNvPicPr>
                    <a:picLocks noChangeAspect="1" noChangeArrowheads="1"/>
                  </pic:cNvPicPr>
                </pic:nvPicPr>
                <pic:blipFill>
                  <a:blip r:embed="rId1"/>
                  <a:srcRect l="-30" t="-183" r="-30" b="-183"/>
                  <a:stretch>
                    <a:fillRect/>
                  </a:stretch>
                </pic:blipFill>
                <pic:spPr bwMode="auto">
                  <a:xfrm>
                    <a:off x="0" y="0"/>
                    <a:ext cx="6391275" cy="108775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08"/>
        </w:tabs>
        <w:ind w:left="993" w:hanging="283"/>
      </w:pPr>
      <w:rPr>
        <w:b w:val="false"/>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
    <w:lvl w:ilvl="0">
      <w:start w:val="1"/>
      <w:numFmt w:val="lowerLetter"/>
      <w:lvlText w:val="%1)"/>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75"/>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Calibri" w:cs="Tahoma" w:eastAsia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660c"/>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fb660c"/>
    <w:rPr/>
  </w:style>
  <w:style w:type="character" w:styleId="RodapChar" w:customStyle="1">
    <w:name w:val="Rodapé Char"/>
    <w:basedOn w:val="DefaultParagraphFont"/>
    <w:uiPriority w:val="99"/>
    <w:qFormat/>
    <w:rsid w:val="00fb660c"/>
    <w:rPr/>
  </w:style>
  <w:style w:type="character" w:styleId="TextodebaloChar" w:customStyle="1">
    <w:name w:val="Texto de balão Char"/>
    <w:basedOn w:val="DefaultParagraphFont"/>
    <w:link w:val="BalloonText"/>
    <w:uiPriority w:val="99"/>
    <w:semiHidden/>
    <w:qFormat/>
    <w:rsid w:val="007a6e59"/>
    <w:rPr>
      <w:rFonts w:ascii="Tahoma" w:hAnsi="Tahoma" w:cs="Tahoma"/>
      <w:sz w:val="16"/>
      <w:szCs w:val="16"/>
    </w:rPr>
  </w:style>
  <w:style w:type="character" w:styleId="RecuodecorpodetextoChar" w:customStyle="1">
    <w:name w:val="Recuo de corpo de texto Char"/>
    <w:basedOn w:val="DefaultParagraphFont"/>
    <w:qFormat/>
    <w:rsid w:val="007a6e59"/>
    <w:rPr>
      <w:rFonts w:ascii="Times New Roman" w:hAnsi="Times New Roman" w:eastAsia="Times New Roman" w:cs="Times New Roman"/>
      <w:sz w:val="24"/>
      <w:szCs w:val="24"/>
    </w:rPr>
  </w:style>
  <w:style w:type="character" w:styleId="CorpodetextoChar" w:customStyle="1">
    <w:name w:val="Corpo de texto Char"/>
    <w:basedOn w:val="DefaultParagraphFont"/>
    <w:uiPriority w:val="99"/>
    <w:semiHidden/>
    <w:qFormat/>
    <w:rsid w:val="003e1700"/>
    <w:rPr/>
  </w:style>
  <w:style w:type="character" w:styleId="Recuodecorpodetexto2Char" w:customStyle="1">
    <w:name w:val="Recuo de corpo de texto 2 Char"/>
    <w:basedOn w:val="DefaultParagraphFont"/>
    <w:link w:val="BodyTextIndent2"/>
    <w:qFormat/>
    <w:rsid w:val="003e1700"/>
    <w:rPr>
      <w:rFonts w:ascii="Times New Roman" w:hAnsi="Times New Roman" w:eastAsia="Times New Roman" w:cs="Times New Roman"/>
      <w:sz w:val="24"/>
      <w:szCs w:val="24"/>
      <w:lang w:eastAsia="pt-BR"/>
    </w:rPr>
  </w:style>
  <w:style w:type="character" w:styleId="LinkdaInternet">
    <w:name w:val="Hyperlink"/>
    <w:basedOn w:val="DefaultParagraphFont"/>
    <w:uiPriority w:val="99"/>
    <w:unhideWhenUsed/>
    <w:rsid w:val="006b6386"/>
    <w:rPr>
      <w:color w:val="0563C1" w:themeColor="hyperlink"/>
      <w:u w:val="single"/>
    </w:rPr>
  </w:style>
  <w:style w:type="character" w:styleId="UnresolvedMention">
    <w:name w:val="Unresolved Mention"/>
    <w:basedOn w:val="DefaultParagraphFont"/>
    <w:uiPriority w:val="99"/>
    <w:semiHidden/>
    <w:unhideWhenUsed/>
    <w:qFormat/>
    <w:rsid w:val="006b6386"/>
    <w:rPr>
      <w:color w:val="605E5C"/>
      <w:shd w:fill="E1DFDD" w:val="clear"/>
    </w:rPr>
  </w:style>
  <w:style w:type="character" w:styleId="SubtleEmphasis">
    <w:name w:val="Subtle Emphasis"/>
    <w:basedOn w:val="DefaultParagraphFont"/>
    <w:uiPriority w:val="19"/>
    <w:qFormat/>
    <w:rsid w:val="00e67296"/>
    <w:rPr>
      <w:i/>
      <w:iCs/>
      <w:color w:val="404040" w:themeColor="text1" w:themeTint="bf"/>
    </w:rPr>
  </w:style>
  <w:style w:type="character" w:styleId="Annotationreference">
    <w:name w:val="annotation reference"/>
    <w:basedOn w:val="DefaultParagraphFont"/>
    <w:uiPriority w:val="99"/>
    <w:semiHidden/>
    <w:unhideWhenUsed/>
    <w:qFormat/>
    <w:rsid w:val="00000a60"/>
    <w:rPr>
      <w:sz w:val="16"/>
      <w:szCs w:val="16"/>
    </w:rPr>
  </w:style>
  <w:style w:type="character" w:styleId="TextodecomentrioChar" w:customStyle="1">
    <w:name w:val="Texto de comentário Char"/>
    <w:basedOn w:val="DefaultParagraphFont"/>
    <w:link w:val="Annotationtext"/>
    <w:uiPriority w:val="99"/>
    <w:qFormat/>
    <w:rsid w:val="00000a60"/>
    <w:rPr>
      <w:sz w:val="20"/>
      <w:szCs w:val="20"/>
    </w:rPr>
  </w:style>
  <w:style w:type="character" w:styleId="AssuntodocomentrioChar" w:customStyle="1">
    <w:name w:val="Assunto do comentário Char"/>
    <w:basedOn w:val="TextodecomentrioChar"/>
    <w:link w:val="Annotationsubject"/>
    <w:uiPriority w:val="99"/>
    <w:semiHidden/>
    <w:qFormat/>
    <w:rsid w:val="00000a60"/>
    <w:rPr>
      <w:b/>
      <w:bCs/>
      <w:sz w:val="20"/>
      <w:szCs w:val="20"/>
    </w:rPr>
  </w:style>
  <w:style w:type="character" w:styleId="WW8Num12z0">
    <w:name w:val="WW8Num12z0"/>
    <w:qFormat/>
    <w:rPr>
      <w:b w:val="false"/>
    </w:rPr>
  </w:style>
  <w:style w:type="character" w:styleId="WW8Num3z0">
    <w:name w:val="WW8Num3z0"/>
    <w:qFormat/>
    <w:rPr>
      <w:b w:val="false"/>
    </w:rPr>
  </w:style>
  <w:style w:type="character" w:styleId="WW8Num10z0">
    <w:name w:val="WW8Num10z0"/>
    <w:qFormat/>
    <w:rPr>
      <w:b w:val="false"/>
    </w:rPr>
  </w:style>
  <w:style w:type="character" w:styleId="Linkdainternetvisitado">
    <w:name w:val="FollowedHyperlink"/>
    <w:rPr>
      <w:color w:val="954F72"/>
      <w:u w:val="single"/>
    </w:rPr>
  </w:style>
  <w:style w:type="character" w:styleId="Fontepargpadro">
    <w:name w:val="Fonte parág. padrão"/>
    <w:qFormat/>
    <w:rPr/>
  </w:style>
  <w:style w:type="character" w:styleId="WW8Num5z0">
    <w:name w:val="WW8Num5z0"/>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link w:val="CorpodetextoChar"/>
    <w:uiPriority w:val="99"/>
    <w:semiHidden/>
    <w:unhideWhenUsed/>
    <w:rsid w:val="003e1700"/>
    <w:pPr>
      <w:spacing w:before="0" w:after="120"/>
    </w:pPr>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lang w:val="zxx" w:eastAsia="zxx" w:bidi="zxx"/>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fb660c"/>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fb660c"/>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7a6e59"/>
    <w:pPr>
      <w:spacing w:lineRule="auto" w:line="240" w:before="0" w:after="0"/>
    </w:pPr>
    <w:rPr>
      <w:sz w:val="16"/>
      <w:szCs w:val="16"/>
    </w:rPr>
  </w:style>
  <w:style w:type="paragraph" w:styleId="Corpodotextorecuado">
    <w:name w:val="Body Text Indent"/>
    <w:basedOn w:val="Normal"/>
    <w:link w:val="RecuodecorpodetextoChar"/>
    <w:rsid w:val="007a6e59"/>
    <w:pPr>
      <w:spacing w:lineRule="auto" w:line="240" w:before="0" w:after="120"/>
      <w:ind w:left="283" w:hanging="0"/>
    </w:pPr>
    <w:rPr>
      <w:rFonts w:ascii="Times New Roman" w:hAnsi="Times New Roman" w:eastAsia="Times New Roman" w:cs="Times New Roman"/>
      <w:sz w:val="24"/>
      <w:szCs w:val="24"/>
    </w:rPr>
  </w:style>
  <w:style w:type="paragraph" w:styleId="P4" w:customStyle="1">
    <w:name w:val="p4"/>
    <w:basedOn w:val="Normal"/>
    <w:qFormat/>
    <w:rsid w:val="007a6e59"/>
    <w:pPr>
      <w:spacing w:lineRule="auto" w:line="240" w:beforeAutospacing="1" w:afterAutospacing="1"/>
    </w:pPr>
    <w:rPr>
      <w:rFonts w:ascii="Arial Unicode MS" w:hAnsi="Arial Unicode MS" w:eastAsia="Arial Unicode MS" w:cs="Arial Unicode MS"/>
      <w:sz w:val="24"/>
      <w:szCs w:val="24"/>
      <w:lang w:eastAsia="pt-BR"/>
    </w:rPr>
  </w:style>
  <w:style w:type="paragraph" w:styleId="BodyTextIndent2">
    <w:name w:val="Body Text Indent 2"/>
    <w:basedOn w:val="Normal"/>
    <w:link w:val="Recuodecorpodetexto2Char"/>
    <w:qFormat/>
    <w:rsid w:val="003e1700"/>
    <w:pPr>
      <w:spacing w:lineRule="auto" w:line="480" w:before="0" w:after="120"/>
      <w:ind w:left="283" w:hanging="0"/>
    </w:pPr>
    <w:rPr>
      <w:rFonts w:ascii="Times New Roman" w:hAnsi="Times New Roman" w:eastAsia="Times New Roman" w:cs="Times New Roman"/>
      <w:sz w:val="24"/>
      <w:szCs w:val="24"/>
      <w:lang w:eastAsia="pt-BR"/>
    </w:rPr>
  </w:style>
  <w:style w:type="paragraph" w:styleId="ListParagraph">
    <w:name w:val="List Paragraph"/>
    <w:basedOn w:val="Normal"/>
    <w:uiPriority w:val="34"/>
    <w:qFormat/>
    <w:rsid w:val="0081791b"/>
    <w:pPr>
      <w:spacing w:before="0" w:after="160"/>
      <w:ind w:left="720" w:hanging="0"/>
      <w:contextualSpacing/>
    </w:pPr>
    <w:rPr/>
  </w:style>
  <w:style w:type="paragraph" w:styleId="Annotationtext">
    <w:name w:val="annotation text"/>
    <w:basedOn w:val="Normal"/>
    <w:link w:val="TextodecomentrioChar"/>
    <w:uiPriority w:val="99"/>
    <w:unhideWhenUsed/>
    <w:qFormat/>
    <w:rsid w:val="00000a60"/>
    <w:pPr>
      <w:spacing w:lineRule="auto" w:line="240"/>
    </w:pPr>
    <w:rPr>
      <w:sz w:val="20"/>
      <w:szCs w:val="20"/>
    </w:rPr>
  </w:style>
  <w:style w:type="paragraph" w:styleId="Annotationsubject">
    <w:name w:val="annotation subject"/>
    <w:basedOn w:val="Annotationtext"/>
    <w:next w:val="Annotationtext"/>
    <w:link w:val="AssuntodocomentrioChar"/>
    <w:uiPriority w:val="99"/>
    <w:semiHidden/>
    <w:unhideWhenUsed/>
    <w:qFormat/>
    <w:rsid w:val="00000a60"/>
    <w:pPr/>
    <w:rPr>
      <w:b/>
      <w:bCs/>
    </w:rPr>
  </w:style>
  <w:style w:type="paragraph" w:styleId="PargrafodaLista">
    <w:name w:val="Parágrafo da Lista"/>
    <w:basedOn w:val="Normal"/>
    <w:qFormat/>
    <w:pPr>
      <w:spacing w:before="0" w:after="0"/>
      <w:ind w:left="720" w:right="0" w:hanging="0"/>
      <w:contextualSpacing/>
    </w:pPr>
    <w:rPr/>
  </w:style>
  <w:style w:type="paragraph" w:styleId="Contedodatabela">
    <w:name w:val="Conteúdo da tabela"/>
    <w:basedOn w:val="Normal"/>
    <w:qFormat/>
    <w:pPr>
      <w:suppressLineNumbers/>
    </w:pPr>
    <w:rPr/>
  </w:style>
  <w:style w:type="paragraph" w:styleId="Normal1">
    <w:name w:val="Normal1"/>
    <w:qFormat/>
    <w:pPr>
      <w:widowControl w:val="false"/>
      <w:suppressAutoHyphens w:val="true"/>
      <w:bidi w:val="0"/>
      <w:spacing w:before="0" w:after="0"/>
      <w:jc w:val="left"/>
    </w:pPr>
    <w:rPr>
      <w:rFonts w:ascii="Liberation Serif;Times New Roman" w:hAnsi="Liberation Serif;Times New Roman" w:eastAsia="SimSun" w:cs="Mangal"/>
      <w:color w:val="00000A"/>
      <w:kern w:val="2"/>
      <w:sz w:val="24"/>
      <w:szCs w:val="24"/>
      <w:lang w:val="pt-BR" w:eastAsia="zh-CN" w:bidi="hi-IN"/>
    </w:rPr>
  </w:style>
  <w:style w:type="paragraph" w:styleId="Corpodetexto21">
    <w:name w:val="Corpo de texto 21"/>
    <w:basedOn w:val="Normal"/>
    <w:qFormat/>
    <w:pPr>
      <w:spacing w:lineRule="auto" w:line="360"/>
      <w:jc w:val="both"/>
    </w:pPr>
    <w:rPr>
      <w:rFonts w:eastAsia="Times New Roman"/>
      <w:color w:val="000000"/>
    </w:rPr>
  </w:style>
  <w:style w:type="numbering" w:styleId="NoList" w:default="1">
    <w:name w:val="No List"/>
    <w:uiPriority w:val="99"/>
    <w:semiHidden/>
    <w:unhideWhenUsed/>
    <w:qFormat/>
  </w:style>
  <w:style w:type="numbering" w:styleId="WW8Num12">
    <w:name w:val="WW8Num12"/>
    <w:qFormat/>
  </w:style>
  <w:style w:type="numbering" w:styleId="WW8Num3">
    <w:name w:val="WW8Num3"/>
    <w:qFormat/>
  </w:style>
  <w:style w:type="numbering" w:styleId="WW8Num10">
    <w:name w:val="WW8Num10"/>
    <w:qFormat/>
  </w:style>
  <w:style w:type="numbering" w:styleId="WW8Num5">
    <w:name w:val="WW8Num5"/>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ontas.tcu.gov.br/ords/f?p=704144:3:101016560152123::NO:3,4,6" TargetMode="External"/><Relationship Id="rId3" Type="http://schemas.openxmlformats.org/officeDocument/2006/relationships/hyperlink" Target="http://www.cnj.jus.br/improbidade_adm/consultar_requerido.php"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2.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3.png"/>
</Relationships>
</file>

<file path=word/_rels/footer2.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_rels/header4.xml.rels><?xml version="1.0" encoding="UTF-8"?>
<Relationships xmlns="http://schemas.openxmlformats.org/package/2006/relationships"><Relationship Id="rId1" Type="http://schemas.openxmlformats.org/officeDocument/2006/relationships/image" Target="media/image1.png"/>
</Relationships>
</file>

<file path=word/_rels/header5.xml.rels><?xml version="1.0" encoding="UTF-8"?>
<Relationships xmlns="http://schemas.openxmlformats.org/package/2006/relationships"><Relationship Id="rId1" Type="http://schemas.openxmlformats.org/officeDocument/2006/relationships/image" Target="media/image2.png"/>
</Relationships>
</file>

<file path=word/_rels/header6.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835F2-7D7D-4585-8BA6-8353DA348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3059</TotalTime>
  <Application>LibreOffice/7.4.2.3$Windows_X86_64 LibreOffice_project/382eef1f22670f7f4118c8c2dd222ec7ad009daf</Application>
  <AppVersion>15.0000</AppVersion>
  <Pages>21</Pages>
  <Words>5230</Words>
  <Characters>30356</Characters>
  <CharactersWithSpaces>35413</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2023-01-04T14:56:00Z</dcterms:created>
  <dc:creator>CIMCATARINA</dc:creator>
  <dc:description/>
  <dc:language>pt-BR</dc:language>
  <cp:lastModifiedBy/>
  <cp:lastPrinted>2024-08-06T14:25:06Z</cp:lastPrinted>
  <dcterms:modified xsi:type="dcterms:W3CDTF">2024-09-02T09:29:50Z</dcterms:modified>
  <cp:revision>151</cp:revision>
  <dc:subject/>
  <dc:title/>
</cp:coreProperties>
</file>

<file path=docProps/custom.xml><?xml version="1.0" encoding="utf-8"?>
<Properties xmlns="http://schemas.openxmlformats.org/officeDocument/2006/custom-properties" xmlns:vt="http://schemas.openxmlformats.org/officeDocument/2006/docPropsVTypes"/>
</file>