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uppressAutoHyphens w:val="true"/>
        <w:bidi w:val="0"/>
        <w:spacing w:lineRule="auto" w:line="300" w:before="0" w:after="0"/>
        <w:ind w:left="0" w:right="0" w:hanging="0"/>
        <w:jc w:val="center"/>
        <w:rPr>
          <w:rFonts w:ascii="Arial" w:hAnsi="Arial"/>
          <w:b/>
          <w:b/>
          <w:bCs/>
          <w:i w:val="false"/>
          <w:i w:val="false"/>
          <w:iCs w:val="false"/>
          <w:sz w:val="21"/>
          <w:szCs w:val="21"/>
        </w:rPr>
      </w:pPr>
      <w:r>
        <w:rPr>
          <w:rFonts w:ascii="Arial" w:hAnsi="Arial"/>
          <w:b/>
          <w:bCs/>
          <w:i w:val="false"/>
          <w:iCs w:val="false"/>
          <w:sz w:val="21"/>
          <w:szCs w:val="21"/>
        </w:rPr>
      </w:r>
    </w:p>
    <w:p>
      <w:pPr>
        <w:pStyle w:val="Normal"/>
        <w:widowControl/>
        <w:suppressAutoHyphens w:val="true"/>
        <w:bidi w:val="0"/>
        <w:spacing w:lineRule="auto" w:line="300" w:before="0" w:after="0"/>
        <w:ind w:left="0" w:right="0" w:hanging="0"/>
        <w:jc w:val="center"/>
        <w:rPr/>
      </w:pPr>
      <w:r>
        <w:rPr>
          <w:rFonts w:ascii="Arial" w:hAnsi="Arial"/>
          <w:b/>
          <w:bCs/>
          <w:i w:val="false"/>
          <w:iCs w:val="false"/>
          <w:sz w:val="21"/>
          <w:szCs w:val="21"/>
        </w:rPr>
        <w:t xml:space="preserve"> </w:t>
      </w:r>
      <w:r>
        <w:rPr>
          <w:rFonts w:ascii="Arial" w:hAnsi="Arial"/>
          <w:b/>
          <w:bCs/>
          <w:i w:val="false"/>
          <w:iCs w:val="false"/>
          <w:sz w:val="21"/>
          <w:szCs w:val="21"/>
        </w:rPr>
        <w:t>EDITAL</w:t>
      </w:r>
    </w:p>
    <w:p>
      <w:pPr>
        <w:pStyle w:val="Normal"/>
        <w:widowControl/>
        <w:suppressAutoHyphens w:val="true"/>
        <w:bidi w:val="0"/>
        <w:spacing w:lineRule="auto" w:line="300" w:before="0" w:after="0"/>
        <w:ind w:left="0" w:right="0" w:hanging="0"/>
        <w:jc w:val="center"/>
        <w:rPr>
          <w:rFonts w:ascii="Arial" w:hAnsi="Arial"/>
          <w:sz w:val="21"/>
          <w:szCs w:val="21"/>
        </w:rPr>
      </w:pPr>
      <w:r>
        <w:rPr>
          <w:rFonts w:ascii="Arial" w:hAnsi="Arial"/>
          <w:sz w:val="21"/>
          <w:szCs w:val="21"/>
        </w:rPr>
      </w:r>
    </w:p>
    <w:p>
      <w:pPr>
        <w:pStyle w:val="Normal"/>
        <w:spacing w:lineRule="auto" w:line="300" w:before="0" w:after="0"/>
        <w:ind w:left="0" w:right="0" w:hanging="0"/>
        <w:jc w:val="center"/>
        <w:rPr/>
      </w:pPr>
      <w:r>
        <w:rPr>
          <w:rFonts w:cs="Arial" w:ascii="Arial" w:hAnsi="Arial"/>
          <w:b/>
          <w:color w:val="000000"/>
          <w:sz w:val="21"/>
          <w:szCs w:val="21"/>
        </w:rPr>
        <w:t xml:space="preserve">LICITAÇÃO EXCLUSIVAMENTE PARA MICRO E PEQUENAS EMPRESAS </w:t>
      </w:r>
    </w:p>
    <w:p>
      <w:pPr>
        <w:pStyle w:val="Normal"/>
        <w:spacing w:lineRule="auto" w:line="300" w:before="0" w:after="0"/>
        <w:ind w:left="0" w:right="0" w:hanging="0"/>
        <w:jc w:val="center"/>
        <w:rPr/>
      </w:pPr>
      <w:r>
        <w:rPr>
          <w:rFonts w:cs="Arial" w:ascii="Arial" w:hAnsi="Arial"/>
          <w:b/>
          <w:bCs/>
          <w:i w:val="false"/>
          <w:iCs w:val="false"/>
          <w:color w:val="000000"/>
          <w:sz w:val="21"/>
          <w:szCs w:val="21"/>
        </w:rPr>
        <w:t xml:space="preserve">(De acordo com o art. 48, I da Lei Complementar nº 123/2006 alterado pela lei 147/2014) </w:t>
      </w:r>
    </w:p>
    <w:p>
      <w:pPr>
        <w:pStyle w:val="Normal"/>
        <w:widowControl/>
        <w:suppressAutoHyphens w:val="true"/>
        <w:bidi w:val="0"/>
        <w:spacing w:lineRule="auto" w:line="300" w:before="0" w:after="0"/>
        <w:ind w:left="0" w:right="0" w:hanging="0"/>
        <w:jc w:val="center"/>
        <w:rPr>
          <w:rFonts w:ascii="Arial" w:hAnsi="Arial"/>
          <w:sz w:val="21"/>
          <w:szCs w:val="21"/>
        </w:rPr>
      </w:pPr>
      <w:r>
        <w:rPr>
          <w:rFonts w:ascii="Arial" w:hAnsi="Arial"/>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EDITAL DE PREGÃO</w:t>
      </w:r>
      <w:r>
        <w:rPr>
          <w:rFonts w:ascii="Arial" w:hAnsi="Arial"/>
          <w:b/>
          <w:bCs/>
          <w:i w:val="false"/>
          <w:iCs w:val="false"/>
          <w:strike w:val="false"/>
          <w:dstrike w:val="false"/>
          <w:color w:val="000000"/>
          <w:sz w:val="21"/>
          <w:szCs w:val="21"/>
          <w:u w:val="none"/>
        </w:rPr>
        <w:t xml:space="preserve"> ELETRÔNICO Nº 16/2024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cs="Arial" w:ascii="Arial" w:hAnsi="Arial"/>
          <w:sz w:val="21"/>
          <w:szCs w:val="21"/>
        </w:rPr>
        <w:t xml:space="preserve">O Município de Lindóia do Sul, pessoa jurídica de direito público interno, inscrito no CNPJ 78.510.112/0001-80, com sede na Rua Tamandaré, nº 98, Centro, Lindóia do Sul, SC, CEP 89.735-000, através de seu Prefeito Municipal Senhor </w:t>
      </w:r>
      <w:r>
        <w:rPr>
          <w:rFonts w:cs="Arial" w:ascii="Arial" w:hAnsi="Arial"/>
          <w:b/>
          <w:sz w:val="21"/>
          <w:szCs w:val="21"/>
        </w:rPr>
        <w:t>NEUDI ANGELO BERTOL</w:t>
      </w:r>
      <w:r>
        <w:rPr>
          <w:rFonts w:cs="Arial" w:ascii="Arial" w:hAnsi="Arial"/>
          <w:color w:val="000000"/>
          <w:sz w:val="21"/>
          <w:szCs w:val="21"/>
        </w:rPr>
        <w:t xml:space="preserve">, no uso de suas atribuições, torna público, para conhecimento dos interessados, que realizará licitação na modalidade </w:t>
      </w:r>
      <w:r>
        <w:rPr>
          <w:rFonts w:cs="Arial" w:ascii="Arial" w:hAnsi="Arial"/>
          <w:b/>
          <w:bCs/>
          <w:color w:val="000000"/>
          <w:sz w:val="21"/>
          <w:szCs w:val="21"/>
        </w:rPr>
        <w:t>PREGÃO</w:t>
      </w:r>
      <w:r>
        <w:rPr>
          <w:rFonts w:cs="Arial" w:ascii="Arial" w:hAnsi="Arial"/>
          <w:b/>
          <w:color w:val="000000"/>
          <w:sz w:val="21"/>
          <w:szCs w:val="21"/>
        </w:rPr>
        <w:t xml:space="preserve">, </w:t>
      </w:r>
      <w:r>
        <w:rPr>
          <w:rFonts w:cs="Arial" w:ascii="Arial" w:hAnsi="Arial"/>
          <w:color w:val="000000"/>
          <w:sz w:val="21"/>
          <w:szCs w:val="21"/>
        </w:rPr>
        <w:t>sob a forma</w:t>
      </w:r>
      <w:r>
        <w:rPr>
          <w:rFonts w:cs="Arial" w:ascii="Arial" w:hAnsi="Arial"/>
          <w:b/>
          <w:color w:val="000000"/>
          <w:sz w:val="21"/>
          <w:szCs w:val="21"/>
        </w:rPr>
        <w:t xml:space="preserve"> ELETRÔNICA</w:t>
      </w:r>
      <w:r>
        <w:rPr>
          <w:rFonts w:cs="Arial" w:ascii="Arial" w:hAnsi="Arial"/>
          <w:color w:val="000000"/>
          <w:sz w:val="21"/>
          <w:szCs w:val="21"/>
        </w:rPr>
        <w:t xml:space="preserve">, auxiliado pelo </w:t>
      </w:r>
      <w:r>
        <w:rPr>
          <w:rFonts w:cs="Arial" w:ascii="Arial" w:hAnsi="Arial"/>
          <w:b/>
          <w:bCs/>
          <w:color w:val="000000"/>
          <w:sz w:val="21"/>
          <w:szCs w:val="21"/>
        </w:rPr>
        <w:t>SISTEMA DE REGISTRO DE PREÇOS</w:t>
      </w:r>
      <w:r>
        <w:rPr>
          <w:rFonts w:cs="Arial" w:ascii="Arial" w:hAnsi="Arial"/>
          <w:color w:val="000000"/>
          <w:sz w:val="21"/>
          <w:szCs w:val="21"/>
        </w:rPr>
        <w:t xml:space="preserve"> para eventual contratação, com fornecimento parcelado do objeto abaixo indicado, através do site </w:t>
      </w:r>
      <w:hyperlink r:id="rId2">
        <w:r>
          <w:rPr>
            <w:rStyle w:val="LinkdaInternet"/>
            <w:rFonts w:cs="Arial" w:ascii="Arial" w:hAnsi="Arial"/>
            <w:sz w:val="21"/>
            <w:szCs w:val="21"/>
          </w:rPr>
          <w:t>www.portaldecompraspublicas.com.br</w:t>
        </w:r>
      </w:hyperlink>
      <w:r>
        <w:rPr>
          <w:rFonts w:cs="Arial" w:ascii="Arial" w:hAnsi="Arial"/>
          <w:color w:val="000000"/>
          <w:sz w:val="21"/>
          <w:szCs w:val="21"/>
        </w:rPr>
        <w:t>, em conformidade com as condições do Edital, que rege este pregão, nas disposições da Lei Federal nº 14.133, de 01 de abril de 2021 e Decreto Municipal nº 4.072 de 11 de janeiro de 2024.</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 xml:space="preserve">SISTEMA: </w:t>
      </w:r>
      <w:r>
        <w:rPr>
          <w:rFonts w:cs="Arial" w:ascii="Arial" w:hAnsi="Arial"/>
          <w:b/>
          <w:bCs/>
          <w:strike w:val="false"/>
          <w:dstrike w:val="false"/>
          <w:color w:val="000000"/>
          <w:sz w:val="21"/>
          <w:szCs w:val="21"/>
          <w:u w:val="none"/>
        </w:rPr>
        <w:t>REGISTRO DE PREÇOS</w:t>
      </w:r>
      <w:r>
        <w:rPr>
          <w:rFonts w:cs="Arial" w:ascii="Arial" w:hAnsi="Arial"/>
          <w:b w:val="false"/>
          <w:bCs/>
          <w:strike w:val="false"/>
          <w:dstrike w:val="false"/>
          <w:color w:val="000000"/>
          <w:sz w:val="21"/>
          <w:szCs w:val="21"/>
          <w:u w:val="none"/>
        </w:rPr>
        <w:t xml:space="preserve"> </w:t>
      </w:r>
    </w:p>
    <w:p>
      <w:pPr>
        <w:pStyle w:val="Default"/>
        <w:spacing w:lineRule="auto" w:line="300" w:before="0" w:after="0"/>
        <w:ind w:left="0" w:right="0" w:hanging="0"/>
        <w:rPr/>
      </w:pPr>
      <w:r>
        <w:rPr>
          <w:rFonts w:ascii="Arial" w:hAnsi="Arial"/>
          <w:b/>
          <w:bCs/>
          <w:strike w:val="false"/>
          <w:dstrike w:val="false"/>
          <w:color w:val="000000"/>
          <w:sz w:val="21"/>
          <w:szCs w:val="21"/>
          <w:u w:val="none"/>
        </w:rPr>
        <w:t xml:space="preserve">CRITÉRIO DE JULGAMENTO: </w:t>
      </w:r>
      <w:r>
        <w:rPr>
          <w:rFonts w:ascii="Arial" w:hAnsi="Arial"/>
          <w:b w:val="false"/>
          <w:bCs/>
          <w:strike w:val="false"/>
          <w:dstrike w:val="false"/>
          <w:color w:val="000000"/>
          <w:sz w:val="21"/>
          <w:szCs w:val="21"/>
          <w:u w:val="none"/>
        </w:rPr>
        <w:t>Menor preço por Item</w:t>
      </w:r>
    </w:p>
    <w:p>
      <w:pPr>
        <w:pStyle w:val="Normal"/>
        <w:widowControl/>
        <w:suppressAutoHyphens w:val="true"/>
        <w:bidi w:val="0"/>
        <w:spacing w:lineRule="auto" w:line="300" w:before="0" w:after="0"/>
        <w:ind w:left="0" w:right="0" w:hanging="0"/>
        <w:jc w:val="both"/>
        <w:rPr/>
      </w:pPr>
      <w:r>
        <w:rPr>
          <w:rFonts w:ascii="Arial" w:hAnsi="Arial"/>
          <w:b/>
          <w:bCs/>
          <w:sz w:val="21"/>
          <w:szCs w:val="21"/>
        </w:rPr>
        <w:t>RECEBIMENTO DAS PROPOSTAS</w:t>
      </w:r>
      <w:r>
        <w:rPr>
          <w:rFonts w:ascii="Arial" w:hAnsi="Arial"/>
          <w:sz w:val="21"/>
          <w:szCs w:val="21"/>
        </w:rPr>
        <w:t xml:space="preserve">: até as </w:t>
      </w:r>
      <w:r>
        <w:rPr>
          <w:rFonts w:ascii="Arial" w:hAnsi="Arial"/>
          <w:b/>
          <w:bCs/>
          <w:sz w:val="21"/>
          <w:szCs w:val="21"/>
        </w:rPr>
        <w:t>08:30</w:t>
      </w:r>
      <w:r>
        <w:rPr>
          <w:rFonts w:ascii="Arial" w:hAnsi="Arial"/>
          <w:sz w:val="21"/>
          <w:szCs w:val="21"/>
        </w:rPr>
        <w:t xml:space="preserve"> horas do dia </w:t>
      </w:r>
      <w:r>
        <w:rPr>
          <w:rFonts w:ascii="Arial" w:hAnsi="Arial"/>
          <w:b/>
          <w:bCs/>
          <w:sz w:val="21"/>
          <w:szCs w:val="21"/>
        </w:rPr>
        <w:t>04 de novembro de 2024.</w:t>
      </w:r>
    </w:p>
    <w:p>
      <w:pPr>
        <w:pStyle w:val="Normal"/>
        <w:widowControl/>
        <w:suppressAutoHyphens w:val="true"/>
        <w:bidi w:val="0"/>
        <w:spacing w:lineRule="auto" w:line="300" w:before="0" w:after="0"/>
        <w:ind w:left="0" w:right="0" w:hanging="0"/>
        <w:jc w:val="both"/>
        <w:rPr/>
      </w:pPr>
      <w:r>
        <w:rPr>
          <w:rFonts w:ascii="Arial" w:hAnsi="Arial"/>
          <w:b/>
          <w:bCs/>
          <w:sz w:val="21"/>
          <w:szCs w:val="21"/>
        </w:rPr>
        <w:t>DOCUMENTOS DE HABILITAÇÃO</w:t>
      </w:r>
      <w:r>
        <w:rPr>
          <w:rFonts w:ascii="Arial" w:hAnsi="Arial"/>
          <w:sz w:val="21"/>
          <w:szCs w:val="21"/>
        </w:rPr>
        <w:t>: Na mesma data e horário do recebimento das propostas, encerrada a fase de lances, o licitante classificado provisoriamente em primeiro lugar poderá complementar ou substituir a documentação apresentada, dentro do prazo fixado pelo pregoeiro, não inferior a 02 (duas) horas, podendo ser prorrogado por igual período.</w:t>
      </w:r>
    </w:p>
    <w:p>
      <w:pPr>
        <w:pStyle w:val="Normal"/>
        <w:widowControl/>
        <w:suppressAutoHyphens w:val="true"/>
        <w:bidi w:val="0"/>
        <w:spacing w:lineRule="auto" w:line="300" w:before="0" w:after="0"/>
        <w:ind w:left="0" w:right="0" w:hanging="0"/>
        <w:jc w:val="both"/>
        <w:rPr/>
      </w:pPr>
      <w:r>
        <w:rPr>
          <w:rFonts w:ascii="Arial" w:hAnsi="Arial"/>
          <w:b/>
          <w:bCs/>
          <w:sz w:val="21"/>
          <w:szCs w:val="21"/>
        </w:rPr>
        <w:t>INÍCIO DA SESSÃO</w:t>
      </w:r>
      <w:r>
        <w:rPr>
          <w:rFonts w:ascii="Arial" w:hAnsi="Arial"/>
          <w:sz w:val="21"/>
          <w:szCs w:val="21"/>
        </w:rPr>
        <w:t>: às</w:t>
      </w:r>
      <w:r>
        <w:rPr>
          <w:rFonts w:ascii="Arial" w:hAnsi="Arial"/>
          <w:b/>
          <w:bCs/>
          <w:sz w:val="21"/>
          <w:szCs w:val="21"/>
        </w:rPr>
        <w:t xml:space="preserve"> 08:31 horas do dia </w:t>
      </w:r>
      <w:r>
        <w:rPr>
          <w:rFonts w:ascii="Arial" w:hAnsi="Arial"/>
          <w:b/>
          <w:bCs/>
          <w:sz w:val="21"/>
          <w:szCs w:val="21"/>
        </w:rPr>
        <w:t>04</w:t>
      </w:r>
      <w:r>
        <w:rPr>
          <w:rFonts w:ascii="Arial" w:hAnsi="Arial"/>
          <w:b/>
          <w:bCs/>
          <w:sz w:val="21"/>
          <w:szCs w:val="21"/>
        </w:rPr>
        <w:t xml:space="preserve"> de </w:t>
      </w:r>
      <w:r>
        <w:rPr>
          <w:rFonts w:ascii="Arial" w:hAnsi="Arial"/>
          <w:b/>
          <w:bCs/>
          <w:sz w:val="21"/>
          <w:szCs w:val="21"/>
        </w:rPr>
        <w:t>novembro</w:t>
      </w:r>
      <w:r>
        <w:rPr>
          <w:rFonts w:ascii="Arial" w:hAnsi="Arial"/>
          <w:b/>
          <w:bCs/>
          <w:sz w:val="21"/>
          <w:szCs w:val="21"/>
        </w:rPr>
        <w:t xml:space="preserve"> de 2024.</w:t>
      </w:r>
    </w:p>
    <w:p>
      <w:pPr>
        <w:pStyle w:val="Normal"/>
        <w:widowControl/>
        <w:suppressAutoHyphens w:val="true"/>
        <w:bidi w:val="0"/>
        <w:spacing w:lineRule="auto" w:line="300" w:before="0" w:after="0"/>
        <w:ind w:left="0" w:right="0" w:hanging="0"/>
        <w:jc w:val="both"/>
        <w:rPr/>
      </w:pPr>
      <w:r>
        <w:rPr>
          <w:rFonts w:ascii="Arial" w:hAnsi="Arial"/>
          <w:b/>
          <w:bCs/>
          <w:sz w:val="21"/>
          <w:szCs w:val="21"/>
        </w:rPr>
        <w:t>REFERÊNCIA DE TEMPO</w:t>
      </w:r>
      <w:r>
        <w:rPr>
          <w:rFonts w:ascii="Arial" w:hAnsi="Arial"/>
          <w:sz w:val="21"/>
          <w:szCs w:val="21"/>
        </w:rPr>
        <w:t>: horário de Brasília (DF)</w:t>
      </w:r>
    </w:p>
    <w:p>
      <w:pPr>
        <w:pStyle w:val="Normal"/>
        <w:widowControl/>
        <w:suppressAutoHyphens w:val="true"/>
        <w:bidi w:val="0"/>
        <w:spacing w:lineRule="auto" w:line="300" w:before="0" w:after="0"/>
        <w:ind w:left="0" w:right="0" w:hanging="0"/>
        <w:jc w:val="both"/>
        <w:rPr/>
      </w:pPr>
      <w:r>
        <w:rPr>
          <w:rFonts w:ascii="Arial" w:hAnsi="Arial"/>
          <w:b/>
          <w:bCs/>
          <w:sz w:val="21"/>
          <w:szCs w:val="21"/>
        </w:rPr>
        <w:t>PLATAFORMA ELETRÔNICA</w:t>
      </w:r>
      <w:r>
        <w:rPr>
          <w:rFonts w:ascii="Arial" w:hAnsi="Arial"/>
          <w:sz w:val="21"/>
          <w:szCs w:val="21"/>
        </w:rPr>
        <w:t xml:space="preserve">: </w:t>
      </w:r>
      <w:hyperlink r:id="rId3">
        <w:r>
          <w:rPr>
            <w:rStyle w:val="LinkdaInternet"/>
            <w:rFonts w:ascii="Arial" w:hAnsi="Arial"/>
            <w:sz w:val="21"/>
            <w:szCs w:val="21"/>
          </w:rPr>
          <w:t>www.portaldecompraspublicas.com.br</w:t>
        </w:r>
      </w:hyperlink>
      <w:r>
        <w:rPr>
          <w:rFonts w:ascii="Arial" w:hAnsi="Arial"/>
          <w:sz w:val="21"/>
          <w:szCs w:val="21"/>
        </w:rPr>
        <w:t xml:space="preserve"> “Acesso Identificado”</w:t>
      </w:r>
    </w:p>
    <w:p>
      <w:pPr>
        <w:pStyle w:val="Normal"/>
        <w:widowControl/>
        <w:suppressAutoHyphens w:val="true"/>
        <w:bidi w:val="0"/>
        <w:spacing w:lineRule="auto" w:line="300" w:before="0" w:after="0"/>
        <w:ind w:left="0" w:right="0" w:hanging="0"/>
        <w:jc w:val="both"/>
        <w:rPr/>
      </w:pPr>
      <w:r>
        <w:rPr>
          <w:rFonts w:ascii="Arial" w:hAnsi="Arial"/>
          <w:b/>
          <w:bCs/>
          <w:sz w:val="21"/>
          <w:szCs w:val="21"/>
        </w:rPr>
        <w:t>INTERVALO MÍNIMO DE LANCES</w:t>
      </w:r>
      <w:r>
        <w:rPr>
          <w:rFonts w:ascii="Arial" w:hAnsi="Arial"/>
          <w:sz w:val="21"/>
          <w:szCs w:val="21"/>
        </w:rPr>
        <w:t>: R$ 0,01 (um centavo de real)</w:t>
      </w:r>
    </w:p>
    <w:p>
      <w:pPr>
        <w:pStyle w:val="Normal"/>
        <w:widowControl/>
        <w:suppressAutoHyphens w:val="true"/>
        <w:bidi w:val="0"/>
        <w:spacing w:lineRule="auto" w:line="300" w:before="0" w:after="0"/>
        <w:ind w:left="0" w:right="0" w:hanging="0"/>
        <w:jc w:val="both"/>
        <w:rPr/>
      </w:pPr>
      <w:r>
        <w:rPr>
          <w:rFonts w:ascii="Arial" w:hAnsi="Arial"/>
          <w:b/>
          <w:bCs/>
          <w:sz w:val="21"/>
          <w:szCs w:val="21"/>
        </w:rPr>
        <w:t xml:space="preserve">DATA LIMITE PARA IMPUGNAÇÃO E ESCLARECIMENTOS: 23h59m do dia </w:t>
      </w:r>
      <w:r>
        <w:rPr>
          <w:rFonts w:ascii="Arial" w:hAnsi="Arial"/>
          <w:b/>
          <w:bCs/>
          <w:sz w:val="21"/>
          <w:szCs w:val="21"/>
        </w:rPr>
        <w:t>30</w:t>
      </w:r>
      <w:r>
        <w:rPr>
          <w:rFonts w:ascii="Arial" w:hAnsi="Arial"/>
          <w:b/>
          <w:bCs/>
          <w:sz w:val="21"/>
          <w:szCs w:val="21"/>
        </w:rPr>
        <w:t xml:space="preserve"> de </w:t>
      </w:r>
      <w:r>
        <w:rPr>
          <w:rFonts w:ascii="Arial" w:hAnsi="Arial"/>
          <w:b/>
          <w:bCs/>
          <w:sz w:val="21"/>
          <w:szCs w:val="21"/>
        </w:rPr>
        <w:t>outubro</w:t>
      </w:r>
      <w:r>
        <w:rPr>
          <w:rFonts w:ascii="Arial" w:hAnsi="Arial"/>
          <w:b/>
          <w:bCs/>
          <w:sz w:val="21"/>
          <w:szCs w:val="21"/>
        </w:rPr>
        <w:t xml:space="preserve"> de 2024.</w:t>
      </w:r>
    </w:p>
    <w:p>
      <w:pPr>
        <w:pStyle w:val="Default"/>
        <w:spacing w:lineRule="auto" w:line="300" w:before="0" w:after="0"/>
        <w:ind w:left="0" w:right="0" w:hanging="0"/>
        <w:rPr/>
      </w:pPr>
      <w:r>
        <w:rPr>
          <w:rFonts w:ascii="Arial" w:hAnsi="Arial"/>
          <w:b/>
          <w:strike w:val="false"/>
          <w:dstrike w:val="false"/>
          <w:color w:val="000000"/>
          <w:sz w:val="21"/>
          <w:szCs w:val="21"/>
          <w:u w:val="none"/>
        </w:rPr>
        <w:t xml:space="preserve">MODO DE DISPUTA: </w:t>
      </w:r>
      <w:r>
        <w:rPr>
          <w:rFonts w:ascii="Arial" w:hAnsi="Arial"/>
          <w:b w:val="false"/>
          <w:strike w:val="false"/>
          <w:dstrike w:val="false"/>
          <w:color w:val="000000"/>
          <w:sz w:val="21"/>
          <w:szCs w:val="21"/>
          <w:u w:val="none"/>
        </w:rPr>
        <w:t xml:space="preserve">Aberto </w:t>
      </w:r>
    </w:p>
    <w:p>
      <w:pPr>
        <w:pStyle w:val="Default"/>
        <w:spacing w:lineRule="auto" w:line="300" w:before="0" w:after="0"/>
        <w:ind w:left="0" w:right="0" w:hanging="0"/>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strike w:val="false"/>
          <w:dstrike w:val="false"/>
          <w:color w:val="000000"/>
          <w:sz w:val="21"/>
          <w:szCs w:val="21"/>
          <w:u w:val="none"/>
        </w:rPr>
        <w:t xml:space="preserve">OBJETO: </w:t>
      </w:r>
      <w:r>
        <w:rPr>
          <w:rFonts w:eastAsia="Times New Roman" w:ascii="Arial" w:hAnsi="Arial"/>
          <w:b w:val="false"/>
          <w:bCs w:val="false"/>
          <w:strike w:val="false"/>
          <w:dstrike w:val="false"/>
          <w:color w:val="000000"/>
          <w:sz w:val="22"/>
          <w:szCs w:val="21"/>
          <w:highlight w:val="white"/>
          <w:u w:val="none"/>
        </w:rPr>
        <w:t xml:space="preserve">A presente licitação tem por objeto o REGISTRO DE PREÇOS para possível aquisição de gêneros alimentícios, de forma parcelada, para a </w:t>
      </w:r>
      <w:r>
        <w:rPr>
          <w:rFonts w:eastAsia="Times New Roman" w:ascii="Arial" w:hAnsi="Arial"/>
          <w:b w:val="false"/>
          <w:bCs w:val="false"/>
          <w:strike w:val="false"/>
          <w:dstrike w:val="false"/>
          <w:color w:val="000000"/>
          <w:sz w:val="22"/>
          <w:szCs w:val="21"/>
          <w:highlight w:val="white"/>
          <w:u w:val="none"/>
          <w:lang w:eastAsia="pt-BR"/>
        </w:rPr>
        <w:t>Secretaria de Infraestrutura e Transportes, Secretaria de Agricultura e Meio Ambiente, Secretaria de Administração e Finanças, Secretaria de Saúde, Secretaria Municipal de Assistência Social e Gabinete do Prefeito, visando o atendimento da alimentação.</w:t>
      </w:r>
    </w:p>
    <w:p>
      <w:pPr>
        <w:pStyle w:val="Default"/>
        <w:spacing w:lineRule="auto" w:line="300" w:before="0" w:after="0"/>
        <w:ind w:left="0" w:right="0" w:hanging="0"/>
        <w:rPr>
          <w:rFonts w:ascii="Arial" w:hAnsi="Arial"/>
          <w:b/>
          <w:b/>
          <w:strike w:val="false"/>
          <w:dstrike w:val="false"/>
          <w:color w:val="000000"/>
          <w:sz w:val="21"/>
          <w:szCs w:val="21"/>
          <w:u w:val="none"/>
        </w:rPr>
      </w:pPr>
      <w:r>
        <w:rPr>
          <w:rFonts w:ascii="Arial" w:hAnsi="Arial"/>
          <w:b/>
          <w:strike w:val="false"/>
          <w:dstrike w:val="false"/>
          <w:color w:val="000000"/>
          <w:sz w:val="21"/>
          <w:szCs w:val="21"/>
          <w:u w:val="none"/>
        </w:rPr>
      </w:r>
    </w:p>
    <w:p>
      <w:pPr>
        <w:pStyle w:val="Default"/>
        <w:spacing w:lineRule="auto" w:line="300" w:before="0" w:after="0"/>
        <w:ind w:left="0" w:right="0" w:hanging="0"/>
        <w:rPr/>
      </w:pPr>
      <w:r>
        <w:rPr>
          <w:rFonts w:ascii="Arial" w:hAnsi="Arial"/>
          <w:b/>
          <w:strike w:val="false"/>
          <w:dstrike w:val="false"/>
          <w:color w:val="000000"/>
          <w:sz w:val="21"/>
          <w:szCs w:val="21"/>
          <w:u w:val="none"/>
        </w:rPr>
        <w:t xml:space="preserve">VALOR MÁXIMO ADMITIDO: </w:t>
      </w:r>
      <w:r>
        <w:rPr>
          <w:rFonts w:ascii="Arial" w:hAnsi="Arial"/>
          <w:b w:val="false"/>
          <w:strike w:val="false"/>
          <w:dstrike w:val="false"/>
          <w:color w:val="000000"/>
          <w:sz w:val="21"/>
          <w:szCs w:val="21"/>
          <w:u w:val="none"/>
        </w:rPr>
        <w:t>R$ 56.019,60 (cinquenta e seis mil e dezenove reais e sessenta centavos).</w:t>
      </w:r>
    </w:p>
    <w:p>
      <w:pPr>
        <w:pStyle w:val="Default"/>
        <w:spacing w:lineRule="auto" w:line="300" w:before="0" w:after="0"/>
        <w:ind w:left="0" w:right="0" w:hanging="0"/>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cs="Arial" w:ascii="Arial" w:hAnsi="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pStyle w:val="Normal"/>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Formalização de consultas/encaminhamentos:</w:t>
      </w:r>
    </w:p>
    <w:p>
      <w:pPr>
        <w:pStyle w:val="Normal"/>
        <w:widowControl/>
        <w:suppressAutoHyphens w:val="true"/>
        <w:bidi w:val="0"/>
        <w:spacing w:lineRule="auto" w:line="300" w:before="0" w:after="0"/>
        <w:ind w:left="0" w:right="0" w:hanging="0"/>
        <w:jc w:val="both"/>
        <w:rPr/>
      </w:pPr>
      <w:r>
        <w:rPr>
          <w:rFonts w:ascii="Arial" w:hAnsi="Arial"/>
          <w:sz w:val="21"/>
          <w:szCs w:val="21"/>
        </w:rPr>
        <w:t>LOCAL: Município de Lindóia do Sul</w:t>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ENDEREÇO: </w:t>
      </w:r>
      <w:r>
        <w:rPr>
          <w:rFonts w:cs="Arial" w:ascii="Arial" w:hAnsi="Arial"/>
          <w:sz w:val="21"/>
          <w:szCs w:val="21"/>
        </w:rPr>
        <w:t>Rua Tamandaré, nº 98, Centro, Lindóia do Sul, SC, CEP 89.735-000</w:t>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E-mail: </w:t>
      </w:r>
      <w:hyperlink r:id="rId4">
        <w:r>
          <w:rPr>
            <w:rStyle w:val="LinkdaInternet"/>
            <w:rFonts w:ascii="Arial" w:hAnsi="Arial"/>
            <w:sz w:val="21"/>
            <w:szCs w:val="21"/>
          </w:rPr>
          <w:t>compras@lindoiadosul.sc.gov.br</w:t>
        </w:r>
      </w:hyperlink>
      <w:r>
        <w:rPr>
          <w:rFonts w:ascii="Arial" w:hAnsi="Arial"/>
          <w:sz w:val="21"/>
          <w:szCs w:val="21"/>
        </w:rPr>
        <w:t xml:space="preserve"> ou </w:t>
      </w:r>
      <w:hyperlink r:id="rId5">
        <w:r>
          <w:rPr>
            <w:rStyle w:val="LinkdaInternet"/>
            <w:rFonts w:ascii="Arial" w:hAnsi="Arial"/>
            <w:sz w:val="21"/>
            <w:szCs w:val="21"/>
          </w:rPr>
          <w:t>compras2@lindoiadosul.sc.gov.br</w:t>
        </w:r>
      </w:hyperlink>
    </w:p>
    <w:p>
      <w:pPr>
        <w:pStyle w:val="Normal"/>
        <w:widowControl/>
        <w:suppressAutoHyphens w:val="true"/>
        <w:bidi w:val="0"/>
        <w:spacing w:lineRule="auto" w:line="300" w:before="0" w:after="0"/>
        <w:ind w:left="0" w:right="0" w:hanging="0"/>
        <w:jc w:val="both"/>
        <w:rPr/>
      </w:pPr>
      <w:r>
        <w:rPr>
          <w:rFonts w:ascii="Arial" w:hAnsi="Arial"/>
          <w:sz w:val="21"/>
          <w:szCs w:val="21"/>
        </w:rPr>
        <w:t>Telefone: 49 34461177 ou 998220842</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 DO OBJETO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1.1. </w:t>
      </w:r>
      <w:r>
        <w:rPr>
          <w:rFonts w:eastAsia="Times New Roman" w:ascii="Arial" w:hAnsi="Arial"/>
          <w:b w:val="false"/>
          <w:bCs w:val="false"/>
          <w:strike w:val="false"/>
          <w:dstrike w:val="false"/>
          <w:color w:val="000000"/>
          <w:sz w:val="22"/>
          <w:szCs w:val="21"/>
          <w:highlight w:val="white"/>
          <w:u w:val="none"/>
        </w:rPr>
        <w:t xml:space="preserve">A presente licitação tem por objeto o REGISTRO DE PREÇOS para possível aquisição de gêneros alimentícios, de forma parcelada, para a </w:t>
      </w:r>
      <w:r>
        <w:rPr>
          <w:rFonts w:eastAsia="Times New Roman" w:ascii="Arial" w:hAnsi="Arial"/>
          <w:b w:val="false"/>
          <w:bCs w:val="false"/>
          <w:strike w:val="false"/>
          <w:dstrike w:val="false"/>
          <w:color w:val="000000"/>
          <w:sz w:val="22"/>
          <w:szCs w:val="21"/>
          <w:highlight w:val="white"/>
          <w:u w:val="none"/>
          <w:lang w:eastAsia="pt-BR"/>
        </w:rPr>
        <w:t>Secretaria de Infraestrutura e Transportes, Secretaria de Agricultura e Meio Ambiente, Secretaria de Administração e Finanças, Secretaria de Saúde, Secretaria Municipal de Assistência Social e Gabinete do Prefeito, visando o atendimento da alimentação.</w:t>
      </w:r>
    </w:p>
    <w:p>
      <w:pPr>
        <w:pStyle w:val="Default"/>
        <w:spacing w:lineRule="auto" w:line="300" w:before="0" w:after="0"/>
        <w:ind w:left="0" w:right="0" w:hanging="0"/>
        <w:jc w:val="both"/>
        <w:rPr>
          <w:rFonts w:ascii="Arial" w:hAnsi="Arial"/>
          <w:sz w:val="22"/>
        </w:rPr>
      </w:pPr>
      <w:r>
        <w:rPr>
          <w:rFonts w:ascii="Arial" w:hAnsi="Arial"/>
          <w:sz w:val="22"/>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1.2.</w:t>
      </w:r>
      <w:r>
        <w:rPr>
          <w:rFonts w:ascii="Arial" w:hAnsi="Arial"/>
          <w:b/>
          <w:strike w:val="false"/>
          <w:dstrike w:val="false"/>
          <w:color w:val="000000"/>
          <w:sz w:val="21"/>
          <w:szCs w:val="21"/>
          <w:u w:val="none"/>
        </w:rPr>
        <w:t xml:space="preserve"> </w:t>
      </w:r>
      <w:r>
        <w:rPr>
          <w:rFonts w:ascii="Arial" w:hAnsi="Arial"/>
          <w:b w:val="false"/>
          <w:strike w:val="false"/>
          <w:dstrike w:val="false"/>
          <w:color w:val="000000"/>
          <w:sz w:val="21"/>
          <w:szCs w:val="21"/>
          <w:u w:val="none"/>
        </w:rPr>
        <w:t>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w:t>
      </w:r>
    </w:p>
    <w:p>
      <w:pPr>
        <w:pStyle w:val="Default"/>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2. DA PARTICIPAÇÃO E OBTENÇÃO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2.1. Qualquer pessoa jurídica que tenha objeto similar a esta contratação poderá participar desta Licitação, desde </w:t>
      </w:r>
      <w:r>
        <w:rPr>
          <w:rFonts w:eastAsia="Times New Roman" w:cs="Arial" w:ascii="Arial" w:hAnsi="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acima citado.</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hyperlink r:id="rId6">
        <w:r>
          <w:rPr>
            <w:rStyle w:val="LinkdaInternet"/>
            <w:rFonts w:ascii="Arial" w:hAnsi="Arial"/>
            <w:sz w:val="21"/>
            <w:szCs w:val="21"/>
          </w:rPr>
          <w:t>https://lindoiadosul.sc.gov.br/licitacoes/</w:t>
        </w:r>
      </w:hyperlink>
      <w:r>
        <w:rPr>
          <w:rStyle w:val="LinkdaInternet"/>
          <w:rFonts w:ascii="Arial" w:hAnsi="Arial"/>
          <w:sz w:val="21"/>
          <w:szCs w:val="21"/>
        </w:rPr>
        <w:t>,</w:t>
      </w:r>
      <w:r>
        <w:rPr>
          <w:rFonts w:ascii="Arial" w:hAnsi="Arial"/>
          <w:sz w:val="21"/>
          <w:szCs w:val="21"/>
        </w:rPr>
        <w:t xml:space="preserve"> na plataforma eletrônica que ocorrerá o pregão </w:t>
      </w:r>
      <w:hyperlink r:id="rId7">
        <w:r>
          <w:rPr>
            <w:rStyle w:val="LinkdaInternet"/>
            <w:rFonts w:cs="Arial" w:ascii="Arial" w:hAnsi="Arial"/>
            <w:sz w:val="21"/>
            <w:szCs w:val="21"/>
          </w:rPr>
          <w:t>www.portaldecompraspublicas.com.br</w:t>
        </w:r>
      </w:hyperlink>
      <w:r>
        <w:rPr>
          <w:rStyle w:val="LinkdaInternet"/>
          <w:rFonts w:cs="Arial" w:ascii="Arial" w:hAnsi="Arial"/>
          <w:color w:val="auto"/>
          <w:sz w:val="21"/>
          <w:szCs w:val="21"/>
          <w:u w:val="none"/>
        </w:rPr>
        <w:t xml:space="preserve"> e no Portal Nacional de Contratações Públicas.</w:t>
      </w:r>
    </w:p>
    <w:p>
      <w:pPr>
        <w:pStyle w:val="Normal"/>
        <w:widowControl/>
        <w:suppressAutoHyphens w:val="true"/>
        <w:bidi w:val="0"/>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false"/>
        <w:bidi w:val="0"/>
        <w:spacing w:lineRule="auto" w:line="300" w:before="0" w:after="0"/>
        <w:ind w:left="0" w:right="0" w:hanging="0"/>
        <w:jc w:val="both"/>
        <w:rPr/>
      </w:pPr>
      <w:r>
        <w:rPr>
          <w:rFonts w:cs="Arial" w:ascii="Arial" w:hAnsi="Arial"/>
          <w:b w:val="false"/>
          <w:bCs w:val="false"/>
          <w:color w:val="000000"/>
          <w:kern w:val="2"/>
          <w:sz w:val="21"/>
          <w:szCs w:val="21"/>
          <w:lang w:eastAsia="zh-CN"/>
        </w:rPr>
        <w:t xml:space="preserve">2.3. </w:t>
      </w:r>
      <w:r>
        <w:rPr>
          <w:rFonts w:eastAsia="Calibri" w:cs="Arial" w:ascii="Arial" w:hAnsi="Arial"/>
          <w:b w:val="false"/>
          <w:bCs w:val="false"/>
          <w:kern w:val="0"/>
          <w:sz w:val="21"/>
          <w:szCs w:val="21"/>
          <w:lang w:eastAsia="pt-BR"/>
        </w:rPr>
        <w:t>Nos termos do inciso I do Art. 48 da Lei Complementar nº 123, de 14/12/2006, alteração dada pela Lei Complementar nº 147, de 07/08/2014, a presente licitação é destinada à exclusiva participação de Micro e Pequenas Empresas.</w:t>
      </w:r>
    </w:p>
    <w:p>
      <w:pPr>
        <w:pStyle w:val="Normal"/>
        <w:widowControl/>
        <w:suppressAutoHyphens w:val="false"/>
        <w:spacing w:lineRule="auto" w:line="300" w:before="0" w:after="0"/>
        <w:ind w:left="0" w:right="0" w:hanging="0"/>
        <w:rPr>
          <w:rFonts w:ascii="Arial" w:hAnsi="Arial" w:eastAsia="Calibri" w:cs="Arial"/>
          <w:b/>
          <w:b/>
          <w:bCs/>
          <w:kern w:val="0"/>
          <w:sz w:val="21"/>
          <w:szCs w:val="21"/>
          <w:highlight w:val="yellow"/>
          <w:lang w:eastAsia="pt-BR"/>
        </w:rPr>
      </w:pPr>
      <w:r>
        <w:rPr>
          <w:rFonts w:eastAsia="Calibri" w:cs="Arial" w:ascii="Arial" w:hAnsi="Arial"/>
          <w:b/>
          <w:bCs/>
          <w:kern w:val="0"/>
          <w:sz w:val="21"/>
          <w:szCs w:val="21"/>
          <w:highlight w:val="yellow"/>
          <w:lang w:eastAsia="pt-BR"/>
        </w:rPr>
      </w:r>
    </w:p>
    <w:p>
      <w:pPr>
        <w:pStyle w:val="Normal"/>
        <w:widowControl/>
        <w:suppressAutoHyphens w:val="false"/>
        <w:bidi w:val="0"/>
        <w:spacing w:lineRule="auto" w:line="300" w:before="0" w:after="0"/>
        <w:ind w:left="0" w:right="0" w:hanging="0"/>
        <w:jc w:val="both"/>
        <w:rPr/>
      </w:pPr>
      <w:r>
        <w:rPr>
          <w:rFonts w:cs="Arial" w:ascii="Arial" w:hAnsi="Arial"/>
          <w:b w:val="false"/>
          <w:bCs w:val="false"/>
          <w:color w:val="000000"/>
          <w:kern w:val="2"/>
          <w:sz w:val="21"/>
          <w:szCs w:val="21"/>
          <w:lang w:eastAsia="zh-CN"/>
        </w:rPr>
        <w:t xml:space="preserve">2.3.1. </w:t>
      </w:r>
      <w:r>
        <w:rPr>
          <w:rFonts w:eastAsia="Calibri" w:cs="Arial" w:ascii="Arial" w:hAnsi="Arial"/>
          <w:b w:val="false"/>
          <w:bCs w:val="false"/>
          <w:kern w:val="0"/>
          <w:sz w:val="21"/>
          <w:szCs w:val="21"/>
          <w:lang w:eastAsia="pt-BR"/>
        </w:rPr>
        <w:t>Consideram-se Micro e Pequenas Empresas aptas à participação no presente certame aquelas que preencham os requisitos do art. 3º da Lei Complementar nº 123/2006 e que não se enquadrem em nenhum das situações descritas no Parágrafo 4º do referido Art. 3º.</w:t>
      </w:r>
    </w:p>
    <w:p>
      <w:pPr>
        <w:pStyle w:val="Normal"/>
        <w:spacing w:lineRule="auto" w:line="300" w:before="0" w:after="0"/>
        <w:ind w:left="0" w:right="0" w:hanging="0"/>
        <w:jc w:val="both"/>
        <w:rPr>
          <w:rFonts w:ascii="Arial" w:hAnsi="Arial" w:eastAsia="Calibri" w:cs="Arial"/>
          <w:b/>
          <w:b/>
          <w:bCs/>
          <w:color w:val="000000"/>
          <w:kern w:val="2"/>
          <w:sz w:val="21"/>
          <w:szCs w:val="21"/>
          <w:highlight w:val="yellow"/>
          <w:lang w:eastAsia="zh-CN"/>
        </w:rPr>
      </w:pPr>
      <w:r>
        <w:rPr>
          <w:rFonts w:eastAsia="Calibri" w:cs="Arial" w:ascii="Arial" w:hAnsi="Arial"/>
          <w:b/>
          <w:bCs/>
          <w:color w:val="000000"/>
          <w:kern w:val="2"/>
          <w:sz w:val="21"/>
          <w:szCs w:val="21"/>
          <w:highlight w:val="yellow"/>
          <w:lang w:eastAsia="zh-CN"/>
        </w:rPr>
      </w:r>
    </w:p>
    <w:p>
      <w:pPr>
        <w:pStyle w:val="Normal"/>
        <w:widowControl/>
        <w:suppressAutoHyphens w:val="false"/>
        <w:bidi w:val="0"/>
        <w:spacing w:lineRule="auto" w:line="300" w:before="0" w:after="0"/>
        <w:ind w:left="0" w:right="0" w:hanging="0"/>
        <w:jc w:val="both"/>
        <w:rPr/>
      </w:pPr>
      <w:r>
        <w:rPr>
          <w:rFonts w:cs="Arial" w:ascii="Arial" w:hAnsi="Arial"/>
          <w:b w:val="false"/>
          <w:bCs w:val="false"/>
          <w:color w:val="000000"/>
          <w:kern w:val="2"/>
          <w:sz w:val="21"/>
          <w:szCs w:val="21"/>
          <w:lang w:eastAsia="zh-CN"/>
        </w:rPr>
        <w:t xml:space="preserve">2.3.2. </w:t>
      </w:r>
      <w:r>
        <w:rPr>
          <w:rFonts w:eastAsia="Calibri" w:cs="Arial" w:ascii="Arial" w:hAnsi="Arial"/>
          <w:b w:val="false"/>
          <w:bCs w:val="false"/>
          <w:kern w:val="0"/>
          <w:sz w:val="21"/>
          <w:szCs w:val="21"/>
          <w:lang w:eastAsia="pt-BR"/>
        </w:rPr>
        <w:t xml:space="preserve">Para fins de comprovação da condição de Micro ou Empresas de Pequeno Porte assim definidas aquelas que se enquadram na classificação descritas no art. 3º da Lei Complementar nº 123/2006, as Licitantes deverão apresentar Certidão Simplificada da junta Comercial, </w:t>
      </w:r>
      <w:r>
        <w:rPr>
          <w:rFonts w:eastAsia="Times New Roman" w:cs="Arial" w:ascii="Arial" w:hAnsi="Arial"/>
          <w:b w:val="false"/>
          <w:bCs w:val="false"/>
          <w:color w:val="000000"/>
          <w:kern w:val="0"/>
          <w:sz w:val="21"/>
          <w:szCs w:val="21"/>
          <w:lang w:eastAsia="zh-CN"/>
        </w:rPr>
        <w:t>ou outra declaração que comprove tal</w:t>
      </w:r>
      <w:r>
        <w:rPr>
          <w:rFonts w:eastAsia="Times New Roman" w:cs="Arial" w:ascii="Arial" w:hAnsi="Arial"/>
          <w:b/>
          <w:bCs/>
          <w:color w:val="000000"/>
          <w:kern w:val="0"/>
          <w:sz w:val="21"/>
          <w:szCs w:val="21"/>
          <w:lang w:eastAsia="zh-CN"/>
        </w:rPr>
        <w:t xml:space="preserve"> </w:t>
      </w:r>
      <w:r>
        <w:rPr>
          <w:rFonts w:eastAsia="Times New Roman" w:cs="Arial" w:ascii="Arial" w:hAnsi="Arial"/>
          <w:b w:val="false"/>
          <w:bCs w:val="false"/>
          <w:color w:val="000000"/>
          <w:kern w:val="0"/>
          <w:sz w:val="21"/>
          <w:szCs w:val="21"/>
          <w:lang w:eastAsia="zh-CN"/>
        </w:rPr>
        <w:t>enquadramento, assinado pelo representante legal da empresa, conforme ao que dispõe o § 2º, art. 13 do Decreto nº 8.538 de 06 de outubro de 2015</w:t>
      </w:r>
      <w:r>
        <w:rPr>
          <w:rFonts w:eastAsia="Times New Roman" w:cs="Arial" w:ascii="Arial" w:hAnsi="Arial"/>
          <w:b w:val="false"/>
          <w:bCs/>
          <w:color w:val="000000"/>
          <w:kern w:val="0"/>
          <w:sz w:val="21"/>
          <w:szCs w:val="21"/>
          <w:lang w:eastAsia="zh-CN"/>
        </w:rPr>
        <w:t>.</w:t>
      </w:r>
    </w:p>
    <w:p>
      <w:pPr>
        <w:pStyle w:val="Normal"/>
        <w:widowControl/>
        <w:suppressAutoHyphens w:val="false"/>
        <w:spacing w:lineRule="auto" w:line="300" w:before="0" w:after="0"/>
        <w:ind w:left="0" w:right="0" w:hanging="0"/>
        <w:jc w:val="both"/>
        <w:rPr>
          <w:rFonts w:ascii="Arial" w:hAnsi="Arial" w:eastAsia="Calibri" w:cs="Arial"/>
          <w:b/>
          <w:b/>
          <w:bCs/>
          <w:kern w:val="0"/>
          <w:sz w:val="21"/>
          <w:szCs w:val="21"/>
          <w:lang w:eastAsia="pt-BR"/>
        </w:rPr>
      </w:pPr>
      <w:r>
        <w:rPr>
          <w:rFonts w:eastAsia="Calibri" w:cs="Arial" w:ascii="Arial" w:hAnsi="Arial"/>
          <w:b/>
          <w:bCs/>
          <w:kern w:val="0"/>
          <w:sz w:val="21"/>
          <w:szCs w:val="21"/>
          <w:lang w:eastAsia="pt-BR"/>
        </w:rPr>
      </w:r>
    </w:p>
    <w:p>
      <w:pPr>
        <w:pStyle w:val="Normal"/>
        <w:widowControl/>
        <w:suppressAutoHyphens w:val="false"/>
        <w:bidi w:val="0"/>
        <w:spacing w:lineRule="auto" w:line="300" w:before="0" w:after="0"/>
        <w:ind w:left="0" w:right="0" w:hanging="0"/>
        <w:jc w:val="both"/>
        <w:rPr/>
      </w:pPr>
      <w:r>
        <w:rPr>
          <w:rFonts w:eastAsia="Calibri" w:cs="Arial" w:ascii="Arial" w:hAnsi="Arial"/>
          <w:b w:val="false"/>
          <w:bCs w:val="false"/>
          <w:kern w:val="0"/>
          <w:sz w:val="21"/>
          <w:szCs w:val="21"/>
          <w:lang w:eastAsia="pt-BR"/>
        </w:rPr>
        <w:t xml:space="preserve">2.3.3. </w:t>
      </w:r>
      <w:r>
        <w:rPr>
          <w:rFonts w:cs="Arial" w:ascii="Arial" w:hAnsi="Arial"/>
          <w:b w:val="false"/>
          <w:bCs w:val="false"/>
          <w:color w:val="000000"/>
          <w:kern w:val="2"/>
          <w:sz w:val="21"/>
          <w:szCs w:val="21"/>
          <w:lang w:eastAsia="zh-CN"/>
        </w:rPr>
        <w:t>No caso de participação de sociedades simples, que não registrarem seus atos na Junta Comercial, deverão apresentar declaração assinada pelo representante legal e contabilista, atestando que sua receita bruta no ano-calendário anterior, não ultrapassou o limite definido no inciso II do caput do Art. 3° da Lei Complementar 123/2006.</w:t>
      </w:r>
    </w:p>
    <w:p>
      <w:pPr>
        <w:pStyle w:val="Normal"/>
        <w:spacing w:lineRule="auto" w:line="300" w:before="0" w:after="0"/>
        <w:ind w:left="0" w:right="0" w:hanging="0"/>
        <w:jc w:val="both"/>
        <w:rPr>
          <w:rFonts w:ascii="Arial" w:hAnsi="Arial" w:eastAsia="Calibri" w:cs="Arial"/>
          <w:b/>
          <w:b/>
          <w:bCs/>
          <w:color w:val="000000"/>
          <w:kern w:val="2"/>
          <w:sz w:val="21"/>
          <w:szCs w:val="21"/>
          <w:highlight w:val="yellow"/>
          <w:lang w:eastAsia="zh-CN"/>
        </w:rPr>
      </w:pPr>
      <w:r>
        <w:rPr>
          <w:rFonts w:eastAsia="Calibri" w:cs="Arial" w:ascii="Arial" w:hAnsi="Arial"/>
          <w:b/>
          <w:bCs/>
          <w:color w:val="000000"/>
          <w:kern w:val="2"/>
          <w:sz w:val="21"/>
          <w:szCs w:val="21"/>
          <w:highlight w:val="yellow"/>
          <w:lang w:eastAsia="zh-CN"/>
        </w:rPr>
      </w:r>
    </w:p>
    <w:p>
      <w:pPr>
        <w:pStyle w:val="Normal"/>
        <w:widowControl w:val="false"/>
        <w:suppressAutoHyphens w:val="true"/>
        <w:bidi w:val="0"/>
        <w:spacing w:lineRule="auto" w:line="300" w:before="0" w:after="0"/>
        <w:ind w:left="0" w:right="0" w:hanging="0"/>
        <w:jc w:val="both"/>
        <w:rPr/>
      </w:pPr>
      <w:r>
        <w:rPr>
          <w:rFonts w:cs="Arial" w:ascii="Arial" w:hAnsi="Arial"/>
          <w:color w:val="000000"/>
          <w:kern w:val="2"/>
          <w:sz w:val="21"/>
          <w:szCs w:val="21"/>
          <w:lang w:eastAsia="zh-CN"/>
        </w:rPr>
        <w:t xml:space="preserve">2.4. Poderão participar da presente licitação </w:t>
      </w:r>
      <w:r>
        <w:rPr>
          <w:rFonts w:cs="Arial" w:ascii="Arial" w:hAnsi="Arial"/>
          <w:b/>
          <w:color w:val="000000"/>
          <w:kern w:val="2"/>
          <w:sz w:val="21"/>
          <w:szCs w:val="21"/>
          <w:lang w:eastAsia="zh-CN"/>
        </w:rPr>
        <w:t>EXCLUSIVAMENTE Micro Empresas e/ou Empresa de Pequeno Porte</w:t>
      </w:r>
      <w:r>
        <w:rPr>
          <w:rFonts w:cs="Arial" w:ascii="Arial" w:hAnsi="Arial"/>
          <w:color w:val="000000"/>
          <w:kern w:val="2"/>
          <w:sz w:val="21"/>
          <w:szCs w:val="21"/>
          <w:lang w:eastAsia="zh-CN"/>
        </w:rPr>
        <w:t>, referente ao objeto do presente certame.</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highlight w:val="yellow"/>
          <w:lang w:eastAsia="zh-CN"/>
        </w:rPr>
      </w:pPr>
      <w:r>
        <w:rPr>
          <w:rFonts w:eastAsia="Times New Roman" w:cs="Arial" w:ascii="Arial" w:hAnsi="Arial"/>
          <w:color w:val="000000"/>
          <w:kern w:val="2"/>
          <w:sz w:val="21"/>
          <w:szCs w:val="21"/>
          <w:highlight w:val="yellow"/>
          <w:lang w:eastAsia="zh-CN"/>
        </w:rPr>
      </w:r>
    </w:p>
    <w:p>
      <w:pPr>
        <w:pStyle w:val="Normal"/>
        <w:widowControl/>
        <w:suppressAutoHyphens w:val="true"/>
        <w:bidi w:val="0"/>
        <w:spacing w:lineRule="auto" w:line="300" w:before="0" w:after="0"/>
        <w:ind w:left="0" w:right="0" w:hanging="0"/>
        <w:jc w:val="both"/>
        <w:rPr/>
      </w:pPr>
      <w:r>
        <w:rPr>
          <w:rFonts w:ascii="Arial" w:hAnsi="Arial"/>
          <w:b/>
          <w:bCs/>
          <w:sz w:val="21"/>
          <w:szCs w:val="21"/>
        </w:rPr>
        <w:t>3. DO ÓRGÃO CONTRATANTE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3.1. A entidade Município de Lindóia do Sul é o Órgão Contratante no presente processo licitatório.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3.2. Caberá ao Órgão Contratante os recebimentos provisório e definitivo do objeto.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4. DISPOSIÇÕES PRELIMINARES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4.1. O Pregão, na forma Eletrônica, será realizado em sessão pública, por meio da INTERNET, mediante condições de segurança – criptografia e autenticação – em todas as suas fases através do Sistema de Pregão, na Forma Eletrônica (licitações) através do site </w:t>
      </w:r>
      <w:hyperlink r:id="rId8">
        <w:r>
          <w:rPr>
            <w:rStyle w:val="LinkdaInternet"/>
            <w:rFonts w:eastAsia="Times New Roman" w:cs="Arial" w:ascii="Arial" w:hAnsi="Arial"/>
            <w:bCs/>
            <w:kern w:val="0"/>
            <w:sz w:val="21"/>
            <w:szCs w:val="21"/>
            <w:lang w:eastAsia="zh-CN"/>
          </w:rPr>
          <w:t>www.portaldecompraspublicas.com.br</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4.2. A Sessão eletrônica e os demais Atos Administrativos serão conduzidos pelo Município de Lindóia do Sul, por intermédio de(a) seu(ua) Pregoeiro(a), mediante a inserção e monitoramento de dados gerados ou transferidos para plataforma digital constante da página eletrônica da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5. RECEBIMENTO E ABERTURA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5.1. O fornecedor deverá observar as datas e os horários limites previstos para envio da proposta e </w:t>
      </w:r>
      <w:r>
        <w:rPr>
          <w:rFonts w:ascii="Arial" w:hAnsi="Arial"/>
          <w:sz w:val="21"/>
          <w:szCs w:val="21"/>
          <w:shd w:fill="auto" w:val="clear"/>
        </w:rPr>
        <w:t>dos documentos de habilitação</w:t>
      </w:r>
      <w:r>
        <w:rPr>
          <w:rFonts w:ascii="Arial" w:hAnsi="Arial"/>
          <w:sz w:val="21"/>
          <w:szCs w:val="21"/>
        </w:rPr>
        <w:t>, atentando também para a data e horário para início da sessão, no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5.2. As propostas deverão ser cadastradas exclusivamente no sistema eletrônico, podendo ser enviadas, substituídas e excluídas até a data e hora previstas para recebimento destas.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6. CONDIÇÕES PARA PARTICIPAÇÃO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6.1. Poderão participar desta Licitação todas e quaisquer empresas ou sociedades que se enquadrem como Micro e Pequenas Empresas,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6.2. Poderão participar deste Pregão Eletrônico as empresas que apresentarem toda a documentação por ela exigida para respectivo cadastramento junto ao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6.3. Como requisito para participação no pregão, em campo próprio do sistema eletrônico, o licitante deverá manifestar o pleno conhecimento e atendimento às exigências de habilitação previstas no Edital e seus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pPr>
        <w:pStyle w:val="Normal"/>
        <w:widowControl/>
        <w:suppressAutoHyphens w:val="true"/>
        <w:bidi w:val="0"/>
        <w:spacing w:lineRule="auto" w:line="300" w:before="0" w:after="0"/>
        <w:ind w:left="0" w:right="0" w:hanging="0"/>
        <w:jc w:val="both"/>
        <w:rPr/>
      </w:pPr>
      <w:r>
        <w:rPr>
          <w:rFonts w:ascii="Arial" w:hAnsi="Arial"/>
          <w:sz w:val="21"/>
          <w:szCs w:val="21"/>
        </w:rPr>
        <w:tab/>
        <w:t>I – comprovação de compromisso público ou particular de constituição de consórcio, subscrito pelos consorciados;</w:t>
      </w:r>
    </w:p>
    <w:p>
      <w:pPr>
        <w:pStyle w:val="Normal"/>
        <w:widowControl/>
        <w:suppressAutoHyphens w:val="true"/>
        <w:bidi w:val="0"/>
        <w:spacing w:lineRule="auto" w:line="300" w:before="0" w:after="0"/>
        <w:ind w:left="0" w:right="0" w:hanging="0"/>
        <w:jc w:val="both"/>
        <w:rPr/>
      </w:pPr>
      <w:r>
        <w:rPr>
          <w:rFonts w:ascii="Arial" w:hAnsi="Arial"/>
          <w:sz w:val="21"/>
          <w:szCs w:val="21"/>
        </w:rPr>
        <w:tab/>
        <w:t>II – indicação da empresa líder do consórcio, que será responsável por sua representação perante a Administração;</w:t>
      </w:r>
    </w:p>
    <w:p>
      <w:pPr>
        <w:pStyle w:val="Normal"/>
        <w:widowControl/>
        <w:suppressAutoHyphens w:val="true"/>
        <w:bidi w:val="0"/>
        <w:spacing w:lineRule="auto" w:line="300" w:before="0" w:after="0"/>
        <w:ind w:left="0" w:right="0" w:hanging="0"/>
        <w:jc w:val="both"/>
        <w:rPr/>
      </w:pPr>
      <w:r>
        <w:rPr>
          <w:rFonts w:ascii="Arial" w:hAnsi="Arial"/>
          <w:sz w:val="21"/>
          <w:szCs w:val="21"/>
        </w:rPr>
        <w:tab/>
        <w:t>III – admissão, para efeito de habilitação técnica, do somatório dos quantitativos de cada consorciado e, para efeito de habilitação econômico-financeira, do somatório dos valores de cada consorciado, caso exigido;</w:t>
      </w:r>
    </w:p>
    <w:p>
      <w:pPr>
        <w:pStyle w:val="Normal"/>
        <w:widowControl/>
        <w:suppressAutoHyphens w:val="true"/>
        <w:bidi w:val="0"/>
        <w:spacing w:lineRule="auto" w:line="300" w:before="0" w:after="0"/>
        <w:ind w:left="0" w:right="0" w:hanging="0"/>
        <w:jc w:val="both"/>
        <w:rPr/>
      </w:pPr>
      <w:r>
        <w:rPr>
          <w:rFonts w:ascii="Arial" w:hAnsi="Arial"/>
          <w:sz w:val="21"/>
          <w:szCs w:val="21"/>
        </w:rPr>
        <w:tab/>
        <w:t>IV – impedimento de a empresa consorciada participar, na mesma licitação, de mais de um consórcio ou de forma isolada;</w:t>
      </w:r>
    </w:p>
    <w:p>
      <w:pPr>
        <w:pStyle w:val="Normal"/>
        <w:widowControl/>
        <w:suppressAutoHyphens w:val="true"/>
        <w:bidi w:val="0"/>
        <w:spacing w:lineRule="auto" w:line="300" w:before="0" w:after="0"/>
        <w:ind w:left="0" w:right="0" w:hanging="0"/>
        <w:jc w:val="both"/>
        <w:rPr/>
      </w:pPr>
      <w:r>
        <w:rPr>
          <w:rFonts w:ascii="Arial" w:hAnsi="Arial"/>
          <w:sz w:val="21"/>
          <w:szCs w:val="21"/>
        </w:rPr>
        <w:tab/>
        <w:t>V – responsabilidade solidária dos integrantes pelos atos praticados em consórcio, tanto na fase de licitação quanto na de execução do contrato.</w:t>
      </w:r>
    </w:p>
    <w:p>
      <w:pPr>
        <w:pStyle w:val="Normal"/>
        <w:widowControl/>
        <w:suppressAutoHyphens w:val="true"/>
        <w:bidi w:val="0"/>
        <w:spacing w:lineRule="auto" w:line="300" w:before="0" w:after="0"/>
        <w:ind w:left="0" w:right="0" w:hanging="0"/>
        <w:jc w:val="both"/>
        <w:rPr/>
      </w:pPr>
      <w:r>
        <w:rPr>
          <w:rFonts w:ascii="Arial" w:hAnsi="Arial"/>
          <w:sz w:val="21"/>
          <w:szCs w:val="21"/>
        </w:rPr>
        <w:tab/>
        <w:t>VI – O licitante vencedor é obrigado a promover, antes da celebração do contrato, a constituição e o registro do consórcio, nos termos do compromisso referido no item I acima, no prazo de até 30 (trinta) dias, após a homologação.</w:t>
      </w:r>
    </w:p>
    <w:p>
      <w:pPr>
        <w:pStyle w:val="Normal"/>
        <w:widowControl/>
        <w:suppressAutoHyphens w:val="true"/>
        <w:bidi w:val="0"/>
        <w:spacing w:lineRule="auto" w:line="300" w:before="0" w:after="0"/>
        <w:ind w:left="0" w:right="0" w:hanging="0"/>
        <w:jc w:val="both"/>
        <w:rPr/>
      </w:pPr>
      <w:r>
        <w:rPr>
          <w:rFonts w:ascii="Arial" w:hAnsi="Arial"/>
          <w:sz w:val="21"/>
          <w:szCs w:val="21"/>
        </w:rPr>
        <w:tab/>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6.5. Não poderá participar da licitação a empresa que estiver: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eastAsia="Times New Roman" w:cs="Arial" w:ascii="Arial" w:hAnsi="Arial"/>
          <w:bCs/>
          <w:color w:val="000000"/>
          <w:kern w:val="0"/>
          <w:sz w:val="21"/>
          <w:szCs w:val="21"/>
          <w:lang w:eastAsia="zh-CN"/>
        </w:rPr>
        <w:t xml:space="preserve"> ou constem:</w:t>
      </w:r>
    </w:p>
    <w:p>
      <w:pPr>
        <w:pStyle w:val="Normal"/>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 - no cadastro de empresas inidôneas do Tribunal de Contas da União, do Ministério da Transparência, Fiscalização e Controladoria-Geral da União;</w:t>
        <w:tab/>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II - no Sistema de Cadastramento Unificado de Fornecedores - SICAF como impedidas ou suspensas;</w:t>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III - no Cadastro Nacional de Condenações Civis por Ato de Improbidade Administrativa e Inelegibilidade, supervisionado pelo Conselho Nacional de Justiça.</w:t>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IV - no Cadastro Nacional das Empresas Inidôneas e Suspensas – CEIS.</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6.5.2. Que esteja cumprindo penalidade que impeça de participar de licitação junto à Administração Pública Municipal.</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6.5.3. Que possua participação direta ou indireta de sócio, diretor ou responsável técnico que tenha vínculo empregatício com o Município.</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 xml:space="preserve">6.5.4. </w:t>
      </w:r>
      <w:r>
        <w:rPr>
          <w:rFonts w:eastAsia="Times New Roman" w:cs="Arial" w:ascii="Arial" w:hAnsi="Arial"/>
          <w:b w:val="false"/>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pPr>
        <w:pStyle w:val="Normal"/>
        <w:spacing w:lineRule="auto" w:line="300" w:before="0" w:after="0"/>
        <w:ind w:left="0" w:right="0" w:hanging="0"/>
        <w:jc w:val="both"/>
        <w:rPr>
          <w:rFonts w:ascii="Arial" w:hAnsi="Arial" w:eastAsia="Times New Roman" w:cs="Arial"/>
          <w:b w:val="false"/>
          <w:b w:val="false"/>
          <w:bCs/>
          <w:color w:val="000000"/>
          <w:kern w:val="0"/>
          <w:sz w:val="21"/>
          <w:szCs w:val="21"/>
          <w:lang w:eastAsia="zh-CN"/>
        </w:rPr>
      </w:pPr>
      <w:r>
        <w:rPr>
          <w:rFonts w:eastAsia="Times New Roman" w:cs="Arial" w:ascii="Arial" w:hAnsi="Arial"/>
          <w:b w:val="false"/>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6.6. O licitante deverá ter feito a adesão ao Portal de Compras Públicas, sendo sua a responsabilidade pela tramitação prévia neste sentido.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6.7.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w:t>
      </w:r>
      <w:r>
        <w:rPr>
          <w:rFonts w:ascii="Arial" w:hAnsi="Arial"/>
          <w:sz w:val="21"/>
          <w:szCs w:val="21"/>
          <w:shd w:fill="FFFFFF" w:val="clear"/>
        </w:rPr>
        <w:t>dital (ANEXO IV).</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6.8.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eastAsia="Times New Roman" w:cs="Arial" w:ascii="Arial" w:hAnsi="Arial"/>
          <w:b w:val="false"/>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eastAsia="Times New Roman" w:cs="Arial" w:ascii="Arial" w:hAnsi="Arial"/>
          <w:b w:val="false"/>
          <w:bCs/>
          <w:color w:val="000000"/>
          <w:kern w:val="0"/>
          <w:sz w:val="21"/>
          <w:szCs w:val="21"/>
          <w:lang w:eastAsia="pt-BR"/>
        </w:rPr>
        <w:t xml:space="preserve"> se não estiver em conformidade com o que prevê o art. </w:t>
      </w:r>
      <w:r>
        <w:rPr>
          <w:rFonts w:eastAsia="Times New Roman" w:cs="Arial" w:ascii="Arial" w:hAnsi="Arial"/>
          <w:b w:val="false"/>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 REGULAMENTO OPERACIONAL DO CERTAME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7.1. O certame será conduzido pelo Pregoeiro(a), com o auxílio da equipe de apoio, que terá, em especial, as seguintes atribuições: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coordenar o processo licitatório;</w:t>
      </w:r>
    </w:p>
    <w:p>
      <w:pPr>
        <w:pStyle w:val="Normal"/>
        <w:widowControl/>
        <w:suppressAutoHyphens w:val="true"/>
        <w:bidi w:val="0"/>
        <w:spacing w:lineRule="auto" w:line="300" w:before="0" w:after="0"/>
        <w:ind w:left="0" w:right="0" w:hanging="0"/>
        <w:jc w:val="both"/>
        <w:rPr/>
      </w:pPr>
      <w:r>
        <w:rPr>
          <w:rFonts w:ascii="Arial" w:hAnsi="Arial"/>
          <w:sz w:val="21"/>
          <w:szCs w:val="21"/>
        </w:rPr>
        <w:t>b) receber, examinar e decidir as impugnações e consultas ao Edital, apoiado pelo responsável pela sua elaboração;</w:t>
      </w:r>
    </w:p>
    <w:p>
      <w:pPr>
        <w:pStyle w:val="Normal"/>
        <w:widowControl/>
        <w:suppressAutoHyphens w:val="true"/>
        <w:bidi w:val="0"/>
        <w:spacing w:lineRule="auto" w:line="300" w:before="0" w:after="0"/>
        <w:ind w:left="0" w:right="0" w:hanging="0"/>
        <w:jc w:val="both"/>
        <w:rPr/>
      </w:pPr>
      <w:r>
        <w:rPr>
          <w:rFonts w:ascii="Arial" w:hAnsi="Arial"/>
          <w:sz w:val="21"/>
          <w:szCs w:val="21"/>
        </w:rPr>
        <w:t>c) conduzir a sessão pública na internet;</w:t>
      </w:r>
    </w:p>
    <w:p>
      <w:pPr>
        <w:pStyle w:val="Normal"/>
        <w:widowControl/>
        <w:suppressAutoHyphens w:val="true"/>
        <w:bidi w:val="0"/>
        <w:spacing w:lineRule="auto" w:line="300" w:before="0" w:after="0"/>
        <w:ind w:left="0" w:right="0" w:hanging="0"/>
        <w:jc w:val="both"/>
        <w:rPr/>
      </w:pPr>
      <w:r>
        <w:rPr>
          <w:rFonts w:ascii="Arial" w:hAnsi="Arial"/>
          <w:sz w:val="21"/>
          <w:szCs w:val="21"/>
        </w:rPr>
        <w:t>d) verificar a conformidade da proposta com os requisitos estabelecidos no instrumento convocatório;</w:t>
      </w:r>
    </w:p>
    <w:p>
      <w:pPr>
        <w:pStyle w:val="Normal"/>
        <w:widowControl/>
        <w:suppressAutoHyphens w:val="true"/>
        <w:bidi w:val="0"/>
        <w:spacing w:lineRule="auto" w:line="300" w:before="0" w:after="0"/>
        <w:ind w:left="0" w:right="0" w:hanging="0"/>
        <w:jc w:val="both"/>
        <w:rPr/>
      </w:pPr>
      <w:r>
        <w:rPr>
          <w:rFonts w:ascii="Arial" w:hAnsi="Arial"/>
          <w:sz w:val="21"/>
          <w:szCs w:val="21"/>
        </w:rPr>
        <w:t>e) dirigir a etapa de lances;</w:t>
      </w:r>
    </w:p>
    <w:p>
      <w:pPr>
        <w:pStyle w:val="Normal"/>
        <w:widowControl/>
        <w:suppressAutoHyphens w:val="true"/>
        <w:bidi w:val="0"/>
        <w:spacing w:lineRule="auto" w:line="300" w:before="0" w:after="0"/>
        <w:ind w:left="0" w:right="0" w:hanging="0"/>
        <w:jc w:val="both"/>
        <w:rPr/>
      </w:pPr>
      <w:r>
        <w:rPr>
          <w:rFonts w:ascii="Arial" w:hAnsi="Arial"/>
          <w:sz w:val="21"/>
          <w:szCs w:val="21"/>
        </w:rPr>
        <w:t>f) verificar e julgar as condições de habilitação;</w:t>
      </w:r>
    </w:p>
    <w:p>
      <w:pPr>
        <w:pStyle w:val="Normal"/>
        <w:widowControl/>
        <w:suppressAutoHyphens w:val="true"/>
        <w:bidi w:val="0"/>
        <w:spacing w:lineRule="auto" w:line="300" w:before="0" w:after="0"/>
        <w:ind w:left="0" w:right="0" w:hanging="0"/>
        <w:jc w:val="both"/>
        <w:rPr/>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pPr>
        <w:pStyle w:val="Normal"/>
        <w:widowControl/>
        <w:suppressAutoHyphens w:val="true"/>
        <w:bidi w:val="0"/>
        <w:spacing w:lineRule="auto" w:line="300" w:before="0" w:after="0"/>
        <w:ind w:left="0" w:right="0" w:hanging="0"/>
        <w:jc w:val="both"/>
        <w:rPr/>
      </w:pPr>
      <w:r>
        <w:rPr>
          <w:rFonts w:ascii="Arial" w:hAnsi="Arial"/>
          <w:sz w:val="21"/>
          <w:szCs w:val="21"/>
        </w:rPr>
        <w:t>h) indicar o vencedor do certame;</w:t>
      </w:r>
    </w:p>
    <w:p>
      <w:pPr>
        <w:pStyle w:val="Normal"/>
        <w:widowControl/>
        <w:suppressAutoHyphens w:val="true"/>
        <w:bidi w:val="0"/>
        <w:spacing w:lineRule="auto" w:line="300" w:before="0" w:after="0"/>
        <w:ind w:left="0" w:right="0" w:hanging="0"/>
        <w:jc w:val="both"/>
        <w:rPr/>
      </w:pPr>
      <w:r>
        <w:rPr>
          <w:rFonts w:ascii="Arial" w:hAnsi="Arial"/>
          <w:sz w:val="21"/>
          <w:szCs w:val="21"/>
        </w:rPr>
        <w:t>i) conduzir os trabalhos da equipe de apoio;</w:t>
      </w:r>
    </w:p>
    <w:p>
      <w:pPr>
        <w:pStyle w:val="Normal"/>
        <w:widowControl/>
        <w:suppressAutoHyphens w:val="true"/>
        <w:bidi w:val="0"/>
        <w:spacing w:lineRule="auto" w:line="300" w:before="0" w:after="0"/>
        <w:ind w:left="0" w:right="0" w:hanging="0"/>
        <w:jc w:val="both"/>
        <w:rPr/>
      </w:pPr>
      <w:r>
        <w:rPr>
          <w:rFonts w:ascii="Arial" w:hAnsi="Arial"/>
          <w:sz w:val="21"/>
          <w:szCs w:val="21"/>
        </w:rPr>
        <w:t>j) sanear erros ou falhas que não alterem a substância das propostas;</w:t>
      </w:r>
    </w:p>
    <w:p>
      <w:pPr>
        <w:pStyle w:val="Normal"/>
        <w:widowControl/>
        <w:suppressAutoHyphens w:val="true"/>
        <w:bidi w:val="0"/>
        <w:spacing w:lineRule="auto" w:line="300" w:before="0" w:after="0"/>
        <w:ind w:left="0" w:right="0" w:hanging="0"/>
        <w:jc w:val="both"/>
        <w:rPr/>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pPr>
        <w:pStyle w:val="Normal"/>
        <w:widowControl/>
        <w:suppressAutoHyphens w:val="true"/>
        <w:bidi w:val="0"/>
        <w:spacing w:lineRule="auto" w:line="300" w:before="0" w:after="0"/>
        <w:ind w:left="0" w:right="0" w:hanging="0"/>
        <w:jc w:val="both"/>
        <w:rPr/>
      </w:pPr>
      <w:r>
        <w:rPr>
          <w:rFonts w:ascii="Arial" w:hAnsi="Arial"/>
          <w:sz w:val="21"/>
          <w:szCs w:val="21"/>
        </w:rPr>
        <w:t>l) encaminhar o processo devidamente instruído à autoridade superior e propor a adjudicação, homologação e confecções de atas ou contratos administrativos.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7.1.1. O pregoeiro poderá solicitar manifestação técnica da assessoria jurídica ou de outros agentes públicos, de setores da entidade, a fim de subsidiar sua decisão.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7.2. CREDENCIAMENTO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7.2.1 Para acesso ao sistema eletrônico, os interessados em participar do Pregão Eletrônico deverão dispor de chave de identificação e senha pessoal, ambas intransferíveis e de responsabilidade única do Usuário, obtidas junto ao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7.2.2. A chave de identificação e a senha dos operadores poderão ser utilizadas em qualquer pregão eletrônico, salvo quando canceladas por solicitação do Usuário ou por iniciativa do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7.3.</w:t>
      </w:r>
      <w:r>
        <w:rPr>
          <w:rFonts w:ascii="Arial" w:hAnsi="Arial"/>
          <w:sz w:val="21"/>
          <w:szCs w:val="21"/>
        </w:rPr>
        <w:t xml:space="preserve"> </w:t>
      </w:r>
      <w:r>
        <w:rPr>
          <w:rFonts w:ascii="Arial" w:hAnsi="Arial"/>
          <w:b/>
          <w:bCs/>
          <w:sz w:val="21"/>
          <w:szCs w:val="21"/>
        </w:rPr>
        <w:t>PARTICIPAÇÃO</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7.3.1. 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7.3.2. Caberá ao licitante acompanhar as operações no sistema eletrônico durante a sessão pública do pregão, ficando responsável pelo ônus decorrentes da perda de negócios diante da inobservância de quaisquer mensagens emitidas pelo sistema ou de sua desconexão.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7.3.3. A participação do licitante nesta Licitação implica aceitação de todos os termos deste Edital, e obrigará o proponente vencedor a entrega dos itens nas condições, locais e prazos definidos.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7.4. PROPOSTA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7.4.2. No preenchimento da proposta eletrônica deverão, obrigatoriamente, ser informadas, no campo próprio, as especificações, marca/modelo, preços unitário e totais de todos os itens ofertados.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7.4.2.1. </w:t>
      </w:r>
      <w:r>
        <w:rPr>
          <w:rFonts w:eastAsia="Times New Roman" w:cs="Arial" w:ascii="Arial" w:hAnsi="Arial"/>
          <w:bCs/>
          <w:color w:val="000000"/>
          <w:kern w:val="0"/>
          <w:sz w:val="21"/>
          <w:szCs w:val="21"/>
          <w:shd w:fill="auto" w:val="clear"/>
          <w:lang w:eastAsia="zh-CN"/>
        </w:rPr>
        <w:t xml:space="preserve">O valor máximo final aceitável orçado pelo Município para a aquisição do objeto desta licitação encontra-se </w:t>
      </w:r>
      <w:r>
        <w:rPr>
          <w:rFonts w:eastAsia="Times New Roman" w:cs="Arial" w:ascii="Arial" w:hAnsi="Arial"/>
          <w:bCs/>
          <w:color w:val="000000"/>
          <w:kern w:val="0"/>
          <w:sz w:val="21"/>
          <w:szCs w:val="21"/>
          <w:shd w:fill="FFFFFF" w:val="clear"/>
          <w:lang w:eastAsia="zh-CN"/>
        </w:rPr>
        <w:t>no Anexo “I” de</w:t>
      </w:r>
      <w:r>
        <w:rPr>
          <w:rFonts w:eastAsia="Times New Roman" w:cs="Arial" w:ascii="Arial" w:hAnsi="Arial"/>
          <w:bCs/>
          <w:color w:val="000000"/>
          <w:kern w:val="0"/>
          <w:sz w:val="21"/>
          <w:szCs w:val="21"/>
          <w:shd w:fill="auto" w:val="clear"/>
          <w:lang w:eastAsia="zh-CN"/>
        </w:rPr>
        <w:t>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7.4.3 O objeto deverá estar total e estritamente dentro das especificações contidas para o Edital e seus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7.4.4. Fica vetada a identificação da empresa em qualquer campo da proposta, tal como timbres, abreviações (relacionadas a empresas), telefones etc., o descumprimento do mesmo acarretará a desclassificação prévia da empresa licitante.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7.4.7. A licitante enquadrada como microempresa ou empresa de pequeno porte deverá declarar, sob pena de decair seu Direito de Pequena Empresa, em campo próprio do Sistema, que atende aos requisitos do art. 3º da LC nº 123/06, para fazer jus aos benefícios previstos em lei.</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7.4.9. As propostas ficarão disponíveis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7.4.10 Qualquer elemento que possa identificar a licitante importa desclassificação da proposta, sem prejuízo das sanções previstas nesse Edital e nas demais legislações brasileiras.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7.4.11. Até a data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pregoeiro, não inferior a 02 (duas) horas.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7.4.12. Os documentos que compõem a proposta e a habilitação do licitante melhor classificado somente serão disponibilizados para avaliação do Pregoeiro e para acesso público após o encerramento do envio de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7.4.13. O prazo de validade da proposta de preços não poderá ser inferior a 60 (sessenta) dias, contados da abertura das propostas virtuais.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7.4.14. Nos preços propostos deverão estar incluídos todos os custos diretos e indiretos necessários à perfeita execução do objeto,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7.4.17. </w:t>
      </w:r>
      <w:r>
        <w:rPr>
          <w:rFonts w:ascii="Arial" w:hAnsi="Arial"/>
          <w:b w:val="false"/>
          <w:strike w:val="false"/>
          <w:dstrike w:val="false"/>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Default"/>
        <w:spacing w:lineRule="auto" w:line="300" w:before="0" w:after="0"/>
        <w:ind w:left="0" w:right="0" w:hanging="0"/>
        <w:jc w:val="both"/>
        <w:rPr>
          <w:b w:val="false"/>
          <w:b w:val="false"/>
          <w:strike w:val="false"/>
          <w:dstrike w:val="false"/>
          <w:color w:val="000000"/>
          <w:u w:val="none"/>
        </w:rPr>
      </w:pPr>
      <w:r>
        <w:rPr>
          <w:b w:val="false"/>
          <w:strike w:val="false"/>
          <w:dstrike w:val="false"/>
          <w:color w:val="000000"/>
          <w:u w:val="none"/>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7.4.18. </w:t>
      </w:r>
      <w:r>
        <w:rPr>
          <w:rFonts w:ascii="Arial" w:hAnsi="Arial"/>
          <w:b w:val="false"/>
          <w:strike w:val="false"/>
          <w:dstrike w:val="false"/>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pPr>
        <w:pStyle w:val="Default"/>
        <w:spacing w:lineRule="auto" w:line="300" w:before="0" w:after="0"/>
        <w:ind w:left="0" w:right="0" w:hanging="0"/>
        <w:rPr>
          <w:b w:val="false"/>
          <w:b w:val="false"/>
          <w:strike w:val="false"/>
          <w:dstrike w:val="false"/>
          <w:color w:val="000000"/>
          <w:u w:val="none"/>
        </w:rPr>
      </w:pPr>
      <w:r>
        <w:rPr>
          <w:b w:val="false"/>
          <w:strike w:val="false"/>
          <w:dstrike w:val="false"/>
          <w:color w:val="000000"/>
          <w:u w:val="none"/>
        </w:rPr>
      </w:r>
    </w:p>
    <w:p>
      <w:pPr>
        <w:pStyle w:val="Normal"/>
        <w:widowControl/>
        <w:suppressAutoHyphens w:val="true"/>
        <w:bidi w:val="0"/>
        <w:spacing w:lineRule="auto" w:line="300" w:before="0" w:after="0"/>
        <w:ind w:left="0" w:right="0" w:hanging="0"/>
        <w:jc w:val="both"/>
        <w:rPr/>
      </w:pPr>
      <w:r>
        <w:rPr>
          <w:rFonts w:ascii="Arial" w:hAnsi="Arial"/>
          <w:b/>
          <w:bCs/>
          <w:sz w:val="21"/>
          <w:szCs w:val="21"/>
        </w:rPr>
        <w:t>8. ABERTURA DAS PROPOSTAS E FORMULAÇÃO DOS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 A partir do horário previsto no Edital e no site www.portaldecompraspublicas.com.br, terá início a sessão pública do pregão, na forma eletrônica, com a divulgação das propostas de preços recebidas, passando o Pregoeiro (a) a avaliar a aceitabilidade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8.1.1. </w:t>
      </w:r>
      <w:r>
        <w:rPr>
          <w:rFonts w:eastAsia="Times New Roman" w:cs="Arial" w:ascii="Arial" w:hAnsi="Arial"/>
          <w:bCs/>
          <w:color w:val="000000"/>
          <w:kern w:val="0"/>
          <w:sz w:val="21"/>
          <w:szCs w:val="21"/>
          <w:lang w:eastAsia="zh-CN"/>
        </w:rPr>
        <w:t>O acompanhamento da sessão se dará, única e exclusivamente, por meio eletrônico, no sítio informado no preâmbulo deste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 Serão verificadas as propostas apresentadas e desclassificadas, motivadamente, aquelas que não estejam em conformidade com os requisitos estabelecidos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8.3. Somente as licitantes com propostas classificadas participarão da fase de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8.4. Todas as propostas classificadas serão consideradas lances na fase de disputas e ordenadas por valor, de forma decrescente.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8.5. Aberta a etapa competitiva, os representantes dos fornecedores deverão estar conectados ao sistema para participar da sessão de lances, </w:t>
      </w:r>
      <w:r>
        <w:rPr>
          <w:rFonts w:eastAsia="Times New Roman" w:cs="Arial" w:ascii="Arial" w:hAnsi="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todos os demais ofertantes.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8.6. Durante a sessão pública, a comunicação entre o(a) Pregoeiro(a) e as licitantes ocorrerá exclusivamente mediante troca de mensagens, em campo próprio do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8.7. Os itens, caso existentes, poderão ser disponibilizados por grupo, para otimização dos trabalhos do(a) Pregoeiro(a) e da Equipe de Apoio e a disputa de lances poderá se estender para outros dias, se necessário.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8.8. Poderão ser ofertados lances intermediários, na impossibilidade de cobrir o menor preço, desde que seja inferior ao seu último lance ofertado e diferente de qualquer lance válido.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8.9. Não serão aceitos dois ou mais lances de mesmo valor, prevalecendo aquele que for recebido e registrado em primeiro lugar pelo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8.10. </w:t>
      </w:r>
      <w:r>
        <w:rPr>
          <w:rFonts w:eastAsia="Times New Roman" w:cs="Arial" w:ascii="Arial" w:hAnsi="Arial"/>
          <w:bCs/>
          <w:color w:val="000000"/>
          <w:kern w:val="0"/>
          <w:sz w:val="21"/>
          <w:szCs w:val="21"/>
          <w:lang w:eastAsia="zh-CN"/>
        </w:rPr>
        <w:t>Durante a sessão pública do Pregão Eletrônico, os licitantes serão informados em tempo real, do valor do menor lance registrado, vedada a identificação do seu detentor.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8.11. No caso de desconexão com o(a) Pregoeiro(a), no decorrer da etapa competitiva do Pregão, na Forma Eletrônica, o sistema eletrônico poderá permanecer acessível às licitantes para a recepção dos lances, retornando o(a) Pregoeiro(a), quando possível, sua atuação no certame, sem prejuízos dos atos realizados.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8.11.1. Quando a desconexão persistir por tempo superior a 10 (dez) minutos, a sessão do Pregão, na Forma Eletrônica será suspensa e terá reinício </w:t>
      </w:r>
      <w:r>
        <w:rPr>
          <w:rFonts w:eastAsia="Times New Roman" w:cs="Arial" w:ascii="Arial" w:hAnsi="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8.12. Será adotado para o envio de lances no pregão eletrônico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8.14. Não havendo novos lances na forma estabelecida nos itens anteriores, a sessão pública encerrar-se-á automaticamente.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8.15. Encerrada a fase competitiva sem que haja a prorrogação automática pelo sistema, poderá o(a) Pregoeiro(a), assessorado pela equipe de apoio, justificadamente, admitir o reinício da sessão pública de lances, em prol da consecução do melhor preço.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8.16. O sistema informará a proposta de menor preço imediatamente após o encerramento da etapa de lances ou, quando for o caso, após negociação e decisão pelo pregoeiro(a) acerca da aceitação do lance de menor valor.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8.17. O não cumprimento do envio dos documentos de habilitação exigidos neste Edital no prazo fixado, acarretará as sanções previstas neste Edital, podendo o(a) Pregoeiro(a) convocar a empresa que apresentou a proposta ou o lance subsequente.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8.18. Se a proposta ou o lance de menor valor não for aceitável, ou se o fornecedor desatender às exigências habilitatórias, o Pregoeiro(a) examinará a proposta ou o lance subsequente, verificando a sua compatibilidade e a habilitação do participante, na ordem de classificação, e assim sucessivamente, até a apuração de uma proposta ou lance que atenda o Edital. Também nessa etapa o(a) Pregoeiro(a) poderá negociar com o participante para que seja obtido preço melhor.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8.19. Caso não sejam apresentados lances, será verificada a conformidade entre a proposta de menor preço e valor estimado para a contratação.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 O(A) Pregoeiro(a) poderá convocar o licitante para enviar documento digital complementar, por meio de funcionalidade disponível no sistema, no prazo mínimo de 02 (duas) horas, sob pena de não aceitação da proposta.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8.20.1. O prazo estabelecido poderá ser prorrogado pelo Pregoeiro por solicitação escrita e justificada do licitante, formulada antes de findo o prazo, e formalmente aceita pelo(a) Pregoeiro(a).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8.20.2. Dentre os documentos passíveis de solicitação pelo(a) Pregoeiro(a),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 Pregoeiro, sem prejuízo do seu ulterior envio pelo sistema eletrônico, sob pena de não aceitação da proposta.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8.21. Quando for constatado o empate, serão utilizados os critérios previstos no art. 60,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8.22. Constatando o atendimento das exigências fixadas no Edital e inexistindo interposição de recursos, o objeto será adjudicado ao autor da proposta mais vantajosa que foi habilitada.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9. PROPOSTA FINAL ESCRITA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9.1. A Empresa vencedora, deverá enviar ao(a) Pregoeiro(a), via sistema, a Proposta de Preços adequada ao último lance ofertado, após a negociação (podendo ser utilizado o modelo constante do ANEXO II), no prazo mínimo de 02 (duas) horas, podendo ser prorrogável por igual período, contado da solicitação do(a) Pregoeiro(a), acompanhada, se for o caso, dos documentos complementares, quando necessários à confirmação daqueles exigidos neste Edital e já apresentados.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9.1.1. NA PROPOSTA ESCRITA, VIA SISTEMA, DEVERÁ CONTER: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o nome do proponente, endereço, identificação (individual ou social), o nº do CNPJ e da Inscrição Estadual, número de telefone e e-mail;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b) suas folhas devem estar datadas, assinadas e rubricadas pelo seu representante legal, podendo ser de forma digital, desde que atendidos os requisitos legais;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c) nos preços propostos deverão estar incluídos todos os custos diretos e indiretos necessários à perfeita execução do objeto, como: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d) conter discriminados em moeda corrente nacional os preços dos itens limitados a 02 (duas) casas decimais para os centavos;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e) Valor unitário e valor total com a quantidade estimada e descritivo de cada item.</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f) O prazo de validade da proposta de preços que não poderá ser inferior a 60 (sessenta) dias, contados da abertura das propostas virtuais;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g) conter o prazo de execução conforme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h) Dados bancários, dados do representante legal, declaração de domicílio eletrônico e declaração de assinatura por certificação digital.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left"/>
        <w:rPr/>
      </w:pPr>
      <w:r>
        <w:rPr>
          <w:rFonts w:ascii="Arial" w:hAnsi="Arial"/>
          <w:b w:val="false"/>
          <w:bCs w:val="false"/>
          <w:i w:val="false"/>
          <w:strike w:val="false"/>
          <w:dstrike w:val="false"/>
          <w:color w:val="000000"/>
          <w:sz w:val="21"/>
          <w:szCs w:val="21"/>
          <w:u w:val="none"/>
        </w:rPr>
        <w:t>9.1.2. O l</w:t>
      </w:r>
      <w:r>
        <w:rPr>
          <w:rFonts w:ascii="Arial" w:hAnsi="Arial"/>
          <w:b w:val="false"/>
          <w:i w:val="false"/>
          <w:strike w:val="false"/>
          <w:dstrike w:val="false"/>
          <w:color w:val="000000"/>
          <w:sz w:val="21"/>
          <w:szCs w:val="21"/>
          <w:u w:val="none"/>
        </w:rPr>
        <w:t>icitante que convocado, que deixar de enviar a documentação acima exigida será desclassificado e sujeitar-se-á às sanções previstas neste Edital.</w:t>
      </w:r>
    </w:p>
    <w:p>
      <w:pPr>
        <w:pStyle w:val="Default"/>
        <w:spacing w:lineRule="auto" w:line="300" w:before="0" w:after="0"/>
        <w:ind w:left="0" w:right="0" w:hanging="0"/>
        <w:jc w:val="left"/>
        <w:rPr>
          <w:b w:val="false"/>
          <w:b w:val="false"/>
          <w:i w:val="false"/>
          <w:i w:val="false"/>
          <w:strike w:val="false"/>
          <w:dstrike w:val="false"/>
          <w:color w:val="000000"/>
          <w:u w:val="none"/>
        </w:rPr>
      </w:pPr>
      <w:r>
        <w:rPr>
          <w:b w:val="false"/>
          <w:i w:val="false"/>
          <w:strike w:val="false"/>
          <w:dstrike w:val="false"/>
          <w:color w:val="000000"/>
          <w:u w:val="none"/>
        </w:rPr>
      </w:r>
    </w:p>
    <w:p>
      <w:pPr>
        <w:pStyle w:val="Default"/>
        <w:spacing w:lineRule="auto" w:line="300" w:before="0" w:after="0"/>
        <w:ind w:left="0" w:right="0" w:hanging="0"/>
        <w:jc w:val="both"/>
        <w:rPr/>
      </w:pPr>
      <w:r>
        <w:rPr>
          <w:rFonts w:ascii="Arial" w:hAnsi="Arial"/>
          <w:b w:val="false"/>
          <w:bCs w:val="false"/>
          <w:i w:val="false"/>
          <w:strike w:val="false"/>
          <w:dstrike w:val="false"/>
          <w:color w:val="000000"/>
          <w:sz w:val="21"/>
          <w:szCs w:val="21"/>
          <w:u w:val="none"/>
        </w:rPr>
        <w:t>9.2. N</w:t>
      </w:r>
      <w:r>
        <w:rPr>
          <w:rFonts w:ascii="Arial" w:hAnsi="Arial"/>
          <w:b w:val="false"/>
          <w:i w:val="false"/>
          <w:strike w:val="false"/>
          <w:dstrike w:val="false"/>
          <w:color w:val="000000"/>
          <w:sz w:val="21"/>
          <w:szCs w:val="21"/>
          <w:u w:val="none"/>
        </w:rPr>
        <w:t>a omissão dos prazos de execução e validade da proposta, serão considerados os constantes deste edital e na divergência entre o preço unitário e total, prevalecerá o menor preço.</w:t>
      </w:r>
    </w:p>
    <w:p>
      <w:pPr>
        <w:pStyle w:val="Default"/>
        <w:spacing w:lineRule="auto" w:line="300" w:before="0" w:after="0"/>
        <w:ind w:left="0" w:right="0" w:hanging="0"/>
        <w:rPr>
          <w:b/>
          <w:b/>
          <w:i w:val="false"/>
          <w:i w:val="false"/>
          <w:strike w:val="false"/>
          <w:dstrike w:val="false"/>
          <w:color w:val="000000"/>
          <w:u w:val="none"/>
        </w:rPr>
      </w:pPr>
      <w:r>
        <w:rPr>
          <w:b/>
          <w:i w:val="false"/>
          <w:strike w:val="false"/>
          <w:dstrike w:val="false"/>
          <w:color w:val="000000"/>
          <w:u w:val="none"/>
        </w:rPr>
      </w:r>
    </w:p>
    <w:p>
      <w:pPr>
        <w:pStyle w:val="Default"/>
        <w:spacing w:lineRule="auto" w:line="300" w:before="0" w:after="0"/>
        <w:ind w:left="0" w:right="0" w:hanging="0"/>
        <w:rPr/>
      </w:pPr>
      <w:r>
        <w:rPr>
          <w:rFonts w:ascii="Arial" w:hAnsi="Arial"/>
          <w:b w:val="false"/>
          <w:bCs w:val="false"/>
          <w:i w:val="false"/>
          <w:strike w:val="false"/>
          <w:dstrike w:val="false"/>
          <w:color w:val="000000"/>
          <w:sz w:val="21"/>
          <w:szCs w:val="21"/>
          <w:u w:val="none"/>
        </w:rPr>
        <w:t>9.3. Ca</w:t>
      </w:r>
      <w:r>
        <w:rPr>
          <w:rFonts w:ascii="Arial" w:hAnsi="Arial"/>
          <w:b w:val="false"/>
          <w:i w:val="false"/>
          <w:strike w:val="false"/>
          <w:dstrike w:val="false"/>
          <w:color w:val="000000"/>
          <w:sz w:val="21"/>
          <w:szCs w:val="21"/>
          <w:u w:val="none"/>
        </w:rPr>
        <w:t xml:space="preserve">da licitante pode apresentar apenas uma proposta de preço. </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 xml:space="preserve">9.4. Para efeito de adjudicação deste Pregão, </w:t>
      </w:r>
      <w:r>
        <w:rPr>
          <w:rFonts w:eastAsia="Times New Roman" w:cs="Arial" w:ascii="Arial" w:hAnsi="Arial"/>
          <w:b/>
          <w:bCs/>
          <w:color w:val="000000"/>
          <w:kern w:val="0"/>
          <w:sz w:val="21"/>
          <w:szCs w:val="21"/>
          <w:lang w:eastAsia="pt-BR"/>
        </w:rPr>
        <w:t>se necessário</w:t>
      </w:r>
      <w:r>
        <w:rPr>
          <w:rFonts w:eastAsia="Times New Roman" w:cs="Arial" w:ascii="Arial" w:hAnsi="Arial"/>
          <w:color w:val="000000"/>
          <w:kern w:val="0"/>
          <w:sz w:val="21"/>
          <w:szCs w:val="21"/>
          <w:lang w:eastAsia="pt-BR"/>
        </w:rPr>
        <w:t>, o Pregoeiro encaminhará o processo à Secretaria Municipal solicitante, a fim de que seja emitido Parecer Técnico referente à proposta vencedora.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9.5. Ocorrendo a desclassificação da empresa vencedora, os autos serão devolvidos ao Pregoeiro, para que esta realize nova negociação com as demais empresas, obedecendo-se à ordem de classificação, por menor preço por item.</w:t>
      </w:r>
    </w:p>
    <w:p>
      <w:pPr>
        <w:pStyle w:val="Normal"/>
        <w:widowControl/>
        <w:suppressAutoHyphens w:val="false"/>
        <w:spacing w:lineRule="auto" w:line="300"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b w:val="false"/>
          <w:bCs w:val="false"/>
          <w:color w:val="000000"/>
          <w:kern w:val="0"/>
          <w:sz w:val="21"/>
          <w:szCs w:val="21"/>
          <w:lang w:eastAsia="pt-BR"/>
        </w:rPr>
        <w:t>9.6. Somente após tal procedimento, a Autoridade Competente fará a adjudicação à empresa vencedora.</w:t>
      </w:r>
    </w:p>
    <w:p>
      <w:pPr>
        <w:pStyle w:val="Normal"/>
        <w:widowControl/>
        <w:suppressAutoHyphens w:val="false"/>
        <w:spacing w:lineRule="auto" w:line="300"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true"/>
        <w:bidi w:val="0"/>
        <w:spacing w:lineRule="auto" w:line="300" w:before="0" w:after="0"/>
        <w:ind w:left="0" w:right="0" w:hanging="0"/>
        <w:jc w:val="both"/>
        <w:rPr/>
      </w:pPr>
      <w:r>
        <w:rPr>
          <w:rFonts w:ascii="Arial" w:hAnsi="Arial"/>
          <w:b/>
          <w:bCs/>
          <w:sz w:val="21"/>
          <w:szCs w:val="21"/>
        </w:rPr>
        <w:t>10. DA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10.1. Toda a documentação de habilitação deverá ser encaminhada com a proposta de preços, na forma prevista neste Edital, em formato digital, exclusivamente por meio do sistema.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 Para habilitação na presente licitação será exigido o encaminhamento via sistema dos seguintes documentos: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a) 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pPr>
        <w:pStyle w:val="Normal"/>
        <w:widowControl/>
        <w:suppressAutoHyphens w:val="true"/>
        <w:bidi w:val="0"/>
        <w:spacing w:lineRule="auto" w:line="300"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b) 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pPr>
        <w:pStyle w:val="Normal"/>
        <w:widowControl/>
        <w:suppressAutoHyphens w:val="true"/>
        <w:bidi w:val="0"/>
        <w:spacing w:lineRule="auto" w:line="300"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c) Declaração de Cumprimento Pleno dos Requisitos de Habilitação, conforme modelo (ANEXO III). Obs.: Se for Microempresa ou Empresa de Pequeno Porte – EPP com problemas na habilitação, fazer constar tal ressalva e comprovando condição.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 xml:space="preserve">d) </w:t>
      </w:r>
      <w:r>
        <w:rPr>
          <w:rFonts w:eastAsia="Times New Roman" w:cs="Arial" w:ascii="Arial" w:hAnsi="Arial"/>
          <w:bCs/>
          <w:color w:val="000000"/>
          <w:sz w:val="21"/>
          <w:szCs w:val="21"/>
          <w:lang w:eastAsia="zh-CN"/>
        </w:rPr>
        <w:t>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(ou outra declaração que comprove tal enquadramento, assinado pelo representante legal da empresa, conforme ao que dispõe o § 2º, art. 13 do Decreto nº 8.538 de 06 de outubro de 2015</w:t>
      </w:r>
      <w:r>
        <w:rPr>
          <w:rFonts w:ascii="Arial" w:hAnsi="Arial"/>
          <w:sz w:val="21"/>
          <w:szCs w:val="21"/>
        </w:rPr>
        <w:t xml:space="preserve"> (podendo ser utilizado modelo ANEXO VI));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e) Declaração de que não tenham celebrado contratos com a Administração Pública cujos valores somados extrapolem a receita bruta máxima admitida para fins de enquadramento como empresa de pequeno porte (ANEXO VII).</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f) Prova de inscrição no Cadastro Nacional de Pessoa Jurídica – CNPJ;</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g) Prova de Regularidade perante a Fazenda Federal e a Seguridade Social;</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h) 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i) Prova de Regularidade com a Fazenda Municipal, do domicílio ou sede do licitante;</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j) A inscrição no cadastro de contribuintes estadual e/ou municipal, se houver, relativo ao domicílio ou sede do licitante, pertinente ao seu ramo de atividade e compatível com o objeto contratual;</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k) Prova de Regularidade com o Fundo de Garantia por Tempo de Serviço - FGTS (Certificado de Regularidade do FGTS);</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l) Prova de inexistência de débitos inadimplidos perante a Justiça do Trabalho, mediante a apresentação de Certidão Negativa, nos termos da Lei Federal nº 12.440/11;</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m) 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n) 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IV).</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o) DECLARAÇÃO expressa de que a empresa cumpre o disposto no inciso XXXIII do art. 7º da Constituição Federal, de acordo com o que estabelece o Decreto Federal nº 4.358, de 05/09/2002, conforme modelo constante deste Edital (ANEXO VIII);</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p) DECLARAÇÃO de que cumpre as exigências de reserva de cargos para pessoa com deficiência e para reabilitado da Previdência Social, previstas em lei e em outras normas específicas (ANEXO IX);</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q) 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 (ANEXO X);</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 xml:space="preserve">r) </w:t>
      </w:r>
      <w:r>
        <w:rPr>
          <w:rFonts w:eastAsia="Times New Roman" w:cs="Arial" w:ascii="Arial" w:hAnsi="Arial"/>
          <w:b w:val="false"/>
          <w:bCs/>
          <w:color w:val="000000"/>
          <w:sz w:val="21"/>
          <w:szCs w:val="21"/>
          <w:lang w:eastAsia="zh-CN"/>
        </w:rPr>
        <w:t>DECLARAÇÃO de que a empresa interessada tomou conhecimento das especificações e normas pertinentes à execução dos serviços (conforme modelo constante do ANEXO XI), nos termos do art. 67, inciso VI, da Lei Federal n. 14.133/2021;</w:t>
      </w:r>
    </w:p>
    <w:p>
      <w:pPr>
        <w:pStyle w:val="Normal"/>
        <w:widowControl/>
        <w:suppressAutoHyphens w:val="true"/>
        <w:bidi w:val="0"/>
        <w:spacing w:lineRule="auto" w:line="276" w:before="0" w:after="0"/>
        <w:ind w:left="850" w:right="0" w:hanging="0"/>
        <w:jc w:val="both"/>
        <w:rPr>
          <w:rFonts w:ascii="Arial" w:hAnsi="Arial" w:eastAsia="Times New Roman" w:cs="Arial"/>
          <w:b/>
          <w:b/>
          <w:bCs/>
          <w:color w:val="000000"/>
          <w:sz w:val="21"/>
          <w:szCs w:val="21"/>
          <w:lang w:val="pt-BR" w:eastAsia="zh-CN" w:bidi="hi-IN"/>
        </w:rPr>
      </w:pPr>
      <w:r>
        <w:rPr>
          <w:rFonts w:eastAsia="Times New Roman" w:cs="Arial" w:ascii="Arial" w:hAnsi="Arial"/>
          <w:b/>
          <w:bCs/>
          <w:color w:val="000000"/>
          <w:sz w:val="21"/>
          <w:szCs w:val="21"/>
          <w:lang w:val="pt-BR" w:eastAsia="zh-CN" w:bidi="hi-IN"/>
        </w:rPr>
      </w:r>
    </w:p>
    <w:p>
      <w:pPr>
        <w:pStyle w:val="Normal"/>
        <w:widowControl/>
        <w:suppressAutoHyphens w:val="true"/>
        <w:bidi w:val="0"/>
        <w:spacing w:lineRule="auto" w:line="276" w:before="0" w:after="0"/>
        <w:ind w:left="850" w:right="0" w:hanging="0"/>
        <w:jc w:val="both"/>
        <w:rPr>
          <w:b/>
          <w:b/>
          <w:bCs/>
        </w:rPr>
      </w:pPr>
      <w:r>
        <w:rPr>
          <w:rFonts w:eastAsia="Times New Roman" w:cs="Arial" w:ascii="Arial" w:hAnsi="Arial"/>
          <w:b/>
          <w:bCs/>
          <w:color w:val="000000"/>
          <w:sz w:val="21"/>
          <w:szCs w:val="21"/>
          <w:lang w:eastAsia="zh-CN"/>
        </w:rPr>
        <w:t xml:space="preserve">s) 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eastAsia="Times New Roman" w:cs="Arial" w:ascii="Arial" w:hAnsi="Arial"/>
          <w:b/>
          <w:bCs/>
          <w:color w:val="000000"/>
          <w:sz w:val="21"/>
          <w:szCs w:val="21"/>
          <w:lang w:eastAsia="pt-BR"/>
        </w:rPr>
        <w:t xml:space="preserve">Portanto, inclusive, a empresa declara que também está em conformidade com o que prevê o art. </w:t>
      </w:r>
      <w:r>
        <w:rPr>
          <w:rFonts w:eastAsia="Times New Roman" w:cs="Arial" w:ascii="Arial" w:hAnsi="Arial"/>
          <w:b/>
          <w:bCs/>
          <w:color w:val="000000"/>
          <w:sz w:val="21"/>
          <w:szCs w:val="21"/>
          <w:lang w:eastAsia="zh-CN"/>
        </w:rPr>
        <w:t>54 I “a” da Constituição Federal e art. 43 I ”a” e II “a” da Constituição do Estado de Santa Catarina.</w:t>
      </w:r>
      <w:r>
        <w:rPr>
          <w:rFonts w:eastAsia="Times New Roman" w:cs="Arial" w:ascii="Arial" w:hAnsi="Arial"/>
          <w:b/>
          <w:bCs/>
          <w:color w:val="000000"/>
          <w:sz w:val="21"/>
          <w:szCs w:val="21"/>
          <w:lang w:eastAsia="pt-BR"/>
        </w:rPr>
        <w:t xml:space="preserve"> </w:t>
      </w:r>
      <w:r>
        <w:rPr>
          <w:rFonts w:eastAsia="Times New Roman" w:cs="Arial" w:ascii="Arial" w:hAnsi="Arial"/>
          <w:b/>
          <w:bCs/>
          <w:color w:val="000000"/>
          <w:sz w:val="21"/>
          <w:szCs w:val="21"/>
          <w:lang w:eastAsia="zh-CN"/>
        </w:rPr>
        <w:t>(</w:t>
      </w:r>
      <w:r>
        <w:rPr>
          <w:rFonts w:eastAsia="Times New Roman" w:cs="Arial" w:ascii="Arial" w:hAnsi="Arial"/>
          <w:b/>
          <w:bCs/>
          <w:color w:val="000000"/>
          <w:sz w:val="21"/>
          <w:szCs w:val="21"/>
          <w:shd w:fill="FFFF00" w:val="clear"/>
          <w:lang w:eastAsia="zh-CN"/>
        </w:rPr>
        <w:t>Deve constar expressamente toda descrição contida nesta alínea,</w:t>
      </w:r>
      <w:r>
        <w:rPr>
          <w:rFonts w:eastAsia="Times New Roman" w:cs="Arial" w:ascii="Arial" w:hAnsi="Arial"/>
          <w:b/>
          <w:bCs/>
          <w:color w:val="000000"/>
          <w:sz w:val="21"/>
          <w:szCs w:val="21"/>
          <w:lang w:eastAsia="zh-CN"/>
        </w:rPr>
        <w:t xml:space="preserve"> conforme ANEXO V).</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eastAsia="SimSun" w:cs="Arial"/>
          <w:color w:val="00000A"/>
          <w:sz w:val="21"/>
          <w:szCs w:val="21"/>
          <w:lang w:val="pt-BR" w:eastAsia="zh-CN" w:bidi="hi-IN"/>
        </w:rPr>
      </w:pPr>
      <w:r>
        <w:rPr>
          <w:rFonts w:eastAsia="SimSun" w:cs="Ari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pPr>
      <w:r>
        <w:rPr>
          <w:rFonts w:cs="Arial" w:ascii="Arial" w:hAnsi="Arial"/>
          <w:sz w:val="21"/>
          <w:szCs w:val="21"/>
          <w:lang w:val="pt-BR"/>
        </w:rPr>
        <w:t xml:space="preserve">u) </w:t>
      </w:r>
      <w:r>
        <w:rPr>
          <w:rFonts w:ascii="Arial" w:hAnsi="Arial"/>
          <w:sz w:val="21"/>
          <w:szCs w:val="21"/>
        </w:rPr>
        <w:t>Certidão de consulta de que não constem:</w:t>
      </w:r>
    </w:p>
    <w:p>
      <w:pPr>
        <w:pStyle w:val="Normal"/>
        <w:widowControl/>
        <w:suppressAutoHyphens w:val="true"/>
        <w:bidi w:val="0"/>
        <w:spacing w:lineRule="auto" w:line="276" w:before="0" w:after="0"/>
        <w:ind w:left="850" w:right="0" w:hanging="0"/>
        <w:jc w:val="both"/>
        <w:rPr>
          <w:rFonts w:ascii="Arial" w:hAnsi="Arial"/>
          <w:sz w:val="21"/>
          <w:szCs w:val="21"/>
        </w:rPr>
      </w:pPr>
      <w:r>
        <w:rPr>
          <w:rFonts w:eastAsia="Times New Roman" w:cs="Arial" w:ascii="Arial" w:hAnsi="Arial"/>
          <w:bCs/>
          <w:color w:val="000000"/>
          <w:sz w:val="21"/>
          <w:szCs w:val="21"/>
          <w:lang w:eastAsia="zh-CN"/>
        </w:rPr>
        <w:t>u.1) no Sistema de Cadastramento Unificado de Fornecedores - SICAF como impedidas ou suspensas;</w:t>
      </w:r>
    </w:p>
    <w:p>
      <w:pPr>
        <w:pStyle w:val="Normal"/>
        <w:widowControl/>
        <w:suppressAutoHyphens w:val="true"/>
        <w:bidi w:val="0"/>
        <w:spacing w:lineRule="auto" w:line="276" w:before="0" w:after="0"/>
        <w:ind w:left="850" w:right="0" w:hanging="0"/>
        <w:jc w:val="both"/>
        <w:rPr/>
      </w:pPr>
      <w:r>
        <w:rPr>
          <w:rFonts w:eastAsia="Times New Roman" w:cs="Arial" w:ascii="Arial" w:hAnsi="Arial"/>
          <w:bCs/>
          <w:color w:val="000000"/>
          <w:sz w:val="21"/>
          <w:szCs w:val="21"/>
          <w:lang w:eastAsia="zh-CN"/>
        </w:rPr>
        <w:t xml:space="preserve">u.2) no cadastro de empresas inidôneas do Tribunal de Contas da União, do Ministério da Transparência, Fiscalização e Controladoria-Geral da União, relativo ao CNPJ e CPF do sócio majoritário, emitida através do endereço </w:t>
      </w:r>
      <w:hyperlink r:id="rId9">
        <w:r>
          <w:rPr>
            <w:rStyle w:val="LinkdaInternet"/>
            <w:rFonts w:eastAsia="Times New Roman" w:cs="Arial" w:ascii="Arial" w:hAnsi="Arial"/>
            <w:bCs/>
            <w:color w:val="000000"/>
            <w:sz w:val="21"/>
            <w:szCs w:val="21"/>
            <w:lang w:eastAsia="zh-CN"/>
          </w:rPr>
          <w:t>https://contas.tcu.gov.br/ords/f?p=704144:3:102385750945059::NO:3,4,6</w:t>
        </w:r>
      </w:hyperlink>
      <w:r>
        <w:rPr>
          <w:rFonts w:eastAsia="Times New Roman" w:cs="Arial" w:ascii="Arial" w:hAnsi="Arial"/>
          <w:bCs/>
          <w:color w:val="000000"/>
          <w:sz w:val="21"/>
          <w:szCs w:val="21"/>
          <w:lang w:eastAsia="zh-CN"/>
        </w:rPr>
        <w:t>::;</w:t>
      </w:r>
    </w:p>
    <w:p>
      <w:pPr>
        <w:pStyle w:val="Normal"/>
        <w:widowControl/>
        <w:suppressAutoHyphens w:val="true"/>
        <w:bidi w:val="0"/>
        <w:spacing w:lineRule="auto" w:line="276" w:before="0" w:after="0"/>
        <w:ind w:left="850" w:right="0" w:hanging="0"/>
        <w:jc w:val="both"/>
        <w:rPr/>
      </w:pPr>
      <w:r>
        <w:rPr>
          <w:rFonts w:eastAsia="Times New Roman" w:cs="Arial" w:ascii="Arial" w:hAnsi="Arial"/>
          <w:bCs/>
          <w:color w:val="000000"/>
          <w:sz w:val="21"/>
          <w:szCs w:val="21"/>
          <w:lang w:eastAsia="zh-CN"/>
        </w:rPr>
        <w:t xml:space="preserve">u.3) no Cadastro Nacional de Condenações Civis por Ato de Improbidade Administrativa e Inelegibilidade, supervisionado pelo Conselho Nacional de Justiça, relativo ao CNPJ e CPF do sócio majoritário, emitida através do endereço </w:t>
      </w:r>
      <w:hyperlink r:id="rId10">
        <w:r>
          <w:rPr>
            <w:rStyle w:val="LinkdaInternet"/>
            <w:rFonts w:eastAsia="Times New Roman" w:cs="Arial" w:ascii="Arial" w:hAnsi="Arial"/>
            <w:bCs/>
            <w:color w:val="000000"/>
            <w:sz w:val="21"/>
            <w:szCs w:val="21"/>
            <w:lang w:eastAsia="zh-CN"/>
          </w:rPr>
          <w:t>https://www.cnj.jus.br/improbidade_adm/consultar_requerido.php</w:t>
        </w:r>
      </w:hyperlink>
      <w:r>
        <w:rPr>
          <w:rFonts w:eastAsia="Times New Roman" w:cs="Arial" w:ascii="Arial" w:hAnsi="Arial"/>
          <w:bCs/>
          <w:color w:val="000000"/>
          <w:sz w:val="21"/>
          <w:szCs w:val="21"/>
          <w:lang w:eastAsia="zh-CN"/>
        </w:rPr>
        <w:t>.</w:t>
      </w:r>
    </w:p>
    <w:p>
      <w:pPr>
        <w:pStyle w:val="Normal"/>
        <w:widowControl/>
        <w:suppressAutoHyphens w:val="true"/>
        <w:bidi w:val="0"/>
        <w:spacing w:lineRule="auto" w:line="276" w:before="0" w:after="0"/>
        <w:ind w:left="850" w:right="0" w:hanging="0"/>
        <w:jc w:val="both"/>
        <w:rPr/>
      </w:pPr>
      <w:r>
        <w:rPr>
          <w:rFonts w:ascii="Arial" w:hAnsi="Arial"/>
          <w:sz w:val="21"/>
          <w:szCs w:val="21"/>
        </w:rPr>
        <w:t xml:space="preserve">u.4) </w:t>
      </w:r>
      <w:r>
        <w:rPr>
          <w:rFonts w:cs="Arial" w:ascii="Arial" w:hAnsi="Arial"/>
          <w:sz w:val="21"/>
          <w:szCs w:val="21"/>
        </w:rPr>
        <w:t xml:space="preserve">Relatório de consulta negativa (contendo Razão Social e CNPJ) junto ao Cadastro Nacional das Empresas Inidôneas e Suspensas – CEIS, através do endereço eletrônico </w:t>
      </w:r>
      <w:hyperlink r:id="rId11">
        <w:r>
          <w:rPr>
            <w:rStyle w:val="LinkdaInternet"/>
            <w:rFonts w:cs="Arial" w:ascii="Arial" w:hAnsi="Arial"/>
            <w:sz w:val="21"/>
            <w:szCs w:val="21"/>
          </w:rPr>
          <w:t>https://portaldatransparencia.gov.br/sancoes/consulta?ordenarPor=nomeSancionado&amp;direcao=asc</w:t>
        </w:r>
      </w:hyperlink>
      <w:r>
        <w:rPr>
          <w:rFonts w:cs="Arial" w:ascii="Arial" w:hAnsi="Arial"/>
          <w:sz w:val="21"/>
          <w:szCs w:val="21"/>
        </w:rPr>
        <w:t>, emitido nos últimos 10 (dez) dias;</w:t>
      </w:r>
    </w:p>
    <w:p>
      <w:pPr>
        <w:pStyle w:val="Normal"/>
        <w:widowControl/>
        <w:suppressAutoHyphens w:val="true"/>
        <w:bidi w:val="0"/>
        <w:spacing w:lineRule="auto" w:line="276" w:before="0" w:after="0"/>
        <w:ind w:left="850" w:right="0" w:hanging="0"/>
        <w:jc w:val="both"/>
        <w:rPr>
          <w:rFonts w:ascii="Arial" w:hAnsi="Arial"/>
          <w:sz w:val="21"/>
          <w:szCs w:val="21"/>
        </w:rPr>
      </w:pPr>
      <w:r>
        <w:rPr>
          <w:rFonts w:cs="Arial" w:ascii="Arial" w:hAnsi="Arial"/>
          <w:sz w:val="21"/>
          <w:szCs w:val="21"/>
        </w:rPr>
        <w:t>u.5) As consultas para o CNPJ do licitante, constante nos itens “u.2”, “u.3” e “u.4”, poderão ser substituídas pela Certidão Consolidada de Pessoa Jurídica, do Tribunal de Contas da União.</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cs="Arial" w:ascii="Arial" w:hAnsi="Arial"/>
          <w:sz w:val="21"/>
          <w:szCs w:val="21"/>
        </w:rPr>
        <w:t>v) Alvará Sanitário em vigência.</w:t>
      </w:r>
    </w:p>
    <w:p>
      <w:pPr>
        <w:pStyle w:val="Normal"/>
        <w:widowControl/>
        <w:suppressAutoHyphens w:val="true"/>
        <w:bidi w:val="0"/>
        <w:spacing w:lineRule="auto" w:line="300" w:before="0" w:after="0"/>
        <w:ind w:left="0" w:right="0" w:hanging="0"/>
        <w:jc w:val="both"/>
        <w:rPr>
          <w:rFonts w:eastAsia="Times New Roman" w:cs="Arial"/>
          <w:b w:val="false"/>
          <w:b w:val="false"/>
          <w:bCs/>
          <w:color w:val="000000"/>
          <w:kern w:val="0"/>
          <w:lang w:eastAsia="zh-CN"/>
        </w:rPr>
      </w:pPr>
      <w:r>
        <w:rPr>
          <w:rFonts w:eastAsia="Times New Roman" w:cs="Arial"/>
          <w:b w:val="false"/>
          <w:bCs/>
          <w:color w:val="000000"/>
          <w:kern w:val="0"/>
          <w:lang w:eastAsia="zh-CN"/>
        </w:rPr>
      </w:r>
    </w:p>
    <w:p>
      <w:pPr>
        <w:pStyle w:val="LOnormal1"/>
        <w:keepNext w:val="false"/>
        <w:keepLines w:val="false"/>
        <w:pageBreakBefore w:val="false"/>
        <w:widowControl/>
        <w:shd w:val="clear" w:fill="auto"/>
        <w:tabs>
          <w:tab w:val="clear" w:pos="708"/>
          <w:tab w:val="left" w:pos="2340" w:leader="none"/>
          <w:tab w:val="left" w:pos="4464" w:leader="none"/>
        </w:tabs>
        <w:suppressAutoHyphens w:val="true"/>
        <w:bidi w:val="0"/>
        <w:spacing w:lineRule="auto" w:line="300" w:before="0" w:after="0"/>
        <w:ind w:left="0" w:right="0" w:hanging="0"/>
        <w:jc w:val="both"/>
        <w:rPr/>
      </w:pPr>
      <w:r>
        <w:rPr>
          <w:rFonts w:eastAsia="Arial" w:cs="Arial" w:ascii="Arial" w:hAnsi="Arial"/>
          <w:sz w:val="21"/>
          <w:szCs w:val="21"/>
        </w:rPr>
        <w:t xml:space="preserve"> </w:t>
      </w:r>
      <w:r>
        <w:rPr>
          <w:rFonts w:ascii="Arial" w:hAnsi="Arial"/>
          <w:sz w:val="21"/>
          <w:szCs w:val="21"/>
        </w:rPr>
        <w:t>10.2.1. Na hipótese de participação de empresa em recuperação judicial cujo processamento da recuperação judicial tenho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 xml:space="preserve">10.2.5. </w:t>
      </w:r>
      <w:r>
        <w:rPr>
          <w:rFonts w:cs="Arial" w:ascii="Arial" w:hAnsi="Arial"/>
          <w:sz w:val="21"/>
          <w:szCs w:val="21"/>
        </w:rPr>
        <w:t xml:space="preserve">A não apresentação da documentação de Cadastro Nacional das Empresas Inidôneas e Suspensas – CEIS, </w:t>
      </w:r>
      <w:r>
        <w:rPr>
          <w:rFonts w:eastAsia="Times New Roman" w:cs="Arial" w:ascii="Arial" w:hAnsi="Arial"/>
          <w:bCs/>
          <w:color w:val="000000"/>
          <w:kern w:val="0"/>
          <w:sz w:val="21"/>
          <w:szCs w:val="21"/>
          <w:lang w:eastAsia="zh-CN"/>
        </w:rPr>
        <w:t>Cadastro Nacional de Condenações Civis por Ato de Improbidade Administrativa e Inelegibilidade</w:t>
      </w:r>
      <w:r>
        <w:rPr>
          <w:rFonts w:cs="Arial" w:ascii="Arial" w:hAnsi="Arial"/>
          <w:sz w:val="21"/>
          <w:szCs w:val="21"/>
        </w:rPr>
        <w:t xml:space="preserve"> e Certidões Negativa de Licitante Inidôneos e Inabilitados, não acarretará a inabilitação da proponente, podendo esta ser consultada para fins de habilitação, a qualquer tempo pelo(a) Pregoeiro (a) e/ou requeridas à licitante.</w:t>
      </w:r>
    </w:p>
    <w:p>
      <w:pPr>
        <w:pStyle w:val="Normal"/>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ascii="Arial" w:hAnsi="Arial"/>
          <w:sz w:val="21"/>
          <w:szCs w:val="21"/>
        </w:rPr>
        <w:t xml:space="preserve">10.2.6. </w:t>
      </w:r>
      <w:r>
        <w:rPr>
          <w:rFonts w:cs="Arial" w:ascii="Arial" w:hAnsi="Arial"/>
          <w:sz w:val="21"/>
          <w:szCs w:val="21"/>
        </w:rPr>
        <w:t>Caso a empresa enquadre-se em alguma hipótese de inidoneidade e suspensão, será analisado o alcance da mesma, sendo garantido à licitante o os prazos recursais previstos em Lei, em caso de inabilitação.</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do contrato, ou revogar a licitação.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pPr>
        <w:pStyle w:val="Normal"/>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10.6. A documentação referida neste Capítulo poderá ser apresentada em original, por cópia, eletrônico ou por qualquer outro meio expressamente admitido pela Administração.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pPr>
        <w:pStyle w:val="Normal"/>
        <w:widowControl/>
        <w:suppressAutoHyphens w:val="true"/>
        <w:bidi w:val="0"/>
        <w:spacing w:lineRule="auto" w:line="300" w:before="0" w:after="0"/>
        <w:ind w:left="0" w:right="0" w:hanging="0"/>
        <w:jc w:val="both"/>
        <w:rPr/>
      </w:pPr>
      <w:r>
        <w:rPr>
          <w:rFonts w:ascii="Arial" w:hAnsi="Arial"/>
          <w:sz w:val="21"/>
          <w:szCs w:val="21"/>
        </w:rPr>
        <w:tab/>
        <w:t>a) complementação de informações acerca dos documentos já apresentados pelos licitantes e desde que necessária para apurar fatos existentes à época da abertura do certame;</w:t>
      </w:r>
    </w:p>
    <w:p>
      <w:pPr>
        <w:pStyle w:val="Normal"/>
        <w:widowControl/>
        <w:suppressAutoHyphens w:val="true"/>
        <w:bidi w:val="0"/>
        <w:spacing w:lineRule="auto" w:line="300" w:before="0" w:after="0"/>
        <w:ind w:left="0" w:right="0" w:hanging="0"/>
        <w:jc w:val="both"/>
        <w:rPr/>
      </w:pPr>
      <w:r>
        <w:rPr>
          <w:rFonts w:ascii="Arial" w:hAnsi="Arial"/>
          <w:sz w:val="21"/>
          <w:szCs w:val="21"/>
        </w:rPr>
        <w:tab/>
        <w:t>b) atualização de documentos cuja validade tenha expirado após a data de recebimento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10.8.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11. DAS OBRIGAÇÕES DA(S) VENCEDORA(S)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11.1.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300" w:before="0" w:after="0"/>
        <w:ind w:left="0" w:right="0" w:hanging="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00" w:before="0" w:after="0"/>
        <w:ind w:left="0" w:right="0" w:hanging="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00" w:before="0" w:after="0"/>
        <w:ind w:left="0" w:right="0" w:hanging="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300" w:before="0" w:after="0"/>
        <w:ind w:left="0" w:right="0" w:hanging="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00" w:before="0" w:after="0"/>
        <w:ind w:left="0" w:right="0" w:hanging="0"/>
        <w:jc w:val="both"/>
        <w:rPr/>
      </w:pPr>
      <w:r>
        <w:rPr>
          <w:rFonts w:ascii="Arial" w:hAnsi="Arial"/>
          <w:sz w:val="21"/>
          <w:szCs w:val="21"/>
        </w:rPr>
        <w:tab/>
        <w:t>e) Acusar o recebimento da Ordem de Serviço/Solicitação de Fornecimento, bem como de qualquer outra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00" w:before="0" w:after="0"/>
        <w:ind w:left="0" w:right="0" w:hanging="0"/>
        <w:jc w:val="both"/>
        <w:rPr/>
      </w:pPr>
      <w:r>
        <w:rPr>
          <w:rFonts w:ascii="Arial" w:hAnsi="Arial"/>
          <w:sz w:val="21"/>
          <w:szCs w:val="21"/>
        </w:rPr>
        <w:tab/>
        <w:t>f) Nomear responsável para, durante o período de vigência, representá-lo na execução da Ata/Contrato;</w:t>
      </w:r>
    </w:p>
    <w:p>
      <w:pPr>
        <w:pStyle w:val="Normal"/>
        <w:widowControl/>
        <w:suppressAutoHyphens w:val="true"/>
        <w:bidi w:val="0"/>
        <w:spacing w:lineRule="auto" w:line="300" w:before="0" w:after="0"/>
        <w:ind w:left="0" w:right="0" w:hanging="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00" w:before="0" w:after="0"/>
        <w:ind w:left="0" w:right="0" w:hanging="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00" w:before="0" w:after="0"/>
        <w:ind w:left="0" w:right="0" w:hanging="0"/>
        <w:jc w:val="both"/>
        <w:rPr/>
      </w:pPr>
      <w:r>
        <w:rPr>
          <w:rFonts w:ascii="Arial" w:hAnsi="Arial"/>
          <w:sz w:val="21"/>
          <w:szCs w:val="21"/>
        </w:rPr>
        <w:tab/>
        <w:t>i) A CONTRATADA ficará obrigada a aceitar nas mesmas condições do edital, os acréscimos ou supressões que se fizerem necessários, até 25% (vinte e cinco por cento) do valor inicial atualizado do Contrato, devendo supressões acima desse limite ser resultantes de acordo entre as partes;</w:t>
      </w:r>
    </w:p>
    <w:p>
      <w:pPr>
        <w:pStyle w:val="Normal"/>
        <w:widowControl/>
        <w:suppressAutoHyphens w:val="true"/>
        <w:bidi w:val="0"/>
        <w:spacing w:lineRule="auto" w:line="300" w:before="0" w:after="0"/>
        <w:ind w:left="0" w:right="0" w:hanging="0"/>
        <w:jc w:val="both"/>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300" w:before="0" w:after="0"/>
        <w:ind w:left="0" w:right="0" w:hanging="0"/>
        <w:jc w:val="both"/>
        <w:rPr/>
      </w:pPr>
      <w:r>
        <w:rPr>
          <w:rFonts w:ascii="Arial" w:hAnsi="Arial"/>
          <w:sz w:val="21"/>
          <w:szCs w:val="21"/>
        </w:rPr>
        <w:tab/>
        <w:t>k) Outras obrigações previstas no Edital, Termo de Referência, na Ata de Registro de Preços/Contrato e na Lei.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11.2. São expressamente vedadas à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a) A veiculação de publicidade acerca da ata de registro de preços/contrato, salvo se houver prévia autorização da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A subcontratação para a execução do objeto deste contrato; 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11.3. A CONTRATANTE, além das obrigações estabelecidas no Edital e seus anexos, deve: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a) Expedir a ordem de serviço/solicitação de fornecimento;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d) Publicar o extrato da ata de registro de preços/contrato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12. DOS CRITÉRIOS DE JULGAMENTO E ADJUDICAÇÃO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12.1. </w:t>
      </w:r>
      <w:r>
        <w:rPr>
          <w:rFonts w:eastAsia="Times New Roman" w:cs="Arial" w:ascii="Arial" w:hAnsi="Arial"/>
          <w:bCs/>
          <w:color w:val="000000"/>
          <w:kern w:val="0"/>
          <w:sz w:val="21"/>
          <w:szCs w:val="21"/>
          <w:lang w:eastAsia="zh-CN"/>
        </w:rPr>
        <w:t>Para adjudicação será verificada a manutenção das condições de habilitação da licitante vencedora.</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eastAsia="Times New Roman" w:cs="Arial" w:ascii="Arial" w:hAnsi="Arial"/>
          <w:bCs/>
          <w:color w:val="000000"/>
          <w:kern w:val="0"/>
          <w:sz w:val="21"/>
          <w:szCs w:val="21"/>
          <w:lang w:eastAsia="zh-CN"/>
        </w:rPr>
        <w:t>12.2. Será verificado ainda, eventuais impedimentos de licitar e contratar, da licitante vencedora, mediante consultas do constante no item 6.5.1.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12.3. A presente Licitação será adjudicada à licitante que apresentar proposta de MAIS VANTAJOSA, JULGAMENTO POR ITEM, conforme mencionado no preâmbulo, desde que atendidas às demais exigências deste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13. DA IMPUGNAÇÃO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antes da data de abertura do certame.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13.1.1. Serão admitidas as seguintes formas de Impugnação do Edital:</w:t>
      </w:r>
    </w:p>
    <w:p>
      <w:pPr>
        <w:pStyle w:val="Normal"/>
        <w:widowControl/>
        <w:suppressAutoHyphens w:val="true"/>
        <w:bidi w:val="0"/>
        <w:spacing w:lineRule="auto" w:line="300" w:before="0" w:after="0"/>
        <w:ind w:left="0" w:right="0" w:hanging="0"/>
        <w:jc w:val="both"/>
        <w:rPr/>
      </w:pPr>
      <w:r>
        <w:rPr>
          <w:rFonts w:ascii="Arial" w:hAnsi="Arial"/>
          <w:sz w:val="21"/>
          <w:szCs w:val="21"/>
        </w:rPr>
        <w:tab/>
        <w:t>a) Por intermédio de meio eletrônico, exclusivamente, através da PLATAFORMA ELETRÔNICA: www.portaldecompraspublicas.com.br “Acesso Identificado”, sendo aceita até as 23:59h do dia que anteceder os 3 (três) dias úteis inteiros antes da data de abertura do certame; ou</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Através de peça original protocolada em meio físico, junto a Sede do Município de Lindóia do Sul, observando-se o horário de expediente, até as 17:00h do dia que anteceder os 3 (três) dias úteis inteiros da data de abertura do certame, no endereço informado no preâmbulo do edital.</w:t>
      </w:r>
    </w:p>
    <w:p>
      <w:pPr>
        <w:pStyle w:val="Normal"/>
        <w:widowControl/>
        <w:suppressAutoHyphens w:val="true"/>
        <w:bidi w:val="0"/>
        <w:spacing w:lineRule="auto" w:line="300" w:before="0" w:after="0"/>
        <w:ind w:left="0" w:right="0" w:hanging="0"/>
        <w:jc w:val="both"/>
        <w:rPr/>
      </w:pPr>
      <w:r>
        <w:rPr>
          <w:rFonts w:ascii="Arial" w:hAnsi="Arial"/>
          <w:sz w:val="21"/>
          <w:szCs w:val="21"/>
        </w:rPr>
        <w:tab/>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13.2. A resposta à impugnação ou ao pedido de esclarecimento será divulgada em sítio eletrônico oficial no prazo de até 3 (três) dias úteis, limitado ao último dia útil anterior à data da abertura do certame.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rPr>
        <w:t>13.3. Se procedente e acolhida a Impugnação do Edital, seus vícios serão sanados, reabrindo-se o prazo inicialmente estabelecido, exceto, quando, inquestionavelmente, a alteração não afetar a formulação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Corpodetexto22"/>
        <w:spacing w:lineRule="auto" w:line="300" w:before="0" w:after="0"/>
        <w:ind w:left="0" w:right="0" w:hanging="0"/>
        <w:jc w:val="both"/>
        <w:rPr/>
      </w:pPr>
      <w:r>
        <w:rPr>
          <w:rFonts w:cs="Arial"/>
          <w:b/>
          <w:bCs/>
          <w:color w:val="000000"/>
          <w:sz w:val="21"/>
          <w:szCs w:val="21"/>
        </w:rPr>
        <w:t>14. DO REGISTRO DE PREÇOS</w:t>
      </w:r>
    </w:p>
    <w:p>
      <w:pPr>
        <w:pStyle w:val="Corpodetexto22"/>
        <w:spacing w:lineRule="auto" w:line="300" w:before="0" w:after="0"/>
        <w:ind w:left="0" w:right="0" w:hanging="0"/>
        <w:jc w:val="both"/>
        <w:rPr/>
      </w:pPr>
      <w:r>
        <w:rPr>
          <w:rFonts w:eastAsia="Arial" w:cs="Arial"/>
          <w:b/>
          <w:bCs/>
          <w:color w:val="000000"/>
          <w:sz w:val="21"/>
          <w:szCs w:val="21"/>
        </w:rPr>
        <w:t xml:space="preserve"> </w:t>
      </w:r>
    </w:p>
    <w:p>
      <w:pPr>
        <w:pStyle w:val="Corpodetexto22"/>
        <w:spacing w:lineRule="auto" w:line="300" w:before="0" w:after="0"/>
        <w:ind w:left="0" w:right="0" w:hanging="0"/>
        <w:jc w:val="both"/>
        <w:rPr/>
      </w:pPr>
      <w:r>
        <w:rPr>
          <w:rFonts w:cs="Arial"/>
          <w:bCs/>
          <w:color w:val="000000"/>
          <w:sz w:val="21"/>
          <w:szCs w:val="21"/>
        </w:rPr>
        <w:t>14.1. Após a homologação do resultado da licitação e adjudicação do objeto pela autoridade competente, os vencedores serão convocados, para no prazo máximo de 05 (cinco) dias úteis a contar da convocação, assinar a Ata de Registro de Preços, sob pena das sanções previstas neste Edital.</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14.1.1. O prazo de convocação poderá ser prorrogado 1 (uma) vez, por igual período, mediante solicitação da parte durante seu transcurso, devidamente justificada, e desde que o motivo apresentado seja aceito pela Administração.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14.1.2. É facultado à Administração, quando a(s) proponente(s) vencedora(s) não atender(em) à convocação para assinatura da Ata de Registro de Preços, nos termos suprarreferidos, convocar outro licitante, desde que respeitada a ordem de classificação, com vistas à obtenção de preço melhor, mesmo que acima do preço ou inferior ao desconto do adjudicatário, desde que comprovados os requisitos habilitatórios e feita a negociação, para assinar a ata de registro de preços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14.1.3. A recusa injustificada do adjudicatário em assinar a Ata de Registro de Preços caracterizará o descumprimento total da obrigação assumida e o sujeitará às penalidades legalmente estabelecidas e à imediata perda da garantia de proposta em favor do município.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14.2. Para a assinatura da Ata de Registro de Preços, será considerado o simples fato da empresa vencedora participar do certame licitatório e ter apresentado sua proposta final, para a Comissão, como ato concreto, tendo em vista a realização de Pregão Eletrônico.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 xml:space="preserve">14.3. </w:t>
      </w:r>
      <w:r>
        <w:rPr>
          <w:rFonts w:eastAsia="Times New Roman" w:cs="Arial"/>
          <w:bCs/>
          <w:color w:val="000000"/>
          <w:kern w:val="0"/>
          <w:sz w:val="21"/>
          <w:szCs w:val="21"/>
          <w:lang w:eastAsia="zh-CN"/>
        </w:rPr>
        <w:t xml:space="preserve">O prazo de vigência da ata de registro de preços será de 1 (um) ano e poderá ser prorrogado por igual período, desde que comprovado o preço vantajoso, nos termos do art. 84, </w:t>
      </w:r>
      <w:r>
        <w:rPr>
          <w:rFonts w:eastAsia="Times New Roman" w:cs="Arial"/>
          <w:bCs/>
          <w:i/>
          <w:iCs/>
          <w:color w:val="000000"/>
          <w:kern w:val="0"/>
          <w:sz w:val="21"/>
          <w:szCs w:val="21"/>
          <w:lang w:eastAsia="zh-CN"/>
        </w:rPr>
        <w:t>caput</w:t>
      </w:r>
      <w:r>
        <w:rPr>
          <w:rFonts w:eastAsia="Times New Roman" w:cs="Arial"/>
          <w:bCs/>
          <w:color w:val="000000"/>
          <w:kern w:val="0"/>
          <w:sz w:val="21"/>
          <w:szCs w:val="21"/>
          <w:lang w:eastAsia="zh-CN"/>
        </w:rPr>
        <w:t xml:space="preserve">, da Lei Federal n. 14.133/2021. </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14.3.1.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 O fornecedor terá seu registro suspenso ou cancelado, facultada a defesa prévia do interessado, no prazo de 5 (cinco) dias úteis, nos seguintes casos: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 - pela Administração, quando:</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o fornecedor não cumprir as exigências do instrumento convocatório que der origem ao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b) o fornecedor recusar-se a assinar a ata ou a formalizar contrato decorrente do registro de preços, ressalvada a hipótese de</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Administração aceitar sua justificativa;</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c) o fornecedor der causa à rescisão de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d) em qualquer das hipóteses de inexecução total ou parcial do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e) os preços registrados se apresentarem superiores aos praticados pelo mercado;</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f) por razões de interesse público, devidamente fundamentadas.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II - pelo fornecedor quando, mediante solicitação por escrito, comprovar a impossibilidade de cumprir as exigências do instrumento convocatório que deu origem ao registro de preços.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14.4.1. A comunicação do cancelamento da ata de registro de preços, será formalizada através do e-mail indicado na fase de credenciamento do fornecedor.</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14.4.2. Nos casos de não confirmação do recebimento, será considerada válida a comunicação a partir do 2º dia útil da data de envio.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14.5. Os preços relacionados na Ata de Registro de Preços poderão sofrer alterações, em decorrência de eventual redução daqueles praticados no mercado, ou de fato que eleve o custo dos bens registrados, desde que devidamente justificados e comprovados.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 w:val="false"/>
          <w:bCs w:val="false"/>
          <w:color w:val="000000"/>
          <w:sz w:val="21"/>
          <w:szCs w:val="21"/>
        </w:rPr>
        <w:t>14.6. Durante o prazo de validade do Registro de Preços, a Administração Municipal poderá ou não, adquirir a totalidade das quantidades registradas, objeto deste Pregão.</w:t>
      </w:r>
    </w:p>
    <w:p>
      <w:pPr>
        <w:pStyle w:val="Corpodetexto22"/>
        <w:spacing w:lineRule="auto" w:line="300" w:before="0" w:after="0"/>
        <w:ind w:left="0" w:right="0" w:hanging="0"/>
        <w:jc w:val="both"/>
        <w:rPr>
          <w:rFonts w:ascii="Arial" w:hAnsi="Arial" w:cs="Arial"/>
          <w:b w:val="false"/>
          <w:b w:val="false"/>
          <w:bCs w:val="false"/>
          <w:color w:val="000000"/>
          <w:sz w:val="21"/>
          <w:szCs w:val="21"/>
        </w:rPr>
      </w:pPr>
      <w:r>
        <w:rPr>
          <w:rFonts w:cs="Arial"/>
          <w:b w:val="false"/>
          <w:bCs w:val="false"/>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 xml:space="preserve">15. </w:t>
      </w:r>
      <w:r>
        <w:rPr>
          <w:rFonts w:eastAsia="Times New Roman" w:cs="Arial" w:ascii="Arial" w:hAnsi="Arial"/>
          <w:b/>
          <w:bCs/>
          <w:color w:val="000000"/>
          <w:kern w:val="0"/>
          <w:sz w:val="21"/>
          <w:szCs w:val="21"/>
          <w:lang w:eastAsia="pt-BR"/>
        </w:rPr>
        <w:t>DO CADASTRO RESERVA</w:t>
      </w:r>
    </w:p>
    <w:p>
      <w:pPr>
        <w:pStyle w:val="Normal"/>
        <w:widowControl/>
        <w:suppressAutoHyphens w:val="true"/>
        <w:bidi w:val="0"/>
        <w:spacing w:lineRule="auto" w:line="300" w:before="0" w:after="0"/>
        <w:ind w:left="0" w:right="0" w:hanging="0"/>
        <w:jc w:val="both"/>
        <w:rPr>
          <w:rFonts w:ascii="Arial" w:hAnsi="Arial" w:eastAsia="Times New Roman" w:cs="Arial"/>
          <w:b/>
          <w:b/>
          <w:bCs/>
          <w:color w:val="000000"/>
          <w:kern w:val="0"/>
          <w:sz w:val="21"/>
          <w:szCs w:val="21"/>
          <w:lang w:eastAsia="pt-BR"/>
        </w:rPr>
      </w:pPr>
      <w:r>
        <w:rPr>
          <w:rFonts w:eastAsia="Times New Roman" w:cs="Arial" w:ascii="Arial" w:hAnsi="Arial"/>
          <w:b/>
          <w:bCs/>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15.1. Após o encerramento da etapa competitiva, os licitantes poderão reduzir seus preços ao valor da proposta do licitante mais bem classificado, mediante a formulação de novo lance no sistema de gerenciamento do referido certame.</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 xml:space="preserve">15.1.1. Não havendo no sistema de gerenciamento do certame, campo para registro de lance com valor igual ao do vencedor, visando a formação do cadastro reserva, a licitante interessada deverá, no prazo de 2 (dois) dias após encerrada a sessão, encaminhar proposta visando a formação do cadastro, no e-mail </w:t>
      </w:r>
      <w:hyperlink r:id="rId12">
        <w:r>
          <w:rPr>
            <w:rStyle w:val="LinkdaInternet"/>
            <w:rFonts w:eastAsia="Times New Roman" w:cs="Arial" w:ascii="Arial" w:hAnsi="Arial"/>
            <w:color w:val="000000"/>
            <w:kern w:val="0"/>
            <w:sz w:val="21"/>
            <w:szCs w:val="21"/>
            <w:lang w:eastAsia="pt-BR"/>
          </w:rPr>
          <w:t>licita@lindoiadosul.sc.gov.br</w:t>
        </w:r>
      </w:hyperlink>
      <w:r>
        <w:rPr>
          <w:rFonts w:eastAsia="Times New Roman" w:cs="Arial" w:ascii="Arial" w:hAnsi="Arial"/>
          <w:color w:val="000000"/>
          <w:kern w:val="0"/>
          <w:sz w:val="21"/>
          <w:szCs w:val="21"/>
          <w:lang w:eastAsia="pt-BR"/>
        </w:rPr>
        <w:t>.</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15.1.2. A apresentação de novas propostas na forma deste item não prejudicará o resultado do certame em relação ao licitante melhor classificado.</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15.2. Havendo um ou mais licitantes que aceitem cotar suas propostas em valor igual ao do licitante vencedor, estes serão classificados segundo a ordem da última proposta individual apresentada durante a fase competitiva.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15.3. Esta ordem de classificação dos licitantes registrados deverá ser respeitada nas contratações e somente será utilizada acaso o melhor colocado no certame tenha seu registro cancelado e/ou suspenso.</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15.4. O Cadastro Reserva será formalizado em anexo a ata.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true"/>
        <w:bidi w:val="0"/>
        <w:spacing w:lineRule="auto" w:line="300" w:before="0" w:after="0"/>
        <w:ind w:left="0" w:right="0" w:hanging="0"/>
        <w:jc w:val="both"/>
        <w:rPr/>
      </w:pPr>
      <w:r>
        <w:rPr>
          <w:rFonts w:eastAsia="Times New Roman" w:cs="Arial" w:ascii="Arial" w:hAnsi="Arial"/>
          <w:b w:val="false"/>
          <w:bCs w:val="false"/>
          <w:color w:val="000000"/>
          <w:kern w:val="0"/>
          <w:sz w:val="21"/>
          <w:szCs w:val="21"/>
          <w:lang w:eastAsia="pt-BR"/>
        </w:rPr>
        <w:t xml:space="preserve">15.5. Havendo a necessidade de formalização de nova Ata com algum dos fornecedores constantes no cadastro reserva, este será convocado para no prazo de 2 (dois) dias úteis apresentar sua documentação de habilitação, em conformidade com o edital. </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16. DOS RECURSOS, RESPONSABILIDADES, PENALIDADES ADMINISTRATIVAS E EXTINÇÃO DO CONTRATO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w:t>
      </w:r>
      <w:r>
        <w:rPr>
          <w:rFonts w:eastAsia="Calibri" w:ascii="Arial" w:hAnsi="Arial" w:eastAsiaTheme="minorHAnsi"/>
          <w:sz w:val="21"/>
          <w:szCs w:val="21"/>
          <w:shd w:fill="auto" w:val="clear"/>
        </w:rPr>
        <w:t>.1. Dos atos da Administração praticados neste certame cabem:</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 recurso, no prazo de 03 (três) dias úteis, contado da data de intimação ou de lavratura da ata, em face de:</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a.1) julgamento das propostas;</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a.2) ato de habilitação ou inabilitação de licitante;</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a.3) anulação ou revogação da licitação;</w:t>
      </w:r>
    </w:p>
    <w:p>
      <w:pPr>
        <w:pStyle w:val="Normal"/>
        <w:widowControl/>
        <w:suppressAutoHyphens w:val="true"/>
        <w:bidi w:val="0"/>
        <w:spacing w:lineRule="auto" w:line="300" w:before="0" w:after="0"/>
        <w:ind w:left="0" w:right="0" w:hanging="0"/>
        <w:jc w:val="both"/>
        <w:rPr>
          <w:rFonts w:ascii="Arial" w:hAnsi="Arial"/>
          <w:sz w:val="21"/>
          <w:szCs w:val="21"/>
          <w:highlight w:val="none"/>
          <w:shd w:fill="auto" w:val="clear"/>
        </w:rPr>
      </w:pPr>
      <w:r>
        <w:rPr>
          <w:rFonts w:ascii="Arial" w:hAnsi="Arial"/>
          <w:sz w:val="21"/>
          <w:szCs w:val="21"/>
          <w:shd w:fill="auto"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auto" w:val="clear"/>
        </w:rPr>
        <w:tab/>
        <w:t>b) pedido de reconsideração, no p</w:t>
      </w:r>
      <w:r>
        <w:rPr>
          <w:rFonts w:eastAsia="Calibri" w:ascii="Arial" w:hAnsi="Arial" w:eastAsiaTheme="minorHAnsi"/>
          <w:sz w:val="21"/>
          <w:szCs w:val="21"/>
          <w:shd w:fill="FFFFFF" w:val="clear"/>
        </w:rPr>
        <w:t>razo de 03 (três) dias úteis, contado da data de intimação, relativamente a ato do qual não caiba recurso hierárquico.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16.1.1. Quanto ao recurso apresentado com base nos itens a.1 e a.2 da alínea “a” do item 16.1, serão observadas as seguintes disposições: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a intenção de recorrer deverá ser manifestada na sessão pública, com início imediato após o término do julgamento das propostas e do ato de habilitação ou inabilitação, sob pena de preclusão;</w:t>
      </w:r>
    </w:p>
    <w:p>
      <w:pPr>
        <w:pStyle w:val="Normal"/>
        <w:widowControl/>
        <w:suppressAutoHyphens w:val="true"/>
        <w:bidi w:val="0"/>
        <w:spacing w:lineRule="auto" w:line="276" w:before="0" w:after="0"/>
        <w:ind w:left="0" w:right="0" w:hanging="0"/>
        <w:jc w:val="both"/>
        <w:rPr>
          <w:shd w:fill="FFFFFF" w:val="clear"/>
        </w:rPr>
      </w:pPr>
      <w:r>
        <w:rPr>
          <w:rFonts w:eastAsia="Calibri" w:ascii="Arial" w:hAnsi="Arial" w:eastAsiaTheme="minorHAnsi"/>
          <w:sz w:val="21"/>
          <w:szCs w:val="21"/>
          <w:shd w:fill="FFFFFF" w:val="clear"/>
        </w:rPr>
        <w:tab/>
        <w:t>II – o prazo para apresentação das razões recursais previsto na alínea “a” do item 16.1 será iniciado na data de intimação ou de lavratura da ata de habilitação ou inabilitação;</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III – a apreciação dar-se-á em fase única.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16.1.2. O recurso de que trata a alínea “a”, do item 16.1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16.1.3. O prazo para contrarrazões será o mesmo do recurso e terá início após encerrado o prazo das razões do recurso.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16.1.4. Será assegurado ao licitante vista dos elementos indispensáveis à defesa de seus interesses.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 xml:space="preserve">16.1.5. O recurso ou Pedido de Reconsideração deverá ser interposto por intermédio de meio eletrônico, exclusivamente, através da PLATAFORMA ELETRÔNICA: www.portaldecompraspublicas.com.br “Acesso Identificado”, sendo aceito até as 23:59h da data limite estipulada pelo pregoeiro(a). </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16.2. O Recurso e o pedido de reconsideração terão efeito suspensivo do ato ou da decisão recorrida até que sobrevenha decisão final da autoridade competente.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16.3. Não sendo interpostos recursos, ou sendo interposto em desacordo com o Edital, ou decididos os recursos interpostos o Pregoeiro(a) encaminhará o processo licitatório para a Autoridade Competente para os procedimentos de adjudicação do objeto do certame à(s) empresa(s) declarada(s) vencedora(s) e homologação.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16.4. As causas de rescisão contratual estão estabelecidas no artigo 137, de acordo com as disposições do art. 138 e 139, todos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16.5. O licitante ou o contratado será responsabilizado administrativamente pelas infrações previstas no art. 155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16.6. O Município de Lindóia do Sul poderá, garantido o contraditório e a ampla defesa, aplicar as seguintes sanções administrativas: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advertência;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multa;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16.7.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16.8. A recusa injustificada do adjudicatário em assinar a Ata de Registro de Preços/Contrato, no prazo máximo de 5 (cinco) dias úteis da notificação, implicará a aplicação da multa compensatória prevista no item anterior.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16.9.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16.10.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16.11.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16.12.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16.13.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17. DAS ALTERAÇÕES</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spacing w:lineRule="auto" w:line="276" w:before="0" w:after="0"/>
        <w:ind w:left="0" w:right="0" w:hanging="0"/>
        <w:jc w:val="both"/>
        <w:rPr>
          <w:rFonts w:ascii="Arial" w:hAnsi="Arial"/>
          <w:sz w:val="21"/>
          <w:szCs w:val="21"/>
        </w:rPr>
      </w:pPr>
      <w:r>
        <w:rPr>
          <w:rFonts w:ascii="Arial" w:hAnsi="Arial"/>
          <w:sz w:val="21"/>
          <w:szCs w:val="21"/>
        </w:rPr>
        <w:t>17.1. A Ata de Registro de Preços poderá sofrer alterações, obedecidas às disposições contidas no Decreto Municipal nº 4.072/2024 ou outro que vier a substituir.</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17.1.1. 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17.1.2. Quando o preço inicialmente registrado, por motivo superveniente, tornar-se superior ao preço praticado no mercado o Órgão Gerenciador deverá:</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I – convocar o fornecedor visando a negociação para redução de preços e sua adequação ao praticado pelo mercado;</w:t>
      </w:r>
    </w:p>
    <w:p>
      <w:pPr>
        <w:pStyle w:val="Normal"/>
        <w:spacing w:lineRule="auto" w:line="276" w:before="0" w:after="0"/>
        <w:ind w:left="0" w:right="0" w:hanging="0"/>
        <w:jc w:val="both"/>
        <w:rPr>
          <w:rFonts w:ascii="Arial" w:hAnsi="Arial"/>
          <w:sz w:val="21"/>
          <w:szCs w:val="21"/>
        </w:rPr>
      </w:pPr>
      <w:r>
        <w:rPr>
          <w:rFonts w:ascii="Arial" w:hAnsi="Arial"/>
          <w:sz w:val="21"/>
          <w:szCs w:val="21"/>
        </w:rPr>
        <w:t>II – frustrada a negociação, o fornecedor será liberado do compromisso assumido sem aplicação de penalidade; e</w:t>
      </w:r>
    </w:p>
    <w:p>
      <w:pPr>
        <w:pStyle w:val="Normal"/>
        <w:spacing w:lineRule="auto" w:line="276" w:before="0" w:after="0"/>
        <w:ind w:left="0" w:right="0" w:hanging="0"/>
        <w:jc w:val="both"/>
        <w:rPr>
          <w:rFonts w:ascii="Arial" w:hAnsi="Arial"/>
          <w:sz w:val="21"/>
          <w:szCs w:val="21"/>
        </w:rPr>
      </w:pPr>
      <w:r>
        <w:rPr>
          <w:rFonts w:ascii="Arial" w:hAnsi="Arial"/>
          <w:sz w:val="21"/>
          <w:szCs w:val="21"/>
        </w:rPr>
        <w:t>III – convocar os demais fornecedores visando igual oportunidade de negociação.</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17.1.3. Quando o preço de mercado se tornar superior aos preços registrados e o fornecedor, mediante requerimento devidamente comprovado, não puder cumprir o compromisso, o Órgão Gerenciador poderá:</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I – liberar o fornecedor do compromisso assumido, caso a comunicação ocorra antes do pedido de fornecimento, e sem aplicação da penalidade se confirmada a veracidade dos motivos e comprovantes apresentados; e</w:t>
      </w:r>
    </w:p>
    <w:p>
      <w:pPr>
        <w:pStyle w:val="Normal"/>
        <w:spacing w:lineRule="auto" w:line="276" w:before="0" w:after="0"/>
        <w:ind w:left="0" w:right="0" w:hanging="0"/>
        <w:jc w:val="both"/>
        <w:rPr>
          <w:rFonts w:ascii="Arial" w:hAnsi="Arial"/>
          <w:sz w:val="21"/>
          <w:szCs w:val="21"/>
        </w:rPr>
      </w:pPr>
      <w:r>
        <w:rPr>
          <w:rFonts w:ascii="Arial" w:hAnsi="Arial"/>
          <w:sz w:val="21"/>
          <w:szCs w:val="21"/>
        </w:rPr>
        <w:t>II – convocar os demais fornecedores para assegurar igual oportunidade de negociação.</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17.1.4. Não havendo êxito nas negociações, o Órgão Gerenciador deverá proceder à revogação da Ata de Registro de Preços, adotando as medidas cabíveis para obtenção da contratação mais vantajosa.</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 xml:space="preserve">17.2. É possível realizar aumento nos quantitativos fixados pela ata de registro de preços, até uma vez a quantidade registrada inicialmente, desde que com aceitação expressa do fornecedor, formalizada mediante apostilamento, quando caracterizadas circunstâncias supervenientes, devidamente demonstradas nos autos do procedimento administrativo em que tramitar a alteração, que indiquem que as estimativas inicialmente previstas </w:t>
      </w:r>
      <w:r>
        <w:rPr>
          <w:rFonts w:ascii="Arial" w:hAnsi="Arial"/>
          <w:sz w:val="21"/>
          <w:szCs w:val="21"/>
          <w:shd w:fill="FFFFFF" w:val="clear"/>
        </w:rPr>
        <w:t>neste edital serão insuficientes para atender a demanda durante o prazo de vigência.</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17.3. O Contrato, caso seja celebrado, poderá sofrer alterações, obedecidas às disposições contidas no art. 124 e seguintes da Lei Federal nº. 14.133/21.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18. DA DOTAÇÃO ORÇAMENTÁRIA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18.1. As despesas decorrentes das aquisições, objeto do presente certame correrão a conta de dotação específica do orçamento, constante no Termo de Referência, Anexo I deste edital.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19. DO PAGAMENTO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19.1. O pagamento pelos serviços prestados, objeto da presente licitação, será feito em favor do(s) licitante(s) vencedor(es), mediante boleto bancário ou transferência bancária em conta-corrente de titularidade do Fornecedor, cujos dados devem ser idênticos ao da sua proposta.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 xml:space="preserve">19.1.1. </w:t>
      </w:r>
      <w:r>
        <w:rPr>
          <w:rFonts w:eastAsia="Calibri" w:ascii="Arial" w:hAnsi="Arial" w:eastAsiaTheme="minorHAnsi"/>
          <w:sz w:val="21"/>
          <w:szCs w:val="21"/>
          <w:shd w:fill="FFFFFF" w:val="clear"/>
        </w:rPr>
        <w:t>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19.1.2. O Município de Lindóia do Sul efetuará o pagamento em até 15 (quinze) dias úteis, após a confirmação da prestação regular das atividades descritas no objeto desta licitação, acompanhado da respectiva Nota Fiscal Eletrônica e arquivo XML e atestada por servidor responsável.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19.1.3. Caso a licitante não esteja enquadrada no Simples Nacional, deverá enviar a(s) nota(s) fiscal(is) com o devido destaque de Imposto de Renda, conforme exige o Decreto Municipal nº 3.949/2023.</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19.2. Será pago a contratada somente o valor das mercadorias/serviços efetivamente entregues/executados de acordo com objeto do Edital, conforme relatório (caso necessário), após aprovação/aceite do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19.5.1. Para tanto, com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19.7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19.8 Os resultados dos relatórios dos serviços serão lançados em formulários apropriados, de acordo com as normas adotadas pelo Contratante.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cs="Arial" w:ascii="Arial" w:hAnsi="Arial"/>
          <w:b/>
          <w:bCs/>
          <w:color w:val="000000"/>
          <w:sz w:val="21"/>
          <w:szCs w:val="21"/>
        </w:rPr>
        <w:t>20. DAS ENTREGAS E EXECUÇÃO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20.1. A contratação do item, com fornecimento parcelado, será efetuada conforme a necessidade de cada Secretaria demandante, devendo a detentora executar o objeto de acordo com as especificações contidas no item 8 e subitens do termo de referência anexo I deste edital.</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20.2. A contratação com os fornecedores registrados será formalizada pelo Órgão Participante por intermédio de Solicitação de fornecimento de compra.</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 xml:space="preserve">20.3. Os itens contratados deverão ser entregues no prazo máximo de </w:t>
      </w:r>
      <w:r>
        <w:rPr>
          <w:rFonts w:eastAsia="Times New Roman" w:cs="Arial" w:ascii="Arial" w:hAnsi="Arial"/>
          <w:b w:val="false"/>
          <w:bCs w:val="false"/>
          <w:color w:val="000000"/>
          <w:kern w:val="0"/>
          <w:sz w:val="21"/>
          <w:szCs w:val="21"/>
          <w:lang w:val="pt-BR" w:eastAsia="pt-BR" w:bidi="hi-IN"/>
        </w:rPr>
        <w:t>02 (dois)</w:t>
      </w:r>
      <w:r>
        <w:rPr>
          <w:rFonts w:cs="Arial" w:ascii="Arial" w:hAnsi="Arial"/>
          <w:b w:val="false"/>
          <w:bCs w:val="false"/>
          <w:color w:val="000000"/>
          <w:sz w:val="21"/>
          <w:szCs w:val="21"/>
        </w:rPr>
        <w:t xml:space="preserve"> d</w:t>
      </w:r>
      <w:r>
        <w:rPr>
          <w:rFonts w:cs="Arial" w:ascii="Arial" w:hAnsi="Arial"/>
          <w:color w:val="000000"/>
          <w:sz w:val="21"/>
          <w:szCs w:val="21"/>
        </w:rPr>
        <w:t>ias, a contar da data de recebimento da autorização de fornecimento, que será enviada por meio eletrônico.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20.4. O Fornecedor deverá entregar os itens constantes da autorização no local indicado pelo órgão participante, com a respectiva Nota Fiscal Eletrônica e enviar o arquivo XML para o e-mail indicado nas Solicitações de Fornecimento.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20.5. Os recebimentos provisórios e definitivos ficarão sob a responsabilidade de cada Órgão Participante.</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20.6. Todas as despesas relacionadas com as entregas em cada órgão ou entidade participante ocorrerão por conta do Fornecedor.</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cs="Arial" w:ascii="Arial" w:hAnsi="Arial"/>
          <w:color w:val="000000"/>
          <w:sz w:val="21"/>
          <w:szCs w:val="21"/>
        </w:rPr>
        <w:t xml:space="preserve">20.7. Todas as despesas relacionadas com as entregas em cada órgão participante ocorrerão </w:t>
      </w:r>
    </w:p>
    <w:p>
      <w:pPr>
        <w:pStyle w:val="Normal"/>
        <w:spacing w:before="0" w:after="0"/>
        <w:jc w:val="both"/>
        <w:rPr>
          <w:rFonts w:ascii="Arial" w:hAnsi="Arial"/>
          <w:sz w:val="21"/>
          <w:szCs w:val="21"/>
        </w:rPr>
      </w:pPr>
      <w:r>
        <w:rPr>
          <w:rFonts w:ascii="Arial" w:hAnsi="Arial"/>
          <w:color w:val="000000"/>
          <w:sz w:val="21"/>
          <w:szCs w:val="21"/>
        </w:rPr>
        <w:t>por conta do fornecedor, sob o qual ficará a total responsabilidade de realizar o transporte adequado e manter em perfeitas condições de armazenamento todos os itens a serem entregues, garantindo a sua total eficiência e q</w:t>
      </w:r>
      <w:r>
        <w:rPr>
          <w:rFonts w:cs="Arial" w:ascii="Arial" w:hAnsi="Arial"/>
          <w:color w:val="000000"/>
          <w:sz w:val="21"/>
          <w:szCs w:val="21"/>
        </w:rPr>
        <w:t>ualidade.</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20.8. Todos os custos relacionados à execução da garantia ou troca de produtos correrão por conta exclusiva do fornecedor, incluídos os custos de transporte, troca de peças/equipamentos, horas técnicas, deslocamento de pessoal.</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b/>
          <w:bCs/>
          <w:color w:val="000000"/>
          <w:sz w:val="21"/>
          <w:szCs w:val="21"/>
        </w:rPr>
        <w:t>21. DA FISCALIZAÇÃO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21.1. A fiscalização da execução do objeto contratado será realizada pelo Gestor e Fiscal indicados pelas Secretarias envolvidas no momento da elaboração da Ata de registro de preço/contrato.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sz w:val="21"/>
          <w:szCs w:val="21"/>
        </w:rPr>
        <w:t>21.2. Em conformidade com o art. 117 da Lei Federal n. 14.133/2021, o Município designará fiscal de contrato e representante da administração pública para acompanhamento e fiscalização da execução de Ata de Registro de Preços/Contrato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8"/>
          <w:tab w:val="left" w:pos="2340" w:leader="none"/>
          <w:tab w:val="left" w:pos="4464" w:leader="none"/>
        </w:tabs>
        <w:spacing w:lineRule="auto" w:line="276" w:before="0" w:after="0"/>
        <w:ind w:left="0" w:right="0" w:hanging="0"/>
        <w:jc w:val="both"/>
        <w:rPr>
          <w:rFonts w:ascii="Liberation Serif" w:hAnsi="Liberation Serif" w:eastAsia="SimSun" w:cs="Mangal"/>
          <w:color w:val="00000A"/>
          <w:sz w:val="24"/>
          <w:szCs w:val="24"/>
          <w:lang w:val="pt-BR" w:eastAsia="zh-CN" w:bidi="hi-IN"/>
        </w:rPr>
      </w:pPr>
      <w:r>
        <w:rPr>
          <w:rFonts w:eastAsia="SimSun" w:cs="Mangal" w:ascii="Liberation Serif" w:hAnsi="Liberation Serif"/>
          <w:color w:val="00000A"/>
          <w:sz w:val="24"/>
          <w:szCs w:val="24"/>
          <w:lang w:val="pt-BR" w:eastAsia="zh-CN" w:bidi="hi-IN"/>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color w:val="000000"/>
          <w:sz w:val="21"/>
          <w:szCs w:val="21"/>
        </w:rPr>
        <w:t>21.3. Caberá ao gestor da Ata de Registro de Preços/Contrato, com auxílio do Fiscal, constituir relatório final de que trata o art. 174, § 3º, inciso VI, alínea “d”, da Lei Federal n. 14.133/2021 com as informações obtidas durante a execução do contrato, como forma de aprimoramento das atividades da Administração.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22. DAS DISPOSIÇÕES GERAIS</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22.1. Caberá ao Município de Lindóia do Sul a prática de todos os atos de controle e administração do sistema.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22.2. A Empresa vencedora deverá declarar ao Município (ANEXO II) o domicílio eletrônico o qual será destinado ao gerenciamento da Ata de Registro de Preços/Contrato e recebimento das solicitações de fornecimento/ordens de serviços, alerta de avisos, notificações e decisões administrativas.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22.3. Nenhuma indenização será devida às licitantes pela elaboração e/ou apresentação de documentação relativa ao presente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22.4. O resultado desta licitação estará à disposição dos interessados, na sede da Prefeitura Municipal de Lindóia do Sul, logo após sua homologação e disponíveis na plataforma eletrônica do Portal de Compras Públicas e no sítio eletrônico oficial: www.lindoiadosul.sc.gov.br.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 xml:space="preserve">22.7. O(a) Pregoeiro(a) e a Equipe de Apoio prestarão os esclarecimentos necessários, devendo ser enviados ao pregoeiro, até três dias anteriores à data fixada para abertura da sessão pública, </w:t>
      </w:r>
      <w:r>
        <w:rPr>
          <w:rFonts w:ascii="Arial" w:hAnsi="Arial"/>
          <w:sz w:val="21"/>
          <w:szCs w:val="21"/>
          <w:shd w:fill="auto" w:val="clear"/>
        </w:rPr>
        <w:t>exclusivamente por meio eletrônico via portal indicado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22.7.1. Consultas a respeito de dúvidas ou esclarecimentos solicitadas fora dos parâmetros descritos no item 22.7. (como, por exemplo, através de “e-mail”), não serão respondidas.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22.9. São partes integrantes deste Edital os seguintes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a) ANEXO I – Termo de Referência;</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b) ANEXO II – Modelo de Proposta de Preços e dados da proponente;</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c) ANEXO III – Declaração de Cumprimento Pleno aos Requisitos de Habilitação;</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d) ANEXO IV – Declaração de Ausência de Condenação;</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e) ANEXO V – Declaração de Ausência de Vínculo;</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f) ANEXO VI – Declaração de Microempresa ou Empresa de Pequeno Porte;</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g) ANEXO VII – Declaração de Enquadramento Receita Bruta;</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h) ANEXO VIII – Declaração de Cumprimento do artigo 7º, inciso XXXIII, da Constituição da República Federativa do Brasil;</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i) ANEXO IX – Declaração Reserva de Cargos;</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j) ANEXO X – Declaração de Integralidade de Custos;</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k) ANEXO XI – Comprovação de Conhecimento das Especificações e Normas para a Execução dos Serviços;</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l) ANEXO XII –  Ata de Registro de Preços</w:t>
      </w:r>
    </w:p>
    <w:p>
      <w:pPr>
        <w:pStyle w:val="Normal"/>
        <w:widowControl/>
        <w:suppressAutoHyphens w:val="true"/>
        <w:bidi w:val="0"/>
        <w:spacing w:lineRule="auto" w:line="276" w:before="0" w:after="0"/>
        <w:ind w:left="0" w:right="0" w:hanging="0"/>
        <w:jc w:val="both"/>
        <w:rPr>
          <w:sz w:val="21"/>
          <w:szCs w:val="21"/>
        </w:rPr>
      </w:pPr>
      <w:r>
        <w:rPr>
          <w:sz w:val="21"/>
          <w:szCs w:val="21"/>
        </w:rPr>
      </w:r>
    </w:p>
    <w:p>
      <w:pPr>
        <w:pStyle w:val="Normal"/>
        <w:widowControl/>
        <w:suppressAutoHyphens w:val="true"/>
        <w:bidi w:val="0"/>
        <w:spacing w:lineRule="auto" w:line="276" w:before="0" w:after="0"/>
        <w:ind w:left="0" w:right="0" w:hanging="0"/>
        <w:jc w:val="both"/>
        <w:rPr>
          <w:sz w:val="21"/>
          <w:szCs w:val="21"/>
        </w:rPr>
      </w:pPr>
      <w:r>
        <w:rPr>
          <w:sz w:val="21"/>
          <w:szCs w:val="21"/>
        </w:rPr>
      </w:r>
    </w:p>
    <w:p>
      <w:pPr>
        <w:pStyle w:val="Normal"/>
        <w:widowControl/>
        <w:suppressAutoHyphens w:val="true"/>
        <w:bidi w:val="0"/>
        <w:spacing w:lineRule="auto" w:line="276" w:before="0" w:after="0"/>
        <w:ind w:left="0" w:right="0" w:hanging="0"/>
        <w:jc w:val="both"/>
        <w:rPr>
          <w:sz w:val="21"/>
          <w:szCs w:val="21"/>
        </w:rPr>
      </w:pPr>
      <w:r>
        <w:rPr>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 xml:space="preserve">Lindóia do Sul </w:t>
      </w:r>
      <w:r>
        <w:rPr>
          <w:rFonts w:ascii="Arial" w:hAnsi="Arial"/>
          <w:sz w:val="21"/>
          <w:szCs w:val="21"/>
        </w:rPr>
        <w:t>16</w:t>
      </w:r>
      <w:r>
        <w:rPr>
          <w:rFonts w:ascii="Arial" w:hAnsi="Arial"/>
          <w:sz w:val="21"/>
          <w:szCs w:val="21"/>
        </w:rPr>
        <w:t xml:space="preserve">, </w:t>
      </w:r>
      <w:r>
        <w:rPr>
          <w:rFonts w:ascii="Arial" w:hAnsi="Arial"/>
          <w:sz w:val="21"/>
          <w:szCs w:val="21"/>
        </w:rPr>
        <w:t xml:space="preserve">outubro </w:t>
      </w:r>
      <w:r>
        <w:rPr>
          <w:rFonts w:ascii="Arial" w:hAnsi="Arial"/>
          <w:sz w:val="21"/>
          <w:szCs w:val="21"/>
        </w:rPr>
        <w:t xml:space="preserve">de </w:t>
      </w:r>
      <w:r>
        <w:rPr>
          <w:rFonts w:ascii="Arial" w:hAnsi="Arial"/>
          <w:sz w:val="21"/>
          <w:szCs w:val="21"/>
        </w:rPr>
        <w:t>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b/>
          <w:bCs/>
          <w:sz w:val="21"/>
          <w:szCs w:val="21"/>
        </w:rPr>
        <w:t>Neudi Angelo Bertol</w:t>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Prefeito Municipal</w:t>
      </w:r>
      <w:r>
        <w:br w:type="page"/>
      </w:r>
    </w:p>
    <w:p>
      <w:pPr>
        <w:pStyle w:val="Normal"/>
        <w:widowControl/>
        <w:suppressAutoHyphens w:val="true"/>
        <w:bidi w:val="0"/>
        <w:spacing w:lineRule="auto" w:line="300" w:before="0" w:after="0"/>
        <w:ind w:left="0" w:right="0" w:hanging="0"/>
        <w:jc w:val="center"/>
        <w:rPr>
          <w:rFonts w:ascii="Arial" w:hAnsi="Arial"/>
        </w:rPr>
      </w:pPr>
      <w:r>
        <w:rPr>
          <w:rFonts w:ascii="Arial" w:hAnsi="Arial"/>
          <w:b/>
          <w:bCs/>
          <w:sz w:val="21"/>
          <w:szCs w:val="21"/>
        </w:rPr>
        <w:t>ANEXO 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rPr>
      </w:pPr>
      <w:r>
        <w:rPr>
          <w:rFonts w:ascii="Arial" w:hAnsi="Arial"/>
          <w:b/>
          <w:bCs/>
          <w:sz w:val="21"/>
          <w:szCs w:val="21"/>
        </w:rPr>
        <w:t>TERMO DE REFERÊNCIA</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276" w:before="0" w:after="0"/>
        <w:ind w:left="0" w:right="0" w:hanging="0"/>
        <w:jc w:val="both"/>
        <w:rPr>
          <w:rFonts w:ascii="Arial" w:hAnsi="Arial"/>
          <w:b/>
          <w:b/>
          <w:bCs/>
          <w:sz w:val="24"/>
          <w:szCs w:val="24"/>
        </w:rPr>
      </w:pPr>
      <w:r>
        <w:rPr>
          <w:rFonts w:ascii="Arial" w:hAnsi="Arial"/>
          <w:b/>
          <w:bCs/>
          <w:sz w:val="24"/>
          <w:szCs w:val="24"/>
        </w:rPr>
      </w:r>
    </w:p>
    <w:p>
      <w:pPr>
        <w:pStyle w:val="Normal"/>
        <w:tabs>
          <w:tab w:val="clear" w:pos="708"/>
          <w:tab w:val="left" w:pos="2340" w:leader="none"/>
          <w:tab w:val="left" w:pos="4464" w:leader="none"/>
        </w:tabs>
        <w:spacing w:lineRule="auto" w:line="360"/>
        <w:jc w:val="center"/>
        <w:rPr>
          <w:rFonts w:ascii="Arial" w:hAnsi="Arial"/>
          <w:b/>
          <w:b/>
          <w:bCs/>
          <w:sz w:val="24"/>
          <w:szCs w:val="24"/>
        </w:rPr>
      </w:pPr>
      <w:r>
        <w:rPr>
          <w:rFonts w:ascii="Arial" w:hAnsi="Arial"/>
          <w:b/>
          <w:bCs/>
          <w:sz w:val="24"/>
          <w:szCs w:val="24"/>
        </w:rPr>
      </w:r>
    </w:p>
    <w:p>
      <w:pPr>
        <w:pStyle w:val="Normal"/>
        <w:tabs>
          <w:tab w:val="clear" w:pos="708"/>
          <w:tab w:val="left" w:pos="2340" w:leader="none"/>
          <w:tab w:val="left" w:pos="4464" w:leader="none"/>
        </w:tabs>
        <w:spacing w:lineRule="auto" w:line="360"/>
        <w:jc w:val="center"/>
        <w:rPr>
          <w:rFonts w:ascii="Arial" w:hAnsi="Arial"/>
        </w:rPr>
      </w:pPr>
      <w:r>
        <w:rPr>
          <w:rFonts w:ascii="Arial" w:hAnsi="Arial"/>
          <w:b/>
          <w:bCs/>
          <w:sz w:val="32"/>
          <w:szCs w:val="32"/>
        </w:rPr>
        <w:t>TERMO DE REFERÊNCIA</w:t>
      </w:r>
    </w:p>
    <w:p>
      <w:pPr>
        <w:pStyle w:val="Normal"/>
        <w:tabs>
          <w:tab w:val="clear" w:pos="708"/>
          <w:tab w:val="left" w:pos="2340" w:leader="none"/>
          <w:tab w:val="left" w:pos="4464" w:leader="none"/>
        </w:tabs>
        <w:spacing w:lineRule="auto" w:line="360"/>
        <w:jc w:val="center"/>
        <w:rPr>
          <w:rFonts w:ascii="Arial" w:hAnsi="Arial"/>
          <w:b/>
          <w:b/>
          <w:bCs/>
          <w:sz w:val="28"/>
          <w:szCs w:val="28"/>
        </w:rPr>
      </w:pPr>
      <w:r>
        <w:rPr>
          <w:rFonts w:ascii="Arial" w:hAnsi="Arial"/>
          <w:b/>
          <w:bCs/>
          <w:sz w:val="28"/>
          <w:szCs w:val="28"/>
        </w:rPr>
      </w:r>
    </w:p>
    <w:p>
      <w:pPr>
        <w:pStyle w:val="Normal"/>
        <w:tabs>
          <w:tab w:val="clear" w:pos="708"/>
          <w:tab w:val="left" w:pos="2340" w:leader="none"/>
          <w:tab w:val="left" w:pos="4464" w:leader="none"/>
        </w:tabs>
        <w:spacing w:lineRule="auto" w:line="360"/>
        <w:jc w:val="center"/>
        <w:rPr>
          <w:rFonts w:ascii="Arial" w:hAnsi="Arial"/>
          <w:b/>
          <w:b/>
          <w:bCs/>
          <w:sz w:val="28"/>
          <w:szCs w:val="28"/>
        </w:rPr>
      </w:pPr>
      <w:r>
        <w:rPr>
          <w:rFonts w:ascii="Arial" w:hAnsi="Arial"/>
          <w:b/>
          <w:bCs/>
          <w:sz w:val="28"/>
          <w:szCs w:val="28"/>
        </w:rPr>
      </w:r>
    </w:p>
    <w:p>
      <w:pPr>
        <w:pStyle w:val="Normal"/>
        <w:tabs>
          <w:tab w:val="clear" w:pos="708"/>
          <w:tab w:val="left" w:pos="2340" w:leader="none"/>
          <w:tab w:val="left" w:pos="4464" w:leader="none"/>
        </w:tabs>
        <w:spacing w:lineRule="auto" w:line="360"/>
        <w:jc w:val="both"/>
        <w:rPr>
          <w:rFonts w:ascii="Arial" w:hAnsi="Arial"/>
        </w:rPr>
      </w:pPr>
      <w:r>
        <w:rPr>
          <w:rFonts w:ascii="Arial" w:hAnsi="Arial"/>
          <w:b/>
          <w:bCs/>
          <w:sz w:val="24"/>
          <w:szCs w:val="24"/>
        </w:rPr>
        <w:t>PARA REALIZAÇÃO DE REGISTRO DE PREÇO NA MODALIDADE PREGÃO PARA EVENTUAL CONTRATAÇÃO, COM FORNECIMENTO PARCELADO, DE GÊNEROS ALIMENTÍCIOS PERECÍVEIS PARA USO DOS ÓRGÃOS OU ENTIDADES DO MUNICÍPIO DE LINDÓIA DO SUL.</w:t>
      </w:r>
    </w:p>
    <w:p>
      <w:pPr>
        <w:pStyle w:val="Normal"/>
        <w:rPr>
          <w:rFonts w:ascii="Arial" w:hAnsi="Arial"/>
        </w:rPr>
      </w:pPr>
      <w:r>
        <w:rPr>
          <w:rFonts w:ascii="Arial" w:hAnsi="Arial"/>
        </w:rPr>
      </w:r>
      <w:r>
        <w:br w:type="page"/>
      </w:r>
    </w:p>
    <w:p>
      <w:pPr>
        <w:pStyle w:val="Normal"/>
        <w:rPr>
          <w:rFonts w:ascii="Arial" w:hAnsi="Arial"/>
          <w:b/>
          <w:b/>
          <w:sz w:val="24"/>
          <w:szCs w:val="24"/>
        </w:rPr>
      </w:pPr>
      <w:r>
        <w:rPr>
          <w:rFonts w:ascii="Arial" w:hAnsi="Arial"/>
          <w:b/>
          <w:sz w:val="24"/>
          <w:szCs w:val="24"/>
        </w:rPr>
      </w:r>
    </w:p>
    <w:p>
      <w:pPr>
        <w:pStyle w:val="ListParagraph"/>
        <w:numPr>
          <w:ilvl w:val="0"/>
          <w:numId w:val="0"/>
        </w:numPr>
        <w:spacing w:lineRule="auto" w:line="360"/>
        <w:ind w:left="425" w:hanging="0"/>
        <w:rPr>
          <w:rFonts w:ascii="Arial" w:hAnsi="Arial"/>
        </w:rPr>
      </w:pPr>
      <w:r>
        <w:rPr>
          <w:rFonts w:ascii="Arial" w:hAnsi="Arial"/>
          <w:b/>
        </w:rPr>
        <w:t>1. DISPOSIÇÕES PRELIMINARES</w:t>
      </w:r>
    </w:p>
    <w:p>
      <w:pPr>
        <w:pStyle w:val="Normal"/>
        <w:tabs>
          <w:tab w:val="clear" w:pos="708"/>
          <w:tab w:val="left" w:pos="2340" w:leader="none"/>
          <w:tab w:val="left" w:pos="4464" w:leader="none"/>
        </w:tabs>
        <w:spacing w:lineRule="auto" w:line="360"/>
        <w:ind w:firstLine="709"/>
        <w:jc w:val="both"/>
        <w:rPr>
          <w:rFonts w:ascii="Arial" w:hAnsi="Arial"/>
        </w:rPr>
      </w:pPr>
      <w:r>
        <w:rPr>
          <w:rFonts w:ascii="Arial" w:hAnsi="Arial"/>
          <w:bCs/>
        </w:rPr>
        <w:t>A fase preparatória da licitação visa planejar e compatibilizar a contratação com as leis orçamentárias, bem como abordar todas as considerações técnicas, mercadológicas e de gestão que podem interferir na contratação.</w:t>
      </w:r>
    </w:p>
    <w:p>
      <w:pPr>
        <w:pStyle w:val="Normal"/>
        <w:tabs>
          <w:tab w:val="clear" w:pos="708"/>
          <w:tab w:val="left" w:pos="2340" w:leader="none"/>
          <w:tab w:val="left" w:pos="4464" w:leader="none"/>
        </w:tabs>
        <w:spacing w:lineRule="auto" w:line="360"/>
        <w:ind w:firstLine="709"/>
        <w:jc w:val="both"/>
        <w:rPr>
          <w:rFonts w:ascii="Arial" w:hAnsi="Arial"/>
        </w:rPr>
      </w:pPr>
      <w:r>
        <w:rPr>
          <w:rFonts w:ascii="Arial" w:hAnsi="Arial"/>
          <w:bCs/>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Assim, o presente Termo de Referência configura-se como parte integrante da instrução do processo licitatório já iniciado para atendimento de demanda das secretarias do município por gêneros alimentícios perecíveis para atendimento da demanda.</w:t>
      </w:r>
    </w:p>
    <w:p>
      <w:pPr>
        <w:pStyle w:val="ListParagraph"/>
        <w:numPr>
          <w:ilvl w:val="0"/>
          <w:numId w:val="0"/>
        </w:numPr>
        <w:spacing w:lineRule="auto" w:line="360" w:before="142" w:after="142"/>
        <w:ind w:left="425" w:hanging="0"/>
        <w:contextualSpacing/>
        <w:rPr>
          <w:rFonts w:ascii="Arial" w:hAnsi="Arial"/>
        </w:rPr>
      </w:pPr>
      <w:r>
        <w:rPr>
          <w:rFonts w:ascii="Arial" w:hAnsi="Arial"/>
          <w:b/>
        </w:rPr>
        <w:t>2.</w:t>
        <w:tab/>
        <w:t>FUNDAMENTAÇÃO DA CONTRATAÇÃO</w:t>
      </w:r>
    </w:p>
    <w:p>
      <w:pPr>
        <w:pStyle w:val="Normal"/>
        <w:spacing w:lineRule="auto" w:line="360" w:before="142" w:after="142"/>
        <w:jc w:val="both"/>
        <w:rPr>
          <w:rFonts w:ascii="Arial" w:hAnsi="Arial"/>
        </w:rPr>
      </w:pPr>
      <w:r>
        <w:rPr>
          <w:rFonts w:ascii="Arial" w:hAnsi="Arial"/>
        </w:rPr>
        <w:tab/>
      </w:r>
      <w:r>
        <w:rPr>
          <w:rFonts w:eastAsia="Times New Roman" w:ascii="Arial" w:hAnsi="Arial"/>
          <w:color w:val="000000"/>
          <w:highlight w:val="white"/>
        </w:rPr>
        <w:t xml:space="preserve">A presente licitação se faz </w:t>
      </w:r>
      <w:r>
        <w:rPr>
          <w:rFonts w:eastAsia="Times New Roman" w:ascii="Arial" w:hAnsi="Arial"/>
          <w:color w:val="000000"/>
          <w:highlight w:val="white"/>
          <w:lang w:eastAsia="pt-BR"/>
        </w:rPr>
        <w:t>necessária para as Secretaria de Infraestrutura e Transportes, Secretaria de Agricultura e Meio Ambiente, Secretaria de Administração e Finanças, Secretaria de Saúde, Secretaria Municipal de Assistência Social, e Gabinete do Prefeito, visando o atendimento da alimentação</w:t>
      </w:r>
      <w:r>
        <w:rPr>
          <w:rFonts w:eastAsia="Times New Roman" w:ascii="Arial" w:hAnsi="Arial"/>
          <w:color w:val="000000"/>
          <w:highlight w:val="white"/>
        </w:rPr>
        <w:t>. Secretaria de Infraestrutura e Transportes juntamente com a Secretaria de Agricultura e Meio Ambiente, se faz necessário para preparação de refeição dos servidores públicos municipais que necessitam almoçar no local de trabalho, quando da realização de serviços nas comunidades do interior do município, nos casos em que a distância inviabiliza o retorno dos mesmos às respectivas residências neste horário também para a Secretaria de Agricultura e Meio Ambiente quando da realização de cursos para os agricultores no município, e para a comemoração ao dia do colono e motorista dia 25 de julho; para a Secretaria de Administração e Finanças, justifica-se a aquisição para realização de algum evento organizado pela administração, como o Dia do Servidor, entre outros, para o Gabinete do Prefeito em comemoração ao dia internacional da mulher comemorado em 08 de março; Secretaria Municipal de Assistência Social, para a composição de lanches e almoços destinados a s crianças e adolescentes que participam do SCFV no CRAS e outras atividades desenvolvidas pela Secretaria; Secretaria Municipal de Saúde quando da realização de campanhas e cursos na Unidade Básica de Saúde.</w:t>
      </w:r>
    </w:p>
    <w:p>
      <w:pPr>
        <w:pStyle w:val="Normal"/>
        <w:suppressAutoHyphens w:val="false"/>
        <w:spacing w:lineRule="auto" w:line="360" w:before="142" w:after="142"/>
        <w:ind w:firstLine="709"/>
        <w:jc w:val="both"/>
        <w:rPr>
          <w:rFonts w:ascii="Arial" w:hAnsi="Arial"/>
        </w:rPr>
      </w:pPr>
      <w:r>
        <w:rPr>
          <w:rFonts w:eastAsia="Times New Roman" w:ascii="Arial" w:hAnsi="Arial"/>
          <w:lang w:eastAsia="pt-BR"/>
        </w:rPr>
        <w:t>Ressaltamos que os itens contidos neste termo não estão disponíveis no CINCATARINA e CVC, por isso da necessidade de se fazer uma Licitação no município.</w:t>
      </w:r>
    </w:p>
    <w:p>
      <w:pPr>
        <w:pStyle w:val="Normal"/>
        <w:widowControl w:val="false"/>
        <w:suppressAutoHyphens w:val="false"/>
        <w:spacing w:lineRule="auto" w:line="360" w:before="142" w:after="142"/>
        <w:ind w:firstLine="709"/>
        <w:jc w:val="both"/>
        <w:rPr>
          <w:rFonts w:ascii="Arial" w:hAnsi="Arial"/>
        </w:rPr>
      </w:pPr>
      <w:r>
        <w:rPr>
          <w:rFonts w:eastAsia="Times New Roman" w:ascii="Arial" w:hAnsi="Arial"/>
          <w:color w:val="000000"/>
          <w:highlight w:val="white"/>
          <w:lang w:eastAsia="pt-BR"/>
        </w:rPr>
        <w:t>Justifica-se a adoção do Sistema de Registro de Preços por se tratar de gêneros alimentícios cuja necessidade dar-se-á de forma variada e parcelada, além disso, a natureza do objeto não permite a definição prévia e exata do quantitativo demandado pela Administração.</w:t>
      </w:r>
      <w:r>
        <w:rPr>
          <w:rFonts w:eastAsia="NSimSun" w:ascii="Arial" w:hAnsi="Arial"/>
        </w:rPr>
        <w:t xml:space="preserve"> </w:t>
      </w:r>
    </w:p>
    <w:p>
      <w:pPr>
        <w:pStyle w:val="CimTextoNormal"/>
        <w:numPr>
          <w:ilvl w:val="0"/>
          <w:numId w:val="0"/>
        </w:numPr>
        <w:spacing w:before="142" w:after="142"/>
        <w:ind w:left="0" w:hanging="0"/>
        <w:contextualSpacing/>
        <w:rPr>
          <w:rFonts w:ascii="Arial" w:hAnsi="Arial"/>
        </w:rPr>
      </w:pPr>
      <w:r>
        <w:rPr>
          <w:rFonts w:ascii="Arial" w:hAnsi="Arial"/>
          <w:b/>
          <w:bCs/>
          <w:sz w:val="24"/>
          <w:szCs w:val="24"/>
        </w:rPr>
        <w:t>2.1.</w:t>
        <w:tab/>
        <w:t>PROCEDIMENTO A SER REALIZADO PARA AQUISIÇÃO DO OBJETO</w:t>
      </w:r>
    </w:p>
    <w:p>
      <w:pPr>
        <w:pStyle w:val="Normal"/>
        <w:spacing w:lineRule="auto" w:line="360" w:before="142" w:after="142"/>
        <w:ind w:firstLine="709"/>
        <w:jc w:val="both"/>
        <w:rPr>
          <w:rFonts w:ascii="Arial" w:hAnsi="Arial"/>
        </w:rPr>
      </w:pPr>
      <w:r>
        <w:rPr>
          <w:rFonts w:ascii="Arial" w:hAnsi="Arial"/>
        </w:rPr>
        <w:t xml:space="preserve">A partir da definição de que a aquisição do objeto supracitado realiza o atendimento da demanda exposta, cumpre analisar as opções sobre o modo pelo qual o município irá </w:t>
      </w:r>
      <w:r>
        <w:rPr>
          <w:rFonts w:ascii="Arial" w:hAnsi="Arial"/>
          <w:color w:val="000000"/>
        </w:rPr>
        <w:t>disponibilizar a sua contratação aos seus órgãos ou entidades.</w:t>
      </w:r>
    </w:p>
    <w:p>
      <w:pPr>
        <w:pStyle w:val="Normal"/>
        <w:spacing w:lineRule="auto" w:line="360" w:before="142" w:after="142"/>
        <w:ind w:firstLine="709"/>
        <w:jc w:val="both"/>
        <w:rPr>
          <w:rFonts w:ascii="Arial" w:hAnsi="Arial"/>
        </w:rPr>
      </w:pPr>
      <w:r>
        <w:rPr>
          <w:rFonts w:ascii="Arial" w:hAnsi="Arial"/>
          <w:color w:val="000000"/>
        </w:rPr>
        <w:t>De início, destaca-se que, nos termos da regulamentação do município, os itens a serem licitados serão de qualidade comum, não superior à necessária para cumprir as finalidades às quais se destinam, razão pela qual sua aquisição encontra-se autorizada, conforme disposição do art. 20 da Lei Federal n. 14.133/2021.</w:t>
      </w:r>
    </w:p>
    <w:p>
      <w:pPr>
        <w:pStyle w:val="Normal"/>
        <w:spacing w:lineRule="auto" w:line="360" w:before="142" w:after="142"/>
        <w:ind w:firstLine="709"/>
        <w:jc w:val="both"/>
        <w:rPr>
          <w:rFonts w:ascii="Arial" w:hAnsi="Arial"/>
        </w:rPr>
      </w:pPr>
      <w:r>
        <w:rPr>
          <w:rFonts w:ascii="Arial" w:hAnsi="Arial"/>
          <w:color w:val="000000"/>
        </w:rPr>
        <w:t xml:space="preserve">Descarta-se, sumariamente, </w:t>
        <w:tab/>
        <w:t xml:space="preserve">a realização de contratação direta pelo município para aquisição dos bens, eis que não enquadrável em qualquer das hipóteses previstas nos arts. 74 e 75 da Lei Federal n. 14.133/2021. Especialmente quanto às hipóteses em que a licitação seria inexigível pela inviabilidade de competição, verificou-se na pesquisa de preços realizada a existência de ampla variedade de fornecedores para os diversos itens que constituirão o objeto deste processo licitatório, viabilizando, assim, a sua competitividade. </w:t>
      </w:r>
    </w:p>
    <w:p>
      <w:pPr>
        <w:pStyle w:val="Normal"/>
        <w:spacing w:lineRule="auto" w:line="360" w:before="142" w:after="142"/>
        <w:ind w:firstLine="709"/>
        <w:jc w:val="both"/>
        <w:rPr>
          <w:rFonts w:ascii="Arial" w:hAnsi="Arial"/>
        </w:rPr>
      </w:pPr>
      <w:r>
        <w:rPr>
          <w:rFonts w:ascii="Arial" w:hAnsi="Arial"/>
          <w:color w:val="000000"/>
        </w:rPr>
        <w:t xml:space="preserve">A respeito da possibilidade de realização de credenciamento, verifica-se que o presente caso não se subsume a qualquer das situações previstas no </w:t>
      </w:r>
      <w:r>
        <w:rPr>
          <w:rFonts w:ascii="Arial" w:hAnsi="Arial"/>
          <w:i/>
          <w:iCs/>
          <w:color w:val="000000"/>
        </w:rPr>
        <w:t>caput</w:t>
      </w:r>
      <w:r>
        <w:rPr>
          <w:rFonts w:ascii="Arial" w:hAnsi="Arial"/>
          <w:color w:val="000000"/>
        </w:rPr>
        <w:t xml:space="preserve"> do art. 79 da Lei Federal n. 14.133/2021, eis que, respectivamente: a) não é vantajosa para a Administração a realização de contratações em condições padronizadas, especialmente quanto ao preço dos itens, em razão do detrimento da economia de escala; b) os bens serão utilizados diretamente pela administração pública, não sendo possível a seleção pelo beneficiário da prestação; e c) não há flutuação constante do valor da prestação e das condições de contratação deste bem.</w:t>
      </w:r>
    </w:p>
    <w:p>
      <w:pPr>
        <w:pStyle w:val="Normal"/>
        <w:spacing w:lineRule="auto" w:line="360" w:before="142" w:after="142"/>
        <w:ind w:firstLine="709"/>
        <w:jc w:val="both"/>
        <w:rPr>
          <w:rFonts w:ascii="Arial" w:hAnsi="Arial"/>
        </w:rPr>
      </w:pPr>
      <w:r>
        <w:rPr>
          <w:rFonts w:ascii="Arial" w:hAnsi="Arial"/>
          <w:color w:val="000000"/>
        </w:rPr>
        <w:t xml:space="preserve">Assim, não se configurando hipótese de contratação direta, tampouco do procedimento auxiliar de credenciamento, imperioso o cumprimento do dever constitucional de realização de licitação, a qual ocorrerá na modalidade pregão, visto que, nos termos do art. 6º, inciso XLI, e do art. 29, </w:t>
      </w:r>
      <w:r>
        <w:rPr>
          <w:rFonts w:ascii="Arial" w:hAnsi="Arial"/>
          <w:i/>
          <w:iCs/>
          <w:color w:val="000000"/>
        </w:rPr>
        <w:t>caput</w:t>
      </w:r>
      <w:r>
        <w:rPr>
          <w:rFonts w:ascii="Arial" w:hAnsi="Arial"/>
          <w:color w:val="000000"/>
        </w:rPr>
        <w:t>, da Lei Federal n. 14.133/2021, configura-se como “modalidade de licitação obrigatória para aquisição de bens e serviços comuns” e deve ser adotado “sempre que o objeto possuir padrões de desempenho e qualidade que possam ser objetivamente definidos pelo edital, por meio de especificações usuais de mercado”, situação evidente no presente cenário em razão do objeto licitado: bem de natureza comum, podendo ser objetivamente definido no edital.</w:t>
      </w:r>
    </w:p>
    <w:p>
      <w:pPr>
        <w:pStyle w:val="Normal"/>
        <w:spacing w:lineRule="auto" w:line="360" w:before="142" w:after="142"/>
        <w:ind w:firstLine="709"/>
        <w:jc w:val="both"/>
        <w:rPr>
          <w:rFonts w:ascii="Arial" w:hAnsi="Arial"/>
        </w:rPr>
      </w:pPr>
      <w:r>
        <w:rPr>
          <w:rFonts w:ascii="Arial" w:hAnsi="Arial"/>
          <w:color w:val="000000"/>
        </w:rPr>
        <w:t>Realizando-se a licitação pela modalidade pregão, o art. 6º, inciso XLI, da Lei Federal n. 14.133/2021 dispõe que, discricionariamente, o seu “critério de julgamento poderá ser o de menor preço ou o de maior desconto”, optando-se, no presente caso, pelo critério de menor preço, nos termos do art. 24, parágrafo único, da Lei Federal n. 14.133/2021.</w:t>
      </w:r>
    </w:p>
    <w:p>
      <w:pPr>
        <w:pStyle w:val="Normal"/>
        <w:spacing w:lineRule="auto" w:line="360" w:before="142" w:after="142"/>
        <w:ind w:firstLine="709"/>
        <w:jc w:val="both"/>
        <w:rPr>
          <w:rFonts w:ascii="Arial" w:hAnsi="Arial"/>
        </w:rPr>
      </w:pPr>
      <w:r>
        <w:rPr>
          <w:rFonts w:ascii="Arial" w:hAnsi="Arial"/>
          <w:color w:val="000000"/>
        </w:rPr>
        <w:t xml:space="preserve">Ocorre que, tratando-se da aquisição, por órgãos e entidades do município, de uma diversidade de itens para atendimento de suas demandas internas, imediatas ou não, as quais podem variar em quantidade no decorrer do tempo, verifica-se que, para a mais adequada satisfação da demanda apresentada, em termos quantitativos e temporais, torna-se imperiosa a utilização do Sistema de Registro de Preços (SRP). </w:t>
      </w:r>
    </w:p>
    <w:p>
      <w:pPr>
        <w:pStyle w:val="Normal"/>
        <w:spacing w:lineRule="auto" w:line="360" w:before="142" w:after="142"/>
        <w:ind w:firstLine="709"/>
        <w:jc w:val="both"/>
        <w:rPr>
          <w:rFonts w:ascii="Arial" w:hAnsi="Arial"/>
        </w:rPr>
      </w:pPr>
      <w:r>
        <w:rPr>
          <w:rFonts w:ascii="Arial" w:hAnsi="Arial"/>
          <w:color w:val="000000"/>
        </w:rPr>
        <w:t>O Sistema de Registro de Preços é definido pelo art. 6º, inciso XLV, da Lei Federal n. 14.133/2021 como o “conjunto de procedimentos para realização, mediante contratação direta ou licitação nas modalidades pregão ou concorrência, de registro formal de preços relativos à prestação de serviços, a obras e a aquisição e locação de bens para contratações futuras”. Sua principal vantagem está no fato de que a “existência de preços registrados implicará compromisso de fornecimento nas condições estabelecidas, mas não obrigará a Administração a contratar” (art. 83 da Lei Federal n. 14.133/2021). Com isso, permite-se que a administração adquira os bens conforme a manifestação da demanda durante o prazo de vigência da ata de registro de preços, resultado do processo licitatório, o qual “será de 1 (um) ano e poderá ser prorrogado, por igual período” (art. 84 da Lei Federal n. 14.133/2021), garantindo o fornecimento contínuo de bens para atendimento da demanda, presente e futura, do município.</w:t>
      </w:r>
    </w:p>
    <w:p>
      <w:pPr>
        <w:pStyle w:val="Normal"/>
        <w:spacing w:lineRule="auto" w:line="360" w:before="142" w:after="142"/>
        <w:ind w:firstLine="709"/>
        <w:jc w:val="both"/>
        <w:rPr>
          <w:rFonts w:ascii="Arial" w:hAnsi="Arial"/>
        </w:rPr>
      </w:pPr>
      <w:r>
        <w:rPr>
          <w:rFonts w:ascii="Arial" w:hAnsi="Arial"/>
          <w:color w:val="000000"/>
        </w:rPr>
        <w:t>No âmbito de atuação do município, o Sistema de Registro de Preços encontra-se regulamentado pelo Decreto nº 4.072.</w:t>
      </w:r>
    </w:p>
    <w:p>
      <w:pPr>
        <w:pStyle w:val="Normal"/>
        <w:spacing w:lineRule="auto" w:line="360" w:before="142" w:after="142"/>
        <w:ind w:firstLine="709"/>
        <w:jc w:val="both"/>
        <w:rPr>
          <w:rFonts w:ascii="Arial" w:hAnsi="Arial"/>
        </w:rPr>
      </w:pPr>
      <w:r>
        <w:rPr>
          <w:rFonts w:ascii="Arial" w:hAnsi="Arial"/>
          <w:color w:val="000000"/>
        </w:rPr>
        <w:t xml:space="preserve">Nesse modelo licitatório, existem duas etapas. A primeira, centralizada, é realizada de forma centralizada pelo município, voltada ao planejamento, seleção do fornecedor e, tratando-se de SRP, formalização da ata de registro de preços. A segunda, descentralizada, é voltada na aquisição efetiva dos bens e serviços pelos diversos órgãos e entidades do município, denominados Órgãos Participantes, sob sua gestão e responsabilidade. </w:t>
      </w:r>
    </w:p>
    <w:p>
      <w:pPr>
        <w:pStyle w:val="Normal"/>
        <w:spacing w:lineRule="auto" w:line="360" w:before="142" w:after="142"/>
        <w:ind w:firstLine="709"/>
        <w:jc w:val="both"/>
        <w:rPr>
          <w:rFonts w:ascii="Arial" w:hAnsi="Arial"/>
        </w:rPr>
      </w:pPr>
      <w:r>
        <w:rPr>
          <w:rFonts w:ascii="Arial" w:hAnsi="Arial"/>
          <w:bCs/>
          <w:color w:val="000000"/>
        </w:rPr>
        <w:t>Ante o exposto, verifica-se que o procedimento licitatório mais adequado e que será realizado para a aquisição do objeto supracitado é a r</w:t>
      </w:r>
      <w:r>
        <w:rPr>
          <w:rFonts w:ascii="Arial" w:hAnsi="Arial"/>
          <w:bCs/>
        </w:rPr>
        <w:t xml:space="preserve">ealização de licitação, na modalidade pregão, pelo critério de menor preço e auxiliada pelo sistema de registro de preços, </w:t>
      </w:r>
      <w:r>
        <w:rPr>
          <w:rFonts w:ascii="Arial" w:hAnsi="Arial"/>
          <w:bCs/>
          <w:color w:val="000000"/>
        </w:rPr>
        <w:t>atuando o município como Órgão Gerenciador.</w:t>
      </w:r>
    </w:p>
    <w:p>
      <w:pPr>
        <w:pStyle w:val="Normal"/>
        <w:spacing w:lineRule="auto" w:line="360" w:before="142" w:after="142"/>
        <w:ind w:firstLine="709"/>
        <w:jc w:val="both"/>
        <w:rPr>
          <w:rFonts w:ascii="Arial" w:hAnsi="Arial"/>
        </w:rPr>
      </w:pPr>
      <w:r>
        <w:rPr>
          <w:rFonts w:ascii="Arial" w:hAnsi="Arial"/>
          <w:bCs/>
        </w:rPr>
        <w:t>Tratando-se de processo licitatório visando o registro de preço dos itens listados, a estimativa total de quantidades para a contratação é definida através da realização do procedimento público de intenção para registro de preços (IRP), previsto no art. 86 da Lei Federal 14.133/2021.</w:t>
      </w:r>
    </w:p>
    <w:p>
      <w:pPr>
        <w:pStyle w:val="Normal"/>
        <w:spacing w:lineRule="auto" w:line="360" w:before="142" w:after="142"/>
        <w:ind w:left="1440" w:firstLine="720"/>
        <w:jc w:val="both"/>
        <w:rPr>
          <w:rFonts w:ascii="Arial" w:hAnsi="Arial"/>
        </w:rPr>
      </w:pPr>
      <w:r>
        <w:rPr>
          <w:rFonts w:ascii="Arial" w:hAnsi="Arial"/>
          <w:bCs/>
        </w:rPr>
        <w:t>Art.86. O órgão ou entidade gerenciadora deverá, na fase preparatória do processo licitatório, para fins de registro de preços, realizar procedimento público de intenção de registro de preços para, nos termos de regulamento, possibilitar, pelo prazo mínimo de 8(oito) dias úteis, a participação de outros órgãos ou entidades na respectiva ata e determinar a estimativa total de quantidades da contratação.</w:t>
      </w:r>
    </w:p>
    <w:p>
      <w:pPr>
        <w:pStyle w:val="Normal"/>
        <w:spacing w:lineRule="auto" w:line="360" w:before="142" w:after="142"/>
        <w:ind w:firstLine="709"/>
        <w:jc w:val="both"/>
        <w:rPr>
          <w:rFonts w:ascii="Arial" w:hAnsi="Arial"/>
        </w:rPr>
      </w:pPr>
      <w:r>
        <w:rPr>
          <w:rFonts w:ascii="Arial" w:hAnsi="Arial"/>
          <w:bCs/>
        </w:rPr>
        <w:t xml:space="preserve">Destaca-se que este procedimento se encontra regulamentado no âmbito do município pelo decreto nº 4.072, cito o Art. 118, § 1º: </w:t>
      </w:r>
    </w:p>
    <w:p>
      <w:pPr>
        <w:pStyle w:val="Normal"/>
        <w:spacing w:lineRule="auto" w:line="360" w:before="142" w:after="142"/>
        <w:ind w:firstLine="709"/>
        <w:jc w:val="both"/>
        <w:rPr>
          <w:rFonts w:ascii="Arial" w:hAnsi="Arial"/>
        </w:rPr>
      </w:pPr>
      <w:r>
        <w:rPr>
          <w:rFonts w:ascii="Arial" w:hAnsi="Arial"/>
          <w:bCs/>
        </w:rPr>
        <w:t xml:space="preserve">§ 1º O procedimento público de intenção de registro de preços poderá ser dispensada, de forma justificada pelo Órgão Gerenciador, quando for o único contratante ou de interesse restrito a órgãos ou entidades específicas da Administração. </w:t>
      </w:r>
    </w:p>
    <w:p>
      <w:pPr>
        <w:pStyle w:val="Normal"/>
        <w:spacing w:lineRule="auto" w:line="360" w:before="142" w:after="142"/>
        <w:ind w:firstLine="709"/>
        <w:jc w:val="both"/>
        <w:rPr>
          <w:rFonts w:ascii="Arial" w:hAnsi="Arial"/>
        </w:rPr>
      </w:pPr>
      <w:r>
        <w:rPr>
          <w:rFonts w:ascii="Arial" w:hAnsi="Arial"/>
          <w:bCs/>
        </w:rPr>
        <w:t xml:space="preserve">No caso desta municipalidade,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o município a qualidade de outro órgão gerenciador.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Tratando-se de processo licitatório visando o registro de preço dos itens listados, a estimativa total de quantidades para contratação foi definida através da demanda do município. Dessa forma que se encontra plenamente confirmada pelos próprios órgãos a necessidade de contratação apresentada, cujos quantitativos encontram-se discriminados nas páginas seguintes.</w:t>
      </w:r>
    </w:p>
    <w:p>
      <w:pPr>
        <w:pStyle w:val="ListParagraph"/>
        <w:numPr>
          <w:ilvl w:val="0"/>
          <w:numId w:val="0"/>
        </w:numPr>
        <w:spacing w:lineRule="auto" w:line="360" w:before="142" w:after="142"/>
        <w:ind w:left="0" w:hanging="0"/>
        <w:contextualSpacing/>
        <w:jc w:val="both"/>
        <w:rPr>
          <w:rFonts w:ascii="Arial" w:hAnsi="Arial"/>
        </w:rPr>
      </w:pPr>
      <w:r>
        <w:rPr>
          <w:rFonts w:ascii="Arial" w:hAnsi="Arial"/>
          <w:b/>
        </w:rPr>
        <w:t>2.2.</w:t>
        <w:tab/>
        <w:t xml:space="preserve">DISPENSA DE ESTUDO TÉCNICO PRELIMINAR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Prevê o art. 47, § 1º, inciso VI no decreto municipal nº 4.072 de 11 de janeiro de 2024:</w:t>
      </w:r>
    </w:p>
    <w:p>
      <w:pPr>
        <w:pStyle w:val="Normal"/>
        <w:tabs>
          <w:tab w:val="clear" w:pos="708"/>
          <w:tab w:val="left" w:pos="2340" w:leader="none"/>
          <w:tab w:val="left" w:pos="4464" w:leader="none"/>
        </w:tabs>
        <w:spacing w:lineRule="auto" w:line="240"/>
        <w:ind w:left="3402" w:hanging="0"/>
        <w:jc w:val="both"/>
        <w:rPr>
          <w:rFonts w:ascii="Arial" w:hAnsi="Arial"/>
        </w:rPr>
      </w:pPr>
      <w:r>
        <w:rPr>
          <w:rFonts w:ascii="Arial" w:hAnsi="Arial"/>
          <w:bCs/>
          <w:sz w:val="18"/>
          <w:szCs w:val="18"/>
        </w:rPr>
        <w:t>§ 1º – Dentre outas hipóteses devidamente justificadas nos termos do caput deste artigo, está dispensada a realização do Estudo Técnico Preliminar para as seguintes contratações, dentre outras:</w:t>
      </w:r>
    </w:p>
    <w:p>
      <w:pPr>
        <w:pStyle w:val="Normal"/>
        <w:tabs>
          <w:tab w:val="clear" w:pos="708"/>
          <w:tab w:val="left" w:pos="2340" w:leader="none"/>
          <w:tab w:val="left" w:pos="4464" w:leader="none"/>
        </w:tabs>
        <w:spacing w:lineRule="auto" w:line="240"/>
        <w:ind w:left="3402" w:hanging="0"/>
        <w:jc w:val="both"/>
        <w:rPr>
          <w:rFonts w:ascii="Arial" w:hAnsi="Arial"/>
        </w:rPr>
      </w:pPr>
      <w:r>
        <w:rPr>
          <w:rFonts w:ascii="Arial" w:hAnsi="Arial"/>
          <w:bCs/>
          <w:sz w:val="18"/>
          <w:szCs w:val="18"/>
        </w:rPr>
        <w:t>[...]</w:t>
      </w:r>
    </w:p>
    <w:p>
      <w:pPr>
        <w:pStyle w:val="Normal"/>
        <w:tabs>
          <w:tab w:val="clear" w:pos="708"/>
          <w:tab w:val="left" w:pos="2340" w:leader="none"/>
          <w:tab w:val="left" w:pos="4464" w:leader="none"/>
        </w:tabs>
        <w:spacing w:lineRule="auto" w:line="240"/>
        <w:ind w:left="3402" w:hanging="0"/>
        <w:jc w:val="both"/>
        <w:rPr>
          <w:rFonts w:ascii="Arial" w:hAnsi="Arial"/>
        </w:rPr>
      </w:pPr>
      <w:r>
        <w:rPr>
          <w:rFonts w:ascii="Arial" w:hAnsi="Arial"/>
          <w:bCs/>
          <w:sz w:val="18"/>
          <w:szCs w:val="18"/>
        </w:rPr>
        <w:t>VI – Fornecimento de gêneros alimentícios, inclusive, cesta de alimentos.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Nos termos do dispositivo citado, a obrigatoriedade recai somente sobre o documento de formalização de demanda, já devidamente acostado aos autos deste processo.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Assim, </w:t>
      </w:r>
      <w:r>
        <w:rPr>
          <w:rFonts w:ascii="Arial" w:hAnsi="Arial"/>
        </w:rPr>
        <w:t>considerando que o objeto da presente contratação é classificado com um bem de consumo comum, a sua especificação é realizada de modo suficiente neste termo de referência, razão pela qual afasta-se a elaboração de projeto básico e de projeto executivo.</w:t>
      </w:r>
    </w:p>
    <w:p>
      <w:pPr>
        <w:pStyle w:val="ListParagraph"/>
        <w:numPr>
          <w:ilvl w:val="0"/>
          <w:numId w:val="0"/>
        </w:numPr>
        <w:tabs>
          <w:tab w:val="clear" w:pos="708"/>
          <w:tab w:val="left" w:pos="2340" w:leader="none"/>
          <w:tab w:val="left" w:pos="4464" w:leader="none"/>
        </w:tabs>
        <w:spacing w:lineRule="auto" w:line="360"/>
        <w:ind w:left="0" w:hanging="0"/>
        <w:jc w:val="both"/>
        <w:rPr>
          <w:rFonts w:ascii="Arial" w:hAnsi="Arial"/>
        </w:rPr>
      </w:pPr>
      <w:r>
        <w:rPr>
          <w:rFonts w:ascii="Arial" w:hAnsi="Arial"/>
          <w:b/>
        </w:rPr>
        <w:t>2.3. PROVIDÊNCIAS A SEREM ADOTADAS PELA ADMINISTRAÇÃO E CONTRATAÇÕES CORRELATAS E/OU INTERDEPENDENTES</w:t>
      </w:r>
    </w:p>
    <w:p>
      <w:pPr>
        <w:pStyle w:val="Normal"/>
        <w:spacing w:lineRule="auto" w:line="360" w:before="142" w:after="142"/>
        <w:ind w:firstLine="709"/>
        <w:jc w:val="both"/>
        <w:rPr>
          <w:rFonts w:ascii="Arial" w:hAnsi="Arial"/>
        </w:rPr>
      </w:pPr>
      <w:r>
        <w:rPr>
          <w:rFonts w:eastAsia="Times New Roman" w:ascii="Arial" w:hAnsi="Arial"/>
          <w:color w:val="000000"/>
          <w:lang w:eastAsia="pt-BR"/>
        </w:rPr>
        <w:t>Tendo em vista a natureza da contratação almejada, não se configura necessária a elaboração de cronograma para adequação de ambientes visando o início da prestação dos serviços.</w:t>
      </w:r>
    </w:p>
    <w:p>
      <w:pPr>
        <w:pStyle w:val="Normal"/>
        <w:spacing w:lineRule="auto" w:line="360" w:before="142" w:after="142"/>
        <w:jc w:val="both"/>
        <w:rPr>
          <w:rFonts w:ascii="Arial" w:hAnsi="Arial"/>
        </w:rPr>
      </w:pPr>
      <w:r>
        <w:rPr>
          <w:rFonts w:eastAsia="Times New Roman" w:ascii="Arial" w:hAnsi="Arial"/>
          <w:bCs/>
          <w:color w:val="000000"/>
          <w:lang w:eastAsia="pt-BR"/>
        </w:rPr>
        <w:tab/>
        <w:t>Ainda, entende-se que a aquisição em tela não traz à tona novas peculiaridades que justifiquem a necessidade de capacitação específica para o acompanhamento da prestação dos serviços.</w:t>
      </w:r>
    </w:p>
    <w:p>
      <w:pPr>
        <w:pStyle w:val="Normal"/>
        <w:spacing w:lineRule="auto" w:line="360" w:before="142" w:after="142"/>
        <w:ind w:firstLine="709"/>
        <w:jc w:val="both"/>
        <w:rPr>
          <w:rFonts w:ascii="Arial" w:hAnsi="Arial"/>
        </w:rPr>
      </w:pPr>
      <w:r>
        <w:rPr>
          <w:rFonts w:ascii="Arial" w:hAnsi="Arial"/>
          <w:bCs/>
        </w:rPr>
        <w:t>Ainda nos ensinamentos de Marçal Justen Filho, sobre o conteúdo previsto no art. 18, § 1º, inciso XI, da Lei Federal n. 14.133/2021, verifica-se que:</w:t>
      </w:r>
      <w:r>
        <w:rPr>
          <w:rStyle w:val="Ncoradanotaderodap"/>
          <w:rFonts w:ascii="Arial" w:hAnsi="Arial"/>
          <w:bCs/>
        </w:rPr>
        <w:footnoteReference w:id="2"/>
      </w:r>
      <w:r>
        <w:rPr>
          <w:rFonts w:ascii="Arial" w:hAnsi="Arial"/>
          <w:bCs/>
        </w:rPr>
        <w:t xml:space="preserve"> </w:t>
      </w:r>
    </w:p>
    <w:p>
      <w:pPr>
        <w:pStyle w:val="Normal"/>
        <w:spacing w:lineRule="auto" w:line="240" w:before="142" w:after="142"/>
        <w:ind w:left="3402" w:hanging="0"/>
        <w:jc w:val="both"/>
        <w:rPr>
          <w:rFonts w:ascii="Arial" w:hAnsi="Arial"/>
        </w:rPr>
      </w:pPr>
      <w:r>
        <w:rPr>
          <w:rFonts w:ascii="Arial" w:hAnsi="Arial"/>
          <w:bCs/>
          <w:sz w:val="18"/>
          <w:szCs w:val="18"/>
        </w:rPr>
        <w:t>As contratações correlatas são aquelas que versam sobre objeto similar ou complementar. As interdependentes são aquelas cuja execução possa afetar ou ser afetada pela contratação examinada. [...] Tais contratações podem ser passadas, contemporâneas ou futuras, sendo pertinente tomar em vista a sua existência ou os seus efeitos para obter o melhor resultado possível no procedimento licitatório a ser realizado.</w:t>
      </w:r>
    </w:p>
    <w:p>
      <w:pPr>
        <w:pStyle w:val="Normal"/>
        <w:spacing w:lineRule="auto" w:line="360" w:before="142" w:after="142"/>
        <w:jc w:val="both"/>
        <w:rPr>
          <w:rFonts w:ascii="Arial" w:hAnsi="Arial"/>
        </w:rPr>
      </w:pPr>
      <w:r>
        <w:rPr>
          <w:rFonts w:ascii="Arial" w:hAnsi="Arial"/>
        </w:rPr>
        <w:tab/>
        <w:t>Não há que se falar em contratações correlatas e/ou interdependentes no que tange ao presente objeto da contratação.</w:t>
      </w:r>
    </w:p>
    <w:p>
      <w:pPr>
        <w:pStyle w:val="ListParagraph"/>
        <w:numPr>
          <w:ilvl w:val="0"/>
          <w:numId w:val="0"/>
        </w:numPr>
        <w:spacing w:lineRule="auto" w:line="360" w:before="142" w:after="142"/>
        <w:ind w:left="0" w:hanging="0"/>
        <w:contextualSpacing/>
        <w:rPr>
          <w:rFonts w:ascii="Arial" w:hAnsi="Arial"/>
        </w:rPr>
      </w:pPr>
      <w:r>
        <w:rPr>
          <w:rFonts w:ascii="Arial" w:hAnsi="Arial"/>
          <w:b/>
        </w:rPr>
        <w:t>3.</w:t>
        <w:tab/>
        <w:t>DEFINIÇÃO DO OBJETO</w:t>
      </w:r>
    </w:p>
    <w:p>
      <w:pPr>
        <w:pStyle w:val="ListParagraph"/>
        <w:numPr>
          <w:ilvl w:val="0"/>
          <w:numId w:val="0"/>
        </w:numPr>
        <w:spacing w:lineRule="auto" w:line="360" w:before="142" w:after="142"/>
        <w:ind w:left="0" w:hanging="0"/>
        <w:contextualSpacing/>
        <w:rPr>
          <w:rFonts w:ascii="Arial" w:hAnsi="Arial"/>
        </w:rPr>
      </w:pPr>
      <w:r>
        <w:rPr>
          <w:rFonts w:ascii="Arial" w:hAnsi="Arial"/>
          <w:b/>
        </w:rPr>
        <w:t>3.1.</w:t>
        <w:tab/>
        <w:t>OBJETO</w:t>
      </w:r>
    </w:p>
    <w:p>
      <w:pPr>
        <w:pStyle w:val="Normal"/>
        <w:spacing w:lineRule="auto" w:line="360" w:before="142" w:after="142"/>
        <w:jc w:val="both"/>
        <w:rPr>
          <w:rFonts w:ascii="Arial" w:hAnsi="Arial"/>
        </w:rPr>
      </w:pPr>
      <w:r>
        <w:rPr>
          <w:rFonts w:eastAsia="Times New Roman" w:ascii="Arial" w:hAnsi="Arial"/>
          <w:color w:val="000000"/>
          <w:highlight w:val="white"/>
        </w:rPr>
        <w:t xml:space="preserve">A presente licitação tem por objeto o REGISTRO DE PREÇOS para possível aquisição de gêneros alimentícios, de forma parcelada, </w:t>
      </w:r>
      <w:r>
        <w:rPr>
          <w:rFonts w:eastAsia="Times New Roman" w:ascii="Arial" w:hAnsi="Arial"/>
          <w:color w:val="000000"/>
          <w:highlight w:val="white"/>
          <w:lang w:eastAsia="pt-BR"/>
        </w:rPr>
        <w:t>Secretaria de Infraestrutura e Transportes, Secretaria de Agricultura e Meio Ambiente, Secretaria de Administração e Finanças, Secretaria de Saúde, Secretaria Municipal de Assistência Social, e Gabinete do Prefeito, visando o atendimento da alimentação</w:t>
      </w:r>
      <w:r>
        <w:rPr>
          <w:rFonts w:eastAsia="Times New Roman" w:ascii="Arial" w:hAnsi="Arial"/>
          <w:color w:val="000000"/>
          <w:highlight w:val="white"/>
        </w:rPr>
        <w:t xml:space="preserve">. Secretaria de Infraestrutura e Transportes juntamente a Secretaria de Agricultura e Meio Ambiente, se faz necessário para preparação de refeição dos servidores públicos municipais que necessitam almoçar no local de trabalho, quando da realização de serviços nas comunidades do interior do município, nos casos em que a distância inviabiliza o retorno dos mesmos às respectivas residências neste horário também para a Secretaria de Agricultura e Meio Ambiente quando da realização de cursos para os agricultores no município, e para a comemoração ao dia do colono e motorista dia 25 de julho; Para a Secretaria de Administração e Finanças, justifica-se a aquisição para realização de algum evento organizado pela administração, como o Dia do Servidor, entre </w:t>
      </w:r>
      <w:r>
        <w:rPr>
          <w:rFonts w:eastAsia="Times New Roman" w:ascii="Arial" w:hAnsi="Arial"/>
          <w:color w:val="000000"/>
          <w:sz w:val="22"/>
          <w:szCs w:val="22"/>
          <w:highlight w:val="white"/>
        </w:rPr>
        <w:t>outros, para o Gabinete do Prefeito em comemoração ao dia internacional da mulher comemorado em 08 de março; Secretaria Municipal de Assistência Social, para a composição de lanches e almoços destinados a s crianças e adolescentes que participam do SCFV no CRAS e outras atividades desenvolvidas pela Secretaria</w:t>
      </w:r>
      <w:r>
        <w:rPr>
          <w:rFonts w:eastAsia="Times New Roman" w:ascii="Arial" w:hAnsi="Arial"/>
          <w:color w:val="000000"/>
          <w:sz w:val="22"/>
          <w:szCs w:val="22"/>
        </w:rPr>
        <w:t xml:space="preserve">, </w:t>
      </w:r>
      <w:r>
        <w:rPr>
          <w:rFonts w:eastAsia="Times New Roman" w:ascii="Arial" w:hAnsi="Arial"/>
          <w:color w:val="000000"/>
          <w:sz w:val="22"/>
          <w:szCs w:val="22"/>
          <w:highlight w:val="white"/>
        </w:rPr>
        <w:t>Secretaria Municipal de Saúde quando da realização de campanhas e cursos na Unidade Básica de Saúde.</w:t>
      </w:r>
    </w:p>
    <w:p>
      <w:pPr>
        <w:pStyle w:val="Standard"/>
        <w:spacing w:lineRule="auto" w:line="360" w:before="142" w:after="142"/>
        <w:ind w:firstLine="709"/>
        <w:jc w:val="both"/>
        <w:rPr>
          <w:rFonts w:ascii="Arial" w:hAnsi="Arial"/>
          <w:sz w:val="22"/>
          <w:szCs w:val="22"/>
        </w:rPr>
      </w:pPr>
      <w:r>
        <w:rPr>
          <w:rFonts w:ascii="Arial" w:hAnsi="Arial"/>
          <w:bCs/>
          <w:sz w:val="22"/>
          <w:szCs w:val="22"/>
        </w:rPr>
        <w:t>Na definição do objeto foi considerada produtos que atendem às necessidades públicas, não existindo nenhum item que possui apenas um tipo ou um modelo que atenda à demanda dos órgãos e entidades do município, consequentemente sem nenhum direcionamento para determinadas marcas ou modelos.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O texto descritivo completo e informações pertinentes de cada item a ser licitado constam nos autos do processo licitatório em que se insere o presente Termo de Referência e estarão anexas ao Edital, constituindo parte integrante dele.</w:t>
      </w:r>
    </w:p>
    <w:p>
      <w:pPr>
        <w:pStyle w:val="ListParagraph"/>
        <w:numPr>
          <w:ilvl w:val="0"/>
          <w:numId w:val="0"/>
        </w:numPr>
        <w:spacing w:lineRule="auto" w:line="360" w:before="142" w:after="142"/>
        <w:ind w:left="0" w:hanging="0"/>
        <w:contextualSpacing/>
        <w:rPr>
          <w:rFonts w:ascii="Arial" w:hAnsi="Arial"/>
        </w:rPr>
      </w:pPr>
      <w:r>
        <w:rPr>
          <w:rFonts w:ascii="Arial" w:hAnsi="Arial"/>
          <w:b/>
        </w:rPr>
        <w:t>3.2.</w:t>
        <w:tab/>
        <w:t>NATUREZA</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Os itens que constituem o objeto do presente processo licitatório são classificados como bens de consumo de natureza comum, de fornecimento contínuo e de qualidade comum.</w:t>
      </w:r>
    </w:p>
    <w:p>
      <w:pPr>
        <w:pStyle w:val="ListParagraph"/>
        <w:numPr>
          <w:ilvl w:val="0"/>
          <w:numId w:val="0"/>
        </w:numPr>
        <w:spacing w:lineRule="auto" w:line="360"/>
        <w:ind w:left="0" w:hanging="0"/>
        <w:jc w:val="left"/>
        <w:rPr>
          <w:rFonts w:ascii="Arial" w:hAnsi="Arial"/>
        </w:rPr>
      </w:pPr>
      <w:r>
        <w:rPr>
          <w:rFonts w:ascii="Arial" w:hAnsi="Arial"/>
          <w:b/>
        </w:rPr>
        <w:t>3.3.</w:t>
        <w:tab/>
        <w:t>JUSTIFICATIVA PARA O PARCELAMENTO OU NÃO DA CONTRATAÇÃO</w:t>
      </w:r>
    </w:p>
    <w:p>
      <w:pPr>
        <w:pStyle w:val="ListParagraph"/>
        <w:numPr>
          <w:ilvl w:val="0"/>
          <w:numId w:val="0"/>
        </w:numPr>
        <w:spacing w:lineRule="auto" w:line="360"/>
        <w:ind w:left="0" w:hanging="0"/>
        <w:jc w:val="left"/>
        <w:rPr>
          <w:b/>
          <w:b/>
        </w:rPr>
      </w:pPr>
      <w:r>
        <w:rPr>
          <w:b/>
        </w:rPr>
      </w:r>
    </w:p>
    <w:p>
      <w:pPr>
        <w:pStyle w:val="Normal"/>
        <w:spacing w:lineRule="auto" w:line="360"/>
        <w:ind w:firstLine="709"/>
        <w:jc w:val="both"/>
        <w:rPr>
          <w:rFonts w:ascii="Arial" w:hAnsi="Arial"/>
        </w:rPr>
      </w:pPr>
      <w:r>
        <w:rPr>
          <w:rFonts w:ascii="Arial" w:hAnsi="Arial"/>
          <w:bCs/>
        </w:rPr>
        <w:t xml:space="preserve">Nos termos do art. 40, § 2º, da Lei Federal n. 14.133/2021, o parcelamento do objeto mostra-se viável técnica e economicamente na medida em que é composto de itens de natureza divisível, dado que cada item possui aplicação individual, sendo que tanto aquisição quanto a utilização independem dos demais.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Além do mais, em razão da possibilidade de serem fornecidos por empresas distintas e, desse modo, ampliando-se a competição e evitando-se a concentração de mercado, existe a possibilidade de redução dos preços ofertados.</w:t>
      </w:r>
    </w:p>
    <w:p>
      <w:pPr>
        <w:pStyle w:val="ListParagraph"/>
        <w:numPr>
          <w:ilvl w:val="0"/>
          <w:numId w:val="0"/>
        </w:numPr>
        <w:spacing w:lineRule="auto" w:line="360" w:before="142" w:after="142"/>
        <w:ind w:left="0" w:hanging="0"/>
        <w:contextualSpacing/>
        <w:rPr>
          <w:rFonts w:ascii="Arial" w:hAnsi="Arial"/>
        </w:rPr>
      </w:pPr>
      <w:r>
        <w:rPr>
          <w:rFonts w:ascii="Arial" w:hAnsi="Arial"/>
          <w:b/>
        </w:rPr>
        <w:t>3.4.</w:t>
        <w:tab/>
        <w:t>QUANTITATIVOS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rPr>
        <w:t>Os quantitativos foram mensurados conforme demanda dos órgãos ou entidades do município, exposta na tabela abaixo.</w:t>
      </w:r>
    </w:p>
    <w:p>
      <w:pPr>
        <w:pStyle w:val="Normal"/>
        <w:tabs>
          <w:tab w:val="clear" w:pos="708"/>
          <w:tab w:val="left" w:pos="2340" w:leader="none"/>
          <w:tab w:val="left" w:pos="4464" w:leader="none"/>
        </w:tabs>
        <w:spacing w:lineRule="auto" w:line="360"/>
        <w:ind w:firstLine="709"/>
        <w:jc w:val="both"/>
        <w:rPr>
          <w:rFonts w:ascii="Arial" w:hAnsi="Arial"/>
          <w:bCs/>
        </w:rPr>
      </w:pPr>
      <w:r>
        <w:rPr>
          <w:rFonts w:ascii="Arial" w:hAnsi="Arial"/>
          <w:bCs/>
        </w:rPr>
      </w:r>
    </w:p>
    <w:tbl>
      <w:tblPr>
        <w:tblW w:w="9670" w:type="dxa"/>
        <w:jc w:val="left"/>
        <w:tblInd w:w="69" w:type="dxa"/>
        <w:tblLayout w:type="fixed"/>
        <w:tblCellMar>
          <w:top w:w="0" w:type="dxa"/>
          <w:left w:w="70" w:type="dxa"/>
          <w:bottom w:w="0" w:type="dxa"/>
          <w:right w:w="70" w:type="dxa"/>
        </w:tblCellMar>
        <w:tblLook w:firstRow="0" w:noVBand="0" w:lastRow="0" w:firstColumn="0" w:lastColumn="0" w:noHBand="0" w:val="0000"/>
      </w:tblPr>
      <w:tblGrid>
        <w:gridCol w:w="638"/>
        <w:gridCol w:w="737"/>
        <w:gridCol w:w="963"/>
        <w:gridCol w:w="5173"/>
        <w:gridCol w:w="2159"/>
      </w:tblGrid>
      <w:tr>
        <w:trPr>
          <w:tblHeader w:val="true"/>
          <w:trHeight w:val="567" w:hRule="atLeast"/>
        </w:trPr>
        <w:tc>
          <w:tcPr>
            <w:tcW w:w="638" w:type="dxa"/>
            <w:tcBorders>
              <w:top w:val="single" w:sz="8" w:space="0" w:color="000000"/>
              <w:left w:val="single" w:sz="8" w:space="0" w:color="000000"/>
              <w:bottom w:val="single" w:sz="8" w:space="0" w:color="000000"/>
            </w:tcBorders>
            <w:shd w:color="auto" w:fill="969696" w:val="clear"/>
            <w:vAlign w:val="center"/>
          </w:tcPr>
          <w:p>
            <w:pPr>
              <w:pStyle w:val="Normal"/>
              <w:widowControl w:val="false"/>
              <w:spacing w:lineRule="auto" w:line="240" w:before="0" w:after="160"/>
              <w:jc w:val="center"/>
              <w:textAlignment w:val="top"/>
              <w:rPr>
                <w:rFonts w:ascii="Arial" w:hAnsi="Arial"/>
              </w:rPr>
            </w:pPr>
            <w:r>
              <w:rPr>
                <w:rFonts w:eastAsia="Times New Roman" w:ascii="Arial" w:hAnsi="Arial"/>
                <w:b/>
                <w:bCs/>
                <w:color w:val="000000"/>
                <w:sz w:val="18"/>
                <w:szCs w:val="18"/>
                <w:lang w:eastAsia="pt-BR"/>
              </w:rPr>
              <w:t>ITEM</w:t>
            </w:r>
          </w:p>
        </w:tc>
        <w:tc>
          <w:tcPr>
            <w:tcW w:w="737" w:type="dxa"/>
            <w:tcBorders>
              <w:top w:val="single" w:sz="8" w:space="0" w:color="000000"/>
              <w:left w:val="single" w:sz="8" w:space="0" w:color="000000"/>
              <w:bottom w:val="single" w:sz="8" w:space="0" w:color="000000"/>
            </w:tcBorders>
            <w:shd w:color="auto" w:fill="969696" w:val="clear"/>
            <w:vAlign w:val="center"/>
          </w:tcPr>
          <w:p>
            <w:pPr>
              <w:pStyle w:val="Normal"/>
              <w:widowControl w:val="false"/>
              <w:spacing w:lineRule="auto" w:line="240" w:before="0" w:after="160"/>
              <w:jc w:val="center"/>
              <w:textAlignment w:val="top"/>
              <w:rPr>
                <w:rFonts w:ascii="Arial" w:hAnsi="Arial"/>
              </w:rPr>
            </w:pPr>
            <w:r>
              <w:rPr>
                <w:rFonts w:eastAsia="Times New Roman" w:ascii="Arial" w:hAnsi="Arial"/>
                <w:b/>
                <w:bCs/>
                <w:color w:val="000000"/>
                <w:sz w:val="18"/>
                <w:szCs w:val="18"/>
                <w:lang w:eastAsia="pt-BR"/>
              </w:rPr>
              <w:t>QTD</w:t>
            </w:r>
          </w:p>
        </w:tc>
        <w:tc>
          <w:tcPr>
            <w:tcW w:w="963" w:type="dxa"/>
            <w:tcBorders>
              <w:top w:val="single" w:sz="8" w:space="0" w:color="000000"/>
              <w:left w:val="single" w:sz="8" w:space="0" w:color="000000"/>
              <w:bottom w:val="single" w:sz="8" w:space="0" w:color="000000"/>
              <w:right w:val="single" w:sz="4" w:space="0" w:color="000000"/>
            </w:tcBorders>
            <w:shd w:color="auto" w:fill="969696" w:val="clear"/>
            <w:vAlign w:val="center"/>
          </w:tcPr>
          <w:p>
            <w:pPr>
              <w:pStyle w:val="Normal"/>
              <w:widowControl w:val="false"/>
              <w:spacing w:lineRule="auto" w:line="240" w:before="0" w:after="160"/>
              <w:jc w:val="center"/>
              <w:textAlignment w:val="top"/>
              <w:rPr>
                <w:rFonts w:ascii="Arial" w:hAnsi="Arial"/>
              </w:rPr>
            </w:pPr>
            <w:r>
              <w:rPr>
                <w:rFonts w:eastAsia="Times New Roman" w:ascii="Arial" w:hAnsi="Arial"/>
                <w:b/>
                <w:bCs/>
                <w:color w:val="000000"/>
                <w:sz w:val="18"/>
                <w:szCs w:val="18"/>
                <w:lang w:eastAsia="pt-BR"/>
              </w:rPr>
              <w:t>UNIDADE</w:t>
            </w:r>
          </w:p>
        </w:tc>
        <w:tc>
          <w:tcPr>
            <w:tcW w:w="5173" w:type="dxa"/>
            <w:tcBorders>
              <w:top w:val="single" w:sz="4" w:space="0" w:color="000000"/>
              <w:left w:val="single" w:sz="4" w:space="0" w:color="000000"/>
              <w:bottom w:val="single" w:sz="4" w:space="0" w:color="000000"/>
              <w:right w:val="single" w:sz="4" w:space="0" w:color="000000"/>
            </w:tcBorders>
            <w:shd w:color="auto" w:fill="969696" w:val="clear"/>
            <w:vAlign w:val="center"/>
          </w:tcPr>
          <w:p>
            <w:pPr>
              <w:pStyle w:val="Normal"/>
              <w:widowControl w:val="false"/>
              <w:spacing w:lineRule="auto" w:line="240" w:before="0" w:after="160"/>
              <w:jc w:val="center"/>
              <w:textAlignment w:val="top"/>
              <w:rPr>
                <w:rFonts w:ascii="Arial" w:hAnsi="Arial"/>
              </w:rPr>
            </w:pPr>
            <w:r>
              <w:rPr>
                <w:rFonts w:eastAsia="Times New Roman" w:ascii="Arial" w:hAnsi="Arial"/>
                <w:b/>
                <w:bCs/>
                <w:color w:val="000000"/>
                <w:sz w:val="18"/>
                <w:szCs w:val="18"/>
                <w:lang w:eastAsia="pt-BR"/>
              </w:rPr>
              <w:t>DESCRIÇÃO</w:t>
            </w:r>
          </w:p>
        </w:tc>
        <w:tc>
          <w:tcPr>
            <w:tcW w:w="2159" w:type="dxa"/>
            <w:tcBorders>
              <w:top w:val="single" w:sz="4" w:space="0" w:color="000000"/>
              <w:left w:val="single" w:sz="4" w:space="0" w:color="000000"/>
              <w:bottom w:val="single" w:sz="4" w:space="0" w:color="000000"/>
              <w:right w:val="single" w:sz="4" w:space="0" w:color="000000"/>
            </w:tcBorders>
            <w:shd w:color="auto" w:fill="969696" w:val="clear"/>
            <w:vAlign w:val="center"/>
          </w:tcPr>
          <w:p>
            <w:pPr>
              <w:pStyle w:val="Normal"/>
              <w:widowControl w:val="false"/>
              <w:spacing w:lineRule="auto" w:line="240" w:before="0" w:after="160"/>
              <w:jc w:val="center"/>
              <w:textAlignment w:val="top"/>
              <w:rPr>
                <w:rFonts w:ascii="Arial" w:hAnsi="Arial"/>
              </w:rPr>
            </w:pPr>
            <w:r>
              <w:rPr>
                <w:rFonts w:eastAsia="Times New Roman" w:ascii="Arial" w:hAnsi="Arial"/>
                <w:b/>
                <w:bCs/>
                <w:color w:val="000000"/>
                <w:sz w:val="18"/>
                <w:szCs w:val="18"/>
                <w:lang w:eastAsia="pt-BR"/>
              </w:rPr>
              <w:t>DIVISÃO</w:t>
            </w:r>
          </w:p>
        </w:tc>
      </w:tr>
      <w:tr>
        <w:trPr>
          <w:trHeight w:val="567" w:hRule="atLeast"/>
        </w:trPr>
        <w:tc>
          <w:tcPr>
            <w:tcW w:w="638" w:type="dxa"/>
            <w:tcBorders>
              <w:left w:val="single" w:sz="8" w:space="0" w:color="000000"/>
              <w:bottom w:val="single" w:sz="8" w:space="0" w:color="000000"/>
            </w:tcBorders>
          </w:tcPr>
          <w:p>
            <w:pPr>
              <w:pStyle w:val="Normal"/>
              <w:widowControl w:val="false"/>
              <w:spacing w:before="0" w:after="160"/>
              <w:jc w:val="center"/>
              <w:textAlignment w:val="top"/>
              <w:rPr>
                <w:rFonts w:ascii="Arial" w:hAnsi="Arial"/>
              </w:rPr>
            </w:pPr>
            <w:r>
              <w:rPr>
                <w:rFonts w:ascii="Arial" w:hAnsi="Arial"/>
                <w:b/>
                <w:bCs/>
                <w:sz w:val="21"/>
                <w:szCs w:val="21"/>
              </w:rPr>
              <w:t>1</w:t>
            </w:r>
          </w:p>
        </w:tc>
        <w:tc>
          <w:tcPr>
            <w:tcW w:w="737" w:type="dxa"/>
            <w:tcBorders>
              <w:left w:val="single" w:sz="8" w:space="0" w:color="000000"/>
              <w:bottom w:val="single" w:sz="8" w:space="0" w:color="000000"/>
            </w:tcBorders>
          </w:tcPr>
          <w:p>
            <w:pPr>
              <w:pStyle w:val="Normal"/>
              <w:widowControl w:val="false"/>
              <w:spacing w:before="0" w:after="160"/>
              <w:jc w:val="center"/>
              <w:textAlignment w:val="top"/>
              <w:rPr>
                <w:rFonts w:ascii="Arial" w:hAnsi="Arial"/>
              </w:rPr>
            </w:pPr>
            <w:r>
              <w:rPr>
                <w:rFonts w:ascii="Arial" w:hAnsi="Arial"/>
              </w:rPr>
              <w:t>1005</w:t>
            </w:r>
          </w:p>
        </w:tc>
        <w:tc>
          <w:tcPr>
            <w:tcW w:w="963" w:type="dxa"/>
            <w:tcBorders>
              <w:left w:val="single" w:sz="8" w:space="0" w:color="000000"/>
              <w:bottom w:val="single" w:sz="8" w:space="0" w:color="000000"/>
              <w:right w:val="single" w:sz="4" w:space="0" w:color="000000"/>
            </w:tcBorders>
          </w:tcPr>
          <w:p>
            <w:pPr>
              <w:pStyle w:val="Normal"/>
              <w:widowControl w:val="false"/>
              <w:spacing w:before="0" w:after="160"/>
              <w:jc w:val="center"/>
              <w:textAlignment w:val="top"/>
              <w:rPr>
                <w:rFonts w:ascii="Arial" w:hAnsi="Arial"/>
              </w:rPr>
            </w:pPr>
            <w:r>
              <w:rPr>
                <w:rFonts w:eastAsia="Times New Roman" w:ascii="Arial" w:hAnsi="Arial"/>
                <w:b/>
                <w:bCs/>
                <w:color w:val="000000"/>
                <w:sz w:val="21"/>
                <w:szCs w:val="21"/>
                <w:lang w:eastAsia="pt-BR"/>
              </w:rPr>
              <w:t>kg</w:t>
            </w:r>
          </w:p>
        </w:tc>
        <w:tc>
          <w:tcPr>
            <w:tcW w:w="51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both"/>
              <w:rPr>
                <w:rFonts w:ascii="Arial" w:hAnsi="Arial"/>
              </w:rPr>
            </w:pPr>
            <w:r>
              <w:rPr>
                <w:rFonts w:ascii="Arial" w:hAnsi="Arial"/>
                <w:b/>
                <w:bCs/>
                <w:sz w:val="21"/>
                <w:szCs w:val="21"/>
              </w:rPr>
              <w:t>Carne bovina, resfriada</w:t>
            </w:r>
            <w:r>
              <w:rPr>
                <w:rFonts w:ascii="Arial" w:hAnsi="Arial"/>
                <w:sz w:val="21"/>
                <w:szCs w:val="21"/>
              </w:rPr>
              <w:t>, 1ª (primeira), pedaços com no mínima 01 kg (um quilograma) com inspeção sanitária e com procedência impressa na embalagem. Na entrega o produto não poderá ter validade superior de 04 (quatro) meses e data de fabricação máxima de 30 (trinta) dias.</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jc w:val="both"/>
              <w:textAlignment w:val="top"/>
              <w:rPr>
                <w:rFonts w:ascii="Arial" w:hAnsi="Arial"/>
              </w:rPr>
            </w:pPr>
            <w:r>
              <w:rPr>
                <w:rFonts w:ascii="Arial" w:hAnsi="Arial"/>
              </w:rPr>
              <w:t xml:space="preserve"> </w:t>
            </w:r>
            <w:r>
              <w:rPr>
                <w:rFonts w:ascii="Arial" w:hAnsi="Arial"/>
              </w:rPr>
              <w:t>Social – 15</w:t>
            </w:r>
          </w:p>
          <w:p>
            <w:pPr>
              <w:pStyle w:val="Normal"/>
              <w:widowControl w:val="false"/>
              <w:spacing w:lineRule="auto" w:line="240"/>
              <w:jc w:val="both"/>
              <w:textAlignment w:val="top"/>
              <w:rPr>
                <w:rFonts w:ascii="Arial" w:hAnsi="Arial"/>
              </w:rPr>
            </w:pPr>
            <w:r>
              <w:rPr>
                <w:rFonts w:ascii="Arial" w:hAnsi="Arial"/>
              </w:rPr>
              <w:t xml:space="preserve"> </w:t>
            </w:r>
            <w:r>
              <w:rPr>
                <w:rFonts w:ascii="Arial" w:hAnsi="Arial"/>
              </w:rPr>
              <w:t>Saúde – 20</w:t>
            </w:r>
          </w:p>
          <w:p>
            <w:pPr>
              <w:pStyle w:val="Normal"/>
              <w:widowControl w:val="false"/>
              <w:spacing w:lineRule="auto" w:line="240"/>
              <w:jc w:val="both"/>
              <w:textAlignment w:val="top"/>
              <w:rPr>
                <w:rFonts w:ascii="Arial" w:hAnsi="Arial"/>
              </w:rPr>
            </w:pPr>
            <w:r>
              <w:rPr>
                <w:rFonts w:ascii="Arial" w:hAnsi="Arial"/>
              </w:rPr>
              <w:t xml:space="preserve"> </w:t>
            </w:r>
            <w:r>
              <w:rPr>
                <w:rFonts w:ascii="Arial" w:hAnsi="Arial"/>
              </w:rPr>
              <w:t>Gabinete – 300</w:t>
            </w:r>
          </w:p>
          <w:p>
            <w:pPr>
              <w:pStyle w:val="Normal"/>
              <w:widowControl w:val="false"/>
              <w:spacing w:lineRule="auto" w:line="240"/>
              <w:jc w:val="both"/>
              <w:textAlignment w:val="top"/>
              <w:rPr>
                <w:rFonts w:ascii="Arial" w:hAnsi="Arial"/>
              </w:rPr>
            </w:pPr>
            <w:r>
              <w:rPr>
                <w:rFonts w:ascii="Arial" w:hAnsi="Arial"/>
              </w:rPr>
              <w:t xml:space="preserve"> </w:t>
            </w:r>
            <w:r>
              <w:rPr>
                <w:rFonts w:ascii="Arial" w:hAnsi="Arial"/>
              </w:rPr>
              <w:t>Infraestrutura – 500</w:t>
            </w:r>
          </w:p>
          <w:p>
            <w:pPr>
              <w:pStyle w:val="Normal"/>
              <w:widowControl w:val="false"/>
              <w:spacing w:lineRule="auto" w:line="240"/>
              <w:jc w:val="both"/>
              <w:textAlignment w:val="top"/>
              <w:rPr>
                <w:rFonts w:ascii="Arial" w:hAnsi="Arial"/>
              </w:rPr>
            </w:pPr>
            <w:r>
              <w:rPr>
                <w:rFonts w:ascii="Arial" w:hAnsi="Arial"/>
              </w:rPr>
              <w:t xml:space="preserve"> </w:t>
            </w:r>
            <w:r>
              <w:rPr>
                <w:rFonts w:ascii="Arial" w:hAnsi="Arial"/>
              </w:rPr>
              <w:t>Agricultura – 40</w:t>
            </w:r>
          </w:p>
          <w:p>
            <w:pPr>
              <w:pStyle w:val="Normal"/>
              <w:widowControl w:val="false"/>
              <w:spacing w:lineRule="auto" w:line="240" w:before="0" w:after="160"/>
              <w:jc w:val="both"/>
              <w:textAlignment w:val="top"/>
              <w:rPr>
                <w:rFonts w:ascii="Arial" w:hAnsi="Arial"/>
              </w:rPr>
            </w:pPr>
            <w:r>
              <w:rPr>
                <w:rFonts w:ascii="Arial" w:hAnsi="Arial"/>
              </w:rPr>
              <w:t xml:space="preserve"> </w:t>
            </w:r>
            <w:r>
              <w:rPr>
                <w:rFonts w:ascii="Arial" w:hAnsi="Arial"/>
              </w:rPr>
              <w:t>Administração - 130</w:t>
            </w:r>
          </w:p>
        </w:tc>
      </w:tr>
      <w:tr>
        <w:trPr>
          <w:trHeight w:val="567" w:hRule="atLeast"/>
        </w:trPr>
        <w:tc>
          <w:tcPr>
            <w:tcW w:w="638" w:type="dxa"/>
            <w:tcBorders>
              <w:left w:val="single" w:sz="8" w:space="0" w:color="000000"/>
              <w:bottom w:val="single" w:sz="8" w:space="0" w:color="000000"/>
            </w:tcBorders>
          </w:tcPr>
          <w:p>
            <w:pPr>
              <w:pStyle w:val="Normal"/>
              <w:widowControl w:val="false"/>
              <w:spacing w:before="0" w:after="160"/>
              <w:jc w:val="center"/>
              <w:textAlignment w:val="top"/>
              <w:rPr>
                <w:rFonts w:ascii="Arial" w:hAnsi="Arial"/>
              </w:rPr>
            </w:pPr>
            <w:r>
              <w:rPr>
                <w:rFonts w:ascii="Arial" w:hAnsi="Arial"/>
                <w:b/>
                <w:bCs/>
                <w:sz w:val="21"/>
                <w:szCs w:val="21"/>
              </w:rPr>
              <w:t>2</w:t>
            </w:r>
          </w:p>
        </w:tc>
        <w:tc>
          <w:tcPr>
            <w:tcW w:w="737" w:type="dxa"/>
            <w:tcBorders>
              <w:left w:val="single" w:sz="8" w:space="0" w:color="000000"/>
              <w:bottom w:val="single" w:sz="8" w:space="0" w:color="000000"/>
            </w:tcBorders>
          </w:tcPr>
          <w:p>
            <w:pPr>
              <w:pStyle w:val="Normal"/>
              <w:widowControl w:val="false"/>
              <w:spacing w:before="0" w:after="160"/>
              <w:jc w:val="center"/>
              <w:textAlignment w:val="top"/>
              <w:rPr>
                <w:rFonts w:ascii="Arial" w:hAnsi="Arial"/>
              </w:rPr>
            </w:pPr>
            <w:r>
              <w:rPr>
                <w:rFonts w:ascii="Arial" w:hAnsi="Arial"/>
              </w:rPr>
              <w:t>525</w:t>
            </w:r>
          </w:p>
        </w:tc>
        <w:tc>
          <w:tcPr>
            <w:tcW w:w="963" w:type="dxa"/>
            <w:tcBorders>
              <w:left w:val="single" w:sz="8" w:space="0" w:color="000000"/>
              <w:bottom w:val="single" w:sz="8" w:space="0" w:color="000000"/>
              <w:right w:val="single" w:sz="4" w:space="0" w:color="000000"/>
            </w:tcBorders>
          </w:tcPr>
          <w:p>
            <w:pPr>
              <w:pStyle w:val="Normal"/>
              <w:widowControl w:val="false"/>
              <w:spacing w:before="0" w:after="160"/>
              <w:jc w:val="center"/>
              <w:textAlignment w:val="top"/>
              <w:rPr>
                <w:rFonts w:ascii="Arial" w:hAnsi="Arial"/>
              </w:rPr>
            </w:pPr>
            <w:r>
              <w:rPr>
                <w:rFonts w:eastAsia="Times New Roman" w:ascii="Arial" w:hAnsi="Arial"/>
                <w:color w:val="000000"/>
                <w:sz w:val="21"/>
                <w:szCs w:val="21"/>
                <w:lang w:eastAsia="pt-BR"/>
              </w:rPr>
              <w:t>kg</w:t>
            </w:r>
          </w:p>
        </w:tc>
        <w:tc>
          <w:tcPr>
            <w:tcW w:w="51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both"/>
              <w:rPr>
                <w:rFonts w:ascii="Arial" w:hAnsi="Arial"/>
              </w:rPr>
            </w:pPr>
            <w:r>
              <w:rPr>
                <w:rFonts w:ascii="Arial" w:hAnsi="Arial"/>
                <w:b/>
                <w:bCs/>
                <w:sz w:val="21"/>
                <w:szCs w:val="21"/>
              </w:rPr>
              <w:t>Carne suína, resfriada</w:t>
            </w:r>
            <w:r>
              <w:rPr>
                <w:rFonts w:ascii="Arial" w:hAnsi="Arial"/>
                <w:sz w:val="21"/>
                <w:szCs w:val="21"/>
              </w:rPr>
              <w:t>, 1ª (primeira), pedaços com no mínima 01 kg (um quilograma) com inspeção sanitária e com procedência impressa na embalagem. Na entrega o produto não poderá ter validade superior de 04 (quatro) meses e data de fabricação máxima de 30 (trinta) dias.</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textAlignment w:val="top"/>
              <w:rPr>
                <w:rFonts w:ascii="Arial" w:hAnsi="Arial"/>
              </w:rPr>
            </w:pPr>
            <w:r>
              <w:rPr>
                <w:rFonts w:ascii="Arial" w:hAnsi="Arial"/>
              </w:rPr>
              <w:t>Social – 15</w:t>
            </w:r>
          </w:p>
          <w:p>
            <w:pPr>
              <w:pStyle w:val="Normal"/>
              <w:widowControl w:val="false"/>
              <w:spacing w:lineRule="auto" w:line="240"/>
              <w:textAlignment w:val="top"/>
              <w:rPr>
                <w:rFonts w:ascii="Arial" w:hAnsi="Arial"/>
              </w:rPr>
            </w:pPr>
            <w:r>
              <w:rPr>
                <w:rFonts w:ascii="Arial" w:hAnsi="Arial"/>
              </w:rPr>
              <w:t>Gabinete – 200</w:t>
            </w:r>
          </w:p>
          <w:p>
            <w:pPr>
              <w:pStyle w:val="Normal"/>
              <w:widowControl w:val="false"/>
              <w:spacing w:lineRule="auto" w:line="240"/>
              <w:textAlignment w:val="top"/>
              <w:rPr>
                <w:rFonts w:ascii="Arial" w:hAnsi="Arial"/>
              </w:rPr>
            </w:pPr>
            <w:r>
              <w:rPr>
                <w:rFonts w:ascii="Arial" w:hAnsi="Arial"/>
              </w:rPr>
              <w:t xml:space="preserve"> </w:t>
            </w:r>
            <w:r>
              <w:rPr>
                <w:rFonts w:ascii="Arial" w:hAnsi="Arial"/>
              </w:rPr>
              <w:t>Infraestrutura – 200</w:t>
            </w:r>
          </w:p>
          <w:p>
            <w:pPr>
              <w:pStyle w:val="Normal"/>
              <w:widowControl w:val="false"/>
              <w:spacing w:lineRule="auto" w:line="240"/>
              <w:textAlignment w:val="top"/>
              <w:rPr>
                <w:rFonts w:ascii="Arial" w:hAnsi="Arial"/>
              </w:rPr>
            </w:pPr>
            <w:r>
              <w:rPr>
                <w:rFonts w:ascii="Arial" w:hAnsi="Arial"/>
              </w:rPr>
              <w:t xml:space="preserve"> </w:t>
            </w:r>
            <w:r>
              <w:rPr>
                <w:rFonts w:ascii="Arial" w:hAnsi="Arial"/>
              </w:rPr>
              <w:t>Agricultura – 40</w:t>
            </w:r>
          </w:p>
          <w:p>
            <w:pPr>
              <w:pStyle w:val="Normal"/>
              <w:widowControl w:val="false"/>
              <w:spacing w:before="0" w:after="160"/>
              <w:jc w:val="center"/>
              <w:textAlignment w:val="top"/>
              <w:rPr>
                <w:rFonts w:ascii="Arial" w:hAnsi="Arial"/>
              </w:rPr>
            </w:pPr>
            <w:r>
              <w:rPr>
                <w:rFonts w:ascii="Arial" w:hAnsi="Arial"/>
              </w:rPr>
              <w:t xml:space="preserve"> </w:t>
            </w:r>
            <w:r>
              <w:rPr>
                <w:rFonts w:ascii="Arial" w:hAnsi="Arial"/>
              </w:rPr>
              <w:t>Administração - 70</w:t>
            </w:r>
          </w:p>
        </w:tc>
      </w:tr>
      <w:tr>
        <w:trPr>
          <w:trHeight w:val="567" w:hRule="atLeast"/>
        </w:trPr>
        <w:tc>
          <w:tcPr>
            <w:tcW w:w="638" w:type="dxa"/>
            <w:tcBorders>
              <w:top w:val="single" w:sz="8" w:space="0" w:color="000000"/>
              <w:left w:val="single" w:sz="8" w:space="0" w:color="000000"/>
              <w:bottom w:val="single" w:sz="8" w:space="0" w:color="000000"/>
            </w:tcBorders>
          </w:tcPr>
          <w:p>
            <w:pPr>
              <w:pStyle w:val="Normal"/>
              <w:widowControl w:val="false"/>
              <w:spacing w:before="0" w:after="160"/>
              <w:jc w:val="center"/>
              <w:textAlignment w:val="top"/>
              <w:rPr>
                <w:rFonts w:ascii="Arial" w:hAnsi="Arial"/>
              </w:rPr>
            </w:pPr>
            <w:r>
              <w:rPr>
                <w:rFonts w:ascii="Arial" w:hAnsi="Arial"/>
                <w:b/>
                <w:bCs/>
                <w:sz w:val="21"/>
                <w:szCs w:val="21"/>
              </w:rPr>
              <w:t>3</w:t>
            </w:r>
          </w:p>
        </w:tc>
        <w:tc>
          <w:tcPr>
            <w:tcW w:w="737" w:type="dxa"/>
            <w:tcBorders>
              <w:top w:val="single" w:sz="8" w:space="0" w:color="000000"/>
              <w:left w:val="single" w:sz="8" w:space="0" w:color="000000"/>
              <w:bottom w:val="single" w:sz="8" w:space="0" w:color="000000"/>
            </w:tcBorders>
          </w:tcPr>
          <w:p>
            <w:pPr>
              <w:pStyle w:val="Normal"/>
              <w:widowControl w:val="false"/>
              <w:spacing w:before="0" w:after="160"/>
              <w:jc w:val="center"/>
              <w:textAlignment w:val="top"/>
              <w:rPr>
                <w:rFonts w:ascii="Arial" w:hAnsi="Arial"/>
              </w:rPr>
            </w:pPr>
            <w:r>
              <w:rPr>
                <w:rFonts w:ascii="Arial" w:hAnsi="Arial"/>
              </w:rPr>
              <w:t>450</w:t>
            </w:r>
          </w:p>
        </w:tc>
        <w:tc>
          <w:tcPr>
            <w:tcW w:w="963" w:type="dxa"/>
            <w:tcBorders>
              <w:top w:val="single" w:sz="8" w:space="0" w:color="000000"/>
              <w:left w:val="single" w:sz="8" w:space="0" w:color="000000"/>
              <w:bottom w:val="single" w:sz="8" w:space="0" w:color="000000"/>
              <w:right w:val="single" w:sz="4" w:space="0" w:color="000000"/>
            </w:tcBorders>
          </w:tcPr>
          <w:p>
            <w:pPr>
              <w:pStyle w:val="Normal"/>
              <w:widowControl w:val="false"/>
              <w:spacing w:before="0" w:after="160"/>
              <w:jc w:val="center"/>
              <w:textAlignment w:val="top"/>
              <w:rPr>
                <w:rFonts w:ascii="Arial" w:hAnsi="Arial"/>
              </w:rPr>
            </w:pPr>
            <w:r>
              <w:rPr>
                <w:rFonts w:eastAsia="Times New Roman" w:ascii="Arial" w:hAnsi="Arial"/>
                <w:color w:val="000000"/>
                <w:sz w:val="21"/>
                <w:szCs w:val="21"/>
                <w:lang w:eastAsia="pt-BR"/>
              </w:rPr>
              <w:t>kg</w:t>
            </w:r>
          </w:p>
        </w:tc>
        <w:tc>
          <w:tcPr>
            <w:tcW w:w="517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before="0" w:after="160"/>
              <w:jc w:val="both"/>
              <w:textAlignment w:val="top"/>
              <w:rPr>
                <w:rFonts w:ascii="Arial" w:hAnsi="Arial"/>
              </w:rPr>
            </w:pPr>
            <w:r>
              <w:rPr>
                <w:rFonts w:ascii="Arial" w:hAnsi="Arial"/>
                <w:b/>
                <w:bCs/>
                <w:sz w:val="21"/>
                <w:szCs w:val="21"/>
              </w:rPr>
              <w:t>Carcaça suína</w:t>
            </w:r>
            <w:r>
              <w:rPr>
                <w:rFonts w:ascii="Arial" w:hAnsi="Arial"/>
                <w:sz w:val="21"/>
                <w:szCs w:val="21"/>
              </w:rPr>
              <w:t xml:space="preserve"> em pedaços com pele resfriada, aspecto próprio, não amolecida e nem pegajosa, cor própria sem manchas esverdeadas, cheiro e sabor próprio, com ausência de sujidades, parasitos, larvas ou qualquer substância contaminante que possa alterá-la ou encobrir alguma alteração, devendo conter no máximo 10% de gordura, com cartilagens e ossos, e conter no máximo 3% de aponevroses (nervos), acondicionada em embalagem plástica de polipropileno, resistente e transparente, de 5 kg ou 10 kg, na embalagem deverá constar informações do fabricante, especificação do produto, data de fabricação e prazo de validade de 4 meses.</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textAlignment w:val="top"/>
              <w:rPr>
                <w:rFonts w:ascii="Arial" w:hAnsi="Arial"/>
              </w:rPr>
            </w:pPr>
            <w:r>
              <w:rPr>
                <w:rFonts w:ascii="Arial" w:hAnsi="Arial"/>
              </w:rPr>
              <w:t>Agricultura - 450</w:t>
            </w:r>
          </w:p>
        </w:tc>
      </w:tr>
    </w:tbl>
    <w:p>
      <w:pPr>
        <w:pStyle w:val="Normal"/>
        <w:tabs>
          <w:tab w:val="clear" w:pos="708"/>
          <w:tab w:val="left" w:pos="2340" w:leader="none"/>
          <w:tab w:val="left" w:pos="4464" w:leader="none"/>
        </w:tabs>
        <w:spacing w:lineRule="auto" w:line="240"/>
        <w:jc w:val="both"/>
        <w:rPr>
          <w:rFonts w:ascii="Arial" w:hAnsi="Arial"/>
        </w:rPr>
      </w:pPr>
      <w:r>
        <w:rPr>
          <w:rFonts w:ascii="Arial" w:hAnsi="Arial"/>
          <w:bCs/>
          <w:sz w:val="18"/>
          <w:szCs w:val="18"/>
        </w:rPr>
        <w:t>* Tratando-se de Sistema de Registro de Preços, os quantitativos acima discriminados não obrigam a contratação pela administração pública, nos termos do art. 83 da Lei Federal n. 14.133/2021.</w:t>
      </w:r>
    </w:p>
    <w:p>
      <w:pPr>
        <w:pStyle w:val="Normal"/>
        <w:tabs>
          <w:tab w:val="clear" w:pos="708"/>
          <w:tab w:val="left" w:pos="2340" w:leader="none"/>
          <w:tab w:val="left" w:pos="4464" w:leader="none"/>
        </w:tabs>
        <w:spacing w:lineRule="auto" w:line="240"/>
        <w:jc w:val="both"/>
        <w:rPr>
          <w:rFonts w:ascii="Arial" w:hAnsi="Arial"/>
          <w:bCs/>
          <w:sz w:val="18"/>
          <w:szCs w:val="18"/>
        </w:rPr>
      </w:pPr>
      <w:r>
        <w:rPr>
          <w:rFonts w:ascii="Arial" w:hAnsi="Arial"/>
          <w:bCs/>
          <w:sz w:val="18"/>
          <w:szCs w:val="18"/>
        </w:rPr>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Conforme regulamentado no Decreto nº 4.072, em seu Art. 117, § 4º é possível aumentar os quantitativos fixados pela Ata de Registro de Preços, até uma vez a quantidade registrada inicialmente, com aceitação expressa do fornecedor, desde que demonstrado que a quantidade é insuficiente para atender a demanda durante o prazo de vigência.</w:t>
      </w:r>
    </w:p>
    <w:p>
      <w:pPr>
        <w:pStyle w:val="ListParagraph"/>
        <w:numPr>
          <w:ilvl w:val="0"/>
          <w:numId w:val="0"/>
        </w:numPr>
        <w:spacing w:lineRule="auto" w:line="360" w:before="142" w:after="142"/>
        <w:ind w:left="0" w:hanging="0"/>
        <w:contextualSpacing/>
        <w:rPr>
          <w:rFonts w:ascii="Arial" w:hAnsi="Arial"/>
        </w:rPr>
      </w:pPr>
      <w:r>
        <w:rPr>
          <w:rFonts w:ascii="Arial" w:hAnsi="Arial"/>
          <w:b/>
        </w:rPr>
        <w:t>3.5.</w:t>
        <w:tab/>
        <w:t>PRAZO DE VIGÊNCIA DA ATA DE REGISTRO DE PREÇOS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rPr>
        <w:t xml:space="preserve">O prazo de vigência da ata de registro de preços será de 1 (um) ano e poderá ser prorrogado por igual período, desde que comprovado o preço vantajoso, nos termos do art. 84, </w:t>
      </w:r>
      <w:r>
        <w:rPr>
          <w:rFonts w:ascii="Arial" w:hAnsi="Arial"/>
          <w:i/>
          <w:iCs/>
        </w:rPr>
        <w:t>caput</w:t>
      </w:r>
      <w:r>
        <w:rPr>
          <w:rFonts w:ascii="Arial" w:hAnsi="Arial"/>
        </w:rPr>
        <w:t xml:space="preserve">, da Lei Federal n. 14.133/2021.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 conforme previsto no decreto regulamentador do município.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rPr>
        <w:t>Nos termos do art. 84, parágrafo único, da Lei Federal n. 14.133/2021, o prazo de vigência dos contratos decorrentes do Sistema de Registro de Preços não se confunde com aquele da ata de registro de preços, mas deverá ser assinado durante a vigência da ata e terá sua vigência estabelecida em conformidade com as disposições nela contidas.</w:t>
      </w:r>
    </w:p>
    <w:p>
      <w:pPr>
        <w:pStyle w:val="ListParagraph"/>
        <w:numPr>
          <w:ilvl w:val="0"/>
          <w:numId w:val="0"/>
        </w:numPr>
        <w:spacing w:lineRule="auto" w:line="360" w:before="142" w:after="142"/>
        <w:ind w:left="0" w:hanging="0"/>
        <w:contextualSpacing/>
        <w:rPr>
          <w:rFonts w:ascii="Arial" w:hAnsi="Arial"/>
        </w:rPr>
      </w:pPr>
      <w:r>
        <w:rPr>
          <w:rFonts w:ascii="Arial" w:hAnsi="Arial"/>
          <w:b/>
        </w:rPr>
        <w:t>3.6.</w:t>
        <w:tab/>
        <w:t>ESPECIFICAÇÃO DOS PRODUTOS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rPr>
        <w:t>A especificação dos produtos requerida pelo art. 40, § 1º, inciso I, da Lei Federal n. 14.133/2021 está estabelecida nos descritivos dos itens e no presente Termo de Referência, observados requisitos de qualidade, rendimento e durabilidade.</w:t>
      </w:r>
    </w:p>
    <w:p>
      <w:pPr>
        <w:pStyle w:val="ListParagraph"/>
        <w:numPr>
          <w:ilvl w:val="0"/>
          <w:numId w:val="0"/>
        </w:numPr>
        <w:tabs>
          <w:tab w:val="clear" w:pos="708"/>
          <w:tab w:val="left" w:pos="2340" w:leader="none"/>
          <w:tab w:val="left" w:pos="4464" w:leader="none"/>
        </w:tabs>
        <w:spacing w:lineRule="auto" w:line="360" w:before="142" w:after="142"/>
        <w:ind w:left="0" w:hanging="0"/>
        <w:contextualSpacing/>
        <w:jc w:val="both"/>
        <w:rPr>
          <w:rFonts w:ascii="Arial" w:hAnsi="Arial"/>
        </w:rPr>
      </w:pPr>
      <w:r>
        <w:rPr>
          <w:rFonts w:ascii="Arial" w:hAnsi="Arial"/>
          <w:b/>
        </w:rPr>
        <w:t>4.       REQUISITOS DA CONTRATAÇÃO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Poderão participar desta licitação todas e quaisquer empresas ou sociedades, regularmente estabelecidas no País – </w:t>
      </w:r>
      <w:bookmarkStart w:id="0" w:name="_Hlk1291563721"/>
      <w:r>
        <w:rPr>
          <w:rFonts w:ascii="Arial" w:hAnsi="Arial"/>
          <w:bCs/>
        </w:rPr>
        <w:t>inclusive consórcios de empresas, desde que atendidas as disposições do art. 15 da Lei Federal n. 14.133/2021 –, que sejam especializadas e credenciadas no objeto desta licitação e que satisfaçam todas as exigências, especificações e normas previstas nos documentos deste processo licitatório – em especial neste Termo de Referência e no Edital e nos seus anexos – e nos regramentos e normativas existentes no Brasil sobre a área de fornecimento</w:t>
      </w:r>
      <w:bookmarkEnd w:id="0"/>
      <w:r>
        <w:rPr>
          <w:rFonts w:ascii="Arial" w:hAnsi="Arial"/>
          <w:bCs/>
        </w:rPr>
        <w:t>.</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A contratação pressupõe o pleno conhecimento e atendimento às exigências de habilitação e execução do contrato a ser formulado e os requisitos para a contratação constam também do próprio descritivo dos itens a serem licitados e nos descritivos dos itens </w:t>
      </w:r>
      <w:bookmarkStart w:id="1" w:name="_Hlk1321905011"/>
      <w:r>
        <w:rPr>
          <w:rFonts w:ascii="Arial" w:hAnsi="Arial"/>
          <w:bCs/>
        </w:rPr>
        <w:t>presentes nos autos deste processo licitatório</w:t>
      </w:r>
      <w:bookmarkEnd w:id="1"/>
      <w:r>
        <w:rPr>
          <w:rFonts w:ascii="Arial" w:hAnsi="Arial"/>
          <w:bCs/>
        </w:rPr>
        <w:t>.</w:t>
      </w:r>
    </w:p>
    <w:p>
      <w:pPr>
        <w:pStyle w:val="Normal"/>
        <w:tabs>
          <w:tab w:val="clear" w:pos="708"/>
          <w:tab w:val="left" w:pos="2340" w:leader="none"/>
          <w:tab w:val="left" w:pos="4464" w:leader="none"/>
        </w:tabs>
        <w:spacing w:lineRule="auto" w:line="360" w:before="142" w:after="142"/>
        <w:ind w:firstLine="709"/>
        <w:jc w:val="both"/>
        <w:rPr>
          <w:rFonts w:ascii="Arial" w:hAnsi="Arial"/>
        </w:rPr>
      </w:pPr>
      <w:bookmarkStart w:id="2" w:name="_Hlk1291608961"/>
      <w:r>
        <w:rPr>
          <w:rFonts w:ascii="Arial" w:hAnsi="Arial"/>
          <w:bCs/>
        </w:rPr>
        <w:t>É necessário manter as condições de habilitação exigidas na licitação e comprovar a regularidade fiscal e trabalhista junto ao Órgão Gerenciador.</w:t>
      </w:r>
      <w:bookmarkEnd w:id="2"/>
    </w:p>
    <w:p>
      <w:pPr>
        <w:pStyle w:val="Normal"/>
        <w:tabs>
          <w:tab w:val="clear" w:pos="708"/>
          <w:tab w:val="left" w:pos="2340" w:leader="none"/>
          <w:tab w:val="left" w:pos="4464" w:leader="none"/>
        </w:tabs>
        <w:spacing w:lineRule="auto" w:line="360" w:before="142" w:after="142"/>
        <w:ind w:firstLine="709"/>
        <w:jc w:val="both"/>
        <w:rPr>
          <w:rFonts w:ascii="Arial" w:hAnsi="Arial"/>
        </w:rPr>
      </w:pPr>
      <w:bookmarkStart w:id="3" w:name="_Hlk129161118"/>
      <w:r>
        <w:rPr>
          <w:rFonts w:ascii="Arial" w:hAnsi="Arial"/>
          <w:bCs/>
        </w:rPr>
        <w:t>A empresa participante deverá apresentar Alvará Sanitário como requisito de habilitação.</w:t>
      </w:r>
      <w:bookmarkStart w:id="4" w:name="_Hlk1291862592"/>
      <w:bookmarkEnd w:id="3"/>
      <w:bookmarkEnd w:id="4"/>
    </w:p>
    <w:p>
      <w:pPr>
        <w:pStyle w:val="ListParagraph"/>
        <w:numPr>
          <w:ilvl w:val="0"/>
          <w:numId w:val="0"/>
        </w:numPr>
        <w:spacing w:lineRule="auto" w:line="360" w:before="142" w:after="142"/>
        <w:ind w:left="0" w:hanging="0"/>
        <w:contextualSpacing/>
        <w:rPr>
          <w:rFonts w:ascii="Arial" w:hAnsi="Arial"/>
        </w:rPr>
      </w:pPr>
      <w:r>
        <w:rPr>
          <w:rFonts w:ascii="Arial" w:hAnsi="Arial"/>
          <w:b/>
        </w:rPr>
        <w:t>5.</w:t>
        <w:tab/>
        <w:t>ESTIMATIVA DO VALOR DA CONTRATAÇÃO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O valor da contratação fora estimado a partir dos quantitativos já expostos no corpo deste Termo de Referência e da pesquisa de preços realizada nos termos do art. 23, </w:t>
      </w:r>
      <w:r>
        <w:rPr>
          <w:rFonts w:ascii="Arial" w:hAnsi="Arial"/>
          <w:bCs/>
          <w:i/>
          <w:iCs/>
        </w:rPr>
        <w:t>caput</w:t>
      </w:r>
      <w:r>
        <w:rPr>
          <w:rFonts w:ascii="Arial" w:hAnsi="Arial"/>
          <w:bCs/>
        </w:rPr>
        <w:t xml:space="preserve"> e § 1º, da Lei Federal n. 14.133/2021, utilizando como base a média.</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rPr>
      </w:r>
    </w:p>
    <w:tbl>
      <w:tblPr>
        <w:tblW w:w="10048"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566"/>
        <w:gridCol w:w="1414"/>
        <w:gridCol w:w="630"/>
        <w:gridCol w:w="4762"/>
        <w:gridCol w:w="1072"/>
        <w:gridCol w:w="1603"/>
      </w:tblGrid>
      <w:tr>
        <w:trPr/>
        <w:tc>
          <w:tcPr>
            <w:tcW w:w="566"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ascii="Arial" w:hAnsi="Arial"/>
              </w:rPr>
            </w:pPr>
            <w:r>
              <w:rPr>
                <w:rFonts w:eastAsia="NSimSun" w:ascii="Arial" w:hAnsi="Arial"/>
                <w:b/>
                <w:bCs/>
              </w:rPr>
              <w:t>Item</w:t>
            </w:r>
          </w:p>
        </w:tc>
        <w:tc>
          <w:tcPr>
            <w:tcW w:w="1414"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ascii="Arial" w:hAnsi="Arial"/>
              </w:rPr>
            </w:pPr>
            <w:r>
              <w:rPr>
                <w:rFonts w:eastAsia="NSimSun" w:ascii="Arial" w:hAnsi="Arial"/>
                <w:b/>
                <w:bCs/>
                <w:color w:val="000000"/>
              </w:rPr>
              <w:t>Quantidade</w:t>
            </w:r>
          </w:p>
        </w:tc>
        <w:tc>
          <w:tcPr>
            <w:tcW w:w="630"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ascii="Arial" w:hAnsi="Arial"/>
              </w:rPr>
            </w:pPr>
            <w:r>
              <w:rPr>
                <w:rFonts w:eastAsia="NSimSun" w:ascii="Arial" w:hAnsi="Arial"/>
                <w:b/>
                <w:bCs/>
                <w:color w:val="000000"/>
              </w:rPr>
              <w:t>Und.</w:t>
            </w:r>
          </w:p>
        </w:tc>
        <w:tc>
          <w:tcPr>
            <w:tcW w:w="4762"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ascii="Arial" w:hAnsi="Arial"/>
              </w:rPr>
            </w:pPr>
            <w:r>
              <w:rPr>
                <w:rFonts w:eastAsia="NSimSun" w:ascii="Arial" w:hAnsi="Arial"/>
                <w:b/>
                <w:bCs/>
                <w:color w:val="000000"/>
              </w:rPr>
              <w:t>Descrição do produto</w:t>
            </w:r>
          </w:p>
        </w:tc>
        <w:tc>
          <w:tcPr>
            <w:tcW w:w="1072"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ascii="Arial" w:hAnsi="Arial"/>
              </w:rPr>
            </w:pPr>
            <w:r>
              <w:rPr>
                <w:rFonts w:eastAsia="NSimSun" w:ascii="Arial" w:hAnsi="Arial"/>
                <w:b/>
                <w:bCs/>
              </w:rPr>
              <w:t>Valor Unitário</w:t>
            </w:r>
          </w:p>
        </w:tc>
        <w:tc>
          <w:tcPr>
            <w:tcW w:w="1603"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pacing w:lineRule="auto" w:line="252" w:before="0" w:after="160"/>
              <w:jc w:val="center"/>
              <w:rPr>
                <w:rFonts w:ascii="Arial" w:hAnsi="Arial"/>
              </w:rPr>
            </w:pPr>
            <w:r>
              <w:rPr>
                <w:rFonts w:eastAsia="NSimSun" w:ascii="Arial" w:hAnsi="Arial"/>
                <w:b/>
                <w:bCs/>
              </w:rPr>
              <w:t>Valor Total</w:t>
            </w:r>
          </w:p>
        </w:tc>
      </w:tr>
      <w:tr>
        <w:trPr/>
        <w:tc>
          <w:tcPr>
            <w:tcW w:w="566" w:type="dxa"/>
            <w:tcBorders>
              <w:left w:val="single" w:sz="4" w:space="0" w:color="000000"/>
              <w:bottom w:val="single" w:sz="4" w:space="0" w:color="000000"/>
            </w:tcBorders>
          </w:tcPr>
          <w:p>
            <w:pPr>
              <w:pStyle w:val="Normal"/>
              <w:widowControl w:val="false"/>
              <w:suppressAutoHyphens w:val="false"/>
              <w:snapToGrid w:val="false"/>
              <w:spacing w:lineRule="auto" w:line="252" w:before="0" w:after="119"/>
              <w:jc w:val="both"/>
              <w:rPr>
                <w:rFonts w:ascii="Arial" w:hAnsi="Arial"/>
              </w:rPr>
            </w:pPr>
            <w:r>
              <w:rPr>
                <w:rFonts w:eastAsia="NSimSun" w:ascii="Arial" w:hAnsi="Arial"/>
                <w:b/>
                <w:bCs/>
              </w:rPr>
              <w:t>1</w:t>
            </w:r>
          </w:p>
        </w:tc>
        <w:tc>
          <w:tcPr>
            <w:tcW w:w="1414" w:type="dxa"/>
            <w:tcBorders>
              <w:left w:val="single" w:sz="4" w:space="0" w:color="000000"/>
              <w:bottom w:val="single" w:sz="4" w:space="0" w:color="000000"/>
            </w:tcBorders>
          </w:tcPr>
          <w:p>
            <w:pPr>
              <w:pStyle w:val="Normal"/>
              <w:widowControl w:val="false"/>
              <w:suppressAutoHyphens w:val="false"/>
              <w:snapToGrid w:val="false"/>
              <w:spacing w:lineRule="atLeast" w:line="100" w:before="0" w:after="160"/>
              <w:jc w:val="center"/>
              <w:rPr>
                <w:rFonts w:ascii="Arial" w:hAnsi="Arial"/>
              </w:rPr>
            </w:pPr>
            <w:r>
              <w:rPr>
                <w:rFonts w:ascii="Arial" w:hAnsi="Arial"/>
              </w:rPr>
              <w:t>1005</w:t>
            </w:r>
          </w:p>
        </w:tc>
        <w:tc>
          <w:tcPr>
            <w:tcW w:w="630" w:type="dxa"/>
            <w:tcBorders>
              <w:left w:val="single" w:sz="4" w:space="0" w:color="000000"/>
              <w:bottom w:val="single" w:sz="4" w:space="0" w:color="000000"/>
            </w:tcBorders>
          </w:tcPr>
          <w:p>
            <w:pPr>
              <w:pStyle w:val="Normal"/>
              <w:widowControl w:val="false"/>
              <w:suppressLineNumbers/>
              <w:snapToGrid w:val="false"/>
              <w:spacing w:lineRule="auto" w:line="252" w:before="0" w:after="160"/>
              <w:rPr>
                <w:rFonts w:ascii="Arial" w:hAnsi="Arial"/>
              </w:rPr>
            </w:pPr>
            <w:r>
              <w:rPr>
                <w:rFonts w:eastAsia="Times New Roman" w:ascii="Arial" w:hAnsi="Arial"/>
                <w:b/>
                <w:bCs/>
                <w:color w:val="000000"/>
                <w:sz w:val="21"/>
                <w:szCs w:val="21"/>
                <w:lang w:eastAsia="pt-BR"/>
              </w:rPr>
              <w:t>kg</w:t>
            </w:r>
          </w:p>
        </w:tc>
        <w:tc>
          <w:tcPr>
            <w:tcW w:w="4762" w:type="dxa"/>
            <w:tcBorders>
              <w:left w:val="single" w:sz="4" w:space="0" w:color="000000"/>
              <w:bottom w:val="single" w:sz="4" w:space="0" w:color="000000"/>
            </w:tcBorders>
          </w:tcPr>
          <w:p>
            <w:pPr>
              <w:pStyle w:val="Normal"/>
              <w:widowControl w:val="false"/>
              <w:jc w:val="both"/>
              <w:rPr>
                <w:rFonts w:ascii="Arial" w:hAnsi="Arial"/>
              </w:rPr>
            </w:pPr>
            <w:r>
              <w:rPr>
                <w:rFonts w:ascii="Arial" w:hAnsi="Arial"/>
                <w:b/>
                <w:bCs/>
                <w:sz w:val="21"/>
                <w:szCs w:val="21"/>
              </w:rPr>
              <w:t>Carne bovina, resfriada</w:t>
            </w:r>
            <w:r>
              <w:rPr>
                <w:rFonts w:ascii="Arial" w:hAnsi="Arial"/>
                <w:sz w:val="21"/>
                <w:szCs w:val="21"/>
              </w:rPr>
              <w:t>, 1ª (primeira), pedaços com no mínimo 01 kg (um quilograma) com inspeção sanitária e com procedência impressa na embalagem. Na entrega o produto não poderá ter validade superior de 04 (quatro) meses e data de fabricação máxima de 30 (trinta) dias.</w:t>
            </w:r>
          </w:p>
          <w:p>
            <w:pPr>
              <w:pStyle w:val="Normal"/>
              <w:widowControl w:val="false"/>
              <w:suppressLineNumbers/>
              <w:suppressAutoHyphens w:val="false"/>
              <w:snapToGrid w:val="false"/>
              <w:spacing w:lineRule="auto" w:line="252" w:before="0" w:after="160"/>
              <w:jc w:val="both"/>
              <w:rPr>
                <w:rFonts w:ascii="Arial" w:hAnsi="Arial"/>
              </w:rPr>
            </w:pPr>
            <w:r>
              <w:rPr>
                <w:rFonts w:ascii="Arial" w:hAnsi="Arial"/>
              </w:rPr>
            </w:r>
          </w:p>
        </w:tc>
        <w:tc>
          <w:tcPr>
            <w:tcW w:w="1072" w:type="dxa"/>
            <w:tcBorders>
              <w:left w:val="single" w:sz="4" w:space="0" w:color="000000"/>
              <w:bottom w:val="single" w:sz="4" w:space="0" w:color="000000"/>
            </w:tcBorders>
          </w:tcPr>
          <w:p>
            <w:pPr>
              <w:pStyle w:val="Normal"/>
              <w:widowControl w:val="false"/>
              <w:spacing w:lineRule="auto" w:line="240" w:before="0" w:after="160"/>
              <w:jc w:val="right"/>
              <w:rPr>
                <w:rFonts w:ascii="Arial" w:hAnsi="Arial"/>
              </w:rPr>
            </w:pPr>
            <w:r>
              <w:rPr>
                <w:rFonts w:eastAsia="NSimSun" w:ascii="Arial" w:hAnsi="Arial"/>
              </w:rPr>
              <w:t>37,67</w:t>
            </w:r>
          </w:p>
        </w:tc>
        <w:tc>
          <w:tcPr>
            <w:tcW w:w="1603" w:type="dxa"/>
            <w:tcBorders>
              <w:left w:val="single" w:sz="4" w:space="0" w:color="000000"/>
              <w:bottom w:val="single" w:sz="4" w:space="0" w:color="000000"/>
              <w:right w:val="single" w:sz="4" w:space="0" w:color="000000"/>
            </w:tcBorders>
          </w:tcPr>
          <w:p>
            <w:pPr>
              <w:pStyle w:val="Normal"/>
              <w:widowControl w:val="false"/>
              <w:suppressAutoHyphens w:val="false"/>
              <w:spacing w:lineRule="auto" w:line="252" w:before="0" w:after="160"/>
              <w:jc w:val="right"/>
              <w:rPr>
                <w:rFonts w:ascii="Arial" w:hAnsi="Arial"/>
              </w:rPr>
            </w:pPr>
            <w:r>
              <w:rPr>
                <w:rFonts w:eastAsia="Calibri" w:ascii="Arial" w:hAnsi="Arial"/>
                <w:kern w:val="0"/>
                <w:lang w:eastAsia="pt-BR" w:bidi="ar-SA"/>
              </w:rPr>
              <w:t>37.858,35</w:t>
            </w:r>
          </w:p>
        </w:tc>
      </w:tr>
      <w:tr>
        <w:trPr/>
        <w:tc>
          <w:tcPr>
            <w:tcW w:w="566" w:type="dxa"/>
            <w:tcBorders>
              <w:left w:val="single" w:sz="4" w:space="0" w:color="000000"/>
              <w:bottom w:val="single" w:sz="4" w:space="0" w:color="000000"/>
            </w:tcBorders>
          </w:tcPr>
          <w:p>
            <w:pPr>
              <w:pStyle w:val="Normal"/>
              <w:widowControl w:val="false"/>
              <w:suppressAutoHyphens w:val="false"/>
              <w:snapToGrid w:val="false"/>
              <w:spacing w:lineRule="auto" w:line="252" w:before="0" w:after="119"/>
              <w:jc w:val="both"/>
              <w:rPr>
                <w:rFonts w:ascii="Arial" w:hAnsi="Arial"/>
              </w:rPr>
            </w:pPr>
            <w:r>
              <w:rPr>
                <w:rFonts w:eastAsia="NSimSun" w:ascii="Arial" w:hAnsi="Arial"/>
                <w:b/>
                <w:bCs/>
              </w:rPr>
              <w:t>2</w:t>
            </w:r>
          </w:p>
        </w:tc>
        <w:tc>
          <w:tcPr>
            <w:tcW w:w="1414" w:type="dxa"/>
            <w:tcBorders>
              <w:left w:val="single" w:sz="4" w:space="0" w:color="000000"/>
              <w:bottom w:val="single" w:sz="4" w:space="0" w:color="000000"/>
            </w:tcBorders>
          </w:tcPr>
          <w:p>
            <w:pPr>
              <w:pStyle w:val="Normal"/>
              <w:widowControl w:val="false"/>
              <w:suppressAutoHyphens w:val="false"/>
              <w:snapToGrid w:val="false"/>
              <w:spacing w:lineRule="atLeast" w:line="100" w:before="0" w:after="160"/>
              <w:jc w:val="center"/>
              <w:rPr>
                <w:rFonts w:ascii="Arial" w:hAnsi="Arial"/>
              </w:rPr>
            </w:pPr>
            <w:r>
              <w:rPr>
                <w:rFonts w:ascii="Arial" w:hAnsi="Arial"/>
              </w:rPr>
              <w:t>525</w:t>
            </w:r>
          </w:p>
        </w:tc>
        <w:tc>
          <w:tcPr>
            <w:tcW w:w="630" w:type="dxa"/>
            <w:tcBorders>
              <w:left w:val="single" w:sz="4" w:space="0" w:color="000000"/>
              <w:bottom w:val="single" w:sz="4" w:space="0" w:color="000000"/>
            </w:tcBorders>
          </w:tcPr>
          <w:p>
            <w:pPr>
              <w:pStyle w:val="Normal"/>
              <w:widowControl w:val="false"/>
              <w:suppressLineNumbers/>
              <w:snapToGrid w:val="false"/>
              <w:spacing w:lineRule="auto" w:line="252" w:before="0" w:after="160"/>
              <w:rPr>
                <w:rFonts w:ascii="Arial" w:hAnsi="Arial"/>
              </w:rPr>
            </w:pPr>
            <w:r>
              <w:rPr>
                <w:rFonts w:eastAsia="Times New Roman" w:ascii="Arial" w:hAnsi="Arial"/>
                <w:color w:val="000000"/>
                <w:sz w:val="21"/>
                <w:szCs w:val="21"/>
                <w:lang w:eastAsia="pt-BR"/>
              </w:rPr>
              <w:t>kg</w:t>
            </w:r>
          </w:p>
        </w:tc>
        <w:tc>
          <w:tcPr>
            <w:tcW w:w="4762" w:type="dxa"/>
            <w:tcBorders>
              <w:left w:val="single" w:sz="4" w:space="0" w:color="000000"/>
              <w:bottom w:val="single" w:sz="4" w:space="0" w:color="000000"/>
            </w:tcBorders>
          </w:tcPr>
          <w:p>
            <w:pPr>
              <w:pStyle w:val="Normal"/>
              <w:widowControl w:val="false"/>
              <w:jc w:val="both"/>
              <w:rPr>
                <w:rFonts w:ascii="Arial" w:hAnsi="Arial"/>
              </w:rPr>
            </w:pPr>
            <w:r>
              <w:rPr>
                <w:rFonts w:ascii="Arial" w:hAnsi="Arial"/>
                <w:b/>
                <w:bCs/>
                <w:sz w:val="21"/>
                <w:szCs w:val="21"/>
              </w:rPr>
              <w:t>Carne suína, resfriada</w:t>
            </w:r>
            <w:r>
              <w:rPr>
                <w:rFonts w:ascii="Arial" w:hAnsi="Arial"/>
                <w:sz w:val="21"/>
                <w:szCs w:val="21"/>
              </w:rPr>
              <w:t>, 1ª (primeira), pedaços com no mínimo 01 kg (um quilograma) com inspeção sanitária e com procedência impressa na embalagem. Na entrega o produto não poderá ter validade superior de 04 (quatro) meses e data de fabricação máxima de 30 (trinta) dias.</w:t>
            </w:r>
          </w:p>
          <w:p>
            <w:pPr>
              <w:pStyle w:val="Normal"/>
              <w:widowControl w:val="false"/>
              <w:suppressLineNumbers/>
              <w:suppressAutoHyphens w:val="false"/>
              <w:snapToGrid w:val="false"/>
              <w:spacing w:lineRule="auto" w:line="252" w:before="0" w:after="160"/>
              <w:jc w:val="both"/>
              <w:rPr>
                <w:rFonts w:ascii="Arial" w:hAnsi="Arial"/>
              </w:rPr>
            </w:pPr>
            <w:r>
              <w:rPr>
                <w:rFonts w:ascii="Arial" w:hAnsi="Arial"/>
              </w:rPr>
            </w:r>
          </w:p>
        </w:tc>
        <w:tc>
          <w:tcPr>
            <w:tcW w:w="1072" w:type="dxa"/>
            <w:tcBorders>
              <w:left w:val="single" w:sz="4" w:space="0" w:color="000000"/>
              <w:bottom w:val="single" w:sz="4" w:space="0" w:color="000000"/>
            </w:tcBorders>
          </w:tcPr>
          <w:p>
            <w:pPr>
              <w:pStyle w:val="Normal"/>
              <w:widowControl w:val="false"/>
              <w:spacing w:lineRule="auto" w:line="240" w:before="0" w:after="160"/>
              <w:jc w:val="right"/>
              <w:rPr>
                <w:rFonts w:ascii="Arial" w:hAnsi="Arial"/>
              </w:rPr>
            </w:pPr>
            <w:r>
              <w:rPr>
                <w:rFonts w:eastAsia="NSimSun" w:ascii="Arial" w:hAnsi="Arial"/>
              </w:rPr>
              <w:t>20,09</w:t>
            </w:r>
          </w:p>
        </w:tc>
        <w:tc>
          <w:tcPr>
            <w:tcW w:w="1603" w:type="dxa"/>
            <w:tcBorders>
              <w:left w:val="single" w:sz="4" w:space="0" w:color="000000"/>
              <w:bottom w:val="single" w:sz="4" w:space="0" w:color="000000"/>
              <w:right w:val="single" w:sz="4" w:space="0" w:color="000000"/>
            </w:tcBorders>
          </w:tcPr>
          <w:p>
            <w:pPr>
              <w:pStyle w:val="Normal"/>
              <w:widowControl w:val="false"/>
              <w:suppressAutoHyphens w:val="false"/>
              <w:spacing w:lineRule="auto" w:line="252" w:before="0" w:after="160"/>
              <w:jc w:val="right"/>
              <w:rPr>
                <w:rFonts w:ascii="Arial" w:hAnsi="Arial"/>
              </w:rPr>
            </w:pPr>
            <w:r>
              <w:rPr>
                <w:rFonts w:eastAsia="Calibri" w:ascii="Arial" w:hAnsi="Arial"/>
                <w:kern w:val="0"/>
                <w:lang w:eastAsia="pt-BR" w:bidi="ar-SA"/>
              </w:rPr>
              <w:t>10.547,25</w:t>
            </w:r>
          </w:p>
        </w:tc>
      </w:tr>
      <w:tr>
        <w:trPr/>
        <w:tc>
          <w:tcPr>
            <w:tcW w:w="566" w:type="dxa"/>
            <w:tcBorders>
              <w:left w:val="single" w:sz="4" w:space="0" w:color="000000"/>
              <w:bottom w:val="single" w:sz="4" w:space="0" w:color="000000"/>
            </w:tcBorders>
          </w:tcPr>
          <w:p>
            <w:pPr>
              <w:pStyle w:val="Normal"/>
              <w:widowControl w:val="false"/>
              <w:suppressAutoHyphens w:val="false"/>
              <w:snapToGrid w:val="false"/>
              <w:spacing w:lineRule="auto" w:line="252" w:before="0" w:after="119"/>
              <w:jc w:val="both"/>
              <w:rPr>
                <w:rFonts w:ascii="Arial" w:hAnsi="Arial"/>
              </w:rPr>
            </w:pPr>
            <w:r>
              <w:rPr>
                <w:rFonts w:eastAsia="NSimSun" w:ascii="Arial" w:hAnsi="Arial"/>
                <w:b/>
                <w:bCs/>
              </w:rPr>
              <w:t>3</w:t>
            </w:r>
          </w:p>
        </w:tc>
        <w:tc>
          <w:tcPr>
            <w:tcW w:w="1414" w:type="dxa"/>
            <w:tcBorders>
              <w:left w:val="single" w:sz="4" w:space="0" w:color="000000"/>
              <w:bottom w:val="single" w:sz="4" w:space="0" w:color="000000"/>
            </w:tcBorders>
          </w:tcPr>
          <w:p>
            <w:pPr>
              <w:pStyle w:val="Normal"/>
              <w:widowControl w:val="false"/>
              <w:suppressAutoHyphens w:val="false"/>
              <w:snapToGrid w:val="false"/>
              <w:spacing w:lineRule="atLeast" w:line="100" w:before="0" w:after="160"/>
              <w:jc w:val="center"/>
              <w:rPr>
                <w:rFonts w:ascii="Arial" w:hAnsi="Arial"/>
              </w:rPr>
            </w:pPr>
            <w:r>
              <w:rPr>
                <w:rFonts w:ascii="Arial" w:hAnsi="Arial"/>
              </w:rPr>
              <w:t>450</w:t>
            </w:r>
          </w:p>
        </w:tc>
        <w:tc>
          <w:tcPr>
            <w:tcW w:w="630" w:type="dxa"/>
            <w:tcBorders>
              <w:left w:val="single" w:sz="4" w:space="0" w:color="000000"/>
              <w:bottom w:val="single" w:sz="4" w:space="0" w:color="000000"/>
            </w:tcBorders>
          </w:tcPr>
          <w:p>
            <w:pPr>
              <w:pStyle w:val="Normal"/>
              <w:widowControl w:val="false"/>
              <w:suppressLineNumbers/>
              <w:snapToGrid w:val="false"/>
              <w:spacing w:lineRule="auto" w:line="252" w:before="0" w:after="160"/>
              <w:rPr>
                <w:rFonts w:ascii="Arial" w:hAnsi="Arial"/>
              </w:rPr>
            </w:pPr>
            <w:r>
              <w:rPr>
                <w:rFonts w:eastAsia="Times New Roman" w:ascii="Arial" w:hAnsi="Arial"/>
                <w:color w:val="000000"/>
                <w:sz w:val="21"/>
                <w:szCs w:val="21"/>
                <w:lang w:eastAsia="pt-BR"/>
              </w:rPr>
              <w:t>kg</w:t>
            </w:r>
          </w:p>
        </w:tc>
        <w:tc>
          <w:tcPr>
            <w:tcW w:w="4762" w:type="dxa"/>
            <w:tcBorders>
              <w:left w:val="single" w:sz="4" w:space="0" w:color="000000"/>
              <w:bottom w:val="single" w:sz="4" w:space="0" w:color="000000"/>
            </w:tcBorders>
          </w:tcPr>
          <w:p>
            <w:pPr>
              <w:pStyle w:val="Normal"/>
              <w:widowControl w:val="false"/>
              <w:suppressLineNumbers/>
              <w:suppressAutoHyphens w:val="false"/>
              <w:snapToGrid w:val="false"/>
              <w:spacing w:lineRule="auto" w:line="252" w:before="0" w:after="160"/>
              <w:jc w:val="both"/>
              <w:rPr>
                <w:rFonts w:ascii="Arial" w:hAnsi="Arial"/>
              </w:rPr>
            </w:pPr>
            <w:r>
              <w:rPr>
                <w:rFonts w:ascii="Arial" w:hAnsi="Arial"/>
                <w:b/>
                <w:bCs/>
                <w:sz w:val="21"/>
                <w:szCs w:val="21"/>
              </w:rPr>
              <w:t>Carcaça suína</w:t>
            </w:r>
            <w:r>
              <w:rPr>
                <w:rFonts w:ascii="Arial" w:hAnsi="Arial"/>
                <w:sz w:val="21"/>
                <w:szCs w:val="21"/>
              </w:rPr>
              <w:t xml:space="preserve"> em pedaços com pele resfriada, aspecto próprio, não amolecida e nem pegajosa, cor própria sem manchas esverdeadas, cheiro e sabor próprio, com ausência de sujidades, parasitos, larvas ou qualquer substância contaminante que possa alterá-la ou encobrir alguma alteração, devendo conter no máximo 10% de gordura, com cartilagens e ossos, e conter no máximo 3% de aponevroses (nervos), acondicionada em embalagem plástica de polipropileno, resistente e transparente, de 5 kg ou 10 kg, na embalagem deverá constar informações do fabricante, especificação do produto, data de fabricação e prazo de validade de 4 meses.</w:t>
            </w:r>
          </w:p>
        </w:tc>
        <w:tc>
          <w:tcPr>
            <w:tcW w:w="1072" w:type="dxa"/>
            <w:tcBorders>
              <w:left w:val="single" w:sz="4" w:space="0" w:color="000000"/>
              <w:bottom w:val="single" w:sz="4" w:space="0" w:color="000000"/>
            </w:tcBorders>
          </w:tcPr>
          <w:p>
            <w:pPr>
              <w:pStyle w:val="Normal"/>
              <w:widowControl w:val="false"/>
              <w:spacing w:lineRule="auto" w:line="240" w:before="0" w:after="160"/>
              <w:jc w:val="right"/>
              <w:rPr>
                <w:rFonts w:ascii="Arial" w:hAnsi="Arial"/>
              </w:rPr>
            </w:pPr>
            <w:r>
              <w:rPr>
                <w:rFonts w:eastAsia="NSimSun" w:ascii="Arial" w:hAnsi="Arial"/>
              </w:rPr>
              <w:t>16,92</w:t>
            </w:r>
          </w:p>
        </w:tc>
        <w:tc>
          <w:tcPr>
            <w:tcW w:w="1603" w:type="dxa"/>
            <w:tcBorders>
              <w:left w:val="single" w:sz="4" w:space="0" w:color="000000"/>
              <w:bottom w:val="single" w:sz="4" w:space="0" w:color="000000"/>
              <w:right w:val="single" w:sz="4" w:space="0" w:color="000000"/>
            </w:tcBorders>
          </w:tcPr>
          <w:p>
            <w:pPr>
              <w:pStyle w:val="Normal"/>
              <w:widowControl w:val="false"/>
              <w:suppressAutoHyphens w:val="false"/>
              <w:spacing w:lineRule="auto" w:line="252" w:before="0" w:after="160"/>
              <w:jc w:val="right"/>
              <w:rPr>
                <w:rFonts w:ascii="Arial" w:hAnsi="Arial"/>
              </w:rPr>
            </w:pPr>
            <w:r>
              <w:rPr>
                <w:rFonts w:eastAsia="Calibri" w:ascii="Arial" w:hAnsi="Arial"/>
                <w:kern w:val="0"/>
                <w:lang w:eastAsia="pt-BR" w:bidi="ar-SA"/>
              </w:rPr>
              <w:t>7.614,00</w:t>
            </w:r>
          </w:p>
        </w:tc>
      </w:tr>
      <w:tr>
        <w:trPr/>
        <w:tc>
          <w:tcPr>
            <w:tcW w:w="8444" w:type="dxa"/>
            <w:gridSpan w:val="5"/>
            <w:tcBorders>
              <w:left w:val="single" w:sz="4" w:space="0" w:color="000000"/>
              <w:bottom w:val="single" w:sz="4" w:space="0" w:color="000000"/>
            </w:tcBorders>
          </w:tcPr>
          <w:p>
            <w:pPr>
              <w:pStyle w:val="Normal"/>
              <w:widowControl w:val="false"/>
              <w:suppressAutoHyphens w:val="false"/>
              <w:snapToGrid w:val="false"/>
              <w:spacing w:lineRule="auto" w:line="252" w:before="0" w:after="119"/>
              <w:jc w:val="center"/>
              <w:rPr>
                <w:rFonts w:ascii="Arial" w:hAnsi="Arial"/>
              </w:rPr>
            </w:pPr>
            <w:r>
              <w:rPr>
                <w:rFonts w:eastAsia="NSimSun" w:ascii="Arial" w:hAnsi="Arial"/>
                <w:b/>
                <w:bCs/>
              </w:rPr>
              <w:t>TOTAL</w:t>
            </w:r>
          </w:p>
        </w:tc>
        <w:tc>
          <w:tcPr>
            <w:tcW w:w="1603" w:type="dxa"/>
            <w:tcBorders>
              <w:left w:val="single" w:sz="4" w:space="0" w:color="000000"/>
              <w:bottom w:val="single" w:sz="4" w:space="0" w:color="000000"/>
              <w:right w:val="single" w:sz="4" w:space="0" w:color="000000"/>
            </w:tcBorders>
          </w:tcPr>
          <w:p>
            <w:pPr>
              <w:pStyle w:val="Normal"/>
              <w:widowControl w:val="false"/>
              <w:spacing w:lineRule="auto" w:line="240" w:before="0" w:after="160"/>
              <w:jc w:val="right"/>
              <w:rPr>
                <w:rFonts w:ascii="Arial" w:hAnsi="Arial"/>
              </w:rPr>
            </w:pPr>
            <w:r>
              <w:rPr>
                <w:rFonts w:eastAsia="NSimSun" w:ascii="Arial" w:hAnsi="Arial"/>
                <w:b/>
                <w:bCs/>
              </w:rPr>
              <w:t>56.019,60</w:t>
            </w:r>
          </w:p>
        </w:tc>
      </w:tr>
    </w:tbl>
    <w:p>
      <w:pPr>
        <w:pStyle w:val="Normal"/>
        <w:spacing w:lineRule="auto" w:line="360"/>
        <w:rPr>
          <w:rFonts w:ascii="Arial" w:hAnsi="Arial"/>
        </w:rPr>
      </w:pPr>
      <w:r>
        <w:rPr>
          <w:rFonts w:ascii="Arial" w:hAnsi="Arial"/>
        </w:rPr>
      </w:r>
    </w:p>
    <w:p>
      <w:pPr>
        <w:pStyle w:val="ListParagraph"/>
        <w:numPr>
          <w:ilvl w:val="0"/>
          <w:numId w:val="0"/>
        </w:numPr>
        <w:spacing w:lineRule="auto" w:line="360" w:before="142" w:after="142"/>
        <w:ind w:left="0" w:hanging="0"/>
        <w:contextualSpacing/>
        <w:rPr>
          <w:rFonts w:ascii="Arial" w:hAnsi="Arial"/>
        </w:rPr>
      </w:pPr>
      <w:r>
        <w:rPr>
          <w:rFonts w:ascii="Arial" w:hAnsi="Arial"/>
          <w:b/>
        </w:rPr>
        <w:t>6.</w:t>
        <w:tab/>
        <w:t>ADEQUAÇÃO ORÇAMENTÁRIA</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As despesas decorrentes das aquisições, objeto do presente certame, correrão à conta de dotação específica dos orçamentos de cada Órgão Participante referente ao exercício de 2024 e seguintes. </w:t>
      </w:r>
    </w:p>
    <w:p>
      <w:pPr>
        <w:pStyle w:val="Normal"/>
        <w:suppressAutoHyphens w:val="false"/>
        <w:ind w:right="-1" w:hanging="0"/>
        <w:rPr>
          <w:rFonts w:ascii="Arial" w:hAnsi="Arial"/>
        </w:rPr>
      </w:pPr>
      <w:r>
        <w:rPr>
          <w:rFonts w:eastAsia="Times New Roman" w:ascii="Arial" w:hAnsi="Arial"/>
          <w:b/>
          <w:bCs/>
          <w:color w:val="000000"/>
          <w:kern w:val="0"/>
          <w:u w:val="single"/>
          <w:lang w:eastAsia="pt-BR"/>
        </w:rPr>
        <w:t>Entidade: PREFEITURA MUNICIPAL DE LINDÓIA DO SUL</w:t>
      </w:r>
    </w:p>
    <w:p>
      <w:pPr>
        <w:pStyle w:val="Normal"/>
        <w:suppressAutoHyphens w:val="false"/>
        <w:rPr>
          <w:rFonts w:ascii="Arial" w:hAnsi="Arial"/>
        </w:rPr>
      </w:pPr>
      <w:r>
        <w:rPr>
          <w:rFonts w:eastAsia="NSimSun" w:ascii="Arial" w:hAnsi="Arial"/>
          <w:b/>
          <w:bCs/>
        </w:rPr>
        <w:t>Órgão/Unidade: 03.001 Secretaria Municipal de Administração e Finanças</w:t>
      </w:r>
    </w:p>
    <w:p>
      <w:pPr>
        <w:pStyle w:val="Normal"/>
        <w:suppressAutoHyphens w:val="false"/>
        <w:rPr>
          <w:rFonts w:ascii="Arial" w:hAnsi="Arial"/>
        </w:rPr>
      </w:pPr>
      <w:r>
        <w:rPr>
          <w:rFonts w:eastAsia="NSimSun" w:ascii="Arial" w:hAnsi="Arial"/>
        </w:rPr>
        <w:t>Proj/ Ativ.: 2003 - Manutenção da Secretaria de Administra e Finanças</w:t>
      </w:r>
    </w:p>
    <w:p>
      <w:pPr>
        <w:pStyle w:val="Normal"/>
        <w:suppressAutoHyphens w:val="false"/>
        <w:rPr>
          <w:rFonts w:ascii="Arial" w:hAnsi="Arial"/>
        </w:rPr>
      </w:pPr>
      <w:r>
        <w:rPr>
          <w:rFonts w:eastAsia="NSimSun" w:ascii="Arial" w:hAnsi="Arial"/>
        </w:rPr>
        <w:t>Elemento: 3.3.90.00.00.00.00.00 - Aplicações Diretas</w:t>
      </w:r>
    </w:p>
    <w:p>
      <w:pPr>
        <w:pStyle w:val="Normal"/>
        <w:suppressAutoHyphens w:val="false"/>
        <w:rPr>
          <w:rFonts w:ascii="Arial" w:hAnsi="Arial"/>
        </w:rPr>
      </w:pPr>
      <w:r>
        <w:rPr>
          <w:rFonts w:eastAsia="NSimSun" w:ascii="Arial" w:hAnsi="Arial"/>
          <w:b/>
          <w:bCs/>
        </w:rPr>
        <w:t>13</w:t>
      </w:r>
      <w:r>
        <w:rPr>
          <w:rFonts w:eastAsia="NSimSun" w:ascii="Arial" w:hAnsi="Arial"/>
        </w:rPr>
        <w:t xml:space="preserve"> Recurso 1.500.0000.0104 – Recursos Ordinário </w:t>
      </w:r>
      <w:r>
        <w:rPr>
          <w:rFonts w:eastAsia="NSimSun" w:ascii="Arial" w:hAnsi="Arial"/>
          <w:b/>
          <w:bCs/>
        </w:rPr>
        <w:t>R$ 6.303,40</w:t>
      </w:r>
    </w:p>
    <w:p>
      <w:pPr>
        <w:pStyle w:val="Normal"/>
        <w:suppressAutoHyphens w:val="false"/>
        <w:rPr>
          <w:rFonts w:ascii="Arial" w:hAnsi="Arial" w:eastAsia="Times New Roman"/>
          <w:color w:val="000000"/>
          <w:kern w:val="0"/>
          <w:highlight w:val="yellow"/>
          <w:lang w:eastAsia="pt-BR"/>
        </w:rPr>
      </w:pPr>
      <w:r>
        <w:rPr>
          <w:rFonts w:eastAsia="Times New Roman" w:ascii="Arial" w:hAnsi="Arial"/>
          <w:color w:val="000000"/>
          <w:kern w:val="0"/>
          <w:highlight w:val="yellow"/>
          <w:lang w:eastAsia="pt-BR"/>
        </w:rPr>
      </w:r>
    </w:p>
    <w:p>
      <w:pPr>
        <w:pStyle w:val="Normal"/>
        <w:suppressAutoHyphens w:val="false"/>
        <w:rPr>
          <w:rFonts w:ascii="Arial" w:hAnsi="Arial"/>
        </w:rPr>
      </w:pPr>
      <w:r>
        <w:rPr>
          <w:rFonts w:eastAsia="Times New Roman" w:ascii="Arial" w:hAnsi="Arial"/>
          <w:b/>
          <w:bCs/>
          <w:color w:val="000000"/>
          <w:kern w:val="0"/>
          <w:lang w:eastAsia="pt-BR"/>
        </w:rPr>
        <w:t>Órgão/Unidade: 02.002 Gabinete do Prefeito e Vice</w:t>
      </w:r>
    </w:p>
    <w:p>
      <w:pPr>
        <w:pStyle w:val="Normal"/>
        <w:suppressAutoHyphens w:val="false"/>
        <w:rPr>
          <w:rFonts w:ascii="Arial" w:hAnsi="Arial"/>
        </w:rPr>
      </w:pPr>
      <w:r>
        <w:rPr>
          <w:rFonts w:eastAsia="Times New Roman" w:ascii="Arial" w:hAnsi="Arial"/>
          <w:color w:val="000000"/>
          <w:kern w:val="0"/>
          <w:lang w:eastAsia="pt-BR"/>
        </w:rPr>
        <w:t>Proj/ Ativ.: Manutenção do Gabinete do Prefeito e Vice</w:t>
      </w:r>
    </w:p>
    <w:p>
      <w:pPr>
        <w:pStyle w:val="Normal"/>
        <w:suppressAutoHyphens w:val="false"/>
        <w:rPr>
          <w:rFonts w:ascii="Arial" w:hAnsi="Arial"/>
        </w:rPr>
      </w:pPr>
      <w:r>
        <w:rPr>
          <w:rFonts w:eastAsia="Times New Roman" w:ascii="Arial" w:hAnsi="Arial"/>
          <w:color w:val="000000"/>
          <w:kern w:val="0"/>
          <w:lang w:eastAsia="pt-BR"/>
        </w:rPr>
        <w:t>Elemento: 3.3.90.00.00.00.00.00 - Aplicações Diretas</w:t>
      </w:r>
    </w:p>
    <w:p>
      <w:pPr>
        <w:pStyle w:val="Normal"/>
        <w:suppressAutoHyphens w:val="false"/>
        <w:rPr>
          <w:rFonts w:ascii="Arial" w:hAnsi="Arial"/>
        </w:rPr>
      </w:pPr>
      <w:r>
        <w:rPr>
          <w:rFonts w:eastAsia="Times New Roman" w:ascii="Arial" w:hAnsi="Arial"/>
          <w:b/>
          <w:bCs/>
          <w:color w:val="000000"/>
          <w:kern w:val="0"/>
          <w:lang w:eastAsia="pt-BR"/>
        </w:rPr>
        <w:t>3</w:t>
      </w:r>
      <w:r>
        <w:rPr>
          <w:rFonts w:eastAsia="Times New Roman" w:ascii="Arial" w:hAnsi="Arial"/>
          <w:color w:val="000000"/>
          <w:kern w:val="0"/>
          <w:lang w:eastAsia="pt-BR"/>
        </w:rPr>
        <w:t xml:space="preserve"> Recurso: 1.500.0000.0104 - Recursos Ordinários</w:t>
      </w:r>
      <w:r>
        <w:rPr>
          <w:rFonts w:eastAsia="NSimSun" w:ascii="Arial" w:hAnsi="Arial"/>
          <w:b/>
          <w:bCs/>
        </w:rPr>
        <w:t xml:space="preserve"> R$ 15.319,00</w:t>
      </w:r>
    </w:p>
    <w:p>
      <w:pPr>
        <w:pStyle w:val="Normal"/>
        <w:suppressAutoHyphens w:val="false"/>
        <w:rPr>
          <w:rFonts w:ascii="Arial" w:hAnsi="Arial" w:eastAsia="Times New Roman"/>
          <w:color w:val="000000"/>
          <w:kern w:val="0"/>
          <w:highlight w:val="yellow"/>
          <w:lang w:eastAsia="pt-BR"/>
        </w:rPr>
      </w:pPr>
      <w:r>
        <w:rPr>
          <w:rFonts w:eastAsia="Times New Roman" w:ascii="Arial" w:hAnsi="Arial"/>
          <w:color w:val="000000"/>
          <w:kern w:val="0"/>
          <w:highlight w:val="yellow"/>
          <w:lang w:eastAsia="pt-BR"/>
        </w:rPr>
      </w:r>
    </w:p>
    <w:p>
      <w:pPr>
        <w:pStyle w:val="Normal1"/>
        <w:tabs>
          <w:tab w:val="clear" w:pos="708"/>
          <w:tab w:val="left" w:pos="1701" w:leader="none"/>
        </w:tabs>
        <w:spacing w:lineRule="auto" w:line="360"/>
        <w:jc w:val="both"/>
        <w:textAlignment w:val="baseline"/>
        <w:rPr>
          <w:rFonts w:ascii="Arial" w:hAnsi="Arial"/>
        </w:rPr>
      </w:pPr>
      <w:r>
        <w:rPr>
          <w:rFonts w:eastAsia="Calibri" w:cs="Arial" w:ascii="Arial" w:hAnsi="Arial" w:eastAsiaTheme="minorHAnsi"/>
          <w:b/>
          <w:color w:val="auto"/>
          <w:kern w:val="0"/>
          <w:sz w:val="21"/>
          <w:szCs w:val="21"/>
          <w:lang w:eastAsia="en-US" w:bidi="ar-SA"/>
        </w:rPr>
        <w:t>06.002 SECRETARIA DE INFRAESTRUTURA E TRANSPORTES/DIRETORIA DE INFRAESTRUTURA E TRANSPORTES</w:t>
      </w:r>
    </w:p>
    <w:p>
      <w:pPr>
        <w:pStyle w:val="Normal1"/>
        <w:tabs>
          <w:tab w:val="clear" w:pos="708"/>
          <w:tab w:val="left" w:pos="1701" w:leader="none"/>
        </w:tabs>
        <w:spacing w:lineRule="auto" w:line="360"/>
        <w:jc w:val="both"/>
        <w:textAlignment w:val="baseline"/>
        <w:rPr>
          <w:rFonts w:ascii="Arial" w:hAnsi="Arial"/>
        </w:rPr>
      </w:pPr>
      <w:r>
        <w:rPr>
          <w:rFonts w:eastAsia="Calibri" w:cs="Arial" w:ascii="Arial" w:hAnsi="Arial" w:eastAsiaTheme="minorHAnsi"/>
          <w:bCs/>
          <w:color w:val="auto"/>
          <w:kern w:val="0"/>
          <w:sz w:val="21"/>
          <w:szCs w:val="21"/>
          <w:lang w:eastAsia="en-US" w:bidi="ar-SA"/>
        </w:rPr>
        <w:t>2.007 MANUTENÇÃO DAS ATIVIDADES DA DIRETORIA DE INFRAESTRUTURA</w:t>
      </w:r>
    </w:p>
    <w:p>
      <w:pPr>
        <w:pStyle w:val="Normal1"/>
        <w:tabs>
          <w:tab w:val="clear" w:pos="708"/>
          <w:tab w:val="left" w:pos="1701" w:leader="none"/>
        </w:tabs>
        <w:spacing w:lineRule="auto" w:line="360"/>
        <w:jc w:val="both"/>
        <w:textAlignment w:val="baseline"/>
        <w:rPr>
          <w:rFonts w:ascii="Arial" w:hAnsi="Arial"/>
        </w:rPr>
      </w:pPr>
      <w:r>
        <w:rPr>
          <w:rFonts w:eastAsia="Calibri" w:cs="Arial" w:ascii="Arial" w:hAnsi="Arial" w:eastAsiaTheme="minorHAnsi"/>
          <w:bCs/>
          <w:color w:val="auto"/>
          <w:kern w:val="0"/>
          <w:sz w:val="21"/>
          <w:szCs w:val="21"/>
          <w:lang w:eastAsia="en-US" w:bidi="ar-SA"/>
        </w:rPr>
        <w:t>Proj./Atv.: 2.007 Manutenção das atividades da diretoria de infraestrutura</w:t>
      </w:r>
    </w:p>
    <w:p>
      <w:pPr>
        <w:pStyle w:val="Normal"/>
        <w:tabs>
          <w:tab w:val="clear" w:pos="708"/>
          <w:tab w:val="left" w:pos="2340" w:leader="none"/>
          <w:tab w:val="left" w:pos="4464" w:leader="none"/>
        </w:tabs>
        <w:spacing w:lineRule="auto" w:line="360" w:before="142" w:after="142"/>
        <w:jc w:val="both"/>
        <w:rPr>
          <w:rFonts w:ascii="Arial" w:hAnsi="Arial"/>
        </w:rPr>
      </w:pPr>
      <w:r>
        <w:rPr>
          <w:rFonts w:ascii="Arial" w:hAnsi="Arial"/>
          <w:b/>
          <w:sz w:val="21"/>
          <w:szCs w:val="21"/>
        </w:rPr>
        <w:t>91</w:t>
      </w:r>
      <w:r>
        <w:rPr>
          <w:rFonts w:ascii="Arial" w:hAnsi="Arial"/>
          <w:bCs/>
          <w:sz w:val="21"/>
          <w:szCs w:val="21"/>
        </w:rPr>
        <w:t xml:space="preserve"> Recursos 3.3.90.00.00.00.00.00 Aplicações Diretas 2.500.0000.0000 recursos ordinários </w:t>
      </w:r>
      <w:r>
        <w:rPr>
          <w:rFonts w:ascii="Arial" w:hAnsi="Arial"/>
          <w:b/>
          <w:sz w:val="21"/>
          <w:szCs w:val="21"/>
        </w:rPr>
        <w:t>R$ 22.853,00</w:t>
      </w:r>
    </w:p>
    <w:p>
      <w:pPr>
        <w:pStyle w:val="Normal"/>
        <w:tabs>
          <w:tab w:val="clear" w:pos="708"/>
          <w:tab w:val="left" w:pos="2340" w:leader="none"/>
          <w:tab w:val="left" w:pos="4464" w:leader="none"/>
        </w:tabs>
        <w:spacing w:lineRule="auto" w:line="360" w:before="142" w:after="142"/>
        <w:jc w:val="both"/>
        <w:rPr>
          <w:rFonts w:ascii="Arial" w:hAnsi="Arial"/>
          <w:b/>
          <w:b/>
          <w:sz w:val="21"/>
          <w:szCs w:val="21"/>
        </w:rPr>
      </w:pPr>
      <w:r>
        <w:rPr>
          <w:rFonts w:ascii="Arial" w:hAnsi="Arial"/>
          <w:b/>
          <w:sz w:val="21"/>
          <w:szCs w:val="21"/>
        </w:rPr>
      </w:r>
    </w:p>
    <w:p>
      <w:pPr>
        <w:pStyle w:val="Normal1"/>
        <w:tabs>
          <w:tab w:val="clear" w:pos="708"/>
          <w:tab w:val="left" w:pos="1701" w:leader="none"/>
        </w:tabs>
        <w:spacing w:lineRule="auto" w:line="360"/>
        <w:jc w:val="both"/>
        <w:textAlignment w:val="baseline"/>
        <w:rPr>
          <w:rFonts w:ascii="Arial" w:hAnsi="Arial"/>
        </w:rPr>
      </w:pPr>
      <w:r>
        <w:rPr>
          <w:rFonts w:eastAsia="Calibri" w:cs="Arial" w:ascii="Arial" w:hAnsi="Arial" w:eastAsiaTheme="minorHAnsi"/>
          <w:b/>
          <w:color w:val="auto"/>
          <w:kern w:val="0"/>
          <w:sz w:val="21"/>
          <w:szCs w:val="21"/>
          <w:lang w:eastAsia="en-US" w:bidi="ar-SA"/>
        </w:rPr>
        <w:t>07.002 SECRETARIA DE AGRICULTURA E MEIO AMBIENTE/FUNDO MUNICIPAL DE DESENVOLVIMENTO RURAL</w:t>
      </w:r>
    </w:p>
    <w:p>
      <w:pPr>
        <w:pStyle w:val="Normal1"/>
        <w:tabs>
          <w:tab w:val="clear" w:pos="708"/>
          <w:tab w:val="left" w:pos="1701" w:leader="none"/>
        </w:tabs>
        <w:spacing w:lineRule="auto" w:line="360"/>
        <w:jc w:val="both"/>
        <w:textAlignment w:val="baseline"/>
        <w:rPr>
          <w:rFonts w:ascii="Arial" w:hAnsi="Arial"/>
        </w:rPr>
      </w:pPr>
      <w:r>
        <w:rPr>
          <w:rFonts w:eastAsia="Calibri" w:cs="Arial" w:ascii="Arial" w:hAnsi="Arial" w:eastAsiaTheme="minorHAnsi"/>
          <w:bCs/>
          <w:color w:val="auto"/>
          <w:kern w:val="0"/>
          <w:sz w:val="21"/>
          <w:szCs w:val="21"/>
          <w:lang w:eastAsia="en-US" w:bidi="ar-SA"/>
        </w:rPr>
        <w:t>2.030 APOIO ADMINISTRATIVO FUNDO RURAL</w:t>
      </w:r>
    </w:p>
    <w:p>
      <w:pPr>
        <w:pStyle w:val="Normal"/>
        <w:suppressAutoHyphens w:val="false"/>
        <w:rPr>
          <w:rFonts w:ascii="Arial" w:hAnsi="Arial"/>
        </w:rPr>
      </w:pPr>
      <w:r>
        <w:rPr>
          <w:rFonts w:ascii="Arial" w:hAnsi="Arial"/>
          <w:b/>
          <w:sz w:val="21"/>
          <w:szCs w:val="21"/>
        </w:rPr>
        <w:t xml:space="preserve">105 </w:t>
      </w:r>
      <w:r>
        <w:rPr>
          <w:rFonts w:ascii="Arial" w:hAnsi="Arial"/>
          <w:bCs/>
          <w:sz w:val="21"/>
          <w:szCs w:val="21"/>
        </w:rPr>
        <w:t xml:space="preserve">Recursos 3.3.90.00.00.00.00.00 Aplicações Diretas 2.500.0000.0000 recursos ordinários. </w:t>
      </w:r>
      <w:r>
        <w:rPr>
          <w:rFonts w:ascii="Arial" w:hAnsi="Arial"/>
          <w:b/>
          <w:sz w:val="21"/>
          <w:szCs w:val="21"/>
        </w:rPr>
        <w:t>R$ 9.924,40</w:t>
      </w:r>
    </w:p>
    <w:p>
      <w:pPr>
        <w:pStyle w:val="Normal"/>
        <w:suppressAutoHyphens w:val="false"/>
        <w:rPr>
          <w:rFonts w:ascii="Arial" w:hAnsi="Arial" w:eastAsia="NSimSun"/>
        </w:rPr>
      </w:pPr>
      <w:r>
        <w:rPr>
          <w:rFonts w:eastAsia="NSimSun" w:ascii="Arial" w:hAnsi="Arial"/>
        </w:rPr>
      </w:r>
    </w:p>
    <w:p>
      <w:pPr>
        <w:pStyle w:val="Normal"/>
        <w:suppressAutoHyphens w:val="false"/>
        <w:rPr>
          <w:rFonts w:ascii="Arial" w:hAnsi="Arial" w:eastAsia="NSimSun"/>
        </w:rPr>
      </w:pPr>
      <w:r>
        <w:rPr>
          <w:rFonts w:eastAsia="NSimSun" w:ascii="Arial" w:hAnsi="Arial"/>
        </w:rPr>
      </w:r>
    </w:p>
    <w:p>
      <w:pPr>
        <w:pStyle w:val="Normal"/>
        <w:suppressAutoHyphens w:val="false"/>
        <w:rPr>
          <w:rFonts w:ascii="Arial" w:hAnsi="Arial"/>
        </w:rPr>
      </w:pPr>
      <w:r>
        <w:rPr>
          <w:rFonts w:eastAsia="NSimSun" w:ascii="Arial" w:hAnsi="Arial"/>
          <w:b/>
          <w:bCs/>
        </w:rPr>
        <w:t>FUNDO MUNICIPAL DE SAÚDE DE LINDOIA DO SUL</w:t>
      </w:r>
    </w:p>
    <w:p>
      <w:pPr>
        <w:pStyle w:val="Normal"/>
        <w:suppressAutoHyphens w:val="false"/>
        <w:rPr>
          <w:rFonts w:ascii="Arial" w:hAnsi="Arial"/>
        </w:rPr>
      </w:pPr>
      <w:r>
        <w:rPr>
          <w:rFonts w:eastAsia="NSimSun" w:ascii="Arial" w:hAnsi="Arial"/>
        </w:rPr>
        <w:t>10.001 FUNDO MUNICIPAL DE SAÚDE LINDOIA DO SUL / FUNDO MUNICIPAL DE SAÚDE LINDOIA DO SUL</w:t>
      </w:r>
    </w:p>
    <w:p>
      <w:pPr>
        <w:pStyle w:val="Normal"/>
        <w:suppressAutoHyphens w:val="false"/>
        <w:rPr>
          <w:rFonts w:ascii="Arial" w:hAnsi="Arial"/>
        </w:rPr>
      </w:pPr>
      <w:r>
        <w:rPr>
          <w:rFonts w:eastAsia="NSimSun" w:ascii="Arial" w:hAnsi="Arial"/>
        </w:rPr>
        <w:t xml:space="preserve">Proj./Atv.: 2.028 – Manutenção das Atividades da Saúde Pública </w:t>
      </w:r>
    </w:p>
    <w:p>
      <w:pPr>
        <w:pStyle w:val="Normal"/>
        <w:suppressAutoHyphens w:val="false"/>
        <w:rPr>
          <w:rFonts w:ascii="Arial" w:hAnsi="Arial"/>
        </w:rPr>
      </w:pPr>
      <w:r>
        <w:rPr>
          <w:rFonts w:eastAsia="NSimSun" w:ascii="Arial" w:hAnsi="Arial"/>
          <w:b/>
          <w:bCs/>
        </w:rPr>
        <w:t>14</w:t>
      </w:r>
      <w:r>
        <w:rPr>
          <w:rFonts w:eastAsia="NSimSun" w:ascii="Arial" w:hAnsi="Arial"/>
        </w:rPr>
        <w:t xml:space="preserve"> Recursos 3.3.90.00.00.00.00.00 Aplicações Diretas 1.500.1002.0002 – Receitas Imp. e Transf. De Impostos – Saúde. </w:t>
      </w:r>
      <w:r>
        <w:rPr>
          <w:rFonts w:eastAsia="NSimSun" w:ascii="Arial" w:hAnsi="Arial"/>
          <w:b/>
          <w:bCs/>
        </w:rPr>
        <w:t>R$</w:t>
      </w:r>
      <w:r>
        <w:rPr>
          <w:rFonts w:eastAsia="NSimSun" w:ascii="Arial" w:hAnsi="Arial"/>
        </w:rPr>
        <w:t xml:space="preserve"> </w:t>
      </w:r>
      <w:r>
        <w:rPr>
          <w:rFonts w:eastAsia="NSimSun" w:ascii="Arial" w:hAnsi="Arial"/>
          <w:b/>
          <w:bCs/>
        </w:rPr>
        <w:t>753,40</w:t>
      </w:r>
    </w:p>
    <w:p>
      <w:pPr>
        <w:pStyle w:val="Normal"/>
        <w:suppressAutoHyphens w:val="false"/>
        <w:rPr>
          <w:rFonts w:ascii="Arial" w:hAnsi="Arial" w:eastAsia="NSimSun"/>
        </w:rPr>
      </w:pPr>
      <w:r>
        <w:rPr>
          <w:rFonts w:eastAsia="NSimSun" w:ascii="Arial" w:hAnsi="Arial"/>
        </w:rPr>
      </w:r>
    </w:p>
    <w:p>
      <w:pPr>
        <w:pStyle w:val="Normal"/>
        <w:suppressAutoHyphens w:val="false"/>
        <w:rPr>
          <w:rFonts w:ascii="Arial" w:hAnsi="Arial"/>
        </w:rPr>
      </w:pPr>
      <w:r>
        <w:rPr>
          <w:rFonts w:eastAsia="NSimSun" w:ascii="Arial" w:hAnsi="Arial"/>
          <w:b/>
          <w:bCs/>
        </w:rPr>
        <w:t>ÓRGÃO/UNIDADE: 05.006 Secretaria Municipal de Assistência Social e Habitação / Fundo Municipal de Assistência Social</w:t>
      </w:r>
    </w:p>
    <w:p>
      <w:pPr>
        <w:pStyle w:val="Normal"/>
        <w:suppressAutoHyphens w:val="false"/>
        <w:rPr>
          <w:rFonts w:ascii="Arial" w:hAnsi="Arial"/>
        </w:rPr>
      </w:pPr>
      <w:r>
        <w:rPr>
          <w:rFonts w:eastAsia="NSimSun" w:ascii="Arial" w:hAnsi="Arial"/>
        </w:rPr>
        <w:t>PROJ/ATIV.: 2.024 - Manutenção da Oferta da Proteção Social Básica</w:t>
      </w:r>
    </w:p>
    <w:p>
      <w:pPr>
        <w:pStyle w:val="Normal"/>
        <w:suppressAutoHyphens w:val="false"/>
        <w:rPr>
          <w:rFonts w:ascii="Arial" w:hAnsi="Arial"/>
        </w:rPr>
      </w:pPr>
      <w:r>
        <w:rPr>
          <w:rFonts w:eastAsia="NSimSun" w:ascii="Arial" w:hAnsi="Arial"/>
          <w:b/>
          <w:bCs/>
        </w:rPr>
        <w:t>64</w:t>
      </w:r>
      <w:r>
        <w:rPr>
          <w:rFonts w:eastAsia="NSimSun" w:ascii="Arial" w:hAnsi="Arial"/>
        </w:rPr>
        <w:t xml:space="preserve"> Recursos 3.3.90.00.00.00.00.00 - Aplicações Diretas 1.661.0000.0237 - TRANSFERÊNCIAS SUAS/ESTADO - PROTEÇÃO SOCIAL BÁSICA.</w:t>
      </w:r>
      <w:r>
        <w:rPr>
          <w:rFonts w:eastAsia="NSimSun" w:ascii="Arial" w:hAnsi="Arial"/>
          <w:b/>
          <w:bCs/>
        </w:rPr>
        <w:t xml:space="preserve"> R$ 866,40</w:t>
      </w:r>
    </w:p>
    <w:p>
      <w:pPr>
        <w:pStyle w:val="Normal"/>
        <w:suppressAutoHyphens w:val="false"/>
        <w:rPr>
          <w:rFonts w:ascii="Arial" w:hAnsi="Arial" w:eastAsia="NSimSun"/>
        </w:rPr>
      </w:pPr>
      <w:r>
        <w:rPr>
          <w:rFonts w:eastAsia="NSimSun" w:ascii="Arial" w:hAnsi="Arial"/>
        </w:rPr>
      </w:r>
    </w:p>
    <w:p>
      <w:pPr>
        <w:pStyle w:val="Normal"/>
        <w:suppressAutoHyphens w:val="false"/>
        <w:spacing w:lineRule="auto" w:line="360"/>
        <w:jc w:val="both"/>
        <w:rPr>
          <w:rFonts w:ascii="Arial" w:hAnsi="Arial"/>
        </w:rPr>
      </w:pPr>
      <w:r>
        <w:rPr>
          <w:rFonts w:eastAsia="Times New Roman" w:ascii="Arial" w:hAnsi="Arial"/>
          <w:color w:val="000000"/>
          <w:sz w:val="21"/>
          <w:szCs w:val="21"/>
          <w:lang w:eastAsia="pt-BR"/>
        </w:rPr>
        <w:t>Para o(s) exercício(s) seguinte(s), serão utilizadas as dotações que estiverem vigentes na data das contratações.</w:t>
      </w:r>
    </w:p>
    <w:p>
      <w:pPr>
        <w:pStyle w:val="ListParagraph"/>
        <w:numPr>
          <w:ilvl w:val="0"/>
          <w:numId w:val="0"/>
        </w:numPr>
        <w:spacing w:lineRule="auto" w:line="360" w:before="142" w:after="142"/>
        <w:ind w:left="0" w:hanging="0"/>
        <w:contextualSpacing/>
        <w:rPr>
          <w:rFonts w:ascii="Arial" w:hAnsi="Arial"/>
        </w:rPr>
      </w:pPr>
      <w:r>
        <w:rPr>
          <w:rFonts w:ascii="Arial" w:hAnsi="Arial"/>
          <w:b/>
        </w:rPr>
        <w:t>7.</w:t>
        <w:tab/>
        <w:t>FORMA E CRITÉRIOS DE SELEÇÃO DO FORNECEDOR</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Através da licitação a ser realizada na modalidade pregão, na forma eletrônica, e auxiliada pelo Sistema de Registro de Preços, devidamente regulamentado pelo decreto municipal, será selecionado como fornecedor de cada item aquele que apresentar proposta de MENOR PREÇO, JULGAMENTO POR ITEM, não podendo o valor unitário de cada item ser superior ao seu valor de referência, modo de disputa ABERTO, nos termos do art. 6º, inciso XLI, e do art. 34, ambos da Lei Federal n. 14.133/2021, desde que atendidas às exigências e disposições dos descritivos, deste Termo de Referência e do Edital a ser publicado.</w:t>
      </w:r>
    </w:p>
    <w:p>
      <w:pPr>
        <w:pStyle w:val="ListParagraph"/>
        <w:numPr>
          <w:ilvl w:val="0"/>
          <w:numId w:val="0"/>
        </w:numPr>
        <w:tabs>
          <w:tab w:val="clear" w:pos="708"/>
          <w:tab w:val="left" w:pos="2340" w:leader="none"/>
          <w:tab w:val="left" w:pos="4464" w:leader="none"/>
        </w:tabs>
        <w:spacing w:lineRule="auto" w:line="360" w:before="142" w:after="142"/>
        <w:ind w:left="0" w:hanging="0"/>
        <w:contextualSpacing/>
        <w:jc w:val="both"/>
        <w:rPr>
          <w:rFonts w:ascii="Arial" w:hAnsi="Arial"/>
        </w:rPr>
      </w:pPr>
      <w:r>
        <w:rPr>
          <w:rFonts w:ascii="Arial" w:hAnsi="Arial"/>
          <w:b/>
          <w:bCs/>
        </w:rPr>
        <w:t>7.1.      EXIGÊNCIA DE AMOSTRAS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rPr>
        <w:t>Não se aplica.</w:t>
      </w:r>
    </w:p>
    <w:p>
      <w:pPr>
        <w:pStyle w:val="ListParagraph"/>
        <w:numPr>
          <w:ilvl w:val="0"/>
          <w:numId w:val="0"/>
        </w:numPr>
        <w:spacing w:lineRule="auto" w:line="360" w:before="142" w:after="142"/>
        <w:ind w:left="0" w:hanging="0"/>
        <w:contextualSpacing/>
        <w:rPr>
          <w:rFonts w:ascii="Arial" w:hAnsi="Arial"/>
        </w:rPr>
      </w:pPr>
      <w:r>
        <w:rPr>
          <w:rFonts w:ascii="Arial" w:hAnsi="Arial"/>
          <w:b/>
        </w:rPr>
        <w:t>7.2</w:t>
        <w:tab/>
        <w:t>TRATAMENTO DIFERENCIADO PARA MICRO E PEQUENA EMPRESA</w:t>
      </w:r>
    </w:p>
    <w:p>
      <w:pPr>
        <w:pStyle w:val="Normal"/>
        <w:spacing w:lineRule="auto" w:line="360" w:before="142" w:after="142"/>
        <w:jc w:val="both"/>
        <w:rPr>
          <w:rFonts w:ascii="Arial" w:hAnsi="Arial"/>
        </w:rPr>
      </w:pPr>
      <w:r>
        <w:rPr>
          <w:rFonts w:eastAsia="Lucida Sans Unicode" w:ascii="Arial" w:hAnsi="Arial"/>
          <w:color w:val="000000"/>
          <w:lang w:eastAsia="pt-BR"/>
        </w:rPr>
        <w:tab/>
        <w:t>Este processo licitatório é destinado exclusivamente aos interessados qualificados como microempresa ou empresa de pequeno porte, aptas a se beneficiarem do tratamento diferenciado e favorecido estabelecido pela Lei Complementar n° 123/2006 e suas alterações, desde que não se enquadrem em quaisquer das exclusões relacionadas no § 4º do artigo 3º desta Lei.</w:t>
      </w:r>
    </w:p>
    <w:p>
      <w:pPr>
        <w:pStyle w:val="ListParagraph"/>
        <w:numPr>
          <w:ilvl w:val="0"/>
          <w:numId w:val="0"/>
        </w:numPr>
        <w:spacing w:lineRule="auto" w:line="360" w:before="142" w:after="142"/>
        <w:ind w:left="0" w:hanging="0"/>
        <w:contextualSpacing/>
        <w:rPr>
          <w:rFonts w:ascii="Arial" w:hAnsi="Arial"/>
        </w:rPr>
      </w:pPr>
      <w:r>
        <w:rPr>
          <w:rFonts w:ascii="Arial" w:hAnsi="Arial"/>
          <w:b/>
        </w:rPr>
        <w:t>8.</w:t>
        <w:tab/>
        <w:t>MODELO DE EXECUÇÃO DO OBJETO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Conforme disposto no </w:t>
      </w:r>
      <w:r>
        <w:rPr>
          <w:rFonts w:ascii="Arial" w:hAnsi="Arial"/>
        </w:rPr>
        <w:t>art. 84, parágrafo único, da Lei Federal n. 14.133/2021</w:t>
      </w:r>
      <w:r>
        <w:rPr>
          <w:rFonts w:ascii="Arial" w:hAnsi="Arial"/>
          <w:bCs/>
        </w:rPr>
        <w:t xml:space="preserve">, o contrato decorrente do Sistema de Registro de Preços deverá ser assinado no prazo de vigência da ata de registro de preços </w:t>
      </w:r>
      <w:r>
        <w:rPr>
          <w:rFonts w:ascii="Arial" w:hAnsi="Arial"/>
        </w:rPr>
        <w:t>e terá sua vigência estabelecida em conformidade com as disposições nela contidas.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A contratação do item, com fornecimento parcelado, será efetuada conforme a necessidade de cada Órgão Participante, não lhe sendo gerado, pela existência de preços registrados, a obrigação de contratar, nos termos do art. 83 da Lei Federal n. 14.133/2021.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A contratação com os fornecedores registrados será formalizada pelo Órgão Participante por intermédio de emissão de nota de empenho de despesa e autorização de fornecimento de compra.</w:t>
      </w:r>
    </w:p>
    <w:p>
      <w:pPr>
        <w:pStyle w:val="ListParagraph"/>
        <w:numPr>
          <w:ilvl w:val="0"/>
          <w:numId w:val="0"/>
        </w:numPr>
        <w:tabs>
          <w:tab w:val="clear" w:pos="708"/>
          <w:tab w:val="left" w:pos="2340" w:leader="none"/>
          <w:tab w:val="left" w:pos="4464" w:leader="none"/>
        </w:tabs>
        <w:spacing w:lineRule="auto" w:line="360"/>
        <w:ind w:left="0" w:hanging="0"/>
        <w:jc w:val="both"/>
        <w:rPr>
          <w:rFonts w:ascii="Arial" w:hAnsi="Arial"/>
        </w:rPr>
      </w:pPr>
      <w:r>
        <w:rPr>
          <w:rFonts w:ascii="Arial" w:hAnsi="Arial"/>
          <w:b/>
        </w:rPr>
        <w:t>8.1      ENTREGA DO OBJETO</w:t>
      </w:r>
    </w:p>
    <w:p>
      <w:pPr>
        <w:pStyle w:val="Normal"/>
        <w:spacing w:lineRule="auto" w:line="360" w:before="142" w:after="142"/>
        <w:jc w:val="both"/>
        <w:rPr>
          <w:rFonts w:ascii="Arial" w:hAnsi="Arial"/>
        </w:rPr>
      </w:pPr>
      <w:r>
        <w:rPr>
          <w:rFonts w:eastAsia="Times New Roman" w:ascii="Arial" w:hAnsi="Arial"/>
          <w:color w:val="000000"/>
          <w:lang w:eastAsia="pt-BR"/>
        </w:rPr>
        <w:tab/>
        <w:t xml:space="preserve">Os itens deverão ser entregues conforme a necessidade, no local, data e horário indicados pelo Município, mediante Solicitação de Fornecimento, a qual será encaminhada pelo Setor Responsável, contendo as quantidades dos produtos, a data do evento, horário e local para entrega, em até no máximo </w:t>
      </w:r>
      <w:r>
        <w:rPr>
          <w:rFonts w:eastAsia="Times New Roman" w:ascii="Arial" w:hAnsi="Arial"/>
          <w:b/>
          <w:color w:val="000000"/>
          <w:lang w:eastAsia="pt-BR"/>
        </w:rPr>
        <w:t>02 (dois) dias</w:t>
      </w:r>
      <w:r>
        <w:rPr>
          <w:rFonts w:eastAsia="Times New Roman" w:ascii="Arial" w:hAnsi="Arial"/>
          <w:color w:val="000000"/>
          <w:lang w:eastAsia="pt-BR"/>
        </w:rPr>
        <w:t xml:space="preserve"> antes da data prevista para a realização do mesmo.</w:t>
        <w:tab/>
        <w:tab/>
      </w:r>
    </w:p>
    <w:p>
      <w:pPr>
        <w:pStyle w:val="Normal"/>
        <w:spacing w:lineRule="auto" w:line="360" w:before="142" w:after="142"/>
        <w:jc w:val="both"/>
        <w:rPr>
          <w:rFonts w:ascii="Arial" w:hAnsi="Arial"/>
        </w:rPr>
      </w:pPr>
      <w:r>
        <w:rPr>
          <w:rFonts w:eastAsia="Times New Roman" w:ascii="Arial" w:hAnsi="Arial"/>
          <w:color w:val="000000"/>
          <w:lang w:eastAsia="pt-BR"/>
        </w:rPr>
        <w:tab/>
        <w:t>Os itens deverão ser entregues de segunda a sexta-feira, das 08:00 às 11:30 e das 13:30 às 17:00, eventualmente dependendo do evento a data de entrega poderá ser modificada e determinada pela secretaria solicitante.</w:t>
      </w:r>
      <w:r>
        <w:rPr>
          <w:rFonts w:ascii="Arial" w:hAnsi="Arial"/>
          <w:color w:val="000000"/>
        </w:rPr>
        <w:t xml:space="preserve"> </w:t>
      </w:r>
    </w:p>
    <w:p>
      <w:pPr>
        <w:pStyle w:val="Normal"/>
        <w:spacing w:lineRule="auto" w:line="360" w:before="142" w:after="142"/>
        <w:jc w:val="both"/>
        <w:rPr>
          <w:rFonts w:ascii="Arial" w:hAnsi="Arial"/>
        </w:rPr>
      </w:pPr>
      <w:r>
        <w:rPr>
          <w:rFonts w:ascii="Arial" w:hAnsi="Arial"/>
          <w:color w:val="000000"/>
          <w:kern w:val="0"/>
        </w:rPr>
        <w:tab/>
        <w:t>O prazo de validade dos gêneros alimentícios deverá ser no mínimo de 4 (quatro) meses, a contar da data de entrega do produto.</w:t>
        <w:tab/>
      </w:r>
    </w:p>
    <w:p>
      <w:pPr>
        <w:pStyle w:val="Normal"/>
        <w:spacing w:lineRule="auto" w:line="360" w:before="142" w:after="142"/>
        <w:jc w:val="both"/>
        <w:rPr>
          <w:rFonts w:ascii="Arial" w:hAnsi="Arial"/>
        </w:rPr>
      </w:pPr>
      <w:r>
        <w:rPr>
          <w:rFonts w:ascii="Arial" w:hAnsi="Arial"/>
          <w:color w:val="000000"/>
          <w:kern w:val="0"/>
          <w:lang w:eastAsia="pt-BR"/>
        </w:rPr>
        <w:tab/>
        <w:t>Em nenhuma hipótese serão recebidos gêneros alimentícios que não atendam ao padrão de qualidade exigido e a descrição correta do produto mencionada neste anexo.</w:t>
      </w:r>
    </w:p>
    <w:p>
      <w:pPr>
        <w:pStyle w:val="Normal"/>
        <w:spacing w:lineRule="auto" w:line="360" w:before="142" w:after="142"/>
        <w:jc w:val="both"/>
        <w:rPr>
          <w:rFonts w:ascii="Arial" w:hAnsi="Arial"/>
        </w:rPr>
      </w:pPr>
      <w:r>
        <w:rPr>
          <w:rFonts w:ascii="Arial" w:hAnsi="Arial"/>
          <w:color w:val="000000"/>
          <w:kern w:val="0"/>
          <w:lang w:eastAsia="pt-BR"/>
        </w:rPr>
        <w:tab/>
        <w:t>Caso o produto não corresponda ao exigido no Edital, a futura contratada deverá providenciar, no prazo máximo de 2 (dois) dias corridos, a sua substituição, visando o atendimento das especificações, sob pena de rescisão contratual e aplicação das sanções previstas no futuro contrato.</w:t>
      </w:r>
    </w:p>
    <w:p>
      <w:pPr>
        <w:pStyle w:val="Normal"/>
        <w:spacing w:lineRule="auto" w:line="360" w:before="142" w:after="142"/>
        <w:jc w:val="both"/>
        <w:rPr>
          <w:rFonts w:ascii="Arial" w:hAnsi="Arial"/>
        </w:rPr>
      </w:pPr>
      <w:r>
        <w:rPr>
          <w:rFonts w:ascii="Arial" w:hAnsi="Arial"/>
          <w:bCs/>
          <w:color w:val="000000"/>
          <w:kern w:val="0"/>
          <w:lang w:eastAsia="pt-BR"/>
        </w:rPr>
        <w:tab/>
      </w:r>
      <w:r>
        <w:rPr>
          <w:rFonts w:ascii="Arial" w:hAnsi="Arial"/>
          <w:bCs/>
        </w:rPr>
        <w:t>Todas as despesas relacionadas com as entregas em cada órgão participante ocorrerão por conta do fornecedor, sob o qual ficará a total responsabilidade de realizar o transporte adequado e manter em perfeitas condições de armazenamento todos os itens a serem entregues, garantindo a sua total eficiência e qualidade.</w:t>
      </w:r>
    </w:p>
    <w:p>
      <w:pPr>
        <w:pStyle w:val="Normal"/>
        <w:spacing w:lineRule="auto" w:line="360" w:before="142" w:after="142"/>
        <w:jc w:val="both"/>
        <w:rPr>
          <w:rFonts w:ascii="Arial" w:hAnsi="Arial"/>
        </w:rPr>
      </w:pPr>
      <w:r>
        <w:rPr>
          <w:rFonts w:ascii="Arial" w:hAnsi="Arial"/>
          <w:bCs/>
          <w:color w:val="000000"/>
          <w:kern w:val="0"/>
          <w:lang w:eastAsia="pt-BR"/>
        </w:rPr>
        <w:tab/>
      </w:r>
      <w:r>
        <w:rPr>
          <w:rFonts w:ascii="Arial" w:hAnsi="Arial"/>
          <w:color w:val="000000"/>
          <w:kern w:val="0"/>
          <w:lang w:eastAsia="pt-BR"/>
        </w:rPr>
        <w:t>Os produtos deverão ser entregues em veículo apropriado, com carroceria fechada, em boas condições de higiene e limpeza, sendo os alimentos secos separados, bem como, os alimentos devem ser acondicionados em embalagens de plásticos resistentes e transparente até o momento da entrega.</w:t>
      </w:r>
    </w:p>
    <w:p>
      <w:pPr>
        <w:pStyle w:val="Normal"/>
        <w:spacing w:lineRule="auto" w:line="360" w:before="142" w:after="142"/>
        <w:jc w:val="both"/>
        <w:rPr>
          <w:rFonts w:ascii="Arial" w:hAnsi="Arial"/>
        </w:rPr>
      </w:pPr>
      <w:r>
        <w:rPr>
          <w:rFonts w:ascii="Arial" w:hAnsi="Arial"/>
          <w:color w:val="000000"/>
          <w:kern w:val="0"/>
          <w:lang w:eastAsia="pt-BR"/>
        </w:rPr>
        <w:tab/>
        <w:t>O Município de Lindóia do Sul não se responsabiliza por possíveis danos ocorridos durante o transporte.</w:t>
      </w:r>
    </w:p>
    <w:p>
      <w:pPr>
        <w:pStyle w:val="Normal"/>
        <w:spacing w:lineRule="auto" w:line="360" w:before="142" w:after="142"/>
        <w:jc w:val="both"/>
        <w:rPr>
          <w:rFonts w:ascii="Arial" w:hAnsi="Arial"/>
        </w:rPr>
      </w:pPr>
      <w:r>
        <w:rPr>
          <w:rFonts w:eastAsia="Times New Roman" w:ascii="Arial" w:hAnsi="Arial"/>
          <w:color w:val="000000"/>
          <w:kern w:val="0"/>
          <w:lang w:eastAsia="pt-BR"/>
        </w:rPr>
        <w:tab/>
      </w:r>
      <w:r>
        <w:rPr>
          <w:rFonts w:eastAsia="Times New Roman" w:ascii="Arial" w:hAnsi="Arial"/>
          <w:color w:val="000000"/>
          <w:lang w:eastAsia="pt-BR"/>
        </w:rPr>
        <w:t xml:space="preserve">Em nenhuma hipótese serão recebidos gêneros alimentícios que não atendam ao padrão de qualidade exigido e a descrição correta do produto mencionada neste anexo. </w:t>
      </w:r>
      <w:r>
        <w:rPr>
          <w:rFonts w:ascii="Arial" w:hAnsi="Arial"/>
          <w:color w:val="000000"/>
          <w:kern w:val="0"/>
          <w:lang w:eastAsia="pt-BR"/>
        </w:rPr>
        <w:t>Os produtos devem possuir a devida inspeção sanitária</w:t>
      </w:r>
      <w:r>
        <w:rPr>
          <w:rFonts w:ascii="Arial" w:hAnsi="Arial"/>
          <w:color w:val="000000"/>
        </w:rPr>
        <w:t>.</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Os recebimentos provisório e definitivo ficarão a cargo do órgão participante, em conformidade com o disposto no art. 140 da Lei Federal n. 14.133/2021. O objeto do contrato será recebido provisoriamente, de forma sumária, pelo responsável por seu acompanhamento e fiscalização no órgão participante, com verificação posterior da conformidade do material com as exigências contratuais e definitivamente por servidor ou comissão designada por autoridade competente do órgão participante. O objeto do contrato poderá ser rejeitado, no todo ou em parte, quando estiver em desacordo com as disposições do contrato, do Edital, do Termo de Referência e dos descritivos.</w:t>
      </w:r>
    </w:p>
    <w:p>
      <w:pPr>
        <w:pStyle w:val="Normal"/>
        <w:tabs>
          <w:tab w:val="clear" w:pos="708"/>
          <w:tab w:val="left" w:pos="2340" w:leader="none"/>
          <w:tab w:val="left" w:pos="4464" w:leader="none"/>
        </w:tabs>
        <w:spacing w:lineRule="auto" w:line="360" w:before="142" w:after="142"/>
        <w:ind w:hanging="0"/>
        <w:jc w:val="both"/>
        <w:rPr>
          <w:rFonts w:ascii="Arial" w:hAnsi="Arial"/>
        </w:rPr>
      </w:pPr>
      <w:r>
        <w:rPr>
          <w:rFonts w:ascii="Arial" w:hAnsi="Arial"/>
          <w:b/>
          <w:bCs/>
        </w:rPr>
        <w:t xml:space="preserve">8.2      </w:t>
      </w:r>
      <w:r>
        <w:rPr>
          <w:rFonts w:ascii="Arial" w:hAnsi="Arial"/>
          <w:b/>
        </w:rPr>
        <w:t>GARANTIA DO OBJETO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rPr>
        <w:t>Não se aplica.</w:t>
      </w:r>
    </w:p>
    <w:p>
      <w:pPr>
        <w:pStyle w:val="ListParagraph"/>
        <w:numPr>
          <w:ilvl w:val="0"/>
          <w:numId w:val="0"/>
        </w:numPr>
        <w:spacing w:lineRule="auto" w:line="360" w:before="142" w:after="142"/>
        <w:ind w:left="0" w:hanging="0"/>
        <w:contextualSpacing/>
        <w:rPr>
          <w:rFonts w:ascii="Arial" w:hAnsi="Arial"/>
        </w:rPr>
      </w:pPr>
      <w:r>
        <w:rPr>
          <w:rFonts w:ascii="Arial" w:hAnsi="Arial"/>
          <w:b/>
        </w:rPr>
        <w:t>9.0</w:t>
        <w:tab/>
        <w:t>MODELO DE GESTÃO DO CONTRATO</w:t>
      </w:r>
    </w:p>
    <w:p>
      <w:pPr>
        <w:pStyle w:val="Normal"/>
        <w:tabs>
          <w:tab w:val="clear" w:pos="708"/>
          <w:tab w:val="left" w:pos="2340" w:leader="none"/>
          <w:tab w:val="left" w:pos="4464" w:leader="none"/>
        </w:tabs>
        <w:spacing w:lineRule="auto" w:line="360"/>
        <w:ind w:firstLine="709"/>
        <w:jc w:val="both"/>
        <w:rPr>
          <w:rFonts w:ascii="Arial" w:hAnsi="Arial"/>
        </w:rPr>
      </w:pPr>
      <w:r>
        <w:rPr>
          <w:rFonts w:ascii="Arial" w:hAnsi="Arial"/>
          <w:bCs/>
        </w:rPr>
        <w:t xml:space="preserve">A contratação decorrente do Sistema de Registro de Preços realizado pelo município é de total autonomia e responsabilidade do Órgão Participante o momento e a justificativa da contratação, observados a disponibilidade orçamentária e o prazo de vigência da ata, de acordo com a sua necessidade, sem qualquer interferência do Órgão Gerenciador na decisão de contratação. </w:t>
      </w:r>
    </w:p>
    <w:p>
      <w:pPr>
        <w:pStyle w:val="Normal"/>
        <w:tabs>
          <w:tab w:val="clear" w:pos="708"/>
          <w:tab w:val="left" w:pos="2340" w:leader="none"/>
          <w:tab w:val="left" w:pos="4464" w:leader="none"/>
        </w:tabs>
        <w:spacing w:lineRule="auto" w:line="360"/>
        <w:ind w:firstLine="709"/>
        <w:jc w:val="both"/>
        <w:rPr>
          <w:rFonts w:ascii="Arial" w:hAnsi="Arial"/>
        </w:rPr>
      </w:pPr>
      <w:r>
        <w:rPr>
          <w:rFonts w:ascii="Arial" w:hAnsi="Arial"/>
          <w:bCs/>
        </w:rPr>
        <w:t xml:space="preserve">Em conformidade com o art. 117 da Lei Federal n. 14.133/2021, o Órgão Participante deverá designar fiscal de contrato e representante da administração pública para acompanhamento e fiscalização da execução dos contratos celebrados entre este Órgão Participante e os fornecedores contratados na licitação, conforme requisitos estabelecidos no art. 7º do referido diploma legal. A vinculação do fiscal e representante da administração pública será associada na emissão da Solicitação de Fornecimento e será consignada na Autorização de Fornecimento com a sua respectiva ciência. </w:t>
      </w:r>
    </w:p>
    <w:p>
      <w:pPr>
        <w:pStyle w:val="Normal"/>
        <w:tabs>
          <w:tab w:val="clear" w:pos="708"/>
          <w:tab w:val="left" w:pos="2340" w:leader="none"/>
          <w:tab w:val="left" w:pos="4464" w:leader="none"/>
        </w:tabs>
        <w:spacing w:lineRule="auto" w:line="360"/>
        <w:ind w:firstLine="709"/>
        <w:jc w:val="both"/>
        <w:rPr>
          <w:rFonts w:ascii="Arial" w:hAnsi="Arial"/>
        </w:rPr>
      </w:pPr>
      <w:r>
        <w:rPr>
          <w:rFonts w:ascii="Arial" w:hAnsi="Arial"/>
          <w:bCs/>
        </w:rPr>
        <w:t>Caberá ao gestor do contrato constituir relatório final de que trata o art. 174, § 3º, inciso VI, alínea “d”, da Lei Federal n. 14.133/2021 com as informações obtidas durante a execução do contrato, como forma de aprimoramento das atividades da Administração.</w:t>
      </w:r>
    </w:p>
    <w:p>
      <w:pPr>
        <w:pStyle w:val="ListParagraph"/>
        <w:numPr>
          <w:ilvl w:val="0"/>
          <w:numId w:val="0"/>
        </w:numPr>
        <w:spacing w:lineRule="auto" w:line="360" w:before="142" w:after="142"/>
        <w:ind w:left="0" w:hanging="0"/>
        <w:contextualSpacing/>
        <w:rPr>
          <w:rFonts w:ascii="Arial" w:hAnsi="Arial"/>
        </w:rPr>
      </w:pPr>
      <w:r>
        <w:rPr>
          <w:rFonts w:ascii="Arial" w:hAnsi="Arial"/>
          <w:b/>
        </w:rPr>
        <w:t>10.</w:t>
        <w:tab/>
        <w:t>CRITÉRIOS DE MEDIÇÃO E PAGAMENTO</w:t>
      </w:r>
    </w:p>
    <w:p>
      <w:pPr>
        <w:pStyle w:val="ListParagraph"/>
        <w:numPr>
          <w:ilvl w:val="0"/>
          <w:numId w:val="0"/>
        </w:numPr>
        <w:spacing w:lineRule="auto" w:line="360" w:before="142" w:after="142"/>
        <w:ind w:left="0" w:hanging="0"/>
        <w:contextualSpacing/>
        <w:rPr>
          <w:rFonts w:ascii="Arial" w:hAnsi="Arial"/>
        </w:rPr>
      </w:pPr>
      <w:r>
        <w:rPr>
          <w:rFonts w:ascii="Arial" w:hAnsi="Arial"/>
          <w:b/>
        </w:rPr>
        <w:t>10.1</w:t>
        <w:tab/>
        <w:t>CRITÉRIOS DE MEDIÇÃO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Por se tratar de simples aquisição de bens comuns e de entrega imediata, inexistem critérios de medição a serem fixados.</w:t>
      </w:r>
    </w:p>
    <w:p>
      <w:pPr>
        <w:pStyle w:val="ListParagraph"/>
        <w:numPr>
          <w:ilvl w:val="0"/>
          <w:numId w:val="0"/>
        </w:numPr>
        <w:spacing w:lineRule="auto" w:line="360" w:before="142" w:after="142"/>
        <w:ind w:left="0" w:hanging="0"/>
        <w:contextualSpacing/>
        <w:rPr>
          <w:rFonts w:ascii="Arial" w:hAnsi="Arial"/>
        </w:rPr>
      </w:pPr>
      <w:r>
        <w:rPr>
          <w:rFonts w:ascii="Arial" w:hAnsi="Arial"/>
          <w:b/>
        </w:rPr>
        <w:t>10.2</w:t>
        <w:tab/>
        <w:t>CRITÉRIOS DE PAGAMENTO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O pagamento pelas aquisições, objeto da presente licitação, será feito pelo Órgão Participante em favor do licitante vencedor mediante boleto ou </w:t>
      </w:r>
      <w:r>
        <w:rPr>
          <w:rFonts w:ascii="Arial" w:hAnsi="Arial"/>
        </w:rPr>
        <w:t>transferência bancária (TED, DOC, depósito) em conta-corrente de titularidade do fornecedor</w:t>
      </w:r>
      <w:r>
        <w:rPr>
          <w:rFonts w:ascii="Arial" w:hAnsi="Arial"/>
          <w:bCs/>
        </w:rPr>
        <w:t xml:space="preserve">.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O Órgão Participante efetuará o pagamento em até 15 dias após a data de recebimento do objeto desta licitação acompanhado da respectiva Nota Fiscal Eletrônica e arquivo XML.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 xml:space="preserve">O número do CNPJ - Cadastro Nacional de Pessoa Jurídica - constante das notas fiscais deverá ser aquele fornecido na fase de habilitação, exceto no caso de participação de empresas em consórcio.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Cs/>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pPr>
        <w:pStyle w:val="Normal"/>
        <w:tabs>
          <w:tab w:val="clear" w:pos="708"/>
          <w:tab w:val="left" w:pos="2340" w:leader="none"/>
          <w:tab w:val="left" w:pos="4464" w:leader="none"/>
        </w:tabs>
        <w:spacing w:lineRule="auto" w:line="360"/>
        <w:ind w:firstLine="709"/>
        <w:rPr>
          <w:rFonts w:ascii="Arial" w:hAnsi="Arial"/>
        </w:rPr>
      </w:pPr>
      <w:r>
        <w:rPr>
          <w:rFonts w:ascii="Arial" w:hAnsi="Arial"/>
          <w:bCs/>
        </w:rPr>
        <w:t>Lindóia do Sul, 25 de setembro de 2024.</w:t>
      </w:r>
    </w:p>
    <w:p>
      <w:pPr>
        <w:pStyle w:val="Normal"/>
        <w:spacing w:lineRule="auto" w:line="360" w:before="0" w:after="0"/>
        <w:ind w:firstLine="709"/>
        <w:contextualSpacing/>
        <w:jc w:val="both"/>
        <w:rPr>
          <w:rFonts w:ascii="Arial" w:hAnsi="Arial"/>
          <w:bCs/>
          <w:lang w:eastAsia="ar-SA"/>
        </w:rPr>
      </w:pPr>
      <w:r>
        <w:rPr>
          <w:rFonts w:ascii="Arial" w:hAnsi="Arial"/>
          <w:bCs/>
          <w:lang w:eastAsia="ar-SA"/>
        </w:rPr>
      </w:r>
    </w:p>
    <w:p>
      <w:pPr>
        <w:pStyle w:val="Normal"/>
        <w:spacing w:lineRule="auto" w:line="360" w:before="0" w:after="0"/>
        <w:ind w:firstLine="709"/>
        <w:contextualSpacing/>
        <w:jc w:val="both"/>
        <w:rPr>
          <w:rFonts w:ascii="Arial" w:hAnsi="Arial"/>
          <w:bCs/>
          <w:lang w:eastAsia="ar-SA"/>
        </w:rPr>
      </w:pPr>
      <w:r>
        <w:rPr>
          <w:rFonts w:ascii="Arial" w:hAnsi="Arial"/>
          <w:bCs/>
          <w:lang w:eastAsia="ar-SA"/>
        </w:rPr>
      </w:r>
    </w:p>
    <w:p>
      <w:pPr>
        <w:pStyle w:val="Normal"/>
        <w:spacing w:lineRule="auto" w:line="240" w:before="0" w:after="0"/>
        <w:contextualSpacing/>
        <w:jc w:val="center"/>
        <w:rPr>
          <w:rFonts w:ascii="Arial" w:hAnsi="Arial"/>
        </w:rPr>
      </w:pPr>
      <w:r>
        <w:rPr>
          <w:rFonts w:ascii="Arial" w:hAnsi="Arial"/>
        </w:rPr>
        <w:t>Edison Domingos Giron</w:t>
      </w:r>
    </w:p>
    <w:p>
      <w:pPr>
        <w:pStyle w:val="Normal"/>
        <w:spacing w:lineRule="auto" w:line="240" w:before="0" w:after="0"/>
        <w:contextualSpacing/>
        <w:jc w:val="center"/>
        <w:rPr>
          <w:rFonts w:ascii="Arial" w:hAnsi="Arial"/>
        </w:rPr>
      </w:pPr>
      <w:r>
        <w:rPr>
          <w:rFonts w:ascii="Arial" w:hAnsi="Arial"/>
        </w:rPr>
        <w:t>Auxiliar de Técnico</w:t>
      </w:r>
    </w:p>
    <w:p>
      <w:pPr>
        <w:pStyle w:val="Textopadro"/>
        <w:spacing w:before="0" w:after="0"/>
        <w:ind w:right="-39" w:hanging="0"/>
        <w:contextualSpacing/>
        <w:jc w:val="center"/>
        <w:rPr/>
      </w:pPr>
      <w:r>
        <w:rPr/>
      </w:r>
    </w:p>
    <w:p>
      <w:pPr>
        <w:pStyle w:val="Normal"/>
        <w:tabs>
          <w:tab w:val="clear" w:pos="708"/>
          <w:tab w:val="left" w:pos="5396" w:leader="none"/>
          <w:tab w:val="left" w:pos="5538" w:leader="none"/>
        </w:tabs>
        <w:spacing w:lineRule="exact" w:line="240"/>
        <w:jc w:val="center"/>
        <w:rPr>
          <w:rFonts w:eastAsia="Times New Roman"/>
          <w:b/>
          <w:b/>
          <w:bCs/>
          <w:sz w:val="26"/>
          <w:szCs w:val="26"/>
        </w:rPr>
      </w:pPr>
      <w:r>
        <w:rPr>
          <w:rFonts w:eastAsia="Times New Roman"/>
          <w:b/>
          <w:bCs/>
          <w:sz w:val="26"/>
          <w:szCs w:val="26"/>
        </w:rPr>
      </w:r>
    </w:p>
    <w:p>
      <w:pPr>
        <w:pStyle w:val="Normal"/>
        <w:tabs>
          <w:tab w:val="clear" w:pos="708"/>
          <w:tab w:val="left" w:pos="5396" w:leader="none"/>
          <w:tab w:val="left" w:pos="5538" w:leader="none"/>
        </w:tabs>
        <w:spacing w:lineRule="exact" w:line="240"/>
        <w:jc w:val="center"/>
        <w:rPr>
          <w:rFonts w:eastAsia="Times New Roman"/>
          <w:b/>
          <w:b/>
          <w:bCs/>
          <w:sz w:val="26"/>
          <w:szCs w:val="26"/>
        </w:rPr>
      </w:pPr>
      <w:r>
        <w:rPr>
          <w:rFonts w:eastAsia="Times New Roman"/>
          <w:b/>
          <w:bCs/>
          <w:sz w:val="26"/>
          <w:szCs w:val="26"/>
        </w:rPr>
      </w:r>
    </w:p>
    <w:p>
      <w:pPr>
        <w:pStyle w:val="Normal"/>
        <w:tabs>
          <w:tab w:val="clear" w:pos="708"/>
          <w:tab w:val="left" w:pos="5396" w:leader="none"/>
          <w:tab w:val="left" w:pos="5538" w:leader="none"/>
        </w:tabs>
        <w:spacing w:lineRule="exact" w:line="240"/>
        <w:jc w:val="center"/>
        <w:rPr>
          <w:rFonts w:eastAsia="Times New Roman"/>
          <w:b/>
          <w:b/>
          <w:bCs/>
          <w:sz w:val="26"/>
          <w:szCs w:val="26"/>
        </w:rPr>
      </w:pPr>
      <w:r>
        <w:rPr>
          <w:rFonts w:eastAsia="Times New Roman"/>
          <w:b/>
          <w:bCs/>
          <w:sz w:val="26"/>
          <w:szCs w:val="26"/>
        </w:rPr>
      </w:r>
    </w:p>
    <w:p>
      <w:pPr>
        <w:pStyle w:val="Normal"/>
        <w:tabs>
          <w:tab w:val="clear" w:pos="708"/>
          <w:tab w:val="left" w:pos="5396" w:leader="none"/>
          <w:tab w:val="left" w:pos="5538" w:leader="none"/>
        </w:tabs>
        <w:spacing w:lineRule="exact" w:line="240"/>
        <w:jc w:val="center"/>
        <w:rPr>
          <w:rFonts w:eastAsia="Times New Roman"/>
          <w:b/>
          <w:b/>
          <w:bCs/>
          <w:sz w:val="26"/>
          <w:szCs w:val="26"/>
        </w:rPr>
      </w:pPr>
      <w:r>
        <w:rPr>
          <w:rFonts w:eastAsia="Times New Roman"/>
          <w:b/>
          <w:bCs/>
          <w:sz w:val="26"/>
          <w:szCs w:val="26"/>
        </w:rPr>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t>MODELO DE PROPOSTA DE PREÇOS E DADOS DA PROPONENTE</w:t>
      </w:r>
    </w:p>
    <w:p>
      <w:pPr>
        <w:pStyle w:val="Normal"/>
        <w:widowControl/>
        <w:suppressAutoHyphens w:val="true"/>
        <w:bidi w:val="0"/>
        <w:spacing w:lineRule="auto" w:line="276" w:before="0" w:after="0"/>
        <w:ind w:left="0" w:right="0" w:hanging="0"/>
        <w:jc w:val="both"/>
        <w:rPr>
          <w:rFonts w:ascii="Arial" w:hAnsi="Arial" w:eastAsia="SimSun" w:cs="Mangal"/>
          <w:b/>
          <w:b/>
          <w:bCs/>
          <w:color w:val="00000A"/>
          <w:sz w:val="21"/>
          <w:szCs w:val="21"/>
          <w:lang w:val="pt-BR" w:eastAsia="zh-CN" w:bidi="hi-IN"/>
        </w:rPr>
      </w:pPr>
      <w:r>
        <w:rPr>
          <w:rFonts w:eastAsia="SimSun" w:cs="Mangal" w:ascii="Arial" w:hAnsi="Arial"/>
          <w:b/>
          <w:bCs/>
          <w:color w:val="00000A"/>
          <w:sz w:val="21"/>
          <w:szCs w:val="21"/>
          <w:lang w:val="pt-BR" w:eastAsia="zh-CN" w:bidi="hi-IN"/>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EDITAL DE PREGÃO</w:t>
      </w:r>
      <w:r>
        <w:rPr>
          <w:rFonts w:ascii="Arial" w:hAnsi="Arial"/>
          <w:b/>
          <w:bCs/>
          <w:i w:val="false"/>
          <w:iCs w:val="false"/>
          <w:strike w:val="false"/>
          <w:dstrike w:val="false"/>
          <w:color w:val="000000"/>
          <w:sz w:val="21"/>
          <w:szCs w:val="21"/>
          <w:u w:val="none"/>
        </w:rPr>
        <w:t xml:space="preserve"> ELETRÔNICO Nº 16/2024</w:t>
      </w:r>
    </w:p>
    <w:p>
      <w:pPr>
        <w:pStyle w:val="Normal"/>
        <w:widowControl/>
        <w:suppressAutoHyphens w:val="true"/>
        <w:bidi w:val="0"/>
        <w:spacing w:lineRule="auto" w:line="276" w:before="0" w:after="0"/>
        <w:ind w:left="0" w:right="0" w:hanging="0"/>
        <w:jc w:val="both"/>
        <w:rPr>
          <w:rFonts w:ascii="Arial" w:hAnsi="Arial" w:eastAsia="SimSun" w:cs="Mangal"/>
          <w:b/>
          <w:b/>
          <w:bCs/>
          <w:color w:val="00000A"/>
          <w:sz w:val="21"/>
          <w:szCs w:val="21"/>
          <w:lang w:val="pt-BR" w:eastAsia="zh-CN" w:bidi="hi-IN"/>
        </w:rPr>
      </w:pPr>
      <w:r>
        <w:rPr>
          <w:rFonts w:eastAsia="SimSun" w:cs="Mangal" w:ascii="Arial" w:hAnsi="Arial"/>
          <w:b/>
          <w:bCs/>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Apresentamos nossa proposta para aquisição do objeto da presente Licitação Pregão, na Forma Eletrônica acatando todas as estipulações consignadas no respectivo Edital e seus anexos.</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1 – IDENTIFICAÇÃO DO CONCORRENTE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RAZÃO SOCIAL: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CNPJ: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INSCRIÇÃO ESTADUAL e/ou MUNICIPAL: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REPRESENTANTE: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CARGO: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CARTEIRA DE IDENTIDADE:</w:t>
        <w:tab/>
        <w:tab/>
        <w:tab/>
        <w:tab/>
        <w:t xml:space="preserve"> CPF: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ENDEREÇO: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TELEFONE: </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2 – PREÇO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tbl>
      <w:tblPr>
        <w:tblW w:w="9135" w:type="dxa"/>
        <w:jc w:val="left"/>
        <w:tblInd w:w="122" w:type="dxa"/>
        <w:tblLayout w:type="fixed"/>
        <w:tblCellMar>
          <w:top w:w="0" w:type="dxa"/>
          <w:left w:w="98" w:type="dxa"/>
          <w:bottom w:w="0" w:type="dxa"/>
          <w:right w:w="108" w:type="dxa"/>
        </w:tblCellMar>
      </w:tblPr>
      <w:tblGrid>
        <w:gridCol w:w="1467"/>
        <w:gridCol w:w="856"/>
        <w:gridCol w:w="735"/>
        <w:gridCol w:w="1140"/>
        <w:gridCol w:w="2488"/>
        <w:gridCol w:w="1086"/>
        <w:gridCol w:w="1362"/>
      </w:tblGrid>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Item</w:t>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Quant</w:t>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Unid</w:t>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Marca</w:t>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Descrição</w:t>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Unit</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Total</w:t>
            </w:r>
          </w:p>
        </w:tc>
      </w:tr>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7772" w:type="dxa"/>
            <w:gridSpan w:val="6"/>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cs="Arial"/>
                <w:b/>
                <w:b/>
                <w:color w:val="000000"/>
                <w:sz w:val="21"/>
                <w:szCs w:val="21"/>
              </w:rPr>
            </w:pPr>
            <w:r>
              <w:rPr>
                <w:rFonts w:cs="Arial" w:ascii="Arial" w:hAnsi="Arial"/>
                <w:b/>
                <w:color w:val="000000"/>
                <w:sz w:val="21"/>
                <w:szCs w:val="21"/>
              </w:rPr>
              <w:t>TOTAL DA PROPOSTA</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bl>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VALOR TOTAL R$</w:t>
        <w:tab/>
        <w:t>0,00 (por extenso).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val="false"/>
          <w:b w:val="false"/>
          <w:bCs w:val="false"/>
          <w:sz w:val="21"/>
          <w:szCs w:val="21"/>
        </w:rPr>
      </w:pPr>
      <w:r>
        <w:rPr>
          <w:rFonts w:ascii="Arial" w:hAnsi="Arial"/>
          <w:b w:val="false"/>
          <w:bCs w:val="false"/>
          <w:sz w:val="21"/>
          <w:szCs w:val="21"/>
        </w:rPr>
        <w:t>Declaro que nos preços acima cotados estão incluídos todos os custos diretos e indiretos necessários à perfeita execução do objeto, encargos sociais e inclusive as despesas com materiais e/ou equipamentos,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pPr>
      <w:r>
        <w:rPr>
          <w:rFonts w:ascii="Arial" w:hAnsi="Arial"/>
          <w:b/>
          <w:bCs/>
          <w:sz w:val="21"/>
          <w:szCs w:val="21"/>
        </w:rPr>
        <w:t>3 – DADOS BANCÁRIOS DA EMPRESA</w:t>
      </w:r>
    </w:p>
    <w:p>
      <w:pPr>
        <w:pStyle w:val="Normal"/>
        <w:widowControl/>
        <w:suppressAutoHyphens w:val="true"/>
        <w:bidi w:val="0"/>
        <w:spacing w:lineRule="auto" w:line="360" w:before="0" w:after="0"/>
        <w:ind w:left="0" w:right="0" w:hanging="0"/>
        <w:jc w:val="both"/>
        <w:rPr/>
      </w:pPr>
      <w:r>
        <w:rPr>
          <w:rFonts w:ascii="Arial" w:hAnsi="Arial"/>
          <w:sz w:val="21"/>
          <w:szCs w:val="21"/>
        </w:rPr>
        <w:t>NOME DO BANCO:</w:t>
      </w:r>
    </w:p>
    <w:p>
      <w:pPr>
        <w:pStyle w:val="Normal"/>
        <w:widowControl/>
        <w:suppressAutoHyphens w:val="true"/>
        <w:bidi w:val="0"/>
        <w:spacing w:lineRule="auto" w:line="360" w:before="0" w:after="0"/>
        <w:ind w:left="0" w:right="0" w:hanging="0"/>
        <w:jc w:val="both"/>
        <w:rPr/>
      </w:pPr>
      <w:r>
        <w:rPr>
          <w:rFonts w:ascii="Arial" w:hAnsi="Arial"/>
          <w:sz w:val="21"/>
          <w:szCs w:val="21"/>
        </w:rPr>
        <w:t>CIDADE:</w:t>
      </w:r>
    </w:p>
    <w:p>
      <w:pPr>
        <w:pStyle w:val="Normal"/>
        <w:widowControl/>
        <w:suppressAutoHyphens w:val="true"/>
        <w:bidi w:val="0"/>
        <w:spacing w:lineRule="auto" w:line="360" w:before="0" w:after="0"/>
        <w:ind w:left="0" w:right="0" w:hanging="0"/>
        <w:jc w:val="both"/>
        <w:rPr/>
      </w:pPr>
      <w:r>
        <w:rPr>
          <w:rFonts w:ascii="Arial" w:hAnsi="Arial"/>
          <w:sz w:val="21"/>
          <w:szCs w:val="21"/>
        </w:rPr>
        <w:t>Nº DA AGÊNCIA:</w:t>
      </w:r>
    </w:p>
    <w:p>
      <w:pPr>
        <w:pStyle w:val="Normal"/>
        <w:widowControl/>
        <w:suppressAutoHyphens w:val="true"/>
        <w:bidi w:val="0"/>
        <w:spacing w:lineRule="auto" w:line="360" w:before="0" w:after="0"/>
        <w:ind w:left="0" w:right="0" w:hanging="0"/>
        <w:jc w:val="both"/>
        <w:rPr/>
      </w:pPr>
      <w:r>
        <w:rPr>
          <w:rFonts w:ascii="Arial" w:hAnsi="Arial"/>
          <w:sz w:val="21"/>
          <w:szCs w:val="21"/>
        </w:rPr>
        <w:t>Nº DA CONTA CORRENTE:</w:t>
      </w:r>
    </w:p>
    <w:p>
      <w:pPr>
        <w:pStyle w:val="Normal"/>
        <w:widowControl/>
        <w:suppressAutoHyphens w:val="true"/>
        <w:bidi w:val="0"/>
        <w:spacing w:lineRule="auto" w:line="360" w:before="0" w:after="0"/>
        <w:ind w:left="0" w:right="0" w:hanging="0"/>
        <w:jc w:val="both"/>
        <w:rPr/>
      </w:pPr>
      <w:r>
        <w:rPr>
          <w:rFonts w:ascii="Arial" w:hAnsi="Arial"/>
          <w:sz w:val="21"/>
          <w:szCs w:val="21"/>
        </w:rPr>
        <w:t>NOME DA CONTA CORRENTE (em nome da empresa):</w:t>
      </w:r>
    </w:p>
    <w:p>
      <w:pPr>
        <w:pStyle w:val="Normal"/>
        <w:widowControl/>
        <w:suppressAutoHyphens w:val="true"/>
        <w:bidi w:val="0"/>
        <w:spacing w:lineRule="auto" w:line="360" w:before="0" w:after="0"/>
        <w:ind w:left="0" w:right="0" w:hanging="0"/>
        <w:jc w:val="both"/>
        <w:rPr/>
      </w:pPr>
      <w:r>
        <w:rPr>
          <w:rFonts w:ascii="Arial" w:hAnsi="Arial"/>
          <w:sz w:val="21"/>
          <w:szCs w:val="21"/>
        </w:rPr>
        <w:t>CHAVE PIX:</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4 – DADOS DO REPRESENTANTE LEGAL RESPONSÁVEL PELA ASSINATURA DOCUMENTOS</w:t>
      </w:r>
    </w:p>
    <w:p>
      <w:pPr>
        <w:pStyle w:val="Normal"/>
        <w:widowControl/>
        <w:suppressAutoHyphens w:val="true"/>
        <w:bidi w:val="0"/>
        <w:spacing w:lineRule="auto" w:line="360" w:before="0" w:after="0"/>
        <w:ind w:left="0" w:right="0" w:hanging="0"/>
        <w:jc w:val="both"/>
        <w:rPr/>
      </w:pPr>
      <w:r>
        <w:rPr>
          <w:rFonts w:ascii="Arial" w:hAnsi="Arial"/>
          <w:sz w:val="21"/>
          <w:szCs w:val="21"/>
        </w:rPr>
        <w:t>NOME COMPLETO:</w:t>
      </w:r>
    </w:p>
    <w:p>
      <w:pPr>
        <w:pStyle w:val="Normal"/>
        <w:widowControl/>
        <w:suppressAutoHyphens w:val="true"/>
        <w:bidi w:val="0"/>
        <w:spacing w:lineRule="auto" w:line="360" w:before="0" w:after="0"/>
        <w:ind w:left="0" w:right="0" w:hanging="0"/>
        <w:jc w:val="both"/>
        <w:rPr/>
      </w:pPr>
      <w:r>
        <w:rPr>
          <w:rFonts w:ascii="Arial" w:hAnsi="Arial"/>
          <w:sz w:val="21"/>
          <w:szCs w:val="21"/>
        </w:rPr>
        <w:t>CARGO OU FUNÇÃO:</w:t>
      </w:r>
    </w:p>
    <w:p>
      <w:pPr>
        <w:pStyle w:val="Normal"/>
        <w:widowControl/>
        <w:suppressAutoHyphens w:val="true"/>
        <w:bidi w:val="0"/>
        <w:spacing w:lineRule="auto" w:line="360" w:before="0" w:after="0"/>
        <w:ind w:left="0" w:right="0" w:hanging="0"/>
        <w:jc w:val="both"/>
        <w:rPr/>
      </w:pPr>
      <w:r>
        <w:rPr>
          <w:rFonts w:ascii="Arial" w:hAnsi="Arial"/>
          <w:sz w:val="21"/>
          <w:szCs w:val="21"/>
        </w:rPr>
        <w:t>IDENTIDADE Nº:</w:t>
      </w:r>
    </w:p>
    <w:p>
      <w:pPr>
        <w:pStyle w:val="Normal"/>
        <w:widowControl/>
        <w:suppressAutoHyphens w:val="true"/>
        <w:bidi w:val="0"/>
        <w:spacing w:lineRule="auto" w:line="360" w:before="0" w:after="0"/>
        <w:ind w:left="0" w:right="0" w:hanging="0"/>
        <w:jc w:val="both"/>
        <w:rPr/>
      </w:pPr>
      <w:r>
        <w:rPr>
          <w:rFonts w:ascii="Arial" w:hAnsi="Arial"/>
          <w:sz w:val="21"/>
          <w:szCs w:val="21"/>
        </w:rPr>
        <w:t>CPF/MF Nº:</w:t>
      </w:r>
    </w:p>
    <w:p>
      <w:pPr>
        <w:pStyle w:val="Normal"/>
        <w:widowControl/>
        <w:suppressAutoHyphens w:val="true"/>
        <w:bidi w:val="0"/>
        <w:spacing w:lineRule="auto" w:line="360" w:before="0" w:after="0"/>
        <w:ind w:left="0" w:right="0" w:hanging="0"/>
        <w:jc w:val="both"/>
        <w:rPr/>
      </w:pPr>
      <w:r>
        <w:rPr>
          <w:rFonts w:ascii="Arial" w:hAnsi="Arial"/>
          <w:sz w:val="21"/>
          <w:szCs w:val="21"/>
        </w:rPr>
        <w:t>TELEFONE PARA CONTATO: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5 – DECLARAÇÃO DE DOMICÍLIO ELETRÔNICO DA EMPRESA</w:t>
      </w:r>
    </w:p>
    <w:p>
      <w:pPr>
        <w:pStyle w:val="Normal"/>
        <w:widowControl/>
        <w:suppressAutoHyphens w:val="true"/>
        <w:bidi w:val="0"/>
        <w:spacing w:lineRule="auto" w:line="360" w:before="0" w:after="0"/>
        <w:ind w:left="0" w:right="0" w:hanging="0"/>
        <w:jc w:val="both"/>
        <w:rPr/>
      </w:pPr>
      <w:r>
        <w:rPr>
          <w:rFonts w:ascii="Arial" w:hAnsi="Arial"/>
          <w:sz w:val="21"/>
          <w:szCs w:val="21"/>
        </w:rPr>
        <w:t>Declaramos que o Domicílio Eletrônico da Empresa para o recebimento de autorizações de fornecimento, alerta de avisos, notificações e decisões administrativas, é:</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E-MAIL:</w:t>
      </w:r>
    </w:p>
    <w:p>
      <w:pPr>
        <w:pStyle w:val="Normal"/>
        <w:widowControl/>
        <w:suppressAutoHyphens w:val="true"/>
        <w:bidi w:val="0"/>
        <w:spacing w:lineRule="auto" w:line="360" w:before="0" w:after="0"/>
        <w:ind w:left="0" w:right="0" w:hanging="0"/>
        <w:jc w:val="both"/>
        <w:rPr/>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6 – DECLARAÇÃO DE ASSINATURA POR CERTIFICAÇÃO DIGITAL</w:t>
      </w:r>
    </w:p>
    <w:p>
      <w:pPr>
        <w:pStyle w:val="Normal"/>
        <w:widowControl/>
        <w:suppressAutoHyphens w:val="true"/>
        <w:bidi w:val="0"/>
        <w:spacing w:lineRule="auto" w:line="360" w:before="0" w:after="0"/>
        <w:ind w:left="0" w:right="0" w:hanging="0"/>
        <w:jc w:val="both"/>
        <w:rPr/>
      </w:pPr>
      <w:r>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7 – CONDIÇÕES GERAIS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 proponente declara conhecer os termos do instrumento convocatório que rege a presente Licitação.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PRAZO DE EXECUÇÃO: 60 (sessenta) dias da assinatura do contrato.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VALIDADE DA PROPOSTA: De no mínimo, 60 (sessenta) dias contados a partir da data da sessão pública do Pregão.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PRAZO DE VIGÊNCIA DO CONTRAT</w:t>
      </w:r>
      <w:r>
        <w:rPr>
          <w:rFonts w:ascii="Arial" w:hAnsi="Arial"/>
          <w:b w:val="false"/>
          <w:bCs w:val="false"/>
          <w:color w:val="000000"/>
          <w:sz w:val="21"/>
          <w:szCs w:val="21"/>
          <w:shd w:fill="FFFFFF" w:val="clear"/>
        </w:rPr>
        <w:t>O:</w:t>
      </w:r>
      <w:r>
        <w:rPr>
          <w:rFonts w:ascii="Arial" w:hAnsi="Arial"/>
          <w:b w:val="false"/>
          <w:bCs w:val="false"/>
          <w:color w:val="000000"/>
          <w:position w:val="0"/>
          <w:sz w:val="21"/>
          <w:sz w:val="21"/>
          <w:szCs w:val="21"/>
          <w:shd w:fill="FFFFFF" w:val="clear"/>
          <w:vertAlign w:val="baseline"/>
        </w:rPr>
        <w:t xml:space="preserve"> 12 (doze) meses a partir da publicação no PNCP.</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CUMPRIMENTO PLENO DOS REQUISITOS DE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(E</w:t>
      </w:r>
      <w:r>
        <w:rPr>
          <w:rFonts w:ascii="Arial" w:hAnsi="Arial"/>
          <w:color w:val="C9211E"/>
          <w:sz w:val="21"/>
          <w:szCs w:val="21"/>
        </w:rPr>
        <w:t>NDEREÇO COMERCIAL</w:t>
      </w:r>
      <w:r>
        <w:rPr>
          <w:rFonts w:ascii="Arial" w:hAnsi="Arial"/>
          <w:sz w:val="21"/>
          <w:szCs w:val="21"/>
        </w:rPr>
        <w:t>)</w:t>
        <w:tab/>
        <w:t>, declara, sob as penas da Lei Federal nº 14.133, de 2021, que cumpre plenamente os requisitos para sua habilitação no presente processo licitatório.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IV</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AUSÊNCIA DE CONDENAÇÃO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AUSÊNCIA DE VÍNCULO SOCIAL E FUNCIONAL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 ____________, sediada em (</w:t>
      </w:r>
      <w:r>
        <w:rPr>
          <w:rFonts w:ascii="Arial" w:hAnsi="Arial"/>
          <w:color w:val="C9211E"/>
          <w:sz w:val="21"/>
          <w:szCs w:val="21"/>
        </w:rPr>
        <w:t>ENDEREÇO COMERCIAL</w:t>
      </w:r>
      <w:r>
        <w:rPr>
          <w:rFonts w:ascii="Arial" w:hAnsi="Arial"/>
          <w:sz w:val="21"/>
          <w:szCs w:val="21"/>
        </w:rPr>
        <w:t>)</w:t>
        <w:tab/>
        <w:t>através de seu representante legal, Sr(a). _________________, declara, sob as penas da Lei Federal nº 14.133, 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eastAsia="Times New Roman" w:cs="Arial" w:ascii="Arial" w:hAnsi="Arial"/>
          <w:kern w:val="0"/>
          <w:sz w:val="21"/>
          <w:szCs w:val="21"/>
          <w:lang w:eastAsia="pt-BR"/>
        </w:rPr>
        <w:t xml:space="preserve"> sob as penas da lei </w:t>
      </w:r>
      <w:r>
        <w:rPr>
          <w:rFonts w:eastAsia="Times New Roman" w:cs="Arial" w:ascii="Arial" w:hAnsi="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pPr>
        <w:pStyle w:val="Normal"/>
        <w:widowControl/>
        <w:suppressAutoHyphens w:val="true"/>
        <w:bidi w:val="0"/>
        <w:spacing w:lineRule="auto" w:line="300" w:before="0" w:after="0"/>
        <w:ind w:left="0" w:right="0" w:hanging="0"/>
        <w:jc w:val="both"/>
        <w:rPr/>
      </w:pPr>
      <w:r>
        <w:rPr>
          <w:rFonts w:eastAsia="Arial" w:cs="Arial" w:ascii="Arial" w:hAnsi="Arial"/>
          <w:b w:val="false"/>
          <w:bCs w:val="false"/>
          <w:kern w:val="0"/>
          <w:sz w:val="21"/>
          <w:szCs w:val="21"/>
          <w:lang w:eastAsia="pt-BR"/>
        </w:rPr>
        <w:tab/>
      </w:r>
      <w:r>
        <w:rPr>
          <w:rFonts w:eastAsia="Times New Roman" w:cs="Arial" w:ascii="Arial" w:hAnsi="Arial"/>
          <w:b w:val="false"/>
          <w:bCs w:val="false"/>
          <w:kern w:val="0"/>
          <w:sz w:val="21"/>
          <w:szCs w:val="21"/>
          <w:lang w:eastAsia="pt-BR"/>
        </w:rPr>
        <w:t xml:space="preserve">Portanto, inclusive, a empresa declara que também está em conformidade com o que prevê o art. </w:t>
      </w:r>
      <w:r>
        <w:rPr>
          <w:rFonts w:cs="Arial" w:ascii="Arial" w:hAnsi="Arial"/>
          <w:b w:val="false"/>
          <w:bCs w:val="false"/>
          <w:kern w:val="2"/>
          <w:sz w:val="21"/>
          <w:szCs w:val="21"/>
          <w:lang w:eastAsia="zh-CN"/>
        </w:rPr>
        <w:t>54 I “a” da Constituição Federal e art. 43 I ”a” e II “a” da Constituição do Estado de Santa Catarina.</w:t>
      </w:r>
      <w:r>
        <w:rPr>
          <w:rFonts w:eastAsia="Times New Roman" w:cs="Arial" w:ascii="Arial" w:hAnsi="Arial"/>
          <w:b w:val="false"/>
          <w:bCs w:val="false"/>
          <w:kern w:val="0"/>
          <w:sz w:val="21"/>
          <w:szCs w:val="21"/>
          <w:lang w:eastAsia="pt-BR"/>
        </w:rPr>
        <w:t xml:space="preserve"> </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MICROEMPRESAS E EMPRESAS DE PEQUENO PORTE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empresa</w:t>
        <w:tab/>
        <w:tab/>
        <w:t>, inscrita no CNPJ sob o nº</w:t>
        <w:tab/>
        <w:tab/>
        <w:t>, por intermédio de seu representante legal, o(a) Sr.(a.) ou procurado</w:t>
        <w:tab/>
        <w:tab/>
        <w:t>, portador(a) da Carteira de Identidade nº</w:t>
        <w:tab/>
        <w:t>, do CPF nº</w:t>
        <w:tab/>
        <w:tab/>
        <w:t>, DECLARA, sob as penas elencadas na Lei Federal n° 14.133, de 2021, que em conformidade com o previsto no art. 3° da Lei Complementar n° 123, de 15 de dezembro de 2006, ter a receita bruta equivalente a uma</w:t>
        <w:tab/>
        <w:tab/>
        <w:tab/>
        <w:t>(microempresa ou empresa de pequeno porte). Declara ainda que não há nenhum dos impedimentos previstos no § 4°, art. 3° da LC 123/06.</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ENQUADRAMENTO DE RECEITA BRUTA PARA FINS DE BENEFÍCIO PREVISTO NA LEI COMPLEMENTAR FEDERAL 123/2006</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empresa</w:t>
        <w:tab/>
        <w:tab/>
        <w:t>, inscrita no CNPJ sob o nº</w:t>
        <w:tab/>
        <w:tab/>
        <w:t>, por intermédio de seu representante legal, o(a) Sr.(a.) ou procurador</w:t>
        <w:tab/>
        <w:tab/>
        <w:t>, portador(a) da Carteira de Identidade nº</w:t>
        <w:tab/>
        <w:t>, do CPF nº</w:t>
        <w:tab/>
        <w:tab/>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CUMPRIMENTO DO ARTIGO 7º, INCISO XXXIII, DA CONSTITUIÇÃO DA REPÚBLICA FEDERATIVA DO BRASIL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Nome da Empresa</w:t>
        <w:tab/>
        <w:t>, inscrito no CNPJ n°</w:t>
        <w:tab/>
        <w:t>, por intermédio de seu representante    legal o(a) Sr(a).</w:t>
        <w:tab/>
        <w:tab/>
        <w:t>, portador(a) da Carteira de Identidade nº</w:t>
        <w:tab/>
        <w:t>e do CPF nº</w:t>
        <w:tab/>
        <w:tab/>
        <w:tab/>
        <w:t>, DECLARA, para fins do disposto no inciso V do artigo 68, da Lei Federal nº 14.133, de 2021, que não emprega menor de dezoito anos em trabalho noturno, perigoso ou insalubre, e não emprega menor de dezesseis anos (art. 7º, inciso XXXIII, da Constituição Federal).</w:t>
      </w:r>
    </w:p>
    <w:p>
      <w:pPr>
        <w:pStyle w:val="Normal"/>
        <w:widowControl/>
        <w:suppressAutoHyphens w:val="true"/>
        <w:bidi w:val="0"/>
        <w:spacing w:lineRule="auto" w:line="300" w:before="0" w:after="0"/>
        <w:ind w:left="0" w:right="0" w:hanging="0"/>
        <w:jc w:val="both"/>
        <w:rPr/>
      </w:pPr>
      <w:r>
        <w:rPr>
          <w:rFonts w:ascii="Arial" w:hAnsi="Arial"/>
          <w:sz w:val="21"/>
          <w:szCs w:val="21"/>
        </w:rPr>
        <w:t>Ressalva: emprega menor, a partir de quatorze anos, na condição de aprendiz (   ).</w:t>
      </w:r>
    </w:p>
    <w:p>
      <w:pPr>
        <w:pStyle w:val="Normal"/>
        <w:widowControl/>
        <w:suppressAutoHyphens w:val="true"/>
        <w:bidi w:val="0"/>
        <w:spacing w:lineRule="auto" w:line="300" w:before="0" w:after="0"/>
        <w:ind w:left="0" w:right="0" w:hanging="0"/>
        <w:jc w:val="both"/>
        <w:rPr/>
      </w:pPr>
      <w:r>
        <w:rPr>
          <w:rFonts w:ascii="Arial" w:hAnsi="Arial"/>
          <w:sz w:val="21"/>
          <w:szCs w:val="21"/>
        </w:rPr>
        <w:t>(Observação: em caso afirmativo, assinalar a ressalva acima)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p>
    <w:p>
      <w:pPr>
        <w:pStyle w:val="Normal"/>
        <w:widowControl/>
        <w:suppressAutoHyphens w:val="true"/>
        <w:bidi w:val="0"/>
        <w:spacing w:lineRule="auto" w:line="300" w:before="0" w:after="0"/>
        <w:ind w:left="0" w:right="0" w:hanging="0"/>
        <w:jc w:val="both"/>
        <w:rPr/>
      </w:pP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IX</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RESERVA DE CARGOS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Observação: </w:t>
      </w:r>
      <w:r>
        <w:rPr>
          <w:rFonts w:ascii="Arial" w:hAnsi="Arial"/>
          <w:sz w:val="21"/>
          <w:szCs w:val="21"/>
          <w:shd w:fill="FFFF00" w:val="clear"/>
        </w:rPr>
        <w:t>Os licitantes que, por sua natureza ou por força de lei, estiverem dispensados do cumprimento da reserva de cargos descrito nesta declaração, deverão apresentar declaração identificando a situação e citando os dispositivos legais pertinentes.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X</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INTEGRALIDADE DE CUSTOS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XI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MODELO DE DECLARAÇÃO DE CONHECIMENTO DAS ESPECIFICAÇÕES E NORMAS PERTINENTES À EXECUÇÃO DOS SERVIÇOS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Declaro, para os devidos fins da Licitação referente ao Pregão, na forma Eletrônica – Edital nº ___/2024, que a empresa</w:t>
        <w:tab/>
        <w:t>_________________, tomou conhecimento de todas as normas, especificações e informações necessárias e obrigatórias para a perfeita consecução do objeto do Edital supra, nos termos do art. 67, VI,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XII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104/2024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16/2024</w:t>
      </w:r>
    </w:p>
    <w:p>
      <w:pPr>
        <w:pStyle w:val="Normal"/>
        <w:spacing w:lineRule="auto" w:line="300" w:before="0" w:after="0"/>
        <w:ind w:left="0" w:right="0" w:hanging="0"/>
        <w:jc w:val="center"/>
        <w:rPr>
          <w:rFonts w:ascii="Arial" w:hAnsi="Arial" w:cs="Arial"/>
          <w:b/>
          <w:b/>
          <w:bCs/>
          <w:color w:val="000000"/>
          <w:kern w:val="2"/>
          <w:sz w:val="21"/>
          <w:szCs w:val="21"/>
          <w:lang w:eastAsia="zxx"/>
        </w:rPr>
      </w:pPr>
      <w:r>
        <w:rPr>
          <w:rFonts w:cs="Arial" w:ascii="Arial" w:hAnsi="Arial"/>
          <w:b/>
          <w:bCs/>
          <w:color w:val="000000"/>
          <w:kern w:val="2"/>
          <w:sz w:val="21"/>
          <w:szCs w:val="21"/>
          <w:lang w:eastAsia="zxx"/>
        </w:rPr>
      </w:r>
    </w:p>
    <w:p>
      <w:pPr>
        <w:pStyle w:val="Normal"/>
        <w:spacing w:lineRule="auto" w:line="300" w:before="0" w:after="0"/>
        <w:ind w:left="0" w:right="0" w:hanging="0"/>
        <w:jc w:val="left"/>
        <w:rPr/>
      </w:pPr>
      <w:r>
        <w:rPr>
          <w:rFonts w:cs="Arial" w:ascii="Arial" w:hAnsi="Arial"/>
          <w:b/>
          <w:bCs/>
          <w:color w:val="000000"/>
          <w:kern w:val="2"/>
          <w:sz w:val="21"/>
          <w:szCs w:val="21"/>
          <w:lang w:eastAsia="zxx"/>
        </w:rPr>
        <w:t>ATA DE REGISTRO DE PREÇOS Nº __/2024</w:t>
      </w:r>
    </w:p>
    <w:p>
      <w:pPr>
        <w:pStyle w:val="Normal"/>
        <w:spacing w:lineRule="auto" w:line="300" w:before="0" w:after="0"/>
        <w:ind w:left="0" w:right="0" w:hanging="0"/>
        <w:jc w:val="both"/>
        <w:rPr>
          <w:rFonts w:ascii="Arial" w:hAnsi="Arial" w:cs="Arial"/>
          <w:b/>
          <w:b/>
          <w:bCs/>
          <w:color w:val="000000"/>
          <w:kern w:val="2"/>
          <w:sz w:val="21"/>
          <w:szCs w:val="21"/>
          <w:lang w:eastAsia="zxx"/>
        </w:rPr>
      </w:pPr>
      <w:r>
        <w:rPr>
          <w:rFonts w:cs="Arial" w:ascii="Arial" w:hAnsi="Arial"/>
          <w:b/>
          <w:bCs/>
          <w:color w:val="000000"/>
          <w:kern w:val="2"/>
          <w:sz w:val="21"/>
          <w:szCs w:val="21"/>
          <w:lang w:eastAsia="zxx"/>
        </w:rPr>
      </w:r>
    </w:p>
    <w:p>
      <w:pPr>
        <w:pStyle w:val="Normal"/>
        <w:widowControl/>
        <w:suppressAutoHyphens w:val="false"/>
        <w:spacing w:lineRule="auto" w:line="300" w:before="0" w:after="0"/>
        <w:ind w:left="0" w:right="0" w:hanging="0"/>
        <w:jc w:val="both"/>
        <w:rPr/>
      </w:pPr>
      <w:r>
        <w:rPr>
          <w:rFonts w:cs="Arial" w:ascii="Arial" w:hAnsi="Arial"/>
          <w:b w:val="false"/>
          <w:bCs w:val="false"/>
          <w:kern w:val="2"/>
          <w:sz w:val="21"/>
          <w:szCs w:val="21"/>
          <w:lang w:eastAsia="zxx"/>
        </w:rPr>
        <w:t xml:space="preserve">O </w:t>
      </w:r>
      <w:r>
        <w:rPr>
          <w:rFonts w:cs="Arial" w:ascii="Arial" w:hAnsi="Arial"/>
          <w:b/>
          <w:bCs/>
          <w:kern w:val="2"/>
          <w:sz w:val="21"/>
          <w:szCs w:val="21"/>
          <w:lang w:eastAsia="zxx"/>
        </w:rPr>
        <w:t>Município de Lindóia do Sul</w:t>
      </w:r>
      <w:r>
        <w:rPr>
          <w:rFonts w:cs="Arial" w:ascii="Arial" w:hAnsi="Arial"/>
          <w:b w:val="false"/>
          <w:bCs w:val="false"/>
          <w:kern w:val="2"/>
          <w:sz w:val="21"/>
          <w:szCs w:val="21"/>
          <w:lang w:eastAsia="zxx"/>
        </w:rPr>
        <w:t xml:space="preserve"> - SC, localizada na Rua Tamandaré, 98, Centro, neste ato representado pelo Prefeito Municipal, Sr. </w:t>
      </w:r>
      <w:r>
        <w:rPr>
          <w:rFonts w:cs="Arial" w:ascii="Arial" w:hAnsi="Arial"/>
          <w:b/>
          <w:bCs/>
          <w:kern w:val="2"/>
          <w:sz w:val="21"/>
          <w:szCs w:val="21"/>
          <w:lang w:eastAsia="zxx"/>
        </w:rPr>
        <w:t>Neudi Angelo Bertol</w:t>
      </w:r>
      <w:r>
        <w:rPr>
          <w:rFonts w:cs="Arial" w:ascii="Arial" w:hAnsi="Arial"/>
          <w:b w:val="false"/>
          <w:bCs w:val="false"/>
          <w:color w:val="000000"/>
          <w:kern w:val="2"/>
          <w:sz w:val="21"/>
          <w:szCs w:val="21"/>
          <w:lang w:eastAsia="zxx"/>
        </w:rPr>
        <w:t xml:space="preserve">, e a empresa ____________________, inscrita no CNPJ nº ____________________, localizada _______________________, no município de _____________________________, nesta Ata representada pelo seu ____________, Sr. __________________, portador do CPF n° ______________ nos termos da Lei Federal n. 14.133/2021, das demais normas legais aplicáveis, em face da classificação das propostas apresentadas no PREGÃO ELETRÔNICO nº 16/2024, Ata de julgamento de Preços e homologada pela autoridade competente, RESOLVEM registrar os preços para possível </w:t>
      </w:r>
      <w:r>
        <w:rPr>
          <w:rFonts w:cs="Arial" w:ascii="Arial" w:hAnsi="Arial"/>
          <w:b w:val="false"/>
          <w:bCs w:val="false"/>
          <w:color w:val="000000"/>
          <w:sz w:val="21"/>
          <w:szCs w:val="21"/>
        </w:rPr>
        <w:t>aquisição conforme a necessidade de gêneros alimentícios</w:t>
      </w:r>
      <w:r>
        <w:rPr>
          <w:rFonts w:eastAsia="Times New Roman" w:cs="Arial" w:ascii="Arial" w:hAnsi="Arial"/>
          <w:b w:val="false"/>
          <w:bCs w:val="false"/>
          <w:color w:val="000000"/>
          <w:sz w:val="21"/>
          <w:szCs w:val="21"/>
        </w:rPr>
        <w:t>,</w:t>
      </w:r>
      <w:r>
        <w:rPr>
          <w:rFonts w:cs="Arial" w:ascii="Arial" w:hAnsi="Arial"/>
          <w:b w:val="false"/>
          <w:bCs w:val="false"/>
          <w:color w:val="000000"/>
          <w:sz w:val="21"/>
          <w:szCs w:val="21"/>
        </w:rPr>
        <w:t xml:space="preserve"> </w:t>
      </w:r>
      <w:r>
        <w:rPr>
          <w:rFonts w:eastAsia="Times New Roman" w:cs="Arial" w:ascii="Arial" w:hAnsi="Arial"/>
          <w:b w:val="false"/>
          <w:bCs w:val="false"/>
          <w:color w:val="000000"/>
          <w:kern w:val="0"/>
          <w:sz w:val="21"/>
          <w:szCs w:val="21"/>
          <w:lang w:eastAsia="zh-CN"/>
        </w:rPr>
        <w:t>conforme especificações constantes do ANEXO “I” do Edital</w:t>
      </w:r>
      <w:r>
        <w:rPr>
          <w:rFonts w:cs="Arial" w:ascii="Arial" w:hAnsi="Arial"/>
          <w:b w:val="false"/>
          <w:bCs w:val="false"/>
          <w:color w:val="000000"/>
          <w:kern w:val="2"/>
          <w:sz w:val="21"/>
          <w:szCs w:val="21"/>
          <w:lang w:eastAsia="zxx"/>
        </w:rPr>
        <w:t>, objeto do PREGÃO ELETRÔNICO acima citado, que passa a fazer parte desta, nos seguintes termos:</w:t>
      </w:r>
    </w:p>
    <w:p>
      <w:pPr>
        <w:pStyle w:val="Normal"/>
        <w:widowControl/>
        <w:suppressAutoHyphens w:val="false"/>
        <w:spacing w:lineRule="auto" w:line="300" w:before="0" w:after="0"/>
        <w:ind w:left="0" w:right="0" w:hanging="0"/>
        <w:jc w:val="both"/>
        <w:rPr>
          <w:rFonts w:ascii="Arial" w:hAnsi="Arial" w:cs="Arial"/>
          <w:color w:val="000000"/>
          <w:kern w:val="2"/>
          <w:sz w:val="21"/>
          <w:szCs w:val="21"/>
          <w:lang w:eastAsia="zxx"/>
        </w:rPr>
      </w:pPr>
      <w:r>
        <w:rPr>
          <w:rFonts w:cs="Arial" w:ascii="Arial" w:hAnsi="Arial"/>
          <w:color w:val="000000"/>
          <w:kern w:val="2"/>
          <w:sz w:val="21"/>
          <w:szCs w:val="21"/>
          <w:lang w:eastAsia="zxx"/>
        </w:rPr>
      </w:r>
    </w:p>
    <w:p>
      <w:pPr>
        <w:pStyle w:val="Normal"/>
        <w:widowControl/>
        <w:suppressAutoHyphens w:val="false"/>
        <w:spacing w:lineRule="auto" w:line="300" w:before="0" w:after="0"/>
        <w:ind w:left="0" w:right="0" w:hanging="0"/>
        <w:jc w:val="both"/>
        <w:rPr/>
      </w:pPr>
      <w:r>
        <w:rPr>
          <w:rFonts w:cs="Arial" w:ascii="Arial" w:hAnsi="Arial"/>
          <w:b/>
          <w:bCs/>
          <w:color w:val="000000"/>
          <w:kern w:val="2"/>
          <w:sz w:val="21"/>
          <w:szCs w:val="21"/>
          <w:lang w:eastAsia="zxx"/>
        </w:rPr>
        <w:t>CLÁUSULA PRIMEIRA – DO OBJETO</w:t>
      </w:r>
    </w:p>
    <w:p>
      <w:pPr>
        <w:pStyle w:val="Normal"/>
        <w:tabs>
          <w:tab w:val="clear" w:pos="708"/>
          <w:tab w:val="left" w:pos="2340" w:leader="none"/>
          <w:tab w:val="left" w:pos="4464" w:leader="none"/>
        </w:tabs>
        <w:spacing w:lineRule="auto" w:line="300" w:before="0" w:after="0"/>
        <w:ind w:left="0" w:right="0" w:hanging="0"/>
        <w:jc w:val="both"/>
        <w:rPr>
          <w:rFonts w:ascii="Arial" w:hAnsi="Arial" w:cs="Arial"/>
          <w:bCs/>
          <w:color w:val="000000"/>
          <w:kern w:val="2"/>
          <w:sz w:val="21"/>
          <w:szCs w:val="21"/>
          <w:lang w:eastAsia="zxx"/>
        </w:rPr>
      </w:pPr>
      <w:r>
        <w:rPr>
          <w:rFonts w:cs="Arial" w:ascii="Arial" w:hAnsi="Arial"/>
          <w:bCs/>
          <w:color w:val="000000"/>
          <w:kern w:val="2"/>
          <w:sz w:val="21"/>
          <w:szCs w:val="21"/>
          <w:lang w:eastAsia="zxx"/>
        </w:rPr>
      </w:r>
    </w:p>
    <w:p>
      <w:pPr>
        <w:pStyle w:val="Normal"/>
        <w:tabs>
          <w:tab w:val="clear" w:pos="708"/>
          <w:tab w:val="left" w:pos="2340" w:leader="none"/>
          <w:tab w:val="left" w:pos="4464" w:leader="none"/>
        </w:tabs>
        <w:spacing w:lineRule="auto" w:line="300" w:before="0" w:after="0"/>
        <w:ind w:left="0" w:right="0" w:hanging="0"/>
        <w:jc w:val="both"/>
        <w:rPr/>
      </w:pPr>
      <w:r>
        <w:rPr>
          <w:rFonts w:cs="Arial" w:ascii="Arial" w:hAnsi="Arial"/>
          <w:bCs/>
          <w:color w:val="000000"/>
          <w:kern w:val="2"/>
          <w:sz w:val="21"/>
          <w:szCs w:val="21"/>
          <w:lang w:eastAsia="zxx"/>
        </w:rPr>
        <w:t xml:space="preserve">1.1. A presente Ata tem por objeto o REGISTRO DE PREÇOS para futura e eventual aquisição de forma parcelada de gêneros alimentícios para uso dos órgãos ou entidades do </w:t>
      </w:r>
      <w:r>
        <w:rPr>
          <w:rFonts w:cs="Arial" w:ascii="Arial" w:hAnsi="Arial"/>
          <w:bCs/>
          <w:color w:val="000000"/>
          <w:kern w:val="2"/>
          <w:sz w:val="21"/>
          <w:szCs w:val="21"/>
          <w:shd w:fill="auto" w:val="clear"/>
          <w:lang w:eastAsia="zxx"/>
        </w:rPr>
        <w:t>Município de Lindóia do Sul</w:t>
      </w:r>
      <w:r>
        <w:rPr>
          <w:rFonts w:cs="Arial" w:ascii="Arial" w:hAnsi="Arial"/>
          <w:bCs/>
          <w:color w:val="000000"/>
          <w:kern w:val="2"/>
          <w:sz w:val="21"/>
          <w:szCs w:val="21"/>
          <w:lang w:eastAsia="zxx"/>
        </w:rPr>
        <w:t>, na condição de Órgãos Participantes desta licitação, de acordo com os quantitativos estimados e durante o prazo de vigência da Ata de Registro de Preços.</w:t>
      </w:r>
    </w:p>
    <w:p>
      <w:pPr>
        <w:pStyle w:val="Normal"/>
        <w:tabs>
          <w:tab w:val="clear" w:pos="708"/>
          <w:tab w:val="left" w:pos="2340" w:leader="none"/>
          <w:tab w:val="left" w:pos="4464" w:leader="none"/>
        </w:tabs>
        <w:spacing w:lineRule="auto" w:line="300" w:before="0" w:after="0"/>
        <w:ind w:left="0" w:right="0" w:hanging="0"/>
        <w:jc w:val="both"/>
        <w:rPr>
          <w:rFonts w:ascii="Arial" w:hAnsi="Arial" w:cs="Arial"/>
          <w:bCs/>
          <w:color w:val="000000"/>
          <w:kern w:val="2"/>
          <w:sz w:val="21"/>
          <w:szCs w:val="21"/>
          <w:lang w:eastAsia="zxx"/>
        </w:rPr>
      </w:pPr>
      <w:r>
        <w:rPr>
          <w:rFonts w:cs="Arial" w:ascii="Arial" w:hAnsi="Arial"/>
          <w:bCs/>
          <w:color w:val="000000"/>
          <w:kern w:val="2"/>
          <w:sz w:val="21"/>
          <w:szCs w:val="21"/>
          <w:lang w:eastAsia="zxx"/>
        </w:rPr>
      </w:r>
    </w:p>
    <w:p>
      <w:pPr>
        <w:pStyle w:val="Normal"/>
        <w:tabs>
          <w:tab w:val="clear" w:pos="708"/>
          <w:tab w:val="left" w:pos="2340" w:leader="none"/>
          <w:tab w:val="left" w:pos="4464" w:leader="none"/>
        </w:tabs>
        <w:spacing w:lineRule="auto" w:line="300" w:before="0" w:after="0"/>
        <w:ind w:left="0" w:right="0" w:hanging="0"/>
        <w:jc w:val="both"/>
        <w:rPr/>
      </w:pPr>
      <w:r>
        <w:rPr>
          <w:rFonts w:cs="Arial" w:ascii="Arial" w:hAnsi="Arial"/>
          <w:bCs/>
          <w:color w:val="000000"/>
          <w:kern w:val="2"/>
          <w:sz w:val="21"/>
          <w:szCs w:val="21"/>
          <w:lang w:eastAsia="zxx"/>
        </w:rPr>
        <w:t>1.2. As quantidades estimadas para a presente Ata são as descritas na tabela abaixo:</w:t>
      </w:r>
    </w:p>
    <w:p>
      <w:pPr>
        <w:pStyle w:val="Normal"/>
        <w:tabs>
          <w:tab w:val="clear" w:pos="708"/>
          <w:tab w:val="left" w:pos="2340" w:leader="none"/>
          <w:tab w:val="left" w:pos="4464" w:leader="none"/>
        </w:tabs>
        <w:spacing w:lineRule="auto" w:line="30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tbl>
      <w:tblPr>
        <w:tblW w:w="9135" w:type="dxa"/>
        <w:jc w:val="left"/>
        <w:tblInd w:w="122" w:type="dxa"/>
        <w:tblLayout w:type="fixed"/>
        <w:tblCellMar>
          <w:top w:w="0" w:type="dxa"/>
          <w:left w:w="98" w:type="dxa"/>
          <w:bottom w:w="0" w:type="dxa"/>
          <w:right w:w="108" w:type="dxa"/>
        </w:tblCellMar>
      </w:tblPr>
      <w:tblGrid>
        <w:gridCol w:w="840"/>
        <w:gridCol w:w="913"/>
        <w:gridCol w:w="842"/>
        <w:gridCol w:w="1080"/>
        <w:gridCol w:w="3011"/>
        <w:gridCol w:w="1086"/>
        <w:gridCol w:w="1362"/>
      </w:tblGrid>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Item</w:t>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Quant</w:t>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Unid</w:t>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Marca</w:t>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Descrição</w:t>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Unit</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Total</w:t>
            </w:r>
          </w:p>
        </w:tc>
      </w:tr>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7772" w:type="dxa"/>
            <w:gridSpan w:val="6"/>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cs="Arial"/>
                <w:b/>
                <w:b/>
                <w:color w:val="000000"/>
                <w:sz w:val="21"/>
                <w:szCs w:val="21"/>
              </w:rPr>
            </w:pPr>
            <w:r>
              <w:rPr>
                <w:rFonts w:cs="Arial" w:ascii="Arial" w:hAnsi="Arial"/>
                <w:b/>
                <w:color w:val="000000"/>
                <w:sz w:val="21"/>
                <w:szCs w:val="21"/>
              </w:rPr>
              <w:t>TOTAL DA PROPOSTA</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bl>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spacing w:lineRule="auto" w:line="276" w:before="0" w:after="0"/>
        <w:ind w:left="0" w:right="0" w:hanging="0"/>
        <w:jc w:val="both"/>
        <w:rPr/>
      </w:pPr>
      <w:r>
        <w:rPr>
          <w:rFonts w:cs="Arial" w:ascii="Arial" w:hAnsi="Arial"/>
          <w:b/>
          <w:bCs/>
          <w:color w:val="000000"/>
          <w:sz w:val="21"/>
          <w:szCs w:val="21"/>
          <w:lang w:eastAsia="zxx"/>
        </w:rPr>
        <w:t>CLÁUSULA SEGUNDA – DA VALIDADE DA ATA</w:t>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sz w:val="21"/>
          <w:szCs w:val="21"/>
          <w:lang w:eastAsia="zxx"/>
        </w:rPr>
      </w:r>
    </w:p>
    <w:p>
      <w:pPr>
        <w:pStyle w:val="Normal"/>
        <w:spacing w:lineRule="auto" w:line="276" w:before="0" w:after="0"/>
        <w:ind w:left="0" w:right="0" w:hanging="0"/>
        <w:jc w:val="both"/>
        <w:rPr/>
      </w:pPr>
      <w:r>
        <w:rPr>
          <w:rFonts w:cs="Arial" w:ascii="Arial" w:hAnsi="Arial"/>
          <w:bCs/>
          <w:color w:val="000000"/>
          <w:sz w:val="21"/>
          <w:szCs w:val="21"/>
          <w:lang w:eastAsia="zxx"/>
        </w:rPr>
        <w:t xml:space="preserve">2.1. </w:t>
      </w:r>
      <w:r>
        <w:rPr>
          <w:rFonts w:eastAsia="Times New Roman" w:cs="Arial"/>
          <w:bCs/>
          <w:color w:val="000000"/>
          <w:kern w:val="0"/>
          <w:sz w:val="21"/>
          <w:szCs w:val="21"/>
          <w:lang w:eastAsia="zh-CN"/>
        </w:rPr>
        <w:t xml:space="preserve">O prazo de vigência da ata de registro de preços será de 1 (um) ano e poderá ser prorrogado por igual período, desde que comprovado o preço vantajoso, nos termos do art. 84, </w:t>
      </w:r>
      <w:r>
        <w:rPr>
          <w:rFonts w:eastAsia="Times New Roman" w:cs="Arial"/>
          <w:bCs/>
          <w:i/>
          <w:iCs/>
          <w:color w:val="000000"/>
          <w:kern w:val="0"/>
          <w:sz w:val="21"/>
          <w:szCs w:val="21"/>
          <w:lang w:eastAsia="zh-CN"/>
        </w:rPr>
        <w:t>caput</w:t>
      </w:r>
      <w:r>
        <w:rPr>
          <w:rFonts w:eastAsia="Times New Roman" w:cs="Arial"/>
          <w:bCs/>
          <w:color w:val="000000"/>
          <w:kern w:val="0"/>
          <w:sz w:val="21"/>
          <w:szCs w:val="21"/>
          <w:lang w:eastAsia="zh-CN"/>
        </w:rPr>
        <w:t xml:space="preserve">, da Lei Federal n. 14.133/2021. </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lang w:eastAsia="zxx"/>
        </w:rPr>
        <w:t>2.1.1.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t>2.2. Durante o prazo de validade desta Ata de Registro de Preços, a Administração Municipal de Lindóia do Sul não será obrigada a firmar as contratações que dela poderão advir, facultando-se-lhe a realização de licitação específica para a aquisição pretendida, sendo assegurado ao(s) beneficiário(s) do registro preferência de fornecimento em igualdade de condições.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t>2.3. Os preços, durante a vigência da Ata, serão fixos e irreajustáveis, exceto nas hipóteses devidamente comprovadas, de ocorrência de situação prevista no art. 122 do Decreto Municipal nº 4.072/2024 ou de redução dos preços praticados no mercado.</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b/>
          <w:b/>
          <w:color w:val="000000"/>
          <w:sz w:val="21"/>
          <w:szCs w:val="21"/>
        </w:rPr>
      </w:pPr>
      <w:r>
        <w:rPr>
          <w:rFonts w:cs="Arial" w:ascii="Arial" w:hAnsi="Arial"/>
          <w:b/>
          <w:color w:val="000000"/>
          <w:sz w:val="21"/>
          <w:szCs w:val="21"/>
        </w:rPr>
        <w:t>CLÁUSULA TERCEIRA -  DO PRAZO, FORMA DE RECEBIMENTO E LOCAL DE ENTREGA DO OBJETO</w:t>
      </w:r>
    </w:p>
    <w:p>
      <w:pPr>
        <w:pStyle w:val="Normal"/>
        <w:spacing w:lineRule="auto" w:line="276" w:before="0" w:after="0"/>
        <w:ind w:left="0" w:right="0" w:hanging="0"/>
        <w:jc w:val="both"/>
        <w:rPr>
          <w:rFonts w:ascii="Arial" w:hAnsi="Arial" w:cs="Arial"/>
          <w:b/>
          <w:b/>
          <w:color w:val="000000"/>
          <w:sz w:val="21"/>
          <w:szCs w:val="21"/>
          <w:lang w:eastAsia="zxx"/>
        </w:rPr>
      </w:pPr>
      <w:r>
        <w:rPr>
          <w:rFonts w:cs="Arial" w:ascii="Arial" w:hAnsi="Arial"/>
          <w:b/>
          <w:color w:val="000000"/>
          <w:sz w:val="21"/>
          <w:szCs w:val="21"/>
          <w:lang w:eastAsia="zxx"/>
        </w:rPr>
      </w:r>
    </w:p>
    <w:p>
      <w:pPr>
        <w:pStyle w:val="Normal"/>
        <w:numPr>
          <w:ilvl w:val="0"/>
          <w:numId w:val="0"/>
        </w:numPr>
        <w:suppressAutoHyphens w:val="false"/>
        <w:spacing w:lineRule="auto" w:line="276" w:before="0" w:after="0"/>
        <w:ind w:left="0" w:right="0" w:hanging="0"/>
        <w:jc w:val="both"/>
        <w:rPr/>
      </w:pPr>
      <w:r>
        <w:rPr>
          <w:rFonts w:eastAsia="Times New Roman" w:cs="Arial" w:ascii="Arial" w:hAnsi="Arial"/>
          <w:color w:val="000000"/>
          <w:sz w:val="21"/>
          <w:szCs w:val="21"/>
          <w:lang w:eastAsia="pt-BR"/>
        </w:rPr>
        <w:t xml:space="preserve">3.1 Os itens deverá(ão) ser entregues, conforme a necessidade do Município, na </w:t>
      </w:r>
      <w:r>
        <w:rPr>
          <w:rFonts w:eastAsia="Times New Roman" w:cs="Arial" w:ascii="Arial" w:hAnsi="Arial"/>
          <w:b/>
          <w:bCs/>
          <w:color w:val="000000"/>
          <w:sz w:val="21"/>
          <w:szCs w:val="21"/>
          <w:lang w:eastAsia="pt-BR"/>
        </w:rPr>
        <w:t>data da realização do(s) evento(s)</w:t>
      </w:r>
      <w:r>
        <w:rPr>
          <w:rFonts w:eastAsia="Times New Roman" w:cs="Arial" w:ascii="Arial" w:hAnsi="Arial"/>
          <w:color w:val="000000"/>
          <w:sz w:val="21"/>
          <w:szCs w:val="21"/>
          <w:lang w:eastAsia="pt-BR"/>
        </w:rPr>
        <w:t xml:space="preserve">, mediante Solicitação de Fornecimento a qual será encaminhada pelo Setor Responsável, contendo as quantidades dos produtos, a data do evento e os locais para entrega, em </w:t>
      </w:r>
      <w:r>
        <w:rPr>
          <w:rFonts w:eastAsia="Times New Roman" w:cs="Arial" w:ascii="Arial" w:hAnsi="Arial"/>
          <w:color w:val="000000"/>
          <w:sz w:val="21"/>
          <w:szCs w:val="21"/>
          <w:shd w:fill="auto" w:val="clear"/>
          <w:lang w:eastAsia="pt-BR"/>
        </w:rPr>
        <w:t xml:space="preserve">até no máximo </w:t>
      </w:r>
      <w:r>
        <w:rPr>
          <w:rFonts w:eastAsia="Times New Roman" w:cs="Arial" w:ascii="Arial" w:hAnsi="Arial"/>
          <w:b/>
          <w:bCs/>
          <w:color w:val="000000"/>
          <w:sz w:val="21"/>
          <w:szCs w:val="21"/>
          <w:shd w:fill="auto" w:val="clear"/>
          <w:lang w:eastAsia="pt-BR"/>
        </w:rPr>
        <w:t>02 (dois) dias</w:t>
      </w:r>
      <w:r>
        <w:rPr>
          <w:rFonts w:eastAsia="Times New Roman" w:cs="Arial" w:ascii="Arial" w:hAnsi="Arial"/>
          <w:color w:val="000000"/>
          <w:sz w:val="21"/>
          <w:szCs w:val="21"/>
          <w:shd w:fill="auto" w:val="clear"/>
          <w:lang w:eastAsia="pt-BR"/>
        </w:rPr>
        <w:t xml:space="preserve"> antes da data prevista para a realização do mesmo.</w:t>
      </w:r>
    </w:p>
    <w:p>
      <w:pPr>
        <w:pStyle w:val="Default"/>
        <w:rPr>
          <w:rFonts w:ascii="Arial" w:hAnsi="Arial" w:eastAsia="Times New Roman" w:cs="Arial"/>
          <w:color w:val="000000"/>
          <w:sz w:val="21"/>
          <w:szCs w:val="21"/>
          <w:shd w:fill="FFFF00" w:val="clear"/>
          <w:lang w:eastAsia="pt-BR"/>
        </w:rPr>
      </w:pPr>
      <w:r>
        <w:rPr>
          <w:rFonts w:eastAsia="Times New Roman" w:cs="Arial" w:ascii="Arial" w:hAnsi="Arial"/>
          <w:color w:val="000000"/>
          <w:sz w:val="21"/>
          <w:szCs w:val="21"/>
          <w:shd w:fill="FFFF00" w:val="clear"/>
          <w:lang w:eastAsia="pt-BR"/>
        </w:rPr>
      </w:r>
    </w:p>
    <w:p>
      <w:pPr>
        <w:pStyle w:val="Default"/>
        <w:spacing w:lineRule="auto" w:line="276" w:before="0" w:after="0"/>
        <w:ind w:left="0" w:hanging="0"/>
        <w:jc w:val="both"/>
        <w:rPr>
          <w:rFonts w:ascii="Arial" w:hAnsi="Arial"/>
          <w:sz w:val="21"/>
          <w:szCs w:val="21"/>
        </w:rPr>
      </w:pPr>
      <w:r>
        <w:rPr>
          <w:rFonts w:ascii="Arial" w:hAnsi="Arial"/>
          <w:sz w:val="21"/>
          <w:szCs w:val="21"/>
        </w:rPr>
        <w:t>3.1.1 Os itens deverão ser entregues de segunda a sexta-feira, das 08:00 às 11:30 e das 13:30 às 17:00, eventualmente dependendo do evento a data de entrega poderá ser modificada e determinada pela secretaria solicitante.</w:t>
      </w:r>
      <w:r>
        <w:rPr>
          <w:rFonts w:ascii="Arial" w:hAnsi="Arial"/>
          <w:b/>
          <w:sz w:val="21"/>
          <w:szCs w:val="21"/>
        </w:rPr>
        <w:t xml:space="preserve"> </w:t>
      </w:r>
      <w:r>
        <w:rPr>
          <w:rFonts w:ascii="Arial" w:hAnsi="Arial"/>
          <w:b w:val="false"/>
          <w:sz w:val="21"/>
          <w:szCs w:val="21"/>
        </w:rPr>
        <w:t>O prazo de validade dos gêneros alimentícios deverá ser no mínimo de 4 (quatro) meses, a contar da data de entrega do produto.</w:t>
      </w:r>
    </w:p>
    <w:p>
      <w:pPr>
        <w:pStyle w:val="Default"/>
        <w:spacing w:lineRule="auto" w:line="276" w:before="0" w:after="0"/>
        <w:ind w:left="0" w:hanging="0"/>
        <w:jc w:val="both"/>
        <w:rPr>
          <w:b w:val="false"/>
          <w:b w:val="false"/>
        </w:rPr>
      </w:pPr>
      <w:r>
        <w:rPr>
          <w:b w:val="false"/>
        </w:rPr>
      </w:r>
    </w:p>
    <w:p>
      <w:pPr>
        <w:pStyle w:val="Default"/>
        <w:spacing w:lineRule="auto" w:line="276" w:before="0" w:after="279"/>
        <w:ind w:left="0" w:hanging="0"/>
        <w:jc w:val="both"/>
        <w:rPr>
          <w:rFonts w:ascii="Arial" w:hAnsi="Arial"/>
          <w:sz w:val="21"/>
          <w:szCs w:val="21"/>
        </w:rPr>
      </w:pPr>
      <w:r>
        <w:rPr>
          <w:rFonts w:ascii="Arial" w:hAnsi="Arial"/>
          <w:b w:val="false"/>
          <w:sz w:val="21"/>
          <w:szCs w:val="21"/>
        </w:rPr>
        <w:t xml:space="preserve">3.1.2 Em nenhuma hipótese serão recebidos gêneros alimentícios que não atendam ao padrão de qualidade exigido e a descrição correta do produto mencionada neste anexo. </w:t>
      </w:r>
    </w:p>
    <w:p>
      <w:pPr>
        <w:pStyle w:val="Default"/>
        <w:spacing w:lineRule="auto" w:line="276" w:before="0" w:after="0"/>
        <w:ind w:left="0" w:hanging="0"/>
        <w:jc w:val="both"/>
        <w:rPr>
          <w:rFonts w:ascii="Arial" w:hAnsi="Arial"/>
          <w:sz w:val="21"/>
          <w:szCs w:val="21"/>
        </w:rPr>
      </w:pPr>
      <w:r>
        <w:rPr>
          <w:rFonts w:ascii="Arial" w:hAnsi="Arial"/>
          <w:b w:val="false"/>
          <w:sz w:val="21"/>
          <w:szCs w:val="21"/>
        </w:rPr>
        <w:t>3.1.3 Caso o produto não corresponda ao exigido no Edital, a futura contratada deverá providenciar, no prazo máximo de 2 (dois) dias corridos, a sua substituição, visando o atendimento das especificações, sob pena de rescisão contratual e aplicação das sanções previstas neste instrumento.</w:t>
      </w:r>
    </w:p>
    <w:p>
      <w:pPr>
        <w:pStyle w:val="Default"/>
        <w:spacing w:lineRule="auto" w:line="276" w:before="0" w:after="0"/>
        <w:ind w:left="0" w:hanging="0"/>
        <w:jc w:val="both"/>
        <w:rPr>
          <w:b w:val="false"/>
          <w:b w:val="false"/>
        </w:rPr>
      </w:pPr>
      <w:r>
        <w:rPr>
          <w:b w:val="false"/>
        </w:rPr>
      </w:r>
    </w:p>
    <w:p>
      <w:pPr>
        <w:pStyle w:val="Default"/>
        <w:spacing w:before="0" w:after="284"/>
        <w:ind w:left="0" w:hanging="0"/>
        <w:jc w:val="both"/>
        <w:rPr>
          <w:rFonts w:ascii="Arial" w:hAnsi="Arial"/>
          <w:sz w:val="21"/>
          <w:szCs w:val="21"/>
        </w:rPr>
      </w:pPr>
      <w:r>
        <w:rPr>
          <w:rFonts w:ascii="Arial" w:hAnsi="Arial"/>
          <w:sz w:val="21"/>
          <w:szCs w:val="21"/>
        </w:rPr>
        <w:t xml:space="preserve">3.1.4 Todas as despesas relacionadas com as entregas em cada órgão participante ocorrerão por conta do fornecedor, sob o qual ficará a total responsabilidade de realizar o transporte adequado e manter em perfeitas condições de armazenamento todos os itens a serem entregues, garantindo a sua total eficiência e qualidade. </w:t>
      </w:r>
    </w:p>
    <w:p>
      <w:pPr>
        <w:pStyle w:val="Default"/>
        <w:spacing w:before="0" w:after="284"/>
        <w:ind w:left="0" w:hanging="0"/>
        <w:jc w:val="both"/>
        <w:rPr>
          <w:rFonts w:ascii="Arial" w:hAnsi="Arial"/>
          <w:sz w:val="21"/>
          <w:szCs w:val="21"/>
        </w:rPr>
      </w:pPr>
      <w:r>
        <w:rPr>
          <w:rFonts w:ascii="Arial" w:hAnsi="Arial"/>
          <w:sz w:val="21"/>
          <w:szCs w:val="21"/>
        </w:rPr>
        <w:t xml:space="preserve">3.1.5 Os produtos deverão ser entregues em veículo apropriado, com carroceria fechada, em boas condições de higiene e limpeza, sendo os alimentos secos separados, bem como, os alimentos devem ser acondicionados em embalagens de plásticos resistentes e transparente até o momento da entrega. </w:t>
      </w:r>
    </w:p>
    <w:p>
      <w:pPr>
        <w:pStyle w:val="Default"/>
        <w:spacing w:before="0" w:after="284"/>
        <w:ind w:left="0" w:hanging="0"/>
        <w:jc w:val="both"/>
        <w:rPr>
          <w:rFonts w:ascii="Arial" w:hAnsi="Arial"/>
          <w:sz w:val="21"/>
          <w:szCs w:val="21"/>
        </w:rPr>
      </w:pPr>
      <w:r>
        <w:rPr>
          <w:rFonts w:ascii="Arial" w:hAnsi="Arial"/>
          <w:sz w:val="21"/>
          <w:szCs w:val="21"/>
        </w:rPr>
        <w:t xml:space="preserve">3.1.6 O Município de Lindóia do Sul não se responsabiliza por possíveis danos ocorridos durante o transporte. </w:t>
      </w:r>
    </w:p>
    <w:p>
      <w:pPr>
        <w:pStyle w:val="Default"/>
        <w:spacing w:before="0" w:after="0"/>
        <w:ind w:left="0" w:hanging="0"/>
        <w:jc w:val="both"/>
        <w:rPr>
          <w:rFonts w:ascii="Arial" w:hAnsi="Arial"/>
          <w:sz w:val="21"/>
          <w:szCs w:val="21"/>
        </w:rPr>
      </w:pPr>
      <w:r>
        <w:rPr>
          <w:rFonts w:ascii="Arial" w:hAnsi="Arial"/>
          <w:sz w:val="21"/>
          <w:szCs w:val="21"/>
        </w:rPr>
        <w:t xml:space="preserve">3.1.7 Em nenhuma hipótese serão recebidos gêneros alimentícios que não atendam ao padrão de qualidade exigido e a descrição correta do produto mencionada neste anexo. Os produtos devem possuir a devida inspeção sanitária. </w:t>
      </w:r>
    </w:p>
    <w:p>
      <w:pPr>
        <w:pStyle w:val="Normal"/>
        <w:spacing w:lineRule="auto" w:line="276" w:before="0" w:after="0"/>
        <w:ind w:left="0" w:hanging="0"/>
        <w:jc w:val="both"/>
        <w:rPr>
          <w:rFonts w:ascii="Arial" w:hAnsi="Arial" w:eastAsia="Times New Roman" w:cs="Arial"/>
          <w:color w:val="000000"/>
          <w:sz w:val="21"/>
          <w:szCs w:val="21"/>
          <w:shd w:fill="auto" w:val="clear"/>
          <w:lang w:eastAsia="pt-BR"/>
        </w:rPr>
      </w:pPr>
      <w:r>
        <w:rPr>
          <w:rFonts w:eastAsia="Times New Roman" w:cs="Arial" w:ascii="Arial" w:hAnsi="Arial"/>
          <w:color w:val="000000"/>
          <w:sz w:val="21"/>
          <w:szCs w:val="21"/>
          <w:shd w:fill="auto" w:val="clear"/>
          <w:lang w:eastAsia="pt-BR"/>
        </w:rPr>
      </w:r>
    </w:p>
    <w:p>
      <w:pPr>
        <w:pStyle w:val="Normal"/>
        <w:numPr>
          <w:ilvl w:val="0"/>
          <w:numId w:val="0"/>
        </w:numPr>
        <w:suppressAutoHyphens w:val="false"/>
        <w:spacing w:lineRule="auto" w:line="276" w:before="0" w:after="0"/>
        <w:ind w:left="0" w:right="0" w:hanging="0"/>
        <w:jc w:val="both"/>
        <w:rPr>
          <w:rFonts w:ascii="Arial" w:hAnsi="Arial" w:eastAsia="Times New Roman" w:cs="Arial"/>
          <w:color w:val="000000"/>
          <w:sz w:val="21"/>
          <w:szCs w:val="21"/>
          <w:shd w:fill="auto" w:val="clear"/>
          <w:lang w:eastAsia="pt-BR"/>
        </w:rPr>
      </w:pPr>
      <w:r>
        <w:rPr>
          <w:rFonts w:eastAsia="Times New Roman" w:cs="Arial" w:ascii="Arial" w:hAnsi="Arial"/>
          <w:color w:val="000000"/>
          <w:sz w:val="21"/>
          <w:szCs w:val="21"/>
          <w:shd w:fill="auto" w:val="clear"/>
          <w:lang w:eastAsia="pt-BR"/>
        </w:rPr>
        <w:t>3.2 Cada Secretaria determinará funcionário para conferência da mercadoria no ato de recebimento.</w:t>
      </w:r>
    </w:p>
    <w:p>
      <w:pPr>
        <w:pStyle w:val="Normal"/>
        <w:numPr>
          <w:ilvl w:val="0"/>
          <w:numId w:val="5"/>
        </w:numPr>
        <w:tabs>
          <w:tab w:val="clear" w:pos="708"/>
          <w:tab w:val="left" w:pos="142" w:leader="none"/>
        </w:tabs>
        <w:spacing w:lineRule="auto" w:line="276" w:before="0" w:after="0"/>
        <w:ind w:left="0" w:right="0" w:hanging="0"/>
        <w:jc w:val="both"/>
        <w:rPr>
          <w:rFonts w:ascii="Arial" w:hAnsi="Arial" w:cs="Arial"/>
          <w:color w:val="000000"/>
          <w:sz w:val="21"/>
          <w:szCs w:val="21"/>
          <w:lang w:eastAsia="pt-BR"/>
        </w:rPr>
      </w:pPr>
      <w:r>
        <w:rPr>
          <w:rFonts w:cs="Arial" w:ascii="Arial" w:hAnsi="Arial"/>
          <w:color w:val="000000"/>
          <w:sz w:val="21"/>
          <w:szCs w:val="21"/>
          <w:lang w:eastAsia="pt-BR"/>
        </w:rPr>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color w:val="000000"/>
          <w:sz w:val="21"/>
          <w:szCs w:val="21"/>
          <w:lang w:eastAsia="pt-BR"/>
        </w:rPr>
      </w:pPr>
      <w:r>
        <w:rPr>
          <w:rFonts w:cs="Arial" w:ascii="Arial" w:hAnsi="Arial"/>
          <w:color w:val="000000"/>
          <w:sz w:val="21"/>
          <w:szCs w:val="21"/>
          <w:lang w:eastAsia="pt-BR"/>
        </w:rPr>
        <w:t>3.2.1 O Município de Lindóia do Sul não se responsabiliza por possíveis danos ocorridos durante o transporte.</w:t>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t>3.2.2. Em nenhuma hipótese serão recebidos gêneros alimentícios que não atendam ao padrão de qualidade exigido e a descrição correta do produto mencionada na tabela do termo de referência.</w:t>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t>3.3. Todos os custos com o objeto, frete, deslocamento, serão de responsabilidade exclusiva da licitante, sob o qual ficará a total responsabilidade de realizar o transporte adequado e manter em perfeitas condições de armazenamento todos os itens a serem entregues, garantindo a sua total eficiência e qualidade.</w:t>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r>
    </w:p>
    <w:p>
      <w:pPr>
        <w:pStyle w:val="Normal"/>
        <w:numPr>
          <w:ilvl w:val="0"/>
          <w:numId w:val="0"/>
        </w:numPr>
        <w:tabs>
          <w:tab w:val="clear" w:pos="708"/>
          <w:tab w:val="left" w:pos="142" w:leader="none"/>
        </w:tabs>
        <w:spacing w:lineRule="auto" w:line="276"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t xml:space="preserve">3.4. O ato de recebimento não implica a aceitação do produto; </w:t>
      </w:r>
    </w:p>
    <w:p>
      <w:pPr>
        <w:pStyle w:val="Normal"/>
        <w:numPr>
          <w:ilvl w:val="0"/>
          <w:numId w:val="5"/>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r>
    </w:p>
    <w:p>
      <w:pPr>
        <w:pStyle w:val="Normal"/>
        <w:spacing w:lineRule="auto" w:line="276" w:before="0" w:after="0"/>
        <w:ind w:left="0" w:right="0" w:hanging="0"/>
        <w:jc w:val="both"/>
        <w:rPr>
          <w:rFonts w:ascii="Arial" w:hAnsi="Arial" w:cs="Arial"/>
          <w:b/>
          <w:b/>
          <w:color w:val="000000"/>
          <w:sz w:val="21"/>
          <w:szCs w:val="21"/>
        </w:rPr>
      </w:pPr>
      <w:r>
        <w:rPr>
          <w:rFonts w:cs="Arial" w:ascii="Arial" w:hAnsi="Arial"/>
          <w:b/>
          <w:color w:val="000000"/>
          <w:sz w:val="21"/>
          <w:szCs w:val="21"/>
        </w:rPr>
        <w:t>CLÁUSULA QUARTA – DAS PENALIDADES</w:t>
      </w:r>
    </w:p>
    <w:p>
      <w:pPr>
        <w:pStyle w:val="Normal"/>
        <w:spacing w:lineRule="auto" w:line="276" w:before="0" w:after="0"/>
        <w:ind w:left="0" w:right="0" w:hanging="0"/>
        <w:jc w:val="both"/>
        <w:rPr>
          <w:rFonts w:ascii="Arial" w:hAnsi="Arial" w:cs="Arial"/>
          <w:b/>
          <w:b/>
          <w:color w:val="000000"/>
          <w:sz w:val="21"/>
          <w:szCs w:val="21"/>
        </w:rPr>
      </w:pPr>
      <w:r>
        <w:rPr>
          <w:rFonts w:cs="Arial" w:ascii="Arial" w:hAnsi="Arial"/>
          <w:b/>
          <w:color w:val="000000"/>
          <w:sz w:val="21"/>
          <w:szCs w:val="21"/>
        </w:rPr>
      </w:r>
    </w:p>
    <w:p>
      <w:pPr>
        <w:pStyle w:val="Normal"/>
        <w:spacing w:lineRule="auto" w:line="276" w:before="0" w:after="0"/>
        <w:ind w:left="0" w:right="0" w:hanging="0"/>
        <w:jc w:val="both"/>
        <w:rPr/>
      </w:pPr>
      <w:r>
        <w:rPr>
          <w:rFonts w:cs="Arial" w:ascii="Arial" w:hAnsi="Arial"/>
          <w:color w:val="000000"/>
          <w:sz w:val="21"/>
          <w:szCs w:val="21"/>
        </w:rPr>
        <w:t xml:space="preserve">4.1. </w:t>
      </w:r>
      <w:r>
        <w:rPr>
          <w:rFonts w:eastAsia="Calibri" w:cs="Arial" w:ascii="Arial" w:hAnsi="Arial" w:eastAsiaTheme="minorHAnsi"/>
          <w:color w:val="000000"/>
          <w:sz w:val="21"/>
          <w:szCs w:val="21"/>
          <w:shd w:fill="FFFFFF" w:val="clear"/>
        </w:rPr>
        <w:t>As causas de rescisão contratual estão estabelecidas no artigo 137, de acordo com as disposições do art. 138 e 139, todos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4.2. O licitante ou o contratado será responsabilizado administrativamente pelas infrações previstas no art. 155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4.3. O Município de Lindóia do Sul poderá, garantido o contraditório e a ampla defesa, aplicar as seguintes sanções administrativas: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advertência;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multa;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4.4.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4.5. A recusa injustificada do adjudicatário em assinar a Ata de Registro de Preços/Contrato, no prazo máximo de 5 (cinco) dias úteis da notificação, implicará a aplicação da multa compensatória prevista no item anterior.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4.6.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4.7.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4.8.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4.9.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4.10.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4.12.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4.13.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spacing w:lineRule="auto" w:line="276" w:before="0" w:after="0"/>
        <w:ind w:left="0" w:right="0" w:hanging="0"/>
        <w:jc w:val="both"/>
        <w:rPr/>
      </w:pPr>
      <w:r>
        <w:rPr>
          <w:rFonts w:cs="Arial" w:ascii="Arial" w:hAnsi="Arial"/>
          <w:color w:val="000000"/>
          <w:sz w:val="21"/>
          <w:szCs w:val="21"/>
          <w:shd w:fill="FFFFFF" w:val="clear"/>
        </w:rPr>
        <w:t>4.14.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spacing w:lineRule="auto" w:line="276" w:before="0" w:after="0"/>
        <w:ind w:left="0" w:right="0" w:hanging="0"/>
        <w:jc w:val="both"/>
        <w:rPr>
          <w:rFonts w:ascii="Arial" w:hAnsi="Arial" w:cs="Arial"/>
          <w:color w:val="000000"/>
          <w:sz w:val="21"/>
          <w:szCs w:val="21"/>
          <w:shd w:fill="FFFFFF" w:val="clear"/>
        </w:rPr>
      </w:pPr>
      <w:r>
        <w:rPr>
          <w:rFonts w:cs="Arial" w:ascii="Arial" w:hAnsi="Arial"/>
          <w:color w:val="000000"/>
          <w:sz w:val="21"/>
          <w:szCs w:val="21"/>
          <w:shd w:fill="FFFFFF" w:val="clear"/>
        </w:rPr>
      </w:r>
    </w:p>
    <w:p>
      <w:pPr>
        <w:pStyle w:val="Normal"/>
        <w:spacing w:lineRule="auto" w:line="276" w:before="0" w:after="0"/>
        <w:ind w:left="0" w:right="0" w:hanging="0"/>
        <w:jc w:val="both"/>
        <w:rPr>
          <w:rFonts w:ascii="Arial" w:hAnsi="Arial" w:cs="Arial"/>
          <w:color w:val="000000"/>
          <w:sz w:val="21"/>
          <w:szCs w:val="21"/>
          <w:shd w:fill="FFFFFF" w:val="clear"/>
        </w:rPr>
      </w:pPr>
      <w:r>
        <w:rPr>
          <w:rFonts w:cs="Arial" w:ascii="Arial" w:hAnsi="Arial"/>
          <w:color w:val="000000"/>
          <w:sz w:val="21"/>
          <w:szCs w:val="21"/>
          <w:shd w:fill="FFFFFF" w:val="clear"/>
        </w:rPr>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sz w:val="21"/>
          <w:szCs w:val="21"/>
          <w:lang w:eastAsia="zxx"/>
        </w:rPr>
        <w:t>CLÁUSULA QUINTA – DO CANCELAMENTO</w:t>
      </w:r>
    </w:p>
    <w:p>
      <w:pPr>
        <w:pStyle w:val="Normal"/>
        <w:spacing w:lineRule="auto" w:line="300" w:before="0" w:after="0"/>
        <w:ind w:left="0" w:right="0" w:hanging="0"/>
        <w:jc w:val="both"/>
        <w:rPr>
          <w:rFonts w:cs="Arial"/>
          <w:bCs/>
          <w:color w:val="000000"/>
          <w:sz w:val="21"/>
          <w:szCs w:val="21"/>
        </w:rPr>
      </w:pPr>
      <w:r>
        <w:rPr>
          <w:rFonts w:cs="Arial"/>
          <w:bCs/>
          <w:color w:val="000000"/>
          <w:sz w:val="21"/>
          <w:szCs w:val="21"/>
        </w:rPr>
      </w:r>
    </w:p>
    <w:p>
      <w:pPr>
        <w:pStyle w:val="Normal"/>
        <w:spacing w:lineRule="auto" w:line="300" w:before="0" w:after="0"/>
        <w:ind w:left="0" w:right="0" w:hanging="0"/>
        <w:jc w:val="both"/>
        <w:rPr/>
      </w:pPr>
      <w:r>
        <w:rPr>
          <w:rFonts w:cs="Arial"/>
          <w:bCs/>
          <w:color w:val="000000"/>
          <w:sz w:val="21"/>
          <w:szCs w:val="21"/>
        </w:rPr>
        <w:t>5.1. O fornecedor terá seu registro suspenso ou cancelado, facultada a defesa prévia do interessado, no prazo de 5 (cinco) dias úteis, nos seguintes casos: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 - pela Administração, quando:</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o fornecedor não cumprir as exigências do instrumento convocatório que der origem ao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b) o fornecedor recusar-se a assinar a ata ou a formalizar contrato decorrente do registro de preços, ressalvada a hipótese de</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Administração aceitar sua justificativa;</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c) o fornecedor der causa à rescisão de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d) em qualquer das hipóteses de inexecução total ou parcial do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e) os preços registrados se apresentarem superiores aos praticados pelo mercado;</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f) por razões de interesse público, devidamente fundamentadas.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II - pelo fornecedor quando, mediante solicitação por escrito, comprovar a impossibilidade de cumprir as exigências do instrumento convocatório que deu origem ao registro de preços.</w:t>
      </w:r>
    </w:p>
    <w:p>
      <w:pPr>
        <w:pStyle w:val="Corpodetexto22"/>
        <w:spacing w:lineRule="auto" w:line="300" w:before="0" w:after="0"/>
        <w:ind w:left="0" w:right="0" w:hanging="0"/>
        <w:jc w:val="both"/>
        <w:rPr>
          <w:rFonts w:cs="Arial"/>
          <w:bCs/>
          <w:color w:val="000000"/>
        </w:rPr>
      </w:pPr>
      <w:r>
        <w:rPr>
          <w:rFonts w:cs="Arial"/>
          <w:bCs/>
          <w:color w:val="000000"/>
        </w:rPr>
      </w:r>
    </w:p>
    <w:p>
      <w:pPr>
        <w:pStyle w:val="Corpodetexto22"/>
        <w:spacing w:lineRule="auto" w:line="300" w:before="0" w:after="0"/>
        <w:ind w:left="0" w:right="0" w:hanging="0"/>
        <w:jc w:val="both"/>
        <w:rPr>
          <w:sz w:val="21"/>
          <w:szCs w:val="21"/>
        </w:rPr>
      </w:pPr>
      <w:r>
        <w:rPr>
          <w:rFonts w:cs="Arial"/>
          <w:bCs/>
          <w:color w:val="000000"/>
          <w:sz w:val="21"/>
          <w:szCs w:val="21"/>
        </w:rPr>
        <w:t>5.1.1. A comunicação do cancelamento da ata de registro de preços, será formalizada através do e-mail indicado na fase de credenciamento do fornecedor.</w:t>
      </w:r>
    </w:p>
    <w:p>
      <w:pPr>
        <w:pStyle w:val="Corpodetexto22"/>
        <w:spacing w:lineRule="auto" w:line="300" w:before="0" w:after="0"/>
        <w:ind w:left="0" w:right="0" w:hanging="0"/>
        <w:jc w:val="both"/>
        <w:rPr>
          <w:rFonts w:cs="Arial"/>
          <w:bCs/>
          <w:color w:val="000000"/>
        </w:rPr>
      </w:pPr>
      <w:r>
        <w:rPr>
          <w:rFonts w:cs="Arial"/>
          <w:bCs/>
          <w:color w:val="000000"/>
        </w:rPr>
      </w:r>
    </w:p>
    <w:p>
      <w:pPr>
        <w:pStyle w:val="Corpodetexto22"/>
        <w:spacing w:lineRule="auto" w:line="300" w:before="0" w:after="0"/>
        <w:ind w:left="0" w:right="0" w:hanging="0"/>
        <w:jc w:val="both"/>
        <w:rPr>
          <w:sz w:val="21"/>
          <w:szCs w:val="21"/>
        </w:rPr>
      </w:pPr>
      <w:r>
        <w:rPr>
          <w:rFonts w:cs="Arial"/>
          <w:bCs/>
          <w:sz w:val="21"/>
          <w:szCs w:val="21"/>
        </w:rPr>
        <w:t>5.1.2. Nos casos de não confirmação do recebimento, será considerada válida a comunicação a partir do 2º dia útil da data de envio.</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eastAsia="Times New Roman" w:cs="Arial"/>
          <w:b/>
          <w:b/>
          <w:bCs/>
          <w:sz w:val="21"/>
          <w:szCs w:val="21"/>
        </w:rPr>
      </w:pPr>
      <w:r>
        <w:rPr>
          <w:rFonts w:eastAsia="Times New Roman" w:cs="Arial" w:ascii="Arial" w:hAnsi="Arial"/>
          <w:b/>
          <w:bCs/>
          <w:sz w:val="21"/>
          <w:szCs w:val="21"/>
        </w:rPr>
        <w:t>CLÁUSULA SEXTA – DA FISCALIZAÇÃO DA ATA DE REGISTRO DE PREÇOS</w:t>
      </w:r>
    </w:p>
    <w:p>
      <w:pPr>
        <w:pStyle w:val="Normal"/>
        <w:spacing w:lineRule="auto" w:line="276"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276" w:before="0" w:after="0"/>
        <w:ind w:left="0" w:right="0" w:hanging="0"/>
        <w:jc w:val="both"/>
        <w:rPr>
          <w:rFonts w:ascii="Arial" w:hAnsi="Arial" w:eastAsia="Times New Roman" w:cs="Arial"/>
          <w:sz w:val="21"/>
          <w:szCs w:val="21"/>
        </w:rPr>
      </w:pPr>
      <w:r>
        <w:rPr>
          <w:rFonts w:eastAsia="Times New Roman" w:cs="Arial" w:ascii="Arial" w:hAnsi="Arial"/>
          <w:sz w:val="21"/>
          <w:szCs w:val="21"/>
        </w:rPr>
        <w:t xml:space="preserve">6.1 </w:t>
      </w:r>
      <w:r>
        <w:rPr>
          <w:rFonts w:eastAsia="Times New Roman" w:cs="Arial" w:ascii="Arial" w:hAnsi="Arial"/>
          <w:color w:val="000000"/>
          <w:sz w:val="21"/>
          <w:szCs w:val="21"/>
        </w:rPr>
        <w:t>A fiscalização da execução do objeto contratado será realizada pelo Gestor e Fiscal indicados pelas Secretarias envolvidas no momento da elaboração da Ata de registro de preço/contrato.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sz w:val="21"/>
          <w:szCs w:val="21"/>
        </w:rPr>
        <w:t>6.2. Em conformidade com o art. 117 da Lei Federal n. 14.133/2021, o Município designará fiscal de contrato e representante da administração pública para acompanhamento e fiscalização da execução de Ata de Registro de Preços/Contrato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8"/>
          <w:tab w:val="left" w:pos="2340" w:leader="none"/>
          <w:tab w:val="left" w:pos="4464" w:leader="none"/>
        </w:tabs>
        <w:spacing w:lineRule="auto" w:line="276" w:before="0" w:after="0"/>
        <w:ind w:left="0" w:right="0" w:hanging="0"/>
        <w:jc w:val="both"/>
        <w:rPr>
          <w:rFonts w:ascii="Liberation Serif" w:hAnsi="Liberation Serif" w:eastAsia="SimSun" w:cs="Mangal"/>
          <w:color w:val="00000A"/>
          <w:sz w:val="24"/>
          <w:szCs w:val="24"/>
          <w:lang w:val="pt-BR" w:eastAsia="zh-CN" w:bidi="hi-IN"/>
        </w:rPr>
      </w:pPr>
      <w:r>
        <w:rPr>
          <w:rFonts w:eastAsia="SimSun" w:cs="Mangal" w:ascii="Liberation Serif" w:hAnsi="Liberation Serif"/>
          <w:color w:val="00000A"/>
          <w:sz w:val="24"/>
          <w:szCs w:val="24"/>
          <w:lang w:val="pt-BR" w:eastAsia="zh-CN" w:bidi="hi-IN"/>
        </w:rPr>
      </w:r>
    </w:p>
    <w:p>
      <w:pPr>
        <w:pStyle w:val="Normal"/>
        <w:spacing w:lineRule="auto" w:line="276" w:before="0" w:after="0"/>
        <w:ind w:left="0" w:right="0" w:hanging="0"/>
        <w:jc w:val="both"/>
        <w:rPr>
          <w:rFonts w:ascii="Arial" w:hAnsi="Arial" w:eastAsia="Times New Roman" w:cs="Arial"/>
          <w:sz w:val="21"/>
          <w:szCs w:val="21"/>
        </w:rPr>
      </w:pPr>
      <w:r>
        <w:rPr>
          <w:rFonts w:eastAsia="Times New Roman" w:cs="Arial" w:ascii="Arial" w:hAnsi="Arial"/>
          <w:bCs/>
          <w:color w:val="000000"/>
          <w:sz w:val="21"/>
          <w:szCs w:val="21"/>
        </w:rPr>
        <w:t>6.3. Caberá ao gestor da Ata de Registro de Preços/Contrato, com auxílio do Fiscal, constituir relatório final de que trata o art. 174, § 3º, inciso VI, alínea “d”, da Lei Federal n. 14.133/2021 com as informações obtidas durante a execução do contrato, como forma de aprimoramento das atividades da Administração.</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pPr>
      <w:r>
        <w:rPr>
          <w:rFonts w:cs="Arial" w:ascii="Arial" w:hAnsi="Arial"/>
          <w:b/>
          <w:bCs/>
          <w:color w:val="000000"/>
          <w:sz w:val="21"/>
          <w:szCs w:val="21"/>
          <w:lang w:eastAsia="zxx"/>
        </w:rPr>
        <w:t xml:space="preserve">CLÁUSULA SÉTIMA – </w:t>
      </w:r>
      <w:r>
        <w:rPr>
          <w:rFonts w:ascii="Arial" w:hAnsi="Arial"/>
          <w:b/>
          <w:sz w:val="21"/>
          <w:szCs w:val="21"/>
        </w:rPr>
        <w:t>DA VINCULAÇÃO AO PROCESSO LICITATÓRIO</w:t>
      </w:r>
    </w:p>
    <w:p>
      <w:pPr>
        <w:pStyle w:val="Normal"/>
        <w:spacing w:before="0" w:after="0"/>
        <w:jc w:val="left"/>
        <w:rPr>
          <w:rFonts w:ascii="Arial" w:hAnsi="Arial"/>
          <w:sz w:val="21"/>
          <w:szCs w:val="21"/>
        </w:rPr>
      </w:pPr>
      <w:r>
        <w:rPr>
          <w:rFonts w:ascii="Arial" w:hAnsi="Arial"/>
          <w:sz w:val="21"/>
          <w:szCs w:val="21"/>
        </w:rPr>
      </w:r>
    </w:p>
    <w:p>
      <w:pPr>
        <w:pStyle w:val="Normal"/>
        <w:spacing w:before="0" w:after="0"/>
        <w:jc w:val="both"/>
        <w:rPr>
          <w:rFonts w:ascii="Arial" w:hAnsi="Arial"/>
          <w:sz w:val="21"/>
          <w:szCs w:val="21"/>
        </w:rPr>
      </w:pPr>
      <w:r>
        <w:rPr>
          <w:rFonts w:ascii="Arial" w:hAnsi="Arial"/>
          <w:sz w:val="21"/>
          <w:szCs w:val="21"/>
        </w:rPr>
        <w:t>7.1. A presente Ata de Registro de Preços está vinculada ao Processo Licitatório Nº 104/2024, Pregão Eletrônico nº 16/2024.</w:t>
      </w:r>
    </w:p>
    <w:p>
      <w:pPr>
        <w:pStyle w:val="Normal"/>
        <w:spacing w:before="0" w:after="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b/>
          <w:bCs/>
          <w:sz w:val="21"/>
          <w:szCs w:val="21"/>
        </w:rPr>
        <w:t>CLÁUSULA OITAVA - DA PROTEÇÃO DE DADOS</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8.3. Considerando o caráter público desta contratação, o compartilhamento de dados observará ao disposto no Capítulo IV da LGPD.</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b/>
          <w:bCs/>
          <w:sz w:val="21"/>
          <w:szCs w:val="21"/>
        </w:rPr>
        <w:t>CLÁUSULA NONA - ANTICORRUPÇÃO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9.1.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spacing w:before="0" w:after="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sz w:val="21"/>
          <w:szCs w:val="21"/>
          <w:lang w:eastAsia="zxx"/>
        </w:rPr>
        <w:t>CLÁUSULA DÉCIMA - DAS DISPOSIÇÕES FINAIS E DO FORO</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t>10.1. A empresa acima descrita passará a ser denominada detentora da Ata de Registro de Preços após a assinatura desta.</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t>10.2. Os casos omissos serão resolvidos de acordo com a Lei Federal nº 14.133/2021, Decreto Municipal nº 4.072/2024 e demais normas aplicáveis.</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t>10.3. Fica eleito o Foro da Comarca de Ipumirim - SC para dirimir quaisquer questões decorrentes da utilização da presente ata.</w:t>
      </w:r>
    </w:p>
    <w:p>
      <w:pPr>
        <w:pStyle w:val="Normal"/>
        <w:spacing w:lineRule="auto" w:line="276" w:before="0" w:after="0"/>
        <w:ind w:left="0" w:right="0" w:hanging="0"/>
        <w:jc w:val="both"/>
        <w:rPr>
          <w:rFonts w:cs="Arial"/>
          <w:bCs/>
          <w:kern w:val="2"/>
        </w:rPr>
      </w:pPr>
      <w:r>
        <w:rPr>
          <w:rFonts w:cs="Arial"/>
          <w:bCs/>
          <w:kern w:val="2"/>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bCs/>
          <w:color w:val="000000"/>
          <w:kern w:val="2"/>
          <w:sz w:val="21"/>
          <w:szCs w:val="21"/>
          <w:lang w:eastAsia="zxx"/>
        </w:rPr>
        <w:t>Lindóia do Sul, SC ______ de xxxxx de 2024.</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cs="Arial"/>
          <w:bCs/>
          <w:kern w:val="2"/>
        </w:rPr>
      </w:pPr>
      <w:r>
        <w:rPr>
          <w:rFonts w:cs="Arial"/>
          <w:bCs/>
          <w:kern w:val="2"/>
        </w:rPr>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kern w:val="2"/>
          <w:sz w:val="21"/>
          <w:szCs w:val="21"/>
          <w:lang w:eastAsia="zxx"/>
        </w:rPr>
        <w:t>Neudi Angelo Bertol</w:t>
        <w:tab/>
        <w:tab/>
        <w:tab/>
        <w:tab/>
        <w:tab/>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bCs/>
          <w:color w:val="000000"/>
          <w:kern w:val="2"/>
          <w:sz w:val="21"/>
          <w:szCs w:val="21"/>
          <w:lang w:eastAsia="zxx"/>
        </w:rPr>
        <w:t>Prefeito Municipal</w:t>
        <w:tab/>
        <w:tab/>
        <w:tab/>
        <w:tab/>
        <w:tab/>
        <w:t>Detentor da Ata</w:t>
      </w:r>
    </w:p>
    <w:p>
      <w:pPr>
        <w:pStyle w:val="Normal"/>
        <w:spacing w:lineRule="auto" w:line="276" w:before="0" w:after="0"/>
        <w:ind w:left="0" w:right="0" w:hanging="0"/>
        <w:jc w:val="both"/>
        <w:rPr>
          <w:rFonts w:cs="Arial"/>
          <w:bCs/>
          <w:kern w:val="2"/>
        </w:rPr>
      </w:pPr>
      <w:r>
        <w:rPr>
          <w:rFonts w:cs="Arial"/>
          <w:bCs/>
          <w:kern w:val="2"/>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bCs/>
          <w:color w:val="000000"/>
          <w:kern w:val="2"/>
          <w:sz w:val="21"/>
          <w:szCs w:val="21"/>
          <w:lang w:eastAsia="zxx"/>
        </w:rPr>
        <w:t>Testemunhas: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bCs/>
          <w:color w:val="000000"/>
          <w:kern w:val="2"/>
          <w:sz w:val="21"/>
          <w:szCs w:val="21"/>
          <w:lang w:eastAsia="zxx"/>
        </w:rPr>
        <w:t>Nome:</w:t>
        <w:tab/>
        <w:tab/>
        <w:tab/>
        <w:tab/>
        <w:tab/>
        <w:tab/>
        <w:tab/>
        <w:t>Nome:</w:t>
      </w:r>
    </w:p>
    <w:p>
      <w:pPr>
        <w:pStyle w:val="Normal"/>
        <w:spacing w:lineRule="auto" w:line="276" w:before="0" w:after="0"/>
        <w:ind w:left="0" w:right="0" w:hanging="0"/>
        <w:jc w:val="both"/>
        <w:rPr>
          <w:rFonts w:ascii="Arial" w:hAnsi="Arial" w:cs="Arial"/>
          <w:color w:val="000000"/>
          <w:sz w:val="21"/>
          <w:szCs w:val="21"/>
          <w:lang w:eastAsia="zxx"/>
        </w:rPr>
      </w:pPr>
      <w:bookmarkStart w:id="5" w:name="_Hlk166661777"/>
      <w:bookmarkStart w:id="6" w:name="_Hlk1038461171"/>
      <w:bookmarkStart w:id="7" w:name="_Hlk103846117"/>
      <w:bookmarkStart w:id="8" w:name="_Hlk166662625"/>
      <w:bookmarkStart w:id="9" w:name="_Hlk166662798"/>
      <w:bookmarkStart w:id="10" w:name="_Hlk1038461172"/>
      <w:bookmarkStart w:id="11" w:name="_Hlk1291862591"/>
      <w:bookmarkStart w:id="12" w:name="_Hlk129186259"/>
      <w:bookmarkStart w:id="13" w:name="_Hlk129160896"/>
      <w:bookmarkStart w:id="14" w:name="_Hlk132190501"/>
      <w:bookmarkStart w:id="15" w:name="_Hlk129156372"/>
      <w:r>
        <w:rPr>
          <w:rFonts w:cs="Arial" w:ascii="Arial" w:hAnsi="Arial"/>
          <w:bCs/>
          <w:color w:val="000000"/>
          <w:kern w:val="2"/>
          <w:sz w:val="21"/>
          <w:szCs w:val="21"/>
          <w:lang w:eastAsia="zxx"/>
        </w:rPr>
        <w:t>CPF:</w:t>
        <w:tab/>
        <w:tab/>
        <w:tab/>
        <w:tab/>
        <w:tab/>
        <w:tab/>
        <w:tab/>
        <w:t>CPF:</w:t>
      </w:r>
      <w:bookmarkEnd w:id="5"/>
      <w:bookmarkEnd w:id="6"/>
      <w:bookmarkEnd w:id="7"/>
      <w:bookmarkEnd w:id="8"/>
      <w:bookmarkEnd w:id="9"/>
      <w:bookmarkEnd w:id="10"/>
      <w:bookmarkEnd w:id="11"/>
      <w:bookmarkEnd w:id="12"/>
      <w:bookmarkEnd w:id="13"/>
      <w:bookmarkEnd w:id="14"/>
      <w:bookmarkEnd w:id="15"/>
    </w:p>
    <w:sectPr>
      <w:headerReference w:type="even" r:id="rId13"/>
      <w:headerReference w:type="default" r:id="rId14"/>
      <w:headerReference w:type="first" r:id="rId15"/>
      <w:footerReference w:type="even" r:id="rId16"/>
      <w:footerReference w:type="default" r:id="rId17"/>
      <w:footerReference w:type="first" r:id="rId18"/>
      <w:footnotePr>
        <w:numFmt w:val="decimal"/>
      </w:footnotePr>
      <w:type w:val="nextPage"/>
      <w:pgSz w:w="11906" w:h="16838"/>
      <w:pgMar w:left="1701" w:right="1080" w:gutter="0" w:header="425" w:top="2154" w:footer="0" w:bottom="141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Arial">
    <w:charset w:val="00"/>
    <w:family w:val="roman"/>
    <w:pitch w:val="variable"/>
  </w:font>
  <w:font w:name="Cambria">
    <w:charset w:val="00"/>
    <w:family w:val="roman"/>
    <w:pitch w:val="variable"/>
  </w:font>
  <w:font w:name="Courier New">
    <w:charset w:val="00"/>
    <w:family w:val="roman"/>
    <w:pitch w:val="variable"/>
  </w:font>
  <w:font w:name="Consolas">
    <w:charset w:val="00"/>
    <w:family w:val="roman"/>
    <w:pitch w:val="variable"/>
  </w:font>
  <w:font w:name="Symbol">
    <w:charset w:val="00"/>
    <w:family w:val="roman"/>
    <w:pitch w:val="variable"/>
  </w:font>
  <w:font w:name="Wingdings">
    <w:charset w:val="00"/>
    <w:family w:val="roman"/>
    <w:pitch w:val="variable"/>
  </w:font>
  <w:font w:name="Arial Unicode MS">
    <w:charset w:val="00"/>
    <w:family w:val="roman"/>
    <w:pitch w:val="variable"/>
  </w:font>
  <w:font w:name="Times">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Verdan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7128510" cy="1226820"/>
          <wp:effectExtent l="0" t="0" r="0" b="0"/>
          <wp:docPr id="4"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pic:cNvPicPr>
                    <a:picLocks noChangeAspect="1" noChangeArrowheads="1"/>
                  </pic:cNvPicPr>
                </pic:nvPicPr>
                <pic:blipFill>
                  <a:blip r:embed="rId1"/>
                  <a:srcRect l="-32" t="-153" r="-32" b="-153"/>
                  <a:stretch>
                    <a:fillRect/>
                  </a:stretch>
                </pic:blipFill>
                <pic:spPr bwMode="auto">
                  <a:xfrm>
                    <a:off x="0" y="0"/>
                    <a:ext cx="7128510" cy="1226820"/>
                  </a:xfrm>
                  <a:prstGeom prst="rect">
                    <a:avLst/>
                  </a:prstGeom>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7128510" cy="1226820"/>
          <wp:effectExtent l="0" t="0" r="0" b="0"/>
          <wp:docPr id="5"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descr=""/>
                  <pic:cNvPicPr>
                    <a:picLocks noChangeAspect="1" noChangeArrowheads="1"/>
                  </pic:cNvPicPr>
                </pic:nvPicPr>
                <pic:blipFill>
                  <a:blip r:embed="rId1"/>
                  <a:srcRect l="-32" t="-153" r="-32" b="-153"/>
                  <a:stretch>
                    <a:fillRect/>
                  </a:stretch>
                </pic:blipFill>
                <pic:spPr bwMode="auto">
                  <a:xfrm>
                    <a:off x="0" y="0"/>
                    <a:ext cx="7128510" cy="1226820"/>
                  </a:xfrm>
                  <a:prstGeom prst="rect">
                    <a:avLst/>
                  </a:prstGeom>
                </pic:spPr>
              </pic:pic>
            </a:graphicData>
          </a:graphic>
        </wp:inline>
      </w:drawing>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taderodap"/>
        <w:spacing w:before="0" w:after="160"/>
        <w:rPr/>
      </w:pPr>
      <w:r>
        <w:rPr>
          <w:rStyle w:val="Caracteresdenotaderodap"/>
        </w:rPr>
        <w:footnoteRef/>
      </w:r>
      <w:r>
        <w:rPr>
          <w:sz w:val="18"/>
          <w:szCs w:val="18"/>
        </w:rPr>
        <w:t xml:space="preserve"> </w:t>
      </w:r>
      <w:r>
        <w:rPr>
          <w:sz w:val="18"/>
          <w:szCs w:val="18"/>
        </w:rPr>
        <w:t>JUSTEN FILHO, Marçal. Comentários à Lei de Licitações e Contratações Administrativas: Lei 14.133/2021. São Paulo: Thomson Reuters Brasil, 2021. p. 356.</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1" name="WordPictureWatermark56988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56988954"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678930" cy="1132205"/>
          <wp:effectExtent l="0" t="0" r="0" b="0"/>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1"/>
                  <a:srcRect l="-33" t="-200" r="-33" b="-200"/>
                  <a:stretch>
                    <a:fillRect/>
                  </a:stretch>
                </pic:blipFill>
                <pic:spPr bwMode="auto">
                  <a:xfrm>
                    <a:off x="0" y="0"/>
                    <a:ext cx="6678930" cy="113220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678930" cy="1132205"/>
          <wp:effectExtent l="0" t="0" r="0" b="0"/>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1"/>
                  <a:srcRect l="-33" t="-200" r="-33" b="-200"/>
                  <a:stretch>
                    <a:fillRect/>
                  </a:stretch>
                </pic:blipFill>
                <pic:spPr bwMode="auto">
                  <a:xfrm>
                    <a:off x="0" y="0"/>
                    <a:ext cx="6678930" cy="113220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right"/>
      <w:pPr>
        <w:tabs>
          <w:tab w:val="num" w:pos="0"/>
        </w:tabs>
        <w:ind w:left="425" w:hanging="141"/>
      </w:pPr>
      <w:rPr>
        <w:sz w:val="20"/>
        <w:b w:val="false"/>
        <w:szCs w:val="20"/>
        <w:bCs/>
        <w:rFonts w:ascii="Calibri" w:hAnsi="Calibri" w:cs="Calibri"/>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ANEXO %1"/>
      <w:lvlJc w:val="left"/>
      <w:pPr>
        <w:tabs>
          <w:tab w:val="num" w:pos="0"/>
        </w:tabs>
        <w:ind w:left="720" w:hanging="360"/>
      </w:pPr>
      <w:rPr>
        <w:sz w:val="48"/>
        <w:b w:val="false"/>
        <w:szCs w:val="48"/>
        <w:bCs/>
        <w:rFonts w:ascii="Calibri" w:hAnsi="Calibri" w:cs="Calibri"/>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90"/>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Calibri" w:cs="Tahoma" w:eastAsia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qFormat="1"/>
    <w:lsdException w:name="Body Text Indent 2" w:uiPriority="0" w:semiHidden="1" w:unhideWhenUsed="1" w:qFormat="1"/>
    <w:lsdException w:name="Body Text Indent 3" w:uiPriority="0" w:semiHidden="1" w:unhideWhenUsed="1"/>
    <w:lsdException w:name="Block Text" w:semiHidden="1" w:unhideWhenUsed="1"/>
    <w:lsdException w:name="Hyperlink" w:uiPriority="0" w:semiHidden="1" w:unhideWhenUsed="1"/>
    <w:lsdException w:name="FollowedHyperlink" w:uiPriority="0" w:semiHidden="1" w:unhideWhenUsed="1"/>
    <w:lsdException w:name="Strong" w:uiPriority="0" w:qFormat="1"/>
    <w:lsdException w:name="Emphasis" w:uiPriority="0" w:qFormat="1"/>
    <w:lsdException w:name="Document Map" w:uiPriority="0" w:semiHidden="1" w:unhideWhenUsed="1"/>
    <w:lsdException w:name="Plain Text" w:uiPriority="0"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660c"/>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Ttulo1">
    <w:name w:val="Heading 1"/>
    <w:basedOn w:val="Normal"/>
    <w:next w:val="Normal"/>
    <w:link w:val="Ttulo1Char"/>
    <w:qFormat/>
    <w:rsid w:val="00757293"/>
    <w:pPr>
      <w:keepNext w:val="true"/>
      <w:spacing w:lineRule="auto" w:line="240" w:before="240" w:after="60"/>
      <w:outlineLvl w:val="0"/>
    </w:pPr>
    <w:rPr>
      <w:rFonts w:ascii="Arial" w:hAnsi="Arial" w:eastAsia="Times New Roman" w:cs="Arial"/>
      <w:b/>
      <w:bCs/>
      <w:kern w:val="2"/>
      <w:sz w:val="32"/>
      <w:szCs w:val="32"/>
      <w:lang w:eastAsia="pt-BR"/>
    </w:rPr>
  </w:style>
  <w:style w:type="paragraph" w:styleId="Ttulo2">
    <w:name w:val="Heading 2"/>
    <w:basedOn w:val="Normal"/>
    <w:next w:val="Normal"/>
    <w:link w:val="Ttulo2Char"/>
    <w:unhideWhenUsed/>
    <w:qFormat/>
    <w:rsid w:val="00757293"/>
    <w:pPr>
      <w:keepNext w:val="true"/>
      <w:spacing w:lineRule="auto" w:line="240" w:before="240" w:after="60"/>
      <w:outlineLvl w:val="1"/>
    </w:pPr>
    <w:rPr>
      <w:rFonts w:ascii="Cambria" w:hAnsi="Cambria" w:eastAsia="Times New Roman" w:cs="Times New Roman"/>
      <w:b/>
      <w:bCs/>
      <w:i/>
      <w:iCs/>
      <w:sz w:val="28"/>
      <w:szCs w:val="28"/>
      <w:lang w:val="x-none" w:eastAsia="x-none"/>
    </w:rPr>
  </w:style>
  <w:style w:type="paragraph" w:styleId="Ttulo3">
    <w:name w:val="Heading 3"/>
    <w:basedOn w:val="Normal"/>
    <w:next w:val="Normal"/>
    <w:link w:val="Ttulo3Char"/>
    <w:qFormat/>
    <w:rsid w:val="00652630"/>
    <w:pPr>
      <w:keepNext w:val="true"/>
      <w:suppressAutoHyphens w:val="true"/>
      <w:spacing w:lineRule="auto" w:line="240" w:before="240" w:after="60"/>
      <w:outlineLvl w:val="2"/>
    </w:pPr>
    <w:rPr>
      <w:rFonts w:ascii="Arial" w:hAnsi="Arial" w:eastAsia="Times New Roman" w:cs="Times New Roman"/>
      <w:b/>
      <w:bCs/>
      <w:sz w:val="26"/>
      <w:szCs w:val="26"/>
      <w:lang w:val="x-none" w:eastAsia="ar-SA"/>
    </w:rPr>
  </w:style>
  <w:style w:type="paragraph" w:styleId="Ttulo4">
    <w:name w:val="Heading 4"/>
    <w:basedOn w:val="Normal"/>
    <w:next w:val="Normal"/>
    <w:link w:val="Ttulo4Char"/>
    <w:qFormat/>
    <w:rsid w:val="00652630"/>
    <w:pPr>
      <w:keepNext w:val="true"/>
      <w:suppressAutoHyphens w:val="true"/>
      <w:spacing w:lineRule="auto" w:line="240" w:before="240" w:after="60"/>
      <w:outlineLvl w:val="3"/>
    </w:pPr>
    <w:rPr>
      <w:rFonts w:ascii="Times New Roman" w:hAnsi="Times New Roman" w:eastAsia="Times New Roman" w:cs="Times New Roman"/>
      <w:b/>
      <w:bCs/>
      <w:sz w:val="28"/>
      <w:szCs w:val="28"/>
      <w:lang w:val="x-none" w:eastAsia="ar-SA"/>
    </w:rPr>
  </w:style>
  <w:style w:type="paragraph" w:styleId="Ttulo5">
    <w:name w:val="Heading 5"/>
    <w:basedOn w:val="Normal"/>
    <w:next w:val="Normal"/>
    <w:link w:val="Ttulo5Char"/>
    <w:qFormat/>
    <w:rsid w:val="00757293"/>
    <w:pPr>
      <w:spacing w:lineRule="auto" w:line="240" w:before="240" w:after="60"/>
      <w:outlineLvl w:val="4"/>
    </w:pPr>
    <w:rPr>
      <w:rFonts w:ascii="Times New Roman" w:hAnsi="Times New Roman" w:eastAsia="Times New Roman" w:cs="Times New Roman"/>
      <w:b/>
      <w:bCs/>
      <w:i/>
      <w:iCs/>
      <w:sz w:val="26"/>
      <w:szCs w:val="26"/>
      <w:lang w:val="x-none" w:eastAsia="x-none"/>
    </w:rPr>
  </w:style>
  <w:style w:type="paragraph" w:styleId="Ttulo6">
    <w:name w:val="Heading 6"/>
    <w:basedOn w:val="Normal"/>
    <w:next w:val="Normal"/>
    <w:link w:val="Ttulo6Char"/>
    <w:qFormat/>
    <w:rsid w:val="00757293"/>
    <w:pPr>
      <w:spacing w:lineRule="auto" w:line="240" w:before="240" w:after="60"/>
      <w:outlineLvl w:val="5"/>
    </w:pPr>
    <w:rPr>
      <w:rFonts w:ascii="Times New Roman" w:hAnsi="Times New Roman" w:eastAsia="Times New Roman" w:cs="Times New Roman"/>
      <w:b/>
      <w:bCs/>
      <w:lang w:val="x-none" w:eastAsia="x-none"/>
    </w:rPr>
  </w:style>
  <w:style w:type="paragraph" w:styleId="Ttulo7">
    <w:name w:val="Heading 7"/>
    <w:basedOn w:val="Normal"/>
    <w:next w:val="Normal"/>
    <w:link w:val="Ttulo7Char"/>
    <w:qFormat/>
    <w:rsid w:val="00757293"/>
    <w:pPr>
      <w:keepNext w:val="true"/>
      <w:spacing w:lineRule="auto" w:line="240" w:before="0" w:after="0"/>
      <w:jc w:val="center"/>
      <w:outlineLvl w:val="6"/>
    </w:pPr>
    <w:rPr>
      <w:rFonts w:ascii="Arial" w:hAnsi="Arial" w:eastAsia="Times New Roman" w:cs="Arial"/>
      <w:b/>
      <w:sz w:val="28"/>
      <w:szCs w:val="20"/>
      <w:lang w:eastAsia="pt-BR"/>
    </w:rPr>
  </w:style>
  <w:style w:type="paragraph" w:styleId="Ttulo8">
    <w:name w:val="Heading 8"/>
    <w:basedOn w:val="Normal"/>
    <w:next w:val="Normal"/>
    <w:link w:val="Ttulo8Char"/>
    <w:uiPriority w:val="9"/>
    <w:qFormat/>
    <w:rsid w:val="00652630"/>
    <w:pPr>
      <w:keepNext w:val="true"/>
      <w:tabs>
        <w:tab w:val="clear" w:pos="708"/>
        <w:tab w:val="left" w:pos="0" w:leader="none"/>
      </w:tabs>
      <w:suppressAutoHyphens w:val="true"/>
      <w:snapToGrid w:val="false"/>
      <w:spacing w:lineRule="auto" w:line="240" w:before="0" w:after="0"/>
      <w:jc w:val="center"/>
      <w:outlineLvl w:val="7"/>
    </w:pPr>
    <w:rPr>
      <w:rFonts w:ascii="Arial" w:hAnsi="Arial" w:eastAsia="Times New Roman" w:cs="Times New Roman"/>
      <w:color w:val="000000"/>
      <w:sz w:val="28"/>
      <w:szCs w:val="20"/>
      <w:lang w:val="x-none" w:eastAsia="ar-SA"/>
    </w:rPr>
  </w:style>
  <w:style w:type="paragraph" w:styleId="Ttulo9">
    <w:name w:val="Heading 9"/>
    <w:basedOn w:val="Normal"/>
    <w:next w:val="Normal"/>
    <w:link w:val="Ttulo9Char"/>
    <w:qFormat/>
    <w:rsid w:val="00757293"/>
    <w:pPr>
      <w:spacing w:lineRule="auto" w:line="240" w:before="240" w:after="60"/>
      <w:outlineLvl w:val="8"/>
    </w:pPr>
    <w:rPr>
      <w:rFonts w:ascii="Arial" w:hAnsi="Arial" w:eastAsia="Times New Roman" w:cs="Arial"/>
      <w:lang w:eastAsia="pt-B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fb660c"/>
    <w:rPr/>
  </w:style>
  <w:style w:type="character" w:styleId="RodapChar" w:customStyle="1">
    <w:name w:val="Rodapé Char"/>
    <w:basedOn w:val="DefaultParagraphFont"/>
    <w:qFormat/>
    <w:rsid w:val="00fb660c"/>
    <w:rPr/>
  </w:style>
  <w:style w:type="character" w:styleId="TextodebaloChar" w:customStyle="1">
    <w:name w:val="Texto de balão Char"/>
    <w:basedOn w:val="DefaultParagraphFont"/>
    <w:link w:val="BalloonText"/>
    <w:uiPriority w:val="99"/>
    <w:semiHidden/>
    <w:qFormat/>
    <w:rsid w:val="007a6e59"/>
    <w:rPr>
      <w:rFonts w:ascii="Tahoma" w:hAnsi="Tahoma" w:cs="Tahoma"/>
      <w:sz w:val="16"/>
      <w:szCs w:val="16"/>
    </w:rPr>
  </w:style>
  <w:style w:type="character" w:styleId="RecuodecorpodetextoChar" w:customStyle="1">
    <w:name w:val="Recuo de corpo de texto Char"/>
    <w:basedOn w:val="DefaultParagraphFont"/>
    <w:uiPriority w:val="99"/>
    <w:qFormat/>
    <w:rsid w:val="007a6e59"/>
    <w:rPr>
      <w:rFonts w:ascii="Times New Roman" w:hAnsi="Times New Roman" w:eastAsia="Times New Roman" w:cs="Times New Roman"/>
      <w:sz w:val="24"/>
      <w:szCs w:val="24"/>
    </w:rPr>
  </w:style>
  <w:style w:type="character" w:styleId="Ttulo1Char" w:customStyle="1">
    <w:name w:val="Título 1 Char"/>
    <w:basedOn w:val="DefaultParagraphFont"/>
    <w:qFormat/>
    <w:rsid w:val="00757293"/>
    <w:rPr>
      <w:rFonts w:ascii="Arial" w:hAnsi="Arial" w:eastAsia="Times New Roman" w:cs="Arial"/>
      <w:b/>
      <w:bCs/>
      <w:kern w:val="2"/>
      <w:sz w:val="32"/>
      <w:szCs w:val="32"/>
      <w:lang w:eastAsia="pt-BR"/>
    </w:rPr>
  </w:style>
  <w:style w:type="character" w:styleId="Ttulo2Char" w:customStyle="1">
    <w:name w:val="Título 2 Char"/>
    <w:basedOn w:val="DefaultParagraphFont"/>
    <w:qFormat/>
    <w:rsid w:val="00757293"/>
    <w:rPr>
      <w:rFonts w:ascii="Cambria" w:hAnsi="Cambria" w:eastAsia="Times New Roman" w:cs="Times New Roman"/>
      <w:b/>
      <w:bCs/>
      <w:i/>
      <w:iCs/>
      <w:sz w:val="28"/>
      <w:szCs w:val="28"/>
      <w:lang w:val="x-none" w:eastAsia="x-none"/>
    </w:rPr>
  </w:style>
  <w:style w:type="character" w:styleId="Ttulo5Char" w:customStyle="1">
    <w:name w:val="Título 5 Char"/>
    <w:basedOn w:val="DefaultParagraphFont"/>
    <w:uiPriority w:val="9"/>
    <w:qFormat/>
    <w:rsid w:val="00757293"/>
    <w:rPr>
      <w:rFonts w:ascii="Times New Roman" w:hAnsi="Times New Roman" w:eastAsia="Times New Roman" w:cs="Times New Roman"/>
      <w:b/>
      <w:bCs/>
      <w:i/>
      <w:iCs/>
      <w:sz w:val="26"/>
      <w:szCs w:val="26"/>
      <w:lang w:val="x-none" w:eastAsia="x-none"/>
    </w:rPr>
  </w:style>
  <w:style w:type="character" w:styleId="Ttulo6Char" w:customStyle="1">
    <w:name w:val="Título 6 Char"/>
    <w:basedOn w:val="DefaultParagraphFont"/>
    <w:qFormat/>
    <w:rsid w:val="00757293"/>
    <w:rPr>
      <w:rFonts w:ascii="Times New Roman" w:hAnsi="Times New Roman" w:eastAsia="Times New Roman" w:cs="Times New Roman"/>
      <w:b/>
      <w:bCs/>
      <w:lang w:val="x-none" w:eastAsia="x-none"/>
    </w:rPr>
  </w:style>
  <w:style w:type="character" w:styleId="Ttulo7Char" w:customStyle="1">
    <w:name w:val="Título 7 Char"/>
    <w:basedOn w:val="DefaultParagraphFont"/>
    <w:uiPriority w:val="9"/>
    <w:qFormat/>
    <w:rsid w:val="00757293"/>
    <w:rPr>
      <w:rFonts w:ascii="Arial" w:hAnsi="Arial" w:eastAsia="Times New Roman" w:cs="Arial"/>
      <w:b/>
      <w:sz w:val="28"/>
      <w:szCs w:val="20"/>
      <w:lang w:eastAsia="pt-BR"/>
    </w:rPr>
  </w:style>
  <w:style w:type="character" w:styleId="Ttulo9Char" w:customStyle="1">
    <w:name w:val="Título 9 Char"/>
    <w:basedOn w:val="DefaultParagraphFont"/>
    <w:uiPriority w:val="9"/>
    <w:qFormat/>
    <w:rsid w:val="00757293"/>
    <w:rPr>
      <w:rFonts w:ascii="Arial" w:hAnsi="Arial" w:eastAsia="Times New Roman" w:cs="Arial"/>
      <w:lang w:eastAsia="pt-BR"/>
    </w:rPr>
  </w:style>
  <w:style w:type="character" w:styleId="LinkdaInternet">
    <w:name w:val="Hyperlink"/>
    <w:rsid w:val="00757293"/>
    <w:rPr>
      <w:color w:val="0000FF"/>
      <w:u w:val="single"/>
    </w:rPr>
  </w:style>
  <w:style w:type="character" w:styleId="Strong">
    <w:name w:val="Strong"/>
    <w:qFormat/>
    <w:rsid w:val="00757293"/>
    <w:rPr>
      <w:b/>
      <w:bCs/>
    </w:rPr>
  </w:style>
  <w:style w:type="character" w:styleId="CorpodetextoChar" w:customStyle="1">
    <w:name w:val="Corpo de texto Char"/>
    <w:basedOn w:val="DefaultParagraphFont"/>
    <w:qFormat/>
    <w:rsid w:val="00757293"/>
    <w:rPr>
      <w:rFonts w:eastAsia="Times New Roman" w:cs="Times New Roman"/>
      <w:lang w:val="x-none" w:eastAsia="x-none"/>
    </w:rPr>
  </w:style>
  <w:style w:type="character" w:styleId="Corpodetexto3Char" w:customStyle="1">
    <w:name w:val="Corpo de texto 3 Char"/>
    <w:basedOn w:val="DefaultParagraphFont"/>
    <w:link w:val="BodyText3"/>
    <w:qFormat/>
    <w:rsid w:val="00757293"/>
    <w:rPr>
      <w:rFonts w:ascii="Times New Roman" w:hAnsi="Times New Roman" w:eastAsia="Times New Roman" w:cs="Times New Roman"/>
      <w:sz w:val="16"/>
      <w:szCs w:val="16"/>
      <w:lang w:eastAsia="pt-BR"/>
    </w:rPr>
  </w:style>
  <w:style w:type="character" w:styleId="TtuloChar" w:customStyle="1">
    <w:name w:val="Título Char"/>
    <w:basedOn w:val="DefaultParagraphFont"/>
    <w:qFormat/>
    <w:rsid w:val="00757293"/>
    <w:rPr>
      <w:rFonts w:ascii="Arial" w:hAnsi="Arial" w:eastAsia="Tahoma" w:cs="Times New Roman"/>
      <w:sz w:val="28"/>
      <w:szCs w:val="28"/>
      <w:lang w:val="x-none" w:eastAsia="ar-SA"/>
    </w:rPr>
  </w:style>
  <w:style w:type="character" w:styleId="Recuodecorpodetexto2Char" w:customStyle="1">
    <w:name w:val="Recuo de corpo de texto 2 Char"/>
    <w:basedOn w:val="DefaultParagraphFont"/>
    <w:link w:val="BodyTextIndent2"/>
    <w:qFormat/>
    <w:rsid w:val="00757293"/>
    <w:rPr>
      <w:rFonts w:ascii="Times New Roman" w:hAnsi="Times New Roman" w:eastAsia="Times New Roman" w:cs="Times New Roman"/>
      <w:sz w:val="24"/>
      <w:szCs w:val="24"/>
      <w:lang w:eastAsia="pt-BR"/>
    </w:rPr>
  </w:style>
  <w:style w:type="character" w:styleId="Recuodecorpodetexto3Char" w:customStyle="1">
    <w:name w:val="Recuo de corpo de texto 3 Char"/>
    <w:basedOn w:val="DefaultParagraphFont"/>
    <w:link w:val="BodyTextIndent3"/>
    <w:qFormat/>
    <w:rsid w:val="00757293"/>
    <w:rPr>
      <w:rFonts w:ascii="Times New Roman" w:hAnsi="Times New Roman" w:eastAsia="Times New Roman" w:cs="Times New Roman"/>
      <w:sz w:val="16"/>
      <w:szCs w:val="16"/>
      <w:lang w:eastAsia="pt-BR"/>
    </w:rPr>
  </w:style>
  <w:style w:type="character" w:styleId="TextosemFormataoChar" w:customStyle="1">
    <w:name w:val="Texto sem Formatação Char"/>
    <w:basedOn w:val="DefaultParagraphFont"/>
    <w:link w:val="PlainText"/>
    <w:qFormat/>
    <w:rsid w:val="00757293"/>
    <w:rPr>
      <w:rFonts w:ascii="Courier New" w:hAnsi="Courier New" w:eastAsia="Times New Roman" w:cs="Times New Roman"/>
      <w:sz w:val="20"/>
      <w:szCs w:val="20"/>
      <w:lang w:eastAsia="pt-BR"/>
    </w:rPr>
  </w:style>
  <w:style w:type="character" w:styleId="Pagenumber">
    <w:name w:val="page number"/>
    <w:basedOn w:val="DefaultParagraphFont"/>
    <w:qFormat/>
    <w:rsid w:val="00757293"/>
    <w:rPr/>
  </w:style>
  <w:style w:type="character" w:styleId="Linkdainternetvisitado">
    <w:name w:val="FollowedHyperlink"/>
    <w:rsid w:val="00757293"/>
    <w:rPr>
      <w:color w:val="800080"/>
      <w:u w:val="single"/>
    </w:rPr>
  </w:style>
  <w:style w:type="character" w:styleId="Descricao1" w:customStyle="1">
    <w:name w:val="descricao1"/>
    <w:qFormat/>
    <w:rsid w:val="00757293"/>
    <w:rPr>
      <w:color w:val="666666"/>
      <w:sz w:val="15"/>
      <w:szCs w:val="15"/>
    </w:rPr>
  </w:style>
  <w:style w:type="character" w:styleId="Annotationreference">
    <w:name w:val="annotation reference"/>
    <w:semiHidden/>
    <w:qFormat/>
    <w:rsid w:val="00757293"/>
    <w:rPr>
      <w:sz w:val="16"/>
      <w:szCs w:val="16"/>
    </w:rPr>
  </w:style>
  <w:style w:type="character" w:styleId="TextodecomentrioChar" w:customStyle="1">
    <w:name w:val="Texto de comentário Char"/>
    <w:basedOn w:val="DefaultParagraphFont"/>
    <w:link w:val="Annotationtext"/>
    <w:uiPriority w:val="99"/>
    <w:semiHidden/>
    <w:qFormat/>
    <w:rsid w:val="00757293"/>
    <w:rPr>
      <w:rFonts w:ascii="Times New Roman" w:hAnsi="Times New Roman" w:eastAsia="Times New Roman" w:cs="Times New Roman"/>
      <w:sz w:val="20"/>
      <w:szCs w:val="20"/>
      <w:lang w:eastAsia="pt-BR"/>
    </w:rPr>
  </w:style>
  <w:style w:type="character" w:styleId="AssuntodocomentrioChar" w:customStyle="1">
    <w:name w:val="Assunto do comentário Char"/>
    <w:basedOn w:val="TextodecomentrioChar"/>
    <w:link w:val="Annotationsubject"/>
    <w:uiPriority w:val="99"/>
    <w:semiHidden/>
    <w:qFormat/>
    <w:rsid w:val="00757293"/>
    <w:rPr>
      <w:rFonts w:ascii="Times New Roman" w:hAnsi="Times New Roman" w:eastAsia="Times New Roman" w:cs="Times New Roman"/>
      <w:b/>
      <w:bCs/>
      <w:sz w:val="20"/>
      <w:szCs w:val="20"/>
      <w:lang w:eastAsia="pt-BR"/>
    </w:rPr>
  </w:style>
  <w:style w:type="character" w:styleId="Appleconvertedspace" w:customStyle="1">
    <w:name w:val="apple-converted-space"/>
    <w:basedOn w:val="DefaultParagraphFont"/>
    <w:qFormat/>
    <w:rsid w:val="00757293"/>
    <w:rPr/>
  </w:style>
  <w:style w:type="character" w:styleId="Mainwindow1" w:customStyle="1">
    <w:name w:val="mainwindow1"/>
    <w:basedOn w:val="DefaultParagraphFont"/>
    <w:qFormat/>
    <w:rsid w:val="00757293"/>
    <w:rPr/>
  </w:style>
  <w:style w:type="character" w:styleId="Ttulo3Char" w:customStyle="1">
    <w:name w:val="Título 3 Char"/>
    <w:basedOn w:val="DefaultParagraphFont"/>
    <w:qFormat/>
    <w:rsid w:val="00652630"/>
    <w:rPr>
      <w:rFonts w:ascii="Arial" w:hAnsi="Arial" w:eastAsia="Times New Roman" w:cs="Times New Roman"/>
      <w:b/>
      <w:bCs/>
      <w:sz w:val="26"/>
      <w:szCs w:val="26"/>
      <w:lang w:val="x-none" w:eastAsia="ar-SA"/>
    </w:rPr>
  </w:style>
  <w:style w:type="character" w:styleId="Ttulo4Char" w:customStyle="1">
    <w:name w:val="Título 4 Char"/>
    <w:basedOn w:val="DefaultParagraphFont"/>
    <w:qFormat/>
    <w:rsid w:val="00652630"/>
    <w:rPr>
      <w:rFonts w:ascii="Times New Roman" w:hAnsi="Times New Roman" w:eastAsia="Times New Roman" w:cs="Times New Roman"/>
      <w:b/>
      <w:bCs/>
      <w:sz w:val="28"/>
      <w:szCs w:val="28"/>
      <w:lang w:val="x-none" w:eastAsia="ar-SA"/>
    </w:rPr>
  </w:style>
  <w:style w:type="character" w:styleId="Ttulo8Char" w:customStyle="1">
    <w:name w:val="Título 8 Char"/>
    <w:basedOn w:val="DefaultParagraphFont"/>
    <w:uiPriority w:val="9"/>
    <w:qFormat/>
    <w:rsid w:val="00652630"/>
    <w:rPr>
      <w:rFonts w:ascii="Arial" w:hAnsi="Arial" w:eastAsia="Times New Roman" w:cs="Times New Roman"/>
      <w:color w:val="000000"/>
      <w:sz w:val="28"/>
      <w:szCs w:val="20"/>
      <w:lang w:val="x-none" w:eastAsia="ar-SA"/>
    </w:rPr>
  </w:style>
  <w:style w:type="character" w:styleId="Nfase">
    <w:name w:val="Emphasis"/>
    <w:qFormat/>
    <w:rsid w:val="00652630"/>
    <w:rPr>
      <w:b/>
      <w:bCs/>
      <w:i w:val="false"/>
      <w:iCs w:val="false"/>
    </w:rPr>
  </w:style>
  <w:style w:type="character" w:styleId="PrformataoHTMLChar" w:customStyle="1">
    <w:name w:val="Pré-formatação HTML Char"/>
    <w:link w:val="HTMLPreformatted"/>
    <w:uiPriority w:val="99"/>
    <w:qFormat/>
    <w:locked/>
    <w:rsid w:val="00652630"/>
    <w:rPr>
      <w:rFonts w:ascii="Courier New" w:hAnsi="Courier New"/>
      <w:color w:val="29387B"/>
      <w:sz w:val="18"/>
      <w:szCs w:val="18"/>
    </w:rPr>
  </w:style>
  <w:style w:type="character" w:styleId="PrformataoHTMLChar1" w:customStyle="1">
    <w:name w:val="Pré-formatação HTML Char1"/>
    <w:basedOn w:val="DefaultParagraphFont"/>
    <w:uiPriority w:val="99"/>
    <w:qFormat/>
    <w:rsid w:val="00652630"/>
    <w:rPr>
      <w:rFonts w:ascii="Consolas" w:hAnsi="Consolas"/>
      <w:sz w:val="20"/>
      <w:szCs w:val="20"/>
    </w:rPr>
  </w:style>
  <w:style w:type="character" w:styleId="Corpodetexto2Char" w:customStyle="1">
    <w:name w:val="Corpo de texto 2 Char"/>
    <w:link w:val="BodyText2"/>
    <w:qFormat/>
    <w:locked/>
    <w:rsid w:val="00652630"/>
    <w:rPr>
      <w:bCs/>
      <w:sz w:val="24"/>
    </w:rPr>
  </w:style>
  <w:style w:type="character" w:styleId="Corpodetexto2Char1" w:customStyle="1">
    <w:name w:val="Corpo de texto 2 Char1"/>
    <w:basedOn w:val="DefaultParagraphFont"/>
    <w:qFormat/>
    <w:rsid w:val="00652630"/>
    <w:rPr/>
  </w:style>
  <w:style w:type="character" w:styleId="AbsatzStandardschriftart" w:customStyle="1">
    <w:name w:val="Absatz-Standardschriftart"/>
    <w:qFormat/>
    <w:rsid w:val="00652630"/>
    <w:rPr/>
  </w:style>
  <w:style w:type="character" w:styleId="WWAbsatzStandardschriftart" w:customStyle="1">
    <w:name w:val="WW-Absatz-Standardschriftart"/>
    <w:qFormat/>
    <w:rsid w:val="00652630"/>
    <w:rPr/>
  </w:style>
  <w:style w:type="character" w:styleId="WWAbsatzStandardschriftart1" w:customStyle="1">
    <w:name w:val="WW-Absatz-Standardschriftart1"/>
    <w:qFormat/>
    <w:rsid w:val="00652630"/>
    <w:rPr/>
  </w:style>
  <w:style w:type="character" w:styleId="Fontepargpadro2" w:customStyle="1">
    <w:name w:val="Fonte parág. padrão2"/>
    <w:qFormat/>
    <w:rsid w:val="00652630"/>
    <w:rPr/>
  </w:style>
  <w:style w:type="character" w:styleId="WWAbsatzStandardschriftart11" w:customStyle="1">
    <w:name w:val="WW-Absatz-Standardschriftart11"/>
    <w:qFormat/>
    <w:rsid w:val="00652630"/>
    <w:rPr/>
  </w:style>
  <w:style w:type="character" w:styleId="WWAbsatzStandardschriftart111" w:customStyle="1">
    <w:name w:val="WW-Absatz-Standardschriftart111"/>
    <w:qFormat/>
    <w:rsid w:val="00652630"/>
    <w:rPr/>
  </w:style>
  <w:style w:type="character" w:styleId="WWAbsatzStandardschriftart1111" w:customStyle="1">
    <w:name w:val="WW-Absatz-Standardschriftart1111"/>
    <w:qFormat/>
    <w:rsid w:val="00652630"/>
    <w:rPr/>
  </w:style>
  <w:style w:type="character" w:styleId="Fontepargpadro1" w:customStyle="1">
    <w:name w:val="Fonte parág. padrão1"/>
    <w:qFormat/>
    <w:rsid w:val="00652630"/>
    <w:rPr/>
  </w:style>
  <w:style w:type="character" w:styleId="Hlon3" w:customStyle="1">
    <w:name w:val="hlon3"/>
    <w:qFormat/>
    <w:rsid w:val="00652630"/>
    <w:rPr>
      <w:shd w:fill="DDE7C8" w:val="clear"/>
    </w:rPr>
  </w:style>
  <w:style w:type="character" w:styleId="St" w:customStyle="1">
    <w:name w:val="st"/>
    <w:qFormat/>
    <w:rsid w:val="00652630"/>
    <w:rPr/>
  </w:style>
  <w:style w:type="character" w:styleId="MapadoDocumentoChar" w:customStyle="1">
    <w:name w:val="Mapa do Documento Char"/>
    <w:basedOn w:val="DefaultParagraphFont"/>
    <w:link w:val="DocumentMap"/>
    <w:qFormat/>
    <w:rsid w:val="00652630"/>
    <w:rPr>
      <w:rFonts w:eastAsia="Times New Roman" w:cs="Times New Roman"/>
      <w:sz w:val="16"/>
      <w:szCs w:val="16"/>
      <w:lang w:val="x-none" w:eastAsia="x-none"/>
    </w:rPr>
  </w:style>
  <w:style w:type="character" w:styleId="UnresolvedMention">
    <w:name w:val="Unresolved Mention"/>
    <w:uiPriority w:val="99"/>
    <w:semiHidden/>
    <w:unhideWhenUsed/>
    <w:qFormat/>
    <w:rsid w:val="00652630"/>
    <w:rPr>
      <w:color w:val="605E5C"/>
      <w:shd w:fill="E1DFDD" w:val="clear"/>
    </w:rPr>
  </w:style>
  <w:style w:type="character" w:styleId="WW8Num1z0" w:customStyle="1">
    <w:name w:val="WW8Num1z0"/>
    <w:qFormat/>
    <w:rsid w:val="00652630"/>
    <w:rPr/>
  </w:style>
  <w:style w:type="character" w:styleId="WW8Num1z1" w:customStyle="1">
    <w:name w:val="WW8Num1z1"/>
    <w:qFormat/>
    <w:rsid w:val="00652630"/>
    <w:rPr/>
  </w:style>
  <w:style w:type="character" w:styleId="WW8Num1z2" w:customStyle="1">
    <w:name w:val="WW8Num1z2"/>
    <w:qFormat/>
    <w:rsid w:val="00652630"/>
    <w:rPr/>
  </w:style>
  <w:style w:type="character" w:styleId="WW8Num1z3" w:customStyle="1">
    <w:name w:val="WW8Num1z3"/>
    <w:qFormat/>
    <w:rsid w:val="00652630"/>
    <w:rPr/>
  </w:style>
  <w:style w:type="character" w:styleId="WW8Num1z4" w:customStyle="1">
    <w:name w:val="WW8Num1z4"/>
    <w:qFormat/>
    <w:rsid w:val="00652630"/>
    <w:rPr/>
  </w:style>
  <w:style w:type="character" w:styleId="WW8Num1z5" w:customStyle="1">
    <w:name w:val="WW8Num1z5"/>
    <w:qFormat/>
    <w:rsid w:val="00652630"/>
    <w:rPr/>
  </w:style>
  <w:style w:type="character" w:styleId="WW8Num1z6" w:customStyle="1">
    <w:name w:val="WW8Num1z6"/>
    <w:qFormat/>
    <w:rsid w:val="00652630"/>
    <w:rPr/>
  </w:style>
  <w:style w:type="character" w:styleId="WW8Num1z7" w:customStyle="1">
    <w:name w:val="WW8Num1z7"/>
    <w:qFormat/>
    <w:rsid w:val="00652630"/>
    <w:rPr/>
  </w:style>
  <w:style w:type="character" w:styleId="WW8Num1z8" w:customStyle="1">
    <w:name w:val="WW8Num1z8"/>
    <w:qFormat/>
    <w:rsid w:val="00652630"/>
    <w:rPr/>
  </w:style>
  <w:style w:type="character" w:styleId="WW8Num2z0" w:customStyle="1">
    <w:name w:val="WW8Num2z0"/>
    <w:qFormat/>
    <w:rsid w:val="00652630"/>
    <w:rPr/>
  </w:style>
  <w:style w:type="character" w:styleId="WW8Num2z2" w:customStyle="1">
    <w:name w:val="WW8Num2z2"/>
    <w:qFormat/>
    <w:rsid w:val="00652630"/>
    <w:rPr>
      <w:sz w:val="22"/>
      <w:szCs w:val="22"/>
    </w:rPr>
  </w:style>
  <w:style w:type="character" w:styleId="WW8Num3z0" w:customStyle="1">
    <w:name w:val="WW8Num3z0"/>
    <w:qFormat/>
    <w:rsid w:val="00652630"/>
    <w:rPr>
      <w:rFonts w:ascii="Symbol" w:hAnsi="Symbol" w:cs="Symbol"/>
    </w:rPr>
  </w:style>
  <w:style w:type="character" w:styleId="WW8Num3z1" w:customStyle="1">
    <w:name w:val="WW8Num3z1"/>
    <w:qFormat/>
    <w:rsid w:val="00652630"/>
    <w:rPr>
      <w:rFonts w:ascii="Wingdings" w:hAnsi="Wingdings" w:cs="Wingdings"/>
    </w:rPr>
  </w:style>
  <w:style w:type="character" w:styleId="WW8Num3z4" w:customStyle="1">
    <w:name w:val="WW8Num3z4"/>
    <w:qFormat/>
    <w:rsid w:val="00652630"/>
    <w:rPr>
      <w:rFonts w:ascii="Courier New" w:hAnsi="Courier New" w:cs="Courier New"/>
    </w:rPr>
  </w:style>
  <w:style w:type="character" w:styleId="WW8Num4z0" w:customStyle="1">
    <w:name w:val="WW8Num4z0"/>
    <w:qFormat/>
    <w:rsid w:val="00652630"/>
    <w:rPr>
      <w:rFonts w:ascii="Symbol" w:hAnsi="Symbol" w:cs="Symbol"/>
    </w:rPr>
  </w:style>
  <w:style w:type="character" w:styleId="WW8Num4z1" w:customStyle="1">
    <w:name w:val="WW8Num4z1"/>
    <w:qFormat/>
    <w:rsid w:val="00652630"/>
    <w:rPr>
      <w:rFonts w:ascii="Courier New" w:hAnsi="Courier New" w:cs="Courier New"/>
    </w:rPr>
  </w:style>
  <w:style w:type="character" w:styleId="WW8Num4z2" w:customStyle="1">
    <w:name w:val="WW8Num4z2"/>
    <w:qFormat/>
    <w:rsid w:val="00652630"/>
    <w:rPr>
      <w:rFonts w:ascii="Wingdings" w:hAnsi="Wingdings" w:cs="Wingdings"/>
    </w:rPr>
  </w:style>
  <w:style w:type="character" w:styleId="WW8Num5z0" w:customStyle="1">
    <w:name w:val="WW8Num5z0"/>
    <w:qFormat/>
    <w:rsid w:val="00652630"/>
    <w:rPr>
      <w:rFonts w:ascii="Symbol" w:hAnsi="Symbol" w:cs="Symbol"/>
    </w:rPr>
  </w:style>
  <w:style w:type="character" w:styleId="WW8Num5z1" w:customStyle="1">
    <w:name w:val="WW8Num5z1"/>
    <w:qFormat/>
    <w:rsid w:val="00652630"/>
    <w:rPr>
      <w:rFonts w:ascii="Courier New" w:hAnsi="Courier New" w:cs="Courier New"/>
    </w:rPr>
  </w:style>
  <w:style w:type="character" w:styleId="WW8Num5z2" w:customStyle="1">
    <w:name w:val="WW8Num5z2"/>
    <w:qFormat/>
    <w:rsid w:val="00652630"/>
    <w:rPr>
      <w:rFonts w:ascii="Wingdings" w:hAnsi="Wingdings" w:cs="Wingdings"/>
    </w:rPr>
  </w:style>
  <w:style w:type="character" w:styleId="WW8Num6z0" w:customStyle="1">
    <w:name w:val="WW8Num6z0"/>
    <w:qFormat/>
    <w:rsid w:val="00652630"/>
    <w:rPr>
      <w:rFonts w:ascii="Symbol" w:hAnsi="Symbol" w:cs="Symbol"/>
    </w:rPr>
  </w:style>
  <w:style w:type="character" w:styleId="WW8Num6z1" w:customStyle="1">
    <w:name w:val="WW8Num6z1"/>
    <w:qFormat/>
    <w:rsid w:val="00652630"/>
    <w:rPr>
      <w:rFonts w:ascii="Courier New" w:hAnsi="Courier New" w:cs="Courier New"/>
    </w:rPr>
  </w:style>
  <w:style w:type="character" w:styleId="WW8Num6z2" w:customStyle="1">
    <w:name w:val="WW8Num6z2"/>
    <w:qFormat/>
    <w:rsid w:val="00652630"/>
    <w:rPr>
      <w:rFonts w:ascii="Wingdings" w:hAnsi="Wingdings" w:cs="Wingdings"/>
    </w:rPr>
  </w:style>
  <w:style w:type="character" w:styleId="WW8Num7z0" w:customStyle="1">
    <w:name w:val="WW8Num7z0"/>
    <w:qFormat/>
    <w:rsid w:val="00652630"/>
    <w:rPr/>
  </w:style>
  <w:style w:type="character" w:styleId="WW8Num8z0" w:customStyle="1">
    <w:name w:val="WW8Num8z0"/>
    <w:qFormat/>
    <w:rsid w:val="00652630"/>
    <w:rPr>
      <w:rFonts w:ascii="Wingdings" w:hAnsi="Wingdings" w:cs="Wingdings"/>
    </w:rPr>
  </w:style>
  <w:style w:type="character" w:styleId="WW8Num8z1" w:customStyle="1">
    <w:name w:val="WW8Num8z1"/>
    <w:qFormat/>
    <w:rsid w:val="00652630"/>
    <w:rPr>
      <w:rFonts w:ascii="Courier New" w:hAnsi="Courier New" w:cs="Courier New"/>
    </w:rPr>
  </w:style>
  <w:style w:type="character" w:styleId="WW8Num8z3" w:customStyle="1">
    <w:name w:val="WW8Num8z3"/>
    <w:qFormat/>
    <w:rsid w:val="00652630"/>
    <w:rPr>
      <w:rFonts w:ascii="Symbol" w:hAnsi="Symbol" w:cs="Symbol"/>
    </w:rPr>
  </w:style>
  <w:style w:type="character" w:styleId="WW8Num9z0" w:customStyle="1">
    <w:name w:val="WW8Num9z0"/>
    <w:qFormat/>
    <w:rsid w:val="00652630"/>
    <w:rPr/>
  </w:style>
  <w:style w:type="character" w:styleId="WW8Num9z1" w:customStyle="1">
    <w:name w:val="WW8Num9z1"/>
    <w:qFormat/>
    <w:rsid w:val="00652630"/>
    <w:rPr/>
  </w:style>
  <w:style w:type="character" w:styleId="WW8Num9z2" w:customStyle="1">
    <w:name w:val="WW8Num9z2"/>
    <w:qFormat/>
    <w:rsid w:val="00652630"/>
    <w:rPr/>
  </w:style>
  <w:style w:type="character" w:styleId="WW8Num9z3" w:customStyle="1">
    <w:name w:val="WW8Num9z3"/>
    <w:qFormat/>
    <w:rsid w:val="00652630"/>
    <w:rPr/>
  </w:style>
  <w:style w:type="character" w:styleId="WW8Num9z4" w:customStyle="1">
    <w:name w:val="WW8Num9z4"/>
    <w:qFormat/>
    <w:rsid w:val="00652630"/>
    <w:rPr/>
  </w:style>
  <w:style w:type="character" w:styleId="WW8Num9z5" w:customStyle="1">
    <w:name w:val="WW8Num9z5"/>
    <w:qFormat/>
    <w:rsid w:val="00652630"/>
    <w:rPr/>
  </w:style>
  <w:style w:type="character" w:styleId="WW8Num9z6" w:customStyle="1">
    <w:name w:val="WW8Num9z6"/>
    <w:qFormat/>
    <w:rsid w:val="00652630"/>
    <w:rPr/>
  </w:style>
  <w:style w:type="character" w:styleId="WW8Num9z7" w:customStyle="1">
    <w:name w:val="WW8Num9z7"/>
    <w:qFormat/>
    <w:rsid w:val="00652630"/>
    <w:rPr/>
  </w:style>
  <w:style w:type="character" w:styleId="WW8Num9z8" w:customStyle="1">
    <w:name w:val="WW8Num9z8"/>
    <w:qFormat/>
    <w:rsid w:val="00652630"/>
    <w:rPr/>
  </w:style>
  <w:style w:type="character" w:styleId="WW8Num10z0" w:customStyle="1">
    <w:name w:val="WW8Num10z0"/>
    <w:qFormat/>
    <w:rsid w:val="00652630"/>
    <w:rPr/>
  </w:style>
  <w:style w:type="character" w:styleId="WW8Num11z0" w:customStyle="1">
    <w:name w:val="WW8Num11z0"/>
    <w:qFormat/>
    <w:rsid w:val="00652630"/>
    <w:rPr>
      <w:rFonts w:ascii="Symbol" w:hAnsi="Symbol" w:cs="Symbol"/>
    </w:rPr>
  </w:style>
  <w:style w:type="character" w:styleId="WW8Num11z1" w:customStyle="1">
    <w:name w:val="WW8Num11z1"/>
    <w:qFormat/>
    <w:rsid w:val="00652630"/>
    <w:rPr>
      <w:rFonts w:ascii="Courier New" w:hAnsi="Courier New" w:cs="Courier New"/>
    </w:rPr>
  </w:style>
  <w:style w:type="character" w:styleId="WW8Num11z2" w:customStyle="1">
    <w:name w:val="WW8Num11z2"/>
    <w:qFormat/>
    <w:rsid w:val="00652630"/>
    <w:rPr>
      <w:rFonts w:ascii="Wingdings" w:hAnsi="Wingdings" w:cs="Wingdings"/>
    </w:rPr>
  </w:style>
  <w:style w:type="character" w:styleId="WW8Num12z0" w:customStyle="1">
    <w:name w:val="WW8Num12z0"/>
    <w:qFormat/>
    <w:rsid w:val="00652630"/>
    <w:rPr/>
  </w:style>
  <w:style w:type="character" w:styleId="WW8Num12z1" w:customStyle="1">
    <w:name w:val="WW8Num12z1"/>
    <w:qFormat/>
    <w:rsid w:val="00652630"/>
    <w:rPr/>
  </w:style>
  <w:style w:type="character" w:styleId="WW8Num12z2" w:customStyle="1">
    <w:name w:val="WW8Num12z2"/>
    <w:qFormat/>
    <w:rsid w:val="00652630"/>
    <w:rPr/>
  </w:style>
  <w:style w:type="character" w:styleId="WW8Num12z3" w:customStyle="1">
    <w:name w:val="WW8Num12z3"/>
    <w:qFormat/>
    <w:rsid w:val="00652630"/>
    <w:rPr/>
  </w:style>
  <w:style w:type="character" w:styleId="WW8Num12z4" w:customStyle="1">
    <w:name w:val="WW8Num12z4"/>
    <w:qFormat/>
    <w:rsid w:val="00652630"/>
    <w:rPr/>
  </w:style>
  <w:style w:type="character" w:styleId="WW8Num12z5" w:customStyle="1">
    <w:name w:val="WW8Num12z5"/>
    <w:qFormat/>
    <w:rsid w:val="00652630"/>
    <w:rPr/>
  </w:style>
  <w:style w:type="character" w:styleId="WW8Num12z6" w:customStyle="1">
    <w:name w:val="WW8Num12z6"/>
    <w:qFormat/>
    <w:rsid w:val="00652630"/>
    <w:rPr/>
  </w:style>
  <w:style w:type="character" w:styleId="WW8Num12z7" w:customStyle="1">
    <w:name w:val="WW8Num12z7"/>
    <w:qFormat/>
    <w:rsid w:val="00652630"/>
    <w:rPr/>
  </w:style>
  <w:style w:type="character" w:styleId="WW8Num12z8" w:customStyle="1">
    <w:name w:val="WW8Num12z8"/>
    <w:qFormat/>
    <w:rsid w:val="00652630"/>
    <w:rPr/>
  </w:style>
  <w:style w:type="character" w:styleId="WW8Num13z0" w:customStyle="1">
    <w:name w:val="WW8Num13z0"/>
    <w:qFormat/>
    <w:rsid w:val="00652630"/>
    <w:rPr>
      <w:rFonts w:ascii="Symbol" w:hAnsi="Symbol" w:cs="Symbol"/>
    </w:rPr>
  </w:style>
  <w:style w:type="character" w:styleId="WW8Num13z1" w:customStyle="1">
    <w:name w:val="WW8Num13z1"/>
    <w:qFormat/>
    <w:rsid w:val="00652630"/>
    <w:rPr>
      <w:rFonts w:ascii="Courier New" w:hAnsi="Courier New" w:cs="Courier New"/>
    </w:rPr>
  </w:style>
  <w:style w:type="character" w:styleId="WW8Num13z2" w:customStyle="1">
    <w:name w:val="WW8Num13z2"/>
    <w:qFormat/>
    <w:rsid w:val="00652630"/>
    <w:rPr>
      <w:rFonts w:ascii="Wingdings" w:hAnsi="Wingdings" w:cs="Wingdings"/>
    </w:rPr>
  </w:style>
  <w:style w:type="character" w:styleId="WW8Num14z0" w:customStyle="1">
    <w:name w:val="WW8Num14z0"/>
    <w:qFormat/>
    <w:rsid w:val="00652630"/>
    <w:rPr/>
  </w:style>
  <w:style w:type="character" w:styleId="WW8Num14z1" w:customStyle="1">
    <w:name w:val="WW8Num14z1"/>
    <w:qFormat/>
    <w:rsid w:val="00652630"/>
    <w:rPr/>
  </w:style>
  <w:style w:type="character" w:styleId="WW8Num14z2" w:customStyle="1">
    <w:name w:val="WW8Num14z2"/>
    <w:qFormat/>
    <w:rsid w:val="00652630"/>
    <w:rPr/>
  </w:style>
  <w:style w:type="character" w:styleId="WW8Num14z3" w:customStyle="1">
    <w:name w:val="WW8Num14z3"/>
    <w:qFormat/>
    <w:rsid w:val="00652630"/>
    <w:rPr/>
  </w:style>
  <w:style w:type="character" w:styleId="WW8Num14z4" w:customStyle="1">
    <w:name w:val="WW8Num14z4"/>
    <w:qFormat/>
    <w:rsid w:val="00652630"/>
    <w:rPr/>
  </w:style>
  <w:style w:type="character" w:styleId="WW8Num14z5" w:customStyle="1">
    <w:name w:val="WW8Num14z5"/>
    <w:qFormat/>
    <w:rsid w:val="00652630"/>
    <w:rPr/>
  </w:style>
  <w:style w:type="character" w:styleId="WW8Num14z6" w:customStyle="1">
    <w:name w:val="WW8Num14z6"/>
    <w:qFormat/>
    <w:rsid w:val="00652630"/>
    <w:rPr/>
  </w:style>
  <w:style w:type="character" w:styleId="WW8Num14z7" w:customStyle="1">
    <w:name w:val="WW8Num14z7"/>
    <w:qFormat/>
    <w:rsid w:val="00652630"/>
    <w:rPr/>
  </w:style>
  <w:style w:type="character" w:styleId="WW8Num14z8" w:customStyle="1">
    <w:name w:val="WW8Num14z8"/>
    <w:qFormat/>
    <w:rsid w:val="00652630"/>
    <w:rPr/>
  </w:style>
  <w:style w:type="character" w:styleId="WW8Num15z0" w:customStyle="1">
    <w:name w:val="WW8Num15z0"/>
    <w:qFormat/>
    <w:rsid w:val="00652630"/>
    <w:rPr/>
  </w:style>
  <w:style w:type="character" w:styleId="WW8Num16z0" w:customStyle="1">
    <w:name w:val="WW8Num16z0"/>
    <w:qFormat/>
    <w:rsid w:val="00652630"/>
    <w:rPr/>
  </w:style>
  <w:style w:type="character" w:styleId="WW8Num16z1" w:customStyle="1">
    <w:name w:val="WW8Num16z1"/>
    <w:qFormat/>
    <w:rsid w:val="00652630"/>
    <w:rPr/>
  </w:style>
  <w:style w:type="character" w:styleId="WW8Num16z2" w:customStyle="1">
    <w:name w:val="WW8Num16z2"/>
    <w:qFormat/>
    <w:rsid w:val="00652630"/>
    <w:rPr/>
  </w:style>
  <w:style w:type="character" w:styleId="WW8Num16z3" w:customStyle="1">
    <w:name w:val="WW8Num16z3"/>
    <w:qFormat/>
    <w:rsid w:val="00652630"/>
    <w:rPr/>
  </w:style>
  <w:style w:type="character" w:styleId="WW8Num16z4" w:customStyle="1">
    <w:name w:val="WW8Num16z4"/>
    <w:qFormat/>
    <w:rsid w:val="00652630"/>
    <w:rPr/>
  </w:style>
  <w:style w:type="character" w:styleId="WW8Num16z5" w:customStyle="1">
    <w:name w:val="WW8Num16z5"/>
    <w:qFormat/>
    <w:rsid w:val="00652630"/>
    <w:rPr/>
  </w:style>
  <w:style w:type="character" w:styleId="WW8Num16z6" w:customStyle="1">
    <w:name w:val="WW8Num16z6"/>
    <w:qFormat/>
    <w:rsid w:val="00652630"/>
    <w:rPr/>
  </w:style>
  <w:style w:type="character" w:styleId="WW8Num16z7" w:customStyle="1">
    <w:name w:val="WW8Num16z7"/>
    <w:qFormat/>
    <w:rsid w:val="00652630"/>
    <w:rPr/>
  </w:style>
  <w:style w:type="character" w:styleId="WW8Num16z8" w:customStyle="1">
    <w:name w:val="WW8Num16z8"/>
    <w:qFormat/>
    <w:rsid w:val="00652630"/>
    <w:rPr/>
  </w:style>
  <w:style w:type="character" w:styleId="WW8Num17z0" w:customStyle="1">
    <w:name w:val="WW8Num17z0"/>
    <w:qFormat/>
    <w:rsid w:val="00652630"/>
    <w:rPr/>
  </w:style>
  <w:style w:type="character" w:styleId="WW8Num17z1" w:customStyle="1">
    <w:name w:val="WW8Num17z1"/>
    <w:qFormat/>
    <w:rsid w:val="00652630"/>
    <w:rPr/>
  </w:style>
  <w:style w:type="character" w:styleId="WW8Num17z2" w:customStyle="1">
    <w:name w:val="WW8Num17z2"/>
    <w:qFormat/>
    <w:rsid w:val="00652630"/>
    <w:rPr/>
  </w:style>
  <w:style w:type="character" w:styleId="WW8Num17z3" w:customStyle="1">
    <w:name w:val="WW8Num17z3"/>
    <w:qFormat/>
    <w:rsid w:val="00652630"/>
    <w:rPr/>
  </w:style>
  <w:style w:type="character" w:styleId="WW8Num17z4" w:customStyle="1">
    <w:name w:val="WW8Num17z4"/>
    <w:qFormat/>
    <w:rsid w:val="00652630"/>
    <w:rPr/>
  </w:style>
  <w:style w:type="character" w:styleId="WW8Num17z5" w:customStyle="1">
    <w:name w:val="WW8Num17z5"/>
    <w:qFormat/>
    <w:rsid w:val="00652630"/>
    <w:rPr/>
  </w:style>
  <w:style w:type="character" w:styleId="WW8Num17z6" w:customStyle="1">
    <w:name w:val="WW8Num17z6"/>
    <w:qFormat/>
    <w:rsid w:val="00652630"/>
    <w:rPr/>
  </w:style>
  <w:style w:type="character" w:styleId="WW8Num17z7" w:customStyle="1">
    <w:name w:val="WW8Num17z7"/>
    <w:qFormat/>
    <w:rsid w:val="00652630"/>
    <w:rPr/>
  </w:style>
  <w:style w:type="character" w:styleId="WW8Num17z8" w:customStyle="1">
    <w:name w:val="WW8Num17z8"/>
    <w:qFormat/>
    <w:rsid w:val="00652630"/>
    <w:rPr/>
  </w:style>
  <w:style w:type="character" w:styleId="WW8Num18z0" w:customStyle="1">
    <w:name w:val="WW8Num18z0"/>
    <w:qFormat/>
    <w:rsid w:val="00652630"/>
    <w:rPr/>
  </w:style>
  <w:style w:type="character" w:styleId="WW8Num18z1" w:customStyle="1">
    <w:name w:val="WW8Num18z1"/>
    <w:qFormat/>
    <w:rsid w:val="00652630"/>
    <w:rPr/>
  </w:style>
  <w:style w:type="character" w:styleId="WW8Num18z2" w:customStyle="1">
    <w:name w:val="WW8Num18z2"/>
    <w:qFormat/>
    <w:rsid w:val="00652630"/>
    <w:rPr/>
  </w:style>
  <w:style w:type="character" w:styleId="WW8Num18z3" w:customStyle="1">
    <w:name w:val="WW8Num18z3"/>
    <w:qFormat/>
    <w:rsid w:val="00652630"/>
    <w:rPr/>
  </w:style>
  <w:style w:type="character" w:styleId="WW8Num18z4" w:customStyle="1">
    <w:name w:val="WW8Num18z4"/>
    <w:qFormat/>
    <w:rsid w:val="00652630"/>
    <w:rPr/>
  </w:style>
  <w:style w:type="character" w:styleId="WW8Num18z5" w:customStyle="1">
    <w:name w:val="WW8Num18z5"/>
    <w:qFormat/>
    <w:rsid w:val="00652630"/>
    <w:rPr/>
  </w:style>
  <w:style w:type="character" w:styleId="WW8Num18z6" w:customStyle="1">
    <w:name w:val="WW8Num18z6"/>
    <w:qFormat/>
    <w:rsid w:val="00652630"/>
    <w:rPr/>
  </w:style>
  <w:style w:type="character" w:styleId="WW8Num18z7" w:customStyle="1">
    <w:name w:val="WW8Num18z7"/>
    <w:qFormat/>
    <w:rsid w:val="00652630"/>
    <w:rPr/>
  </w:style>
  <w:style w:type="character" w:styleId="WW8Num18z8" w:customStyle="1">
    <w:name w:val="WW8Num18z8"/>
    <w:qFormat/>
    <w:rsid w:val="00652630"/>
    <w:rPr/>
  </w:style>
  <w:style w:type="character" w:styleId="WW8Num19z0" w:customStyle="1">
    <w:name w:val="WW8Num19z0"/>
    <w:qFormat/>
    <w:rsid w:val="00652630"/>
    <w:rPr/>
  </w:style>
  <w:style w:type="character" w:styleId="WW8Num19z1" w:customStyle="1">
    <w:name w:val="WW8Num19z1"/>
    <w:qFormat/>
    <w:rsid w:val="00652630"/>
    <w:rPr/>
  </w:style>
  <w:style w:type="character" w:styleId="WW8Num19z2" w:customStyle="1">
    <w:name w:val="WW8Num19z2"/>
    <w:qFormat/>
    <w:rsid w:val="00652630"/>
    <w:rPr/>
  </w:style>
  <w:style w:type="character" w:styleId="WW8Num19z3" w:customStyle="1">
    <w:name w:val="WW8Num19z3"/>
    <w:qFormat/>
    <w:rsid w:val="00652630"/>
    <w:rPr/>
  </w:style>
  <w:style w:type="character" w:styleId="WW8Num19z4" w:customStyle="1">
    <w:name w:val="WW8Num19z4"/>
    <w:qFormat/>
    <w:rsid w:val="00652630"/>
    <w:rPr/>
  </w:style>
  <w:style w:type="character" w:styleId="WW8Num19z5" w:customStyle="1">
    <w:name w:val="WW8Num19z5"/>
    <w:qFormat/>
    <w:rsid w:val="00652630"/>
    <w:rPr/>
  </w:style>
  <w:style w:type="character" w:styleId="WW8Num19z6" w:customStyle="1">
    <w:name w:val="WW8Num19z6"/>
    <w:qFormat/>
    <w:rsid w:val="00652630"/>
    <w:rPr/>
  </w:style>
  <w:style w:type="character" w:styleId="WW8Num19z7" w:customStyle="1">
    <w:name w:val="WW8Num19z7"/>
    <w:qFormat/>
    <w:rsid w:val="00652630"/>
    <w:rPr/>
  </w:style>
  <w:style w:type="character" w:styleId="WW8Num19z8" w:customStyle="1">
    <w:name w:val="WW8Num19z8"/>
    <w:qFormat/>
    <w:rsid w:val="00652630"/>
    <w:rPr/>
  </w:style>
  <w:style w:type="character" w:styleId="WW8Num20z0" w:customStyle="1">
    <w:name w:val="WW8Num20z0"/>
    <w:qFormat/>
    <w:rsid w:val="00652630"/>
    <w:rPr>
      <w:rFonts w:ascii="Symbol" w:hAnsi="Symbol" w:cs="Symbol"/>
    </w:rPr>
  </w:style>
  <w:style w:type="character" w:styleId="WW8Num20z1" w:customStyle="1">
    <w:name w:val="WW8Num20z1"/>
    <w:qFormat/>
    <w:rsid w:val="00652630"/>
    <w:rPr>
      <w:rFonts w:ascii="Courier New" w:hAnsi="Courier New" w:cs="Courier New"/>
    </w:rPr>
  </w:style>
  <w:style w:type="character" w:styleId="WW8Num20z2" w:customStyle="1">
    <w:name w:val="WW8Num20z2"/>
    <w:qFormat/>
    <w:rsid w:val="00652630"/>
    <w:rPr>
      <w:rFonts w:ascii="Wingdings" w:hAnsi="Wingdings" w:cs="Wingdings"/>
    </w:rPr>
  </w:style>
  <w:style w:type="character" w:styleId="WW8Num21z0" w:customStyle="1">
    <w:name w:val="WW8Num21z0"/>
    <w:qFormat/>
    <w:rsid w:val="00652630"/>
    <w:rPr>
      <w:rFonts w:ascii="Arial Unicode MS" w:hAnsi="Arial Unicode MS" w:cs="Arial Unicode MS"/>
    </w:rPr>
  </w:style>
  <w:style w:type="character" w:styleId="WW8Num22z0" w:customStyle="1">
    <w:name w:val="WW8Num22z0"/>
    <w:qFormat/>
    <w:rsid w:val="00652630"/>
    <w:rPr>
      <w:rFonts w:ascii="Symbol" w:hAnsi="Symbol" w:cs="Symbol"/>
    </w:rPr>
  </w:style>
  <w:style w:type="character" w:styleId="WW8Num22z1" w:customStyle="1">
    <w:name w:val="WW8Num22z1"/>
    <w:qFormat/>
    <w:rsid w:val="00652630"/>
    <w:rPr>
      <w:rFonts w:ascii="Courier New" w:hAnsi="Courier New" w:cs="Courier New"/>
    </w:rPr>
  </w:style>
  <w:style w:type="character" w:styleId="WW8Num22z2" w:customStyle="1">
    <w:name w:val="WW8Num22z2"/>
    <w:qFormat/>
    <w:rsid w:val="00652630"/>
    <w:rPr>
      <w:rFonts w:ascii="Wingdings" w:hAnsi="Wingdings" w:cs="Wingdings"/>
    </w:rPr>
  </w:style>
  <w:style w:type="character" w:styleId="WW8Num23z0" w:customStyle="1">
    <w:name w:val="WW8Num23z0"/>
    <w:qFormat/>
    <w:rsid w:val="00652630"/>
    <w:rPr/>
  </w:style>
  <w:style w:type="character" w:styleId="WW8Num24z0" w:customStyle="1">
    <w:name w:val="WW8Num24z0"/>
    <w:qFormat/>
    <w:rsid w:val="00652630"/>
    <w:rPr/>
  </w:style>
  <w:style w:type="character" w:styleId="WW8Num24z1" w:customStyle="1">
    <w:name w:val="WW8Num24z1"/>
    <w:qFormat/>
    <w:rsid w:val="00652630"/>
    <w:rPr/>
  </w:style>
  <w:style w:type="character" w:styleId="WW8Num24z2" w:customStyle="1">
    <w:name w:val="WW8Num24z2"/>
    <w:qFormat/>
    <w:rsid w:val="00652630"/>
    <w:rPr/>
  </w:style>
  <w:style w:type="character" w:styleId="WW8Num24z3" w:customStyle="1">
    <w:name w:val="WW8Num24z3"/>
    <w:qFormat/>
    <w:rsid w:val="00652630"/>
    <w:rPr/>
  </w:style>
  <w:style w:type="character" w:styleId="WW8Num24z4" w:customStyle="1">
    <w:name w:val="WW8Num24z4"/>
    <w:qFormat/>
    <w:rsid w:val="00652630"/>
    <w:rPr/>
  </w:style>
  <w:style w:type="character" w:styleId="WW8Num24z5" w:customStyle="1">
    <w:name w:val="WW8Num24z5"/>
    <w:qFormat/>
    <w:rsid w:val="00652630"/>
    <w:rPr/>
  </w:style>
  <w:style w:type="character" w:styleId="WW8Num24z6" w:customStyle="1">
    <w:name w:val="WW8Num24z6"/>
    <w:qFormat/>
    <w:rsid w:val="00652630"/>
    <w:rPr/>
  </w:style>
  <w:style w:type="character" w:styleId="WW8Num24z7" w:customStyle="1">
    <w:name w:val="WW8Num24z7"/>
    <w:qFormat/>
    <w:rsid w:val="00652630"/>
    <w:rPr/>
  </w:style>
  <w:style w:type="character" w:styleId="WW8Num24z8" w:customStyle="1">
    <w:name w:val="WW8Num24z8"/>
    <w:qFormat/>
    <w:rsid w:val="00652630"/>
    <w:rPr/>
  </w:style>
  <w:style w:type="character" w:styleId="WW8Num25z0" w:customStyle="1">
    <w:name w:val="WW8Num25z0"/>
    <w:qFormat/>
    <w:rsid w:val="00652630"/>
    <w:rPr/>
  </w:style>
  <w:style w:type="character" w:styleId="WW8Num25z1" w:customStyle="1">
    <w:name w:val="WW8Num25z1"/>
    <w:qFormat/>
    <w:rsid w:val="00652630"/>
    <w:rPr/>
  </w:style>
  <w:style w:type="character" w:styleId="WW8Num25z2" w:customStyle="1">
    <w:name w:val="WW8Num25z2"/>
    <w:qFormat/>
    <w:rsid w:val="00652630"/>
    <w:rPr/>
  </w:style>
  <w:style w:type="character" w:styleId="WW8Num25z3" w:customStyle="1">
    <w:name w:val="WW8Num25z3"/>
    <w:qFormat/>
    <w:rsid w:val="00652630"/>
    <w:rPr/>
  </w:style>
  <w:style w:type="character" w:styleId="WW8Num25z4" w:customStyle="1">
    <w:name w:val="WW8Num25z4"/>
    <w:qFormat/>
    <w:rsid w:val="00652630"/>
    <w:rPr/>
  </w:style>
  <w:style w:type="character" w:styleId="WW8Num25z5" w:customStyle="1">
    <w:name w:val="WW8Num25z5"/>
    <w:qFormat/>
    <w:rsid w:val="00652630"/>
    <w:rPr/>
  </w:style>
  <w:style w:type="character" w:styleId="WW8Num25z6" w:customStyle="1">
    <w:name w:val="WW8Num25z6"/>
    <w:qFormat/>
    <w:rsid w:val="00652630"/>
    <w:rPr/>
  </w:style>
  <w:style w:type="character" w:styleId="WW8Num25z7" w:customStyle="1">
    <w:name w:val="WW8Num25z7"/>
    <w:qFormat/>
    <w:rsid w:val="00652630"/>
    <w:rPr/>
  </w:style>
  <w:style w:type="character" w:styleId="WW8Num25z8" w:customStyle="1">
    <w:name w:val="WW8Num25z8"/>
    <w:qFormat/>
    <w:rsid w:val="00652630"/>
    <w:rPr/>
  </w:style>
  <w:style w:type="character" w:styleId="WW8Num26z0" w:customStyle="1">
    <w:name w:val="WW8Num26z0"/>
    <w:qFormat/>
    <w:rsid w:val="00652630"/>
    <w:rPr>
      <w:rFonts w:ascii="Symbol" w:hAnsi="Symbol" w:cs="Symbol"/>
    </w:rPr>
  </w:style>
  <w:style w:type="character" w:styleId="WW8Num26z1" w:customStyle="1">
    <w:name w:val="WW8Num26z1"/>
    <w:qFormat/>
    <w:rsid w:val="00652630"/>
    <w:rPr>
      <w:rFonts w:ascii="Courier New" w:hAnsi="Courier New" w:cs="Courier New"/>
    </w:rPr>
  </w:style>
  <w:style w:type="character" w:styleId="WW8Num26z2" w:customStyle="1">
    <w:name w:val="WW8Num26z2"/>
    <w:qFormat/>
    <w:rsid w:val="00652630"/>
    <w:rPr>
      <w:rFonts w:ascii="Wingdings" w:hAnsi="Wingdings" w:cs="Wingdings"/>
    </w:rPr>
  </w:style>
  <w:style w:type="character" w:styleId="WW8Num27z0" w:customStyle="1">
    <w:name w:val="WW8Num27z0"/>
    <w:qFormat/>
    <w:rsid w:val="00652630"/>
    <w:rPr/>
  </w:style>
  <w:style w:type="character" w:styleId="WW8Num27z1" w:customStyle="1">
    <w:name w:val="WW8Num27z1"/>
    <w:qFormat/>
    <w:rsid w:val="00652630"/>
    <w:rPr/>
  </w:style>
  <w:style w:type="character" w:styleId="WW8Num27z2" w:customStyle="1">
    <w:name w:val="WW8Num27z2"/>
    <w:qFormat/>
    <w:rsid w:val="00652630"/>
    <w:rPr/>
  </w:style>
  <w:style w:type="character" w:styleId="WW8Num27z3" w:customStyle="1">
    <w:name w:val="WW8Num27z3"/>
    <w:qFormat/>
    <w:rsid w:val="00652630"/>
    <w:rPr/>
  </w:style>
  <w:style w:type="character" w:styleId="WW8Num27z4" w:customStyle="1">
    <w:name w:val="WW8Num27z4"/>
    <w:qFormat/>
    <w:rsid w:val="00652630"/>
    <w:rPr/>
  </w:style>
  <w:style w:type="character" w:styleId="WW8Num27z5" w:customStyle="1">
    <w:name w:val="WW8Num27z5"/>
    <w:qFormat/>
    <w:rsid w:val="00652630"/>
    <w:rPr/>
  </w:style>
  <w:style w:type="character" w:styleId="WW8Num27z6" w:customStyle="1">
    <w:name w:val="WW8Num27z6"/>
    <w:qFormat/>
    <w:rsid w:val="00652630"/>
    <w:rPr/>
  </w:style>
  <w:style w:type="character" w:styleId="WW8Num27z7" w:customStyle="1">
    <w:name w:val="WW8Num27z7"/>
    <w:qFormat/>
    <w:rsid w:val="00652630"/>
    <w:rPr/>
  </w:style>
  <w:style w:type="character" w:styleId="WW8Num27z8" w:customStyle="1">
    <w:name w:val="WW8Num27z8"/>
    <w:qFormat/>
    <w:rsid w:val="00652630"/>
    <w:rPr/>
  </w:style>
  <w:style w:type="character" w:styleId="WW8Num28z0" w:customStyle="1">
    <w:name w:val="WW8Num28z0"/>
    <w:qFormat/>
    <w:rsid w:val="00652630"/>
    <w:rPr/>
  </w:style>
  <w:style w:type="character" w:styleId="WW8Num29z0" w:customStyle="1">
    <w:name w:val="WW8Num29z0"/>
    <w:qFormat/>
    <w:rsid w:val="00652630"/>
    <w:rPr/>
  </w:style>
  <w:style w:type="character" w:styleId="WW8Num30z0" w:customStyle="1">
    <w:name w:val="WW8Num30z0"/>
    <w:qFormat/>
    <w:rsid w:val="00652630"/>
    <w:rPr>
      <w:rFonts w:ascii="Symbol" w:hAnsi="Symbol" w:cs="Symbol"/>
    </w:rPr>
  </w:style>
  <w:style w:type="character" w:styleId="WW8Num30z1" w:customStyle="1">
    <w:name w:val="WW8Num30z1"/>
    <w:qFormat/>
    <w:rsid w:val="00652630"/>
    <w:rPr>
      <w:rFonts w:ascii="Courier New" w:hAnsi="Courier New" w:cs="Courier New"/>
    </w:rPr>
  </w:style>
  <w:style w:type="character" w:styleId="WW8Num30z2" w:customStyle="1">
    <w:name w:val="WW8Num30z2"/>
    <w:qFormat/>
    <w:rsid w:val="00652630"/>
    <w:rPr>
      <w:rFonts w:ascii="Wingdings" w:hAnsi="Wingdings" w:cs="Wingdings"/>
    </w:rPr>
  </w:style>
  <w:style w:type="character" w:styleId="WW8Num31z0" w:customStyle="1">
    <w:name w:val="WW8Num31z0"/>
    <w:qFormat/>
    <w:rsid w:val="00652630"/>
    <w:rPr>
      <w:rFonts w:ascii="Symbol" w:hAnsi="Symbol" w:cs="Symbol"/>
    </w:rPr>
  </w:style>
  <w:style w:type="character" w:styleId="WW8Num31z1" w:customStyle="1">
    <w:name w:val="WW8Num31z1"/>
    <w:qFormat/>
    <w:rsid w:val="00652630"/>
    <w:rPr>
      <w:rFonts w:ascii="Courier New" w:hAnsi="Courier New" w:cs="Courier New"/>
    </w:rPr>
  </w:style>
  <w:style w:type="character" w:styleId="WW8Num31z2" w:customStyle="1">
    <w:name w:val="WW8Num31z2"/>
    <w:qFormat/>
    <w:rsid w:val="00652630"/>
    <w:rPr>
      <w:rFonts w:ascii="Wingdings" w:hAnsi="Wingdings" w:cs="Wingdings"/>
    </w:rPr>
  </w:style>
  <w:style w:type="character" w:styleId="WW8Num32z0" w:customStyle="1">
    <w:name w:val="WW8Num32z0"/>
    <w:qFormat/>
    <w:rsid w:val="00652630"/>
    <w:rPr/>
  </w:style>
  <w:style w:type="character" w:styleId="WW8Num33z0" w:customStyle="1">
    <w:name w:val="WW8Num33z0"/>
    <w:qFormat/>
    <w:rsid w:val="00652630"/>
    <w:rPr>
      <w:rFonts w:ascii="Symbol" w:hAnsi="Symbol" w:cs="Symbol"/>
    </w:rPr>
  </w:style>
  <w:style w:type="character" w:styleId="WW8Num33z1" w:customStyle="1">
    <w:name w:val="WW8Num33z1"/>
    <w:qFormat/>
    <w:rsid w:val="00652630"/>
    <w:rPr>
      <w:rFonts w:ascii="Courier New" w:hAnsi="Courier New" w:cs="Courier New"/>
    </w:rPr>
  </w:style>
  <w:style w:type="character" w:styleId="WW8Num33z2" w:customStyle="1">
    <w:name w:val="WW8Num33z2"/>
    <w:qFormat/>
    <w:rsid w:val="00652630"/>
    <w:rPr>
      <w:rFonts w:ascii="Wingdings" w:hAnsi="Wingdings" w:cs="Wingdings"/>
    </w:rPr>
  </w:style>
  <w:style w:type="character" w:styleId="WW8Num34z0" w:customStyle="1">
    <w:name w:val="WW8Num34z0"/>
    <w:qFormat/>
    <w:rsid w:val="00652630"/>
    <w:rPr>
      <w:rFonts w:ascii="Symbol" w:hAnsi="Symbol" w:cs="Symbol"/>
    </w:rPr>
  </w:style>
  <w:style w:type="character" w:styleId="WW8Num34z1" w:customStyle="1">
    <w:name w:val="WW8Num34z1"/>
    <w:qFormat/>
    <w:rsid w:val="00652630"/>
    <w:rPr>
      <w:rFonts w:ascii="Courier New" w:hAnsi="Courier New" w:cs="Courier New"/>
    </w:rPr>
  </w:style>
  <w:style w:type="character" w:styleId="WW8Num34z2" w:customStyle="1">
    <w:name w:val="WW8Num34z2"/>
    <w:qFormat/>
    <w:rsid w:val="00652630"/>
    <w:rPr>
      <w:rFonts w:ascii="Wingdings" w:hAnsi="Wingdings" w:cs="Wingdings"/>
    </w:rPr>
  </w:style>
  <w:style w:type="character" w:styleId="WW8Num35z0" w:customStyle="1">
    <w:name w:val="WW8Num35z0"/>
    <w:qFormat/>
    <w:rsid w:val="00652630"/>
    <w:rPr>
      <w:rFonts w:ascii="Times" w:hAnsi="Times" w:cs="Times"/>
      <w:b w:val="false"/>
    </w:rPr>
  </w:style>
  <w:style w:type="character" w:styleId="WW8Num35z1" w:customStyle="1">
    <w:name w:val="WW8Num35z1"/>
    <w:qFormat/>
    <w:rsid w:val="00652630"/>
    <w:rPr/>
  </w:style>
  <w:style w:type="character" w:styleId="WW8Num35z2" w:customStyle="1">
    <w:name w:val="WW8Num35z2"/>
    <w:qFormat/>
    <w:rsid w:val="00652630"/>
    <w:rPr/>
  </w:style>
  <w:style w:type="character" w:styleId="WW8Num35z3" w:customStyle="1">
    <w:name w:val="WW8Num35z3"/>
    <w:qFormat/>
    <w:rsid w:val="00652630"/>
    <w:rPr/>
  </w:style>
  <w:style w:type="character" w:styleId="WW8Num35z4" w:customStyle="1">
    <w:name w:val="WW8Num35z4"/>
    <w:qFormat/>
    <w:rsid w:val="00652630"/>
    <w:rPr/>
  </w:style>
  <w:style w:type="character" w:styleId="WW8Num35z5" w:customStyle="1">
    <w:name w:val="WW8Num35z5"/>
    <w:qFormat/>
    <w:rsid w:val="00652630"/>
    <w:rPr/>
  </w:style>
  <w:style w:type="character" w:styleId="WW8Num35z6" w:customStyle="1">
    <w:name w:val="WW8Num35z6"/>
    <w:qFormat/>
    <w:rsid w:val="00652630"/>
    <w:rPr/>
  </w:style>
  <w:style w:type="character" w:styleId="WW8Num35z7" w:customStyle="1">
    <w:name w:val="WW8Num35z7"/>
    <w:qFormat/>
    <w:rsid w:val="00652630"/>
    <w:rPr/>
  </w:style>
  <w:style w:type="character" w:styleId="WW8Num35z8" w:customStyle="1">
    <w:name w:val="WW8Num35z8"/>
    <w:qFormat/>
    <w:rsid w:val="00652630"/>
    <w:rPr/>
  </w:style>
  <w:style w:type="character" w:styleId="WW8Num36z0" w:customStyle="1">
    <w:name w:val="WW8Num36z0"/>
    <w:qFormat/>
    <w:rsid w:val="00652630"/>
    <w:rPr/>
  </w:style>
  <w:style w:type="character" w:styleId="WW8Num36z1" w:customStyle="1">
    <w:name w:val="WW8Num36z1"/>
    <w:qFormat/>
    <w:rsid w:val="00652630"/>
    <w:rPr/>
  </w:style>
  <w:style w:type="character" w:styleId="WW8Num36z2" w:customStyle="1">
    <w:name w:val="WW8Num36z2"/>
    <w:qFormat/>
    <w:rsid w:val="00652630"/>
    <w:rPr/>
  </w:style>
  <w:style w:type="character" w:styleId="WW8Num36z3" w:customStyle="1">
    <w:name w:val="WW8Num36z3"/>
    <w:qFormat/>
    <w:rsid w:val="00652630"/>
    <w:rPr/>
  </w:style>
  <w:style w:type="character" w:styleId="WW8Num36z4" w:customStyle="1">
    <w:name w:val="WW8Num36z4"/>
    <w:qFormat/>
    <w:rsid w:val="00652630"/>
    <w:rPr/>
  </w:style>
  <w:style w:type="character" w:styleId="WW8Num36z5" w:customStyle="1">
    <w:name w:val="WW8Num36z5"/>
    <w:qFormat/>
    <w:rsid w:val="00652630"/>
    <w:rPr/>
  </w:style>
  <w:style w:type="character" w:styleId="WW8Num36z6" w:customStyle="1">
    <w:name w:val="WW8Num36z6"/>
    <w:qFormat/>
    <w:rsid w:val="00652630"/>
    <w:rPr/>
  </w:style>
  <w:style w:type="character" w:styleId="WW8Num36z7" w:customStyle="1">
    <w:name w:val="WW8Num36z7"/>
    <w:qFormat/>
    <w:rsid w:val="00652630"/>
    <w:rPr/>
  </w:style>
  <w:style w:type="character" w:styleId="WW8Num36z8" w:customStyle="1">
    <w:name w:val="WW8Num36z8"/>
    <w:qFormat/>
    <w:rsid w:val="00652630"/>
    <w:rPr/>
  </w:style>
  <w:style w:type="character" w:styleId="WW8Num37z0" w:customStyle="1">
    <w:name w:val="WW8Num37z0"/>
    <w:qFormat/>
    <w:rsid w:val="00652630"/>
    <w:rPr/>
  </w:style>
  <w:style w:type="character" w:styleId="WW8Num38z0" w:customStyle="1">
    <w:name w:val="WW8Num38z0"/>
    <w:qFormat/>
    <w:rsid w:val="00652630"/>
    <w:rPr>
      <w:rFonts w:ascii="Symbol" w:hAnsi="Symbol" w:cs="Symbol"/>
    </w:rPr>
  </w:style>
  <w:style w:type="character" w:styleId="WW8Num38z1" w:customStyle="1">
    <w:name w:val="WW8Num38z1"/>
    <w:qFormat/>
    <w:rsid w:val="00652630"/>
    <w:rPr>
      <w:rFonts w:ascii="Courier New" w:hAnsi="Courier New" w:cs="Courier New"/>
    </w:rPr>
  </w:style>
  <w:style w:type="character" w:styleId="WW8Num38z2" w:customStyle="1">
    <w:name w:val="WW8Num38z2"/>
    <w:qFormat/>
    <w:rsid w:val="00652630"/>
    <w:rPr>
      <w:rFonts w:ascii="Wingdings" w:hAnsi="Wingdings" w:cs="Wingdings"/>
    </w:rPr>
  </w:style>
  <w:style w:type="character" w:styleId="WW8Num39z0" w:customStyle="1">
    <w:name w:val="WW8Num39z0"/>
    <w:qFormat/>
    <w:rsid w:val="00652630"/>
    <w:rPr/>
  </w:style>
  <w:style w:type="character" w:styleId="WW8Num40z0" w:customStyle="1">
    <w:name w:val="WW8Num40z0"/>
    <w:qFormat/>
    <w:rsid w:val="00652630"/>
    <w:rPr>
      <w:rFonts w:ascii="Symbol" w:hAnsi="Symbol" w:cs="Symbol"/>
    </w:rPr>
  </w:style>
  <w:style w:type="character" w:styleId="WW8Num40z1" w:customStyle="1">
    <w:name w:val="WW8Num40z1"/>
    <w:qFormat/>
    <w:rsid w:val="00652630"/>
    <w:rPr>
      <w:rFonts w:ascii="Courier New" w:hAnsi="Courier New" w:cs="Courier New"/>
    </w:rPr>
  </w:style>
  <w:style w:type="character" w:styleId="WW8Num40z2" w:customStyle="1">
    <w:name w:val="WW8Num40z2"/>
    <w:qFormat/>
    <w:rsid w:val="00652630"/>
    <w:rPr>
      <w:rFonts w:ascii="Wingdings" w:hAnsi="Wingdings" w:cs="Wingdings"/>
    </w:rPr>
  </w:style>
  <w:style w:type="character" w:styleId="WW8Num41z0" w:customStyle="1">
    <w:name w:val="WW8Num41z0"/>
    <w:qFormat/>
    <w:rsid w:val="00652630"/>
    <w:rPr/>
  </w:style>
  <w:style w:type="character" w:styleId="WW8Num41z1" w:customStyle="1">
    <w:name w:val="WW8Num41z1"/>
    <w:qFormat/>
    <w:rsid w:val="00652630"/>
    <w:rPr/>
  </w:style>
  <w:style w:type="character" w:styleId="WW8Num41z2" w:customStyle="1">
    <w:name w:val="WW8Num41z2"/>
    <w:qFormat/>
    <w:rsid w:val="00652630"/>
    <w:rPr/>
  </w:style>
  <w:style w:type="character" w:styleId="WW8Num41z3" w:customStyle="1">
    <w:name w:val="WW8Num41z3"/>
    <w:qFormat/>
    <w:rsid w:val="00652630"/>
    <w:rPr/>
  </w:style>
  <w:style w:type="character" w:styleId="WW8Num41z4" w:customStyle="1">
    <w:name w:val="WW8Num41z4"/>
    <w:qFormat/>
    <w:rsid w:val="00652630"/>
    <w:rPr/>
  </w:style>
  <w:style w:type="character" w:styleId="WW8Num41z5" w:customStyle="1">
    <w:name w:val="WW8Num41z5"/>
    <w:qFormat/>
    <w:rsid w:val="00652630"/>
    <w:rPr/>
  </w:style>
  <w:style w:type="character" w:styleId="WW8Num41z6" w:customStyle="1">
    <w:name w:val="WW8Num41z6"/>
    <w:qFormat/>
    <w:rsid w:val="00652630"/>
    <w:rPr/>
  </w:style>
  <w:style w:type="character" w:styleId="WW8Num41z7" w:customStyle="1">
    <w:name w:val="WW8Num41z7"/>
    <w:qFormat/>
    <w:rsid w:val="00652630"/>
    <w:rPr/>
  </w:style>
  <w:style w:type="character" w:styleId="WW8Num41z8" w:customStyle="1">
    <w:name w:val="WW8Num41z8"/>
    <w:qFormat/>
    <w:rsid w:val="00652630"/>
    <w:rPr/>
  </w:style>
  <w:style w:type="character" w:styleId="WW8Num42z0" w:customStyle="1">
    <w:name w:val="WW8Num42z0"/>
    <w:qFormat/>
    <w:rsid w:val="00652630"/>
    <w:rPr/>
  </w:style>
  <w:style w:type="character" w:styleId="WW8Num42z1" w:customStyle="1">
    <w:name w:val="WW8Num42z1"/>
    <w:qFormat/>
    <w:rsid w:val="00652630"/>
    <w:rPr/>
  </w:style>
  <w:style w:type="character" w:styleId="WW8Num42z2" w:customStyle="1">
    <w:name w:val="WW8Num42z2"/>
    <w:qFormat/>
    <w:rsid w:val="00652630"/>
    <w:rPr/>
  </w:style>
  <w:style w:type="character" w:styleId="WW8Num42z3" w:customStyle="1">
    <w:name w:val="WW8Num42z3"/>
    <w:qFormat/>
    <w:rsid w:val="00652630"/>
    <w:rPr/>
  </w:style>
  <w:style w:type="character" w:styleId="WW8Num42z4" w:customStyle="1">
    <w:name w:val="WW8Num42z4"/>
    <w:qFormat/>
    <w:rsid w:val="00652630"/>
    <w:rPr/>
  </w:style>
  <w:style w:type="character" w:styleId="WW8Num42z5" w:customStyle="1">
    <w:name w:val="WW8Num42z5"/>
    <w:qFormat/>
    <w:rsid w:val="00652630"/>
    <w:rPr/>
  </w:style>
  <w:style w:type="character" w:styleId="WW8Num42z6" w:customStyle="1">
    <w:name w:val="WW8Num42z6"/>
    <w:qFormat/>
    <w:rsid w:val="00652630"/>
    <w:rPr/>
  </w:style>
  <w:style w:type="character" w:styleId="WW8Num42z7" w:customStyle="1">
    <w:name w:val="WW8Num42z7"/>
    <w:qFormat/>
    <w:rsid w:val="00652630"/>
    <w:rPr/>
  </w:style>
  <w:style w:type="character" w:styleId="WW8Num42z8" w:customStyle="1">
    <w:name w:val="WW8Num42z8"/>
    <w:qFormat/>
    <w:rsid w:val="00652630"/>
    <w:rPr/>
  </w:style>
  <w:style w:type="character" w:styleId="WW8Num43z0" w:customStyle="1">
    <w:name w:val="WW8Num43z0"/>
    <w:qFormat/>
    <w:rsid w:val="00652630"/>
    <w:rPr/>
  </w:style>
  <w:style w:type="character" w:styleId="WW8Num43z1" w:customStyle="1">
    <w:name w:val="WW8Num43z1"/>
    <w:qFormat/>
    <w:rsid w:val="00652630"/>
    <w:rPr/>
  </w:style>
  <w:style w:type="character" w:styleId="WW8Num43z2" w:customStyle="1">
    <w:name w:val="WW8Num43z2"/>
    <w:qFormat/>
    <w:rsid w:val="00652630"/>
    <w:rPr/>
  </w:style>
  <w:style w:type="character" w:styleId="WW8Num43z3" w:customStyle="1">
    <w:name w:val="WW8Num43z3"/>
    <w:qFormat/>
    <w:rsid w:val="00652630"/>
    <w:rPr/>
  </w:style>
  <w:style w:type="character" w:styleId="WW8Num43z4" w:customStyle="1">
    <w:name w:val="WW8Num43z4"/>
    <w:qFormat/>
    <w:rsid w:val="00652630"/>
    <w:rPr/>
  </w:style>
  <w:style w:type="character" w:styleId="WW8Num43z5" w:customStyle="1">
    <w:name w:val="WW8Num43z5"/>
    <w:qFormat/>
    <w:rsid w:val="00652630"/>
    <w:rPr/>
  </w:style>
  <w:style w:type="character" w:styleId="WW8Num43z6" w:customStyle="1">
    <w:name w:val="WW8Num43z6"/>
    <w:qFormat/>
    <w:rsid w:val="00652630"/>
    <w:rPr/>
  </w:style>
  <w:style w:type="character" w:styleId="WW8Num43z7" w:customStyle="1">
    <w:name w:val="WW8Num43z7"/>
    <w:qFormat/>
    <w:rsid w:val="00652630"/>
    <w:rPr/>
  </w:style>
  <w:style w:type="character" w:styleId="WW8Num43z8" w:customStyle="1">
    <w:name w:val="WW8Num43z8"/>
    <w:qFormat/>
    <w:rsid w:val="00652630"/>
    <w:rPr/>
  </w:style>
  <w:style w:type="character" w:styleId="WW8Num44z0" w:customStyle="1">
    <w:name w:val="WW8Num44z0"/>
    <w:qFormat/>
    <w:rsid w:val="00652630"/>
    <w:rPr>
      <w:rFonts w:ascii="Symbol" w:hAnsi="Symbol" w:cs="Symbol"/>
    </w:rPr>
  </w:style>
  <w:style w:type="character" w:styleId="WW8Num44z1" w:customStyle="1">
    <w:name w:val="WW8Num44z1"/>
    <w:qFormat/>
    <w:rsid w:val="00652630"/>
    <w:rPr>
      <w:rFonts w:ascii="Courier New" w:hAnsi="Courier New" w:cs="Courier New"/>
    </w:rPr>
  </w:style>
  <w:style w:type="character" w:styleId="WW8Num44z2" w:customStyle="1">
    <w:name w:val="WW8Num44z2"/>
    <w:qFormat/>
    <w:rsid w:val="00652630"/>
    <w:rPr>
      <w:rFonts w:ascii="Wingdings" w:hAnsi="Wingdings" w:cs="Wingdings"/>
    </w:rPr>
  </w:style>
  <w:style w:type="character" w:styleId="WW8Num45z0" w:customStyle="1">
    <w:name w:val="WW8Num45z0"/>
    <w:qFormat/>
    <w:rsid w:val="00652630"/>
    <w:rPr>
      <w:rFonts w:ascii="Symbol" w:hAnsi="Symbol" w:cs="Symbol"/>
    </w:rPr>
  </w:style>
  <w:style w:type="character" w:styleId="WW8Num45z1" w:customStyle="1">
    <w:name w:val="WW8Num45z1"/>
    <w:qFormat/>
    <w:rsid w:val="00652630"/>
    <w:rPr>
      <w:rFonts w:ascii="Courier New" w:hAnsi="Courier New" w:cs="Courier New"/>
    </w:rPr>
  </w:style>
  <w:style w:type="character" w:styleId="WW8Num45z2" w:customStyle="1">
    <w:name w:val="WW8Num45z2"/>
    <w:qFormat/>
    <w:rsid w:val="00652630"/>
    <w:rPr>
      <w:rFonts w:ascii="Wingdings" w:hAnsi="Wingdings" w:cs="Wingdings"/>
    </w:rPr>
  </w:style>
  <w:style w:type="character" w:styleId="WW8Num46z0" w:customStyle="1">
    <w:name w:val="WW8Num46z0"/>
    <w:qFormat/>
    <w:rsid w:val="00652630"/>
    <w:rPr/>
  </w:style>
  <w:style w:type="character" w:styleId="WW8Num46z1" w:customStyle="1">
    <w:name w:val="WW8Num46z1"/>
    <w:qFormat/>
    <w:rsid w:val="00652630"/>
    <w:rPr/>
  </w:style>
  <w:style w:type="character" w:styleId="WW8Num46z2" w:customStyle="1">
    <w:name w:val="WW8Num46z2"/>
    <w:qFormat/>
    <w:rsid w:val="00652630"/>
    <w:rPr/>
  </w:style>
  <w:style w:type="character" w:styleId="WW8Num46z3" w:customStyle="1">
    <w:name w:val="WW8Num46z3"/>
    <w:qFormat/>
    <w:rsid w:val="00652630"/>
    <w:rPr/>
  </w:style>
  <w:style w:type="character" w:styleId="WW8Num46z4" w:customStyle="1">
    <w:name w:val="WW8Num46z4"/>
    <w:qFormat/>
    <w:rsid w:val="00652630"/>
    <w:rPr/>
  </w:style>
  <w:style w:type="character" w:styleId="WW8Num46z5" w:customStyle="1">
    <w:name w:val="WW8Num46z5"/>
    <w:qFormat/>
    <w:rsid w:val="00652630"/>
    <w:rPr/>
  </w:style>
  <w:style w:type="character" w:styleId="WW8Num46z6" w:customStyle="1">
    <w:name w:val="WW8Num46z6"/>
    <w:qFormat/>
    <w:rsid w:val="00652630"/>
    <w:rPr/>
  </w:style>
  <w:style w:type="character" w:styleId="WW8Num46z7" w:customStyle="1">
    <w:name w:val="WW8Num46z7"/>
    <w:qFormat/>
    <w:rsid w:val="00652630"/>
    <w:rPr/>
  </w:style>
  <w:style w:type="character" w:styleId="WW8Num46z8" w:customStyle="1">
    <w:name w:val="WW8Num46z8"/>
    <w:qFormat/>
    <w:rsid w:val="00652630"/>
    <w:rPr/>
  </w:style>
  <w:style w:type="character" w:styleId="WW8Num47z0" w:customStyle="1">
    <w:name w:val="WW8Num47z0"/>
    <w:qFormat/>
    <w:rsid w:val="00652630"/>
    <w:rPr/>
  </w:style>
  <w:style w:type="character" w:styleId="WW8Num47z1" w:customStyle="1">
    <w:name w:val="WW8Num47z1"/>
    <w:qFormat/>
    <w:rsid w:val="00652630"/>
    <w:rPr/>
  </w:style>
  <w:style w:type="character" w:styleId="WW8Num47z2" w:customStyle="1">
    <w:name w:val="WW8Num47z2"/>
    <w:qFormat/>
    <w:rsid w:val="00652630"/>
    <w:rPr/>
  </w:style>
  <w:style w:type="character" w:styleId="WW8Num47z3" w:customStyle="1">
    <w:name w:val="WW8Num47z3"/>
    <w:qFormat/>
    <w:rsid w:val="00652630"/>
    <w:rPr/>
  </w:style>
  <w:style w:type="character" w:styleId="WW8Num47z4" w:customStyle="1">
    <w:name w:val="WW8Num47z4"/>
    <w:qFormat/>
    <w:rsid w:val="00652630"/>
    <w:rPr/>
  </w:style>
  <w:style w:type="character" w:styleId="WW8Num47z5" w:customStyle="1">
    <w:name w:val="WW8Num47z5"/>
    <w:qFormat/>
    <w:rsid w:val="00652630"/>
    <w:rPr/>
  </w:style>
  <w:style w:type="character" w:styleId="WW8Num47z6" w:customStyle="1">
    <w:name w:val="WW8Num47z6"/>
    <w:qFormat/>
    <w:rsid w:val="00652630"/>
    <w:rPr/>
  </w:style>
  <w:style w:type="character" w:styleId="WW8Num47z7" w:customStyle="1">
    <w:name w:val="WW8Num47z7"/>
    <w:qFormat/>
    <w:rsid w:val="00652630"/>
    <w:rPr/>
  </w:style>
  <w:style w:type="character" w:styleId="WW8Num47z8" w:customStyle="1">
    <w:name w:val="WW8Num47z8"/>
    <w:qFormat/>
    <w:rsid w:val="00652630"/>
    <w:rPr/>
  </w:style>
  <w:style w:type="character" w:styleId="WW8Num48z0" w:customStyle="1">
    <w:name w:val="WW8Num48z0"/>
    <w:qFormat/>
    <w:rsid w:val="00652630"/>
    <w:rPr>
      <w:rFonts w:ascii="Arial" w:hAnsi="Arial" w:cs="Arial"/>
    </w:rPr>
  </w:style>
  <w:style w:type="character" w:styleId="WW8NumSt11z0" w:customStyle="1">
    <w:name w:val="WW8NumSt11z0"/>
    <w:qFormat/>
    <w:rsid w:val="00652630"/>
    <w:rPr>
      <w:rFonts w:ascii="Arial" w:hAnsi="Arial" w:cs="Arial"/>
    </w:rPr>
  </w:style>
  <w:style w:type="character" w:styleId="Refdecomentrio1" w:customStyle="1">
    <w:name w:val="Ref. de comentário1"/>
    <w:qFormat/>
    <w:rsid w:val="00652630"/>
    <w:rPr>
      <w:sz w:val="16"/>
      <w:szCs w:val="16"/>
    </w:rPr>
  </w:style>
  <w:style w:type="character" w:styleId="TextosemFormataoChar1" w:customStyle="1">
    <w:name w:val="Texto sem Formatação Char1"/>
    <w:qFormat/>
    <w:rsid w:val="00652630"/>
    <w:rPr>
      <w:rFonts w:ascii="Courier New" w:hAnsi="Courier New"/>
    </w:rPr>
  </w:style>
  <w:style w:type="character" w:styleId="PlaceholderText">
    <w:name w:val="Placeholder Text"/>
    <w:uiPriority w:val="99"/>
    <w:semiHidden/>
    <w:qFormat/>
    <w:rsid w:val="004a0025"/>
    <w:rPr>
      <w:color w:val="808080"/>
    </w:rPr>
  </w:style>
  <w:style w:type="character" w:styleId="MenoPendente1" w:customStyle="1">
    <w:name w:val="Menção Pendente1"/>
    <w:basedOn w:val="DefaultParagraphFont"/>
    <w:uiPriority w:val="99"/>
    <w:semiHidden/>
    <w:unhideWhenUsed/>
    <w:qFormat/>
    <w:rsid w:val="004a0025"/>
    <w:rPr>
      <w:color w:val="605E5C"/>
      <w:shd w:fill="E1DFDD" w:val="clear"/>
    </w:rPr>
  </w:style>
  <w:style w:type="character" w:styleId="MenoPendente2" w:customStyle="1">
    <w:name w:val="Menção Pendente2"/>
    <w:basedOn w:val="DefaultParagraphFont"/>
    <w:uiPriority w:val="99"/>
    <w:semiHidden/>
    <w:unhideWhenUsed/>
    <w:qFormat/>
    <w:rsid w:val="004a0025"/>
    <w:rPr>
      <w:color w:val="605E5C"/>
      <w:shd w:fill="E1DFDD" w:val="clear"/>
    </w:rPr>
  </w:style>
  <w:style w:type="character" w:styleId="TextodecomentrioChar1" w:customStyle="1">
    <w:name w:val="Texto de comentário Char1"/>
    <w:basedOn w:val="DefaultParagraphFont"/>
    <w:uiPriority w:val="99"/>
    <w:semiHidden/>
    <w:qFormat/>
    <w:rsid w:val="004a0025"/>
    <w:rPr>
      <w:rFonts w:ascii="Calibri" w:hAnsi="Calibri" w:eastAsia="Microsoft YaHei Light" w:cs="Calibri" w:cstheme="minorHAnsi"/>
      <w:color w:val="000000" w:themeColor="text1"/>
      <w:sz w:val="24"/>
      <w:szCs w:val="24"/>
      <w:lang w:eastAsia="pt-BR"/>
    </w:rPr>
  </w:style>
  <w:style w:type="character" w:styleId="MenoPendente3" w:customStyle="1">
    <w:name w:val="Menção Pendente3"/>
    <w:basedOn w:val="DefaultParagraphFont"/>
    <w:uiPriority w:val="99"/>
    <w:semiHidden/>
    <w:unhideWhenUsed/>
    <w:qFormat/>
    <w:rsid w:val="004a0025"/>
    <w:rPr>
      <w:color w:val="605E5C"/>
      <w:shd w:fill="E1DFDD" w:val="clear"/>
    </w:rPr>
  </w:style>
  <w:style w:type="character" w:styleId="MenoPendente4" w:customStyle="1">
    <w:name w:val="Menção Pendente4"/>
    <w:uiPriority w:val="99"/>
    <w:semiHidden/>
    <w:unhideWhenUsed/>
    <w:qFormat/>
    <w:rsid w:val="004a0025"/>
    <w:rPr>
      <w:color w:val="605E5C"/>
      <w:shd w:fill="E1DFDD" w:val="clear"/>
    </w:rPr>
  </w:style>
  <w:style w:type="character" w:styleId="Corpodetexto3Char1" w:customStyle="1">
    <w:name w:val="Corpo de texto 3 Char1"/>
    <w:basedOn w:val="DefaultParagraphFont"/>
    <w:uiPriority w:val="99"/>
    <w:semiHidden/>
    <w:qFormat/>
    <w:rsid w:val="004a0025"/>
    <w:rPr>
      <w:rFonts w:ascii="Calibri" w:hAnsi="Calibri" w:eastAsia="Calibri" w:cs="Times New Roman"/>
      <w:sz w:val="16"/>
      <w:szCs w:val="16"/>
    </w:rPr>
  </w:style>
  <w:style w:type="character" w:styleId="AssuntodocomentrioChar1" w:customStyle="1">
    <w:name w:val="Assunto do comentário Char1"/>
    <w:basedOn w:val="TextodecomentrioChar"/>
    <w:uiPriority w:val="99"/>
    <w:semiHidden/>
    <w:qFormat/>
    <w:rsid w:val="004a0025"/>
    <w:rPr>
      <w:rFonts w:ascii="Times New Roman" w:hAnsi="Times New Roman" w:eastAsia="Times New Roman" w:cs="Times New Roman"/>
      <w:sz w:val="20"/>
      <w:szCs w:val="20"/>
      <w:lang w:eastAsia="pt-BR"/>
    </w:rPr>
  </w:style>
  <w:style w:type="character" w:styleId="TextodenotadefimChar" w:customStyle="1">
    <w:name w:val="Texto de nota de fim Char"/>
    <w:basedOn w:val="DefaultParagraphFont"/>
    <w:uiPriority w:val="99"/>
    <w:semiHidden/>
    <w:qFormat/>
    <w:rsid w:val="004a0025"/>
    <w:rPr>
      <w:rFonts w:ascii="Calibri" w:hAnsi="Calibri" w:eastAsia="Calibri" w:cs="Times New Roman"/>
      <w:sz w:val="20"/>
      <w:szCs w:val="20"/>
    </w:rPr>
  </w:style>
  <w:style w:type="character" w:styleId="TextodenotadefimChar1" w:customStyle="1">
    <w:name w:val="Texto de nota de fim Char1"/>
    <w:basedOn w:val="DefaultParagraphFont"/>
    <w:uiPriority w:val="99"/>
    <w:semiHidden/>
    <w:qFormat/>
    <w:rsid w:val="004a0025"/>
    <w:rPr>
      <w:rFonts w:ascii="Calibri" w:hAnsi="Calibri" w:eastAsia="Calibri" w:cs="Times New Roman"/>
      <w:sz w:val="20"/>
      <w:szCs w:val="20"/>
    </w:rPr>
  </w:style>
  <w:style w:type="character" w:styleId="CorpodetextoChar1" w:customStyle="1">
    <w:name w:val="Corpo de texto Char1"/>
    <w:basedOn w:val="DefaultParagraphFont"/>
    <w:uiPriority w:val="99"/>
    <w:semiHidden/>
    <w:qFormat/>
    <w:rsid w:val="004a0025"/>
    <w:rPr>
      <w:rFonts w:ascii="Calibri" w:hAnsi="Calibri" w:eastAsia="Arial Unicode MS" w:cs="Calibri"/>
      <w:color w:val="000000" w:themeColor="text1"/>
      <w:sz w:val="20"/>
      <w:szCs w:val="22"/>
      <w:lang w:eastAsia="pt-BR"/>
    </w:rPr>
  </w:style>
  <w:style w:type="character" w:styleId="TextodebaloChar1" w:customStyle="1">
    <w:name w:val="Texto de balão Char1"/>
    <w:basedOn w:val="DefaultParagraphFont"/>
    <w:uiPriority w:val="99"/>
    <w:semiHidden/>
    <w:qFormat/>
    <w:rsid w:val="004a0025"/>
    <w:rPr>
      <w:rFonts w:ascii="Segoe UI" w:hAnsi="Segoe UI" w:cs="Segoe UI"/>
      <w:sz w:val="18"/>
      <w:szCs w:val="18"/>
    </w:rPr>
  </w:style>
  <w:style w:type="character" w:styleId="Corpodetexto3Char2" w:customStyle="1">
    <w:name w:val="Corpo de texto 3 Char2"/>
    <w:basedOn w:val="DefaultParagraphFont"/>
    <w:uiPriority w:val="99"/>
    <w:semiHidden/>
    <w:qFormat/>
    <w:rsid w:val="004a0025"/>
    <w:rPr>
      <w:rFonts w:ascii="Calibri" w:hAnsi="Calibri" w:eastAsia="Arial Unicode MS" w:cs="Calibri"/>
      <w:color w:val="000000" w:themeColor="text1"/>
      <w:sz w:val="16"/>
      <w:szCs w:val="16"/>
      <w:lang w:eastAsia="pt-BR"/>
    </w:rPr>
  </w:style>
  <w:style w:type="character" w:styleId="TextodecomentrioChar2" w:customStyle="1">
    <w:name w:val="Texto de comentário Char2"/>
    <w:basedOn w:val="DefaultParagraphFont"/>
    <w:uiPriority w:val="99"/>
    <w:semiHidden/>
    <w:qFormat/>
    <w:rsid w:val="004a0025"/>
    <w:rPr>
      <w:rFonts w:cs="Times New Roman"/>
      <w:sz w:val="20"/>
      <w:szCs w:val="20"/>
    </w:rPr>
  </w:style>
  <w:style w:type="character" w:styleId="AssuntodocomentrioChar2" w:customStyle="1">
    <w:name w:val="Assunto do comentário Char2"/>
    <w:basedOn w:val="TextodecomentrioChar"/>
    <w:uiPriority w:val="99"/>
    <w:semiHidden/>
    <w:qFormat/>
    <w:rsid w:val="004a0025"/>
    <w:rPr>
      <w:rFonts w:ascii="Times New Roman" w:hAnsi="Times New Roman" w:eastAsia="Times New Roman" w:cs="Times New Roman"/>
      <w:sz w:val="20"/>
      <w:szCs w:val="20"/>
      <w:lang w:eastAsia="pt-BR"/>
    </w:rPr>
  </w:style>
  <w:style w:type="character" w:styleId="CabealhoChar1" w:customStyle="1">
    <w:name w:val="Cabeçalho Char1"/>
    <w:basedOn w:val="DefaultParagraphFont"/>
    <w:uiPriority w:val="99"/>
    <w:semiHidden/>
    <w:qFormat/>
    <w:rsid w:val="004a0025"/>
    <w:rPr>
      <w:rFonts w:cs="Times New Roman"/>
    </w:rPr>
  </w:style>
  <w:style w:type="character" w:styleId="RodapChar1" w:customStyle="1">
    <w:name w:val="Rodapé Char1"/>
    <w:basedOn w:val="DefaultParagraphFont"/>
    <w:uiPriority w:val="99"/>
    <w:semiHidden/>
    <w:qFormat/>
    <w:rsid w:val="004a0025"/>
    <w:rPr>
      <w:rFonts w:cs="Times New Roman"/>
    </w:rPr>
  </w:style>
  <w:style w:type="character" w:styleId="TextodenotadefimChar2" w:customStyle="1">
    <w:name w:val="Texto de nota de fim Char2"/>
    <w:basedOn w:val="DefaultParagraphFont"/>
    <w:uiPriority w:val="99"/>
    <w:semiHidden/>
    <w:qFormat/>
    <w:rsid w:val="004a0025"/>
    <w:rPr>
      <w:sz w:val="20"/>
      <w:szCs w:val="20"/>
    </w:rPr>
  </w:style>
  <w:style w:type="character" w:styleId="RecuodecorpodetextoChar1" w:customStyle="1">
    <w:name w:val="Recuo de corpo de texto Char1"/>
    <w:basedOn w:val="DefaultParagraphFont"/>
    <w:uiPriority w:val="99"/>
    <w:semiHidden/>
    <w:qFormat/>
    <w:rsid w:val="004a0025"/>
    <w:rPr>
      <w:rFonts w:ascii="Calibri" w:hAnsi="Calibri" w:eastAsia="Arial Unicode MS" w:cs="Calibri"/>
      <w:color w:val="000000" w:themeColor="text1"/>
      <w:sz w:val="20"/>
      <w:szCs w:val="22"/>
      <w:lang w:eastAsia="pt-BR"/>
    </w:rPr>
  </w:style>
  <w:style w:type="character" w:styleId="MenoPendente5" w:customStyle="1">
    <w:name w:val="Menção Pendente5"/>
    <w:basedOn w:val="DefaultParagraphFont"/>
    <w:uiPriority w:val="99"/>
    <w:semiHidden/>
    <w:unhideWhenUsed/>
    <w:qFormat/>
    <w:rsid w:val="004a0025"/>
    <w:rPr>
      <w:color w:val="605E5C"/>
      <w:shd w:fill="E1DFDD" w:val="clear"/>
    </w:rPr>
  </w:style>
  <w:style w:type="character" w:styleId="Ncoradanotadefim">
    <w:name w:val="Endnote Reference"/>
    <w:rPr>
      <w:vertAlign w:val="superscript"/>
    </w:rPr>
  </w:style>
  <w:style w:type="character" w:styleId="EndnoteCharacters">
    <w:name w:val="Endnote Characters"/>
    <w:basedOn w:val="DefaultParagraphFont"/>
    <w:uiPriority w:val="99"/>
    <w:semiHidden/>
    <w:unhideWhenUsed/>
    <w:qFormat/>
    <w:rsid w:val="004a0025"/>
    <w:rPr>
      <w:vertAlign w:val="superscript"/>
    </w:rPr>
  </w:style>
  <w:style w:type="character" w:styleId="Bold" w:customStyle="1">
    <w:name w:val="Bold"/>
    <w:basedOn w:val="DefaultParagraphFont"/>
    <w:uiPriority w:val="1"/>
    <w:qFormat/>
    <w:rsid w:val="004a0025"/>
    <w:rPr>
      <w:b/>
    </w:rPr>
  </w:style>
  <w:style w:type="character" w:styleId="SubttuloChar" w:customStyle="1">
    <w:name w:val="Subtítulo Char"/>
    <w:basedOn w:val="DefaultParagraphFont"/>
    <w:qFormat/>
    <w:rsid w:val="0076392d"/>
    <w:rPr>
      <w:rFonts w:ascii="Arial" w:hAnsi="Arial" w:eastAsia="Times New Roman" w:cs="Times New Roman"/>
      <w:b/>
      <w:szCs w:val="48"/>
      <w:lang w:eastAsia="pt-BR"/>
    </w:rPr>
  </w:style>
  <w:style w:type="character" w:styleId="SubtleReference">
    <w:name w:val="Subtle Reference"/>
    <w:uiPriority w:val="31"/>
    <w:qFormat/>
    <w:rsid w:val="0076392d"/>
    <w:rPr>
      <w:smallCaps/>
      <w:color w:val="C0504D"/>
      <w:u w:val="single"/>
    </w:rPr>
  </w:style>
  <w:style w:type="character" w:styleId="CitaoChar" w:customStyle="1">
    <w:name w:val="Citação Char"/>
    <w:basedOn w:val="DefaultParagraphFont"/>
    <w:link w:val="Quote"/>
    <w:uiPriority w:val="29"/>
    <w:qFormat/>
    <w:rsid w:val="0076392d"/>
    <w:rPr>
      <w:rFonts w:ascii="Times New Roman" w:hAnsi="Times New Roman" w:eastAsia="Times New Roman" w:cs="Times New Roman"/>
      <w:i/>
      <w:iCs/>
      <w:color w:val="000000"/>
      <w:sz w:val="24"/>
      <w:szCs w:val="24"/>
      <w:lang w:eastAsia="pt-BR"/>
    </w:rPr>
  </w:style>
  <w:style w:type="character" w:styleId="Object" w:customStyle="1">
    <w:name w:val="object"/>
    <w:qFormat/>
    <w:rsid w:val="00200f27"/>
    <w:rPr/>
  </w:style>
  <w:style w:type="character" w:styleId="WWLinkdaInternet">
    <w:name w:val="WW-Link da Internet"/>
    <w:qFormat/>
    <w:rPr>
      <w:color w:val="0000FF"/>
      <w:u w:val="single"/>
    </w:rPr>
  </w:style>
  <w:style w:type="character" w:styleId="Refdenotadefim">
    <w:name w:val="Ref. de nota de fim"/>
    <w:qFormat/>
    <w:rPr>
      <w:vertAlign w:val="superscript"/>
    </w:rPr>
  </w:style>
  <w:style w:type="character" w:styleId="WWCaracteresdenotadefim">
    <w:name w:val="WW-Caracteres de nota de fim"/>
    <w:qFormat/>
    <w:rPr/>
  </w:style>
  <w:style w:type="character" w:styleId="Refdenotaderodap">
    <w:name w:val="Ref. de nota de rodapé"/>
    <w:qFormat/>
    <w:rPr>
      <w:vertAlign w:val="superscript"/>
    </w:rPr>
  </w:style>
  <w:style w:type="character" w:styleId="Fontepargpadro">
    <w:name w:val="Fonte parág. padrão"/>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3">
    <w:name w:val="WW8Num3z3"/>
    <w:qFormat/>
    <w:rPr/>
  </w:style>
  <w:style w:type="character" w:styleId="WW8Num3z2">
    <w:name w:val="WW8Num3z2"/>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1">
    <w:name w:val="WW8Num2z1"/>
    <w:qFormat/>
    <w:rPr/>
  </w:style>
  <w:style w:type="character" w:styleId="Caracteresdenotaderodap">
    <w:name w:val="Caracteres de nota de rodapé"/>
    <w:qFormat/>
    <w:rPr/>
  </w:style>
  <w:style w:type="character" w:styleId="Ncoradanotaderodap">
    <w:name w:val="Footnote Reference"/>
    <w:rPr>
      <w:vertAlign w:val="superscript"/>
    </w:rPr>
  </w:style>
  <w:style w:type="character" w:styleId="FootnoteCharacters">
    <w:name w:val="Footnote Characters"/>
    <w:qFormat/>
    <w:rPr>
      <w:vertAlign w:val="superscript"/>
    </w:rPr>
  </w:style>
  <w:style w:type="character" w:styleId="Caracteresdenotadefim">
    <w:name w:val="Caracteres de nota de fim"/>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rsid w:val="00757293"/>
    <w:pPr>
      <w:spacing w:lineRule="auto" w:line="240" w:before="0" w:after="0"/>
    </w:pPr>
    <w:rPr>
      <w:rFonts w:eastAsia="Times New Roman" w:cs="Times New Roman"/>
      <w:lang w:val="x-none" w:eastAsia="x-none"/>
    </w:rPr>
  </w:style>
  <w:style w:type="paragraph" w:styleId="Lista">
    <w:name w:val="List"/>
    <w:basedOn w:val="Corpodotexto"/>
    <w:rsid w:val="00652630"/>
    <w:pPr>
      <w:suppressAutoHyphens w:val="true"/>
    </w:pPr>
    <w:rPr>
      <w:rFonts w:cs="Lucida Sans"/>
      <w:lang w:val="pt-BR" w:eastAsia="zh-CN"/>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652630"/>
    <w:pPr>
      <w:suppressLineNumbers/>
      <w:suppressAutoHyphens w:val="true"/>
      <w:spacing w:lineRule="auto" w:line="240" w:before="0" w:after="0"/>
    </w:pPr>
    <w:rPr>
      <w:rFonts w:ascii="Times New Roman" w:hAnsi="Times New Roman" w:eastAsia="Times New Roman" w:cs="Lucida Sans"/>
      <w:sz w:val="24"/>
      <w:szCs w:val="24"/>
      <w:lang w:eastAsia="zh-CN"/>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fb660c"/>
    <w:pPr>
      <w:tabs>
        <w:tab w:val="clear" w:pos="708"/>
        <w:tab w:val="center" w:pos="4252" w:leader="none"/>
        <w:tab w:val="right" w:pos="8504" w:leader="none"/>
      </w:tabs>
      <w:spacing w:lineRule="auto" w:line="240" w:before="0" w:after="0"/>
    </w:pPr>
    <w:rPr/>
  </w:style>
  <w:style w:type="paragraph" w:styleId="Rodap">
    <w:name w:val="Footer"/>
    <w:basedOn w:val="Normal"/>
    <w:link w:val="RodapChar"/>
    <w:unhideWhenUsed/>
    <w:rsid w:val="00fb660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nhideWhenUsed/>
    <w:qFormat/>
    <w:rsid w:val="007a6e59"/>
    <w:pPr>
      <w:spacing w:lineRule="auto" w:line="240" w:before="0" w:after="0"/>
    </w:pPr>
    <w:rPr>
      <w:sz w:val="16"/>
      <w:szCs w:val="16"/>
    </w:rPr>
  </w:style>
  <w:style w:type="paragraph" w:styleId="Corpodotextorecuado">
    <w:name w:val="Body Text Indent"/>
    <w:basedOn w:val="Normal"/>
    <w:link w:val="RecuodecorpodetextoChar"/>
    <w:rsid w:val="007a6e59"/>
    <w:pPr>
      <w:spacing w:lineRule="auto" w:line="240" w:before="0" w:after="120"/>
      <w:ind w:left="283" w:hanging="0"/>
    </w:pPr>
    <w:rPr>
      <w:rFonts w:ascii="Times New Roman" w:hAnsi="Times New Roman" w:eastAsia="Times New Roman" w:cs="Times New Roman"/>
      <w:sz w:val="24"/>
      <w:szCs w:val="24"/>
    </w:rPr>
  </w:style>
  <w:style w:type="paragraph" w:styleId="P4" w:customStyle="1">
    <w:name w:val="p4"/>
    <w:basedOn w:val="Normal"/>
    <w:qFormat/>
    <w:rsid w:val="007a6e59"/>
    <w:pPr>
      <w:spacing w:lineRule="auto" w:line="240" w:beforeAutospacing="1" w:afterAutospacing="1"/>
    </w:pPr>
    <w:rPr>
      <w:rFonts w:ascii="Arial Unicode MS" w:hAnsi="Arial Unicode MS" w:eastAsia="Arial Unicode MS" w:cs="Arial Unicode MS"/>
      <w:sz w:val="24"/>
      <w:szCs w:val="24"/>
      <w:lang w:eastAsia="pt-BR"/>
    </w:rPr>
  </w:style>
  <w:style w:type="paragraph" w:styleId="BodyText3">
    <w:name w:val="Body Text 3"/>
    <w:basedOn w:val="Normal"/>
    <w:link w:val="Corpodetexto3Char"/>
    <w:qFormat/>
    <w:rsid w:val="00757293"/>
    <w:pPr>
      <w:spacing w:lineRule="auto" w:line="240" w:before="0" w:after="120"/>
    </w:pPr>
    <w:rPr>
      <w:rFonts w:ascii="Times New Roman" w:hAnsi="Times New Roman" w:eastAsia="Times New Roman" w:cs="Times New Roman"/>
      <w:sz w:val="16"/>
      <w:szCs w:val="16"/>
      <w:lang w:eastAsia="pt-BR"/>
    </w:rPr>
  </w:style>
  <w:style w:type="paragraph" w:styleId="Ttulododocumento">
    <w:name w:val="Title"/>
    <w:basedOn w:val="Normal"/>
    <w:next w:val="Corpodotexto"/>
    <w:link w:val="TtuloChar"/>
    <w:qFormat/>
    <w:rsid w:val="00757293"/>
    <w:pPr>
      <w:keepNext w:val="true"/>
      <w:suppressAutoHyphens w:val="true"/>
      <w:spacing w:lineRule="auto" w:line="240" w:before="240" w:after="120"/>
    </w:pPr>
    <w:rPr>
      <w:rFonts w:ascii="Arial" w:hAnsi="Arial" w:eastAsia="Tahoma" w:cs="Times New Roman"/>
      <w:sz w:val="28"/>
      <w:szCs w:val="28"/>
      <w:lang w:val="x-none" w:eastAsia="ar-SA"/>
    </w:rPr>
  </w:style>
  <w:style w:type="paragraph" w:styleId="Corpodetexto21" w:customStyle="1">
    <w:name w:val="Corpo de texto 21"/>
    <w:basedOn w:val="Normal"/>
    <w:qFormat/>
    <w:rsid w:val="00757293"/>
    <w:pPr>
      <w:spacing w:lineRule="auto" w:line="240" w:before="0" w:after="0"/>
      <w:jc w:val="both"/>
    </w:pPr>
    <w:rPr>
      <w:rFonts w:ascii="Arial" w:hAnsi="Arial" w:eastAsia="Times New Roman" w:cs="Times New Roman"/>
      <w:sz w:val="24"/>
      <w:szCs w:val="20"/>
      <w:lang w:eastAsia="pt-BR"/>
    </w:rPr>
  </w:style>
  <w:style w:type="paragraph" w:styleId="BodyTextIndent2">
    <w:name w:val="Body Text Indent 2"/>
    <w:basedOn w:val="Normal"/>
    <w:link w:val="Recuodecorpodetexto2Char"/>
    <w:qFormat/>
    <w:rsid w:val="00757293"/>
    <w:pPr>
      <w:spacing w:lineRule="auto" w:line="480" w:before="0" w:after="120"/>
      <w:ind w:left="283" w:hanging="0"/>
    </w:pPr>
    <w:rPr>
      <w:rFonts w:ascii="Times New Roman" w:hAnsi="Times New Roman" w:eastAsia="Times New Roman" w:cs="Times New Roman"/>
      <w:sz w:val="24"/>
      <w:szCs w:val="24"/>
      <w:lang w:eastAsia="pt-BR"/>
    </w:rPr>
  </w:style>
  <w:style w:type="paragraph" w:styleId="BodyTextIndent3">
    <w:name w:val="Body Text Indent 3"/>
    <w:basedOn w:val="Normal"/>
    <w:link w:val="Recuodecorpodetexto3Char"/>
    <w:qFormat/>
    <w:rsid w:val="00757293"/>
    <w:pPr>
      <w:spacing w:lineRule="auto" w:line="240" w:before="0" w:after="120"/>
      <w:ind w:left="283" w:hanging="0"/>
    </w:pPr>
    <w:rPr>
      <w:rFonts w:ascii="Times New Roman" w:hAnsi="Times New Roman" w:eastAsia="Times New Roman" w:cs="Times New Roman"/>
      <w:sz w:val="16"/>
      <w:szCs w:val="16"/>
      <w:lang w:eastAsia="pt-BR"/>
    </w:rPr>
  </w:style>
  <w:style w:type="paragraph" w:styleId="PlainText">
    <w:name w:val="Plain Text"/>
    <w:basedOn w:val="Normal"/>
    <w:link w:val="TextosemFormataoChar"/>
    <w:qFormat/>
    <w:rsid w:val="00757293"/>
    <w:pPr>
      <w:spacing w:lineRule="auto" w:line="240" w:before="0" w:after="0"/>
    </w:pPr>
    <w:rPr>
      <w:rFonts w:ascii="Courier New" w:hAnsi="Courier New" w:eastAsia="Times New Roman" w:cs="Times New Roman"/>
      <w:sz w:val="20"/>
      <w:szCs w:val="20"/>
      <w:lang w:eastAsia="pt-BR"/>
    </w:rPr>
  </w:style>
  <w:style w:type="paragraph" w:styleId="NormalWeb">
    <w:name w:val="Normal (Web)"/>
    <w:basedOn w:val="Normal"/>
    <w:uiPriority w:val="99"/>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Caption">
    <w:name w:val="caption"/>
    <w:basedOn w:val="Normal"/>
    <w:next w:val="Normal"/>
    <w:qFormat/>
    <w:rsid w:val="00757293"/>
    <w:pPr>
      <w:pBdr>
        <w:top w:val="single" w:sz="6" w:space="1" w:color="000000"/>
        <w:left w:val="single" w:sz="6" w:space="1" w:color="000000"/>
        <w:bottom w:val="single" w:sz="6" w:space="1" w:color="000000"/>
        <w:right w:val="single" w:sz="6" w:space="1" w:color="000000"/>
      </w:pBdr>
      <w:spacing w:lineRule="auto" w:line="240" w:before="0" w:after="0"/>
      <w:jc w:val="both"/>
    </w:pPr>
    <w:rPr>
      <w:rFonts w:ascii="Arial" w:hAnsi="Arial" w:eastAsia="Times New Roman" w:cs="Arial"/>
      <w:sz w:val="24"/>
      <w:szCs w:val="20"/>
      <w:lang w:eastAsia="pt-BR"/>
    </w:rPr>
  </w:style>
  <w:style w:type="paragraph" w:styleId="WWCorpodetexto3" w:customStyle="1">
    <w:name w:val="WW-Corpo de texto 3"/>
    <w:basedOn w:val="Normal"/>
    <w:qFormat/>
    <w:rsid w:val="00757293"/>
    <w:pPr>
      <w:spacing w:lineRule="auto" w:line="240" w:before="0" w:after="0"/>
      <w:jc w:val="both"/>
    </w:pPr>
    <w:rPr>
      <w:rFonts w:ascii="Times New Roman" w:hAnsi="Times New Roman" w:eastAsia="Times New Roman" w:cs="Times New Roman"/>
      <w:sz w:val="24"/>
      <w:szCs w:val="20"/>
      <w:lang w:eastAsia="ar-SA"/>
    </w:rPr>
  </w:style>
  <w:style w:type="paragraph" w:styleId="Font5" w:customStyle="1">
    <w:name w:val="font5"/>
    <w:basedOn w:val="Normal"/>
    <w:qFormat/>
    <w:rsid w:val="00757293"/>
    <w:pPr>
      <w:spacing w:lineRule="auto" w:line="240" w:beforeAutospacing="1" w:afterAutospacing="1"/>
    </w:pPr>
    <w:rPr>
      <w:rFonts w:ascii="Arial" w:hAnsi="Arial" w:eastAsia="Times New Roman" w:cs="Arial"/>
      <w:b/>
      <w:bCs/>
      <w:sz w:val="20"/>
      <w:szCs w:val="20"/>
      <w:lang w:eastAsia="pt-BR"/>
    </w:rPr>
  </w:style>
  <w:style w:type="paragraph" w:styleId="Font6" w:customStyle="1">
    <w:name w:val="font6"/>
    <w:basedOn w:val="Normal"/>
    <w:qFormat/>
    <w:rsid w:val="00757293"/>
    <w:pPr>
      <w:spacing w:lineRule="auto" w:line="240" w:beforeAutospacing="1" w:afterAutospacing="1"/>
    </w:pPr>
    <w:rPr>
      <w:rFonts w:ascii="Arial" w:hAnsi="Arial" w:eastAsia="Times New Roman" w:cs="Arial"/>
      <w:sz w:val="20"/>
      <w:szCs w:val="20"/>
      <w:lang w:eastAsia="pt-BR"/>
    </w:rPr>
  </w:style>
  <w:style w:type="paragraph" w:styleId="Font7" w:customStyle="1">
    <w:name w:val="font7"/>
    <w:basedOn w:val="Normal"/>
    <w:qFormat/>
    <w:rsid w:val="00757293"/>
    <w:pPr>
      <w:spacing w:lineRule="auto" w:line="240" w:beforeAutospacing="1" w:afterAutospacing="1"/>
    </w:pPr>
    <w:rPr>
      <w:rFonts w:ascii="Arial" w:hAnsi="Arial" w:eastAsia="Times New Roman" w:cs="Arial"/>
      <w:b/>
      <w:bCs/>
      <w:color w:val="000000"/>
      <w:sz w:val="19"/>
      <w:szCs w:val="19"/>
      <w:lang w:eastAsia="pt-BR"/>
    </w:rPr>
  </w:style>
  <w:style w:type="paragraph" w:styleId="Font8" w:customStyle="1">
    <w:name w:val="font8"/>
    <w:basedOn w:val="Normal"/>
    <w:qFormat/>
    <w:rsid w:val="00757293"/>
    <w:pPr>
      <w:spacing w:lineRule="auto" w:line="240" w:beforeAutospacing="1" w:afterAutospacing="1"/>
    </w:pPr>
    <w:rPr>
      <w:rFonts w:ascii="Arial" w:hAnsi="Arial" w:eastAsia="Times New Roman" w:cs="Arial"/>
      <w:color w:val="000000"/>
      <w:sz w:val="19"/>
      <w:szCs w:val="19"/>
      <w:lang w:eastAsia="pt-BR"/>
    </w:rPr>
  </w:style>
  <w:style w:type="paragraph" w:styleId="Font9" w:customStyle="1">
    <w:name w:val="font9"/>
    <w:basedOn w:val="Normal"/>
    <w:qFormat/>
    <w:rsid w:val="00757293"/>
    <w:pPr>
      <w:spacing w:lineRule="auto" w:line="240" w:beforeAutospacing="1" w:afterAutospacing="1"/>
    </w:pPr>
    <w:rPr>
      <w:rFonts w:ascii="Arial" w:hAnsi="Arial" w:eastAsia="Times New Roman" w:cs="Arial"/>
      <w:b/>
      <w:bCs/>
      <w:sz w:val="19"/>
      <w:szCs w:val="19"/>
      <w:lang w:eastAsia="pt-BR"/>
    </w:rPr>
  </w:style>
  <w:style w:type="paragraph" w:styleId="Font10" w:customStyle="1">
    <w:name w:val="font10"/>
    <w:basedOn w:val="Normal"/>
    <w:qFormat/>
    <w:rsid w:val="00757293"/>
    <w:pPr>
      <w:spacing w:lineRule="auto" w:line="240" w:beforeAutospacing="1" w:afterAutospacing="1"/>
    </w:pPr>
    <w:rPr>
      <w:rFonts w:ascii="Arial" w:hAnsi="Arial" w:eastAsia="Times New Roman" w:cs="Arial"/>
      <w:sz w:val="19"/>
      <w:szCs w:val="19"/>
      <w:lang w:eastAsia="pt-BR"/>
    </w:rPr>
  </w:style>
  <w:style w:type="paragraph" w:styleId="Xl19" w:customStyle="1">
    <w:name w:val="xl19"/>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4"/>
      <w:szCs w:val="24"/>
      <w:lang w:eastAsia="pt-BR"/>
    </w:rPr>
  </w:style>
  <w:style w:type="paragraph" w:styleId="Xl20" w:customStyle="1">
    <w:name w:val="xl20"/>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24"/>
      <w:szCs w:val="24"/>
      <w:lang w:eastAsia="pt-BR"/>
    </w:rPr>
  </w:style>
  <w:style w:type="paragraph" w:styleId="Xl21" w:customStyle="1">
    <w:name w:val="xl21"/>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24"/>
      <w:szCs w:val="24"/>
      <w:lang w:eastAsia="pt-BR"/>
    </w:rPr>
  </w:style>
  <w:style w:type="paragraph" w:styleId="Xl22" w:customStyle="1">
    <w:name w:val="xl22"/>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3" w:customStyle="1">
    <w:name w:val="xl23"/>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sz w:val="19"/>
      <w:szCs w:val="19"/>
      <w:lang w:eastAsia="pt-BR"/>
    </w:rPr>
  </w:style>
  <w:style w:type="paragraph" w:styleId="Xl24" w:customStyle="1">
    <w:name w:val="xl24"/>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5" w:customStyle="1">
    <w:name w:val="xl25"/>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sz w:val="24"/>
      <w:szCs w:val="24"/>
      <w:lang w:eastAsia="pt-BR"/>
    </w:rPr>
  </w:style>
  <w:style w:type="paragraph" w:styleId="Xl26" w:customStyle="1">
    <w:name w:val="xl26"/>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7" w:customStyle="1">
    <w:name w:val="xl27"/>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4"/>
      <w:szCs w:val="24"/>
      <w:lang w:eastAsia="pt-BR"/>
    </w:rPr>
  </w:style>
  <w:style w:type="paragraph" w:styleId="Textopadro" w:customStyle="1">
    <w:name w:val="Texto padrão"/>
    <w:basedOn w:val="Normal"/>
    <w:qFormat/>
    <w:rsid w:val="00757293"/>
    <w:pPr>
      <w:widowControl w:val="false"/>
      <w:spacing w:lineRule="auto" w:line="240" w:before="0" w:after="0"/>
    </w:pPr>
    <w:rPr>
      <w:rFonts w:ascii="Times New Roman" w:hAnsi="Times New Roman" w:eastAsia="Times New Roman" w:cs="Times New Roman"/>
      <w:sz w:val="24"/>
      <w:szCs w:val="20"/>
      <w:lang w:val="en-US" w:eastAsia="pt-BR"/>
    </w:rPr>
  </w:style>
  <w:style w:type="paragraph" w:styleId="Annotationtext">
    <w:name w:val="annotation text"/>
    <w:basedOn w:val="Normal"/>
    <w:link w:val="TextodecomentrioChar"/>
    <w:semiHidden/>
    <w:qFormat/>
    <w:rsid w:val="00757293"/>
    <w:pPr>
      <w:spacing w:lineRule="auto" w:line="240" w:before="0" w:after="0"/>
    </w:pPr>
    <w:rPr>
      <w:rFonts w:ascii="Times New Roman" w:hAnsi="Times New Roman" w:eastAsia="Times New Roman" w:cs="Times New Roman"/>
      <w:sz w:val="20"/>
      <w:szCs w:val="20"/>
      <w:lang w:eastAsia="pt-BR"/>
    </w:rPr>
  </w:style>
  <w:style w:type="paragraph" w:styleId="Annotationsubject">
    <w:name w:val="annotation subject"/>
    <w:basedOn w:val="Annotationtext"/>
    <w:next w:val="Annotationtext"/>
    <w:link w:val="AssuntodocomentrioChar"/>
    <w:qFormat/>
    <w:rsid w:val="00757293"/>
    <w:pPr/>
    <w:rPr>
      <w:b/>
      <w:bCs/>
    </w:rPr>
  </w:style>
  <w:style w:type="paragraph" w:styleId="Western" w:customStyle="1">
    <w:name w:val="western"/>
    <w:basedOn w:val="Normal"/>
    <w:qFormat/>
    <w:rsid w:val="00757293"/>
    <w:pPr>
      <w:spacing w:lineRule="auto" w:line="240" w:beforeAutospacing="1" w:after="0"/>
      <w:jc w:val="both"/>
    </w:pPr>
    <w:rPr>
      <w:rFonts w:ascii="Verdana" w:hAnsi="Verdana" w:eastAsia="Times New Roman" w:cs="Times New Roman"/>
      <w:color w:val="000000"/>
      <w:lang w:eastAsia="pt-BR"/>
    </w:rPr>
  </w:style>
  <w:style w:type="paragraph" w:styleId="Mainwindow" w:customStyle="1">
    <w:name w:val="mainwindow"/>
    <w:basedOn w:val="Normal"/>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Revision">
    <w:name w:val="Revision"/>
    <w:uiPriority w:val="99"/>
    <w:qFormat/>
    <w:rsid w:val="0075729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t-BR" w:eastAsia="pt-BR" w:bidi="ar-SA"/>
    </w:rPr>
  </w:style>
  <w:style w:type="paragraph" w:styleId="Artigo" w:customStyle="1">
    <w:name w:val="artigo"/>
    <w:basedOn w:val="Normal"/>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Default" w:customStyle="1">
    <w:name w:val="Default"/>
    <w:qFormat/>
    <w:rsid w:val="00757293"/>
    <w:pPr>
      <w:widowControl/>
      <w:suppressAutoHyphens w:val="true"/>
      <w:bidi w:val="0"/>
      <w:spacing w:lineRule="auto" w:line="240" w:before="0" w:after="0"/>
      <w:jc w:val="left"/>
    </w:pPr>
    <w:rPr>
      <w:rFonts w:ascii="Calibri" w:hAnsi="Calibri" w:eastAsia="Times New Roman" w:cs="Calibri"/>
      <w:color w:val="000000"/>
      <w:kern w:val="0"/>
      <w:sz w:val="24"/>
      <w:szCs w:val="24"/>
      <w:lang w:val="pt-BR" w:eastAsia="pt-BR" w:bidi="ar-SA"/>
    </w:rPr>
  </w:style>
  <w:style w:type="paragraph" w:styleId="Pa6" w:customStyle="1">
    <w:name w:val="Pa6"/>
    <w:basedOn w:val="Normal"/>
    <w:next w:val="Normal"/>
    <w:qFormat/>
    <w:rsid w:val="00757293"/>
    <w:pPr>
      <w:spacing w:lineRule="atLeast" w:line="181" w:before="0" w:after="0"/>
    </w:pPr>
    <w:rPr>
      <w:rFonts w:eastAsia="Times New Roman"/>
      <w:sz w:val="24"/>
      <w:szCs w:val="24"/>
    </w:rPr>
  </w:style>
  <w:style w:type="paragraph" w:styleId="Standard" w:customStyle="1">
    <w:name w:val="Standard"/>
    <w:qFormat/>
    <w:rsid w:val="00757293"/>
    <w:pPr>
      <w:widowControl w:val="false"/>
      <w:suppressAutoHyphens w:val="true"/>
      <w:bidi w:val="0"/>
      <w:spacing w:lineRule="auto" w:line="240" w:before="0" w:after="0"/>
      <w:jc w:val="left"/>
    </w:pPr>
    <w:rPr>
      <w:rFonts w:ascii="Liberation Serif" w:hAnsi="Liberation Serif" w:eastAsia="SimSun" w:cs="Mangal"/>
      <w:color w:val="auto"/>
      <w:kern w:val="2"/>
      <w:sz w:val="24"/>
      <w:szCs w:val="24"/>
      <w:lang w:val="pt-BR" w:eastAsia="zh-CN" w:bidi="hi-IN"/>
    </w:rPr>
  </w:style>
  <w:style w:type="paragraph" w:styleId="NoSpacing">
    <w:name w:val="No Spacing"/>
    <w:uiPriority w:val="1"/>
    <w:qFormat/>
    <w:rsid w:val="0075729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t-BR" w:eastAsia="ar-SA" w:bidi="ar-SA"/>
    </w:rPr>
  </w:style>
  <w:style w:type="paragraph" w:styleId="HTMLPreformatted">
    <w:name w:val="HTML Preformatted"/>
    <w:basedOn w:val="Normal"/>
    <w:link w:val="PrformataoHTMLChar"/>
    <w:uiPriority w:val="99"/>
    <w:qFormat/>
    <w:rsid w:val="00652630"/>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color w:val="29387B"/>
      <w:sz w:val="18"/>
      <w:szCs w:val="18"/>
    </w:rPr>
  </w:style>
  <w:style w:type="paragraph" w:styleId="BodyText2">
    <w:name w:val="Body Text 2"/>
    <w:basedOn w:val="Normal"/>
    <w:link w:val="Corpodetexto2Char"/>
    <w:qFormat/>
    <w:rsid w:val="00652630"/>
    <w:pPr>
      <w:spacing w:lineRule="auto" w:line="240" w:before="0" w:after="0"/>
    </w:pPr>
    <w:rPr>
      <w:bCs/>
      <w:sz w:val="24"/>
    </w:rPr>
  </w:style>
  <w:style w:type="paragraph" w:styleId="ListParagraph">
    <w:name w:val="List Paragraph"/>
    <w:basedOn w:val="Normal"/>
    <w:uiPriority w:val="34"/>
    <w:qFormat/>
    <w:rsid w:val="00652630"/>
    <w:pPr>
      <w:spacing w:lineRule="auto" w:line="240" w:before="0" w:after="0"/>
      <w:ind w:left="720" w:hanging="0"/>
      <w:contextualSpacing/>
    </w:pPr>
    <w:rPr>
      <w:rFonts w:ascii="Times New Roman" w:hAnsi="Times New Roman" w:eastAsia="Times New Roman" w:cs="Times New Roman"/>
      <w:sz w:val="24"/>
      <w:szCs w:val="24"/>
      <w:lang w:eastAsia="pt-BR"/>
    </w:rPr>
  </w:style>
  <w:style w:type="paragraph" w:styleId="DocumentMap">
    <w:name w:val="Document Map"/>
    <w:basedOn w:val="Normal"/>
    <w:link w:val="MapadoDocumentoChar"/>
    <w:qFormat/>
    <w:rsid w:val="00652630"/>
    <w:pPr>
      <w:spacing w:lineRule="auto" w:line="240" w:before="0" w:after="0"/>
    </w:pPr>
    <w:rPr>
      <w:rFonts w:eastAsia="Times New Roman" w:cs="Times New Roman"/>
      <w:sz w:val="16"/>
      <w:szCs w:val="16"/>
      <w:lang w:val="x-none" w:eastAsia="x-none"/>
    </w:rPr>
  </w:style>
  <w:style w:type="paragraph" w:styleId="Contedodatabela" w:customStyle="1">
    <w:name w:val="Conteúdo da tabela"/>
    <w:basedOn w:val="Normal"/>
    <w:qFormat/>
    <w:rsid w:val="00652630"/>
    <w:pPr>
      <w:widowControl w:val="false"/>
      <w:suppressLineNumbers/>
      <w:suppressAutoHyphens w:val="true"/>
      <w:spacing w:lineRule="auto" w:line="240" w:before="0" w:after="0"/>
    </w:pPr>
    <w:rPr>
      <w:rFonts w:ascii="Arial" w:hAnsi="Arial" w:eastAsia="Andale Sans UI" w:cs="Times New Roman"/>
      <w:kern w:val="2"/>
      <w:sz w:val="20"/>
      <w:szCs w:val="24"/>
    </w:rPr>
  </w:style>
  <w:style w:type="paragraph" w:styleId="TextosemFormatao1" w:customStyle="1">
    <w:name w:val="Texto sem Formatação1"/>
    <w:basedOn w:val="Normal"/>
    <w:qFormat/>
    <w:rsid w:val="00652630"/>
    <w:pPr/>
    <w:rPr>
      <w:rFonts w:ascii="Courier New" w:hAnsi="Courier New" w:eastAsia="Times New Roman" w:cs="Times New Roman"/>
      <w:sz w:val="24"/>
      <w:szCs w:val="24"/>
      <w:lang w:eastAsia="pt-BR"/>
    </w:rPr>
  </w:style>
  <w:style w:type="paragraph" w:styleId="ListBullet">
    <w:name w:val="List Bullet"/>
    <w:basedOn w:val="Normal"/>
    <w:qFormat/>
    <w:rsid w:val="00652630"/>
    <w:pPr>
      <w:numPr>
        <w:ilvl w:val="0"/>
        <w:numId w:val="1"/>
      </w:numPr>
      <w:spacing w:lineRule="auto" w:line="240" w:before="0" w:after="0"/>
    </w:pPr>
    <w:rPr>
      <w:rFonts w:ascii="Times New Roman" w:hAnsi="Times New Roman" w:eastAsia="Times New Roman" w:cs="Times New Roman"/>
      <w:sz w:val="20"/>
      <w:szCs w:val="20"/>
      <w:lang w:eastAsia="pt-BR"/>
    </w:rPr>
  </w:style>
  <w:style w:type="paragraph" w:styleId="TableParagraph" w:customStyle="1">
    <w:name w:val="Table Paragraph"/>
    <w:basedOn w:val="Normal"/>
    <w:uiPriority w:val="1"/>
    <w:qFormat/>
    <w:rsid w:val="00652630"/>
    <w:pPr>
      <w:widowControl w:val="false"/>
      <w:spacing w:lineRule="auto" w:line="240" w:before="0" w:after="0"/>
    </w:pPr>
    <w:rPr>
      <w:rFonts w:ascii="Times New Roman" w:hAnsi="Times New Roman" w:eastAsia="Times New Roman" w:cs="Times New Roman"/>
      <w:lang w:val="en-US" w:bidi="en-US"/>
    </w:rPr>
  </w:style>
  <w:style w:type="paragraph" w:styleId="TxBrp9" w:customStyle="1">
    <w:name w:val="TxBr_p9"/>
    <w:basedOn w:val="Normal"/>
    <w:qFormat/>
    <w:rsid w:val="00652630"/>
    <w:pPr>
      <w:widowControl w:val="false"/>
      <w:tabs>
        <w:tab w:val="clear" w:pos="708"/>
        <w:tab w:val="left" w:pos="204" w:leader="none"/>
      </w:tabs>
      <w:spacing w:lineRule="atLeast" w:line="240" w:before="0" w:after="0"/>
      <w:jc w:val="both"/>
    </w:pPr>
    <w:rPr>
      <w:rFonts w:ascii="Times New Roman" w:hAnsi="Times New Roman" w:eastAsia="Times New Roman" w:cs="Times New Roman"/>
      <w:sz w:val="24"/>
      <w:szCs w:val="24"/>
      <w:lang w:eastAsia="pt-BR"/>
    </w:rPr>
  </w:style>
  <w:style w:type="paragraph" w:styleId="Ttulo11" w:customStyle="1">
    <w:name w:val="Título1"/>
    <w:basedOn w:val="Normal"/>
    <w:next w:val="Corpodotexto"/>
    <w:qFormat/>
    <w:rsid w:val="00652630"/>
    <w:pPr>
      <w:keepNext w:val="true"/>
      <w:suppressAutoHyphens w:val="true"/>
      <w:spacing w:lineRule="auto" w:line="240" w:before="240" w:after="120"/>
    </w:pPr>
    <w:rPr>
      <w:rFonts w:ascii="Arial" w:hAnsi="Arial" w:eastAsia="Tahoma"/>
      <w:sz w:val="28"/>
      <w:szCs w:val="28"/>
      <w:lang w:eastAsia="zh-CN"/>
    </w:rPr>
  </w:style>
  <w:style w:type="paragraph" w:styleId="Corpodetexto31" w:customStyle="1">
    <w:name w:val="Corpo de texto 31"/>
    <w:basedOn w:val="Normal"/>
    <w:qFormat/>
    <w:rsid w:val="00652630"/>
    <w:pPr>
      <w:suppressAutoHyphens w:val="true"/>
      <w:spacing w:lineRule="auto" w:line="240" w:before="0" w:after="120"/>
    </w:pPr>
    <w:rPr>
      <w:rFonts w:ascii="Times New Roman" w:hAnsi="Times New Roman" w:eastAsia="Times New Roman" w:cs="Times New Roman"/>
      <w:sz w:val="16"/>
      <w:szCs w:val="16"/>
      <w:lang w:eastAsia="zh-CN"/>
    </w:rPr>
  </w:style>
  <w:style w:type="paragraph" w:styleId="Corpodetexto22" w:customStyle="1">
    <w:name w:val="Corpo de texto 22"/>
    <w:basedOn w:val="Normal"/>
    <w:qFormat/>
    <w:rsid w:val="00652630"/>
    <w:pPr>
      <w:suppressAutoHyphens w:val="true"/>
      <w:spacing w:lineRule="auto" w:line="240" w:before="0" w:after="0"/>
      <w:jc w:val="both"/>
    </w:pPr>
    <w:rPr>
      <w:rFonts w:ascii="Arial" w:hAnsi="Arial" w:eastAsia="Times New Roman" w:cs="Arial"/>
      <w:sz w:val="24"/>
      <w:szCs w:val="20"/>
      <w:lang w:eastAsia="zh-CN"/>
    </w:rPr>
  </w:style>
  <w:style w:type="paragraph" w:styleId="Recuodecorpodetexto21" w:customStyle="1">
    <w:name w:val="Recuo de corpo de texto 21"/>
    <w:basedOn w:val="Normal"/>
    <w:qFormat/>
    <w:rsid w:val="00652630"/>
    <w:pPr>
      <w:suppressAutoHyphens w:val="true"/>
      <w:spacing w:lineRule="auto" w:line="480" w:before="0" w:after="120"/>
      <w:ind w:left="283" w:hanging="0"/>
    </w:pPr>
    <w:rPr>
      <w:rFonts w:ascii="Times New Roman" w:hAnsi="Times New Roman" w:eastAsia="Times New Roman" w:cs="Times New Roman"/>
      <w:sz w:val="24"/>
      <w:szCs w:val="24"/>
      <w:lang w:eastAsia="zh-CN"/>
    </w:rPr>
  </w:style>
  <w:style w:type="paragraph" w:styleId="Recuodecorpodetexto31" w:customStyle="1">
    <w:name w:val="Recuo de corpo de texto 31"/>
    <w:basedOn w:val="Normal"/>
    <w:qFormat/>
    <w:rsid w:val="00652630"/>
    <w:pPr>
      <w:suppressAutoHyphens w:val="true"/>
      <w:spacing w:lineRule="auto" w:line="240" w:before="0" w:after="120"/>
      <w:ind w:left="283" w:hanging="0"/>
    </w:pPr>
    <w:rPr>
      <w:rFonts w:ascii="Times New Roman" w:hAnsi="Times New Roman" w:eastAsia="Times New Roman" w:cs="Times New Roman"/>
      <w:sz w:val="16"/>
      <w:szCs w:val="16"/>
      <w:lang w:eastAsia="zh-CN"/>
    </w:rPr>
  </w:style>
  <w:style w:type="paragraph" w:styleId="Textodecomentrio1" w:customStyle="1">
    <w:name w:val="Texto de comentário1"/>
    <w:basedOn w:val="Normal"/>
    <w:qFormat/>
    <w:rsid w:val="00652630"/>
    <w:pPr>
      <w:suppressAutoHyphens w:val="true"/>
      <w:spacing w:lineRule="auto" w:line="240" w:before="0" w:after="0"/>
    </w:pPr>
    <w:rPr>
      <w:rFonts w:ascii="Times New Roman" w:hAnsi="Times New Roman" w:eastAsia="Times New Roman" w:cs="Times New Roman"/>
      <w:sz w:val="20"/>
      <w:szCs w:val="20"/>
      <w:lang w:eastAsia="zh-CN"/>
    </w:rPr>
  </w:style>
  <w:style w:type="paragraph" w:styleId="Ttulodetabela" w:customStyle="1">
    <w:name w:val="Título de tabela"/>
    <w:basedOn w:val="Contedodatabela"/>
    <w:qFormat/>
    <w:rsid w:val="00652630"/>
    <w:pPr>
      <w:jc w:val="center"/>
    </w:pPr>
    <w:rPr>
      <w:rFonts w:ascii="Times New Roman" w:hAnsi="Times New Roman" w:eastAsia="Times New Roman" w:cs="Times New Roman"/>
      <w:b/>
      <w:bCs/>
      <w:kern w:val="0"/>
      <w:lang w:bidi="ar-SA"/>
    </w:rPr>
  </w:style>
  <w:style w:type="paragraph" w:styleId="Contedodoquadro" w:customStyle="1">
    <w:name w:val="Conteúdo do quadro"/>
    <w:basedOn w:val="Normal"/>
    <w:qFormat/>
    <w:rsid w:val="00652630"/>
    <w:pPr>
      <w:suppressAutoHyphens w:val="true"/>
      <w:spacing w:lineRule="auto" w:line="240" w:before="0" w:after="0"/>
    </w:pPr>
    <w:rPr>
      <w:rFonts w:ascii="Times New Roman" w:hAnsi="Times New Roman" w:eastAsia="Times New Roman" w:cs="Times New Roman"/>
      <w:sz w:val="24"/>
      <w:szCs w:val="24"/>
      <w:lang w:eastAsia="zh-CN"/>
    </w:rPr>
  </w:style>
  <w:style w:type="paragraph" w:styleId="Msonormal" w:customStyle="1">
    <w:name w:val="msonormal"/>
    <w:basedOn w:val="Normal"/>
    <w:qFormat/>
    <w:rsid w:val="00652630"/>
    <w:pPr>
      <w:spacing w:lineRule="auto" w:line="240" w:beforeAutospacing="1" w:afterAutospacing="1"/>
    </w:pPr>
    <w:rPr>
      <w:rFonts w:ascii="Times New Roman" w:hAnsi="Times New Roman" w:eastAsia="Times New Roman" w:cs="Times New Roman"/>
      <w:sz w:val="24"/>
      <w:szCs w:val="24"/>
      <w:lang w:eastAsia="pt-BR"/>
    </w:rPr>
  </w:style>
  <w:style w:type="paragraph" w:styleId="Xl63" w:customStyle="1">
    <w:name w:val="xl63"/>
    <w:basedOn w:val="Normal"/>
    <w:qFormat/>
    <w:rsid w:val="00652630"/>
    <w:pPr>
      <w:spacing w:lineRule="auto" w:line="240" w:beforeAutospacing="1" w:afterAutospacing="1"/>
      <w:textAlignment w:val="center"/>
    </w:pPr>
    <w:rPr>
      <w:rFonts w:ascii="Arial" w:hAnsi="Arial" w:eastAsia="Times New Roman" w:cs="Arial"/>
      <w:sz w:val="20"/>
      <w:szCs w:val="20"/>
      <w:lang w:eastAsia="pt-BR"/>
    </w:rPr>
  </w:style>
  <w:style w:type="paragraph" w:styleId="Xl64" w:customStyle="1">
    <w:name w:val="xl64"/>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b/>
      <w:bCs/>
      <w:sz w:val="20"/>
      <w:szCs w:val="20"/>
      <w:lang w:eastAsia="pt-BR"/>
    </w:rPr>
  </w:style>
  <w:style w:type="paragraph" w:styleId="Xl65" w:customStyle="1">
    <w:name w:val="xl65"/>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Arial"/>
      <w:sz w:val="20"/>
      <w:szCs w:val="20"/>
      <w:lang w:eastAsia="pt-BR"/>
    </w:rPr>
  </w:style>
  <w:style w:type="paragraph" w:styleId="Xl66" w:customStyle="1">
    <w:name w:val="xl66"/>
    <w:basedOn w:val="Normal"/>
    <w:qFormat/>
    <w:rsid w:val="00652630"/>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7" w:customStyle="1">
    <w:name w:val="xl67"/>
    <w:basedOn w:val="Normal"/>
    <w:qFormat/>
    <w:rsid w:val="00652630"/>
    <w:pPr>
      <w:pBdr>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8" w:customStyle="1">
    <w:name w:val="xl68"/>
    <w:basedOn w:val="Normal"/>
    <w:qFormat/>
    <w:rsid w:val="00652630"/>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9" w:customStyle="1">
    <w:name w:val="xl69"/>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0" w:customStyle="1">
    <w:name w:val="xl70"/>
    <w:basedOn w:val="Normal"/>
    <w:qFormat/>
    <w:rsid w:val="00652630"/>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1" w:customStyle="1">
    <w:name w:val="xl71"/>
    <w:basedOn w:val="Normal"/>
    <w:qFormat/>
    <w:rsid w:val="00652630"/>
    <w:pPr>
      <w:pBdr>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2" w:customStyle="1">
    <w:name w:val="xl72"/>
    <w:basedOn w:val="Normal"/>
    <w:qFormat/>
    <w:rsid w:val="00652630"/>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3" w:customStyle="1">
    <w:name w:val="xl73"/>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4" w:customStyle="1">
    <w:name w:val="xl74"/>
    <w:basedOn w:val="Normal"/>
    <w:qFormat/>
    <w:rsid w:val="00652630"/>
    <w:pPr>
      <w:pBdr>
        <w:top w:val="single" w:sz="8" w:space="0" w:color="000000"/>
        <w:left w:val="single" w:sz="8" w:space="0" w:color="000000"/>
        <w:bottom w:val="single" w:sz="8"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Xl75" w:customStyle="1">
    <w:name w:val="xl75"/>
    <w:basedOn w:val="Normal"/>
    <w:qFormat/>
    <w:rsid w:val="00652630"/>
    <w:pPr>
      <w:pBdr>
        <w:top w:val="single" w:sz="8" w:space="0" w:color="000000"/>
        <w:bottom w:val="single" w:sz="8"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Xl76" w:customStyle="1">
    <w:name w:val="xl76"/>
    <w:basedOn w:val="Normal"/>
    <w:qFormat/>
    <w:rsid w:val="00652630"/>
    <w:pPr>
      <w:pBdr>
        <w:top w:val="single" w:sz="8" w:space="0" w:color="000000"/>
        <w:bottom w:val="single" w:sz="8" w:space="0" w:color="000000"/>
        <w:right w:val="single" w:sz="4"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Normalofc" w:customStyle="1">
    <w:name w:val="Normal ofc"/>
    <w:basedOn w:val="Normal"/>
    <w:qFormat/>
    <w:rsid w:val="00652630"/>
    <w:pPr>
      <w:spacing w:lineRule="auto" w:line="360" w:before="0" w:after="0"/>
      <w:jc w:val="both"/>
    </w:pPr>
    <w:rPr>
      <w:rFonts w:ascii="Arial" w:hAnsi="Arial" w:eastAsia="Times New Roman" w:cs="Arial"/>
      <w:color w:val="000000"/>
      <w:sz w:val="24"/>
      <w:szCs w:val="20"/>
      <w:lang w:eastAsia="pt-BR"/>
    </w:rPr>
  </w:style>
  <w:style w:type="paragraph" w:styleId="Corpodetexto23" w:customStyle="1">
    <w:name w:val="Corpo de texto 23"/>
    <w:basedOn w:val="Normal"/>
    <w:qFormat/>
    <w:rsid w:val="00a10b4a"/>
    <w:pPr>
      <w:spacing w:lineRule="auto" w:line="240" w:before="0" w:after="0"/>
      <w:jc w:val="both"/>
    </w:pPr>
    <w:rPr>
      <w:rFonts w:ascii="Arial" w:hAnsi="Arial" w:eastAsia="Times New Roman" w:cs="Times New Roman"/>
      <w:sz w:val="24"/>
      <w:szCs w:val="20"/>
      <w:lang w:eastAsia="pt-BR"/>
    </w:rPr>
  </w:style>
  <w:style w:type="paragraph" w:styleId="BodyTabelas" w:customStyle="1">
    <w:name w:val="Body Tabelas"/>
    <w:basedOn w:val="Normal"/>
    <w:qFormat/>
    <w:rsid w:val="004a0025"/>
    <w:pPr>
      <w:spacing w:lineRule="auto" w:line="240" w:before="60" w:after="60"/>
    </w:pPr>
    <w:rPr>
      <w:rFonts w:ascii="Calibri" w:hAnsi="Calibri" w:eastAsia="Arial Unicode MS" w:cs="Calibri"/>
      <w:color w:val="000000" w:themeColor="text1"/>
      <w:sz w:val="16"/>
      <w:szCs w:val="16"/>
      <w:lang w:eastAsia="pt-BR"/>
    </w:rPr>
  </w:style>
  <w:style w:type="paragraph" w:styleId="TituloAnexos" w:customStyle="1">
    <w:name w:val="Titulo Anexos"/>
    <w:basedOn w:val="Normal"/>
    <w:qFormat/>
    <w:rsid w:val="004a0025"/>
    <w:pPr>
      <w:pageBreakBefore/>
      <w:numPr>
        <w:ilvl w:val="0"/>
        <w:numId w:val="4"/>
      </w:numPr>
      <w:pBdr>
        <w:bottom w:val="single" w:sz="4" w:space="1" w:color="000000"/>
      </w:pBdr>
      <w:spacing w:lineRule="auto" w:line="240" w:before="240" w:after="120"/>
      <w:ind w:left="0" w:hanging="0"/>
      <w:outlineLvl w:val="0"/>
    </w:pPr>
    <w:rPr>
      <w:rFonts w:ascii="Calibri" w:hAnsi="Calibri" w:eastAsia="Arial Unicode MS" w:cs="Calibri"/>
      <w:color w:val="000000" w:themeColor="text1"/>
      <w:sz w:val="48"/>
      <w:szCs w:val="48"/>
      <w:lang w:eastAsia="pt-BR"/>
    </w:rPr>
  </w:style>
  <w:style w:type="paragraph" w:styleId="TituloCargos" w:customStyle="1">
    <w:name w:val="Titulo Cargos"/>
    <w:basedOn w:val="Titulosn1"/>
    <w:qFormat/>
    <w:rsid w:val="004a0025"/>
    <w:pPr>
      <w:pBdr>
        <w:top w:val="single" w:sz="24" w:space="1" w:color="000000"/>
      </w:pBdr>
      <w:spacing w:before="360" w:after="160"/>
      <w:outlineLvl w:val="5"/>
    </w:pPr>
    <w:rPr>
      <w:sz w:val="24"/>
      <w:szCs w:val="20"/>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4a0025"/>
    <w:pPr>
      <w:spacing w:before="720" w:after="120"/>
      <w:ind w:hanging="142"/>
      <w:outlineLvl w:val="9"/>
    </w:pPr>
    <w:rPr>
      <w:rFonts w:ascii="Calibri" w:hAnsi="Calibri" w:eastAsia="Lucida Sans Unicode" w:cs="Calibri"/>
      <w:color w:val="000000" w:themeColor="text1"/>
      <w:kern w:val="0"/>
      <w:sz w:val="36"/>
      <w:szCs w:val="36"/>
    </w:rPr>
  </w:style>
  <w:style w:type="paragraph" w:styleId="Bodyn1" w:customStyle="1">
    <w:name w:val="Body n1"/>
    <w:basedOn w:val="Normal"/>
    <w:qFormat/>
    <w:rsid w:val="004a0025"/>
    <w:pPr>
      <w:spacing w:lineRule="auto" w:line="240" w:before="240" w:after="120"/>
      <w:ind w:hanging="142"/>
    </w:pPr>
    <w:rPr>
      <w:rFonts w:ascii="Calibri" w:hAnsi="Calibri" w:eastAsia="Arial Unicode MS" w:cs="Calibri"/>
      <w:color w:val="000000" w:themeColor="text1"/>
      <w:sz w:val="20"/>
      <w:lang w:eastAsia="ar-SA"/>
    </w:rPr>
  </w:style>
  <w:style w:type="paragraph" w:styleId="Bodyn2" w:customStyle="1">
    <w:name w:val="Body n2"/>
    <w:basedOn w:val="Bodyn1"/>
    <w:qFormat/>
    <w:rsid w:val="004a0025"/>
    <w:pPr/>
    <w:rPr/>
  </w:style>
  <w:style w:type="paragraph" w:styleId="Bordalateral" w:customStyle="1">
    <w:name w:val="Borda lateral"/>
    <w:basedOn w:val="Normal"/>
    <w:qFormat/>
    <w:rsid w:val="004a0025"/>
    <w:pPr>
      <w:pBdr>
        <w:left w:val="single" w:sz="48" w:space="4" w:color="BFBFBF"/>
      </w:pBdr>
      <w:shd w:val="clear" w:color="auto" w:fill="FFFFFF" w:themeFill="background1"/>
      <w:spacing w:lineRule="auto" w:line="240" w:before="240" w:after="120"/>
      <w:ind w:left="567" w:hanging="0"/>
    </w:pPr>
    <w:rPr>
      <w:rFonts w:ascii="Calibri" w:hAnsi="Calibri" w:eastAsia="Arial Unicode MS" w:cs="Calibri"/>
      <w:color w:val="000000" w:themeColor="text1"/>
      <w:sz w:val="20"/>
      <w:lang w:eastAsia="pt-BR"/>
    </w:rPr>
  </w:style>
  <w:style w:type="paragraph" w:styleId="Titulosn1" w:customStyle="1">
    <w:name w:val="Titulo sn 1"/>
    <w:basedOn w:val="Normal"/>
    <w:qFormat/>
    <w:rsid w:val="004a0025"/>
    <w:pPr>
      <w:keepNext w:val="true"/>
      <w:spacing w:lineRule="auto" w:line="240" w:before="480" w:after="120"/>
      <w:outlineLvl w:val="3"/>
    </w:pPr>
    <w:rPr>
      <w:rFonts w:ascii="Calibri" w:hAnsi="Calibri" w:eastAsia="Arial Unicode MS" w:cs="Calibri"/>
      <w:b/>
      <w:bCs/>
      <w:caps/>
      <w:color w:val="000000" w:themeColor="text1"/>
      <w:sz w:val="28"/>
      <w:szCs w:val="28"/>
      <w:lang w:eastAsia="ar-SA"/>
    </w:rPr>
  </w:style>
  <w:style w:type="paragraph" w:styleId="Titulosn2" w:customStyle="1">
    <w:name w:val="Titulo sn 2"/>
    <w:basedOn w:val="Titulosn1"/>
    <w:qFormat/>
    <w:rsid w:val="004a0025"/>
    <w:pPr>
      <w:spacing w:before="360" w:after="120"/>
      <w:outlineLvl w:val="4"/>
    </w:pPr>
    <w:rPr>
      <w:sz w:val="24"/>
      <w:szCs w:val="20"/>
    </w:rPr>
  </w:style>
  <w:style w:type="paragraph" w:styleId="ListaBullets" w:customStyle="1">
    <w:name w:val="Lista Bullets"/>
    <w:basedOn w:val="Normal"/>
    <w:qFormat/>
    <w:rsid w:val="004a0025"/>
    <w:pPr>
      <w:numPr>
        <w:ilvl w:val="0"/>
        <w:numId w:val="2"/>
      </w:numPr>
      <w:spacing w:lineRule="auto" w:line="240" w:before="240" w:after="120"/>
      <w:ind w:left="567" w:hanging="284"/>
      <w:contextualSpacing/>
    </w:pPr>
    <w:rPr>
      <w:rFonts w:ascii="Calibri" w:hAnsi="Calibri" w:eastAsia="Arial Unicode MS" w:cs="Calibri"/>
      <w:color w:val="000000" w:themeColor="text1"/>
      <w:sz w:val="20"/>
      <w:lang w:eastAsia="pt-BR"/>
    </w:rPr>
  </w:style>
  <w:style w:type="paragraph" w:styleId="ListaNumerada" w:customStyle="1">
    <w:name w:val="Lista Numerada"/>
    <w:qFormat/>
    <w:rsid w:val="004a0025"/>
    <w:pPr>
      <w:widowControl/>
      <w:numPr>
        <w:ilvl w:val="0"/>
        <w:numId w:val="3"/>
      </w:numPr>
      <w:suppressAutoHyphens w:val="true"/>
      <w:bidi w:val="0"/>
      <w:spacing w:lineRule="auto" w:line="240" w:before="0" w:after="0"/>
      <w:jc w:val="left"/>
    </w:pPr>
    <w:rPr>
      <w:rFonts w:ascii="Calibri" w:hAnsi="Calibri" w:eastAsia="Arial Unicode MS" w:cs="Calibri"/>
      <w:color w:val="000000" w:themeColor="text1"/>
      <w:kern w:val="0"/>
      <w:sz w:val="20"/>
      <w:szCs w:val="20"/>
      <w:lang w:val="pt-BR" w:eastAsia="ar-SA" w:bidi="ar-SA"/>
    </w:rPr>
  </w:style>
  <w:style w:type="paragraph" w:styleId="Bodyn3" w:customStyle="1">
    <w:name w:val="Body n3"/>
    <w:basedOn w:val="Bodyn2"/>
    <w:qFormat/>
    <w:rsid w:val="004a0025"/>
    <w:pPr/>
    <w:rPr/>
  </w:style>
  <w:style w:type="paragraph" w:styleId="CabealhoEdital" w:customStyle="1">
    <w:name w:val="Cabeçalho Edital"/>
    <w:basedOn w:val="Normal"/>
    <w:qFormat/>
    <w:rsid w:val="004a0025"/>
    <w:pPr>
      <w:spacing w:lineRule="auto" w:line="240" w:before="480" w:after="480"/>
      <w:ind w:left="3402" w:hanging="0"/>
    </w:pPr>
    <w:rPr>
      <w:rFonts w:ascii="Calibri" w:hAnsi="Calibri" w:eastAsia="Arial Unicode MS" w:cs="Calibri"/>
      <w:color w:val="000000" w:themeColor="text1"/>
      <w:sz w:val="20"/>
      <w:lang w:eastAsia="pt-BR"/>
    </w:rPr>
  </w:style>
  <w:style w:type="paragraph" w:styleId="Notadefim">
    <w:name w:val="Endnote Text"/>
    <w:basedOn w:val="Normal"/>
    <w:link w:val="TextodenotadefimChar"/>
    <w:uiPriority w:val="99"/>
    <w:semiHidden/>
    <w:unhideWhenUsed/>
    <w:qFormat/>
    <w:rsid w:val="004a0025"/>
    <w:pPr>
      <w:spacing w:lineRule="auto" w:line="240" w:before="0" w:after="0"/>
    </w:pPr>
    <w:rPr>
      <w:rFonts w:ascii="Calibri" w:hAnsi="Calibri" w:eastAsia="Calibri" w:cs="Times New Roman"/>
      <w:sz w:val="20"/>
      <w:szCs w:val="20"/>
    </w:rPr>
  </w:style>
  <w:style w:type="paragraph" w:styleId="TBodyn2" w:customStyle="1">
    <w:name w:val="TBody n2"/>
    <w:basedOn w:val="Bodyn2"/>
    <w:next w:val="Bodyn2"/>
    <w:qFormat/>
    <w:rsid w:val="004a0025"/>
    <w:pPr>
      <w:spacing w:before="360" w:after="120"/>
      <w:outlineLvl w:val="2"/>
    </w:pPr>
    <w:rPr>
      <w:b/>
    </w:rPr>
  </w:style>
  <w:style w:type="paragraph" w:styleId="ListBullet3">
    <w:name w:val="List Bullet 3"/>
    <w:basedOn w:val="Normal"/>
    <w:uiPriority w:val="99"/>
    <w:unhideWhenUsed/>
    <w:qFormat/>
    <w:rsid w:val="004a0025"/>
    <w:pPr>
      <w:spacing w:lineRule="auto" w:line="240" w:before="240" w:after="120"/>
      <w:ind w:left="566" w:hanging="283"/>
      <w:contextualSpacing/>
    </w:pPr>
    <w:rPr>
      <w:rFonts w:ascii="Calibri" w:hAnsi="Calibri" w:eastAsia="Arial Unicode MS" w:cs="Calibri"/>
      <w:color w:val="000000" w:themeColor="text1"/>
      <w:sz w:val="20"/>
      <w:lang w:eastAsia="pt-BR"/>
    </w:rPr>
  </w:style>
  <w:style w:type="paragraph" w:styleId="ListBullet4">
    <w:name w:val="List Bullet 4"/>
    <w:basedOn w:val="Normal"/>
    <w:uiPriority w:val="99"/>
    <w:unhideWhenUsed/>
    <w:qFormat/>
    <w:rsid w:val="004a0025"/>
    <w:pPr>
      <w:spacing w:lineRule="auto" w:line="240" w:before="240" w:after="120"/>
      <w:ind w:left="849" w:hanging="283"/>
      <w:contextualSpacing/>
    </w:pPr>
    <w:rPr>
      <w:rFonts w:ascii="Calibri" w:hAnsi="Calibri" w:eastAsia="Arial Unicode MS" w:cs="Calibri"/>
      <w:color w:val="000000" w:themeColor="text1"/>
      <w:sz w:val="20"/>
      <w:lang w:eastAsia="pt-BR"/>
    </w:rPr>
  </w:style>
  <w:style w:type="paragraph" w:styleId="ListBullet5">
    <w:name w:val="List Bullet 5"/>
    <w:basedOn w:val="Normal"/>
    <w:uiPriority w:val="99"/>
    <w:unhideWhenUsed/>
    <w:qFormat/>
    <w:rsid w:val="004a0025"/>
    <w:pPr>
      <w:spacing w:lineRule="auto" w:line="240" w:before="240" w:after="120"/>
      <w:ind w:left="1132" w:hanging="283"/>
      <w:contextualSpacing/>
    </w:pPr>
    <w:rPr>
      <w:rFonts w:ascii="Calibri" w:hAnsi="Calibri" w:eastAsia="Arial Unicode MS" w:cs="Calibri"/>
      <w:color w:val="000000" w:themeColor="text1"/>
      <w:sz w:val="20"/>
      <w:lang w:eastAsia="pt-BR"/>
    </w:rPr>
  </w:style>
  <w:style w:type="paragraph" w:styleId="ListNumber">
    <w:name w:val="List Number"/>
    <w:basedOn w:val="Normal"/>
    <w:uiPriority w:val="99"/>
    <w:unhideWhenUsed/>
    <w:qFormat/>
    <w:rsid w:val="004a0025"/>
    <w:pPr>
      <w:spacing w:lineRule="auto" w:line="240" w:before="240" w:after="120"/>
      <w:ind w:left="1415" w:hanging="283"/>
      <w:contextualSpacing/>
    </w:pPr>
    <w:rPr>
      <w:rFonts w:ascii="Calibri" w:hAnsi="Calibri" w:eastAsia="Arial Unicode MS" w:cs="Calibri"/>
      <w:color w:val="000000" w:themeColor="text1"/>
      <w:sz w:val="20"/>
      <w:lang w:eastAsia="pt-BR"/>
    </w:rPr>
  </w:style>
  <w:style w:type="paragraph" w:styleId="Sumrio2">
    <w:name w:val="TOC 2"/>
    <w:basedOn w:val="Normal"/>
    <w:next w:val="Normal"/>
    <w:autoRedefine/>
    <w:uiPriority w:val="39"/>
    <w:unhideWhenUsed/>
    <w:qFormat/>
    <w:rsid w:val="0076392d"/>
    <w:pPr>
      <w:spacing w:before="0" w:after="100"/>
      <w:ind w:left="220" w:hanging="0"/>
    </w:pPr>
    <w:rPr/>
  </w:style>
  <w:style w:type="paragraph" w:styleId="Sumrio1">
    <w:name w:val="TOC 1"/>
    <w:basedOn w:val="Normal"/>
    <w:next w:val="Normal"/>
    <w:autoRedefine/>
    <w:uiPriority w:val="39"/>
    <w:unhideWhenUsed/>
    <w:qFormat/>
    <w:rsid w:val="0076392d"/>
    <w:pPr>
      <w:spacing w:before="0" w:after="100"/>
    </w:pPr>
    <w:rPr/>
  </w:style>
  <w:style w:type="paragraph" w:styleId="Sumrio3">
    <w:name w:val="TOC 3"/>
    <w:basedOn w:val="Normal"/>
    <w:next w:val="Normal"/>
    <w:autoRedefine/>
    <w:uiPriority w:val="39"/>
    <w:unhideWhenUsed/>
    <w:qFormat/>
    <w:rsid w:val="0076392d"/>
    <w:pPr>
      <w:spacing w:lineRule="auto" w:line="276" w:before="0" w:after="100"/>
      <w:ind w:left="440" w:hanging="0"/>
      <w:jc w:val="center"/>
    </w:pPr>
    <w:rPr>
      <w:rFonts w:ascii="Calibri" w:hAnsi="Calibri" w:eastAsia="Times New Roman" w:cs="Times New Roman"/>
    </w:rPr>
  </w:style>
  <w:style w:type="paragraph" w:styleId="Subttulo">
    <w:name w:val="Subtitle"/>
    <w:basedOn w:val="Normal"/>
    <w:next w:val="Normal"/>
    <w:link w:val="SubttuloChar"/>
    <w:autoRedefine/>
    <w:qFormat/>
    <w:rsid w:val="0076392d"/>
    <w:pPr>
      <w:spacing w:lineRule="auto" w:line="240" w:before="0" w:after="60"/>
      <w:jc w:val="both"/>
      <w:outlineLvl w:val="1"/>
    </w:pPr>
    <w:rPr>
      <w:rFonts w:ascii="Arial" w:hAnsi="Arial" w:eastAsia="Times New Roman" w:cs="Times New Roman"/>
      <w:b/>
      <w:szCs w:val="48"/>
      <w:lang w:eastAsia="pt-BR"/>
    </w:rPr>
  </w:style>
  <w:style w:type="paragraph" w:styleId="Quote">
    <w:name w:val="Quote"/>
    <w:basedOn w:val="Normal"/>
    <w:next w:val="Normal"/>
    <w:link w:val="CitaoChar"/>
    <w:uiPriority w:val="29"/>
    <w:qFormat/>
    <w:rsid w:val="0076392d"/>
    <w:pPr>
      <w:spacing w:lineRule="auto" w:line="240" w:before="0" w:after="0"/>
      <w:jc w:val="center"/>
    </w:pPr>
    <w:rPr>
      <w:rFonts w:ascii="Times New Roman" w:hAnsi="Times New Roman" w:eastAsia="Times New Roman" w:cs="Times New Roman"/>
      <w:i/>
      <w:iCs/>
      <w:color w:val="000000"/>
      <w:sz w:val="24"/>
      <w:szCs w:val="24"/>
      <w:lang w:eastAsia="pt-BR"/>
    </w:rPr>
  </w:style>
  <w:style w:type="paragraph" w:styleId="Textbody" w:customStyle="1">
    <w:name w:val="textbody"/>
    <w:basedOn w:val="Normal"/>
    <w:qFormat/>
    <w:rsid w:val="005778d4"/>
    <w:pPr>
      <w:spacing w:lineRule="auto" w:line="240" w:beforeAutospacing="1" w:afterAutospacing="1"/>
    </w:pPr>
    <w:rPr>
      <w:rFonts w:ascii="Times New Roman" w:hAnsi="Times New Roman" w:eastAsia="Times New Roman" w:cs="Times New Roman"/>
      <w:sz w:val="24"/>
      <w:szCs w:val="24"/>
      <w:lang w:eastAsia="pt-BR"/>
    </w:rPr>
  </w:style>
  <w:style w:type="paragraph" w:styleId="LOnormal1">
    <w:name w:val="LO-normal1"/>
    <w:qFormat/>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LOnormal">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PargrafodaLista">
    <w:name w:val="Parágrafo da Lista"/>
    <w:basedOn w:val="Normal"/>
    <w:qFormat/>
    <w:pPr>
      <w:spacing w:lineRule="exact" w:line="240"/>
      <w:ind w:left="708" w:hanging="0"/>
    </w:pPr>
    <w:rPr>
      <w:rFonts w:ascii="Liberation Serif" w:hAnsi="Liberation Serif" w:eastAsia="Mangal"/>
      <w:sz w:val="24"/>
    </w:rPr>
  </w:style>
  <w:style w:type="paragraph" w:styleId="Xmsonormal">
    <w:name w:val="x_msonormal"/>
    <w:basedOn w:val="Normal"/>
    <w:qFormat/>
    <w:pPr>
      <w:suppressAutoHyphens w:val="false"/>
      <w:spacing w:lineRule="exact" w:line="240"/>
    </w:pPr>
    <w:rPr>
      <w:rFonts w:ascii="Times New Roman" w:hAnsi="Times New Roman" w:eastAsia="Times New Roman"/>
      <w:sz w:val="24"/>
    </w:rPr>
  </w:style>
  <w:style w:type="paragraph" w:styleId="Ttulo21">
    <w:name w:val="Título2"/>
    <w:basedOn w:val="Normal"/>
    <w:qFormat/>
    <w:pPr>
      <w:keepNext w:val="true"/>
      <w:spacing w:lineRule="exact" w:line="240" w:before="240" w:after="120"/>
    </w:pPr>
    <w:rPr>
      <w:rFonts w:ascii="Liberation Sans" w:hAnsi="Liberation Sans" w:eastAsia="Liberation Sans"/>
      <w:sz w:val="28"/>
    </w:rPr>
  </w:style>
  <w:style w:type="paragraph" w:styleId="CimTextoNormal">
    <w:name w:val="Cim_Texto_Normal"/>
    <w:basedOn w:val="Normal"/>
    <w:qFormat/>
    <w:pPr>
      <w:spacing w:lineRule="exact" w:line="360" w:before="120" w:after="240"/>
      <w:ind w:firstLine="709"/>
      <w:contextualSpacing/>
      <w:jc w:val="both"/>
    </w:pPr>
    <w:rPr/>
  </w:style>
  <w:style w:type="paragraph" w:styleId="Contedodetabela">
    <w:name w:val="Conteúdo de tabela"/>
    <w:basedOn w:val="Normal"/>
    <w:qFormat/>
    <w:pPr/>
    <w:rPr/>
  </w:style>
  <w:style w:type="paragraph" w:styleId="Notaderodap">
    <w:name w:val="Footnote Text"/>
    <w:basedOn w:val="Normal"/>
    <w:pPr/>
    <w:rPr/>
  </w:style>
  <w:style w:type="paragraph" w:styleId="Normal1">
    <w:name w:val="Normal1"/>
    <w:qFormat/>
    <w:pPr>
      <w:widowControl w:val="false"/>
      <w:suppressAutoHyphens w:val="true"/>
      <w:bidi w:val="0"/>
      <w:spacing w:before="0" w:after="0"/>
      <w:jc w:val="left"/>
    </w:pPr>
    <w:rPr>
      <w:rFonts w:ascii="Liberation Serif;Times New Roma" w:hAnsi="Liberation Serif;Times New Roma" w:eastAsia="SimSun" w:cs="Mangal"/>
      <w:color w:val="00000A"/>
      <w:kern w:val="2"/>
      <w:sz w:val="22"/>
      <w:szCs w:val="22"/>
      <w:lang w:val="pt-BR" w:eastAsia="en-US" w:bidi="ar-SA"/>
    </w:rPr>
  </w:style>
  <w:style w:type="numbering" w:styleId="NoList" w:default="1">
    <w:name w:val="No List"/>
    <w:uiPriority w:val="99"/>
    <w:semiHidden/>
    <w:unhideWhenUsed/>
    <w:qFormat/>
  </w:style>
  <w:style w:type="numbering" w:styleId="Semlista1" w:customStyle="1">
    <w:name w:val="Sem lista1"/>
    <w:uiPriority w:val="99"/>
    <w:semiHidden/>
    <w:unhideWhenUsed/>
    <w:qFormat/>
    <w:rsid w:val="00757293"/>
  </w:style>
  <w:style w:type="numbering" w:styleId="Edital" w:customStyle="1">
    <w:name w:val="Edital"/>
    <w:uiPriority w:val="99"/>
    <w:qFormat/>
    <w:rsid w:val="004a0025"/>
  </w:style>
  <w:style w:type="numbering" w:styleId="WW8Num2">
    <w:name w:val="WW8Num2"/>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757293"/>
    <w:pPr>
      <w:spacing w:after="0" w:line="240" w:lineRule="auto"/>
    </w:pPr>
    <w:rPr>
      <w:lang w:eastAsia="pt-B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652630"/>
    <w:pPr>
      <w:spacing w:after="0" w:line="240" w:lineRule="auto"/>
    </w:pPr>
    <w:rPr>
      <w:lang w:val="en-US"/>
    </w:rPr>
    <w:tblPr>
      <w:tblCellMar>
        <w:top w:w="0" w:type="dxa"/>
        <w:left w:w="0" w:type="dxa"/>
        <w:bottom w:w="0" w:type="dxa"/>
        <w:right w:w="0" w:type="dxa"/>
      </w:tblCellMar>
    </w:tblPr>
  </w:style>
  <w:style w:type="table" w:customStyle="1" w:styleId="Tabelacomgrade3">
    <w:name w:val="Tabela com grade3"/>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elacomgrade4">
    <w:name w:val="Tabela com grade4"/>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SombreamentoClaro-nfase5">
    <w:name w:val="Light Shading Accent 5"/>
    <w:basedOn w:val="Tabelanormal"/>
    <w:uiPriority w:val="60"/>
    <w:rsid w:val="004a0025"/>
    <w:pPr>
      <w:spacing w:after="0" w:line="240" w:lineRule="auto"/>
    </w:pPr>
    <w:rPr>
      <w:rFonts w:asciiTheme="minorHAnsi" w:hAnsiTheme="minorHAnsi" w:cstheme="minorBidi"/>
      <w:color w:val="2E74B5" w:themeColor="accent5" w:themeShade="bf"/>
    </w:rPr>
    <w:tblPr>
      <w:tblStyleRowBandSize w:val="1"/>
      <w:tblStyleColBandSize w:val="1"/>
      <w:tblBorders>
        <w:top w:val="single" w:color="5B9BD5" w:themeColor="accent5" w:sz="8" w:space="0"/>
        <w:bottom w:val="single" w:color="5B9BD5" w:themeColor="accent5" w:sz="8" w:space="0"/>
      </w:tblBorders>
    </w:tblPr>
    <w:tblStylePr w:type="fir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customStyle="1" w:styleId="TabeladeGrade5Escura-nfase31">
    <w:name w:val="Tabela de Grade 5 Escura - Ênfase 31"/>
    <w:basedOn w:val="Tabelanormal"/>
    <w:uiPriority w:val="50"/>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Simples31">
    <w:name w:val="Tabela Simples 31"/>
    <w:basedOn w:val="Tabelanormal"/>
    <w:uiPriority w:val="43"/>
    <w:rsid w:val="004a0025"/>
    <w:pPr>
      <w:spacing w:after="0" w:line="240" w:lineRule="auto"/>
    </w:pPr>
    <w:rPr>
      <w:rFonts w:asciiTheme="minorHAnsi" w:hAnsiTheme="minorHAnsi" w:eastAsiaTheme="minorEastAsia" w:cstheme="minorBidi"/>
      <w:sz w:val="21"/>
      <w:szCs w:val="21"/>
    </w:rPr>
    <w:tblPr>
      <w:tblStyleRowBandSize w:val="1"/>
      <w:tblStyleColBandSize w:val="1"/>
    </w:tblPr>
    <w:tblStylePr w:type="firstRow">
      <w:rPr>
        <w:b/>
        <w:bCs/>
        <w:caps/>
      </w:rPr>
      <w:tblPr/>
      <w:tcPr>
        <w:tcBorders>
          <w:bottom w:val="single" w:color="7F7F7F" w:themeColor="text1"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Fepese">
    <w:name w:val="Fepese"/>
    <w:basedOn w:val="Tabelanormal"/>
    <w:uiPriority w:val="44"/>
    <w:rsid w:val="004a0025"/>
    <w:pPr>
      <w:spacing w:after="0" w:line="240" w:lineRule="auto"/>
    </w:pPr>
    <w:rPr>
      <w:rFonts w:eastAsiaTheme="minorEastAsia" w:cstheme="minorBidi"/>
      <w:sz w:val="20"/>
      <w:szCs w:val="21"/>
    </w:rPr>
    <w:tblPr>
      <w:tblStyleRowBandSize w:val="1"/>
      <w:tblStyleColBandSize w:val="1"/>
      <w:tblBorders>
        <w:top w:val="single" w:color="auto" w:sz="8" w:space="0"/>
        <w:bottom w:val="single" w:color="auto" w:sz="8" w:space="0"/>
        <w:insideH w:val="single" w:color="auto" w:sz="8" w:space="0"/>
      </w:tblBorders>
    </w:tblPr>
    <w:tblStylePr w:type="firstRow">
      <w:pPr>
        <w:jc w:val="left"/>
      </w:pPr>
      <w:rPr>
        <w:b/>
        <w:bCs/>
      </w:rPr>
      <w:tblPr/>
      <w:tcPr>
        <w:tcBorders>
          <w:top w:val="single" w:color="auto" w:sz="8" w:space="0"/>
          <w:bottom w:val="nil"/>
        </w:tcBorders>
        <w:shd w:val="clear" w:color="auto" w:fill="D9D9D9" w:themeFill="background1" w:themeFillShade="d9"/>
      </w:tcPr>
    </w:tblStylePr>
    <w:tblStylePr w:type="lastRow">
      <w:rPr>
        <w:b/>
        <w:bCs/>
      </w:rPr>
      <w:tblPr/>
      <w:tcPr>
        <w:shd w:val="clear" w:color="auto" w:fill="D9D9D9" w:themeFill="background1" w:themeFillShade="d9"/>
      </w:tcPr>
    </w:tblStylePr>
    <w:tblStylePr w:type="firstCol">
      <w:rPr>
        <w:b/>
        <w:bCs/>
      </w:rPr>
      <w:tblPr/>
    </w:tblStylePr>
    <w:tblStylePr w:type="lastCol">
      <w:rPr>
        <w:b/>
        <w:bCs/>
      </w:rPr>
      <w:tblPr/>
    </w:tblStylePr>
    <w:tblStylePr w:type="band1Horz">
      <w:tblPr/>
      <w:tcPr>
        <w:shd w:val="clear" w:color="auto" w:fill="F2F2F2" w:themeFill="background1" w:themeFillShade="f2"/>
      </w:tcPr>
    </w:tblStylePr>
  </w:style>
  <w:style w:type="table" w:customStyle="1" w:styleId="TabelaSimples11">
    <w:name w:val="Tabela Simples 11"/>
    <w:basedOn w:val="Tabelanormal"/>
    <w:uiPriority w:val="41"/>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ombreamentoClaro">
    <w:name w:val="Light Shading"/>
    <w:basedOn w:val="Tabelanormal"/>
    <w:uiPriority w:val="60"/>
    <w:rsid w:val="004a0025"/>
    <w:pPr>
      <w:spacing w:after="0" w:line="240" w:lineRule="auto"/>
    </w:pPr>
    <w:rPr>
      <w:rFonts w:asciiTheme="minorHAnsi" w:hAnsiTheme="minorHAnsi" w:eastAsiaTheme="minorEastAsia" w:cstheme="minorBidi"/>
      <w:color w:val="000000" w:themeColor="text1" w:themeShade="bf"/>
      <w:sz w:val="21"/>
      <w:szCs w:val="2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dia1">
    <w:name w:val="Medium List 1"/>
    <w:basedOn w:val="Tabelanormal"/>
    <w:uiPriority w:val="65"/>
    <w:rsid w:val="004a0025"/>
    <w:pPr>
      <w:spacing w:after="0" w:line="240" w:lineRule="auto"/>
    </w:pPr>
    <w:rPr>
      <w:rFonts w:asciiTheme="minorHAnsi" w:hAnsiTheme="minorHAnsi" w:eastAsiaTheme="minorEastAsia" w:cstheme="minorBidi"/>
      <w:color w:val="000000" w:themeColor="text1"/>
      <w:sz w:val="21"/>
      <w:szCs w:val="2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deLista2-nfase41">
    <w:name w:val="Tabela de Lista 2 - Ênfase 41"/>
    <w:basedOn w:val="Tabelanormal"/>
    <w:uiPriority w:val="47"/>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FFD966" w:themeColor="accent4" w:themeTint="99" w:sz="4" w:space="0"/>
        <w:bottom w:val="single" w:color="FFD966" w:themeColor="accent4" w:themeTint="99" w:sz="4" w:space="0"/>
        <w:insideH w:val="single" w:color="FFD966" w:themeColor="accent4"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41">
    <w:name w:val="Tabela de Lista 41"/>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2-nfase11">
    <w:name w:val="Tabela de Grade 2 - Ênfase 1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blPr/>
      <w:tcPr>
        <w:tcBorders>
          <w:top w:val="nil"/>
          <w:bottom w:val="single" w:color="8EAADB" w:themeColor="accent1" w:sz="12" w:space="0"/>
          <w:insideH w:val="nil"/>
          <w:insideV w:val="nil"/>
        </w:tcBorders>
        <w:shd w:val="clear" w:color="auto" w:fill="FFFFFF" w:themeFill="background1"/>
      </w:tcPr>
    </w:tblStylePr>
    <w:tblStylePr w:type="lastRow">
      <w:rPr>
        <w:b/>
        <w:bCs/>
      </w:rPr>
      <w:tblPr/>
      <w:tcPr>
        <w:tcBorders>
          <w:top w:val="double" w:color="8EAADB" w:themeColor="accent1"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eladeGrade41">
    <w:name w:val="Tabela de Grade 41"/>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
    <w:name w:val="Tabela com grade1"/>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elacomgrade2">
    <w:name w:val="Tabela com grade2"/>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SombreamentoClaro1">
    <w:name w:val="Sombreamento Claro1"/>
    <w:basedOn w:val="Tabelanormal"/>
    <w:uiPriority w:val="60"/>
    <w:rsid w:val="004a0025"/>
    <w:pPr>
      <w:spacing w:after="0" w:line="240" w:lineRule="auto"/>
    </w:pPr>
    <w:rPr>
      <w:rFonts w:asciiTheme="minorHAnsi" w:hAnsiTheme="minorHAnsi" w:eastAsiaTheme="minorEastAsia" w:cstheme="minorBidi"/>
      <w:color w:val="000000" w:themeColor="text1" w:themeShade="bf"/>
      <w:sz w:val="21"/>
      <w:szCs w:val="2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aMdia11">
    <w:name w:val="Lista Média 11"/>
    <w:basedOn w:val="Tabelanormal"/>
    <w:uiPriority w:val="65"/>
    <w:rsid w:val="004a0025"/>
    <w:pPr>
      <w:spacing w:after="0" w:line="240" w:lineRule="auto"/>
    </w:pPr>
    <w:rPr>
      <w:rFonts w:asciiTheme="minorHAnsi" w:hAnsiTheme="minorHAnsi" w:eastAsiaTheme="minorEastAsia" w:cstheme="minorBidi"/>
      <w:color w:val="000000" w:themeColor="text1"/>
      <w:sz w:val="21"/>
      <w:szCs w:val="2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deGrade42">
    <w:name w:val="Tabela de Grade 42"/>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ombreamentoClaro-nfase1">
    <w:name w:val="Light Shading Accent 1"/>
    <w:basedOn w:val="Tabelanormal"/>
    <w:uiPriority w:val="60"/>
    <w:rsid w:val="004a0025"/>
    <w:pPr>
      <w:spacing w:after="0" w:line="240" w:lineRule="auto"/>
    </w:pPr>
    <w:rPr>
      <w:rFonts w:asciiTheme="minorHAnsi" w:hAnsiTheme="minorHAnsi" w:cstheme="minorBidi"/>
      <w:color w:val="2F5496" w:themeColor="accent1" w:themeShade="bf"/>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TabeladeGrade6Colorida1">
    <w:name w:val="Tabela de Grade 6 Colorida1"/>
    <w:basedOn w:val="Tabelanormal"/>
    <w:uiPriority w:val="51"/>
    <w:rsid w:val="004a0025"/>
    <w:pPr>
      <w:spacing w:after="0" w:line="240" w:lineRule="auto"/>
    </w:pPr>
    <w:rPr>
      <w:rFonts w:asciiTheme="minorHAnsi" w:hAnsiTheme="minorHAnsi" w:cstheme="minorBidi"/>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000000" w:themeColor="text1" w:sz="12" w:space="0"/>
        </w:tcBorders>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21">
    <w:name w:val="Tabela de Lista 2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aMdia1-nfase6">
    <w:name w:val="Medium List 1 Accent 6"/>
    <w:basedOn w:val="Tabelanormal"/>
    <w:uiPriority w:val="65"/>
    <w:rsid w:val="004a0025"/>
    <w:pPr>
      <w:spacing w:after="0" w:line="240" w:lineRule="auto"/>
    </w:pPr>
    <w:rPr>
      <w:rFonts w:asciiTheme="minorHAnsi" w:hAnsiTheme="minorHAnsi" w:cstheme="minorBidi"/>
      <w:color w:val="000000" w:themeColor="text1"/>
    </w:rPr>
    <w:tblPr>
      <w:tblStyleRowBandSize w:val="1"/>
      <w:tblStyleColBandSize w:val="1"/>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rPr>
      <w:tblPr/>
      <w:tcPr>
        <w:tcBorders>
          <w:top w:val="single" w:color="70AD47" w:themeColor="accent6" w:sz="8" w:space="0"/>
          <w:bottom w:val="single" w:color="70AD47" w:themeColor="accent6" w:sz="8" w:space="0"/>
        </w:tcBorders>
      </w:tcPr>
    </w:tblStylePr>
    <w:tblStylePr w:type="firstCol">
      <w:rPr>
        <w:b/>
        <w:bCs/>
      </w:rPr>
      <w:tbl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TabeladeLista7Colorida-nfase51">
    <w:name w:val="Tabela de Lista 7 Colorida - Ênfase 51"/>
    <w:basedOn w:val="Tabelanormal"/>
    <w:uiPriority w:val="52"/>
    <w:rsid w:val="004a0025"/>
    <w:pPr>
      <w:spacing w:after="0" w:line="240" w:lineRule="auto"/>
    </w:pPr>
    <w:rPr>
      <w:rFonts w:asciiTheme="minorHAnsi" w:hAnsiTheme="minorHAnsi" w:cstheme="minorBidi"/>
      <w:color w:val="2E74B5" w:themeColor="accent5"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5B9BD5" w:themeColor="accent5" w:sz="4" w:space="0"/>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2-nfase51">
    <w:name w:val="Tabela de Lista 2 - Ênfase 5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deLista22">
    <w:name w:val="Tabela de Lista 22"/>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21">
    <w:name w:val="Tabela com grade21"/>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ListaClara-nfase1">
    <w:name w:val="Light List Accent 1"/>
    <w:basedOn w:val="Tabelanormal"/>
    <w:uiPriority w:val="61"/>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Pr/>
    </w:tblStylePr>
    <w:tblStylePr w:type="lastCol">
      <w:rPr>
        <w:b/>
        <w:bCs/>
      </w:rPr>
      <w:tbl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customStyle="1" w:styleId="TableGrid">
    <w:name w:val="TableGrid"/>
    <w:rsid w:val="004a0025"/>
    <w:pPr>
      <w:spacing w:after="0" w:line="240" w:lineRule="auto"/>
      <w:jc w:val="both"/>
    </w:pPr>
    <w:rPr>
      <w:rFonts w:asciiTheme="minorHAnsi" w:hAnsiTheme="minorHAnsi" w:eastAsiaTheme="minorEastAsia" w:cstheme="minorBidi"/>
      <w:lang w:eastAsia="pt-BR"/>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mailto:compras@lindoiadosul.sc.gov.br" TargetMode="External"/><Relationship Id="rId5" Type="http://schemas.openxmlformats.org/officeDocument/2006/relationships/hyperlink" Target="mailto:compras2@lindoiadosul.sc.gov.br" TargetMode="External"/><Relationship Id="rId6" Type="http://schemas.openxmlformats.org/officeDocument/2006/relationships/hyperlink" Target="https://lindoiadosul.sc.gov.br/licitacoes/" TargetMode="External"/><Relationship Id="rId7" Type="http://schemas.openxmlformats.org/officeDocument/2006/relationships/hyperlink" Target="http://www.portaldecompraspublicas.com.br/" TargetMode="External"/><Relationship Id="rId8" Type="http://schemas.openxmlformats.org/officeDocument/2006/relationships/hyperlink" Target="../../../2022/Edital/PMLDS/PL%2050-2022%20EDITAL%20PREG&#195;O%20ELETR&#212;NICO%20motoniveladora/www.portaldecompraspublicas.com.br" TargetMode="External"/><Relationship Id="rId9" Type="http://schemas.openxmlformats.org/officeDocument/2006/relationships/hyperlink" Target="https://contas.tcu.gov.br/ords/f?p=704144:3:102385750945059::NO:3,4,6" TargetMode="External"/><Relationship Id="rId10" Type="http://schemas.openxmlformats.org/officeDocument/2006/relationships/hyperlink" Target="https://www.cnj.jus.br/improbidade_adm/consultar_requerido.php" TargetMode="External"/><Relationship Id="rId11" Type="http://schemas.openxmlformats.org/officeDocument/2006/relationships/hyperlink" Target="https://portaldatransparencia.gov.br/sancoes/consulta?ordenarPor=nomeSancionado&amp;direcao=asc" TargetMode="External"/><Relationship Id="rId12" Type="http://schemas.openxmlformats.org/officeDocument/2006/relationships/hyperlink" Target="mailto:licita@lindoiadosul.sc.gov.br"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footnotes" Target="footnotes.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footer3.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23E52-997C-4D76-A058-BF2C7FED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24155</TotalTime>
  <Application>LibreOffice/7.4.2.3$Windows_X86_64 LibreOffice_project/382eef1f22670f7f4118c8c2dd222ec7ad009daf</Application>
  <AppVersion>15.0000</AppVersion>
  <Pages>66</Pages>
  <Words>19337</Words>
  <Characters>109365</Characters>
  <CharactersWithSpaces>128227</CharactersWithSpaces>
  <Paragraphs>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2024-05-20T10:16:00Z</dcterms:created>
  <dc:creator>EDULDS</dc:creator>
  <dc:description/>
  <dc:language>pt-BR</dc:language>
  <cp:lastModifiedBy/>
  <cp:lastPrinted>2024-05-28T09:49:07Z</cp:lastPrinted>
  <dcterms:modified xsi:type="dcterms:W3CDTF">2024-10-16T13:50:02Z</dcterms:modified>
  <cp:revision>255</cp:revision>
  <dc:subject/>
  <dc:title/>
</cp:coreProperties>
</file>

<file path=docProps/custom.xml><?xml version="1.0" encoding="utf-8"?>
<Properties xmlns="http://schemas.openxmlformats.org/officeDocument/2006/custom-properties" xmlns:vt="http://schemas.openxmlformats.org/officeDocument/2006/docPropsVTypes"/>
</file>