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suppressAutoHyphens w:val="true"/>
        <w:bidi w:val="0"/>
        <w:spacing w:lineRule="auto" w:line="300" w:before="0" w:after="0"/>
        <w:ind w:left="0" w:right="0" w:hanging="0"/>
        <w:jc w:val="center"/>
        <w:rPr>
          <w:rFonts w:ascii="Arial" w:hAnsi="Arial"/>
          <w:b/>
          <w:b/>
          <w:bCs/>
          <w:i w:val="false"/>
          <w:i w:val="false"/>
          <w:iCs w:val="false"/>
          <w:sz w:val="21"/>
          <w:szCs w:val="21"/>
        </w:rPr>
      </w:pPr>
      <w:r>
        <w:rPr>
          <w:rFonts w:ascii="Arial" w:hAnsi="Arial"/>
          <w:b/>
          <w:bCs/>
          <w:i w:val="false"/>
          <w:iCs w:val="false"/>
          <w:sz w:val="21"/>
          <w:szCs w:val="21"/>
        </w:rPr>
      </w:r>
    </w:p>
    <w:p>
      <w:pPr>
        <w:pStyle w:val="Normal"/>
        <w:widowControl/>
        <w:suppressAutoHyphens w:val="true"/>
        <w:bidi w:val="0"/>
        <w:spacing w:lineRule="auto" w:line="300" w:before="0" w:after="0"/>
        <w:ind w:left="0" w:right="0" w:hanging="0"/>
        <w:jc w:val="center"/>
        <w:rPr>
          <w:rFonts w:ascii="Arial" w:hAnsi="Arial"/>
          <w:b/>
          <w:b/>
          <w:bCs/>
          <w:i w:val="false"/>
          <w:i w:val="false"/>
          <w:iCs w:val="false"/>
          <w:sz w:val="21"/>
          <w:szCs w:val="21"/>
        </w:rPr>
      </w:pPr>
      <w:r>
        <w:rPr>
          <w:rFonts w:ascii="Arial" w:hAnsi="Arial"/>
          <w:b/>
          <w:bCs/>
          <w:i w:val="false"/>
          <w:iCs w:val="false"/>
          <w:sz w:val="21"/>
          <w:szCs w:val="21"/>
        </w:rPr>
      </w:r>
    </w:p>
    <w:p>
      <w:pPr>
        <w:pStyle w:val="Normal"/>
        <w:widowControl/>
        <w:suppressAutoHyphens w:val="true"/>
        <w:bidi w:val="0"/>
        <w:spacing w:lineRule="auto" w:line="300" w:before="0" w:after="0"/>
        <w:ind w:left="0" w:right="0" w:hanging="0"/>
        <w:jc w:val="center"/>
        <w:rPr>
          <w:rFonts w:ascii="Arial" w:hAnsi="Arial"/>
          <w:b/>
          <w:b/>
          <w:bCs/>
          <w:i w:val="false"/>
          <w:i w:val="false"/>
          <w:iCs w:val="false"/>
          <w:sz w:val="21"/>
          <w:szCs w:val="21"/>
        </w:rPr>
      </w:pPr>
      <w:r>
        <w:rPr>
          <w:rFonts w:ascii="Arial" w:hAnsi="Arial"/>
          <w:b/>
          <w:bCs/>
          <w:i w:val="false"/>
          <w:iCs w:val="false"/>
          <w:sz w:val="21"/>
          <w:szCs w:val="21"/>
        </w:rPr>
      </w:r>
    </w:p>
    <w:p>
      <w:pPr>
        <w:pStyle w:val="Normal"/>
        <w:widowControl/>
        <w:suppressAutoHyphens w:val="true"/>
        <w:bidi w:val="0"/>
        <w:spacing w:lineRule="auto" w:line="300" w:before="0" w:after="0"/>
        <w:ind w:left="0" w:right="0" w:hanging="0"/>
        <w:jc w:val="center"/>
        <w:rPr/>
      </w:pPr>
      <w:r>
        <w:rPr>
          <w:rFonts w:ascii="Arial" w:hAnsi="Arial"/>
          <w:b/>
          <w:bCs/>
          <w:i w:val="false"/>
          <w:iCs w:val="false"/>
          <w:sz w:val="21"/>
          <w:szCs w:val="21"/>
        </w:rPr>
        <w:t>RETIFICAÇÃO   EDITAL</w:t>
      </w:r>
    </w:p>
    <w:p>
      <w:pPr>
        <w:pStyle w:val="Normal"/>
        <w:widowControl/>
        <w:suppressAutoHyphens w:val="true"/>
        <w:bidi w:val="0"/>
        <w:spacing w:lineRule="auto" w:line="300" w:before="0" w:after="0"/>
        <w:ind w:left="0" w:right="0" w:hanging="0"/>
        <w:jc w:val="center"/>
        <w:rPr>
          <w:rFonts w:ascii="Arial" w:hAnsi="Arial"/>
          <w:sz w:val="21"/>
          <w:szCs w:val="21"/>
        </w:rPr>
      </w:pPr>
      <w:r>
        <w:rPr>
          <w:rFonts w:ascii="Arial" w:hAnsi="Arial"/>
          <w:sz w:val="21"/>
          <w:szCs w:val="21"/>
        </w:rPr>
      </w:r>
    </w:p>
    <w:p>
      <w:pPr>
        <w:pStyle w:val="Normal"/>
        <w:spacing w:lineRule="auto" w:line="300" w:before="0" w:after="0"/>
        <w:ind w:left="0" w:right="0" w:hanging="0"/>
        <w:jc w:val="center"/>
        <w:rPr>
          <w:rFonts w:ascii="Arial" w:hAnsi="Arial" w:cs="Arial"/>
          <w:b/>
          <w:b/>
          <w:bCs/>
          <w:i w:val="false"/>
          <w:i w:val="false"/>
          <w:iCs w:val="false"/>
          <w:color w:val="000000"/>
          <w:sz w:val="21"/>
          <w:szCs w:val="21"/>
        </w:rPr>
      </w:pPr>
      <w:r>
        <w:rPr>
          <w:rFonts w:cs="Arial" w:ascii="Arial" w:hAnsi="Arial"/>
          <w:b/>
          <w:bCs/>
          <w:i w:val="false"/>
          <w:iCs w:val="false"/>
          <w:color w:val="000000"/>
          <w:sz w:val="21"/>
          <w:szCs w:val="21"/>
        </w:rPr>
      </w:r>
    </w:p>
    <w:p>
      <w:pPr>
        <w:pStyle w:val="Normal"/>
        <w:widowControl/>
        <w:suppressAutoHyphens w:val="true"/>
        <w:bidi w:val="0"/>
        <w:spacing w:lineRule="auto" w:line="300" w:before="0" w:after="0"/>
        <w:ind w:left="0" w:right="0" w:hanging="0"/>
        <w:jc w:val="center"/>
        <w:rPr>
          <w:rFonts w:ascii="Arial" w:hAnsi="Arial"/>
          <w:sz w:val="21"/>
          <w:szCs w:val="21"/>
        </w:rPr>
      </w:pPr>
      <w:r>
        <w:rPr>
          <w:rFonts w:ascii="Arial" w:hAnsi="Arial"/>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EDITAL DE PREGÃO</w:t>
      </w:r>
      <w:r>
        <w:rPr>
          <w:rFonts w:ascii="Arial" w:hAnsi="Arial"/>
          <w:b/>
          <w:bCs/>
          <w:i w:val="false"/>
          <w:iCs w:val="false"/>
          <w:strike w:val="false"/>
          <w:dstrike w:val="false"/>
          <w:color w:val="000000"/>
          <w:sz w:val="21"/>
          <w:szCs w:val="21"/>
          <w:u w:val="none"/>
        </w:rPr>
        <w:t xml:space="preserve"> ELETRÔNICO Nº 19/2024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cs="Arial" w:ascii="Arial" w:hAnsi="Arial"/>
          <w:sz w:val="21"/>
          <w:szCs w:val="21"/>
        </w:rPr>
        <w:t xml:space="preserve">O Município de Lindóia do Sul, pessoa jurídica de direito público interno, inscrito no CNPJ 78.510.112/0001-80, com sede na Rua Tamandaré, nº 98, Centro, Lindóia do Sul, SC, CEP 89.735-000, através de seu Prefeito Municipal Senhor </w:t>
      </w:r>
      <w:r>
        <w:rPr>
          <w:rFonts w:cs="Arial" w:ascii="Arial" w:hAnsi="Arial"/>
          <w:b/>
          <w:sz w:val="21"/>
          <w:szCs w:val="21"/>
        </w:rPr>
        <w:t>NEUDI ANGELO BERTOL</w:t>
      </w:r>
      <w:r>
        <w:rPr>
          <w:rFonts w:cs="Arial" w:ascii="Arial" w:hAnsi="Arial"/>
          <w:color w:val="000000"/>
          <w:sz w:val="21"/>
          <w:szCs w:val="21"/>
        </w:rPr>
        <w:t xml:space="preserve">, no uso de suas atribuições, torna público, para conhecimento dos interessados, que realizará licitação na modalidade </w:t>
      </w:r>
      <w:r>
        <w:rPr>
          <w:rFonts w:cs="Arial" w:ascii="Arial" w:hAnsi="Arial"/>
          <w:b/>
          <w:bCs/>
          <w:color w:val="000000"/>
          <w:sz w:val="21"/>
          <w:szCs w:val="21"/>
        </w:rPr>
        <w:t>PREGÃO</w:t>
      </w:r>
      <w:r>
        <w:rPr>
          <w:rFonts w:cs="Arial" w:ascii="Arial" w:hAnsi="Arial"/>
          <w:b/>
          <w:color w:val="000000"/>
          <w:sz w:val="21"/>
          <w:szCs w:val="21"/>
        </w:rPr>
        <w:t xml:space="preserve">, </w:t>
      </w:r>
      <w:r>
        <w:rPr>
          <w:rFonts w:cs="Arial" w:ascii="Arial" w:hAnsi="Arial"/>
          <w:color w:val="000000"/>
          <w:sz w:val="21"/>
          <w:szCs w:val="21"/>
        </w:rPr>
        <w:t>sob a forma</w:t>
      </w:r>
      <w:r>
        <w:rPr>
          <w:rFonts w:cs="Arial" w:ascii="Arial" w:hAnsi="Arial"/>
          <w:b/>
          <w:color w:val="000000"/>
          <w:sz w:val="21"/>
          <w:szCs w:val="21"/>
        </w:rPr>
        <w:t xml:space="preserve"> ELETRÔNICA</w:t>
      </w:r>
      <w:r>
        <w:rPr>
          <w:rFonts w:cs="Arial" w:ascii="Arial" w:hAnsi="Arial"/>
          <w:color w:val="000000"/>
          <w:sz w:val="21"/>
          <w:szCs w:val="21"/>
        </w:rPr>
        <w:t xml:space="preserve">, auxiliado pelo </w:t>
      </w:r>
      <w:r>
        <w:rPr>
          <w:rFonts w:cs="Arial" w:ascii="Arial" w:hAnsi="Arial"/>
          <w:b/>
          <w:bCs/>
          <w:color w:val="000000"/>
          <w:sz w:val="21"/>
          <w:szCs w:val="21"/>
        </w:rPr>
        <w:t>SISTEMA DE REGISTRO DE PREÇOS</w:t>
      </w:r>
      <w:r>
        <w:rPr>
          <w:rFonts w:cs="Arial" w:ascii="Arial" w:hAnsi="Arial"/>
          <w:color w:val="000000"/>
          <w:sz w:val="21"/>
          <w:szCs w:val="21"/>
        </w:rPr>
        <w:t xml:space="preserve"> para eventual contratação, com fornecimento parcelado do objeto abaixo indicado, através do site </w:t>
      </w:r>
      <w:hyperlink r:id="rId2">
        <w:r>
          <w:rPr>
            <w:rStyle w:val="LinkdaInternet"/>
            <w:rFonts w:cs="Arial" w:ascii="Arial" w:hAnsi="Arial"/>
            <w:sz w:val="21"/>
            <w:szCs w:val="21"/>
          </w:rPr>
          <w:t>www.portaldecompraspublicas.com.br</w:t>
        </w:r>
      </w:hyperlink>
      <w:r>
        <w:rPr>
          <w:rFonts w:cs="Arial" w:ascii="Arial" w:hAnsi="Arial"/>
          <w:color w:val="000000"/>
          <w:sz w:val="21"/>
          <w:szCs w:val="21"/>
        </w:rPr>
        <w:t>, em conformidade com as condições do Edital, que rege este pregão, nas disposições da Lei Federal nº 14.133, de 01 de abril de 2021 e Decreto Municipal nº 4.072 de 11 de janeiro de 2024.</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 xml:space="preserve">SISTEMA: </w:t>
      </w:r>
      <w:r>
        <w:rPr>
          <w:rFonts w:cs="Arial" w:ascii="Arial" w:hAnsi="Arial"/>
          <w:b/>
          <w:bCs/>
          <w:strike w:val="false"/>
          <w:dstrike w:val="false"/>
          <w:color w:val="000000"/>
          <w:sz w:val="21"/>
          <w:szCs w:val="21"/>
          <w:u w:val="none"/>
        </w:rPr>
        <w:t>REGISTRO DE PREÇOS</w:t>
      </w:r>
      <w:r>
        <w:rPr>
          <w:rFonts w:cs="Arial" w:ascii="Arial" w:hAnsi="Arial"/>
          <w:b w:val="false"/>
          <w:bCs/>
          <w:strike w:val="false"/>
          <w:dstrike w:val="false"/>
          <w:color w:val="000000"/>
          <w:sz w:val="21"/>
          <w:szCs w:val="21"/>
          <w:u w:val="none"/>
        </w:rPr>
        <w:t xml:space="preserve"> </w:t>
      </w:r>
    </w:p>
    <w:p>
      <w:pPr>
        <w:pStyle w:val="Default"/>
        <w:spacing w:lineRule="auto" w:line="300" w:before="0" w:after="0"/>
        <w:ind w:left="0" w:right="0" w:hanging="0"/>
        <w:rPr/>
      </w:pPr>
      <w:r>
        <w:rPr>
          <w:rFonts w:ascii="Arial" w:hAnsi="Arial"/>
          <w:b/>
          <w:bCs/>
          <w:strike w:val="false"/>
          <w:dstrike w:val="false"/>
          <w:color w:val="000000"/>
          <w:sz w:val="21"/>
          <w:szCs w:val="21"/>
          <w:u w:val="none"/>
        </w:rPr>
        <w:t xml:space="preserve">CRITÉRIO DE JULGAMENTO: </w:t>
      </w:r>
      <w:r>
        <w:rPr>
          <w:rFonts w:ascii="Arial" w:hAnsi="Arial"/>
          <w:b w:val="false"/>
          <w:bCs/>
          <w:strike w:val="false"/>
          <w:dstrike w:val="false"/>
          <w:color w:val="000000"/>
          <w:sz w:val="21"/>
          <w:szCs w:val="21"/>
          <w:u w:val="none"/>
        </w:rPr>
        <w:t>Menor preço por Item</w:t>
      </w:r>
    </w:p>
    <w:p>
      <w:pPr>
        <w:pStyle w:val="Normal"/>
        <w:widowControl/>
        <w:suppressAutoHyphens w:val="true"/>
        <w:bidi w:val="0"/>
        <w:spacing w:lineRule="auto" w:line="300" w:before="0" w:after="0"/>
        <w:ind w:left="0" w:right="0" w:hanging="0"/>
        <w:jc w:val="both"/>
        <w:rPr/>
      </w:pPr>
      <w:r>
        <w:rPr>
          <w:rFonts w:ascii="Arial" w:hAnsi="Arial"/>
          <w:b/>
          <w:bCs/>
          <w:sz w:val="21"/>
          <w:szCs w:val="21"/>
        </w:rPr>
        <w:t>RECEBIMENTO DAS PROPOSTAS</w:t>
      </w:r>
      <w:r>
        <w:rPr>
          <w:rFonts w:ascii="Arial" w:hAnsi="Arial"/>
          <w:sz w:val="21"/>
          <w:szCs w:val="21"/>
        </w:rPr>
        <w:t>: até as</w:t>
      </w:r>
      <w:r>
        <w:rPr>
          <w:b/>
          <w:bCs/>
          <w:color w:val="C9211E"/>
        </w:rPr>
        <w:t xml:space="preserve"> </w:t>
      </w:r>
      <w:r>
        <w:rPr>
          <w:b/>
          <w:bCs/>
          <w:color w:val="000000"/>
          <w:shd w:fill="FFFF00" w:val="clear"/>
        </w:rPr>
        <w:t>08:30 horas do dia 29 de novembro de 2024.</w:t>
      </w:r>
    </w:p>
    <w:p>
      <w:pPr>
        <w:pStyle w:val="Normal"/>
        <w:widowControl/>
        <w:suppressAutoHyphens w:val="true"/>
        <w:bidi w:val="0"/>
        <w:spacing w:lineRule="auto" w:line="300" w:before="0" w:after="0"/>
        <w:ind w:left="0" w:right="0" w:hanging="0"/>
        <w:jc w:val="both"/>
        <w:rPr/>
      </w:pPr>
      <w:r>
        <w:rPr>
          <w:rFonts w:ascii="Arial" w:hAnsi="Arial"/>
          <w:b/>
          <w:bCs/>
          <w:sz w:val="21"/>
          <w:szCs w:val="21"/>
        </w:rPr>
        <w:t>DOCUMENTOS DE HABILITAÇÃO</w:t>
      </w:r>
      <w:r>
        <w:rPr>
          <w:rFonts w:ascii="Arial" w:hAnsi="Arial"/>
          <w:sz w:val="21"/>
          <w:szCs w:val="21"/>
        </w:rPr>
        <w:t>: Na mesma data e horário do recebimento das propostas, encerrada a fase de lances, o licitante classificado provisoriamente em primeiro lugar poderá complementar ou substituir a documentação apresentada, dentro do prazo fixado pelo pregoeiro, não inferior a 02 (duas) horas, podendo ser prorrogado por igual período.</w:t>
      </w:r>
    </w:p>
    <w:p>
      <w:pPr>
        <w:pStyle w:val="Normal"/>
        <w:widowControl/>
        <w:suppressAutoHyphens w:val="true"/>
        <w:bidi w:val="0"/>
        <w:spacing w:lineRule="auto" w:line="300" w:before="0" w:after="0"/>
        <w:ind w:left="0" w:right="0" w:hanging="0"/>
        <w:jc w:val="both"/>
        <w:rPr/>
      </w:pPr>
      <w:r>
        <w:rPr>
          <w:rFonts w:ascii="Arial" w:hAnsi="Arial"/>
          <w:b/>
          <w:bCs/>
          <w:sz w:val="21"/>
          <w:szCs w:val="21"/>
        </w:rPr>
        <w:t>INÍCIO DA SESSÃO</w:t>
      </w:r>
      <w:r>
        <w:rPr>
          <w:rFonts w:ascii="Arial" w:hAnsi="Arial"/>
          <w:sz w:val="21"/>
          <w:szCs w:val="21"/>
        </w:rPr>
        <w:t>: às</w:t>
      </w:r>
      <w:r>
        <w:rPr>
          <w:rFonts w:ascii="Arial" w:hAnsi="Arial"/>
          <w:b/>
          <w:bCs/>
          <w:sz w:val="21"/>
          <w:szCs w:val="21"/>
        </w:rPr>
        <w:t xml:space="preserve"> </w:t>
      </w:r>
      <w:r>
        <w:rPr>
          <w:rFonts w:ascii="Arial" w:hAnsi="Arial"/>
          <w:b/>
          <w:bCs/>
          <w:color w:val="000000"/>
          <w:sz w:val="21"/>
          <w:szCs w:val="21"/>
          <w:shd w:fill="FFFF00" w:val="clear"/>
        </w:rPr>
        <w:t>08:31 horas do dia 29  de novembro de 2024</w:t>
      </w:r>
      <w:r>
        <w:rPr>
          <w:rFonts w:ascii="Arial" w:hAnsi="Arial"/>
          <w:b/>
          <w:bCs/>
          <w:color w:val="000000"/>
          <w:sz w:val="21"/>
          <w:szCs w:val="21"/>
        </w:rPr>
        <w:t>.</w:t>
      </w:r>
    </w:p>
    <w:p>
      <w:pPr>
        <w:pStyle w:val="Normal"/>
        <w:widowControl/>
        <w:suppressAutoHyphens w:val="true"/>
        <w:bidi w:val="0"/>
        <w:spacing w:lineRule="auto" w:line="300" w:before="0" w:after="0"/>
        <w:ind w:left="0" w:right="0" w:hanging="0"/>
        <w:jc w:val="both"/>
        <w:rPr/>
      </w:pPr>
      <w:r>
        <w:rPr>
          <w:rFonts w:ascii="Arial" w:hAnsi="Arial"/>
          <w:b/>
          <w:bCs/>
          <w:sz w:val="21"/>
          <w:szCs w:val="21"/>
        </w:rPr>
        <w:t>REFERÊNCIA DE TEMPO</w:t>
      </w:r>
      <w:r>
        <w:rPr>
          <w:rFonts w:ascii="Arial" w:hAnsi="Arial"/>
          <w:sz w:val="21"/>
          <w:szCs w:val="21"/>
        </w:rPr>
        <w:t>: horário de Brasília (DF)</w:t>
      </w:r>
    </w:p>
    <w:p>
      <w:pPr>
        <w:pStyle w:val="Normal"/>
        <w:widowControl/>
        <w:suppressAutoHyphens w:val="true"/>
        <w:bidi w:val="0"/>
        <w:spacing w:lineRule="auto" w:line="300" w:before="0" w:after="0"/>
        <w:ind w:left="0" w:right="0" w:hanging="0"/>
        <w:jc w:val="both"/>
        <w:rPr/>
      </w:pPr>
      <w:r>
        <w:rPr>
          <w:rFonts w:ascii="Arial" w:hAnsi="Arial"/>
          <w:b/>
          <w:bCs/>
          <w:sz w:val="21"/>
          <w:szCs w:val="21"/>
        </w:rPr>
        <w:t>PLATAFORMA ELETRÔNICA</w:t>
      </w:r>
      <w:r>
        <w:rPr>
          <w:rFonts w:ascii="Arial" w:hAnsi="Arial"/>
          <w:sz w:val="21"/>
          <w:szCs w:val="21"/>
        </w:rPr>
        <w:t xml:space="preserve">: </w:t>
      </w:r>
      <w:hyperlink r:id="rId3">
        <w:r>
          <w:rPr>
            <w:rStyle w:val="LinkdaInternet"/>
            <w:rFonts w:ascii="Arial" w:hAnsi="Arial"/>
            <w:sz w:val="21"/>
            <w:szCs w:val="21"/>
          </w:rPr>
          <w:t>www.portaldecompraspublicas.com.br</w:t>
        </w:r>
      </w:hyperlink>
      <w:r>
        <w:rPr>
          <w:rFonts w:ascii="Arial" w:hAnsi="Arial"/>
          <w:sz w:val="21"/>
          <w:szCs w:val="21"/>
        </w:rPr>
        <w:t xml:space="preserve"> “Acesso Identificado”</w:t>
      </w:r>
    </w:p>
    <w:p>
      <w:pPr>
        <w:pStyle w:val="Normal"/>
        <w:widowControl/>
        <w:suppressAutoHyphens w:val="true"/>
        <w:bidi w:val="0"/>
        <w:spacing w:lineRule="auto" w:line="300" w:before="0" w:after="0"/>
        <w:ind w:left="0" w:right="0" w:hanging="0"/>
        <w:jc w:val="both"/>
        <w:rPr/>
      </w:pPr>
      <w:r>
        <w:rPr>
          <w:rFonts w:ascii="Arial" w:hAnsi="Arial"/>
          <w:b/>
          <w:bCs/>
          <w:sz w:val="21"/>
          <w:szCs w:val="21"/>
        </w:rPr>
        <w:t>INTERVALO MÍNIMO DE LANCES</w:t>
      </w:r>
      <w:r>
        <w:rPr>
          <w:rFonts w:ascii="Arial" w:hAnsi="Arial"/>
          <w:sz w:val="21"/>
          <w:szCs w:val="21"/>
        </w:rPr>
        <w:t>: R$ 0,01 (um centavo de real)</w:t>
      </w:r>
    </w:p>
    <w:p>
      <w:pPr>
        <w:pStyle w:val="Normal"/>
        <w:widowControl/>
        <w:suppressAutoHyphens w:val="true"/>
        <w:bidi w:val="0"/>
        <w:spacing w:lineRule="auto" w:line="300" w:before="0" w:after="0"/>
        <w:ind w:left="0" w:right="0" w:hanging="0"/>
        <w:jc w:val="both"/>
        <w:rPr/>
      </w:pPr>
      <w:r>
        <w:rPr>
          <w:rFonts w:ascii="Arial" w:hAnsi="Arial"/>
          <w:b/>
          <w:bCs/>
          <w:sz w:val="21"/>
          <w:szCs w:val="21"/>
        </w:rPr>
        <w:t>DATA LIMITE PARA IMPUGNAÇÃO E ESCLARECIMENTOS:</w:t>
      </w:r>
      <w:r>
        <w:rPr>
          <w:rFonts w:ascii="Arial" w:hAnsi="Arial"/>
          <w:b/>
          <w:bCs/>
          <w:color w:val="C9211E"/>
          <w:sz w:val="21"/>
          <w:szCs w:val="21"/>
          <w:shd w:fill="FFFF00" w:val="clear"/>
        </w:rPr>
        <w:t xml:space="preserve"> </w:t>
      </w:r>
      <w:r>
        <w:rPr>
          <w:rFonts w:ascii="Arial" w:hAnsi="Arial"/>
          <w:b/>
          <w:bCs/>
          <w:color w:val="000000"/>
          <w:sz w:val="21"/>
          <w:szCs w:val="21"/>
          <w:shd w:fill="FFFF00" w:val="clear"/>
        </w:rPr>
        <w:t>23h59m do dia 26  de novembro de 2024.</w:t>
      </w:r>
    </w:p>
    <w:p>
      <w:pPr>
        <w:pStyle w:val="Default"/>
        <w:spacing w:lineRule="auto" w:line="300" w:before="0" w:after="0"/>
        <w:ind w:left="0" w:right="0" w:hanging="0"/>
        <w:rPr/>
      </w:pPr>
      <w:r>
        <w:rPr>
          <w:rFonts w:ascii="Arial" w:hAnsi="Arial"/>
          <w:b/>
          <w:strike w:val="false"/>
          <w:dstrike w:val="false"/>
          <w:color w:val="000000"/>
          <w:sz w:val="21"/>
          <w:szCs w:val="21"/>
          <w:u w:val="none"/>
        </w:rPr>
        <w:t xml:space="preserve">MODO DE DISPUTA: </w:t>
      </w:r>
      <w:r>
        <w:rPr>
          <w:rFonts w:ascii="Arial" w:hAnsi="Arial"/>
          <w:b w:val="false"/>
          <w:strike w:val="false"/>
          <w:dstrike w:val="false"/>
          <w:color w:val="000000"/>
          <w:sz w:val="21"/>
          <w:szCs w:val="21"/>
          <w:u w:val="none"/>
        </w:rPr>
        <w:t xml:space="preserve">Aberto </w:t>
      </w:r>
    </w:p>
    <w:p>
      <w:pPr>
        <w:pStyle w:val="Default"/>
        <w:spacing w:lineRule="auto" w:line="300" w:before="0" w:after="0"/>
        <w:ind w:left="0" w:right="0" w:hanging="0"/>
        <w:rPr>
          <w:rFonts w:ascii="Arial" w:hAnsi="Arial"/>
          <w:sz w:val="21"/>
          <w:szCs w:val="21"/>
        </w:rPr>
      </w:pPr>
      <w:r>
        <w:rPr>
          <w:rFonts w:ascii="Arial" w:hAnsi="Arial"/>
          <w:sz w:val="21"/>
          <w:szCs w:val="21"/>
        </w:rPr>
      </w:r>
    </w:p>
    <w:p>
      <w:pPr>
        <w:pStyle w:val="Default"/>
        <w:spacing w:lineRule="auto" w:line="300" w:before="0" w:after="0"/>
        <w:ind w:left="0" w:right="0" w:hanging="0"/>
        <w:jc w:val="both"/>
        <w:rPr/>
      </w:pPr>
      <w:r>
        <w:rPr>
          <w:rFonts w:ascii="Arial" w:hAnsi="Arial"/>
          <w:b/>
          <w:strike w:val="false"/>
          <w:dstrike w:val="false"/>
          <w:color w:val="000000"/>
          <w:sz w:val="21"/>
          <w:szCs w:val="21"/>
          <w:u w:val="none"/>
        </w:rPr>
        <w:t xml:space="preserve">OBJETO: </w:t>
      </w:r>
      <w:r>
        <w:rPr>
          <w:rFonts w:eastAsia="Times New Roman" w:ascii="Arial" w:hAnsi="Arial"/>
          <w:b w:val="false"/>
          <w:bCs w:val="false"/>
          <w:strike w:val="false"/>
          <w:dstrike w:val="false"/>
          <w:color w:val="000000"/>
          <w:sz w:val="22"/>
          <w:szCs w:val="21"/>
          <w:highlight w:val="white"/>
          <w:u w:val="none"/>
        </w:rPr>
        <w:t xml:space="preserve">A presente licitação tem por objeto  a aquisição de combustíveis (óleo diesel S10, gasolina comum), de forma parcelada, para o abastecimento da frota da Prefeitura de Lindóia do Sul e também para os veículos da Policia Militar e Policia Civil, conforme especificações constantes no termo de referência. </w:t>
      </w:r>
    </w:p>
    <w:p>
      <w:pPr>
        <w:pStyle w:val="Default"/>
        <w:spacing w:lineRule="auto" w:line="300" w:before="0" w:after="0"/>
        <w:ind w:left="0" w:right="0" w:hanging="0"/>
        <w:jc w:val="both"/>
        <w:rPr/>
      </w:pPr>
      <w:r>
        <w:drawing>
          <wp:anchor behindDoc="1" distT="0" distB="0" distL="0" distR="0" simplePos="0" locked="0" layoutInCell="0" allowOverlap="1" relativeHeight="206">
            <wp:simplePos x="0" y="0"/>
            <wp:positionH relativeFrom="column">
              <wp:posOffset>-720090</wp:posOffset>
            </wp:positionH>
            <wp:positionV relativeFrom="paragraph">
              <wp:posOffset>9516110</wp:posOffset>
            </wp:positionV>
            <wp:extent cx="7545070" cy="963295"/>
            <wp:effectExtent l="0" t="0" r="0" b="0"/>
            <wp:wrapSquare wrapText="bothSides"/>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4"/>
                    <a:stretch>
                      <a:fillRect/>
                    </a:stretch>
                  </pic:blipFill>
                  <pic:spPr bwMode="auto">
                    <a:xfrm>
                      <a:off x="0" y="0"/>
                      <a:ext cx="7545070" cy="963295"/>
                    </a:xfrm>
                    <a:prstGeom prst="rect">
                      <a:avLst/>
                    </a:prstGeom>
                  </pic:spPr>
                </pic:pic>
              </a:graphicData>
            </a:graphic>
          </wp:anchor>
        </w:drawing>
      </w:r>
      <w:r>
        <w:rPr>
          <w:rFonts w:eastAsia="Times New Roman" w:ascii="Arial" w:hAnsi="Arial"/>
          <w:b w:val="false"/>
          <w:bCs w:val="false"/>
          <w:strike w:val="false"/>
          <w:dstrike w:val="false"/>
          <w:color w:val="000000"/>
          <w:sz w:val="22"/>
          <w:szCs w:val="21"/>
          <w:highlight w:val="white"/>
          <w:u w:val="none"/>
        </w:rPr>
        <w:t>O proponente vencedor do item de óleo diesel S10 (item 1) deverá fornecer em regime de comodato sem ônus ao município:</w:t>
      </w:r>
    </w:p>
    <w:p>
      <w:pPr>
        <w:pStyle w:val="Default"/>
        <w:spacing w:lineRule="auto" w:line="300" w:before="0" w:after="0"/>
        <w:ind w:left="0" w:right="0" w:hanging="0"/>
        <w:jc w:val="both"/>
        <w:rPr/>
      </w:pPr>
      <w:r>
        <w:rPr>
          <w:rFonts w:eastAsia="Times New Roman" w:ascii="Arial" w:hAnsi="Arial"/>
          <w:b w:val="false"/>
          <w:bCs w:val="false"/>
          <w:strike w:val="false"/>
          <w:dstrike w:val="false"/>
          <w:color w:val="000000"/>
          <w:sz w:val="22"/>
          <w:szCs w:val="21"/>
          <w:highlight w:val="white"/>
          <w:u w:val="none"/>
        </w:rPr>
        <w:t>* Tanque em fibra, com capacidade mínima de 8.000 (oito mil) litros com marcação externa de quantidade de litros, com bomba para abastecimento, com sistemas de filtros, devidamente instalado dentro das normas regulamentadas pela FATMA e IBAMA, além disso, fornece todas as Licenças Ambientais em conformidade com a legislação vigente dos equipamentos, devendo ser instalados no pátio da Secretaria de Infraestrutura do Município de Lindóia do Sul/SC, o qual deverá ser realizado em até 10 dias após a assinatura da ata.</w:t>
      </w:r>
    </w:p>
    <w:p>
      <w:pPr>
        <w:pStyle w:val="Default"/>
        <w:spacing w:lineRule="auto" w:line="300" w:before="0" w:after="0"/>
        <w:ind w:left="0" w:right="0" w:hanging="0"/>
        <w:jc w:val="both"/>
        <w:rPr/>
      </w:pPr>
      <w:r>
        <w:rPr>
          <w:rFonts w:eastAsia="Times New Roman" w:ascii="Arial" w:hAnsi="Arial"/>
          <w:b w:val="false"/>
          <w:bCs w:val="false"/>
          <w:strike w:val="false"/>
          <w:dstrike w:val="false"/>
          <w:color w:val="000000"/>
          <w:sz w:val="22"/>
          <w:szCs w:val="21"/>
          <w:highlight w:val="white"/>
          <w:u w:val="none"/>
        </w:rPr>
        <w:t>* kit abastecimento para óleo diesel, com reservatório para 1.000 (um mil) litros, medidor de no mínimo 3(três) dígitos, com vazão  mínima de 35 litros por minuto, bico manual em alumínio, com mangueira de abastecimento ¾ , de no mínimo 3.8 metros, mangueira de sucção de no mínimo 1,4 metros, com conexão da bomba ao reservatório, para instalação em bateria de 12 volts.</w:t>
      </w:r>
    </w:p>
    <w:p>
      <w:pPr>
        <w:pStyle w:val="Default"/>
        <w:spacing w:lineRule="auto" w:line="300" w:before="0" w:after="0"/>
        <w:ind w:left="0" w:right="0" w:hanging="0"/>
        <w:jc w:val="both"/>
        <w:rPr>
          <w:b/>
          <w:b/>
          <w:bCs/>
        </w:rPr>
      </w:pPr>
      <w:r>
        <w:rPr>
          <w:rFonts w:eastAsia="Times New Roman" w:ascii="Arial" w:hAnsi="Arial"/>
          <w:b/>
          <w:bCs/>
          <w:strike w:val="false"/>
          <w:dstrike w:val="false"/>
          <w:color w:val="000000"/>
          <w:sz w:val="22"/>
          <w:szCs w:val="21"/>
          <w:highlight w:val="white"/>
          <w:u w:val="none"/>
        </w:rPr>
        <w:t>Todos os equipamentos deverão ser novos, dentro das normas exigíveis pelos órgãos de fiscalização, sendo que a empresa vencedora deverá realizar as manutenção peças e serviços dos equipamentos sem ônus ao município.</w:t>
      </w:r>
    </w:p>
    <w:p>
      <w:pPr>
        <w:pStyle w:val="Default"/>
        <w:spacing w:lineRule="auto" w:line="300" w:before="0" w:after="0"/>
        <w:ind w:left="0" w:right="0" w:hanging="0"/>
        <w:jc w:val="both"/>
        <w:rPr/>
      </w:pPr>
      <w:r>
        <w:rPr>
          <w:rFonts w:eastAsia="Times New Roman" w:ascii="Arial" w:hAnsi="Arial"/>
          <w:b w:val="false"/>
          <w:bCs w:val="false"/>
          <w:strike w:val="false"/>
          <w:dstrike w:val="false"/>
          <w:color w:val="000000"/>
          <w:sz w:val="22"/>
          <w:szCs w:val="21"/>
          <w:highlight w:val="white"/>
          <w:u w:val="none"/>
        </w:rPr>
        <w:t>O empréstimo dos tanques e conjuntos de abastecimento, vigorarão pelo período de vigência do contrato e não dá ao proponente vencedor qualquer tipo de prioridade na próxima licitação.</w:t>
      </w:r>
    </w:p>
    <w:p>
      <w:pPr>
        <w:pStyle w:val="Default"/>
        <w:spacing w:lineRule="auto" w:line="300" w:before="0" w:after="0"/>
        <w:ind w:left="0" w:right="0" w:hanging="0"/>
        <w:jc w:val="both"/>
        <w:rPr/>
      </w:pPr>
      <w:r>
        <w:rPr>
          <w:rFonts w:eastAsia="Times New Roman" w:ascii="Arial" w:hAnsi="Arial"/>
          <w:b w:val="false"/>
          <w:bCs w:val="false"/>
          <w:strike w:val="false"/>
          <w:dstrike w:val="false"/>
          <w:color w:val="000000"/>
          <w:sz w:val="22"/>
          <w:szCs w:val="21"/>
          <w:highlight w:val="white"/>
          <w:u w:val="none"/>
        </w:rPr>
        <w:t>A licitante vencedora do item 01 (óleo diesel) deverá efetuar a entrega na gargaem de máquinas do município localizada  em Linha Lageado Acídio a 2 km da sede do município.</w:t>
      </w:r>
    </w:p>
    <w:p>
      <w:pPr>
        <w:pStyle w:val="Default"/>
        <w:spacing w:lineRule="auto" w:line="300" w:before="0" w:after="0"/>
        <w:ind w:left="0" w:right="0" w:hanging="0"/>
        <w:jc w:val="both"/>
        <w:rPr/>
      </w:pPr>
      <w:r>
        <w:rPr>
          <w:rFonts w:eastAsia="Times New Roman" w:ascii="Arial" w:hAnsi="Arial"/>
          <w:b w:val="false"/>
          <w:bCs w:val="false"/>
          <w:strike w:val="false"/>
          <w:dstrike w:val="false"/>
          <w:color w:val="000000"/>
          <w:sz w:val="22"/>
          <w:szCs w:val="21"/>
          <w:highlight w:val="white"/>
          <w:u w:val="none"/>
        </w:rPr>
        <w:t>A licitante vendedora do item 02 (gasolina comum) deverá possuir posto de abastecimento próprio ou conveniado, o qual deverá estar localizado dentro do perímetro urbano do município de Lindóia do Sul/SC.</w:t>
      </w:r>
    </w:p>
    <w:p>
      <w:pPr>
        <w:pStyle w:val="Default"/>
        <w:spacing w:lineRule="auto" w:line="300" w:before="0" w:after="0"/>
        <w:ind w:left="0" w:right="0" w:hanging="0"/>
        <w:jc w:val="both"/>
        <w:rPr/>
      </w:pPr>
      <w:r>
        <w:rPr>
          <w:rFonts w:eastAsia="Times New Roman" w:ascii="Arial" w:hAnsi="Arial"/>
          <w:b w:val="false"/>
          <w:bCs w:val="false"/>
          <w:strike w:val="false"/>
          <w:dstrike w:val="false"/>
          <w:color w:val="000000"/>
          <w:sz w:val="22"/>
          <w:szCs w:val="21"/>
          <w:highlight w:val="white"/>
          <w:u w:val="none"/>
        </w:rPr>
        <w:t>O texto descritivo completo e informações pertinentes de cada item a ser licitado constam nos autos do processo licitatório em que se insere o Termo de Referência e estão anexas ao edital, constituindo parte integrante deste.</w:t>
      </w:r>
    </w:p>
    <w:p>
      <w:pPr>
        <w:pStyle w:val="Default"/>
        <w:spacing w:lineRule="auto" w:line="300" w:before="0" w:after="0"/>
        <w:ind w:left="0" w:right="0" w:hanging="0"/>
        <w:jc w:val="both"/>
        <w:rPr>
          <w:rFonts w:ascii="Arial" w:hAnsi="Arial" w:eastAsia="Times New Roman"/>
          <w:b w:val="false"/>
          <w:b w:val="false"/>
          <w:bCs w:val="false"/>
          <w:strike w:val="false"/>
          <w:dstrike w:val="false"/>
          <w:color w:val="000000"/>
          <w:sz w:val="22"/>
          <w:szCs w:val="21"/>
          <w:highlight w:val="white"/>
          <w:u w:val="none"/>
          <w:lang w:eastAsia="pt-BR"/>
        </w:rPr>
      </w:pPr>
      <w:r>
        <w:rPr>
          <w:rFonts w:eastAsia="Times New Roman" w:ascii="Arial" w:hAnsi="Arial"/>
          <w:b w:val="false"/>
          <w:bCs w:val="false"/>
          <w:strike w:val="false"/>
          <w:dstrike w:val="false"/>
          <w:color w:val="000000"/>
          <w:sz w:val="22"/>
          <w:szCs w:val="21"/>
          <w:highlight w:val="white"/>
          <w:u w:val="none"/>
          <w:lang w:eastAsia="pt-BR"/>
        </w:rPr>
      </w:r>
    </w:p>
    <w:p>
      <w:pPr>
        <w:pStyle w:val="Default"/>
        <w:spacing w:lineRule="auto" w:line="300" w:before="0" w:after="0"/>
        <w:ind w:left="0" w:right="0" w:hanging="0"/>
        <w:rPr>
          <w:rFonts w:ascii="Arial" w:hAnsi="Arial"/>
          <w:b/>
          <w:b/>
          <w:strike w:val="false"/>
          <w:dstrike w:val="false"/>
          <w:color w:val="000000"/>
          <w:sz w:val="21"/>
          <w:szCs w:val="21"/>
          <w:u w:val="none"/>
        </w:rPr>
      </w:pPr>
      <w:r>
        <w:rPr>
          <w:rFonts w:ascii="Arial" w:hAnsi="Arial"/>
          <w:b/>
          <w:strike w:val="false"/>
          <w:dstrike w:val="false"/>
          <w:color w:val="000000"/>
          <w:sz w:val="21"/>
          <w:szCs w:val="21"/>
          <w:u w:val="none"/>
        </w:rPr>
      </w:r>
    </w:p>
    <w:p>
      <w:pPr>
        <w:pStyle w:val="Default"/>
        <w:spacing w:lineRule="auto" w:line="300" w:before="0" w:after="0"/>
        <w:ind w:left="0" w:right="0" w:hanging="0"/>
        <w:rPr/>
      </w:pPr>
      <w:r>
        <w:rPr>
          <w:rFonts w:ascii="Arial" w:hAnsi="Arial"/>
          <w:b/>
          <w:strike w:val="false"/>
          <w:dstrike w:val="false"/>
          <w:color w:val="000000"/>
          <w:sz w:val="21"/>
          <w:szCs w:val="21"/>
          <w:u w:val="none"/>
        </w:rPr>
        <w:t xml:space="preserve">VALOR MÁXIMO ADMITIDO: </w:t>
      </w:r>
      <w:r>
        <w:rPr>
          <w:rFonts w:ascii="Arial" w:hAnsi="Arial"/>
          <w:b w:val="false"/>
          <w:strike w:val="false"/>
          <w:dstrike w:val="false"/>
          <w:color w:val="000000"/>
          <w:sz w:val="21"/>
          <w:szCs w:val="21"/>
          <w:u w:val="none"/>
        </w:rPr>
        <w:t xml:space="preserve">R$ 2066.450,10 (Dois milhões, sessenta e seis mil, quatrocentos e cinquenta reais e dez centavos) </w:t>
      </w:r>
    </w:p>
    <w:p>
      <w:pPr>
        <w:pStyle w:val="Default"/>
        <w:spacing w:lineRule="auto" w:line="300" w:before="0" w:after="0"/>
        <w:ind w:left="0" w:right="0" w:hanging="0"/>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cs="Arial" w:ascii="Arial" w:hAnsi="Arial"/>
          <w:color w:val="000000"/>
          <w:sz w:val="21"/>
          <w:szCs w:val="21"/>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pPr>
        <w:pStyle w:val="Normal"/>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Formalização de consultas/encaminhamentos:</w:t>
      </w:r>
    </w:p>
    <w:p>
      <w:pPr>
        <w:pStyle w:val="Normal"/>
        <w:widowControl/>
        <w:suppressAutoHyphens w:val="true"/>
        <w:bidi w:val="0"/>
        <w:spacing w:lineRule="auto" w:line="300" w:before="0" w:after="0"/>
        <w:ind w:left="0" w:right="0" w:hanging="0"/>
        <w:jc w:val="both"/>
        <w:rPr/>
      </w:pPr>
      <w:r>
        <w:rPr>
          <w:rFonts w:ascii="Arial" w:hAnsi="Arial"/>
          <w:sz w:val="21"/>
          <w:szCs w:val="21"/>
        </w:rPr>
        <w:t>LOCAL: Município de Lindóia do Sul</w:t>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ENDEREÇO: </w:t>
      </w:r>
      <w:r>
        <w:rPr>
          <w:rFonts w:cs="Arial" w:ascii="Arial" w:hAnsi="Arial"/>
          <w:sz w:val="21"/>
          <w:szCs w:val="21"/>
        </w:rPr>
        <w:t>Rua Tamandaré, nº 98, Centro, Lindóia do Sul, SC, CEP 89.735-000</w:t>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E-mail: </w:t>
      </w:r>
      <w:hyperlink r:id="rId5">
        <w:r>
          <w:rPr>
            <w:rStyle w:val="LinkdaInternet"/>
            <w:rFonts w:ascii="Arial" w:hAnsi="Arial"/>
            <w:sz w:val="21"/>
            <w:szCs w:val="21"/>
          </w:rPr>
          <w:t>compras@lindoiadosul.sc.gov.br</w:t>
        </w:r>
      </w:hyperlink>
      <w:r>
        <w:rPr>
          <w:rFonts w:ascii="Arial" w:hAnsi="Arial"/>
          <w:sz w:val="21"/>
          <w:szCs w:val="21"/>
        </w:rPr>
        <w:t xml:space="preserve"> ou </w:t>
      </w:r>
      <w:hyperlink r:id="rId6">
        <w:r>
          <w:rPr>
            <w:rStyle w:val="LinkdaInternet"/>
            <w:rFonts w:ascii="Arial" w:hAnsi="Arial"/>
            <w:sz w:val="21"/>
            <w:szCs w:val="21"/>
          </w:rPr>
          <w:t>compras2@lindoiadosul.sc.gov.br</w:t>
        </w:r>
      </w:hyperlink>
    </w:p>
    <w:p>
      <w:pPr>
        <w:pStyle w:val="Normal"/>
        <w:widowControl/>
        <w:suppressAutoHyphens w:val="true"/>
        <w:bidi w:val="0"/>
        <w:spacing w:lineRule="auto" w:line="300" w:before="0" w:after="0"/>
        <w:ind w:left="0" w:right="0" w:hanging="0"/>
        <w:jc w:val="both"/>
        <w:rPr/>
      </w:pPr>
      <w:r>
        <w:rPr>
          <w:rFonts w:ascii="Arial" w:hAnsi="Arial"/>
          <w:sz w:val="21"/>
          <w:szCs w:val="21"/>
        </w:rPr>
        <w:t>Telefone: 49 34461177 ou 998220842</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 DO OBJETO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Default"/>
        <w:spacing w:lineRule="auto" w:line="300" w:before="0" w:after="0"/>
        <w:ind w:left="0" w:right="0" w:hanging="0"/>
        <w:jc w:val="both"/>
        <w:rPr/>
      </w:pPr>
      <w:r>
        <w:rPr>
          <w:rFonts w:ascii="Arial" w:hAnsi="Arial"/>
          <w:b w:val="false"/>
          <w:bCs w:val="false"/>
          <w:strike w:val="false"/>
          <w:dstrike w:val="false"/>
          <w:color w:val="000000"/>
          <w:sz w:val="21"/>
          <w:szCs w:val="21"/>
          <w:u w:val="none"/>
        </w:rPr>
        <w:t xml:space="preserve">1.1. </w:t>
      </w:r>
      <w:r>
        <w:rPr>
          <w:rFonts w:eastAsia="Times New Roman" w:ascii="Arial" w:hAnsi="Arial"/>
          <w:b w:val="false"/>
          <w:bCs w:val="false"/>
          <w:strike w:val="false"/>
          <w:dstrike w:val="false"/>
          <w:color w:val="000000"/>
          <w:sz w:val="22"/>
          <w:szCs w:val="21"/>
          <w:highlight w:val="white"/>
          <w:u w:val="none"/>
        </w:rPr>
        <w:t xml:space="preserve">A presente licitação tem por objeto o REGISTRO DE PREÇOS para </w:t>
      </w:r>
      <w:r>
        <w:rPr>
          <w:rFonts w:eastAsia="Times New Roman" w:ascii="Arial" w:hAnsi="Arial"/>
          <w:b w:val="false"/>
          <w:bCs w:val="false"/>
          <w:strike w:val="false"/>
          <w:dstrike w:val="false"/>
          <w:color w:val="000000"/>
          <w:sz w:val="22"/>
          <w:szCs w:val="21"/>
          <w:highlight w:val="white"/>
          <w:u w:val="none"/>
          <w:lang w:eastAsia="pt-BR"/>
        </w:rPr>
        <w:t xml:space="preserve">aquisição de combustíveis( óleo diesel  S10, gasolina comum) de forma parcelada, para o abastecimento da frota da Prefeitura de Lindóia do Sul e também para os veículos da Polica Militar e Polícia </w:t>
        <w:br/>
        <w:t>Civil, conforme especificações constantes no Termo de Referência.</w:t>
      </w:r>
    </w:p>
    <w:p>
      <w:pPr>
        <w:pStyle w:val="Default"/>
        <w:spacing w:lineRule="auto" w:line="300" w:before="0" w:after="0"/>
        <w:ind w:left="0" w:right="0" w:hanging="0"/>
        <w:jc w:val="both"/>
        <w:rPr>
          <w:rFonts w:ascii="Arial" w:hAnsi="Arial"/>
          <w:sz w:val="22"/>
        </w:rPr>
      </w:pPr>
      <w:r>
        <w:rPr>
          <w:rFonts w:ascii="Arial" w:hAnsi="Arial"/>
          <w:sz w:val="22"/>
        </w:rPr>
      </w:r>
    </w:p>
    <w:p>
      <w:pPr>
        <w:pStyle w:val="Default"/>
        <w:spacing w:lineRule="auto" w:line="300" w:before="0" w:after="0"/>
        <w:ind w:left="0" w:right="0" w:hanging="0"/>
        <w:jc w:val="both"/>
        <w:rPr/>
      </w:pPr>
      <w:r>
        <w:rPr>
          <w:rFonts w:ascii="Arial" w:hAnsi="Arial"/>
          <w:b w:val="false"/>
          <w:bCs w:val="false"/>
          <w:strike w:val="false"/>
          <w:dstrike w:val="false"/>
          <w:color w:val="000000"/>
          <w:sz w:val="21"/>
          <w:szCs w:val="21"/>
          <w:u w:val="none"/>
        </w:rPr>
        <w:t>1.2.</w:t>
      </w:r>
      <w:r>
        <w:rPr>
          <w:rFonts w:ascii="Arial" w:hAnsi="Arial"/>
          <w:b/>
          <w:strike w:val="false"/>
          <w:dstrike w:val="false"/>
          <w:color w:val="000000"/>
          <w:sz w:val="21"/>
          <w:szCs w:val="21"/>
          <w:u w:val="none"/>
        </w:rPr>
        <w:t xml:space="preserve"> </w:t>
      </w:r>
      <w:r>
        <w:rPr>
          <w:rFonts w:ascii="Arial" w:hAnsi="Arial"/>
          <w:b w:val="false"/>
          <w:strike w:val="false"/>
          <w:dstrike w:val="false"/>
          <w:color w:val="000000"/>
          <w:sz w:val="21"/>
          <w:szCs w:val="21"/>
          <w:u w:val="none"/>
        </w:rPr>
        <w:t>As empresas interessadas deverão ter pleno conhecimento dos termos constantes deste Edital e das condições gerais e particulares do objeto da licitação, não podendo invocar qualquer desconhecimento como elemento impeditivo da correta formulação da proposta e do integral cumprimento da contratação.</w:t>
      </w:r>
    </w:p>
    <w:p>
      <w:pPr>
        <w:pStyle w:val="Default"/>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2. DA PARTICIPAÇÃO E OBTENÇÃO DO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2.1. Qualquer pessoa jurídica que tenha objeto similar a esta contratação poderá participar desta Licitação, desde </w:t>
      </w:r>
      <w:r>
        <w:rPr>
          <w:rFonts w:eastAsia="Times New Roman" w:cs="Arial" w:ascii="Arial" w:hAnsi="Arial"/>
          <w:bCs/>
          <w:color w:val="000000"/>
          <w:kern w:val="0"/>
          <w:sz w:val="21"/>
          <w:szCs w:val="21"/>
          <w:lang w:eastAsia="zh-CN"/>
        </w:rPr>
        <w:t>que atenderem a todas as exigências, inclusive quanto a documentação constante deste Edital e seus anexos, e estiver devidamente cadastrada junto ao Portal de Compras Públicas, no endereço eletrônico acima citado.</w:t>
      </w:r>
    </w:p>
    <w:p>
      <w:pPr>
        <w:pStyle w:val="Normal"/>
        <w:widowControl/>
        <w:suppressAutoHyphens w:val="true"/>
        <w:bidi w:val="0"/>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2.2. O presente Edital e possíveis alterações estarão à disposição dos interessados na sede do Município de Lindóia do Sul, no endereço informado no preâmbulo deste edital, na imprensa oficial do Município no endereço </w:t>
      </w:r>
      <w:hyperlink r:id="rId7">
        <w:r>
          <w:rPr>
            <w:rStyle w:val="LinkdaInternet"/>
            <w:rFonts w:ascii="Arial" w:hAnsi="Arial"/>
            <w:sz w:val="21"/>
            <w:szCs w:val="21"/>
          </w:rPr>
          <w:t>https://lindoiadosul.sc.gov.br/licitacoes/</w:t>
        </w:r>
      </w:hyperlink>
      <w:r>
        <w:rPr>
          <w:rStyle w:val="LinkdaInternet"/>
          <w:rFonts w:ascii="Arial" w:hAnsi="Arial"/>
          <w:sz w:val="21"/>
          <w:szCs w:val="21"/>
        </w:rPr>
        <w:t>,</w:t>
      </w:r>
      <w:r>
        <w:rPr>
          <w:rFonts w:ascii="Arial" w:hAnsi="Arial"/>
          <w:sz w:val="21"/>
          <w:szCs w:val="21"/>
        </w:rPr>
        <w:t xml:space="preserve"> na plataforma eletrônica que ocorrerá o pregão </w:t>
      </w:r>
      <w:hyperlink r:id="rId8">
        <w:r>
          <w:rPr>
            <w:rStyle w:val="LinkdaInternet"/>
            <w:rFonts w:cs="Arial" w:ascii="Arial" w:hAnsi="Arial"/>
            <w:sz w:val="21"/>
            <w:szCs w:val="21"/>
          </w:rPr>
          <w:t>www.portaldecompraspublicas.com.br</w:t>
        </w:r>
      </w:hyperlink>
      <w:r>
        <w:rPr>
          <w:rStyle w:val="LinkdaInternet"/>
          <w:rFonts w:cs="Arial" w:ascii="Arial" w:hAnsi="Arial"/>
          <w:color w:val="auto"/>
          <w:sz w:val="21"/>
          <w:szCs w:val="21"/>
          <w:u w:val="none"/>
        </w:rPr>
        <w:t xml:space="preserve"> e no Portal Nacional de Contratações Públicas.</w:t>
      </w:r>
    </w:p>
    <w:p>
      <w:pPr>
        <w:pStyle w:val="Normal"/>
        <w:widowControl/>
        <w:suppressAutoHyphens w:val="true"/>
        <w:bidi w:val="0"/>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false"/>
        <w:bidi w:val="0"/>
        <w:spacing w:lineRule="auto" w:line="300" w:before="0" w:after="0"/>
        <w:ind w:left="0" w:right="0" w:hanging="0"/>
        <w:jc w:val="both"/>
        <w:rPr>
          <w:rFonts w:ascii="Arial" w:hAnsi="Arial" w:cs="Arial"/>
          <w:color w:val="000000"/>
          <w:kern w:val="2"/>
          <w:sz w:val="21"/>
          <w:szCs w:val="21"/>
          <w:lang w:eastAsia="zh-CN"/>
        </w:rPr>
      </w:pPr>
      <w:r>
        <w:rPr>
          <w:rFonts w:cs="Arial" w:ascii="Arial" w:hAnsi="Arial"/>
          <w:color w:val="000000"/>
          <w:kern w:val="2"/>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b/>
          <w:bCs/>
          <w:sz w:val="21"/>
          <w:szCs w:val="21"/>
        </w:rPr>
        <w:t>3. DO ÓRGÃO CONTRATANTE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3.1. A entidade Município de Lindóia do Sul é o Órgão Contratante no presente processo licitatório.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3.2. Caberá ao Órgão Contratante os recebimentos provisório e definitivo do objeto.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4. DISPOSIÇÕES PRELIMINARES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4.1. O Pregão, na forma Eletrônica, será realizado em sessão pública, por meio da INTERNET, mediante condições de segurança – criptografia e autenticação – em todas as suas fases através do Sistema de Pregão, na Forma Eletrônica (licitações) através do site </w:t>
      </w:r>
      <w:hyperlink r:id="rId9">
        <w:r>
          <w:rPr>
            <w:rStyle w:val="LinkdaInternet"/>
            <w:rFonts w:eastAsia="Times New Roman" w:cs="Arial" w:ascii="Arial" w:hAnsi="Arial"/>
            <w:bCs/>
            <w:kern w:val="0"/>
            <w:sz w:val="21"/>
            <w:szCs w:val="21"/>
            <w:lang w:eastAsia="zh-CN"/>
          </w:rPr>
          <w:t>www.portaldecompraspublicas.com.br</w:t>
        </w:r>
      </w:hyperlink>
      <w:r>
        <w:rPr>
          <w:rFonts w:eastAsia="Times New Roman" w:cs="Arial" w:ascii="Arial" w:hAnsi="Arial"/>
          <w:bCs/>
          <w:color w:val="000000"/>
          <w:kern w:val="0"/>
          <w:sz w:val="21"/>
          <w:szCs w:val="21"/>
          <w:lang w:eastAsia="zh-CN"/>
        </w:rPr>
        <w:t>.</w:t>
      </w:r>
    </w:p>
    <w:p>
      <w:pPr>
        <w:pStyle w:val="Normal"/>
        <w:widowControl/>
        <w:suppressAutoHyphens w:val="true"/>
        <w:bidi w:val="0"/>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sz w:val="21"/>
          <w:szCs w:val="21"/>
        </w:rPr>
        <w:t>4.2. A Sessão eletrônica e os demais Atos Administrativos serão conduzidos pelo Município de Lindóia do Sul, por intermédio de(a) seu(ua) Pregoeiro(a), mediante a inserção e monitoramento de dados gerados ou transferidos para plataforma digital constante da página eletrônica da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5. RECEBIMENTO E ABERTURA DAS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5.1. O fornecedor deverá observar as datas e os horários limites previstos para envio da proposta e </w:t>
      </w:r>
      <w:r>
        <w:rPr>
          <w:rFonts w:ascii="Arial" w:hAnsi="Arial"/>
          <w:sz w:val="21"/>
          <w:szCs w:val="21"/>
          <w:shd w:fill="auto" w:val="clear"/>
        </w:rPr>
        <w:t>dos documentos de habilitação</w:t>
      </w:r>
      <w:r>
        <w:rPr>
          <w:rFonts w:ascii="Arial" w:hAnsi="Arial"/>
          <w:sz w:val="21"/>
          <w:szCs w:val="21"/>
        </w:rPr>
        <w:t>, atentando também para a data e horário para início da sessão, no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5.2. As propostas deverão ser cadastradas exclusivamente no sistema eletrônico, podendo ser enviadas, substituídas e excluídas até a data e hora previstas para recebimento destas.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 xml:space="preserve">5.3. </w:t>
      </w:r>
      <w:r>
        <w:rPr>
          <w:rFonts w:ascii="Arial" w:hAnsi="Arial"/>
          <w:sz w:val="21"/>
          <w:szCs w:val="21"/>
        </w:rPr>
        <w:t>O acompanhamento do Sistema Eletrônico é responsabilidade do Fornecedor para todas as fases do presente Procedimento Administrativo.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6. CONDIÇÕES PARA PARTICIPAÇÃO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6.1.  Poderão participar desta Licitação todas e quaisquer empresas ou sociedades, regularmente estabelecidas no País, que sejam especializadas e credenciadas no objeto desta licitação e que satisfaçam todas as exigências, especificações e normas contidas neste Edital, seus Anexos e nos demais regramentos/normativas existentes no Brasil sobre a área de fornecimento.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6.2. Poderão participar deste Pregão Eletrônico as empresas que apresentarem toda a documentação por ela exigida para respectivo cadastramento junto ao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6.3. Como requisito para participação no pregão, em campo próprio do sistema eletrônico, o licitante deverá manifestar o pleno conhecimento e atendimento às exigências de habilitação previstas no Edital e seus anexos.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6.4. É permitida a participação de empresa em forma de consórcios ou grupos de empresas e deverá observar o disposto no art. 15, da Lei Federal nº 14.133, de 2021, observadas as seguintes normas:</w:t>
      </w:r>
    </w:p>
    <w:p>
      <w:pPr>
        <w:pStyle w:val="Normal"/>
        <w:widowControl/>
        <w:suppressAutoHyphens w:val="true"/>
        <w:bidi w:val="0"/>
        <w:spacing w:lineRule="auto" w:line="300" w:before="0" w:after="0"/>
        <w:ind w:left="0" w:right="0" w:hanging="0"/>
        <w:jc w:val="both"/>
        <w:rPr/>
      </w:pPr>
      <w:r>
        <w:rPr>
          <w:rFonts w:ascii="Arial" w:hAnsi="Arial"/>
          <w:sz w:val="21"/>
          <w:szCs w:val="21"/>
        </w:rPr>
        <w:tab/>
        <w:t>I – comprovação de compromisso público ou particular de constituição de consórcio, subscrito pelos consorciados;</w:t>
      </w:r>
    </w:p>
    <w:p>
      <w:pPr>
        <w:pStyle w:val="Normal"/>
        <w:widowControl/>
        <w:suppressAutoHyphens w:val="true"/>
        <w:bidi w:val="0"/>
        <w:spacing w:lineRule="auto" w:line="300" w:before="0" w:after="0"/>
        <w:ind w:left="0" w:right="0" w:hanging="0"/>
        <w:jc w:val="both"/>
        <w:rPr/>
      </w:pPr>
      <w:r>
        <w:rPr>
          <w:rFonts w:ascii="Arial" w:hAnsi="Arial"/>
          <w:sz w:val="21"/>
          <w:szCs w:val="21"/>
        </w:rPr>
        <w:tab/>
        <w:t>II – indicação da empresa líder do consórcio, que será responsável por sua representação perante a Administração;</w:t>
      </w:r>
    </w:p>
    <w:p>
      <w:pPr>
        <w:pStyle w:val="Normal"/>
        <w:widowControl/>
        <w:suppressAutoHyphens w:val="true"/>
        <w:bidi w:val="0"/>
        <w:spacing w:lineRule="auto" w:line="300" w:before="0" w:after="0"/>
        <w:ind w:left="0" w:right="0" w:hanging="0"/>
        <w:jc w:val="both"/>
        <w:rPr/>
      </w:pPr>
      <w:r>
        <w:rPr>
          <w:rFonts w:ascii="Arial" w:hAnsi="Arial"/>
          <w:sz w:val="21"/>
          <w:szCs w:val="21"/>
        </w:rPr>
        <w:tab/>
        <w:t>III – admissão, para efeito de habilitação técnica, do somatório dos quantitativos de cada consorciado e, para efeito de habilitação econômico-financeira, do somatório dos valores de cada consorciado, caso exigido;</w:t>
      </w:r>
    </w:p>
    <w:p>
      <w:pPr>
        <w:pStyle w:val="Normal"/>
        <w:widowControl/>
        <w:suppressAutoHyphens w:val="true"/>
        <w:bidi w:val="0"/>
        <w:spacing w:lineRule="auto" w:line="300" w:before="0" w:after="0"/>
        <w:ind w:left="0" w:right="0" w:hanging="0"/>
        <w:jc w:val="both"/>
        <w:rPr/>
      </w:pPr>
      <w:r>
        <w:rPr>
          <w:rFonts w:ascii="Arial" w:hAnsi="Arial"/>
          <w:sz w:val="21"/>
          <w:szCs w:val="21"/>
        </w:rPr>
        <w:tab/>
        <w:t>IV – impedimento de a empresa consorciada participar, na mesma licitação, de mais de um consórcio ou de forma isolada;</w:t>
      </w:r>
    </w:p>
    <w:p>
      <w:pPr>
        <w:pStyle w:val="Normal"/>
        <w:widowControl/>
        <w:suppressAutoHyphens w:val="true"/>
        <w:bidi w:val="0"/>
        <w:spacing w:lineRule="auto" w:line="300" w:before="0" w:after="0"/>
        <w:ind w:left="0" w:right="0" w:hanging="0"/>
        <w:jc w:val="both"/>
        <w:rPr/>
      </w:pPr>
      <w:r>
        <w:rPr>
          <w:rFonts w:ascii="Arial" w:hAnsi="Arial"/>
          <w:sz w:val="21"/>
          <w:szCs w:val="21"/>
        </w:rPr>
        <w:tab/>
        <w:t>V – responsabilidade solidária dos integrantes pelos atos praticados em consórcio, tanto na fase de licitação quanto na de execução do contrato.</w:t>
      </w:r>
    </w:p>
    <w:p>
      <w:pPr>
        <w:pStyle w:val="Normal"/>
        <w:widowControl/>
        <w:suppressAutoHyphens w:val="true"/>
        <w:bidi w:val="0"/>
        <w:spacing w:lineRule="auto" w:line="300" w:before="0" w:after="0"/>
        <w:ind w:left="0" w:right="0" w:hanging="0"/>
        <w:jc w:val="both"/>
        <w:rPr/>
      </w:pPr>
      <w:r>
        <w:rPr>
          <w:rFonts w:ascii="Arial" w:hAnsi="Arial"/>
          <w:sz w:val="21"/>
          <w:szCs w:val="21"/>
        </w:rPr>
        <w:tab/>
        <w:t>VI – O licitante vencedor é obrigado a promover, antes da celebração do contrato, a constituição e o registro do consórcio, nos termos do compromisso referido no item I acima, no prazo de até 30 (trinta) dias, após a homologação.</w:t>
      </w:r>
    </w:p>
    <w:p>
      <w:pPr>
        <w:pStyle w:val="Normal"/>
        <w:widowControl/>
        <w:suppressAutoHyphens w:val="true"/>
        <w:bidi w:val="0"/>
        <w:spacing w:lineRule="auto" w:line="300" w:before="0" w:after="0"/>
        <w:ind w:left="0" w:right="0" w:hanging="0"/>
        <w:jc w:val="both"/>
        <w:rPr/>
      </w:pPr>
      <w:r>
        <w:rPr>
          <w:rFonts w:ascii="Arial" w:hAnsi="Arial"/>
          <w:sz w:val="21"/>
          <w:szCs w:val="21"/>
        </w:rPr>
        <w:tab/>
        <w:t>VII – A substituição de consorciado deverá ser expressamente autorizada pelo Órgão Gerenciador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neste processo licitatório que originou o contrato, quando exigido.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6.5. Não poderá participar da licitação a empresa que estiver: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6.5.1. sob falência, dissolução, liquidação ou que tenha sido declarada inidônea pela Administração Pública ou impedida legalmente, ou ainda Suspensa de Participar de Licitação ou empresas controladoras, controladas ou coligadas, nos termos da Lei Federal 6.404, de 15 de dezembro de 1976, concorrendo entre si</w:t>
      </w:r>
      <w:r>
        <w:rPr>
          <w:rFonts w:eastAsia="Times New Roman" w:cs="Arial" w:ascii="Arial" w:hAnsi="Arial"/>
          <w:bCs/>
          <w:color w:val="000000"/>
          <w:kern w:val="0"/>
          <w:sz w:val="21"/>
          <w:szCs w:val="21"/>
          <w:lang w:eastAsia="zh-CN"/>
        </w:rPr>
        <w:t xml:space="preserve"> ou constem:</w:t>
      </w:r>
    </w:p>
    <w:p>
      <w:pPr>
        <w:pStyle w:val="Normal"/>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ab/>
        <w:t>I - no cadastro de empresas inidôneas do Tribunal de Contas da União, do Ministério da Transparência, Fiscalização e Controladoria-Geral da União;</w:t>
        <w:tab/>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ab/>
        <w:t>II - no Sistema de Cadastramento Unificado de Fornecedores - SICAF como impedidas ou suspensas;</w:t>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ab/>
        <w:t>III - no Cadastro Nacional de Condenações Civis por Ato de Improbidade Administrativa e Inelegibilidade, supervisionado pelo Conselho Nacional de Justiça.</w:t>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ab/>
        <w:t>IV - no Cadastro Nacional das Empresas Inidôneas e Suspensas – CEIS.</w:t>
      </w:r>
    </w:p>
    <w:p>
      <w:pPr>
        <w:pStyle w:val="Normal"/>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00" w:before="0" w:after="0"/>
        <w:ind w:left="0" w:right="0" w:hanging="0"/>
        <w:jc w:val="both"/>
        <w:rPr/>
      </w:pPr>
      <w:r>
        <w:rPr>
          <w:rFonts w:cs="Arial" w:ascii="Arial" w:hAnsi="Arial"/>
          <w:sz w:val="21"/>
          <w:szCs w:val="21"/>
        </w:rPr>
        <w:t>6.5.2. Que esteja cumprindo penalidade que impeça de participar de licitação junto à Administração Pública Municipal.</w:t>
      </w:r>
    </w:p>
    <w:p>
      <w:pPr>
        <w:pStyle w:val="Normal"/>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00" w:before="0" w:after="0"/>
        <w:ind w:left="0" w:right="0" w:hanging="0"/>
        <w:jc w:val="both"/>
        <w:rPr/>
      </w:pPr>
      <w:r>
        <w:rPr>
          <w:rFonts w:cs="Arial" w:ascii="Arial" w:hAnsi="Arial"/>
          <w:sz w:val="21"/>
          <w:szCs w:val="21"/>
        </w:rPr>
        <w:t>6.5.3. Que possua participação direta ou indireta de sócio, diretor ou responsável técnico que tenha vínculo empregatício com o Município.</w:t>
      </w:r>
    </w:p>
    <w:p>
      <w:pPr>
        <w:pStyle w:val="Normal"/>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00" w:before="0" w:after="0"/>
        <w:ind w:left="0" w:right="0" w:hanging="0"/>
        <w:jc w:val="both"/>
        <w:rPr/>
      </w:pPr>
      <w:r>
        <w:rPr>
          <w:rFonts w:cs="Arial" w:ascii="Arial" w:hAnsi="Arial"/>
          <w:sz w:val="21"/>
          <w:szCs w:val="21"/>
        </w:rPr>
        <w:t xml:space="preserve">6.5.4. </w:t>
      </w:r>
      <w:r>
        <w:rPr>
          <w:rFonts w:eastAsia="Times New Roman" w:cs="Arial" w:ascii="Arial" w:hAnsi="Arial"/>
          <w:b w:val="false"/>
          <w:bCs/>
          <w:color w:val="000000"/>
          <w:kern w:val="0"/>
          <w:sz w:val="21"/>
          <w:szCs w:val="21"/>
          <w:lang w:eastAsia="zh-CN"/>
        </w:rPr>
        <w:t>Que possua em seus quadros social e funcional, servidor público da administração direta ou indireta do Município de Lindóia do Sul, e agente político da esfera municipal de Lindóia do Sul, do Estado de Santa Catarina, e da União.</w:t>
      </w:r>
    </w:p>
    <w:p>
      <w:pPr>
        <w:pStyle w:val="Normal"/>
        <w:spacing w:lineRule="auto" w:line="300" w:before="0" w:after="0"/>
        <w:ind w:left="0" w:right="0" w:hanging="0"/>
        <w:jc w:val="both"/>
        <w:rPr>
          <w:rFonts w:ascii="Arial" w:hAnsi="Arial" w:eastAsia="Times New Roman" w:cs="Arial"/>
          <w:b w:val="false"/>
          <w:b w:val="false"/>
          <w:bCs/>
          <w:color w:val="000000"/>
          <w:kern w:val="0"/>
          <w:sz w:val="21"/>
          <w:szCs w:val="21"/>
          <w:lang w:eastAsia="zh-CN"/>
        </w:rPr>
      </w:pPr>
      <w:r>
        <w:rPr>
          <w:rFonts w:eastAsia="Times New Roman" w:cs="Arial" w:ascii="Arial" w:hAnsi="Arial"/>
          <w:b w:val="false"/>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sz w:val="21"/>
          <w:szCs w:val="21"/>
        </w:rPr>
        <w:t>6.6. O licitante deverá ter feito a adesão ao Portal de Compras Públicas, sendo sua a responsabilidade pela tramitação prévia neste sentido.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6.7. Não poderá participar da licitação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devendo ser comprovado mediante declaração, podendo ser utilizado o modelo constante deste e</w:t>
      </w:r>
      <w:r>
        <w:rPr>
          <w:rFonts w:ascii="Arial" w:hAnsi="Arial"/>
          <w:sz w:val="21"/>
          <w:szCs w:val="21"/>
          <w:shd w:fill="FFFFFF" w:val="clear"/>
        </w:rPr>
        <w:t>dital (ANEXO IV).</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6.8. Não poderá participar da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ou que </w:t>
      </w:r>
      <w:r>
        <w:rPr>
          <w:rFonts w:eastAsia="Times New Roman" w:cs="Arial" w:ascii="Arial" w:hAnsi="Arial"/>
          <w:b w:val="false"/>
          <w:bCs/>
          <w:color w:val="000000"/>
          <w:kern w:val="0"/>
          <w:sz w:val="21"/>
          <w:szCs w:val="21"/>
          <w:lang w:eastAsia="zh-CN"/>
        </w:rPr>
        <w:t>integra em seus quadros social e funcional, servidor público da administração direta ou indireta do Município de Lindóia do Sul, e agente político da esfera municipal de Lindóia do Sul, do Estado de Santa Catarina, e da União, bem como</w:t>
      </w:r>
      <w:r>
        <w:rPr>
          <w:rFonts w:eastAsia="Times New Roman" w:cs="Arial" w:ascii="Arial" w:hAnsi="Arial"/>
          <w:b w:val="false"/>
          <w:bCs/>
          <w:color w:val="000000"/>
          <w:kern w:val="0"/>
          <w:sz w:val="21"/>
          <w:szCs w:val="21"/>
          <w:lang w:eastAsia="pt-BR"/>
        </w:rPr>
        <w:t xml:space="preserve"> se não estiver em conformidade com o que prevê o art. </w:t>
      </w:r>
      <w:r>
        <w:rPr>
          <w:rFonts w:eastAsia="Times New Roman" w:cs="Arial" w:ascii="Arial" w:hAnsi="Arial"/>
          <w:b w:val="false"/>
          <w:bCs/>
          <w:color w:val="000000"/>
          <w:kern w:val="2"/>
          <w:sz w:val="21"/>
          <w:szCs w:val="21"/>
          <w:lang w:eastAsia="zh-CN"/>
        </w:rPr>
        <w:t>54 I “a” da Constituição Federal e art. 43 I “a” e II “a” da Constituição do Estado de Santa Catarina,</w:t>
      </w:r>
      <w:r>
        <w:rPr>
          <w:rFonts w:ascii="Arial" w:hAnsi="Arial"/>
          <w:sz w:val="21"/>
          <w:szCs w:val="21"/>
        </w:rPr>
        <w:t xml:space="preserve"> devendo ser comprovado mediante declaração, expressamente conforme ANEXO V.</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7. REGULAMENTO OPERACIONAL DO CERTAME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7.1. O certame será conduzido pelo Pregoeiro(a), com o auxílio da equipe de apoio, que terá, em especial, as seguintes atribuições: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a) coordenar o processo licitatório;</w:t>
      </w:r>
    </w:p>
    <w:p>
      <w:pPr>
        <w:pStyle w:val="Normal"/>
        <w:widowControl/>
        <w:suppressAutoHyphens w:val="true"/>
        <w:bidi w:val="0"/>
        <w:spacing w:lineRule="auto" w:line="300" w:before="0" w:after="0"/>
        <w:ind w:left="0" w:right="0" w:hanging="0"/>
        <w:jc w:val="both"/>
        <w:rPr/>
      </w:pPr>
      <w:r>
        <w:rPr>
          <w:rFonts w:ascii="Arial" w:hAnsi="Arial"/>
          <w:sz w:val="21"/>
          <w:szCs w:val="21"/>
        </w:rPr>
        <w:t>b) receber, examinar e decidir as impugnações e consultas ao Edital, apoiado pelo responsável pela sua elaboração;</w:t>
      </w:r>
    </w:p>
    <w:p>
      <w:pPr>
        <w:pStyle w:val="Normal"/>
        <w:widowControl/>
        <w:suppressAutoHyphens w:val="true"/>
        <w:bidi w:val="0"/>
        <w:spacing w:lineRule="auto" w:line="300" w:before="0" w:after="0"/>
        <w:ind w:left="0" w:right="0" w:hanging="0"/>
        <w:jc w:val="both"/>
        <w:rPr/>
      </w:pPr>
      <w:r>
        <w:rPr>
          <w:rFonts w:ascii="Arial" w:hAnsi="Arial"/>
          <w:sz w:val="21"/>
          <w:szCs w:val="21"/>
        </w:rPr>
        <w:t>c) conduzir a sessão pública na internet;</w:t>
      </w:r>
    </w:p>
    <w:p>
      <w:pPr>
        <w:pStyle w:val="Normal"/>
        <w:widowControl/>
        <w:suppressAutoHyphens w:val="true"/>
        <w:bidi w:val="0"/>
        <w:spacing w:lineRule="auto" w:line="300" w:before="0" w:after="0"/>
        <w:ind w:left="0" w:right="0" w:hanging="0"/>
        <w:jc w:val="both"/>
        <w:rPr/>
      </w:pPr>
      <w:r>
        <w:rPr>
          <w:rFonts w:ascii="Arial" w:hAnsi="Arial"/>
          <w:sz w:val="21"/>
          <w:szCs w:val="21"/>
        </w:rPr>
        <w:t>d) verificar a conformidade da proposta com os requisitos estabelecidos no instrumento convocatório;</w:t>
      </w:r>
    </w:p>
    <w:p>
      <w:pPr>
        <w:pStyle w:val="Normal"/>
        <w:widowControl/>
        <w:suppressAutoHyphens w:val="true"/>
        <w:bidi w:val="0"/>
        <w:spacing w:lineRule="auto" w:line="300" w:before="0" w:after="0"/>
        <w:ind w:left="0" w:right="0" w:hanging="0"/>
        <w:jc w:val="both"/>
        <w:rPr/>
      </w:pPr>
      <w:r>
        <w:rPr>
          <w:rFonts w:ascii="Arial" w:hAnsi="Arial"/>
          <w:sz w:val="21"/>
          <w:szCs w:val="21"/>
        </w:rPr>
        <w:t>e) dirigir a etapa de lances;</w:t>
      </w:r>
    </w:p>
    <w:p>
      <w:pPr>
        <w:pStyle w:val="Normal"/>
        <w:widowControl/>
        <w:suppressAutoHyphens w:val="true"/>
        <w:bidi w:val="0"/>
        <w:spacing w:lineRule="auto" w:line="300" w:before="0" w:after="0"/>
        <w:ind w:left="0" w:right="0" w:hanging="0"/>
        <w:jc w:val="both"/>
        <w:rPr/>
      </w:pPr>
      <w:r>
        <w:rPr>
          <w:rFonts w:ascii="Arial" w:hAnsi="Arial"/>
          <w:sz w:val="21"/>
          <w:szCs w:val="21"/>
        </w:rPr>
        <w:t>f) verificar e julgar as condições de habilitação;</w:t>
      </w:r>
    </w:p>
    <w:p>
      <w:pPr>
        <w:pStyle w:val="Normal"/>
        <w:widowControl/>
        <w:suppressAutoHyphens w:val="true"/>
        <w:bidi w:val="0"/>
        <w:spacing w:lineRule="auto" w:line="300" w:before="0" w:after="0"/>
        <w:ind w:left="0" w:right="0" w:hanging="0"/>
        <w:jc w:val="both"/>
        <w:rPr/>
      </w:pPr>
      <w:r>
        <w:rPr>
          <w:rFonts w:ascii="Arial" w:hAnsi="Arial"/>
          <w:sz w:val="21"/>
          <w:szCs w:val="21"/>
        </w:rPr>
        <w:t>g) analisar a admissibilidade dos recursos, podendo, em tal caso, exercer o juízo de retratação no prazo de 03 (três) dias úteis (§ 2º do art. 165 da Lei Federal nº 14.133, de 2021), findo o qual deverá encaminhar o recurso, devidamente instruído, à deliberação da autoridade superior;</w:t>
      </w:r>
    </w:p>
    <w:p>
      <w:pPr>
        <w:pStyle w:val="Normal"/>
        <w:widowControl/>
        <w:suppressAutoHyphens w:val="true"/>
        <w:bidi w:val="0"/>
        <w:spacing w:lineRule="auto" w:line="300" w:before="0" w:after="0"/>
        <w:ind w:left="0" w:right="0" w:hanging="0"/>
        <w:jc w:val="both"/>
        <w:rPr/>
      </w:pPr>
      <w:r>
        <w:rPr>
          <w:rFonts w:ascii="Arial" w:hAnsi="Arial"/>
          <w:sz w:val="21"/>
          <w:szCs w:val="21"/>
        </w:rPr>
        <w:t>h) indicar o vencedor do certame;</w:t>
      </w:r>
    </w:p>
    <w:p>
      <w:pPr>
        <w:pStyle w:val="Normal"/>
        <w:widowControl/>
        <w:suppressAutoHyphens w:val="true"/>
        <w:bidi w:val="0"/>
        <w:spacing w:lineRule="auto" w:line="300" w:before="0" w:after="0"/>
        <w:ind w:left="0" w:right="0" w:hanging="0"/>
        <w:jc w:val="both"/>
        <w:rPr/>
      </w:pPr>
      <w:r>
        <w:rPr>
          <w:rFonts w:ascii="Arial" w:hAnsi="Arial"/>
          <w:sz w:val="21"/>
          <w:szCs w:val="21"/>
        </w:rPr>
        <w:t>i) conduzir os trabalhos da equipe de apoio;</w:t>
      </w:r>
    </w:p>
    <w:p>
      <w:pPr>
        <w:pStyle w:val="Normal"/>
        <w:widowControl/>
        <w:suppressAutoHyphens w:val="true"/>
        <w:bidi w:val="0"/>
        <w:spacing w:lineRule="auto" w:line="300" w:before="0" w:after="0"/>
        <w:ind w:left="0" w:right="0" w:hanging="0"/>
        <w:jc w:val="both"/>
        <w:rPr/>
      </w:pPr>
      <w:r>
        <w:rPr>
          <w:rFonts w:ascii="Arial" w:hAnsi="Arial"/>
          <w:sz w:val="21"/>
          <w:szCs w:val="21"/>
        </w:rPr>
        <w:t>j) sanear erros ou falhas que não alterem a substância das propostas;</w:t>
      </w:r>
    </w:p>
    <w:p>
      <w:pPr>
        <w:pStyle w:val="Normal"/>
        <w:widowControl/>
        <w:suppressAutoHyphens w:val="true"/>
        <w:bidi w:val="0"/>
        <w:spacing w:lineRule="auto" w:line="300" w:before="0" w:after="0"/>
        <w:ind w:left="0" w:right="0" w:hanging="0"/>
        <w:jc w:val="both"/>
        <w:rPr/>
      </w:pPr>
      <w:r>
        <w:rPr>
          <w:rFonts w:ascii="Arial" w:hAnsi="Arial"/>
          <w:sz w:val="21"/>
          <w:szCs w:val="21"/>
        </w:rPr>
        <w:t>k) encaminhar à equipe de apoio os documentos de habilitação, caso verifique a possibilidade de sanear erros ou falhas que não alterem a substância dos documentos e sua validade jurídica; e</w:t>
      </w:r>
    </w:p>
    <w:p>
      <w:pPr>
        <w:pStyle w:val="Normal"/>
        <w:widowControl/>
        <w:suppressAutoHyphens w:val="true"/>
        <w:bidi w:val="0"/>
        <w:spacing w:lineRule="auto" w:line="300" w:before="0" w:after="0"/>
        <w:ind w:left="0" w:right="0" w:hanging="0"/>
        <w:jc w:val="both"/>
        <w:rPr/>
      </w:pPr>
      <w:r>
        <w:rPr>
          <w:rFonts w:ascii="Arial" w:hAnsi="Arial"/>
          <w:sz w:val="21"/>
          <w:szCs w:val="21"/>
        </w:rPr>
        <w:t>l) encaminhar o processo devidamente instruído à autoridade superior e propor a adjudicação, homologação e confecções de atas ou contratos administrativos.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7.1.1. O pregoeiro poderá solicitar manifestação técnica da assessoria jurídica ou de outros agentes públicos, de setores da entidade, a fim de subsidiar sua decisão.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7.2. CREDENCIAMENTO NO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7.2.1 Para acesso ao sistema eletrônico, os interessados em participar do Pregão Eletrônico deverão dispor de chave de identificação e senha pessoal, ambas intransferíveis e de responsabilidade única do Usuário, obtidas junto ao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7.2.2. A chave de identificação e a senha dos operadores poderão ser utilizadas em qualquer pregão eletrônico, salvo quando canceladas por solicitação do Usuário ou por iniciativa do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7.2.3. É de exclusiva responsabilidade do Usuário o sigilo da senha, bem como seu uso em qualquer transação efetuada diretamente ou por seu representante, não cabendo ao Portal de Compras Públicas ou Município de Lindóia do Sul a responsabilidade por eventuais danos decorrentes de uso indevido da senha, ainda que por terceiros.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7.2.4. O credenciamento do fornecedor e de seu representante legal junto ao sistema eletrônico implica a responsabilidade legal pelos atos praticados, a presunção de capacidade técnica para realização das transações inerentes ao pregão eletrônico, bem como a aceitabilidade no que se refere as regras dos editais eletrônicos que escolher participar.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7.3.</w:t>
      </w:r>
      <w:r>
        <w:rPr>
          <w:rFonts w:ascii="Arial" w:hAnsi="Arial"/>
          <w:sz w:val="21"/>
          <w:szCs w:val="21"/>
        </w:rPr>
        <w:t xml:space="preserve"> </w:t>
      </w:r>
      <w:r>
        <w:rPr>
          <w:rFonts w:ascii="Arial" w:hAnsi="Arial"/>
          <w:b/>
          <w:bCs/>
          <w:sz w:val="21"/>
          <w:szCs w:val="21"/>
        </w:rPr>
        <w:t>PARTICIPAÇÃO</w:t>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7.3.1. A participação no Pregão Eletrônico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7.3.2. Caberá ao licitante acompanhar as operações no sistema eletrônico durante a sessão pública do pregão, ficando responsável pelo ônus decorrentes da perda de negócios diante da inobservância de quaisquer mensagens emitidas pelo sistema ou de sua desconexão.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7.3.3. A participação do licitante nesta Licitação implica aceitação de todos os termos deste Edital, e obrigará o proponente vencedor a entrega dos itens nas condições, locais e prazos definidos.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7.4. PROPOSTA NO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 O encaminhamento de proposta e os documentos de habilitação exigidos no Edital, para o sistema eletrônico pressupõe o pleno conhecimento e atendimento às exigências de habilitação e execução do Contrato previstas no Edital. O Licitante será responsável por todas as transações que forem efetuadas em seu nome no sistema eletrônico, assumindo como firmes e verdadeiras suas propostas, lances e aceitação das regras de cumprimento de suas obrigações.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7.4.2. No preenchimento da proposta eletrônica deverão, obrigatoriamente, ser informadas, no campo próprio, as especificações, marca/modelo, preços unitário e totais de todos os itens ofertados.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7.4.2.1. </w:t>
      </w:r>
      <w:r>
        <w:rPr>
          <w:rFonts w:eastAsia="Times New Roman" w:cs="Arial" w:ascii="Arial" w:hAnsi="Arial"/>
          <w:bCs/>
          <w:color w:val="000000"/>
          <w:kern w:val="0"/>
          <w:sz w:val="21"/>
          <w:szCs w:val="21"/>
          <w:shd w:fill="auto" w:val="clear"/>
          <w:lang w:eastAsia="zh-CN"/>
        </w:rPr>
        <w:t xml:space="preserve">O valor máximo final aceitável orçado pelo Município para a aquisição do objeto desta licitação encontra-se </w:t>
      </w:r>
      <w:r>
        <w:rPr>
          <w:rFonts w:eastAsia="Times New Roman" w:cs="Arial" w:ascii="Arial" w:hAnsi="Arial"/>
          <w:bCs/>
          <w:color w:val="000000"/>
          <w:kern w:val="0"/>
          <w:sz w:val="21"/>
          <w:szCs w:val="21"/>
          <w:shd w:fill="FFFFFF" w:val="clear"/>
          <w:lang w:eastAsia="zh-CN"/>
        </w:rPr>
        <w:t>no Anexo “I” de</w:t>
      </w:r>
      <w:r>
        <w:rPr>
          <w:rFonts w:eastAsia="Times New Roman" w:cs="Arial" w:ascii="Arial" w:hAnsi="Arial"/>
          <w:bCs/>
          <w:color w:val="000000"/>
          <w:kern w:val="0"/>
          <w:sz w:val="21"/>
          <w:szCs w:val="21"/>
          <w:shd w:fill="auto" w:val="clear"/>
          <w:lang w:eastAsia="zh-CN"/>
        </w:rPr>
        <w:t>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7.4.3 O objeto deverá estar total e estritamente dentro das especificações contidas para o Edital e seus anexos.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7.4.4. Fica vetada a identificação da empresa em qualquer campo da proposta, tal como timbres, abreviações (relacionadas a empresas), telefones etc., o descumprimento do mesmo acarretará a desclassificação prévia da empresa licitante.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7.4.5. O licitante deverá encaminhar proposta, concomitantemente os documentos de habilitação exigidos no Edital, exclusivamente por meio do sistema eletrônico, até a data e horário indicados no preâmbulo deste Edital, quando então encerrar-se-á automaticamente a fase de recebimento de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7.4.6. A licitante deverá declarar, em campo próprio do sistema eletrônico, que cumpre plenamente os requisitos de habilitação, e que sua proposta está em conformidade com as exigências do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7.4.7. A licitante enquadrada como microempresa ou empresa de pequeno porte deverá declarar, sob pena de decair seu Direito de Pequena Empresa, em campo próprio do Sistema, que atende aos requisitos do art. 3º da LC nº 123/06, para fazer jus aos benefícios previstos em lei.</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7.4.8 A declaração falsa relativa ao cumprimento dos requisitos de habilitação, à conformidade da proposta ou ao enquadramento como microempresa ou empresa de pequeno porte sujeitará a licitante às sanções previstas neste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7.4.9. As propostas ficarão disponíveis no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7.4.10 Qualquer elemento que possa identificar a licitante importa desclassificação da proposta, sem prejuízo das sanções previstas nesse Edital e nas demais legislações brasileiras.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7.4.11. Até a data limite para a apresentação da proposta, a licitante poderá retirar ou substituir a proposta e os documentos de habilitação anteriormente encaminhada. Após a data limite, não poderá haver desistência da proposta, salvo aceitação de justificativa pelo Município de Lindóia do Sul, e poderá ocorrer o complemento dos documentos de habilitação e regularidade fiscal após a fase de lances, se for declarado vencedor, no prazo estipulado pelo pregoeiro, não inferior a 02 (duas) horas.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7.4.12. Os documentos que compõem a proposta e a habilitação do licitante melhor classificado somente serão disponibilizados para avaliação do Pregoeiro e para acesso público após o encerramento do envio de lances.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7.4.13. O prazo de validade da proposta de preços não poderá ser inferior a 60 (sessenta) dias, contados da abertura das propostas virtuais.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7.4.14. Nos preços propostos deverão estar incluídos todos os custos diretos e indiretos necessários à perfeita execução do objeto,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7.4.15. Para composição do preço unitário e total do item, os participantes deverão considerar até 02 (dois) dígitos após a vírgula. No fornecimento posterior, a totalização do pedido contabilizado (total da Nota Fiscal) será de dois dígitos após a vírgula. Se houve algum dígito a mais, não importa a quantidade, será desconsiderado.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7.4.16. A apresentação de proposta importa no compromisso, pelo licitante, com o cumprimento dos respectivos métodos de controle de qualidade e da sistemática de certificação de conformidade, existentes atualmente.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Default"/>
        <w:spacing w:lineRule="auto" w:line="300" w:before="0" w:after="0"/>
        <w:ind w:left="0" w:right="0" w:hanging="0"/>
        <w:jc w:val="both"/>
        <w:rPr/>
      </w:pPr>
      <w:r>
        <w:rPr>
          <w:rFonts w:ascii="Arial" w:hAnsi="Arial"/>
          <w:b w:val="false"/>
          <w:bCs w:val="false"/>
          <w:strike w:val="false"/>
          <w:dstrike w:val="false"/>
          <w:color w:val="000000"/>
          <w:sz w:val="21"/>
          <w:szCs w:val="21"/>
          <w:u w:val="none"/>
        </w:rPr>
        <w:t xml:space="preserve">7.4.17. </w:t>
      </w:r>
      <w:r>
        <w:rPr>
          <w:rFonts w:ascii="Arial" w:hAnsi="Arial"/>
          <w:b w:val="false"/>
          <w:strike w:val="false"/>
          <w:dstrike w:val="false"/>
          <w:color w:val="000000"/>
          <w:sz w:val="21"/>
          <w:szCs w:val="21"/>
          <w:u w:val="none"/>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Default"/>
        <w:spacing w:lineRule="auto" w:line="300" w:before="0" w:after="0"/>
        <w:ind w:left="0" w:right="0" w:hanging="0"/>
        <w:jc w:val="both"/>
        <w:rPr>
          <w:b w:val="false"/>
          <w:b w:val="false"/>
          <w:strike w:val="false"/>
          <w:dstrike w:val="false"/>
          <w:color w:val="000000"/>
          <w:u w:val="none"/>
        </w:rPr>
      </w:pPr>
      <w:r>
        <w:rPr>
          <w:b w:val="false"/>
          <w:strike w:val="false"/>
          <w:dstrike w:val="false"/>
          <w:color w:val="000000"/>
          <w:u w:val="none"/>
        </w:rPr>
      </w:r>
    </w:p>
    <w:p>
      <w:pPr>
        <w:pStyle w:val="Default"/>
        <w:spacing w:lineRule="auto" w:line="300" w:before="0" w:after="0"/>
        <w:ind w:left="0" w:right="0" w:hanging="0"/>
        <w:jc w:val="both"/>
        <w:rPr/>
      </w:pPr>
      <w:r>
        <w:rPr>
          <w:rFonts w:ascii="Arial" w:hAnsi="Arial"/>
          <w:b w:val="false"/>
          <w:bCs w:val="false"/>
          <w:strike w:val="false"/>
          <w:dstrike w:val="false"/>
          <w:color w:val="000000"/>
          <w:sz w:val="21"/>
          <w:szCs w:val="21"/>
          <w:u w:val="none"/>
        </w:rPr>
        <w:t xml:space="preserve">7.4.18. </w:t>
      </w:r>
      <w:r>
        <w:rPr>
          <w:rFonts w:ascii="Arial" w:hAnsi="Arial"/>
          <w:b w:val="false"/>
          <w:strike w:val="false"/>
          <w:dstrike w:val="false"/>
          <w:color w:val="000000"/>
          <w:sz w:val="21"/>
          <w:szCs w:val="21"/>
          <w:u w:val="none"/>
        </w:rPr>
        <w:t>A apresentação da proposta implica obrigatoriedade do cumprimento das disposições nela contida, em conformidade com o que dispõe o Termo de Referência, assumindo o proponente o compromisso de executar o objeto licitado nos seus termos, bem como, de promover, quando requerido, sua substituição.</w:t>
      </w:r>
    </w:p>
    <w:p>
      <w:pPr>
        <w:pStyle w:val="Default"/>
        <w:spacing w:lineRule="auto" w:line="300" w:before="0" w:after="0"/>
        <w:ind w:left="0" w:right="0" w:hanging="0"/>
        <w:rPr>
          <w:b w:val="false"/>
          <w:b w:val="false"/>
          <w:strike w:val="false"/>
          <w:dstrike w:val="false"/>
          <w:color w:val="000000"/>
          <w:u w:val="none"/>
        </w:rPr>
      </w:pPr>
      <w:r>
        <w:rPr>
          <w:b w:val="false"/>
          <w:strike w:val="false"/>
          <w:dstrike w:val="false"/>
          <w:color w:val="000000"/>
          <w:u w:val="none"/>
        </w:rPr>
      </w:r>
    </w:p>
    <w:p>
      <w:pPr>
        <w:pStyle w:val="Normal"/>
        <w:widowControl/>
        <w:suppressAutoHyphens w:val="true"/>
        <w:bidi w:val="0"/>
        <w:spacing w:lineRule="auto" w:line="300" w:before="0" w:after="0"/>
        <w:ind w:left="0" w:right="0" w:hanging="0"/>
        <w:jc w:val="both"/>
        <w:rPr/>
      </w:pPr>
      <w:r>
        <w:rPr>
          <w:rFonts w:ascii="Arial" w:hAnsi="Arial"/>
          <w:b/>
          <w:bCs/>
          <w:sz w:val="21"/>
          <w:szCs w:val="21"/>
        </w:rPr>
        <w:t>8. ABERTURA DAS PROPOSTAS E FORMULAÇÃO DOS LANCES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 A partir do horário previsto no Edital e no site www.portaldecompraspublicas.com.br, terá início a sessão pública do pregão, na forma eletrônica, com a divulgação das propostas de preços recebidas, passando o Pregoeiro (a) a avaliar a aceitabilidade das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8.1.1. </w:t>
      </w:r>
      <w:r>
        <w:rPr>
          <w:rFonts w:eastAsia="Times New Roman" w:cs="Arial" w:ascii="Arial" w:hAnsi="Arial"/>
          <w:bCs/>
          <w:color w:val="000000"/>
          <w:kern w:val="0"/>
          <w:sz w:val="21"/>
          <w:szCs w:val="21"/>
          <w:lang w:eastAsia="zh-CN"/>
        </w:rPr>
        <w:t>O acompanhamento da sessão se dará, única e exclusivamente, por meio eletrônico, no sítio informado no preâmbulo deste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 Serão verificadas as propostas apresentadas e desclassificadas, motivadamente, aquelas que não estejam em conformidade com os requisitos estabelecidos neste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8.3. Somente as licitantes com propostas classificadas participarão da fase de lances.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8.4. Todas as propostas classificadas serão consideradas lances na fase de disputas e ordenadas por valor, de forma decrescente.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8.5. Aberta a etapa competitiva, os representantes dos fornecedores deverão estar conectados ao sistema para participar da sessão de lances, </w:t>
      </w:r>
      <w:r>
        <w:rPr>
          <w:rFonts w:eastAsia="Times New Roman" w:cs="Arial" w:ascii="Arial" w:hAnsi="Arial"/>
          <w:bCs/>
          <w:color w:val="000000"/>
          <w:kern w:val="0"/>
          <w:sz w:val="21"/>
          <w:szCs w:val="21"/>
          <w:lang w:eastAsia="zh-CN"/>
        </w:rPr>
        <w:t>exclusivamente por meio do sistema eletrônico</w:t>
      </w:r>
      <w:r>
        <w:rPr>
          <w:rFonts w:ascii="Arial" w:hAnsi="Arial"/>
          <w:sz w:val="21"/>
          <w:szCs w:val="21"/>
        </w:rPr>
        <w:t>. A cada lance ofertado o participante será imediatamente informado de seu recebimento e respectivo horário de registro e valor, mantendo-se em sigilo a identificação de todos os demais ofertantes.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8.6. Durante a sessão pública, a comunicação entre o(a) Pregoeiro(a) e as licitantes ocorrerá exclusivamente mediante troca de mensagens, em campo próprio do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8.7. Os itens, caso existentes, poderão ser disponibilizados por grupo, para otimização dos trabalhos do(a) Pregoeiro(a) e da Equipe de Apoio e a disputa de lances poderá se estender para outros dias, se necessário.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8.8. Poderão ser ofertados lances intermediários, na impossibilidade de cobrir o menor preço, desde que seja inferior ao seu último lance ofertado e diferente de qualquer lance válido.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8.9. Não serão aceitos dois ou mais lances de mesmo valor, prevalecendo aquele que for recebido e registrado em primeiro lugar pelo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8.10. </w:t>
      </w:r>
      <w:r>
        <w:rPr>
          <w:rFonts w:eastAsia="Times New Roman" w:cs="Arial" w:ascii="Arial" w:hAnsi="Arial"/>
          <w:bCs/>
          <w:color w:val="000000"/>
          <w:kern w:val="0"/>
          <w:sz w:val="21"/>
          <w:szCs w:val="21"/>
          <w:lang w:eastAsia="zh-CN"/>
        </w:rPr>
        <w:t>Durante a sessão pública do Pregão Eletrônico, os licitantes serão informados em tempo real, do valor do menor lance registrado, vedada a identificação do seu detentor.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8.11. No caso de desconexão com o(a) Pregoeiro(a), no decorrer da etapa competitiva do Pregão, na Forma Eletrônica, o sistema eletrônico poderá permanecer acessível às licitantes para a recepção dos lances, retornando o(a) Pregoeiro(a), quando possível, sua atuação no certame, sem prejuízos dos atos realizados.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8.11.1. Quando a desconexão persistir por tempo superior a 10 (dez) minutos, a sessão do Pregão, na Forma Eletrônica será suspensa e terá reinício </w:t>
      </w:r>
      <w:r>
        <w:rPr>
          <w:rFonts w:eastAsia="Times New Roman" w:cs="Arial" w:ascii="Arial" w:hAnsi="Arial"/>
          <w:bCs/>
          <w:color w:val="000000"/>
          <w:kern w:val="0"/>
          <w:sz w:val="21"/>
          <w:szCs w:val="21"/>
          <w:lang w:eastAsia="zh-CN"/>
        </w:rPr>
        <w:t>somente decorridas no mínimo vinte e quatro horas após a comunicação do fato aos participantes, no sítio eletrônico utilizado para divulgação,</w:t>
      </w:r>
      <w:r>
        <w:rPr>
          <w:rFonts w:ascii="Arial" w:hAnsi="Arial"/>
          <w:sz w:val="21"/>
          <w:szCs w:val="21"/>
        </w:rPr>
        <w:t xml:space="preserve"> divulgando data e hora da reabertura da sessão.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8.12. Será adotado para o envio de lances no pregão eletrônico o modo de disputa “</w:t>
      </w:r>
      <w:r>
        <w:rPr>
          <w:rFonts w:ascii="Arial" w:hAnsi="Arial"/>
          <w:b/>
          <w:bCs/>
          <w:sz w:val="21"/>
          <w:szCs w:val="21"/>
        </w:rPr>
        <w:t>ABERTO</w:t>
      </w:r>
      <w:r>
        <w:rPr>
          <w:rFonts w:ascii="Arial" w:hAnsi="Arial"/>
          <w:sz w:val="21"/>
          <w:szCs w:val="21"/>
        </w:rPr>
        <w:t>”, em que os licitantes apresentarão lances públicos e sucessivos, com prorrogações.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8.13. A etapa de lances da sessão pública terá duração de 10 (dez) minutos e, após isso, será prorrogada automaticamente pelo sistema quando houver lance ofertado nos últimos 02 (dois) minutos do período de duração da sessão pública.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8.13.1. A prorrogação automática da etapa de lances, de que trata o item anterior, será de 02 (dois) minutos e ocorrerá sucessivamente sempre que houver lances enviados nesse período de prorrogação, inclusive no caso de lances intermediários.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8.14. Não havendo novos lances na forma estabelecida nos itens anteriores, a sessão pública encerrar-se-á automaticamente.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8.15. Encerrada a fase competitiva sem que haja a prorrogação automática pelo sistema, poderá o(a) Pregoeiro(a), assessorado pela equipe de apoio, justificadamente, admitir o reinício da sessão pública de lances, em prol da consecução do melhor preço.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8.16. O sistema informará a proposta de menor preço imediatamente após o encerramento da etapa de lances ou, quando for o caso, após negociação e decisão pelo pregoeiro(a) acerca da aceitação do lance de menor valor.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8.17. O não cumprimento do envio dos documentos de habilitação exigidos neste Edital no prazo fixado, acarretará as sanções previstas neste Edital, podendo o(a) Pregoeiro(a) convocar a empresa que apresentou a proposta ou o lance subsequente.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8.18. Se a proposta ou o lance de menor valor não for aceitável, ou se o fornecedor desatender às exigências habilitatórias, o Pregoeiro(a) examinará a proposta ou o lance subsequente, verificando a sua compatibilidade e a habilitação do participante, na ordem de classificação, e assim sucessivamente, até a apuração de uma proposta ou lance que atenda o Edital. Também nessa etapa o(a) Pregoeiro(a) poderá negociar com o participante para que seja obtido preço melhor.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8.19. Caso não sejam apresentados lances, será verificada a conformidade entre a proposta de menor preço e valor estimado para a contratação.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8.20. O(A) Pregoeiro(a) poderá convocar o licitante para enviar documento digital complementar, por meio de funcionalidade disponível no sistema, no prazo mínimo de 02 (duas) horas, sob pena de não aceitação da proposta.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8.20.1. O prazo estabelecido poderá ser prorrogado pelo Pregoeiro por solicitação escrita e justificada do licitante, formulada antes de findo o prazo, e formalmente aceita pelo(a) Pregoeiro(a).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8.20.2. Dentre os documentos passíveis de solicitação pelo(a) Pregoeiro(a), como complementares, destacam-se os que contenham as características dos serviços prestados, além de outras informações pertinentes, a exemplo de catálogos, folhetos ou propostas, encaminhados por meio eletrônico, declarações, certidões e outros documentos exigidos do vencedor, ou, se for o caso, por outro meio e prazo indicados pelo Pregoeiro, sem prejuízo do seu ulterior envio pelo sistema eletrônico, sob pena de não aceitação da proposta.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8.21. Quando for constatado o empate, serão utilizados os critérios previstos no art. 60, da Lei Federal nº 14.133, de 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8.22. Constatando o atendimento das exigências fixadas no Edital e inexistindo interposição de recursos, o objeto será adjudicado ao autor da proposta mais vantajosa que foi habilitada.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9. PROPOSTA FINAL ESCRITA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9.1. A Empresa vencedora, deverá enviar ao(a) Pregoeiro(a), via sistema, a Proposta de Preços adequada ao último lance ofertado, após a negociação (podendo ser utilizado o modelo constante do ANEXO II), no prazo mínimo de 02 (duas) horas, podendo ser prorrogável por igual período, contado da solicitação do(a) Pregoeiro(a), acompanhada, se for o caso, dos documentos complementares, quando necessários à confirmação daqueles exigidos neste Edital e já apresentados.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9.1.1. NA PROPOSTA ESCRITA, VIA SISTEMA, DEVERÁ CONTER: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a) o nome do proponente, endereço, identificação (individual ou social), o nº do CNPJ e da Inscrição Estadual, número de telefone e e-mail;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b) suas folhas devem estar datadas, assinadas e rubricadas pelo seu representante legal, podendo ser de forma digital, desde que atendidos os requisitos legais;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c) nos preços propostos deverão estar incluídos todos os custos diretos e indiretos necessários à perfeita execução do objeto, como: entregas,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d) conter discriminados em moeda corrente nacional os preços dos itens limitados a 02 (duas) casas decimais para os centavos;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e) Valor unitário e valor total com a quantidade estimada e descritivo de cada item.</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f) O prazo de validade da proposta de preços que não poderá ser inferior a 60 (sessenta) dias, contados da abertura das propostas virtuais;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highlight w:val="none"/>
          <w:shd w:fill="auto" w:val="clear"/>
        </w:rPr>
      </w:pPr>
      <w:r>
        <w:rPr>
          <w:rFonts w:ascii="Arial" w:hAnsi="Arial"/>
          <w:sz w:val="21"/>
          <w:szCs w:val="21"/>
          <w:shd w:fill="auto" w:val="clear"/>
        </w:rPr>
        <w:t>g) conter o prazo de execução conforme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highlight w:val="none"/>
          <w:shd w:fill="auto" w:val="clear"/>
        </w:rPr>
      </w:pPr>
      <w:r>
        <w:rPr>
          <w:rFonts w:ascii="Arial" w:hAnsi="Arial"/>
          <w:sz w:val="21"/>
          <w:szCs w:val="21"/>
          <w:shd w:fill="auto" w:val="clear"/>
        </w:rPr>
        <w:t>h) Dados bancários, dados do representante legal, declaração de domicílio eletrônico e declaração de assinatura por certificação digital.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Default"/>
        <w:spacing w:lineRule="auto" w:line="300" w:before="0" w:after="0"/>
        <w:ind w:left="0" w:right="0" w:hanging="0"/>
        <w:jc w:val="left"/>
        <w:rPr/>
      </w:pPr>
      <w:r>
        <w:rPr>
          <w:rFonts w:ascii="Arial" w:hAnsi="Arial"/>
          <w:b w:val="false"/>
          <w:bCs w:val="false"/>
          <w:i w:val="false"/>
          <w:strike w:val="false"/>
          <w:dstrike w:val="false"/>
          <w:color w:val="000000"/>
          <w:sz w:val="21"/>
          <w:szCs w:val="21"/>
          <w:u w:val="none"/>
        </w:rPr>
        <w:t>9.1.2. O l</w:t>
      </w:r>
      <w:r>
        <w:rPr>
          <w:rFonts w:ascii="Arial" w:hAnsi="Arial"/>
          <w:b w:val="false"/>
          <w:i w:val="false"/>
          <w:strike w:val="false"/>
          <w:dstrike w:val="false"/>
          <w:color w:val="000000"/>
          <w:sz w:val="21"/>
          <w:szCs w:val="21"/>
          <w:u w:val="none"/>
        </w:rPr>
        <w:t>icitante que convocado, que deixar de enviar a documentação acima exigida será desclassificado e sujeitar-se-á às sanções previstas neste Edital.</w:t>
      </w:r>
    </w:p>
    <w:p>
      <w:pPr>
        <w:pStyle w:val="Default"/>
        <w:spacing w:lineRule="auto" w:line="300" w:before="0" w:after="0"/>
        <w:ind w:left="0" w:right="0" w:hanging="0"/>
        <w:jc w:val="left"/>
        <w:rPr>
          <w:b w:val="false"/>
          <w:b w:val="false"/>
          <w:i w:val="false"/>
          <w:i w:val="false"/>
          <w:strike w:val="false"/>
          <w:dstrike w:val="false"/>
          <w:color w:val="000000"/>
          <w:u w:val="none"/>
        </w:rPr>
      </w:pPr>
      <w:r>
        <w:rPr>
          <w:b w:val="false"/>
          <w:i w:val="false"/>
          <w:strike w:val="false"/>
          <w:dstrike w:val="false"/>
          <w:color w:val="000000"/>
          <w:u w:val="none"/>
        </w:rPr>
      </w:r>
    </w:p>
    <w:p>
      <w:pPr>
        <w:pStyle w:val="Default"/>
        <w:spacing w:lineRule="auto" w:line="300" w:before="0" w:after="0"/>
        <w:ind w:left="0" w:right="0" w:hanging="0"/>
        <w:jc w:val="both"/>
        <w:rPr/>
      </w:pPr>
      <w:r>
        <w:rPr>
          <w:rFonts w:ascii="Arial" w:hAnsi="Arial"/>
          <w:b w:val="false"/>
          <w:bCs w:val="false"/>
          <w:i w:val="false"/>
          <w:strike w:val="false"/>
          <w:dstrike w:val="false"/>
          <w:color w:val="000000"/>
          <w:sz w:val="21"/>
          <w:szCs w:val="21"/>
          <w:u w:val="none"/>
        </w:rPr>
        <w:t>9.2. N</w:t>
      </w:r>
      <w:r>
        <w:rPr>
          <w:rFonts w:ascii="Arial" w:hAnsi="Arial"/>
          <w:b w:val="false"/>
          <w:i w:val="false"/>
          <w:strike w:val="false"/>
          <w:dstrike w:val="false"/>
          <w:color w:val="000000"/>
          <w:sz w:val="21"/>
          <w:szCs w:val="21"/>
          <w:u w:val="none"/>
        </w:rPr>
        <w:t>a omissão dos prazos de execução e validade da proposta, serão considerados os constantes deste edital e na divergência entre o preço unitário e total, prevalecerá o menor preço.</w:t>
      </w:r>
    </w:p>
    <w:p>
      <w:pPr>
        <w:pStyle w:val="Default"/>
        <w:spacing w:lineRule="auto" w:line="300" w:before="0" w:after="0"/>
        <w:ind w:left="0" w:right="0" w:hanging="0"/>
        <w:rPr>
          <w:b/>
          <w:b/>
          <w:i w:val="false"/>
          <w:i w:val="false"/>
          <w:strike w:val="false"/>
          <w:dstrike w:val="false"/>
          <w:color w:val="000000"/>
          <w:u w:val="none"/>
        </w:rPr>
      </w:pPr>
      <w:r>
        <w:rPr>
          <w:b/>
          <w:i w:val="false"/>
          <w:strike w:val="false"/>
          <w:dstrike w:val="false"/>
          <w:color w:val="000000"/>
          <w:u w:val="none"/>
        </w:rPr>
      </w:r>
    </w:p>
    <w:p>
      <w:pPr>
        <w:pStyle w:val="Default"/>
        <w:spacing w:lineRule="auto" w:line="300" w:before="0" w:after="0"/>
        <w:ind w:left="0" w:right="0" w:hanging="0"/>
        <w:rPr/>
      </w:pPr>
      <w:r>
        <w:rPr>
          <w:rFonts w:ascii="Arial" w:hAnsi="Arial"/>
          <w:b w:val="false"/>
          <w:bCs w:val="false"/>
          <w:i w:val="false"/>
          <w:strike w:val="false"/>
          <w:dstrike w:val="false"/>
          <w:color w:val="000000"/>
          <w:sz w:val="21"/>
          <w:szCs w:val="21"/>
          <w:u w:val="none"/>
        </w:rPr>
        <w:t>9.3. Ca</w:t>
      </w:r>
      <w:r>
        <w:rPr>
          <w:rFonts w:ascii="Arial" w:hAnsi="Arial"/>
          <w:b w:val="false"/>
          <w:i w:val="false"/>
          <w:strike w:val="false"/>
          <w:dstrike w:val="false"/>
          <w:color w:val="000000"/>
          <w:sz w:val="21"/>
          <w:szCs w:val="21"/>
          <w:u w:val="none"/>
        </w:rPr>
        <w:t xml:space="preserve">da licitante pode apresentar apenas uma proposta de preço. </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 xml:space="preserve">9.4. Para efeito de adjudicação deste Pregão, </w:t>
      </w:r>
      <w:r>
        <w:rPr>
          <w:rFonts w:eastAsia="Times New Roman" w:cs="Arial" w:ascii="Arial" w:hAnsi="Arial"/>
          <w:b/>
          <w:bCs/>
          <w:color w:val="000000"/>
          <w:kern w:val="0"/>
          <w:sz w:val="21"/>
          <w:szCs w:val="21"/>
          <w:lang w:eastAsia="pt-BR"/>
        </w:rPr>
        <w:t>se necessário</w:t>
      </w:r>
      <w:r>
        <w:rPr>
          <w:rFonts w:eastAsia="Times New Roman" w:cs="Arial" w:ascii="Arial" w:hAnsi="Arial"/>
          <w:color w:val="000000"/>
          <w:kern w:val="0"/>
          <w:sz w:val="21"/>
          <w:szCs w:val="21"/>
          <w:lang w:eastAsia="pt-BR"/>
        </w:rPr>
        <w:t>, o Pregoeiro encaminhará o processo à Secretaria Municipal solicitante, a fim de que seja emitido Parecer Técnico referente à proposta vencedora.</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9.5. Ocorrendo a desclassificação da empresa vencedora, os autos serão devolvidos ao Pregoeiro, para que esta realize nova negociação com as demais empresas, obedecendo-se à ordem de classificação, por menor preço por item.</w:t>
      </w:r>
    </w:p>
    <w:p>
      <w:pPr>
        <w:pStyle w:val="Normal"/>
        <w:widowControl/>
        <w:suppressAutoHyphens w:val="false"/>
        <w:spacing w:lineRule="auto" w:line="300" w:before="0" w:after="0"/>
        <w:ind w:left="0" w:right="0" w:hanging="0"/>
        <w:jc w:val="both"/>
        <w:rPr>
          <w:rFonts w:ascii="Arial" w:hAnsi="Arial" w:eastAsia="Times New Roman" w:cs="Arial"/>
          <w:b w:val="false"/>
          <w:b w:val="false"/>
          <w:bCs w:val="false"/>
          <w:color w:val="000000"/>
          <w:kern w:val="0"/>
          <w:sz w:val="21"/>
          <w:szCs w:val="21"/>
          <w:lang w:eastAsia="pt-BR"/>
        </w:rPr>
      </w:pPr>
      <w:r>
        <w:rPr>
          <w:rFonts w:eastAsia="Times New Roman" w:cs="Arial" w:ascii="Arial" w:hAnsi="Arial"/>
          <w:b w:val="false"/>
          <w:bCs w:val="false"/>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b w:val="false"/>
          <w:bCs w:val="false"/>
          <w:color w:val="000000"/>
          <w:kern w:val="0"/>
          <w:sz w:val="21"/>
          <w:szCs w:val="21"/>
          <w:lang w:eastAsia="pt-BR"/>
        </w:rPr>
        <w:t>9.6. Somente após tal procedimento, a Autoridade Competente fará a adjudicação à empresa vencedora.</w:t>
      </w:r>
    </w:p>
    <w:p>
      <w:pPr>
        <w:pStyle w:val="Normal"/>
        <w:widowControl/>
        <w:suppressAutoHyphens w:val="false"/>
        <w:spacing w:lineRule="auto" w:line="300" w:before="0" w:after="0"/>
        <w:ind w:left="0" w:right="0" w:hanging="0"/>
        <w:jc w:val="both"/>
        <w:rPr>
          <w:rFonts w:ascii="Arial" w:hAnsi="Arial" w:eastAsia="Times New Roman" w:cs="Arial"/>
          <w:b w:val="false"/>
          <w:b w:val="false"/>
          <w:bCs w:val="false"/>
          <w:color w:val="000000"/>
          <w:kern w:val="0"/>
          <w:sz w:val="21"/>
          <w:szCs w:val="21"/>
          <w:lang w:eastAsia="pt-BR"/>
        </w:rPr>
      </w:pPr>
      <w:r>
        <w:rPr>
          <w:rFonts w:eastAsia="Times New Roman" w:cs="Arial" w:ascii="Arial" w:hAnsi="Arial"/>
          <w:b w:val="false"/>
          <w:bCs w:val="false"/>
          <w:color w:val="000000"/>
          <w:kern w:val="0"/>
          <w:sz w:val="21"/>
          <w:szCs w:val="21"/>
          <w:lang w:eastAsia="pt-BR"/>
        </w:rPr>
      </w:r>
    </w:p>
    <w:p>
      <w:pPr>
        <w:pStyle w:val="Normal"/>
        <w:widowControl/>
        <w:suppressAutoHyphens w:val="true"/>
        <w:bidi w:val="0"/>
        <w:spacing w:lineRule="auto" w:line="300" w:before="0" w:after="0"/>
        <w:ind w:left="0" w:right="0" w:hanging="0"/>
        <w:jc w:val="both"/>
        <w:rPr/>
      </w:pPr>
      <w:r>
        <w:rPr>
          <w:rFonts w:ascii="Arial" w:hAnsi="Arial"/>
          <w:b/>
          <w:bCs/>
          <w:sz w:val="21"/>
          <w:szCs w:val="21"/>
        </w:rPr>
        <w:t>10. DA HABILITAÇÃO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10.1. Toda a documentação de habilitação deverá ser encaminhada com a proposta de preços, na forma prevista neste Edital, em formato digital, exclusivamente por meio do sistema.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10.2. Para habilitação na presente licitação será exigido o encaminhamento via sistema dos seguintes documentos: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850" w:right="0" w:hanging="0"/>
        <w:jc w:val="both"/>
        <w:rPr/>
      </w:pPr>
      <w:r>
        <w:rPr>
          <w:rFonts w:ascii="Arial" w:hAnsi="Arial"/>
          <w:sz w:val="21"/>
          <w:szCs w:val="21"/>
        </w:rPr>
        <w:t>a) Ato constitutivo, estatuto ou contrato social em vigor (de acordo com as exigências do Novo Código Civil), a alteração contratual referente à mudança de razão social, na hipótese de haver a referida mudança, bem como a última alteração, devidamente registrado, em se tratando de sociedades comerciais, e, no caso de sociedade por ações, acompanhado dos documentos de eleição de seus administradores;</w:t>
      </w:r>
    </w:p>
    <w:p>
      <w:pPr>
        <w:pStyle w:val="Normal"/>
        <w:widowControl/>
        <w:suppressAutoHyphens w:val="true"/>
        <w:bidi w:val="0"/>
        <w:spacing w:lineRule="auto" w:line="300"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850" w:right="0" w:hanging="0"/>
        <w:jc w:val="both"/>
        <w:rPr/>
      </w:pPr>
      <w:r>
        <w:rPr>
          <w:rFonts w:ascii="Arial" w:hAnsi="Arial"/>
          <w:sz w:val="21"/>
          <w:szCs w:val="21"/>
        </w:rPr>
        <w:t>b) Caso seja representada por procurador, este deverá apresentar procuração ou documento equivalente, com firma reconhecida do Outorgante, cópia do respectivo RG - Registro Geral e CPF/MF – Cadastro de Pessoa Física do Ministério da Fazenda, a fim de comprovar os poderes do outorgante;</w:t>
      </w:r>
    </w:p>
    <w:p>
      <w:pPr>
        <w:pStyle w:val="Normal"/>
        <w:widowControl/>
        <w:suppressAutoHyphens w:val="true"/>
        <w:bidi w:val="0"/>
        <w:spacing w:lineRule="auto" w:line="300"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850" w:right="0" w:hanging="0"/>
        <w:jc w:val="both"/>
        <w:rPr/>
      </w:pPr>
      <w:r>
        <w:rPr>
          <w:rFonts w:ascii="Arial" w:hAnsi="Arial"/>
          <w:sz w:val="21"/>
          <w:szCs w:val="21"/>
        </w:rPr>
        <w:t>c) Declaração de Cumprimento Pleno dos Requisitos de Habilitação, conforme modelo (ANEXO III). Obs.: Se for Microempresa ou Empresa de Pequeno Porte – EPP com problemas na habilitação, fazer constar tal ressalva e comprovando condição.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 xml:space="preserve">d) </w:t>
      </w:r>
      <w:r>
        <w:rPr>
          <w:rFonts w:eastAsia="Times New Roman" w:cs="Arial" w:ascii="Arial" w:hAnsi="Arial"/>
          <w:bCs/>
          <w:color w:val="000000"/>
          <w:sz w:val="21"/>
          <w:szCs w:val="21"/>
          <w:lang w:eastAsia="zh-CN"/>
        </w:rPr>
        <w:t>Certidão de enquadramento no Estatuto Nacional da Microempresa e Empresa de Pequeno Porte fornecida pela Junta Comercial da sede do licitante, de acordo com o artigo 8º da Instrução Normativa DRNC n° 103/2007, vigente na data de abertura da licitação indicada no item 1, caso não apresente data de validade estabelecida pelo competente órgão expedidor, será adotada a vigência de 90 (noventa) dias consecutivos, contados a partir da data de sua emissão. As sociedades simples, que não registrarem seus atos na Junta Comercial, deverão apresentar Certidão de Registro Civil de Pessoas Jurídicas, atestando seu enquadramento nas hipóteses do Art. 3° da Lei Complementar 123/2006 (ou outra declaração que comprove tal enquadramento, assinado pelo representante legal da empresa, conforme ao que dispõe o § 2º, art. 13 do Decreto nº 8.538 de 06 de outubro de 2015</w:t>
      </w:r>
      <w:r>
        <w:rPr>
          <w:rFonts w:ascii="Arial" w:hAnsi="Arial"/>
          <w:sz w:val="21"/>
          <w:szCs w:val="21"/>
        </w:rPr>
        <w:t xml:space="preserve"> (podendo ser utilizado modelo ANEXO VI));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e) Declaração de que não tenham celebrado contratos com a Administração Pública cujos valores somados extrapolem a receita bruta máxima admitida para fins de enquadramento como empresa de pequeno porte (ANEXO VII).</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f) Prova de inscrição no Cadastro Nacional de Pessoa Jurídica – CNPJ;</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g) Prova de Regularidade perante a Fazenda Federal e a Seguridade Social;</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h) Prova de Regularidade com a Fazenda Estadual, do estado sede do licitante. As empresas sediadas em Estados que façam a divisão entre certidões negativas de débitos inscritos e não inscritos na dívida ativa, para fins de comprovação de regularidade fiscal com a Fazenda Estadual, somente serão consideradas habilitados e regulares aquelas que juntarem ambas as certidões;</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i) Prova de Regularidade com a Fazenda Municipal, do domicílio ou sede do licitante;</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j) A inscrição no cadastro de contribuintes estadual e/ou municipal, se houver, relativo ao domicílio ou sede do licitante, pertinente ao seu ramo de atividade e compatível com o objeto contratual;</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k) Prova de Regularidade com o Fundo de Garantia por Tempo de Serviço - FGTS (Certificado de Regularidade do FGTS);</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l) Prova de inexistência de débitos inadimplidos perante a Justiça do Trabalho, mediante a apresentação de Certidão Negativa, nos termos da Lei Federal nº 12.440/11;</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m) Certidão(ões) Negativa(s) de Feitos sobre Falência, expedida(s) até 60 (sessenta) dias antes da data limite para apresentação das propostas, a(s) qual(is) deve(m) ser expedida(s) pela Corregedoria ou por órgão correspondente do Estado ou do Distrito Federal, ou do Fórum da Comarca, onde está sediada a empresa.</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n) DECLARAÇÃO que, nos 5 (cinco) anos anteriores à divulgação do edital, não tenha sido condenada judicialmente, com trânsito em julgado, por exploração de trabalho infantil, por submissão de trabalhadores a condições análogas às de escravo ou por contratação de adolescentes nos casos vedados pela legislação trabalhista, podendo ser utilizado o modelo constante deste edital (ANEXO IV).</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o) DECLARAÇÃO expressa de que a empresa cumpre o disposto no inciso XXXIII do art. 7º da Constituição Federal, de acordo com o que estabelece o Decreto Federal nº 4.358, de 05/09/2002, conforme modelo constante deste Edital (ANEXO VIII);</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p) DECLARAÇÃO de que cumpre as exigências de reserva de cargos para pessoa com deficiência e para reabilitado da Previdência Social, previstas em lei e em outras normas específicas (ANEXO IX);</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q) 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condutas vigentes na data de entrega das propostas, sob pena de desclassificação (ANEXO X);</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 xml:space="preserve">r) </w:t>
      </w:r>
      <w:r>
        <w:rPr>
          <w:rFonts w:eastAsia="Times New Roman" w:cs="Arial" w:ascii="Arial" w:hAnsi="Arial"/>
          <w:b w:val="false"/>
          <w:bCs/>
          <w:color w:val="000000"/>
          <w:sz w:val="21"/>
          <w:szCs w:val="21"/>
          <w:lang w:eastAsia="zh-CN"/>
        </w:rPr>
        <w:t>DECLARAÇÃO de que a empresa interessada tomou conhecimento das especificações e normas pertinentes à execução dos serviços (conforme modelo constante do ANEXO XI), nos termos do art. 67, inciso VI, da Lei Federal n. 14.133/2021;</w:t>
      </w:r>
    </w:p>
    <w:p>
      <w:pPr>
        <w:pStyle w:val="Normal"/>
        <w:widowControl/>
        <w:suppressAutoHyphens w:val="true"/>
        <w:bidi w:val="0"/>
        <w:spacing w:lineRule="auto" w:line="276" w:before="0" w:after="0"/>
        <w:ind w:left="850" w:right="0" w:hanging="0"/>
        <w:jc w:val="both"/>
        <w:rPr>
          <w:rFonts w:ascii="Arial" w:hAnsi="Arial" w:eastAsia="Times New Roman" w:cs="Arial"/>
          <w:b/>
          <w:b/>
          <w:bCs/>
          <w:color w:val="000000"/>
          <w:sz w:val="21"/>
          <w:szCs w:val="21"/>
          <w:lang w:val="pt-BR" w:eastAsia="zh-CN" w:bidi="hi-IN"/>
        </w:rPr>
      </w:pPr>
      <w:r>
        <w:rPr>
          <w:rFonts w:eastAsia="Times New Roman" w:cs="Arial" w:ascii="Arial" w:hAnsi="Arial"/>
          <w:b/>
          <w:bCs/>
          <w:color w:val="000000"/>
          <w:sz w:val="21"/>
          <w:szCs w:val="21"/>
          <w:lang w:val="pt-BR" w:eastAsia="zh-CN" w:bidi="hi-IN"/>
        </w:rPr>
      </w:r>
    </w:p>
    <w:p>
      <w:pPr>
        <w:pStyle w:val="Normal"/>
        <w:widowControl/>
        <w:suppressAutoHyphens w:val="true"/>
        <w:bidi w:val="0"/>
        <w:spacing w:lineRule="auto" w:line="276" w:before="0" w:after="0"/>
        <w:ind w:left="850" w:right="0" w:hanging="0"/>
        <w:jc w:val="both"/>
        <w:rPr>
          <w:b/>
          <w:b/>
          <w:bCs/>
        </w:rPr>
      </w:pPr>
      <w:r>
        <w:rPr>
          <w:rFonts w:eastAsia="Times New Roman" w:cs="Arial" w:ascii="Arial" w:hAnsi="Arial"/>
          <w:b/>
          <w:bCs/>
          <w:color w:val="000000"/>
          <w:sz w:val="21"/>
          <w:szCs w:val="21"/>
          <w:lang w:eastAsia="zh-CN"/>
        </w:rPr>
        <w:t xml:space="preserve">s) DECLARAÇÃO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que não integra em seus quadros social e funcional, servidor público da administração direta ou indireta do Município de Lindóia do Sul, e agente político da esfera municipal de Lindóia do Sul, do Estado de Santa Catarina, e da União. </w:t>
      </w:r>
      <w:r>
        <w:rPr>
          <w:rFonts w:eastAsia="Times New Roman" w:cs="Arial" w:ascii="Arial" w:hAnsi="Arial"/>
          <w:b/>
          <w:bCs/>
          <w:color w:val="000000"/>
          <w:sz w:val="21"/>
          <w:szCs w:val="21"/>
          <w:lang w:eastAsia="pt-BR"/>
        </w:rPr>
        <w:t xml:space="preserve">Portanto, inclusive, a empresa declara que também está em conformidade com o que prevê o art. </w:t>
      </w:r>
      <w:r>
        <w:rPr>
          <w:rFonts w:eastAsia="Times New Roman" w:cs="Arial" w:ascii="Arial" w:hAnsi="Arial"/>
          <w:b/>
          <w:bCs/>
          <w:color w:val="000000"/>
          <w:sz w:val="21"/>
          <w:szCs w:val="21"/>
          <w:lang w:eastAsia="zh-CN"/>
        </w:rPr>
        <w:t>54 I “a” da Constituição Federal e art. 43 I ”a” e II “a” da Constituição do Estado de Santa Catarina.</w:t>
      </w:r>
      <w:r>
        <w:rPr>
          <w:rFonts w:eastAsia="Times New Roman" w:cs="Arial" w:ascii="Arial" w:hAnsi="Arial"/>
          <w:b/>
          <w:bCs/>
          <w:color w:val="000000"/>
          <w:sz w:val="21"/>
          <w:szCs w:val="21"/>
          <w:lang w:eastAsia="pt-BR"/>
        </w:rPr>
        <w:t xml:space="preserve"> </w:t>
      </w:r>
      <w:r>
        <w:rPr>
          <w:rFonts w:eastAsia="Times New Roman" w:cs="Arial" w:ascii="Arial" w:hAnsi="Arial"/>
          <w:b/>
          <w:bCs/>
          <w:color w:val="000000"/>
          <w:sz w:val="21"/>
          <w:szCs w:val="21"/>
          <w:lang w:eastAsia="zh-CN"/>
        </w:rPr>
        <w:t>(</w:t>
      </w:r>
      <w:r>
        <w:rPr>
          <w:rFonts w:eastAsia="Times New Roman" w:cs="Arial" w:ascii="Arial" w:hAnsi="Arial"/>
          <w:b/>
          <w:bCs/>
          <w:color w:val="000000"/>
          <w:sz w:val="21"/>
          <w:szCs w:val="21"/>
          <w:shd w:fill="FFFF00" w:val="clear"/>
          <w:lang w:eastAsia="zh-CN"/>
        </w:rPr>
        <w:t>Deve constar expressamente toda descrição contida nesta alínea,</w:t>
      </w:r>
      <w:r>
        <w:rPr>
          <w:rFonts w:eastAsia="Times New Roman" w:cs="Arial" w:ascii="Arial" w:hAnsi="Arial"/>
          <w:b/>
          <w:bCs/>
          <w:color w:val="000000"/>
          <w:sz w:val="21"/>
          <w:szCs w:val="21"/>
          <w:lang w:eastAsia="zh-CN"/>
        </w:rPr>
        <w:t xml:space="preserve"> conforme ANEXO V).</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eastAsia="SimSun" w:cs="Arial"/>
          <w:color w:val="00000A"/>
          <w:sz w:val="21"/>
          <w:szCs w:val="21"/>
          <w:lang w:val="pt-BR" w:eastAsia="zh-CN" w:bidi="hi-IN"/>
        </w:rPr>
      </w:pPr>
      <w:r>
        <w:rPr>
          <w:rFonts w:eastAsia="SimSun" w:cs="Ari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pPr>
      <w:r>
        <w:rPr>
          <w:rFonts w:cs="Arial" w:ascii="Arial" w:hAnsi="Arial"/>
          <w:sz w:val="21"/>
          <w:szCs w:val="21"/>
          <w:lang w:val="pt-BR"/>
        </w:rPr>
        <w:t xml:space="preserve">u) </w:t>
      </w:r>
      <w:r>
        <w:rPr>
          <w:rFonts w:ascii="Arial" w:hAnsi="Arial"/>
          <w:sz w:val="21"/>
          <w:szCs w:val="21"/>
        </w:rPr>
        <w:t>Certidão de consulta de que não constem:</w:t>
      </w:r>
    </w:p>
    <w:p>
      <w:pPr>
        <w:pStyle w:val="Normal"/>
        <w:widowControl/>
        <w:suppressAutoHyphens w:val="true"/>
        <w:bidi w:val="0"/>
        <w:spacing w:lineRule="auto" w:line="276" w:before="0" w:after="0"/>
        <w:ind w:left="850" w:right="0" w:hanging="0"/>
        <w:jc w:val="both"/>
        <w:rPr>
          <w:rFonts w:ascii="Arial" w:hAnsi="Arial"/>
          <w:sz w:val="21"/>
          <w:szCs w:val="21"/>
        </w:rPr>
      </w:pPr>
      <w:r>
        <w:rPr>
          <w:rFonts w:eastAsia="Times New Roman" w:cs="Arial" w:ascii="Arial" w:hAnsi="Arial"/>
          <w:bCs/>
          <w:color w:val="000000"/>
          <w:sz w:val="21"/>
          <w:szCs w:val="21"/>
          <w:lang w:eastAsia="zh-CN"/>
        </w:rPr>
        <w:t>u.1) no Sistema de Cadastramento Unificado de Fornecedores - SICAF como impedidas ou suspensas;</w:t>
      </w:r>
    </w:p>
    <w:p>
      <w:pPr>
        <w:pStyle w:val="Normal"/>
        <w:widowControl/>
        <w:suppressAutoHyphens w:val="true"/>
        <w:bidi w:val="0"/>
        <w:spacing w:lineRule="auto" w:line="276" w:before="0" w:after="0"/>
        <w:ind w:left="850" w:right="0" w:hanging="0"/>
        <w:jc w:val="both"/>
        <w:rPr/>
      </w:pPr>
      <w:r>
        <w:rPr>
          <w:rFonts w:eastAsia="Times New Roman" w:cs="Arial" w:ascii="Arial" w:hAnsi="Arial"/>
          <w:bCs/>
          <w:color w:val="000000"/>
          <w:sz w:val="21"/>
          <w:szCs w:val="21"/>
          <w:lang w:eastAsia="zh-CN"/>
        </w:rPr>
        <w:t xml:space="preserve">u.2) no cadastro de empresas inidôneas do Tribunal de Contas da União, do Ministério da Transparência, Fiscalização e Controladoria-Geral da União, relativo ao CNPJ e CPF do sócio majoritário, emitida através do endereço </w:t>
      </w:r>
      <w:hyperlink r:id="rId10">
        <w:r>
          <w:rPr>
            <w:rStyle w:val="LinkdaInternet"/>
            <w:rFonts w:eastAsia="Times New Roman" w:cs="Arial" w:ascii="Arial" w:hAnsi="Arial"/>
            <w:bCs/>
            <w:color w:val="000000"/>
            <w:sz w:val="21"/>
            <w:szCs w:val="21"/>
            <w:lang w:eastAsia="zh-CN"/>
          </w:rPr>
          <w:t>https://contas.tcu.gov.br/ords/f?p=704144:3:102385750945059::NO:3,4,6</w:t>
        </w:r>
      </w:hyperlink>
      <w:r>
        <w:rPr>
          <w:rFonts w:eastAsia="Times New Roman" w:cs="Arial" w:ascii="Arial" w:hAnsi="Arial"/>
          <w:bCs/>
          <w:color w:val="000000"/>
          <w:sz w:val="21"/>
          <w:szCs w:val="21"/>
          <w:lang w:eastAsia="zh-CN"/>
        </w:rPr>
        <w:t>::;</w:t>
      </w:r>
    </w:p>
    <w:p>
      <w:pPr>
        <w:pStyle w:val="Normal"/>
        <w:widowControl/>
        <w:suppressAutoHyphens w:val="true"/>
        <w:bidi w:val="0"/>
        <w:spacing w:lineRule="auto" w:line="276" w:before="0" w:after="0"/>
        <w:ind w:left="850" w:right="0" w:hanging="0"/>
        <w:jc w:val="both"/>
        <w:rPr/>
      </w:pPr>
      <w:r>
        <w:rPr>
          <w:rFonts w:eastAsia="Times New Roman" w:cs="Arial" w:ascii="Arial" w:hAnsi="Arial"/>
          <w:bCs/>
          <w:color w:val="000000"/>
          <w:sz w:val="21"/>
          <w:szCs w:val="21"/>
          <w:lang w:eastAsia="zh-CN"/>
        </w:rPr>
        <w:t xml:space="preserve">u.3) no Cadastro Nacional de Condenações Civis por Ato de Improbidade Administrativa e Inelegibilidade, supervisionado pelo Conselho Nacional de Justiça, relativo ao CNPJ e CPF do sócio majoritário, emitida através do endereço </w:t>
      </w:r>
      <w:hyperlink r:id="rId11">
        <w:r>
          <w:rPr>
            <w:rStyle w:val="LinkdaInternet"/>
            <w:rFonts w:eastAsia="Times New Roman" w:cs="Arial" w:ascii="Arial" w:hAnsi="Arial"/>
            <w:bCs/>
            <w:color w:val="000000"/>
            <w:sz w:val="21"/>
            <w:szCs w:val="21"/>
            <w:lang w:eastAsia="zh-CN"/>
          </w:rPr>
          <w:t>https://www.cnj.jus.br/improbidade_adm/consultar_requerido.php</w:t>
        </w:r>
      </w:hyperlink>
      <w:r>
        <w:rPr>
          <w:rFonts w:eastAsia="Times New Roman" w:cs="Arial" w:ascii="Arial" w:hAnsi="Arial"/>
          <w:bCs/>
          <w:color w:val="000000"/>
          <w:sz w:val="21"/>
          <w:szCs w:val="21"/>
          <w:lang w:eastAsia="zh-CN"/>
        </w:rPr>
        <w:t>.</w:t>
      </w:r>
    </w:p>
    <w:p>
      <w:pPr>
        <w:pStyle w:val="Normal"/>
        <w:widowControl/>
        <w:suppressAutoHyphens w:val="true"/>
        <w:bidi w:val="0"/>
        <w:spacing w:lineRule="auto" w:line="276" w:before="0" w:after="0"/>
        <w:ind w:left="850" w:right="0" w:hanging="0"/>
        <w:jc w:val="both"/>
        <w:rPr/>
      </w:pPr>
      <w:r>
        <w:rPr>
          <w:rFonts w:ascii="Arial" w:hAnsi="Arial"/>
          <w:sz w:val="21"/>
          <w:szCs w:val="21"/>
        </w:rPr>
        <w:t xml:space="preserve">u.4) </w:t>
      </w:r>
      <w:r>
        <w:rPr>
          <w:rFonts w:cs="Arial" w:ascii="Arial" w:hAnsi="Arial"/>
          <w:sz w:val="21"/>
          <w:szCs w:val="21"/>
        </w:rPr>
        <w:t xml:space="preserve">Relatório de consulta negativa (contendo Razão Social e CNPJ) junto ao Cadastro Nacional das Empresas Inidôneas e Suspensas – CEIS, através do endereço eletrônico </w:t>
      </w:r>
      <w:hyperlink r:id="rId12">
        <w:r>
          <w:rPr>
            <w:rStyle w:val="LinkdaInternet"/>
            <w:rFonts w:cs="Arial" w:ascii="Arial" w:hAnsi="Arial"/>
            <w:sz w:val="21"/>
            <w:szCs w:val="21"/>
          </w:rPr>
          <w:t>https://portaldatransparencia.gov.br/sancoes/consulta?ordenarPor=nomeSancionado&amp;direcao=asc</w:t>
        </w:r>
      </w:hyperlink>
      <w:r>
        <w:rPr>
          <w:rFonts w:cs="Arial" w:ascii="Arial" w:hAnsi="Arial"/>
          <w:sz w:val="21"/>
          <w:szCs w:val="21"/>
        </w:rPr>
        <w:t>, emitido nos últimos 10 (dez) dias;</w:t>
      </w:r>
    </w:p>
    <w:p>
      <w:pPr>
        <w:pStyle w:val="Normal"/>
        <w:widowControl/>
        <w:suppressAutoHyphens w:val="true"/>
        <w:bidi w:val="0"/>
        <w:spacing w:lineRule="auto" w:line="276" w:before="0" w:after="0"/>
        <w:ind w:left="850" w:right="0" w:hanging="0"/>
        <w:jc w:val="both"/>
        <w:rPr>
          <w:rFonts w:ascii="Arial" w:hAnsi="Arial"/>
          <w:sz w:val="21"/>
          <w:szCs w:val="21"/>
        </w:rPr>
      </w:pPr>
      <w:r>
        <w:rPr>
          <w:rFonts w:cs="Arial" w:ascii="Arial" w:hAnsi="Arial"/>
          <w:sz w:val="21"/>
          <w:szCs w:val="21"/>
        </w:rPr>
        <w:t>u.5) As consultas para o CNPJ do licitante, constante nos itens “u.2”, “u.3” e “u.4”, poderão ser substituídas pela Certidão Consolidada de Pessoa Jurídica, do Tribunal de Contas da União.</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cs="Arial" w:ascii="Arial" w:hAnsi="Arial"/>
          <w:sz w:val="21"/>
          <w:szCs w:val="21"/>
        </w:rPr>
        <w:t>v) Alvará de localização/funcionamento relativo ao domicílio ou sede do licitante e pertinente ao seu ramo de atividades;</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cs="Arial" w:ascii="Arial" w:hAnsi="Arial"/>
          <w:sz w:val="21"/>
          <w:szCs w:val="21"/>
        </w:rPr>
        <w:t>w) alvará sanitário em vigência.</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strike/>
          <w:color w:val="C9211E"/>
        </w:rPr>
      </w:pPr>
      <w:r>
        <w:rPr>
          <w:rFonts w:cs="Arial" w:ascii="Arial" w:hAnsi="Arial"/>
          <w:strike/>
          <w:color w:val="C9211E"/>
          <w:sz w:val="21"/>
          <w:szCs w:val="21"/>
        </w:rPr>
        <w:t>x) Licença Ambiental de Operação -LAO da proponente participante da licitação.</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Default"/>
        <w:ind w:firstLine="14"/>
        <w:jc w:val="both"/>
        <w:rPr>
          <w:color w:val="000000"/>
          <w:highlight w:val="none"/>
          <w:shd w:fill="FFFF00" w:val="clear"/>
        </w:rPr>
      </w:pPr>
      <w:r>
        <w:rPr>
          <w:color w:val="000000"/>
          <w:sz w:val="22"/>
          <w:shd w:fill="FFFF00" w:val="clear"/>
        </w:rPr>
        <w:t xml:space="preserve">* A(s) </w:t>
      </w:r>
      <w:r>
        <w:rPr>
          <w:color w:val="000000"/>
          <w:sz w:val="22"/>
          <w:u w:val="single"/>
          <w:shd w:fill="FFFF00" w:val="clear"/>
        </w:rPr>
        <w:t>licitante(s) vencedora(s)</w:t>
      </w:r>
      <w:r>
        <w:rPr>
          <w:color w:val="000000"/>
          <w:sz w:val="22"/>
          <w:shd w:fill="FFFF00" w:val="clear"/>
        </w:rPr>
        <w:t xml:space="preserve"> deverão apresenta</w:t>
      </w:r>
      <w:r>
        <w:rPr>
          <w:color w:val="000000"/>
          <w:sz w:val="22"/>
          <w:shd w:fill="FFFF00" w:val="clear"/>
        </w:rPr>
        <w:t>r</w:t>
      </w:r>
      <w:r>
        <w:rPr>
          <w:color w:val="000000"/>
          <w:sz w:val="22"/>
          <w:shd w:fill="FFFF00" w:val="clear"/>
        </w:rPr>
        <w:t xml:space="preserve"> para a assinatura da ata de registro de preços a seguinte documentação:</w:t>
      </w:r>
    </w:p>
    <w:p>
      <w:pPr>
        <w:pStyle w:val="Default"/>
        <w:spacing w:before="0" w:after="0"/>
        <w:ind w:left="0" w:hanging="0"/>
        <w:rPr>
          <w:strike w:val="false"/>
          <w:dstrike w:val="false"/>
          <w:color w:val="000000"/>
          <w:sz w:val="22"/>
          <w:highlight w:val="none"/>
          <w:u w:val="none"/>
          <w:shd w:fill="FFFF00" w:val="clear"/>
        </w:rPr>
      </w:pPr>
      <w:r>
        <w:rPr>
          <w:strike w:val="false"/>
          <w:dstrike w:val="false"/>
          <w:color w:val="000000"/>
          <w:sz w:val="22"/>
          <w:u w:val="none"/>
          <w:shd w:fill="FFFF00" w:val="clear"/>
        </w:rPr>
      </w:r>
    </w:p>
    <w:p>
      <w:pPr>
        <w:pStyle w:val="Default"/>
        <w:spacing w:before="5" w:after="160"/>
        <w:ind w:left="46" w:hanging="0"/>
        <w:jc w:val="both"/>
        <w:rPr>
          <w:color w:val="000000"/>
          <w:highlight w:val="none"/>
          <w:shd w:fill="FFFF00" w:val="clear"/>
        </w:rPr>
      </w:pPr>
      <w:r>
        <w:rPr>
          <w:i/>
          <w:strike w:val="false"/>
          <w:dstrike w:val="false"/>
          <w:color w:val="000000"/>
          <w:sz w:val="23"/>
          <w:u w:val="none"/>
          <w:shd w:fill="FFFF00" w:val="clear"/>
        </w:rPr>
        <w:t>a)Licença Ambiental de Operação – LAO da proponente participante da licitação.</w:t>
      </w:r>
    </w:p>
    <w:p>
      <w:pPr>
        <w:pStyle w:val="Normal"/>
        <w:widowControl/>
        <w:suppressAutoHyphens w:val="true"/>
        <w:bidi w:val="0"/>
        <w:spacing w:lineRule="auto" w:line="276" w:before="0" w:after="0"/>
        <w:ind w:right="0" w:hanging="0"/>
        <w:jc w:val="both"/>
        <w:rPr>
          <w:color w:val="000000"/>
        </w:rPr>
      </w:pPr>
      <w:r>
        <w:rPr>
          <w:color w:val="000000"/>
        </w:rPr>
      </w:r>
    </w:p>
    <w:p>
      <w:pPr>
        <w:pStyle w:val="Normal"/>
        <w:widowControl/>
        <w:suppressAutoHyphens w:val="true"/>
        <w:bidi w:val="0"/>
        <w:spacing w:lineRule="auto" w:line="300" w:before="0" w:after="0"/>
        <w:ind w:left="0" w:right="0" w:hanging="0"/>
        <w:jc w:val="both"/>
        <w:rPr>
          <w:rFonts w:eastAsia="Times New Roman" w:cs="Arial"/>
          <w:b w:val="false"/>
          <w:b w:val="false"/>
          <w:bCs/>
          <w:color w:val="000000"/>
          <w:kern w:val="0"/>
          <w:lang w:eastAsia="zh-CN"/>
        </w:rPr>
      </w:pPr>
      <w:r>
        <w:rPr>
          <w:rFonts w:eastAsia="Times New Roman" w:cs="Arial"/>
          <w:b w:val="false"/>
          <w:bCs/>
          <w:color w:val="000000"/>
          <w:kern w:val="0"/>
          <w:lang w:eastAsia="zh-CN"/>
        </w:rPr>
      </w:r>
    </w:p>
    <w:p>
      <w:pPr>
        <w:pStyle w:val="LOnormal1"/>
        <w:keepNext w:val="false"/>
        <w:keepLines w:val="false"/>
        <w:pageBreakBefore w:val="false"/>
        <w:widowControl/>
        <w:shd w:val="clear" w:fill="auto"/>
        <w:tabs>
          <w:tab w:val="clear" w:pos="708"/>
          <w:tab w:val="left" w:pos="2340" w:leader="none"/>
          <w:tab w:val="left" w:pos="4464" w:leader="none"/>
        </w:tabs>
        <w:suppressAutoHyphens w:val="true"/>
        <w:bidi w:val="0"/>
        <w:spacing w:lineRule="auto" w:line="300" w:before="0" w:after="0"/>
        <w:ind w:left="0" w:right="0" w:hanging="0"/>
        <w:jc w:val="both"/>
        <w:rPr/>
      </w:pPr>
      <w:r>
        <w:rPr>
          <w:rFonts w:eastAsia="Arial" w:cs="Arial" w:ascii="Arial" w:hAnsi="Arial"/>
          <w:sz w:val="21"/>
          <w:szCs w:val="21"/>
        </w:rPr>
        <w:t xml:space="preserve"> </w:t>
      </w:r>
      <w:r>
        <w:rPr>
          <w:rFonts w:ascii="Arial" w:hAnsi="Arial"/>
          <w:sz w:val="21"/>
          <w:szCs w:val="21"/>
        </w:rPr>
        <w:t>10.2.1. Na hipótese de participação de empresa em recuperação judicial cujo processamento da recuperação judicial tenho sido deferido pelo juiz, a apresentação das certidões negativas (prova de regularidade perante a fazenda federal e a seguridade social; prova de regularidade junto à fazenda estadual; prova de regularidade junto à fazenda municipal; inscrição no cadastro de contribuintes estadual e/ou municipal; prova de regularidade com o FGTS; prova de inexistência de débitos perante a justiça do trabalho) será dispensada mediante o envio de cópia da decisão judicial deferindo o processamento da recuperação judicial e dispensando a apresentação de certidões negativas para o exercício das atividades, nos termos do art. 52, caput, inciso II, da Lei Federal nº 11.101/2005.</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10.2.2. A dispensa da apresentação de certidões negativas referida acima não exime a empresa em recuperação judicial da obrigação de demonstrar a regularidade relativa ao Sistema de Seguridade Social, por imperativo constitucional expresso no art. 195, § 3º, da Constituição Federal e ressalvado no art. 52, caput, inciso II, da Lei Federal nº 11.101/2005.;</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10.2.3. As licitantes que, por sua natureza ou por força de lei, estiverem dispensadas da apresentação de determinados documentos de habilitação, deverão apresentar declaração identificando a situação e citando os dispositivos legais pertinentes.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10.2.4. Os documentos referidos nos itens “f”, “g”, “h”, “i”, “j”, “k” e “l” poderão ser substituídos ou supridos, no todo ou em parte, por outros meios hábeis a comprovar a regularidade do licitante, inclusive por meio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 xml:space="preserve">10.2.5. </w:t>
      </w:r>
      <w:r>
        <w:rPr>
          <w:rFonts w:cs="Arial" w:ascii="Arial" w:hAnsi="Arial"/>
          <w:sz w:val="21"/>
          <w:szCs w:val="21"/>
        </w:rPr>
        <w:t xml:space="preserve">A não apresentação da documentação de Cadastro Nacional das Empresas Inidôneas e Suspensas – CEIS, </w:t>
      </w:r>
      <w:r>
        <w:rPr>
          <w:rFonts w:eastAsia="Times New Roman" w:cs="Arial" w:ascii="Arial" w:hAnsi="Arial"/>
          <w:bCs/>
          <w:color w:val="000000"/>
          <w:kern w:val="0"/>
          <w:sz w:val="21"/>
          <w:szCs w:val="21"/>
          <w:lang w:eastAsia="zh-CN"/>
        </w:rPr>
        <w:t>Cadastro Nacional de Condenações Civis por Ato de Improbidade Administrativa e Inelegibilidade</w:t>
      </w:r>
      <w:r>
        <w:rPr>
          <w:rFonts w:cs="Arial" w:ascii="Arial" w:hAnsi="Arial"/>
          <w:sz w:val="21"/>
          <w:szCs w:val="21"/>
        </w:rPr>
        <w:t xml:space="preserve"> e Certidões Negativa de Licitante Inidôneos e Inabilitados, não acarretará a inabilitação da proponente, podendo esta ser consultada para fins de habilitação, a qualquer tempo pelo(a) Pregoeiro (a) e/ou requeridas à licitante.</w:t>
      </w:r>
    </w:p>
    <w:p>
      <w:pPr>
        <w:pStyle w:val="Normal"/>
        <w:spacing w:lineRule="auto" w:line="300" w:before="0" w:after="0"/>
        <w:ind w:left="0" w:right="0" w:hanging="0"/>
        <w:jc w:val="both"/>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ascii="Arial" w:hAnsi="Arial"/>
          <w:sz w:val="21"/>
          <w:szCs w:val="21"/>
        </w:rPr>
        <w:t xml:space="preserve">10.2.6. </w:t>
      </w:r>
      <w:r>
        <w:rPr>
          <w:rFonts w:cs="Arial" w:ascii="Arial" w:hAnsi="Arial"/>
          <w:sz w:val="21"/>
          <w:szCs w:val="21"/>
        </w:rPr>
        <w:t>Caso a empresa enquadre-se em alguma hipótese de inidoneidade e suspensão, será analisado o alcance da mesma, sendo garantido à licitante o os prazos recursais previstos em Lei, em caso de inabilitação.</w:t>
      </w:r>
    </w:p>
    <w:p>
      <w:pPr>
        <w:pStyle w:val="Normal"/>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10.3. As Microempresas e Empresas de Pequeno Porte deverão apresentar os documentos referentes à regularidade fiscal. Todavia, 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na forma da Lei Complementar nº 123/06 e 147/14.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10.3.1. A não regularização da documentação no prazo previsto acima, implicará decadência do direito à contratação, sem prejuízo das sanções previstas no art. 155 e seguintes da Lei Federal nº 14.133, de 2021, sendo facultado ao Órgão Gerenciador convocar os Fornecedores do Cadastro de Reserva, na ordem de classificação, para a assinatura do contrato, ou revogar a licitação.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10.4. Os documentos devem apresentar prazo de validade, e poderão ser entregues em via eletrônica. Não serão aceitas cópias de documentos ilegíveis. A verificação nos sítios oficiais de órgãos e entidades emissoras de certidões constituem meio legal de prova para fins de habilitação.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10.4.1. Quando as certidões apresentadas não tiverem prazo de validade estabelecido pelo competente órgão expedidor, será adotada a vigência de 90 (noventa) dias consecutivos, contados a partir da data de sua expedição. Não se enquadram nesse dispositivo os documentos que, pela própria natureza, não possuem prazo de validade.</w:t>
      </w:r>
    </w:p>
    <w:p>
      <w:pPr>
        <w:pStyle w:val="Normal"/>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sz w:val="21"/>
          <w:szCs w:val="21"/>
        </w:rPr>
        <w:t>10.5. Em todas as hipóteses referidas neste Edital, não serão aceitos documentos com prazo de validade vencido, bem como não serão aceitos, em nenhuma hipótese, “protocolo” de documento necessário à habilitação.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10.6. A documentação referida neste Capítulo poderá ser apresentada em original, por cópia, eletrônico ou por qualquer outro meio expressamente admitido pela Administração.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10.7. Após a entrega dos documentos para habilitação na forma prevista no edital, inclusive após a complementação, em sendo declarado vencedor, não será permitida a substituição ou a apresentação de novos documentos, salvo em sede de diligência, para:</w:t>
      </w:r>
    </w:p>
    <w:p>
      <w:pPr>
        <w:pStyle w:val="Normal"/>
        <w:widowControl/>
        <w:suppressAutoHyphens w:val="true"/>
        <w:bidi w:val="0"/>
        <w:spacing w:lineRule="auto" w:line="300" w:before="0" w:after="0"/>
        <w:ind w:left="0" w:right="0" w:hanging="0"/>
        <w:jc w:val="both"/>
        <w:rPr/>
      </w:pPr>
      <w:r>
        <w:rPr>
          <w:rFonts w:ascii="Arial" w:hAnsi="Arial"/>
          <w:sz w:val="21"/>
          <w:szCs w:val="21"/>
        </w:rPr>
        <w:tab/>
        <w:t>a) complementação de informações acerca dos documentos já apresentados pelos licitantes e desde que necessária para apurar fatos existentes à época da abertura do certame;</w:t>
      </w:r>
    </w:p>
    <w:p>
      <w:pPr>
        <w:pStyle w:val="Normal"/>
        <w:widowControl/>
        <w:suppressAutoHyphens w:val="true"/>
        <w:bidi w:val="0"/>
        <w:spacing w:lineRule="auto" w:line="300" w:before="0" w:after="0"/>
        <w:ind w:left="0" w:right="0" w:hanging="0"/>
        <w:jc w:val="both"/>
        <w:rPr/>
      </w:pPr>
      <w:r>
        <w:rPr>
          <w:rFonts w:ascii="Arial" w:hAnsi="Arial"/>
          <w:sz w:val="21"/>
          <w:szCs w:val="21"/>
        </w:rPr>
        <w:tab/>
        <w:t>b) atualização de documentos cuja validade tenha expirado após a data de recebimento das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10.8.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11. DAS OBRIGAÇÕES DA(S) VENCEDORA(S)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11.1.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pPr>
        <w:pStyle w:val="Normal"/>
        <w:widowControl/>
        <w:suppressAutoHyphens w:val="true"/>
        <w:bidi w:val="0"/>
        <w:spacing w:lineRule="auto" w:line="300" w:before="0" w:after="0"/>
        <w:ind w:left="0" w:right="0" w:hanging="0"/>
        <w:jc w:val="both"/>
        <w:rPr/>
      </w:pPr>
      <w:r>
        <w:rPr>
          <w:rFonts w:ascii="Arial" w:hAnsi="Arial"/>
          <w:sz w:val="21"/>
          <w:szCs w:val="21"/>
        </w:rPr>
        <w:tab/>
        <w:t>a) Executar os serviços conforme este Edital, Termo de Referência e seus Anexos e conforme normas extra-editalícias que sejam pertinentes a sua área;</w:t>
      </w:r>
    </w:p>
    <w:p>
      <w:pPr>
        <w:pStyle w:val="Normal"/>
        <w:widowControl/>
        <w:suppressAutoHyphens w:val="true"/>
        <w:bidi w:val="0"/>
        <w:spacing w:lineRule="auto" w:line="300" w:before="0" w:after="0"/>
        <w:ind w:left="0" w:right="0" w:hanging="0"/>
        <w:jc w:val="both"/>
        <w:rPr/>
      </w:pPr>
      <w:r>
        <w:rPr>
          <w:rFonts w:ascii="Arial" w:hAnsi="Arial"/>
          <w:sz w:val="21"/>
          <w:szCs w:val="21"/>
        </w:rPr>
        <w:tab/>
        <w:t>b) Fornecer o objeto desta licitação, na forma, nos locais, nos prazos e nos preços estipulados na sua proposta;</w:t>
      </w:r>
    </w:p>
    <w:p>
      <w:pPr>
        <w:pStyle w:val="Normal"/>
        <w:widowControl/>
        <w:suppressAutoHyphens w:val="true"/>
        <w:bidi w:val="0"/>
        <w:spacing w:lineRule="auto" w:line="300" w:before="0" w:after="0"/>
        <w:ind w:left="0" w:right="0" w:hanging="0"/>
        <w:jc w:val="both"/>
        <w:rPr/>
      </w:pPr>
      <w:r>
        <w:rPr>
          <w:rFonts w:ascii="Arial" w:hAnsi="Arial"/>
          <w:sz w:val="21"/>
          <w:szCs w:val="21"/>
        </w:rPr>
        <w:tab/>
        <w:t>c) Responsabilizar-se por todas as despesas oriundas de suas atividades;</w:t>
      </w:r>
    </w:p>
    <w:p>
      <w:pPr>
        <w:pStyle w:val="Normal"/>
        <w:widowControl/>
        <w:suppressAutoHyphens w:val="true"/>
        <w:bidi w:val="0"/>
        <w:spacing w:lineRule="auto" w:line="300" w:before="0" w:after="0"/>
        <w:ind w:left="0" w:right="0" w:hanging="0"/>
        <w:jc w:val="both"/>
        <w:rPr/>
      </w:pPr>
      <w:r>
        <w:rPr>
          <w:rFonts w:ascii="Arial" w:hAnsi="Arial"/>
          <w:sz w:val="21"/>
          <w:szCs w:val="21"/>
        </w:rPr>
        <w:tab/>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pPr>
        <w:pStyle w:val="Normal"/>
        <w:widowControl/>
        <w:suppressAutoHyphens w:val="true"/>
        <w:bidi w:val="0"/>
        <w:spacing w:lineRule="auto" w:line="300" w:before="0" w:after="0"/>
        <w:ind w:left="0" w:right="0" w:hanging="0"/>
        <w:jc w:val="both"/>
        <w:rPr/>
      </w:pPr>
      <w:r>
        <w:rPr>
          <w:rFonts w:ascii="Arial" w:hAnsi="Arial"/>
          <w:sz w:val="21"/>
          <w:szCs w:val="21"/>
        </w:rPr>
        <w:tab/>
        <w:t>e) Acusar o recebimento da Ordem de Serviço/Solicitação de Fornecimento, bem como de qualquer outra notificação enviada por meio eletrônico, no prazo máximo de 24 (vinte e quatro) horas, ressalvando-se que, se o prazo final deste item recair em final de semana ou feriado, será prorrogado ao próximo dia útil;</w:t>
      </w:r>
    </w:p>
    <w:p>
      <w:pPr>
        <w:pStyle w:val="Normal"/>
        <w:widowControl/>
        <w:suppressAutoHyphens w:val="true"/>
        <w:bidi w:val="0"/>
        <w:spacing w:lineRule="auto" w:line="300" w:before="0" w:after="0"/>
        <w:ind w:left="0" w:right="0" w:hanging="0"/>
        <w:jc w:val="both"/>
        <w:rPr/>
      </w:pPr>
      <w:r>
        <w:rPr>
          <w:rFonts w:ascii="Arial" w:hAnsi="Arial"/>
          <w:sz w:val="21"/>
          <w:szCs w:val="21"/>
        </w:rPr>
        <w:tab/>
        <w:t>f) Nomear responsável para, durante o período de vigência, representá-lo na execução da Ata/Contrato;</w:t>
      </w:r>
    </w:p>
    <w:p>
      <w:pPr>
        <w:pStyle w:val="Normal"/>
        <w:widowControl/>
        <w:suppressAutoHyphens w:val="true"/>
        <w:bidi w:val="0"/>
        <w:spacing w:lineRule="auto" w:line="300" w:before="0" w:after="0"/>
        <w:ind w:left="0" w:right="0" w:hanging="0"/>
        <w:jc w:val="both"/>
        <w:rPr/>
      </w:pPr>
      <w:r>
        <w:rPr>
          <w:rFonts w:ascii="Arial" w:hAnsi="Arial"/>
          <w:sz w:val="21"/>
          <w:szCs w:val="21"/>
        </w:rPr>
        <w:tab/>
        <w:t>g) Responsabilizar-se por todo e qualquer dano que, por dolo ou culpa, os seus profissionais causarem ao CONTRATANTE ou a terceiros, sendo descontado no primeiro pagamento subsequente à ocorrência, o valor correspondente ao dano e/ou prejuízo causado;</w:t>
      </w:r>
    </w:p>
    <w:p>
      <w:pPr>
        <w:pStyle w:val="Normal"/>
        <w:widowControl/>
        <w:suppressAutoHyphens w:val="true"/>
        <w:bidi w:val="0"/>
        <w:spacing w:lineRule="auto" w:line="300" w:before="0" w:after="0"/>
        <w:ind w:left="0" w:right="0" w:hanging="0"/>
        <w:jc w:val="both"/>
        <w:rPr/>
      </w:pPr>
      <w:r>
        <w:rPr>
          <w:rFonts w:ascii="Arial" w:hAnsi="Arial"/>
          <w:sz w:val="21"/>
          <w:szCs w:val="21"/>
        </w:rPr>
        <w:tab/>
        <w:t>h) Comunicar à Administração da CONTRATANTE qualquer anormalidade constatada e prestar os esclarecimentos solicitados;</w:t>
      </w:r>
    </w:p>
    <w:p>
      <w:pPr>
        <w:pStyle w:val="Normal"/>
        <w:widowControl/>
        <w:suppressAutoHyphens w:val="true"/>
        <w:bidi w:val="0"/>
        <w:spacing w:lineRule="auto" w:line="300" w:before="0" w:after="0"/>
        <w:ind w:left="0" w:right="0" w:hanging="0"/>
        <w:jc w:val="both"/>
        <w:rPr/>
      </w:pPr>
      <w:r>
        <w:rPr>
          <w:rFonts w:ascii="Arial" w:hAnsi="Arial"/>
          <w:sz w:val="21"/>
          <w:szCs w:val="21"/>
        </w:rPr>
        <w:tab/>
        <w:t>i) A CONTRATADA ficará obrigada a aceitar nas mesmas condições do edital, os acréscimos ou supressões que se fizerem necessários, até 25% (vinte e cinco por cento) do valor inicial atualizado do Contrato, devendo supressões acima desse limite ser resultantes de acordo entre as partes;</w:t>
      </w:r>
    </w:p>
    <w:p>
      <w:pPr>
        <w:pStyle w:val="Normal"/>
        <w:widowControl/>
        <w:suppressAutoHyphens w:val="true"/>
        <w:bidi w:val="0"/>
        <w:spacing w:lineRule="auto" w:line="300" w:before="0" w:after="0"/>
        <w:ind w:left="0" w:right="0" w:hanging="0"/>
        <w:jc w:val="both"/>
        <w:rPr/>
      </w:pPr>
      <w:r>
        <w:rPr>
          <w:rFonts w:ascii="Arial" w:hAnsi="Arial"/>
          <w:sz w:val="21"/>
          <w:szCs w:val="21"/>
        </w:rPr>
        <w:tab/>
        <w:t>j) Responsabilizar-se pelos vícios e danos decorrentes do objeto, de acordo com os artigos 12, 13 e 17 a 27, do Código de Defesa do Consumidor (Lei Federal nº 8.078, de 1990);</w:t>
      </w:r>
    </w:p>
    <w:p>
      <w:pPr>
        <w:pStyle w:val="Normal"/>
        <w:widowControl/>
        <w:suppressAutoHyphens w:val="true"/>
        <w:bidi w:val="0"/>
        <w:spacing w:lineRule="auto" w:line="300" w:before="0" w:after="0"/>
        <w:ind w:left="0" w:right="0" w:hanging="0"/>
        <w:jc w:val="both"/>
        <w:rPr/>
      </w:pPr>
      <w:r>
        <w:rPr>
          <w:rFonts w:ascii="Arial" w:hAnsi="Arial"/>
          <w:sz w:val="21"/>
          <w:szCs w:val="21"/>
        </w:rPr>
        <w:tab/>
        <w:t>k) Outras obrigações previstas no Edital, Termo de Referência, na Ata de Registro de Preços/Contrato e na Lei.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11.2. São expressamente vedadas à CONTRATADA: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a) A veiculação de publicidade acerca da ata de registro de preços/contrato, salvo se houver prévia autorização da CONTRATANTE;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b) A subcontratação para a execução do objeto deste contrato; 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11.3. A CONTRATANTE, além das obrigações estabelecidas no Edital e seus anexos, deve: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a) Expedir a ordem de serviço/solicitação de fornecimento;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b) Prestar as informações e os esclarecimentos pertinentes que venham a ser solicitados pelo representante ou preposto da CONTRATADA;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c) Comunicar oficialmente à CONTRATADA quaisquer falhas verificadas no cumprimento do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d) Publicar o extrato da ata de registro de preços/contrato e de seus aditivos, se ocorrerem, no Diário Oficial dos Municípios de Santa Catarina, órgão oficial de divulgação dos atos administrativos da CONTRATANTE, veiculado no endereço www.diariomunicipal.sc.gov.br.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12. DOS CRITÉRIOS DE JULGAMENTO E ADJUDICAÇÃO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12.1. </w:t>
      </w:r>
      <w:r>
        <w:rPr>
          <w:rFonts w:eastAsia="Times New Roman" w:cs="Arial" w:ascii="Arial" w:hAnsi="Arial"/>
          <w:bCs/>
          <w:color w:val="000000"/>
          <w:kern w:val="0"/>
          <w:sz w:val="21"/>
          <w:szCs w:val="21"/>
          <w:lang w:eastAsia="zh-CN"/>
        </w:rPr>
        <w:t>Para adjudicação será verificada a manutenção das condições de habilitação da licitante vencedora.</w:t>
      </w:r>
    </w:p>
    <w:p>
      <w:pPr>
        <w:pStyle w:val="Normal"/>
        <w:widowControl/>
        <w:suppressAutoHyphens w:val="true"/>
        <w:bidi w:val="0"/>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eastAsia="Times New Roman" w:cs="Arial" w:ascii="Arial" w:hAnsi="Arial"/>
          <w:bCs/>
          <w:color w:val="000000"/>
          <w:kern w:val="0"/>
          <w:sz w:val="21"/>
          <w:szCs w:val="21"/>
          <w:lang w:eastAsia="zh-CN"/>
        </w:rPr>
        <w:t>12.2. Será verificado ainda, eventuais impedimentos de licitar e contratar, da licitante vencedora, mediante consultas do constante no item 6.5.1.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12.3. A presente Licitação será adjudicada à licitante que apresentar proposta de MAIS VANTAJOSA, JULGAMENTO POR ITEM, conforme mencionado no preâmbulo, desde que atendidas às demais exigências deste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13. DA IMPUGNAÇÃO DO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13.1. Qualquer pessoa é parte legítima para impugnar edital de licitação por irregularidade na aplicação desta Lei ou para solicitar esclarecimento sobre os seus termos, devendo protocolar o pedido até 3 (três) dias úteis antes da data de abertura do certame.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13.1.1. Serão admitidas as seguintes formas de Impugnação do Edital:</w:t>
      </w:r>
    </w:p>
    <w:p>
      <w:pPr>
        <w:pStyle w:val="Normal"/>
        <w:widowControl/>
        <w:suppressAutoHyphens w:val="true"/>
        <w:bidi w:val="0"/>
        <w:spacing w:lineRule="auto" w:line="300" w:before="0" w:after="0"/>
        <w:ind w:left="0" w:right="0" w:hanging="0"/>
        <w:jc w:val="both"/>
        <w:rPr/>
      </w:pPr>
      <w:r>
        <w:rPr>
          <w:rFonts w:ascii="Arial" w:hAnsi="Arial"/>
          <w:sz w:val="21"/>
          <w:szCs w:val="21"/>
        </w:rPr>
        <w:tab/>
        <w:t>a) Por intermédio de meio eletrônico, exclusivamente, através da PLATAFORMA ELETRÔNICA: www.portaldecompraspublicas.com.br “Acesso Identificado”, sendo aceita até as 23:59h do dia que anteceder os 3 (três) dias úteis inteiros antes da data de abertura do certame; ou</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b) Através de peça original protocolada em meio físico, junto a Sede do Município de Lindóia do Sul, observando-se o horário de expediente, até as 17:00h do dia que anteceder os 3 (três) dias úteis inteiros da data de abertura do certame, no endereço informado no preâmbulo do edital.</w:t>
      </w:r>
    </w:p>
    <w:p>
      <w:pPr>
        <w:pStyle w:val="Normal"/>
        <w:widowControl/>
        <w:suppressAutoHyphens w:val="true"/>
        <w:bidi w:val="0"/>
        <w:spacing w:lineRule="auto" w:line="300" w:before="0" w:after="0"/>
        <w:ind w:left="0" w:right="0" w:hanging="0"/>
        <w:jc w:val="both"/>
        <w:rPr/>
      </w:pPr>
      <w:r>
        <w:rPr>
          <w:rFonts w:ascii="Arial" w:hAnsi="Arial"/>
          <w:sz w:val="21"/>
          <w:szCs w:val="21"/>
        </w:rPr>
        <w:tab/>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13.2. A resposta à impugnação ou ao pedido de esclarecimento será divulgada em sítio eletrônico oficial no prazo de até 3 (três) dias úteis, limitado ao último dia útil anterior à data da abertura do certame.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rPr>
        <w:t>13.3. Se procedente e acolhida a Impugnação do Edital, seus vícios serão sanados, reabrindo-se o prazo inicialmente estabelecido, exceto, quando, inquestionavelmente, a alteração não afetar a formulação das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Corpodetexto22"/>
        <w:spacing w:lineRule="auto" w:line="300" w:before="0" w:after="0"/>
        <w:ind w:left="0" w:right="0" w:hanging="0"/>
        <w:jc w:val="both"/>
        <w:rPr/>
      </w:pPr>
      <w:r>
        <w:rPr>
          <w:rFonts w:cs="Arial"/>
          <w:b/>
          <w:bCs/>
          <w:color w:val="000000"/>
          <w:sz w:val="21"/>
          <w:szCs w:val="21"/>
        </w:rPr>
        <w:t>14. DO REGISTRO DE PREÇOS</w:t>
      </w:r>
    </w:p>
    <w:p>
      <w:pPr>
        <w:pStyle w:val="Corpodetexto22"/>
        <w:spacing w:lineRule="auto" w:line="300" w:before="0" w:after="0"/>
        <w:ind w:left="0" w:right="0" w:hanging="0"/>
        <w:jc w:val="both"/>
        <w:rPr/>
      </w:pPr>
      <w:r>
        <w:rPr>
          <w:rFonts w:eastAsia="Arial" w:cs="Arial"/>
          <w:b/>
          <w:bCs/>
          <w:color w:val="000000"/>
          <w:sz w:val="21"/>
          <w:szCs w:val="21"/>
        </w:rPr>
        <w:t xml:space="preserve"> </w:t>
      </w:r>
    </w:p>
    <w:p>
      <w:pPr>
        <w:pStyle w:val="Corpodetexto22"/>
        <w:spacing w:lineRule="auto" w:line="300" w:before="0" w:after="0"/>
        <w:ind w:left="0" w:right="0" w:hanging="0"/>
        <w:jc w:val="both"/>
        <w:rPr/>
      </w:pPr>
      <w:r>
        <w:rPr>
          <w:rFonts w:cs="Arial"/>
          <w:bCs/>
          <w:color w:val="000000"/>
          <w:sz w:val="21"/>
          <w:szCs w:val="21"/>
        </w:rPr>
        <w:t>14.1. Após a homologação do resultado da licitação e adjudicação do objeto pela autoridade competente, os vencedores serão convocados, para no prazo máximo de 05 (cinco) dias úteis a contar da convocação, assinar a Ata de Registro de Preços, sob pena das sanções previstas neste Edital.</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14.1.1. O prazo de convocação poderá ser prorrogado 1 (uma) vez, por igual período, mediante solicitação da parte durante seu transcurso, devidamente justificada, e desde que o motivo apresentado seja aceito pela Administração.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14.1.2. É facultado à Administração, quando a(s) proponente(s) vencedora(s) não atender(em) à convocação para assinatura da Ata de Registro de Preços, nos termos suprarreferidos, convocar outro licitante, desde que respeitada a ordem de classificação, com vistas à obtenção de preço melhor, mesmo que acima do preço ou inferior ao desconto do adjudicatário, desde que comprovados os requisitos habilitatórios e feita a negociação, para assinar a ata de registro de preços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14.1.3. A recusa injustificada do adjudicatário em assinar a Ata de Registro de Preços caracterizará o descumprimento total da obrigação assumida e o sujeitará às penalidades legalmente estabelecidas e à imediata perda da garantia de proposta em favor do município.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14.2. Para a assinatura da Ata de Registro de Preços, será considerado o simples fato da empresa vencedora participar do certame licitatório e ter apresentado sua proposta final, para a Comissão, como ato concreto, tendo em vista a realização de Pregão Eletrônico.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 xml:space="preserve">14.3. </w:t>
      </w:r>
      <w:r>
        <w:rPr>
          <w:rFonts w:eastAsia="Times New Roman" w:cs="Arial"/>
          <w:bCs/>
          <w:color w:val="000000"/>
          <w:kern w:val="0"/>
          <w:sz w:val="21"/>
          <w:szCs w:val="21"/>
          <w:lang w:eastAsia="zh-CN"/>
        </w:rPr>
        <w:t xml:space="preserve">O prazo de vigência da ata de registro de preços será de 1 (um) ano e poderá ser prorrogado por igual período, desde que comprovado o preço vantajoso, nos termos do art. 84, </w:t>
      </w:r>
      <w:r>
        <w:rPr>
          <w:rFonts w:eastAsia="Times New Roman" w:cs="Arial"/>
          <w:bCs/>
          <w:i/>
          <w:iCs/>
          <w:color w:val="000000"/>
          <w:kern w:val="0"/>
          <w:sz w:val="21"/>
          <w:szCs w:val="21"/>
          <w:lang w:eastAsia="zh-CN"/>
        </w:rPr>
        <w:t>caput</w:t>
      </w:r>
      <w:r>
        <w:rPr>
          <w:rFonts w:eastAsia="Times New Roman" w:cs="Arial"/>
          <w:bCs/>
          <w:color w:val="000000"/>
          <w:kern w:val="0"/>
          <w:sz w:val="21"/>
          <w:szCs w:val="21"/>
          <w:lang w:eastAsia="zh-CN"/>
        </w:rPr>
        <w:t xml:space="preserve">, da Lei Federal n. 14.133/2021. </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14.3.1. 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14.4. O fornecedor terá seu registro suspenso ou cancelado, facultada a defesa prévia do interessado, no prazo de 5 (cinco) dias úteis, nos seguintes casos: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ab/>
        <w:t>I - pela Administração, quando:</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a) o fornecedor não cumprir as exigências do instrumento convocatório que der origem ao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b) o fornecedor recusar-se a assinar a ata ou a formalizar contrato decorrente do registro de preços, ressalvada a hipótese de</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a Administração aceitar sua justificativa;</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c) o fornecedor der causa à rescisão de contrato decorrente do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d) em qualquer das hipóteses de inexecução total ou parcial do contrato decorrente do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e) os preços registrados se apresentarem superiores aos praticados pelo mercado;</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f) por razões de interesse público, devidamente fundamentadas.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ab/>
        <w:t>II - pelo fornecedor quando, mediante solicitação por escrito, comprovar a impossibilidade de cumprir as exigências do instrumento convocatório que deu origem ao registro de preços.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14.4.1. A comunicação do cancelamento da ata de registro de preços, será formalizada através do e-mail indicado na fase de credenciamento do fornecedor.</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14.4.2. Nos casos de não confirmação do recebimento, será considerada válida a comunicação a partir do 2º dia útil da data de envio.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14.5. Os preços relacionados na Ata de Registro de Preços poderão sofrer alterações, em decorrência de eventual redução daqueles praticados no mercado, ou de fato que eleve o custo dos bens registrados, desde que devidamente justificados e comprovados.</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 w:val="false"/>
          <w:bCs w:val="false"/>
          <w:color w:val="000000"/>
          <w:sz w:val="21"/>
          <w:szCs w:val="21"/>
        </w:rPr>
        <w:t>14.6. Durante o prazo de validade do Registro de Preços, a Administração Municipal poderá ou não, adquirir a totalidade das quantidades registradas, objeto deste Pregão.</w:t>
      </w:r>
    </w:p>
    <w:p>
      <w:pPr>
        <w:pStyle w:val="Corpodetexto22"/>
        <w:spacing w:lineRule="auto" w:line="300" w:before="0" w:after="0"/>
        <w:ind w:left="0" w:right="0" w:hanging="0"/>
        <w:jc w:val="both"/>
        <w:rPr>
          <w:rFonts w:ascii="Arial" w:hAnsi="Arial" w:cs="Arial"/>
          <w:b w:val="false"/>
          <w:b w:val="false"/>
          <w:bCs w:val="false"/>
          <w:color w:val="000000"/>
          <w:sz w:val="21"/>
          <w:szCs w:val="21"/>
        </w:rPr>
      </w:pPr>
      <w:r>
        <w:rPr>
          <w:rFonts w:cs="Arial"/>
          <w:b w:val="false"/>
          <w:bCs w:val="false"/>
          <w:color w:val="000000"/>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 xml:space="preserve">15. </w:t>
      </w:r>
      <w:r>
        <w:rPr>
          <w:rFonts w:eastAsia="Times New Roman" w:cs="Arial" w:ascii="Arial" w:hAnsi="Arial"/>
          <w:b/>
          <w:bCs/>
          <w:color w:val="000000"/>
          <w:kern w:val="0"/>
          <w:sz w:val="21"/>
          <w:szCs w:val="21"/>
          <w:lang w:eastAsia="pt-BR"/>
        </w:rPr>
        <w:t>DO CADASTRO RESERVA</w:t>
      </w:r>
    </w:p>
    <w:p>
      <w:pPr>
        <w:pStyle w:val="Normal"/>
        <w:widowControl/>
        <w:suppressAutoHyphens w:val="true"/>
        <w:bidi w:val="0"/>
        <w:spacing w:lineRule="auto" w:line="300" w:before="0" w:after="0"/>
        <w:ind w:left="0" w:right="0" w:hanging="0"/>
        <w:jc w:val="both"/>
        <w:rPr>
          <w:rFonts w:ascii="Arial" w:hAnsi="Arial" w:eastAsia="Times New Roman" w:cs="Arial"/>
          <w:b/>
          <w:b/>
          <w:bCs/>
          <w:color w:val="000000"/>
          <w:kern w:val="0"/>
          <w:sz w:val="21"/>
          <w:szCs w:val="21"/>
          <w:lang w:eastAsia="pt-BR"/>
        </w:rPr>
      </w:pPr>
      <w:r>
        <w:rPr>
          <w:rFonts w:eastAsia="Times New Roman" w:cs="Arial" w:ascii="Arial" w:hAnsi="Arial"/>
          <w:b/>
          <w:bCs/>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15.1. Após o encerramento da etapa competitiva, os licitantes poderão reduzir seus preços ao valor da proposta do licitante mais bem classificado, mediante a formulação de novo lance no sistema de gerenciamento do referido certame.</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 xml:space="preserve">15.1.1. Não havendo no sistema de gerenciamento do certame, campo para registro de lance com valor igual ao do vencedor, visando a formação do cadastro reserva, a licitante interessada deverá, no prazo de 2 (dois) dias após encerrada a sessão, encaminhar proposta visando a formação do cadastro, no e-mail </w:t>
      </w:r>
      <w:hyperlink r:id="rId13">
        <w:r>
          <w:rPr>
            <w:rStyle w:val="LinkdaInternet"/>
            <w:rFonts w:eastAsia="Times New Roman" w:cs="Arial" w:ascii="Arial" w:hAnsi="Arial"/>
            <w:color w:val="000000"/>
            <w:kern w:val="0"/>
            <w:sz w:val="21"/>
            <w:szCs w:val="21"/>
            <w:lang w:eastAsia="pt-BR"/>
          </w:rPr>
          <w:t>licita@lindoiadosul.sc.gov.br</w:t>
        </w:r>
      </w:hyperlink>
      <w:r>
        <w:rPr>
          <w:rFonts w:eastAsia="Times New Roman" w:cs="Arial" w:ascii="Arial" w:hAnsi="Arial"/>
          <w:color w:val="000000"/>
          <w:kern w:val="0"/>
          <w:sz w:val="21"/>
          <w:szCs w:val="21"/>
          <w:lang w:eastAsia="pt-BR"/>
        </w:rPr>
        <w:t>.</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15.1.2. A apresentação de novas propostas na forma deste item não prejudicará o resultado do certame em relação ao licitante melhor classificado.</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15.2. Havendo um ou mais licitantes que aceitem cotar suas propostas em valor igual ao do licitante vencedor, estes serão classificados segundo a ordem da última proposta individual apresentada durante a fase competitiva.</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15.3. Esta ordem de classificação dos licitantes registrados deverá ser respeitada nas contratações e somente será utilizada acaso o melhor colocado no certame tenha seu registro cancelado e/ou suspenso.</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15.4. O Cadastro Reserva será formalizado em anexo a ata.</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true"/>
        <w:bidi w:val="0"/>
        <w:spacing w:lineRule="auto" w:line="300" w:before="0" w:after="0"/>
        <w:ind w:left="0" w:right="0" w:hanging="0"/>
        <w:jc w:val="both"/>
        <w:rPr/>
      </w:pPr>
      <w:r>
        <w:rPr>
          <w:rFonts w:eastAsia="Times New Roman" w:cs="Arial" w:ascii="Arial" w:hAnsi="Arial"/>
          <w:b w:val="false"/>
          <w:bCs w:val="false"/>
          <w:color w:val="000000"/>
          <w:kern w:val="0"/>
          <w:sz w:val="21"/>
          <w:szCs w:val="21"/>
          <w:lang w:eastAsia="pt-BR"/>
        </w:rPr>
        <w:t xml:space="preserve">15.5. Havendo a necessidade de formalização de nova Ata com algum dos fornecedores constantes no cadastro reserva, este será convocado para no prazo de 2 (dois) dias úteis apresentar sua documentação de habilitação, em conformidade com o edital. </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16. DOS RECURSOS, RESPONSABILIDADES, PENALIDADES ADMINISTRATIVAS E EXTINÇÃO DO CONTRATO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w:t>
      </w:r>
      <w:r>
        <w:rPr>
          <w:rFonts w:eastAsia="Calibri" w:ascii="Arial" w:hAnsi="Arial" w:eastAsiaTheme="minorHAnsi"/>
          <w:sz w:val="21"/>
          <w:szCs w:val="21"/>
          <w:shd w:fill="auto" w:val="clear"/>
        </w:rPr>
        <w:t>.1. Dos atos da Administração praticados neste certame cabem:</w:t>
      </w:r>
    </w:p>
    <w:p>
      <w:pPr>
        <w:pStyle w:val="Normal"/>
        <w:widowControl/>
        <w:suppressAutoHyphens w:val="true"/>
        <w:bidi w:val="0"/>
        <w:spacing w:lineRule="auto" w:line="300" w:before="0" w:after="0"/>
        <w:ind w:left="0" w:right="0" w:hanging="0"/>
        <w:jc w:val="both"/>
        <w:rPr>
          <w:highlight w:val="none"/>
          <w:shd w:fill="auto" w:val="clear"/>
        </w:rPr>
      </w:pPr>
      <w:r>
        <w:rPr>
          <w:rFonts w:eastAsia="Calibri" w:ascii="Arial" w:hAnsi="Arial" w:eastAsiaTheme="minorHAnsi"/>
          <w:sz w:val="21"/>
          <w:szCs w:val="21"/>
          <w:shd w:fill="auto" w:val="clear"/>
        </w:rPr>
        <w:tab/>
        <w:t>a) recurso, no prazo de 03 (três) dias úteis, contado da data de intimação ou de lavratura da ata, em face de:</w:t>
      </w:r>
    </w:p>
    <w:p>
      <w:pPr>
        <w:pStyle w:val="Normal"/>
        <w:widowControl/>
        <w:suppressAutoHyphens w:val="true"/>
        <w:bidi w:val="0"/>
        <w:spacing w:lineRule="auto" w:line="300" w:before="0" w:after="0"/>
        <w:ind w:left="0" w:right="0" w:hanging="0"/>
        <w:jc w:val="both"/>
        <w:rPr>
          <w:highlight w:val="none"/>
          <w:shd w:fill="auto" w:val="clear"/>
        </w:rPr>
      </w:pPr>
      <w:r>
        <w:rPr>
          <w:rFonts w:eastAsia="Calibri" w:ascii="Arial" w:hAnsi="Arial" w:eastAsiaTheme="minorHAnsi"/>
          <w:sz w:val="21"/>
          <w:szCs w:val="21"/>
          <w:shd w:fill="auto" w:val="clear"/>
        </w:rPr>
        <w:tab/>
        <w:t>a.1) julgamento das propostas;</w:t>
      </w:r>
    </w:p>
    <w:p>
      <w:pPr>
        <w:pStyle w:val="Normal"/>
        <w:widowControl/>
        <w:suppressAutoHyphens w:val="true"/>
        <w:bidi w:val="0"/>
        <w:spacing w:lineRule="auto" w:line="300" w:before="0" w:after="0"/>
        <w:ind w:left="0" w:right="0" w:hanging="0"/>
        <w:jc w:val="both"/>
        <w:rPr>
          <w:highlight w:val="none"/>
          <w:shd w:fill="auto" w:val="clear"/>
        </w:rPr>
      </w:pPr>
      <w:r>
        <w:rPr>
          <w:rFonts w:eastAsia="Calibri" w:ascii="Arial" w:hAnsi="Arial" w:eastAsiaTheme="minorHAnsi"/>
          <w:sz w:val="21"/>
          <w:szCs w:val="21"/>
          <w:shd w:fill="auto" w:val="clear"/>
        </w:rPr>
        <w:tab/>
        <w:t>a.2) ato de habilitação ou inabilitação de licitante;</w:t>
      </w:r>
    </w:p>
    <w:p>
      <w:pPr>
        <w:pStyle w:val="Normal"/>
        <w:widowControl/>
        <w:suppressAutoHyphens w:val="true"/>
        <w:bidi w:val="0"/>
        <w:spacing w:lineRule="auto" w:line="300" w:before="0" w:after="0"/>
        <w:ind w:left="0" w:right="0" w:hanging="0"/>
        <w:jc w:val="both"/>
        <w:rPr>
          <w:highlight w:val="none"/>
          <w:shd w:fill="auto" w:val="clear"/>
        </w:rPr>
      </w:pPr>
      <w:r>
        <w:rPr>
          <w:rFonts w:eastAsia="Calibri" w:ascii="Arial" w:hAnsi="Arial" w:eastAsiaTheme="minorHAnsi"/>
          <w:sz w:val="21"/>
          <w:szCs w:val="21"/>
          <w:shd w:fill="auto" w:val="clear"/>
        </w:rPr>
        <w:tab/>
        <w:t>a.3) anulação ou revogação da licitação;</w:t>
      </w:r>
    </w:p>
    <w:p>
      <w:pPr>
        <w:pStyle w:val="Normal"/>
        <w:widowControl/>
        <w:suppressAutoHyphens w:val="true"/>
        <w:bidi w:val="0"/>
        <w:spacing w:lineRule="auto" w:line="300" w:before="0" w:after="0"/>
        <w:ind w:left="0" w:right="0" w:hanging="0"/>
        <w:jc w:val="both"/>
        <w:rPr>
          <w:rFonts w:ascii="Arial" w:hAnsi="Arial"/>
          <w:sz w:val="21"/>
          <w:szCs w:val="21"/>
          <w:highlight w:val="none"/>
          <w:shd w:fill="auto" w:val="clear"/>
        </w:rPr>
      </w:pPr>
      <w:r>
        <w:rPr>
          <w:rFonts w:ascii="Arial" w:hAnsi="Arial"/>
          <w:sz w:val="21"/>
          <w:szCs w:val="21"/>
          <w:shd w:fill="auto"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auto" w:val="clear"/>
        </w:rPr>
        <w:tab/>
        <w:t>b) pedido de reconsideração, no p</w:t>
      </w:r>
      <w:r>
        <w:rPr>
          <w:rFonts w:eastAsia="Calibri" w:ascii="Arial" w:hAnsi="Arial" w:eastAsiaTheme="minorHAnsi"/>
          <w:sz w:val="21"/>
          <w:szCs w:val="21"/>
          <w:shd w:fill="FFFFFF" w:val="clear"/>
        </w:rPr>
        <w:t>razo de 03 (três) dias úteis, contado da data de intimação, relativamente a ato do qual não caiba recurso hierárquico.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16.1.1. Quanto ao recurso apresentado com base nos itens a.1 e a.2 da alínea “a” do item 16.1, serão observadas as seguintes disposições: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a intenção de recorrer deverá ser manifestada na sessão pública, com início imediato após o término do julgamento das propostas e do ato de habilitação ou inabilitação, sob pena de preclusão;</w:t>
      </w:r>
    </w:p>
    <w:p>
      <w:pPr>
        <w:pStyle w:val="Normal"/>
        <w:widowControl/>
        <w:suppressAutoHyphens w:val="true"/>
        <w:bidi w:val="0"/>
        <w:spacing w:lineRule="auto" w:line="276" w:before="0" w:after="0"/>
        <w:ind w:left="0" w:right="0" w:hanging="0"/>
        <w:jc w:val="both"/>
        <w:rPr>
          <w:shd w:fill="FFFFFF" w:val="clear"/>
        </w:rPr>
      </w:pPr>
      <w:r>
        <w:rPr>
          <w:rFonts w:eastAsia="Calibri" w:ascii="Arial" w:hAnsi="Arial" w:eastAsiaTheme="minorHAnsi"/>
          <w:sz w:val="21"/>
          <w:szCs w:val="21"/>
          <w:shd w:fill="FFFFFF" w:val="clear"/>
        </w:rPr>
        <w:tab/>
        <w:t>II – o prazo para apresentação das razões recursais previsto na alínea “a” do item 16.1 será iniciado na data de intimação ou de lavratura da ata de habilitação ou inabilitação;</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III – a apreciação dar-se-á em fase única.</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16.1.2. O recurso de que trata a alínea “a”, do item 16.1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16.1.3. O prazo para contrarrazões será o mesmo do recurso e terá início após encerrado o prazo das razões do recurso.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16.1.4. Será assegurado ao licitante vista dos elementos indispensáveis à defesa de seus interesses.</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 xml:space="preserve">16.1.5. O recurso ou Pedido de Reconsideração deverá ser interposto por intermédio de meio eletrônico, exclusivamente, através da PLATAFORMA ELETRÔNICA: www.portaldecompraspublicas.com.br “Acesso Identificado”, sendo aceito até as 23:59h da data limite estipulada pelo pregoeiro(a). </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16.2. O Recurso e o pedido de reconsideração terão efeito suspensivo do ato ou da decisão recorrida até que sobrevenha decisão final da autoridade competente.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16.3. Não sendo interpostos recursos, ou sendo interposto em desacordo com o Edital, ou decididos os recursos interpostos o Pregoeiro(a) encaminhará o processo licitatório para a Autoridade Competente para os procedimentos de adjudicação do objeto do certame à(s) empresa(s) declarada(s) vencedora(s) e homologação.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16.4. As causas de rescisão contratual estão estabelecidas no artigo 137, de acordo com as disposições do art. 138 e 139, todos da Lei Federal nº 14.133, de 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16.5. O licitante ou o contratado será responsabilizado administrativamente pelas infrações previstas no art. 155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16.6. O Município de Lindóia do Sul poderá, garantido o contraditório e a ampla defesa, aplicar as seguintes sanções administrativas: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advertência;</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 – multa;</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III – impedimento de licitar e contratar com Administração Pública direta e indireta do Município de Lindóia do Sul, pelo prazo máximo de 03 (três) anos;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00" w:before="0" w:after="0"/>
        <w:ind w:left="0" w:right="0" w:hanging="0"/>
        <w:jc w:val="both"/>
        <w:rPr>
          <w:rFonts w:ascii="Arial" w:hAnsi="Arial" w:eastAsia="Calibri" w:eastAsiaTheme="minorHAnsi"/>
          <w:sz w:val="21"/>
          <w:szCs w:val="21"/>
          <w:shd w:fill="FFFFFF" w:val="clear"/>
        </w:rPr>
      </w:pPr>
      <w:r>
        <w:rPr>
          <w:rFonts w:eastAsia="Calibri" w:eastAsiaTheme="minorHAnsi"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16.7.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16.8. A recusa injustificada do adjudicatário em assinar a Ata de Registro de Preços/Contrato, no prazo máximo de 5 (cinco) dias úteis da notificação, implicará a aplicação da multa compensatória prevista no item anterior.</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16.9.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 – transcorridos 30 (trinta) dias do prazo de execução estabelecido na Ata de Registro de Preços/contrato, será considerado extinto a Ata de Registro de Preços/Contrato Administrativo, canceladas as ordens de serviços e aplicada multa de 20% (vinte inteiros por cento) por inexecução total, calculada sobre o valor da Ata de Registro de Preços/contrato.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16.10. Dependendo do descumprimento, se gerar algum prejuízo ao Município, poderá ser requerido do Contratado o valor de perdas e danos, após Processo Administrativo de reconhecimento da responsabilidade.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16.11.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16.12.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16.13.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16.15.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16.16.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16.17.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b/>
          <w:bCs/>
          <w:sz w:val="21"/>
          <w:szCs w:val="21"/>
          <w:shd w:fill="FFFFFF" w:val="clear"/>
        </w:rPr>
        <w:t>17. DAS ALTERAÇÕES</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spacing w:lineRule="auto" w:line="276" w:before="0" w:after="0"/>
        <w:ind w:left="0" w:right="0" w:hanging="0"/>
        <w:jc w:val="both"/>
        <w:rPr>
          <w:rFonts w:ascii="Arial" w:hAnsi="Arial"/>
          <w:sz w:val="21"/>
          <w:szCs w:val="21"/>
        </w:rPr>
      </w:pPr>
      <w:r>
        <w:rPr>
          <w:rFonts w:ascii="Arial" w:hAnsi="Arial"/>
          <w:sz w:val="21"/>
          <w:szCs w:val="21"/>
        </w:rPr>
        <w:t>17.1. A Ata de Registro de Preços poderá sofrer alterações, obedecidas às disposições contidas no Decreto Municipal nº 4.072/2024 ou outro que vier a substituir.</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17.1.1. O preço registrado poderá ser revisto em decorrência de eventual redução daqueles praticados no mercado, ou de fato que eleve o custo dos serviços ou bens registrados, cabendo ao Órgão Gerenciador da Ata de Registro de Preços promover as necessárias negociações junto aos fornecedores.</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17.1.2. Quando o preço inicialmente registrado, por motivo superveniente, tornar-se superior ao preço praticado no mercado o Órgão Gerenciador deverá:</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I – convocar o fornecedor visando a negociação para redução de preços e sua adequação ao praticado pelo mercado;</w:t>
      </w:r>
    </w:p>
    <w:p>
      <w:pPr>
        <w:pStyle w:val="Normal"/>
        <w:spacing w:lineRule="auto" w:line="276" w:before="0" w:after="0"/>
        <w:ind w:left="0" w:right="0" w:hanging="0"/>
        <w:jc w:val="both"/>
        <w:rPr>
          <w:rFonts w:ascii="Arial" w:hAnsi="Arial"/>
          <w:sz w:val="21"/>
          <w:szCs w:val="21"/>
        </w:rPr>
      </w:pPr>
      <w:r>
        <w:rPr>
          <w:rFonts w:ascii="Arial" w:hAnsi="Arial"/>
          <w:sz w:val="21"/>
          <w:szCs w:val="21"/>
        </w:rPr>
        <w:t>II – frustrada a negociação, o fornecedor será liberado do compromisso assumido sem aplicação de penalidade; e</w:t>
      </w:r>
    </w:p>
    <w:p>
      <w:pPr>
        <w:pStyle w:val="Normal"/>
        <w:spacing w:lineRule="auto" w:line="276" w:before="0" w:after="0"/>
        <w:ind w:left="0" w:right="0" w:hanging="0"/>
        <w:jc w:val="both"/>
        <w:rPr>
          <w:rFonts w:ascii="Arial" w:hAnsi="Arial"/>
          <w:sz w:val="21"/>
          <w:szCs w:val="21"/>
        </w:rPr>
      </w:pPr>
      <w:r>
        <w:rPr>
          <w:rFonts w:ascii="Arial" w:hAnsi="Arial"/>
          <w:sz w:val="21"/>
          <w:szCs w:val="21"/>
        </w:rPr>
        <w:t>III – convocar os demais fornecedores visando igual oportunidade de negociação.</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17.1.3. Quando o preço de mercado se tornar superior aos preços registrados e o fornecedor, mediante requerimento devidamente comprovado, não puder cumprir o compromisso, o Órgão Gerenciador poderá:</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I – liberar o fornecedor do compromisso assumido, caso a comunicação ocorra antes do pedido de fornecimento, e sem aplicação da penalidade se confirmada a veracidade dos motivos e comprovantes apresentados; e</w:t>
      </w:r>
    </w:p>
    <w:p>
      <w:pPr>
        <w:pStyle w:val="Normal"/>
        <w:spacing w:lineRule="auto" w:line="276" w:before="0" w:after="0"/>
        <w:ind w:left="0" w:right="0" w:hanging="0"/>
        <w:jc w:val="both"/>
        <w:rPr>
          <w:rFonts w:ascii="Arial" w:hAnsi="Arial"/>
          <w:sz w:val="21"/>
          <w:szCs w:val="21"/>
        </w:rPr>
      </w:pPr>
      <w:r>
        <w:rPr>
          <w:rFonts w:ascii="Arial" w:hAnsi="Arial"/>
          <w:sz w:val="21"/>
          <w:szCs w:val="21"/>
        </w:rPr>
        <w:t>II – convocar os demais fornecedores para assegurar igual oportunidade de negociação.</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17.1.4. Não havendo êxito nas negociações, o Órgão Gerenciador deverá proceder à revogação da Ata de Registro de Preços, adotando as medidas cabíveis para obtenção da contratação mais vantajosa.</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 xml:space="preserve">17.2. É possível realizar aumento nos quantitativos fixados pela ata de registro de preços, até uma vez a quantidade registrada inicialmente, desde que com aceitação expressa do fornecedor, formalizada mediante apostilamento, quando caracterizadas circunstâncias supervenientes, devidamente demonstradas nos autos do procedimento administrativo em que tramitar a alteração, que indiquem que as estimativas inicialmente previstas </w:t>
      </w:r>
      <w:r>
        <w:rPr>
          <w:rFonts w:ascii="Arial" w:hAnsi="Arial"/>
          <w:sz w:val="21"/>
          <w:szCs w:val="21"/>
          <w:shd w:fill="FFFFFF" w:val="clear"/>
        </w:rPr>
        <w:t>neste edital serão insuficientes para atender a demanda durante o prazo de vigência.</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17.3. O Contrato, caso seja celebrado, poderá sofrer alterações, obedecidas às disposições contidas no art. 124 e seguintes da Lei Federal nº. 14.133/21.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b/>
          <w:bCs/>
          <w:sz w:val="21"/>
          <w:szCs w:val="21"/>
          <w:shd w:fill="FFFFFF" w:val="clear"/>
        </w:rPr>
        <w:t>18. DA DOTAÇÃO ORÇAMENTÁRIA</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18.1. As despesas decorrentes das aquisições, objeto do presente certame correrão a conta de dotação específica do orçamento, constante no Termo de Referência, Anexo I deste edital.</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b/>
          <w:bCs/>
          <w:sz w:val="21"/>
          <w:szCs w:val="21"/>
          <w:shd w:fill="FFFFFF" w:val="clear"/>
        </w:rPr>
        <w:t>19. DO PAGAMENTO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19.1. O pagamento pelos serviços prestados, objeto da presente licitação, será feito em favor do(s) licitante(s) vencedor(es), mediante boleto bancário ou transferência bancária em conta-corrente de titularidade do Fornecedor, cujos dados devem ser idênticos ao da sua proposta.</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 xml:space="preserve">19.1.1. </w:t>
      </w:r>
      <w:r>
        <w:rPr>
          <w:rFonts w:eastAsia="Calibri" w:ascii="Arial" w:hAnsi="Arial" w:eastAsiaTheme="minorHAnsi"/>
          <w:sz w:val="21"/>
          <w:szCs w:val="21"/>
          <w:shd w:fill="FFFFFF" w:val="clear"/>
        </w:rPr>
        <w:t>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300" w:before="0" w:after="0"/>
        <w:ind w:left="0" w:right="0" w:hanging="0"/>
        <w:jc w:val="both"/>
        <w:rPr>
          <w:rFonts w:ascii="Arial" w:hAnsi="Arial" w:eastAsia="Calibri" w:eastAsiaTheme="minorHAnsi"/>
          <w:sz w:val="21"/>
          <w:szCs w:val="21"/>
          <w:shd w:fill="FFFFFF" w:val="clear"/>
        </w:rPr>
      </w:pPr>
      <w:r>
        <w:rPr>
          <w:rFonts w:eastAsia="Calibri" w:eastAsiaTheme="minorHAnsi"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19.1.2. O Município de Lindóia do Sul efetuará o pagamento em até 15 (quinze) dias úteis, após a confirmação da prestação regular das atividades descritas no objeto desta licitação, acompanhado da respectiva Nota Fiscal Eletrônica e arquivo XML e atestada por servidor responsável.</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19.1.3. Caso a licitante não esteja enquadrada no Simples Nacional, deverá enviar a(s) nota(s) fiscal(is) com o devido destaque de Imposto de Renda, conforme exige o Decreto Municipal nº 3.949/2023.</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19.2. Será pago a contratada somente o valor das mercadorias/serviços efetivamente entregues/executados de acordo com objeto do Edital, conforme relatório (caso necessário), após aprovação/aceite do Contratante.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19.3. O número do CNPJ – Cadastro Nacional de Pessoa Jurídica – constante das notas fiscais deverá ser aquele fornecido na fase de habilitação, exceto no caso de participação de empresas em consórcio ou de solicitação de alteração entre matriz e filiais ou filiais entre si, mediante comprovação do preenchimento dos requisitos de habilitação pelo novo CNPJ.</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19.4.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19.5.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19.5.1. Para tanto, com a not</w:t>
      </w:r>
      <w:r>
        <w:rPr>
          <w:rFonts w:ascii="Arial" w:hAnsi="Arial"/>
          <w:sz w:val="21"/>
          <w:szCs w:val="21"/>
        </w:rPr>
        <w: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19.5.2. A não apresentação dos documentos enumerados nas cláusulas acima implicará suspensão do pagamento da nota até a sua apresentação, não incidindo, neste caso, quaisquer acréscimos de valores referentes a juros, multa ou correção monetária.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19.6.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19.7 O pagamento poderá ser sustado pela CONTRATANTE quando os serviços não estiverem de acordo com o estipulado, ou por inadimplemento de qualquer Cláusula Contratual.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19.8 Os resultados dos relatórios dos serviços serão lançados em formulários apropriados, de acordo com as normas adotadas pelo Contratante.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cs="Arial" w:ascii="Arial" w:hAnsi="Arial"/>
          <w:b/>
          <w:bCs/>
          <w:color w:val="000000"/>
          <w:sz w:val="21"/>
          <w:szCs w:val="21"/>
        </w:rPr>
        <w:t>20. DAS ENTREGAS E EXECUÇÃO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20.1. A contratação do item, com fornecimento parcelado, será efetuada conforme a necessidade da Secretaria demandante, devendo a detentora executar o objeto de acordo com as especificações contidas no item 6.3  do termo de referência anexo I deste edital.</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20.2. A contratação com os fornecedores registrados será formalizada pelo Órgão Participante por intermédio de Solicitação de fornecimento de compra.</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20.3. Os itens contratados deverão ser entregues de segunda a sexta-feira, das 08:00 às 11:30 e das 13:30 às 17:00, eventualmente dependendo do evento a data de entrega poderá ser modificada e determinada pela secretaria solicitante.</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20.4. O Fornecedor deverá entregar os itens constantes da autorização no local indicado pelo órgão participante, com a respectiva Nota Fiscal Eletrônica e enviar o arquivo XML para o e-mail indicado nas Solicitações de Fornecimento.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20.5. Os recebimentos provisórios e definitivos ficarão sob a responsabilidade de cada Órgão Participante.</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cs="Arial" w:ascii="Arial" w:hAnsi="Arial"/>
          <w:color w:val="000000"/>
          <w:sz w:val="21"/>
          <w:szCs w:val="21"/>
        </w:rPr>
        <w:t xml:space="preserve">20.6. Todas as despesas relacionadas com as entregas em cada órgão participante ocorrerão </w:t>
      </w:r>
    </w:p>
    <w:p>
      <w:pPr>
        <w:pStyle w:val="Normal"/>
        <w:spacing w:before="0" w:after="0"/>
        <w:jc w:val="both"/>
        <w:rPr>
          <w:rFonts w:ascii="Arial" w:hAnsi="Arial"/>
          <w:sz w:val="21"/>
          <w:szCs w:val="21"/>
        </w:rPr>
      </w:pPr>
      <w:r>
        <w:rPr>
          <w:rFonts w:ascii="Arial" w:hAnsi="Arial"/>
          <w:color w:val="000000"/>
          <w:sz w:val="21"/>
          <w:szCs w:val="21"/>
        </w:rPr>
        <w:t>por conta do fornecedor, sob o qual ficará a total responsabilidade de realizar o transporte adequado e manter em perfeitas condições de armazenamento todos os itens a serem entregues, garantindo a sua total eficiência e q</w:t>
      </w:r>
      <w:r>
        <w:rPr>
          <w:rFonts w:cs="Arial" w:ascii="Arial" w:hAnsi="Arial"/>
          <w:color w:val="000000"/>
          <w:sz w:val="21"/>
          <w:szCs w:val="21"/>
        </w:rPr>
        <w:t>ualidade.</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20.7. Todos os custos relacionados à execução da garantia ou troca de produtos correrão por conta exclusiva do fornecedor, incluídos os custos de transporte, troca de peças/equipamentos, horas técnicas, deslocamento de pessoal.</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b/>
          <w:bCs/>
          <w:color w:val="000000"/>
          <w:sz w:val="21"/>
          <w:szCs w:val="21"/>
        </w:rPr>
        <w:t>21. DA FISCALIZAÇÃO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21.1. A fiscalização da execução do objeto contratado será realizada pelo Gestor e Fiscal indicados pelas Secretarias envolvidas no momento da elaboração da Ata de registro de preço/contrato.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8"/>
          <w:tab w:val="left" w:pos="2340" w:leader="none"/>
          <w:tab w:val="left" w:pos="4464" w:leader="none"/>
        </w:tabs>
        <w:spacing w:lineRule="auto" w:line="276" w:before="0" w:after="0"/>
        <w:ind w:left="0" w:right="0" w:hanging="0"/>
        <w:jc w:val="both"/>
        <w:rPr/>
      </w:pPr>
      <w:r>
        <w:rPr>
          <w:rFonts w:cs="Arial" w:ascii="Arial" w:hAnsi="Arial"/>
          <w:bCs/>
          <w:sz w:val="21"/>
          <w:szCs w:val="21"/>
        </w:rPr>
        <w:t>21.2. Em conformidade com o art. 117 da Lei Federal n. 14.133/2021, o Município designará fiscal de contrato e representante da administração pública para acompanhamento e fiscalização da execução de Ata de Registro de Preços/Contrato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pPr>
        <w:pStyle w:val="Normal"/>
        <w:tabs>
          <w:tab w:val="clear" w:pos="708"/>
          <w:tab w:val="left" w:pos="2340" w:leader="none"/>
          <w:tab w:val="left" w:pos="4464" w:leader="none"/>
        </w:tabs>
        <w:spacing w:lineRule="auto" w:line="276" w:before="0" w:after="0"/>
        <w:ind w:left="0" w:right="0" w:hanging="0"/>
        <w:jc w:val="both"/>
        <w:rPr>
          <w:rFonts w:ascii="Liberation Serif" w:hAnsi="Liberation Serif" w:eastAsia="SimSun" w:cs="Mangal"/>
          <w:color w:val="00000A"/>
          <w:sz w:val="24"/>
          <w:szCs w:val="24"/>
          <w:lang w:val="pt-BR" w:eastAsia="zh-CN" w:bidi="hi-IN"/>
        </w:rPr>
      </w:pPr>
      <w:r>
        <w:rPr>
          <w:rFonts w:eastAsia="SimSun" w:cs="Mangal" w:ascii="Liberation Serif" w:hAnsi="Liberation Serif"/>
          <w:color w:val="00000A"/>
          <w:sz w:val="24"/>
          <w:szCs w:val="24"/>
          <w:lang w:val="pt-BR" w:eastAsia="zh-CN" w:bidi="hi-IN"/>
        </w:rPr>
      </w:r>
    </w:p>
    <w:p>
      <w:pPr>
        <w:pStyle w:val="Normal"/>
        <w:tabs>
          <w:tab w:val="clear" w:pos="708"/>
          <w:tab w:val="left" w:pos="2340" w:leader="none"/>
          <w:tab w:val="left" w:pos="4464" w:leader="none"/>
        </w:tabs>
        <w:spacing w:lineRule="auto" w:line="276" w:before="0" w:after="0"/>
        <w:ind w:left="0" w:right="0" w:hanging="0"/>
        <w:jc w:val="both"/>
        <w:rPr/>
      </w:pPr>
      <w:r>
        <w:rPr>
          <w:rFonts w:cs="Arial" w:ascii="Arial" w:hAnsi="Arial"/>
          <w:bCs/>
          <w:color w:val="000000"/>
          <w:sz w:val="21"/>
          <w:szCs w:val="21"/>
        </w:rPr>
        <w:t>21.3. Caberá ao gestor da Ata de Registro de Preços/Contrato, com auxílio do Fiscal, constituir relatório final de que trata o art. 174, § 3º, inciso VI, alínea “d”, da Lei Federal n. 14.133/2021 com as informações obtidas durante a execução do contrato, como forma de aprimoramento das atividades da Administração.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22. DAS DISPOSIÇÕES GERAIS</w:t>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22.1. Caberá ao Município de Lindóia do Sul a prática de todos os atos de controle e administração do sistema.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22.2. A Empresa vencedora deverá declarar ao Município (ANEXO II) o domicílio eletrônico o qual será destinado ao gerenciamento da Ata de Registro de Preços/Contrato e recebimento das solicitações de fornecimento/ordens de serviços, alerta de avisos, notificações e decisões administrativas.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22.3. Nenhuma indenização será devida às licitantes pela elaboração e/ou apresentação de documentação relativa ao presente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22.4. O resultado desta licitação estará à disposição dos interessados, na sede da Prefeitura Municipal de Lindóia do Sul, logo após sua homologação e disponíveis na plataforma eletrônica do Portal de Compras Públicas e no sítio eletrônico oficial: www.lindoiadosul.sc.gov.br.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22.5. Detalhes não citados referentes à prestação dos serviços, mas que a boa técnica leve a presumir a sua necessidade, não deverão ser omitidos, não sendo aceitas justificativas para sua não apresentação.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22.6. O Município de Lindóia do Sul,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observadas as disposições da Lei Federal nº 14.133, de 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 xml:space="preserve">22.7. O(a) Pregoeiro(a) e a Equipe de Apoio prestarão os esclarecimentos necessários, devendo ser enviados ao pregoeiro, até três dias anteriores à data fixada para abertura da sessão pública, </w:t>
      </w:r>
      <w:r>
        <w:rPr>
          <w:rFonts w:ascii="Arial" w:hAnsi="Arial"/>
          <w:sz w:val="21"/>
          <w:szCs w:val="21"/>
          <w:shd w:fill="auto" w:val="clear"/>
        </w:rPr>
        <w:t>exclusivamente por meio eletrônico via portal indicado neste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22.7.1. Consultas a respeito de dúvidas ou esclarecimentos solicitadas fora dos parâmetros descritos no item 22.7. (como, por exemplo, através de “e-mail”), não serão respondidas.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22.8. Não cabe ao Portal de Compras Públicas ou ao Município de Lindóia do Sul, qualquer responsabilidade pelas obrigações assumidas pelo fornecedor com o licitante, em especial com relação à forma e às condições de entrega dos bens ou da prestação de serviços e quanto à quitação financeira da negociação realizada.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22.9. São partes integrantes deste Edital os seguintes ANEXOS: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a) ANEXO I – Termo de Referência;</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b) ANEXO II – Modelo de Proposta de Preços e dados da proponente;</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c) ANEXO III – Declaração de Cumprimento Pleno aos Requisitos de Habilitação;</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d) ANEXO IV – Declaração de Ausência de Condenação;</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e) ANEXO V – Declaração de Ausência de Vínculo;</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f) ANEXO VI – Declaração de Microempresa ou Empresa de Pequeno Porte;</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g) ANEXO VII – Declaração de Enquadramento Receita Bruta;</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h) ANEXO VIII – Declaração de Cumprimento do artigo 7º, inciso XXXIII, da Constituição da República Federativa do Brasil;</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i) ANEXO IX – Declaração Reserva de Cargos;</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j) ANEXO X – Declaração de Integralidade de Custos;</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k) ANEXO XI – Comprovação de Conhecimento das Especificações e Normas para a Execução dos Serviços;</w:t>
      </w:r>
    </w:p>
    <w:p>
      <w:pPr>
        <w:pStyle w:val="Normal"/>
        <w:widowControl/>
        <w:suppressAutoHyphens w:val="true"/>
        <w:bidi w:val="0"/>
        <w:spacing w:lineRule="auto" w:line="276" w:before="0" w:after="0"/>
        <w:ind w:left="0" w:right="0" w:hanging="0"/>
        <w:jc w:val="both"/>
        <w:rPr>
          <w:rFonts w:ascii="Arial" w:hAnsi="Arial"/>
        </w:rPr>
      </w:pPr>
      <w:r>
        <w:rPr>
          <w:rFonts w:ascii="Arial" w:hAnsi="Arial"/>
          <w:sz w:val="21"/>
          <w:szCs w:val="21"/>
        </w:rPr>
        <w:t>l) ANEXO XII –  Ata de Registro de Preços</w:t>
      </w:r>
    </w:p>
    <w:p>
      <w:pPr>
        <w:pStyle w:val="Normal"/>
        <w:widowControl/>
        <w:suppressAutoHyphens w:val="true"/>
        <w:bidi w:val="0"/>
        <w:spacing w:lineRule="auto" w:line="276" w:before="0" w:after="0"/>
        <w:ind w:left="0" w:right="0" w:hanging="0"/>
        <w:jc w:val="both"/>
        <w:rPr>
          <w:sz w:val="21"/>
          <w:szCs w:val="21"/>
        </w:rPr>
      </w:pPr>
      <w:r>
        <w:rPr>
          <w:sz w:val="21"/>
          <w:szCs w:val="21"/>
        </w:rPr>
      </w:r>
    </w:p>
    <w:p>
      <w:pPr>
        <w:pStyle w:val="Normal"/>
        <w:widowControl/>
        <w:suppressAutoHyphens w:val="true"/>
        <w:bidi w:val="0"/>
        <w:spacing w:lineRule="auto" w:line="276" w:before="0" w:after="0"/>
        <w:ind w:left="0" w:right="0" w:hanging="0"/>
        <w:jc w:val="both"/>
        <w:rPr>
          <w:sz w:val="21"/>
          <w:szCs w:val="21"/>
        </w:rPr>
      </w:pPr>
      <w:r>
        <w:rPr>
          <w:sz w:val="21"/>
          <w:szCs w:val="21"/>
        </w:rPr>
      </w:r>
    </w:p>
    <w:p>
      <w:pPr>
        <w:pStyle w:val="Normal"/>
        <w:widowControl/>
        <w:suppressAutoHyphens w:val="true"/>
        <w:bidi w:val="0"/>
        <w:spacing w:lineRule="auto" w:line="276" w:before="0" w:after="0"/>
        <w:ind w:left="0" w:right="0" w:hanging="0"/>
        <w:jc w:val="both"/>
        <w:rPr>
          <w:sz w:val="21"/>
          <w:szCs w:val="21"/>
        </w:rPr>
      </w:pPr>
      <w:r>
        <w:rPr>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Lindóia do Sul ,  13 de novembro  de 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rPr>
      </w:pPr>
      <w:r>
        <w:rPr>
          <w:rFonts w:ascii="Arial" w:hAnsi="Arial"/>
          <w:b/>
          <w:bCs/>
          <w:sz w:val="21"/>
          <w:szCs w:val="21"/>
        </w:rPr>
        <w:t>Neudi Angelo Bertol</w:t>
      </w:r>
    </w:p>
    <w:p>
      <w:pPr>
        <w:pStyle w:val="Normal"/>
        <w:widowControl/>
        <w:suppressAutoHyphens w:val="true"/>
        <w:bidi w:val="0"/>
        <w:spacing w:lineRule="auto" w:line="300" w:before="0" w:after="0"/>
        <w:ind w:left="0" w:right="0" w:hanging="0"/>
        <w:jc w:val="both"/>
        <w:rPr>
          <w:rFonts w:ascii="Arial" w:hAnsi="Arial"/>
        </w:rPr>
      </w:pPr>
      <w:r>
        <w:rPr>
          <w:rFonts w:ascii="Arial" w:hAnsi="Arial"/>
          <w:sz w:val="21"/>
          <w:szCs w:val="21"/>
        </w:rPr>
        <w:t>Prefeito Municipal</w:t>
      </w:r>
      <w:r>
        <w:br w:type="page"/>
      </w:r>
    </w:p>
    <w:p>
      <w:pPr>
        <w:pStyle w:val="Normal"/>
        <w:widowControl/>
        <w:suppressAutoHyphens w:val="true"/>
        <w:bidi w:val="0"/>
        <w:spacing w:lineRule="auto" w:line="300" w:before="0" w:after="0"/>
        <w:ind w:left="0" w:right="0" w:hanging="0"/>
        <w:jc w:val="center"/>
        <w:rPr>
          <w:rFonts w:ascii="Arial" w:hAnsi="Arial"/>
        </w:rPr>
      </w:pPr>
      <w:r>
        <w:rPr>
          <w:rFonts w:ascii="Arial" w:hAnsi="Arial"/>
          <w:b/>
          <w:bCs/>
          <w:sz w:val="21"/>
          <w:szCs w:val="21"/>
        </w:rPr>
        <w:t>ANEXO 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rPr>
      </w:pPr>
      <w:r>
        <w:rPr>
          <w:rFonts w:ascii="Arial" w:hAnsi="Arial"/>
          <w:b/>
          <w:bCs/>
          <w:sz w:val="21"/>
          <w:szCs w:val="21"/>
        </w:rPr>
        <w:t>TERMO DE REFERÊNCIA RETIFICADO</w:t>
      </w:r>
    </w:p>
    <w:p>
      <w:pPr>
        <w:pStyle w:val="Normal"/>
        <w:widowControl/>
        <w:suppressAutoHyphens w:val="true"/>
        <w:bidi w:val="0"/>
        <w:spacing w:lineRule="auto" w:line="276" w:before="0" w:after="0"/>
        <w:ind w:left="0" w:right="0" w:hanging="0"/>
        <w:jc w:val="center"/>
        <w:rPr>
          <w:rFonts w:ascii="Arial" w:hAnsi="Arial"/>
        </w:rPr>
      </w:pPr>
      <w:r>
        <w:rPr>
          <w:rFonts w:ascii="Arial" w:hAnsi="Arial"/>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19/2024</w:t>
      </w:r>
    </w:p>
    <w:p>
      <w:pPr>
        <w:pStyle w:val="Normal"/>
        <w:tabs>
          <w:tab w:val="clear" w:pos="708"/>
          <w:tab w:val="left" w:pos="2340" w:leader="none"/>
          <w:tab w:val="left" w:pos="4464" w:leader="none"/>
        </w:tabs>
        <w:spacing w:lineRule="auto" w:line="360"/>
        <w:jc w:val="center"/>
        <w:rPr>
          <w:b/>
          <w:b/>
          <w:bCs/>
        </w:rPr>
      </w:pPr>
      <w:r>
        <w:rPr>
          <w:b/>
          <w:bCs/>
        </w:rPr>
      </w:r>
    </w:p>
    <w:p>
      <w:pPr>
        <w:pStyle w:val="Normal"/>
        <w:tabs>
          <w:tab w:val="clear" w:pos="708"/>
          <w:tab w:val="left" w:pos="2340" w:leader="none"/>
          <w:tab w:val="left" w:pos="4464" w:leader="none"/>
        </w:tabs>
        <w:spacing w:lineRule="auto" w:line="360"/>
        <w:jc w:val="center"/>
        <w:rPr>
          <w:b/>
          <w:b/>
          <w:bCs/>
        </w:rPr>
      </w:pPr>
      <w:r>
        <w:rPr>
          <w:b/>
          <w:bCs/>
        </w:rPr>
      </w:r>
    </w:p>
    <w:p>
      <w:pPr>
        <w:pStyle w:val="Normal"/>
        <w:tabs>
          <w:tab w:val="clear" w:pos="708"/>
          <w:tab w:val="left" w:pos="2340" w:leader="none"/>
          <w:tab w:val="left" w:pos="4464" w:leader="none"/>
        </w:tabs>
        <w:spacing w:lineRule="auto" w:line="360"/>
        <w:jc w:val="center"/>
        <w:rPr>
          <w:b/>
          <w:b/>
          <w:bCs/>
        </w:rPr>
      </w:pPr>
      <w:r>
        <w:rPr>
          <w:b/>
          <w:bCs/>
        </w:rPr>
      </w:r>
    </w:p>
    <w:p>
      <w:pPr>
        <w:pStyle w:val="Normal"/>
        <w:tabs>
          <w:tab w:val="clear" w:pos="708"/>
          <w:tab w:val="left" w:pos="2340" w:leader="none"/>
          <w:tab w:val="left" w:pos="4464" w:leader="none"/>
        </w:tabs>
        <w:spacing w:lineRule="auto" w:line="360"/>
        <w:jc w:val="center"/>
        <w:rPr>
          <w:b/>
          <w:b/>
          <w:bCs/>
        </w:rPr>
      </w:pPr>
      <w:r>
        <w:rPr>
          <w:b/>
          <w:bCs/>
        </w:rPr>
      </w:r>
    </w:p>
    <w:p>
      <w:pPr>
        <w:pStyle w:val="Normal"/>
        <w:tabs>
          <w:tab w:val="clear" w:pos="708"/>
          <w:tab w:val="left" w:pos="2340" w:leader="none"/>
          <w:tab w:val="left" w:pos="4464" w:leader="none"/>
        </w:tabs>
        <w:spacing w:lineRule="auto" w:line="360"/>
        <w:jc w:val="center"/>
        <w:rPr>
          <w:b/>
          <w:b/>
          <w:bCs/>
        </w:rPr>
      </w:pPr>
      <w:r>
        <w:rPr>
          <w:b/>
          <w:bCs/>
        </w:rPr>
        <w:t xml:space="preserve">TERMO DE REFERÊNCIA RETIFICADO </w:t>
      </w:r>
    </w:p>
    <w:p>
      <w:pPr>
        <w:pStyle w:val="Normal"/>
        <w:tabs>
          <w:tab w:val="clear" w:pos="708"/>
          <w:tab w:val="left" w:pos="2340" w:leader="none"/>
          <w:tab w:val="left" w:pos="4464" w:leader="none"/>
        </w:tabs>
        <w:spacing w:lineRule="auto" w:line="360"/>
        <w:jc w:val="center"/>
        <w:rPr>
          <w:b/>
          <w:b/>
          <w:bCs/>
        </w:rPr>
      </w:pPr>
      <w:r>
        <w:rPr>
          <w:b/>
          <w:bCs/>
        </w:rPr>
      </w:r>
    </w:p>
    <w:p>
      <w:pPr>
        <w:pStyle w:val="Normal"/>
        <w:tabs>
          <w:tab w:val="clear" w:pos="708"/>
          <w:tab w:val="left" w:pos="2340" w:leader="none"/>
          <w:tab w:val="left" w:pos="4464" w:leader="none"/>
        </w:tabs>
        <w:spacing w:lineRule="auto" w:line="360"/>
        <w:jc w:val="center"/>
        <w:rPr>
          <w:b/>
          <w:b/>
          <w:bCs/>
        </w:rPr>
      </w:pPr>
      <w:r>
        <w:rPr>
          <w:b/>
          <w:bCs/>
        </w:rPr>
      </w:r>
    </w:p>
    <w:p>
      <w:pPr>
        <w:pStyle w:val="Normal"/>
        <w:jc w:val="both"/>
        <w:rPr>
          <w:b/>
          <w:b/>
          <w:bCs/>
        </w:rPr>
      </w:pPr>
      <w:r>
        <w:rPr>
          <w:b/>
          <w:bCs/>
        </w:rPr>
        <w:t>PARA REALIZAÇÃO LICITAÇÃO NA MODALIDADE PREGÃO PARA EVENTUAL CONTRATAÇÃO, COM FORNECIMENTO PARCELADO DE</w:t>
      </w:r>
      <w:r>
        <w:rPr>
          <w:rFonts w:eastAsia="Times New Roman"/>
          <w:color w:val="000000"/>
          <w:highlight w:val="white"/>
        </w:rPr>
        <w:t xml:space="preserve"> </w:t>
      </w:r>
      <w:r>
        <w:rPr>
          <w:b/>
          <w:bCs/>
        </w:rPr>
        <w:t xml:space="preserve">COMBUSTIVEIS </w:t>
      </w:r>
      <w:bookmarkStart w:id="0" w:name="_Hlk1791782631"/>
      <w:r>
        <w:rPr>
          <w:b/>
          <w:bCs/>
        </w:rPr>
        <w:t>(ÓLEO DIESEL S10, GASOLINA COMUM)</w:t>
      </w:r>
      <w:bookmarkEnd w:id="0"/>
      <w:r>
        <w:rPr>
          <w:b/>
          <w:bCs/>
        </w:rPr>
        <w:t xml:space="preserve"> PARA USO DOS ÓRGÃOS E ENTIDADES DO MUNICÍPIO DE LINDÓIA DO SUL.</w:t>
      </w:r>
    </w:p>
    <w:p>
      <w:pPr>
        <w:pStyle w:val="Normal"/>
        <w:jc w:val="both"/>
        <w:rPr>
          <w:b/>
          <w:b/>
        </w:rPr>
      </w:pPr>
      <w:r>
        <w:rPr>
          <w:b/>
        </w:rPr>
      </w:r>
      <w:r>
        <w:br w:type="page"/>
      </w:r>
    </w:p>
    <w:p>
      <w:pPr>
        <w:pStyle w:val="ListParagraph"/>
        <w:numPr>
          <w:ilvl w:val="0"/>
          <w:numId w:val="3"/>
        </w:numPr>
        <w:spacing w:lineRule="auto" w:line="360"/>
        <w:rPr>
          <w:rFonts w:ascii="Arial" w:hAnsi="Arial" w:cs="Arial"/>
          <w:bCs/>
          <w:sz w:val="22"/>
          <w:szCs w:val="22"/>
        </w:rPr>
      </w:pPr>
      <w:r>
        <w:rPr>
          <w:rFonts w:cs="Arial" w:ascii="Arial" w:hAnsi="Arial"/>
          <w:b/>
          <w:sz w:val="22"/>
          <w:szCs w:val="22"/>
        </w:rPr>
        <w:t>DISPOSIÇÕES PRELIMINARES</w:t>
      </w:r>
    </w:p>
    <w:p>
      <w:pPr>
        <w:pStyle w:val="Normal"/>
        <w:tabs>
          <w:tab w:val="clear" w:pos="708"/>
          <w:tab w:val="left" w:pos="2340" w:leader="none"/>
          <w:tab w:val="left" w:pos="4464" w:leader="none"/>
        </w:tabs>
        <w:spacing w:lineRule="auto" w:line="360"/>
        <w:ind w:firstLine="709"/>
        <w:jc w:val="both"/>
        <w:rPr>
          <w:bCs/>
        </w:rPr>
      </w:pPr>
      <w:r>
        <w:rPr>
          <w:bCs/>
        </w:rPr>
        <w:t>A fase preparatória da licitação visa planejar e compatibilizar a contratação com as leis orçamentárias, bem como abordar todas as considerações técnicas, mercadológicas e de gestão que podem interferir na contratação.</w:t>
      </w:r>
    </w:p>
    <w:p>
      <w:pPr>
        <w:pStyle w:val="Normal"/>
        <w:tabs>
          <w:tab w:val="clear" w:pos="708"/>
          <w:tab w:val="left" w:pos="2340" w:leader="none"/>
          <w:tab w:val="left" w:pos="4464" w:leader="none"/>
        </w:tabs>
        <w:spacing w:lineRule="auto" w:line="360"/>
        <w:ind w:firstLine="709"/>
        <w:jc w:val="both"/>
        <w:rPr/>
      </w:pPr>
      <w:r>
        <w:rPr>
          <w:bCs/>
        </w:rPr>
        <w:t>O Termo de Referência (TR) é o documento necessário para a contratação de bens e serviços que, contendo os parâmetros e elementos descritivos constantes no art. 6º, inciso XXIII, e no art. 40, § 1º, ambos da Lei Federal n. 14.133/2021, sintetiza as principais decisões e informações acerca do objeto a ser contratado, a definição da estratégia para a seleção da melhor proposta (com indicação da modalidade eleita, critério de julgamento e modo de disputa), bem como as condições que regerão a futura contratação.</w:t>
      </w:r>
    </w:p>
    <w:p>
      <w:pPr>
        <w:pStyle w:val="Normal"/>
        <w:tabs>
          <w:tab w:val="clear" w:pos="708"/>
          <w:tab w:val="left" w:pos="2340" w:leader="none"/>
          <w:tab w:val="left" w:pos="4464" w:leader="none"/>
        </w:tabs>
        <w:spacing w:lineRule="auto" w:line="360" w:before="142" w:after="142"/>
        <w:ind w:firstLine="709"/>
        <w:jc w:val="both"/>
        <w:rPr>
          <w:b/>
          <w:b/>
        </w:rPr>
      </w:pPr>
      <w:r>
        <w:rPr>
          <w:bCs/>
        </w:rPr>
        <w:t>Assim, o presente Termo de Referência configura-se como parte integrante da instrução do processo licitatório já iniciado para atendimento de demanda das secretarias do município por combustíveis para atendimento da demanda.</w:t>
      </w:r>
    </w:p>
    <w:p>
      <w:pPr>
        <w:pStyle w:val="ListParagraph"/>
        <w:numPr>
          <w:ilvl w:val="0"/>
          <w:numId w:val="3"/>
        </w:numPr>
        <w:spacing w:lineRule="auto" w:line="360" w:before="142" w:after="142"/>
        <w:contextualSpacing/>
        <w:rPr>
          <w:rFonts w:ascii="Arial" w:hAnsi="Arial" w:cs="Arial"/>
          <w:color w:val="000000"/>
          <w:sz w:val="22"/>
          <w:szCs w:val="22"/>
        </w:rPr>
      </w:pPr>
      <w:r>
        <w:rPr>
          <w:rFonts w:cs="Arial" w:ascii="Arial" w:hAnsi="Arial"/>
          <w:b/>
          <w:sz w:val="22"/>
          <w:szCs w:val="22"/>
        </w:rPr>
        <w:t>FUNDAMENTAÇÃO DA CONTRATAÇÃO</w:t>
      </w:r>
    </w:p>
    <w:p>
      <w:pPr>
        <w:pStyle w:val="Normal"/>
        <w:spacing w:lineRule="auto" w:line="360" w:before="142" w:after="142"/>
        <w:jc w:val="both"/>
        <w:rPr>
          <w:rFonts w:eastAsia="Times New Roman"/>
          <w:color w:val="000000"/>
          <w:highlight w:val="white"/>
        </w:rPr>
      </w:pPr>
      <w:r>
        <w:rPr/>
        <w:tab/>
      </w:r>
      <w:r>
        <w:rPr>
          <w:rFonts w:eastAsia="Times New Roman"/>
          <w:color w:val="000000"/>
          <w:highlight w:val="white"/>
        </w:rPr>
        <w:t>Tratando-se de demandas para os diversos órgãos e entidades do município.</w:t>
      </w:r>
    </w:p>
    <w:p>
      <w:pPr>
        <w:pStyle w:val="Normal"/>
        <w:spacing w:lineRule="auto" w:line="360" w:before="142" w:after="142"/>
        <w:ind w:firstLine="720"/>
        <w:jc w:val="both"/>
        <w:rPr>
          <w:rFonts w:eastAsia="Times New Roman"/>
          <w:color w:val="000000"/>
          <w:highlight w:val="white"/>
        </w:rPr>
      </w:pPr>
      <w:r>
        <w:rPr>
          <w:rFonts w:eastAsia="Times New Roman"/>
          <w:color w:val="000000"/>
          <w:highlight w:val="white"/>
        </w:rPr>
        <w:t>Dessa maneira, considerando tratar-se não apenas de um processo licitatório individual, mas que atende os órgãos e entidades do município, a necessidade de sua realização decorre da demanda dos itens para abastecimento da frota municipal, polícia militar e polícia civil.</w:t>
      </w:r>
    </w:p>
    <w:p>
      <w:pPr>
        <w:pStyle w:val="Normal"/>
        <w:spacing w:lineRule="auto" w:line="360" w:before="142" w:after="142"/>
        <w:ind w:firstLine="720"/>
        <w:jc w:val="both"/>
        <w:rPr>
          <w:rFonts w:eastAsia="Times New Roman"/>
          <w:color w:val="000000"/>
          <w:highlight w:val="white"/>
        </w:rPr>
      </w:pPr>
      <w:r>
        <w:rPr>
          <w:rFonts w:eastAsia="Times New Roman"/>
          <w:color w:val="000000"/>
          <w:highlight w:val="white"/>
        </w:rPr>
        <w:t>Tendo em vista que a Administração municipal possui uma vasta frota que necessitam dos itens de para abastecimento da frota.</w:t>
      </w:r>
    </w:p>
    <w:p>
      <w:pPr>
        <w:pStyle w:val="ListParagraph"/>
        <w:numPr>
          <w:ilvl w:val="1"/>
          <w:numId w:val="3"/>
        </w:numPr>
        <w:spacing w:lineRule="auto" w:line="360" w:before="142" w:after="142"/>
        <w:contextualSpacing w:val="false"/>
        <w:jc w:val="both"/>
        <w:rPr>
          <w:rFonts w:ascii="Arial" w:hAnsi="Arial" w:eastAsia="Times New Roman" w:cs="Arial"/>
          <w:b/>
          <w:b/>
          <w:bCs/>
          <w:color w:val="000000"/>
          <w:sz w:val="22"/>
          <w:szCs w:val="22"/>
          <w:highlight w:val="white"/>
        </w:rPr>
      </w:pPr>
      <w:r>
        <w:rPr>
          <w:rFonts w:eastAsia="Times New Roman" w:cs="Arial" w:ascii="Arial" w:hAnsi="Arial"/>
          <w:b/>
          <w:bCs/>
          <w:color w:val="000000"/>
          <w:sz w:val="22"/>
          <w:szCs w:val="22"/>
          <w:highlight w:val="white"/>
        </w:rPr>
        <w:t>PROCEDIMENTO A SER REALIZADO PARA AQUISIÇÃO DO OBJETO</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A partir da definição de que a aquisição do objeto supracitado realiza o atendimento da demanda exposta, cumpre analisar as opções sobre o modo pelo qual o município irá disponibilizar a sua contratação aos seus órgãos ou entidades.</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De início, destaca-se que, nos termos da regulamentação do município, os itens a serem licitados serão de qualidade comum, não superior à necessária para cumprir as finalidades às quais se destinam, razão pela qual sua aquisição encontra-se autorizada, conforme disposição do art. 20 da Lei Federal n. 14.133/2021.</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Descarta-se, sumariamente, a realização de contratação direta pelo município para aquisição dos bens, eis que não enquadrável em qualquer das hipóteses previstas nos arts. 74 e 75 da Lei Federal n. 14.133/2021. Especialmente quanto às hipóteses em que a licitação seria inexigível pela inviabilidade de competição, verificou-se na pesquisa de preços realizada a existência de ampla variedade de fornecedores para os diversos itens que constituirão o objeto deste processo licitatório, viabilizando, assim, a sua competitividade.</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A respeito da possibilidade de realização de credenciamento, verifica-se que o presente caso não se subsume a qualquer das situações previstas no caput do art. 79 da Lei Federal n. 14.133/2021, eis que, respectivamente: a) não é vantajosa para a Administração a realização de contratações em condições padronizadas, especialmente quanto ao preço dos itens, em razão do detrimento da economia de escala; b) os bens serão utilizados diretamente pela administração pública, não sendo possível a seleção pelo beneficiário da prestação; e c) não há flutuação constante do valor da prestação e das condições de contratação deste bem.</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Assim, não se configurando hipótese de contratação direta, tampouco do procedimento auxiliar de credenciamento, imperioso o cumprimento do dever constitucional de realização de licitação, a qual ocorrerá na modalidade pregão, visto que, nos termos do art. 6º, inciso XLI, e do art. 29, caput, da Lei Federal n. 14.133/2021, configura-se como “modalidade de licitação obrigatória para aquisição de bens e serviços comuns” e deve ser adotado “sempre que o objeto possuir padrões de desempenho e qualidade que possam ser objetivamente definidos pelo edital, por meio de especificações usuais de mercado”, situação evidente no presente cenário em razão do objeto licitado: bem de natureza comum, podendo ser objetivamente definido no edital.</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Realizando-se a licitação pela modalidade pregão, o art. 6º, inciso XLI, da Lei Federal n. 14.133/2021 dispõe que, discricionariamente, o seu “critério de julgamento poderá ser o de menor preço ou o de maior desconto”, optando-se, no presente caso, pelo critério de menor preço, nos termos do art. 24, parágrafo único, da Lei Federal n. 14.133/2021.</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Ocorre que, tratando-se da aquisição, por órgãos e entidades do município, de uma diversidade de itens para atendimento de suas demandas internas, imediatas ou não, as quais podem variar em quantidade no decorrer do tempo, verifica-se que, para a mais adequada satisfação da demanda apresentada, em termos quantitativos e temporais, torna-se imperiosa a utilização do Sistema de Registro de Preços (SRP).</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O Sistema de Registro de Preços é definido pelo art. 6º, inciso XLV, da Lei Federal n. 14.133/2021 como o “conjunto de procedimentos para realização, mediante contratação direta ou licitação nas modalidades pregão ou concorrência, de registro formal de preços relativos à prestação de serviços, a obras e a aquisição e locação de bens para contratações futuras”. Sua principal vantagem está no fato de que a “existência de preços registrados implicará compromisso de fornecimento nas condições estabelecidas, mas não obrigará a Administração a contratar” (art. 83 da Lei Federal n. 14.133/2021). Com isso, permite-se que a administração adquira os bens conforme a manifestação da demanda durante o prazo de vigência da ata de registro de preços, resultado do processo licitatório, o qual “será de 1 (um) ano e poderá ser prorrogado, por igual período” (art. 84 da Lei Federal n. 14.133/2021), garantindo o fornecimento contínuo de bens para atendimento da demanda, presente e futura, do município.</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No âmbito de atuação do município, o Sistema de Registro de Preços encontra-se regulamentado pelo Decreto nº 4.072.</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Nesse modelo licitatório, existem duas etapas. A primeira, centralizada, é realizada de forma centralizada pelo município, voltada ao planejamento, seleção do fornecedor e, tratando-se de SRP, formalização da ata de registro de preços. A segunda, descentralizada, é voltada na aquisição efetiva dos bens e serviços pelos diversos órgãos e entidades do município, denominados Órgãos Participantes, sob sua gestão e responsabilidade.</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Ante o exposto, verifica-se que o procedimento licitatório mais adequado e que será realizado para a aquisição do objeto supracitado é a realização de licitação, na modalidade pregão, pelo critério de menor preço e auxiliada pelo sistema de registro de preços, atuando o município como Órgão Gerenciador.</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Tratando-se de processo licitatório visando o registro de preço dos itens listados, a estimativa total de quantidades para a contratação é definida através da realização do procedimento público de intenção para registro de preços (IRP), previsto no art. 86 da Lei Federal 14.133/2021.</w:t>
      </w:r>
    </w:p>
    <w:p>
      <w:pPr>
        <w:pStyle w:val="Normal"/>
        <w:suppressAutoHyphens w:val="false"/>
        <w:spacing w:beforeAutospacing="1" w:afterAutospacing="1"/>
        <w:ind w:left="2880" w:firstLine="720"/>
        <w:jc w:val="both"/>
        <w:rPr>
          <w:rFonts w:eastAsia="Times New Roman"/>
          <w:color w:val="000000"/>
          <w:kern w:val="0"/>
          <w:sz w:val="18"/>
          <w:szCs w:val="18"/>
          <w:lang w:eastAsia="pt-BR" w:bidi="ar-SA"/>
        </w:rPr>
      </w:pPr>
      <w:r>
        <w:rPr>
          <w:rFonts w:eastAsia="Times New Roman"/>
          <w:color w:val="000000"/>
          <w:kern w:val="0"/>
          <w:sz w:val="18"/>
          <w:szCs w:val="18"/>
          <w:lang w:eastAsia="pt-BR" w:bidi="ar-SA"/>
        </w:rPr>
        <w:t>Art.86. O órgão ou entidade gerenciadora deverá, na fase preparatória do processo licitatório, para fins de registro de preços, realizar procedimento público de intenção de registro de preços para, nos termos de regulamento, possibilitar, pelo prazo mínimo de 8(oito) dias úteis, a participação de outros órgãos ou entidades na respectiva ata e determinar a estimativa total de quantidades da contratação.</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Destaca-se que este procedimento se encontra regulamentado no âmbito do município pelo decreto nº 4.072, cito o Art. 118, § 1º: § 1º O procedimento público de intenção de registro de preços poderá ser dispensada, de forma justificada pelo Órgão Gerenciador, quando for o único contratante ou de interesse restrito a órgãos ou entidades específicas da Administração.</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No caso desta municipalidade, optou-se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o município a qualidade de outro órgão gerenciador.</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Tratando-se de processo licitatório visando o registro de preços dos itens listados, a estimativa total de quantidades para contratação foi definida através da demanda do município.</w:t>
      </w:r>
    </w:p>
    <w:p>
      <w:pPr>
        <w:pStyle w:val="Normal"/>
        <w:suppressAutoHyphens w:val="false"/>
        <w:spacing w:beforeAutospacing="1" w:afterAutospacing="1"/>
        <w:ind w:firstLine="709"/>
        <w:jc w:val="both"/>
        <w:rPr>
          <w:rFonts w:eastAsia="Times New Roman"/>
          <w:color w:val="000000"/>
          <w:kern w:val="0"/>
          <w:lang w:eastAsia="pt-BR" w:bidi="ar-SA"/>
        </w:rPr>
      </w:pPr>
      <w:r>
        <w:rPr>
          <w:rFonts w:eastAsia="Times New Roman"/>
          <w:color w:val="000000"/>
          <w:kern w:val="0"/>
          <w:lang w:eastAsia="pt-BR" w:bidi="ar-SA"/>
        </w:rPr>
        <w:t>Dessa forma que se encontra plenamente confirmada pelos próprios órgãos a necessidade de contratação apresentada, cujos quantitativos encontram-se discriminados nas páginas seguintes.</w:t>
      </w:r>
    </w:p>
    <w:p>
      <w:pPr>
        <w:pStyle w:val="ListParagraph"/>
        <w:numPr>
          <w:ilvl w:val="1"/>
          <w:numId w:val="3"/>
        </w:numPr>
        <w:spacing w:lineRule="auto" w:line="360" w:before="142" w:after="142"/>
        <w:contextualSpacing/>
        <w:jc w:val="both"/>
        <w:rPr>
          <w:rFonts w:ascii="Arial" w:hAnsi="Arial" w:cs="Arial"/>
          <w:bCs/>
          <w:sz w:val="22"/>
          <w:szCs w:val="22"/>
        </w:rPr>
      </w:pPr>
      <w:r>
        <w:rPr>
          <w:rFonts w:cs="Arial" w:ascii="Arial" w:hAnsi="Arial"/>
          <w:b/>
          <w:sz w:val="22"/>
          <w:szCs w:val="22"/>
        </w:rPr>
        <w:t xml:space="preserve">DISPENSA DE ESTUDO TÉCNICO PRELIMINAR </w:t>
      </w:r>
    </w:p>
    <w:p>
      <w:pPr>
        <w:pStyle w:val="Normal"/>
        <w:tabs>
          <w:tab w:val="clear" w:pos="708"/>
          <w:tab w:val="left" w:pos="2340" w:leader="none"/>
          <w:tab w:val="left" w:pos="4464" w:leader="none"/>
        </w:tabs>
        <w:spacing w:lineRule="auto" w:line="360" w:before="142" w:after="142"/>
        <w:ind w:firstLine="709"/>
        <w:jc w:val="both"/>
        <w:rPr>
          <w:bCs/>
        </w:rPr>
      </w:pPr>
      <w:r>
        <w:rPr>
          <w:bCs/>
        </w:rPr>
        <w:t>Prevê o art. 47, § 1º, inciso XXXIV no decreto municipal nº 4.072 de 11 de janeiro de 2024:</w:t>
      </w:r>
    </w:p>
    <w:p>
      <w:pPr>
        <w:pStyle w:val="Normal"/>
        <w:tabs>
          <w:tab w:val="clear" w:pos="708"/>
          <w:tab w:val="left" w:pos="2340" w:leader="none"/>
          <w:tab w:val="left" w:pos="4464" w:leader="none"/>
        </w:tabs>
        <w:spacing w:lineRule="auto" w:line="240"/>
        <w:ind w:left="3402" w:hanging="0"/>
        <w:jc w:val="both"/>
        <w:rPr>
          <w:bCs/>
          <w:sz w:val="18"/>
          <w:szCs w:val="18"/>
        </w:rPr>
      </w:pPr>
      <w:r>
        <w:rPr>
          <w:bCs/>
          <w:sz w:val="18"/>
          <w:szCs w:val="18"/>
        </w:rPr>
        <w:t>§ 1º – Dentre outas hipóteses devidamente justificadas nos termos do caput deste artigo, está dispensada a realização do Estudo Técnico Preliminar para as seguintes contratações, dentre outras:</w:t>
      </w:r>
    </w:p>
    <w:p>
      <w:pPr>
        <w:pStyle w:val="Normal"/>
        <w:tabs>
          <w:tab w:val="clear" w:pos="708"/>
          <w:tab w:val="left" w:pos="2340" w:leader="none"/>
          <w:tab w:val="left" w:pos="4464" w:leader="none"/>
        </w:tabs>
        <w:spacing w:lineRule="auto" w:line="240"/>
        <w:ind w:left="3402" w:hanging="0"/>
        <w:jc w:val="both"/>
        <w:rPr>
          <w:bCs/>
          <w:sz w:val="18"/>
          <w:szCs w:val="18"/>
        </w:rPr>
      </w:pPr>
      <w:r>
        <w:rPr>
          <w:bCs/>
          <w:sz w:val="18"/>
          <w:szCs w:val="18"/>
        </w:rPr>
        <w:t>[...]</w:t>
      </w:r>
    </w:p>
    <w:p>
      <w:pPr>
        <w:pStyle w:val="Normal"/>
        <w:tabs>
          <w:tab w:val="clear" w:pos="708"/>
          <w:tab w:val="left" w:pos="2340" w:leader="none"/>
          <w:tab w:val="left" w:pos="4464" w:leader="none"/>
        </w:tabs>
        <w:spacing w:lineRule="auto" w:line="240"/>
        <w:ind w:left="3402" w:hanging="0"/>
        <w:jc w:val="both"/>
        <w:rPr>
          <w:bCs/>
          <w:sz w:val="18"/>
          <w:szCs w:val="18"/>
        </w:rPr>
      </w:pPr>
      <w:r>
        <w:rPr>
          <w:bCs/>
          <w:sz w:val="18"/>
          <w:szCs w:val="18"/>
        </w:rPr>
        <w:t>XXXIV – combustíveis, lubrificantes e arla. [...]</w:t>
      </w:r>
    </w:p>
    <w:p>
      <w:pPr>
        <w:pStyle w:val="Normal"/>
        <w:tabs>
          <w:tab w:val="clear" w:pos="708"/>
          <w:tab w:val="left" w:pos="2340" w:leader="none"/>
          <w:tab w:val="left" w:pos="4464" w:leader="none"/>
        </w:tabs>
        <w:spacing w:lineRule="auto" w:line="360" w:before="142" w:after="142"/>
        <w:ind w:firstLine="709"/>
        <w:jc w:val="both"/>
        <w:rPr>
          <w:bCs/>
        </w:rPr>
      </w:pPr>
      <w:r>
        <w:rPr>
          <w:bCs/>
        </w:rPr>
        <w:t xml:space="preserve">Nos termos do dispositivo citado, a obrigatoriedade recai somente sobre o documento de formalização de demanda, já devidamente acostado aos autos deste processo. </w:t>
      </w:r>
    </w:p>
    <w:p>
      <w:pPr>
        <w:pStyle w:val="Normal"/>
        <w:tabs>
          <w:tab w:val="clear" w:pos="708"/>
          <w:tab w:val="left" w:pos="2340" w:leader="none"/>
          <w:tab w:val="left" w:pos="4464" w:leader="none"/>
        </w:tabs>
        <w:spacing w:lineRule="auto" w:line="360" w:before="142" w:after="142"/>
        <w:ind w:firstLine="709"/>
        <w:jc w:val="both"/>
        <w:rPr>
          <w:b/>
          <w:b/>
        </w:rPr>
      </w:pPr>
      <w:r>
        <w:rPr>
          <w:bCs/>
        </w:rPr>
        <w:t xml:space="preserve">Assim, </w:t>
      </w:r>
      <w:r>
        <w:rPr/>
        <w:t>considerando que o objeto da presente contratação é classificado com um bem de consumo comum, a sua especificação é realizada de modo suficiente neste termo de referência, razão pela qual afasta-se a elaboração de projeto básico e de projeto executivo.</w:t>
      </w:r>
    </w:p>
    <w:p>
      <w:pPr>
        <w:pStyle w:val="ListParagraph"/>
        <w:numPr>
          <w:ilvl w:val="1"/>
          <w:numId w:val="3"/>
        </w:numPr>
        <w:tabs>
          <w:tab w:val="clear" w:pos="708"/>
          <w:tab w:val="left" w:pos="2340" w:leader="none"/>
          <w:tab w:val="left" w:pos="4464" w:leader="none"/>
        </w:tabs>
        <w:spacing w:lineRule="auto" w:line="360"/>
        <w:jc w:val="both"/>
        <w:rPr>
          <w:rFonts w:ascii="Arial" w:hAnsi="Arial" w:eastAsia="Times New Roman" w:cs="Arial"/>
          <w:color w:val="000000"/>
          <w:sz w:val="22"/>
          <w:szCs w:val="22"/>
          <w:lang w:eastAsia="pt-BR"/>
        </w:rPr>
      </w:pPr>
      <w:r>
        <w:rPr>
          <w:rFonts w:cs="Arial" w:ascii="Arial" w:hAnsi="Arial"/>
          <w:b/>
          <w:sz w:val="22"/>
          <w:szCs w:val="22"/>
        </w:rPr>
        <w:t>PROVIDÊNCIAS A SEREM ADOTADAS PELA ADMINISTRAÇÃO E CONTRATAÇÕES CORRELATAS E/OU INTERDEPENDENTES</w:t>
      </w:r>
    </w:p>
    <w:p>
      <w:pPr>
        <w:pStyle w:val="Normal"/>
        <w:spacing w:lineRule="auto" w:line="360" w:before="142" w:after="142"/>
        <w:ind w:firstLine="709"/>
        <w:jc w:val="both"/>
        <w:rPr>
          <w:rFonts w:eastAsia="Times New Roman"/>
          <w:bCs/>
          <w:color w:val="000000"/>
          <w:lang w:eastAsia="pt-BR"/>
        </w:rPr>
      </w:pPr>
      <w:r>
        <w:rPr>
          <w:rFonts w:eastAsia="Times New Roman"/>
          <w:color w:val="000000"/>
          <w:lang w:eastAsia="pt-BR"/>
        </w:rPr>
        <w:t>Tendo em vista a natureza da contratação almejada, não se configura necessária a elaboração de cronograma para adequação de ambientes visando o início da prestação dos serviços.</w:t>
      </w:r>
    </w:p>
    <w:p>
      <w:pPr>
        <w:pStyle w:val="Normal"/>
        <w:spacing w:lineRule="auto" w:line="360" w:before="142" w:after="142"/>
        <w:jc w:val="both"/>
        <w:rPr>
          <w:bCs/>
        </w:rPr>
      </w:pPr>
      <w:r>
        <w:rPr>
          <w:rFonts w:eastAsia="Times New Roman"/>
          <w:bCs/>
          <w:color w:val="000000"/>
          <w:lang w:eastAsia="pt-BR"/>
        </w:rPr>
        <w:tab/>
        <w:t>Ainda, entende-se que a aquisição em tela não traz à tona novas peculiaridades que justifiquem a necessidade de capacitação específica para o acompanhamento da prestação dos serviços.</w:t>
      </w:r>
    </w:p>
    <w:p>
      <w:pPr>
        <w:pStyle w:val="Normal"/>
        <w:spacing w:lineRule="auto" w:line="360" w:before="142" w:after="142"/>
        <w:ind w:firstLine="709"/>
        <w:jc w:val="both"/>
        <w:rPr>
          <w:bCs/>
        </w:rPr>
      </w:pPr>
      <w:r>
        <w:rPr>
          <w:bCs/>
        </w:rPr>
        <w:t>Ainda nos ensinamentos de Marçal Justen Filho, sobre o conteúdo previsto no art. 18, § 1º, inciso XI, da Lei Federal n. 14.133/2021, verifica-se que:</w:t>
      </w:r>
      <w:r>
        <w:rPr>
          <w:rStyle w:val="Ncoradanotaderodap"/>
          <w:bCs/>
        </w:rPr>
        <w:footnoteReference w:id="2"/>
      </w:r>
      <w:r>
        <w:rPr>
          <w:bCs/>
        </w:rPr>
        <w:t xml:space="preserve"> </w:t>
      </w:r>
    </w:p>
    <w:p>
      <w:pPr>
        <w:pStyle w:val="Normal"/>
        <w:spacing w:lineRule="auto" w:line="240" w:before="142" w:after="142"/>
        <w:ind w:left="3402" w:hanging="0"/>
        <w:jc w:val="both"/>
        <w:rPr>
          <w:bCs/>
          <w:sz w:val="18"/>
          <w:szCs w:val="18"/>
        </w:rPr>
      </w:pPr>
      <w:r>
        <w:rPr>
          <w:bCs/>
          <w:sz w:val="18"/>
          <w:szCs w:val="18"/>
        </w:rPr>
        <w:t>As contratações correlatas são aquelas que versam sobre objeto similar ou complementar. As interdependentes são aquelas cuja execução possa afetar ou ser afetada pela contratação examinada. [...] Tais contratações podem ser passadas, contemporâneas ou futuras, sendo pertinente tomar em vista a sua existência ou os seus efeitos para obter o melhor resultado possível no procedimento licitatório a ser realizado.</w:t>
      </w:r>
    </w:p>
    <w:p>
      <w:pPr>
        <w:pStyle w:val="Normal"/>
        <w:spacing w:lineRule="auto" w:line="360" w:before="142" w:after="142"/>
        <w:jc w:val="both"/>
        <w:rPr>
          <w:b/>
          <w:b/>
        </w:rPr>
      </w:pPr>
      <w:r>
        <w:rPr/>
        <w:tab/>
        <w:t>Não há que se falar em contratações correlatas e/ou interdependentes no que tange ao presente objeto da contratação.</w:t>
      </w:r>
    </w:p>
    <w:p>
      <w:pPr>
        <w:pStyle w:val="ListParagraph"/>
        <w:numPr>
          <w:ilvl w:val="0"/>
          <w:numId w:val="3"/>
        </w:numPr>
        <w:spacing w:lineRule="auto" w:line="360" w:before="142" w:after="142"/>
        <w:contextualSpacing/>
        <w:rPr>
          <w:rFonts w:ascii="Arial" w:hAnsi="Arial" w:cs="Arial"/>
          <w:b/>
          <w:b/>
          <w:sz w:val="22"/>
          <w:szCs w:val="22"/>
        </w:rPr>
      </w:pPr>
      <w:r>
        <w:rPr>
          <w:rFonts w:cs="Arial" w:ascii="Arial" w:hAnsi="Arial"/>
          <w:b/>
          <w:sz w:val="22"/>
          <w:szCs w:val="22"/>
        </w:rPr>
        <w:t>DEFINIÇÃO DO OBJETO</w:t>
      </w:r>
    </w:p>
    <w:p>
      <w:pPr>
        <w:pStyle w:val="ListParagraph"/>
        <w:numPr>
          <w:ilvl w:val="1"/>
          <w:numId w:val="3"/>
        </w:numPr>
        <w:spacing w:lineRule="auto" w:line="360" w:before="142" w:after="142"/>
        <w:contextualSpacing/>
        <w:rPr>
          <w:rFonts w:ascii="Arial" w:hAnsi="Arial" w:cs="Arial"/>
          <w:bCs/>
          <w:sz w:val="22"/>
          <w:szCs w:val="22"/>
        </w:rPr>
      </w:pPr>
      <w:r>
        <w:rPr>
          <w:rFonts w:cs="Arial" w:ascii="Arial" w:hAnsi="Arial"/>
          <w:b/>
          <w:sz w:val="22"/>
          <w:szCs w:val="22"/>
        </w:rPr>
        <w:t>OBJETO</w:t>
      </w:r>
    </w:p>
    <w:p>
      <w:pPr>
        <w:pStyle w:val="Standard"/>
        <w:spacing w:lineRule="auto" w:line="360" w:before="142" w:after="142"/>
        <w:ind w:firstLine="709"/>
        <w:jc w:val="both"/>
        <w:rPr>
          <w:rFonts w:ascii="Arial" w:hAnsi="Arial" w:eastAsia="Times New Roman" w:cs="Arial"/>
          <w:color w:val="000000"/>
          <w:sz w:val="22"/>
          <w:szCs w:val="22"/>
          <w:highlight w:val="white"/>
          <w:lang w:bidi="hi-IN"/>
        </w:rPr>
      </w:pPr>
      <w:r>
        <w:rPr>
          <w:rFonts w:eastAsia="Times New Roman" w:cs="Arial" w:ascii="Arial" w:hAnsi="Arial"/>
          <w:color w:val="000000"/>
          <w:sz w:val="22"/>
          <w:szCs w:val="22"/>
          <w:highlight w:val="white"/>
          <w:lang w:bidi="hi-IN"/>
        </w:rPr>
        <w:t>A presente licitação tem por objeto a aquisição de combustíveis (óleo diesel S10, gasolina comum), de forma parcelada, para o abastecimento da frota da Prefeitura de Lindóia do Sul e também para os veículos da Polícia Militar e Polícia Civil, conforme especificações constantes neste termo de referência.</w:t>
      </w:r>
    </w:p>
    <w:p>
      <w:pPr>
        <w:pStyle w:val="Standard"/>
        <w:spacing w:before="142" w:after="142"/>
        <w:ind w:firstLine="709"/>
        <w:jc w:val="both"/>
        <w:rPr>
          <w:rFonts w:ascii="Arial" w:hAnsi="Arial" w:eastAsia="Times New Roman" w:cs="Arial"/>
          <w:color w:val="000000"/>
          <w:sz w:val="22"/>
          <w:szCs w:val="22"/>
          <w:lang w:bidi="hi-IN"/>
        </w:rPr>
      </w:pPr>
      <w:r>
        <w:rPr>
          <w:rFonts w:eastAsia="Times New Roman" w:cs="Arial" w:ascii="Arial" w:hAnsi="Arial"/>
          <w:color w:val="000000"/>
          <w:sz w:val="22"/>
          <w:szCs w:val="22"/>
          <w:lang w:bidi="hi-IN"/>
        </w:rPr>
        <w:t>O proponente vencedor do item de óleo diesel S10 (item 1), deverá fornecer em regime de comodato sem ônus ao município:</w:t>
      </w:r>
    </w:p>
    <w:p>
      <w:pPr>
        <w:pStyle w:val="Standard"/>
        <w:spacing w:before="142" w:after="142"/>
        <w:ind w:firstLine="709"/>
        <w:jc w:val="both"/>
        <w:rPr>
          <w:rFonts w:ascii="Arial" w:hAnsi="Arial" w:eastAsia="Times New Roman" w:cs="Arial"/>
          <w:color w:val="000000"/>
          <w:sz w:val="22"/>
          <w:szCs w:val="22"/>
          <w:lang w:bidi="hi-IN"/>
        </w:rPr>
      </w:pPr>
      <w:r>
        <w:rPr>
          <w:rFonts w:eastAsia="Times New Roman" w:cs="Arial" w:ascii="Arial" w:hAnsi="Arial"/>
          <w:color w:val="000000"/>
          <w:sz w:val="22"/>
          <w:szCs w:val="22"/>
          <w:lang w:bidi="hi-IN"/>
        </w:rPr>
        <w:t>Tanque em fibra, com capacidade mínima de 8.000 (oito mil) litros com marcação externa da quantidade de litros, com bomba para abastecimento, com sistema de filtros, devidamente instalado dentro das normas regulamentadas pela FATMA e IBAMA, além disso, fornece todas as Licenças Ambientais em conformidade com a legislação vigente dos equipamentos, devendo ser instalados no pátio da Secretaria de Infraestrutura do Município de Lindóia do Sul/SC, o qual deverá ser realizado em até 10 dias após a assinatura da ata.</w:t>
      </w:r>
    </w:p>
    <w:p>
      <w:pPr>
        <w:pStyle w:val="Standard"/>
        <w:spacing w:before="142" w:after="142"/>
        <w:ind w:firstLine="709"/>
        <w:jc w:val="both"/>
        <w:rPr>
          <w:rFonts w:ascii="Arial" w:hAnsi="Arial" w:eastAsia="Times New Roman" w:cs="Arial"/>
          <w:color w:val="000000"/>
          <w:sz w:val="22"/>
          <w:szCs w:val="22"/>
          <w:lang w:bidi="hi-IN"/>
        </w:rPr>
      </w:pPr>
      <w:r>
        <w:rPr>
          <w:rFonts w:eastAsia="Times New Roman" w:cs="Arial" w:ascii="Arial" w:hAnsi="Arial"/>
          <w:color w:val="000000"/>
          <w:sz w:val="22"/>
          <w:szCs w:val="22"/>
          <w:lang w:bidi="hi-IN"/>
        </w:rPr>
        <w:t>Kit abastecimento para óleo diesel, com reservatório para 1.000 (um mil) litros, medidor de no mínimo 3 (três) dígitos, com vazão mínima de 35 litros por minuto, bico manual em alumínio, com mangueira de abastecimento ¾, de no mínimo 3,8 metros, mangueira de sucção de no mínimo 1,4 metros, com conexão da bomba ao reservatório, para instalação em bateria de 12 volts.</w:t>
      </w:r>
    </w:p>
    <w:p>
      <w:pPr>
        <w:pStyle w:val="Standard"/>
        <w:spacing w:before="142" w:after="142"/>
        <w:ind w:firstLine="709"/>
        <w:jc w:val="both"/>
        <w:rPr>
          <w:rFonts w:ascii="Arial" w:hAnsi="Arial" w:eastAsia="Times New Roman" w:cs="Arial"/>
          <w:b/>
          <w:b/>
          <w:bCs/>
          <w:color w:val="000000"/>
          <w:sz w:val="22"/>
          <w:szCs w:val="22"/>
          <w:lang w:bidi="hi-IN"/>
        </w:rPr>
      </w:pPr>
      <w:r>
        <w:rPr>
          <w:rFonts w:eastAsia="Times New Roman" w:cs="Arial" w:ascii="Arial" w:hAnsi="Arial"/>
          <w:b/>
          <w:bCs/>
          <w:color w:val="000000"/>
          <w:sz w:val="22"/>
          <w:szCs w:val="22"/>
          <w:lang w:bidi="hi-IN"/>
        </w:rPr>
        <w:t>Todos os equipamentos deverão ser novos, dentro das normas exigíveis pelos órgãos de fiscalização, sendo que a empresa vencedora deverá realizar as manutenções peças e serviços dos equipamentos sem ônus ao município.</w:t>
      </w:r>
    </w:p>
    <w:p>
      <w:pPr>
        <w:pStyle w:val="Standard"/>
        <w:spacing w:before="142" w:after="142"/>
        <w:ind w:firstLine="709"/>
        <w:jc w:val="both"/>
        <w:rPr>
          <w:rFonts w:ascii="Arial" w:hAnsi="Arial" w:eastAsia="Times New Roman" w:cs="Arial"/>
          <w:color w:val="000000"/>
          <w:sz w:val="22"/>
          <w:szCs w:val="22"/>
          <w:lang w:bidi="hi-IN"/>
        </w:rPr>
      </w:pPr>
      <w:r>
        <w:rPr>
          <w:rFonts w:eastAsia="Times New Roman" w:cs="Arial" w:ascii="Arial" w:hAnsi="Arial"/>
          <w:color w:val="000000"/>
          <w:sz w:val="22"/>
          <w:szCs w:val="22"/>
          <w:lang w:bidi="hi-IN"/>
        </w:rPr>
        <w:t>O empréstimo dos tanques e conjuntos de abastecimento, vigorarão pelo período de vigência do contrato e não dará ao proponente vencedor qualquer tipo de prioridade na próxima licitação.</w:t>
      </w:r>
    </w:p>
    <w:p>
      <w:pPr>
        <w:pStyle w:val="Standard"/>
        <w:spacing w:before="142" w:after="142"/>
        <w:ind w:firstLine="709"/>
        <w:jc w:val="both"/>
        <w:rPr>
          <w:rFonts w:ascii="Arial" w:hAnsi="Arial" w:eastAsia="Times New Roman" w:cs="Arial"/>
          <w:color w:val="000000"/>
          <w:sz w:val="22"/>
          <w:szCs w:val="22"/>
          <w:lang w:bidi="hi-IN"/>
        </w:rPr>
      </w:pPr>
      <w:r>
        <w:rPr>
          <w:rFonts w:eastAsia="Times New Roman" w:cs="Arial" w:ascii="Arial" w:hAnsi="Arial"/>
          <w:color w:val="000000"/>
          <w:sz w:val="22"/>
          <w:szCs w:val="22"/>
          <w:lang w:bidi="hi-IN"/>
        </w:rPr>
        <w:t>A licitante vencedora do item 01 (óleo diesel), deverá efetuar a entrega na garagem de máquinas do município localizada em Linha Lageado Acídio a 2 KM da sede do Município.</w:t>
      </w:r>
    </w:p>
    <w:p>
      <w:pPr>
        <w:pStyle w:val="Standard"/>
        <w:spacing w:before="142" w:after="142"/>
        <w:ind w:firstLine="709"/>
        <w:jc w:val="both"/>
        <w:rPr>
          <w:rFonts w:ascii="Arial" w:hAnsi="Arial" w:eastAsia="Times New Roman" w:cs="Arial"/>
          <w:color w:val="000000"/>
          <w:sz w:val="22"/>
          <w:szCs w:val="22"/>
          <w:lang w:bidi="hi-IN"/>
        </w:rPr>
      </w:pPr>
      <w:r>
        <w:rPr>
          <w:rFonts w:eastAsia="Times New Roman" w:cs="Arial" w:ascii="Arial" w:hAnsi="Arial"/>
          <w:color w:val="000000"/>
          <w:sz w:val="22"/>
          <w:szCs w:val="22"/>
          <w:lang w:bidi="hi-IN"/>
        </w:rPr>
        <w:t>A licitante vencedora do item 02 (gasolina comum) deverá possuir posto de abastecimento próprio ou conveniado, o qual deverá estar localizado dentro do perímetro urbano do Município de Lindóia do Sul/SC.</w:t>
      </w:r>
    </w:p>
    <w:p>
      <w:pPr>
        <w:pStyle w:val="Normal"/>
        <w:tabs>
          <w:tab w:val="clear" w:pos="708"/>
          <w:tab w:val="left" w:pos="2340" w:leader="none"/>
          <w:tab w:val="left" w:pos="4464" w:leader="none"/>
        </w:tabs>
        <w:spacing w:lineRule="auto" w:line="360" w:before="142" w:after="142"/>
        <w:ind w:firstLine="709"/>
        <w:jc w:val="both"/>
        <w:rPr>
          <w:bCs/>
        </w:rPr>
      </w:pPr>
      <w:r>
        <w:rPr>
          <w:bCs/>
        </w:rPr>
        <w:t>O texto descritivo completo e informações pertinentes de cada item a ser licitado constam nos autos do processo licitatório em que se insere o presente Termo de Referência e estarão anexas ao Edital, constituindo parte integrante dele.</w:t>
      </w:r>
    </w:p>
    <w:p>
      <w:pPr>
        <w:pStyle w:val="Normal"/>
        <w:tabs>
          <w:tab w:val="clear" w:pos="708"/>
          <w:tab w:val="left" w:pos="2340" w:leader="none"/>
          <w:tab w:val="left" w:pos="4464" w:leader="none"/>
        </w:tabs>
        <w:spacing w:lineRule="auto" w:line="360" w:before="142" w:after="142"/>
        <w:ind w:firstLine="709"/>
        <w:jc w:val="both"/>
        <w:rPr>
          <w:b/>
          <w:b/>
        </w:rPr>
      </w:pPr>
      <w:r>
        <w:rPr>
          <w:bCs/>
        </w:rPr>
        <w:t>O fornecimento do objeto é sob demanda.</w:t>
      </w:r>
    </w:p>
    <w:p>
      <w:pPr>
        <w:pStyle w:val="ListParagraph"/>
        <w:numPr>
          <w:ilvl w:val="1"/>
          <w:numId w:val="3"/>
        </w:numPr>
        <w:spacing w:lineRule="auto" w:line="360" w:before="142" w:after="142"/>
        <w:contextualSpacing/>
        <w:rPr>
          <w:rFonts w:ascii="Arial" w:hAnsi="Arial" w:cs="Arial"/>
          <w:bCs/>
          <w:sz w:val="22"/>
          <w:szCs w:val="22"/>
        </w:rPr>
      </w:pPr>
      <w:r>
        <w:rPr>
          <w:rFonts w:cs="Arial" w:ascii="Arial" w:hAnsi="Arial"/>
          <w:b/>
          <w:sz w:val="22"/>
          <w:szCs w:val="22"/>
        </w:rPr>
        <w:t>NATUREZA</w:t>
      </w:r>
    </w:p>
    <w:p>
      <w:pPr>
        <w:pStyle w:val="Normal"/>
        <w:tabs>
          <w:tab w:val="clear" w:pos="708"/>
          <w:tab w:val="left" w:pos="2340" w:leader="none"/>
          <w:tab w:val="left" w:pos="4464" w:leader="none"/>
        </w:tabs>
        <w:spacing w:lineRule="auto" w:line="360" w:before="142" w:after="142"/>
        <w:ind w:firstLine="709"/>
        <w:jc w:val="both"/>
        <w:rPr>
          <w:b/>
          <w:b/>
        </w:rPr>
      </w:pPr>
      <w:r>
        <w:rPr>
          <w:bCs/>
        </w:rPr>
        <w:t>Os itens que constituem o objeto do presente processo licitatório são classificados como bens de consumo de natureza comum, de fornecimento contínuo e de qualidade comum.</w:t>
      </w:r>
    </w:p>
    <w:p>
      <w:pPr>
        <w:pStyle w:val="ListParagraph"/>
        <w:numPr>
          <w:ilvl w:val="1"/>
          <w:numId w:val="3"/>
        </w:numPr>
        <w:spacing w:lineRule="auto" w:line="360"/>
        <w:rPr>
          <w:rFonts w:ascii="Arial" w:hAnsi="Arial" w:cs="Arial"/>
          <w:bCs/>
          <w:sz w:val="22"/>
          <w:szCs w:val="22"/>
        </w:rPr>
      </w:pPr>
      <w:r>
        <w:rPr>
          <w:rFonts w:cs="Arial" w:ascii="Arial" w:hAnsi="Arial"/>
          <w:b/>
          <w:sz w:val="22"/>
          <w:szCs w:val="22"/>
        </w:rPr>
        <w:t>JUSTIFICATIVA PARA O PARCELAMENTO OU NÃO DA CONTRATAÇÃO</w:t>
      </w:r>
    </w:p>
    <w:p>
      <w:pPr>
        <w:pStyle w:val="Normal"/>
        <w:spacing w:lineRule="auto" w:line="360"/>
        <w:ind w:firstLine="709"/>
        <w:jc w:val="both"/>
        <w:rPr/>
      </w:pPr>
      <w:r>
        <w:rPr>
          <w:bCs/>
        </w:rPr>
        <w:t xml:space="preserve">Nos termos do art. 40, § 2º, da Lei Federal n. 14.133/2021, o parcelamento do objeto mostra-se viável técnica e economicamente na medida em que é composto de itens de natureza divisível, dado que cada item possui aplicação individual, sendo que tanto aquisição quanto a utilização independem dos demais. </w:t>
      </w:r>
    </w:p>
    <w:p>
      <w:pPr>
        <w:pStyle w:val="Normal"/>
        <w:tabs>
          <w:tab w:val="clear" w:pos="708"/>
          <w:tab w:val="left" w:pos="2340" w:leader="none"/>
          <w:tab w:val="left" w:pos="4464" w:leader="none"/>
        </w:tabs>
        <w:spacing w:lineRule="auto" w:line="360" w:before="142" w:after="142"/>
        <w:ind w:firstLine="709"/>
        <w:jc w:val="both"/>
        <w:rPr>
          <w:b/>
          <w:b/>
        </w:rPr>
      </w:pPr>
      <w:r>
        <w:rPr>
          <w:bCs/>
        </w:rPr>
        <w:t>Além do mais, em razão da possibilidade de serem fornecidos por empresas distintas e, desse modo, ampliando-se a competição e evitando-se a concentração de mercado, existe a possibilidade de redução dos preços ofertados.</w:t>
      </w:r>
    </w:p>
    <w:p>
      <w:pPr>
        <w:pStyle w:val="ListParagraph"/>
        <w:numPr>
          <w:ilvl w:val="1"/>
          <w:numId w:val="3"/>
        </w:numPr>
        <w:spacing w:lineRule="auto" w:line="360" w:before="142" w:after="142"/>
        <w:contextualSpacing/>
        <w:rPr>
          <w:rFonts w:ascii="Arial" w:hAnsi="Arial" w:cs="Arial"/>
          <w:b/>
          <w:b/>
          <w:sz w:val="22"/>
          <w:szCs w:val="22"/>
        </w:rPr>
      </w:pPr>
      <w:r>
        <w:rPr>
          <w:rFonts w:cs="Arial" w:ascii="Arial" w:hAnsi="Arial"/>
          <w:b/>
          <w:sz w:val="22"/>
          <w:szCs w:val="22"/>
        </w:rPr>
        <w:t>QUANTITATIVOS</w:t>
      </w:r>
    </w:p>
    <w:p>
      <w:pPr>
        <w:pStyle w:val="Normal"/>
        <w:tabs>
          <w:tab w:val="clear" w:pos="708"/>
          <w:tab w:val="left" w:pos="2340" w:leader="none"/>
          <w:tab w:val="left" w:pos="4464" w:leader="none"/>
        </w:tabs>
        <w:spacing w:lineRule="auto" w:line="360" w:before="142" w:after="142"/>
        <w:ind w:firstLine="709"/>
        <w:jc w:val="both"/>
        <w:rPr>
          <w:bCs/>
        </w:rPr>
      </w:pPr>
      <w:r>
        <w:rPr/>
        <w:t>Os quantitativos foram mensurados conforme demanda dos órgãos ou entidades do município, exposta na tabela abaixo.</w:t>
      </w:r>
    </w:p>
    <w:p>
      <w:pPr>
        <w:pStyle w:val="Normal"/>
        <w:tabs>
          <w:tab w:val="clear" w:pos="708"/>
          <w:tab w:val="left" w:pos="2340" w:leader="none"/>
          <w:tab w:val="left" w:pos="4464" w:leader="none"/>
        </w:tabs>
        <w:spacing w:lineRule="auto" w:line="360"/>
        <w:ind w:firstLine="709"/>
        <w:jc w:val="both"/>
        <w:rPr>
          <w:bCs/>
        </w:rPr>
      </w:pPr>
      <w:r>
        <w:rPr>
          <w:bCs/>
        </w:rPr>
      </w:r>
    </w:p>
    <w:tbl>
      <w:tblPr>
        <w:tblW w:w="9670" w:type="dxa"/>
        <w:jc w:val="left"/>
        <w:tblInd w:w="69" w:type="dxa"/>
        <w:tblLayout w:type="fixed"/>
        <w:tblCellMar>
          <w:top w:w="0" w:type="dxa"/>
          <w:left w:w="70" w:type="dxa"/>
          <w:bottom w:w="0" w:type="dxa"/>
          <w:right w:w="70" w:type="dxa"/>
        </w:tblCellMar>
        <w:tblLook w:firstRow="0" w:noVBand="0" w:lastRow="0" w:firstColumn="0" w:lastColumn="0" w:noHBand="0" w:val="0000"/>
      </w:tblPr>
      <w:tblGrid>
        <w:gridCol w:w="638"/>
        <w:gridCol w:w="1205"/>
        <w:gridCol w:w="1134"/>
        <w:gridCol w:w="4748"/>
        <w:gridCol w:w="1945"/>
      </w:tblGrid>
      <w:tr>
        <w:trPr>
          <w:tblHeader w:val="true"/>
          <w:trHeight w:val="567" w:hRule="atLeast"/>
        </w:trPr>
        <w:tc>
          <w:tcPr>
            <w:tcW w:w="638" w:type="dxa"/>
            <w:tcBorders>
              <w:top w:val="single" w:sz="8" w:space="0" w:color="000000"/>
              <w:left w:val="single" w:sz="8" w:space="0" w:color="000000"/>
              <w:bottom w:val="single" w:sz="8" w:space="0" w:color="000000"/>
            </w:tcBorders>
            <w:shd w:color="auto" w:fill="969696" w:val="clear"/>
            <w:vAlign w:val="center"/>
          </w:tcPr>
          <w:p>
            <w:pPr>
              <w:pStyle w:val="Normal"/>
              <w:widowControl w:val="false"/>
              <w:spacing w:lineRule="auto" w:line="240" w:before="0" w:after="160"/>
              <w:jc w:val="center"/>
              <w:textAlignment w:val="top"/>
              <w:rPr>
                <w:rFonts w:eastAsia="Times New Roman"/>
                <w:b/>
                <w:b/>
                <w:bCs/>
                <w:color w:val="000000"/>
                <w:lang w:eastAsia="pt-BR"/>
              </w:rPr>
            </w:pPr>
            <w:r>
              <w:rPr>
                <w:rFonts w:eastAsia="Times New Roman"/>
                <w:b/>
                <w:bCs/>
                <w:color w:val="000000"/>
                <w:lang w:eastAsia="pt-BR"/>
              </w:rPr>
              <w:t>ITEM</w:t>
            </w:r>
          </w:p>
        </w:tc>
        <w:tc>
          <w:tcPr>
            <w:tcW w:w="1205" w:type="dxa"/>
            <w:tcBorders>
              <w:top w:val="single" w:sz="8" w:space="0" w:color="000000"/>
              <w:left w:val="single" w:sz="8" w:space="0" w:color="000000"/>
              <w:bottom w:val="single" w:sz="8" w:space="0" w:color="000000"/>
            </w:tcBorders>
            <w:shd w:color="auto" w:fill="969696" w:val="clear"/>
            <w:vAlign w:val="center"/>
          </w:tcPr>
          <w:p>
            <w:pPr>
              <w:pStyle w:val="Normal"/>
              <w:widowControl w:val="false"/>
              <w:spacing w:lineRule="auto" w:line="240" w:before="0" w:after="160"/>
              <w:jc w:val="center"/>
              <w:textAlignment w:val="top"/>
              <w:rPr>
                <w:rFonts w:eastAsia="Times New Roman"/>
                <w:b/>
                <w:b/>
                <w:bCs/>
                <w:color w:val="000000"/>
                <w:lang w:eastAsia="pt-BR"/>
              </w:rPr>
            </w:pPr>
            <w:r>
              <w:rPr>
                <w:rFonts w:eastAsia="Times New Roman"/>
                <w:b/>
                <w:bCs/>
                <w:color w:val="000000"/>
                <w:lang w:eastAsia="pt-BR"/>
              </w:rPr>
              <w:t>QTD</w:t>
            </w:r>
          </w:p>
        </w:tc>
        <w:tc>
          <w:tcPr>
            <w:tcW w:w="1134" w:type="dxa"/>
            <w:tcBorders>
              <w:top w:val="single" w:sz="8" w:space="0" w:color="000000"/>
              <w:left w:val="single" w:sz="8" w:space="0" w:color="000000"/>
              <w:bottom w:val="single" w:sz="8" w:space="0" w:color="000000"/>
              <w:right w:val="single" w:sz="4" w:space="0" w:color="000000"/>
            </w:tcBorders>
            <w:shd w:color="auto" w:fill="969696" w:val="clear"/>
            <w:vAlign w:val="center"/>
          </w:tcPr>
          <w:p>
            <w:pPr>
              <w:pStyle w:val="Normal"/>
              <w:widowControl w:val="false"/>
              <w:spacing w:lineRule="auto" w:line="240" w:before="0" w:after="160"/>
              <w:jc w:val="center"/>
              <w:textAlignment w:val="top"/>
              <w:rPr>
                <w:rFonts w:eastAsia="Times New Roman"/>
                <w:b/>
                <w:b/>
                <w:bCs/>
                <w:color w:val="000000"/>
                <w:lang w:eastAsia="pt-BR"/>
              </w:rPr>
            </w:pPr>
            <w:r>
              <w:rPr>
                <w:rFonts w:eastAsia="Times New Roman"/>
                <w:b/>
                <w:bCs/>
                <w:color w:val="000000"/>
                <w:lang w:eastAsia="pt-BR"/>
              </w:rPr>
              <w:t>UNIDADE</w:t>
            </w:r>
          </w:p>
        </w:tc>
        <w:tc>
          <w:tcPr>
            <w:tcW w:w="4748" w:type="dxa"/>
            <w:tcBorders>
              <w:top w:val="single" w:sz="4" w:space="0" w:color="000000"/>
              <w:left w:val="single" w:sz="4" w:space="0" w:color="000000"/>
              <w:bottom w:val="single" w:sz="4" w:space="0" w:color="000000"/>
              <w:right w:val="single" w:sz="4" w:space="0" w:color="000000"/>
            </w:tcBorders>
            <w:shd w:color="auto" w:fill="969696" w:val="clear"/>
            <w:vAlign w:val="center"/>
          </w:tcPr>
          <w:p>
            <w:pPr>
              <w:pStyle w:val="Normal"/>
              <w:widowControl w:val="false"/>
              <w:spacing w:lineRule="auto" w:line="240" w:before="0" w:after="160"/>
              <w:jc w:val="center"/>
              <w:textAlignment w:val="top"/>
              <w:rPr>
                <w:rFonts w:eastAsia="Times New Roman"/>
                <w:b/>
                <w:b/>
                <w:bCs/>
                <w:color w:val="000000"/>
                <w:lang w:eastAsia="pt-BR"/>
              </w:rPr>
            </w:pPr>
            <w:r>
              <w:rPr>
                <w:rFonts w:eastAsia="Times New Roman"/>
                <w:b/>
                <w:bCs/>
                <w:color w:val="000000"/>
                <w:lang w:eastAsia="pt-BR"/>
              </w:rPr>
              <w:t>DESCRIÇÃO</w:t>
            </w:r>
          </w:p>
        </w:tc>
        <w:tc>
          <w:tcPr>
            <w:tcW w:w="1945" w:type="dxa"/>
            <w:tcBorders>
              <w:top w:val="single" w:sz="4" w:space="0" w:color="000000"/>
              <w:left w:val="single" w:sz="4" w:space="0" w:color="000000"/>
              <w:bottom w:val="single" w:sz="4" w:space="0" w:color="000000"/>
              <w:right w:val="single" w:sz="4" w:space="0" w:color="000000"/>
            </w:tcBorders>
            <w:shd w:color="auto" w:fill="969696" w:val="clear"/>
            <w:vAlign w:val="center"/>
          </w:tcPr>
          <w:p>
            <w:pPr>
              <w:pStyle w:val="Normal"/>
              <w:widowControl w:val="false"/>
              <w:spacing w:lineRule="auto" w:line="240" w:before="0" w:after="160"/>
              <w:jc w:val="center"/>
              <w:textAlignment w:val="top"/>
              <w:rPr/>
            </w:pPr>
            <w:r>
              <w:rPr>
                <w:rFonts w:eastAsia="Times New Roman"/>
                <w:b/>
                <w:bCs/>
                <w:color w:val="000000"/>
                <w:lang w:eastAsia="pt-BR"/>
              </w:rPr>
              <w:t>DIVISÃO</w:t>
            </w:r>
          </w:p>
        </w:tc>
      </w:tr>
      <w:tr>
        <w:trPr>
          <w:trHeight w:val="567" w:hRule="atLeast"/>
        </w:trPr>
        <w:tc>
          <w:tcPr>
            <w:tcW w:w="638" w:type="dxa"/>
            <w:tcBorders>
              <w:left w:val="single" w:sz="8" w:space="0" w:color="000000"/>
              <w:bottom w:val="single" w:sz="8" w:space="0" w:color="000000"/>
            </w:tcBorders>
          </w:tcPr>
          <w:p>
            <w:pPr>
              <w:pStyle w:val="Normal"/>
              <w:widowControl w:val="false"/>
              <w:spacing w:before="0" w:after="160"/>
              <w:jc w:val="center"/>
              <w:textAlignment w:val="top"/>
              <w:rPr/>
            </w:pPr>
            <w:r>
              <w:rPr/>
              <w:t>01</w:t>
            </w:r>
          </w:p>
        </w:tc>
        <w:tc>
          <w:tcPr>
            <w:tcW w:w="1205" w:type="dxa"/>
            <w:tcBorders>
              <w:left w:val="single" w:sz="8" w:space="0" w:color="000000"/>
              <w:bottom w:val="single" w:sz="8" w:space="0" w:color="000000"/>
            </w:tcBorders>
          </w:tcPr>
          <w:p>
            <w:pPr>
              <w:pStyle w:val="Normal"/>
              <w:widowControl w:val="false"/>
              <w:spacing w:before="0" w:after="160"/>
              <w:jc w:val="center"/>
              <w:textAlignment w:val="top"/>
              <w:rPr/>
            </w:pPr>
            <w:r>
              <w:rPr/>
              <w:t>300.000</w:t>
            </w:r>
          </w:p>
        </w:tc>
        <w:tc>
          <w:tcPr>
            <w:tcW w:w="1134" w:type="dxa"/>
            <w:tcBorders>
              <w:left w:val="single" w:sz="8" w:space="0" w:color="000000"/>
              <w:bottom w:val="single" w:sz="8" w:space="0" w:color="000000"/>
              <w:right w:val="single" w:sz="4" w:space="0" w:color="000000"/>
            </w:tcBorders>
          </w:tcPr>
          <w:p>
            <w:pPr>
              <w:pStyle w:val="Normal"/>
              <w:widowControl w:val="false"/>
              <w:spacing w:before="0" w:after="160"/>
              <w:jc w:val="center"/>
              <w:textAlignment w:val="top"/>
              <w:rPr>
                <w:rFonts w:eastAsia="Times New Roman"/>
                <w:b/>
                <w:b/>
                <w:bCs/>
              </w:rPr>
            </w:pPr>
            <w:r>
              <w:rPr>
                <w:rFonts w:eastAsia="Times New Roman"/>
                <w:b/>
                <w:bCs/>
              </w:rPr>
              <w:t>litros</w:t>
            </w:r>
          </w:p>
        </w:tc>
        <w:tc>
          <w:tcPr>
            <w:tcW w:w="474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before="0" w:after="160"/>
              <w:jc w:val="both"/>
              <w:textAlignment w:val="top"/>
              <w:rPr/>
            </w:pPr>
            <w:r>
              <w:rPr/>
              <w:t>Óleo diesel s10</w:t>
            </w:r>
          </w:p>
        </w:tc>
        <w:tc>
          <w:tcPr>
            <w:tcW w:w="19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top"/>
              <w:rPr/>
            </w:pPr>
            <w:r>
              <w:rPr/>
              <w:t>Agric.- 48.800</w:t>
            </w:r>
          </w:p>
          <w:p>
            <w:pPr>
              <w:pStyle w:val="Normal"/>
              <w:widowControl w:val="false"/>
              <w:jc w:val="center"/>
              <w:textAlignment w:val="top"/>
              <w:rPr/>
            </w:pPr>
            <w:r>
              <w:rPr/>
              <w:t>Infra.- 173.800</w:t>
            </w:r>
          </w:p>
          <w:p>
            <w:pPr>
              <w:pStyle w:val="Normal"/>
              <w:widowControl w:val="false"/>
              <w:jc w:val="center"/>
              <w:textAlignment w:val="top"/>
              <w:rPr/>
            </w:pPr>
            <w:r>
              <w:rPr/>
              <w:t>Ed. Médio – 2.000</w:t>
            </w:r>
          </w:p>
          <w:p>
            <w:pPr>
              <w:pStyle w:val="Normal"/>
              <w:widowControl w:val="false"/>
              <w:jc w:val="center"/>
              <w:textAlignment w:val="top"/>
              <w:rPr/>
            </w:pPr>
            <w:r>
              <w:rPr/>
              <w:t>Ed. Inf.- 8.400</w:t>
            </w:r>
          </w:p>
          <w:p>
            <w:pPr>
              <w:pStyle w:val="Normal"/>
              <w:widowControl w:val="false"/>
              <w:jc w:val="center"/>
              <w:textAlignment w:val="top"/>
              <w:rPr/>
            </w:pPr>
            <w:r>
              <w:rPr/>
              <w:t>Ed. Fun - 36.000</w:t>
            </w:r>
          </w:p>
          <w:p>
            <w:pPr>
              <w:pStyle w:val="Normal"/>
              <w:widowControl w:val="false"/>
              <w:jc w:val="center"/>
              <w:textAlignment w:val="top"/>
              <w:rPr/>
            </w:pPr>
            <w:r>
              <w:rPr/>
              <w:t>Saúde -12.400</w:t>
            </w:r>
          </w:p>
          <w:p>
            <w:pPr>
              <w:pStyle w:val="Normal"/>
              <w:widowControl w:val="false"/>
              <w:jc w:val="center"/>
              <w:textAlignment w:val="top"/>
              <w:rPr/>
            </w:pPr>
            <w:r>
              <w:rPr/>
              <w:t>Urb .-12.800</w:t>
            </w:r>
          </w:p>
          <w:p>
            <w:pPr>
              <w:pStyle w:val="Normal"/>
              <w:widowControl w:val="false"/>
              <w:jc w:val="center"/>
              <w:textAlignment w:val="top"/>
              <w:rPr/>
            </w:pPr>
            <w:r>
              <w:rPr/>
              <w:t>Social 4.100</w:t>
            </w:r>
          </w:p>
          <w:p>
            <w:pPr>
              <w:pStyle w:val="Normal"/>
              <w:widowControl w:val="false"/>
              <w:jc w:val="center"/>
              <w:textAlignment w:val="top"/>
              <w:rPr/>
            </w:pPr>
            <w:r>
              <w:rPr/>
              <w:t>DME 1.700</w:t>
            </w:r>
          </w:p>
          <w:p>
            <w:pPr>
              <w:pStyle w:val="Normal"/>
              <w:widowControl w:val="false"/>
              <w:spacing w:before="0" w:after="160"/>
              <w:jc w:val="center"/>
              <w:textAlignment w:val="top"/>
              <w:rPr/>
            </w:pPr>
            <w:r>
              <w:rPr/>
            </w:r>
          </w:p>
        </w:tc>
      </w:tr>
      <w:tr>
        <w:trPr>
          <w:trHeight w:val="567" w:hRule="atLeast"/>
        </w:trPr>
        <w:tc>
          <w:tcPr>
            <w:tcW w:w="638" w:type="dxa"/>
            <w:tcBorders>
              <w:left w:val="single" w:sz="8" w:space="0" w:color="000000"/>
              <w:bottom w:val="single" w:sz="8" w:space="0" w:color="000000"/>
            </w:tcBorders>
          </w:tcPr>
          <w:p>
            <w:pPr>
              <w:pStyle w:val="Normal"/>
              <w:widowControl w:val="false"/>
              <w:spacing w:before="0" w:after="160"/>
              <w:jc w:val="center"/>
              <w:textAlignment w:val="top"/>
              <w:rPr/>
            </w:pPr>
            <w:r>
              <w:rPr/>
              <w:t>02</w:t>
            </w:r>
          </w:p>
        </w:tc>
        <w:tc>
          <w:tcPr>
            <w:tcW w:w="1205" w:type="dxa"/>
            <w:tcBorders>
              <w:left w:val="single" w:sz="8" w:space="0" w:color="000000"/>
              <w:bottom w:val="single" w:sz="8" w:space="0" w:color="000000"/>
            </w:tcBorders>
          </w:tcPr>
          <w:p>
            <w:pPr>
              <w:pStyle w:val="Normal"/>
              <w:widowControl w:val="false"/>
              <w:spacing w:before="0" w:after="160"/>
              <w:jc w:val="center"/>
              <w:textAlignment w:val="top"/>
              <w:rPr/>
            </w:pPr>
            <w:r>
              <w:rPr/>
              <w:t>57.300</w:t>
            </w:r>
          </w:p>
        </w:tc>
        <w:tc>
          <w:tcPr>
            <w:tcW w:w="1134" w:type="dxa"/>
            <w:tcBorders>
              <w:left w:val="single" w:sz="8" w:space="0" w:color="000000"/>
              <w:bottom w:val="single" w:sz="8" w:space="0" w:color="000000"/>
              <w:right w:val="single" w:sz="4" w:space="0" w:color="000000"/>
            </w:tcBorders>
          </w:tcPr>
          <w:p>
            <w:pPr>
              <w:pStyle w:val="Normal"/>
              <w:widowControl w:val="false"/>
              <w:spacing w:before="0" w:after="160"/>
              <w:jc w:val="center"/>
              <w:textAlignment w:val="top"/>
              <w:rPr>
                <w:rFonts w:eastAsia="Times New Roman"/>
                <w:b/>
                <w:b/>
                <w:bCs/>
              </w:rPr>
            </w:pPr>
            <w:r>
              <w:rPr>
                <w:rFonts w:eastAsia="Times New Roman"/>
                <w:b/>
                <w:bCs/>
              </w:rPr>
              <w:t>litros</w:t>
            </w:r>
          </w:p>
        </w:tc>
        <w:tc>
          <w:tcPr>
            <w:tcW w:w="474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before="0" w:after="160"/>
              <w:jc w:val="both"/>
              <w:textAlignment w:val="top"/>
              <w:rPr/>
            </w:pPr>
            <w:r>
              <w:rPr/>
              <w:t>Gasolina comum</w:t>
            </w:r>
          </w:p>
        </w:tc>
        <w:tc>
          <w:tcPr>
            <w:tcW w:w="19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top"/>
              <w:rPr/>
            </w:pPr>
            <w:r>
              <w:rPr/>
              <w:t>Agric-7.000</w:t>
            </w:r>
          </w:p>
          <w:p>
            <w:pPr>
              <w:pStyle w:val="Normal"/>
              <w:widowControl w:val="false"/>
              <w:jc w:val="center"/>
              <w:textAlignment w:val="top"/>
              <w:rPr/>
            </w:pPr>
            <w:r>
              <w:rPr/>
              <w:t>Infra-7.000</w:t>
            </w:r>
          </w:p>
          <w:p>
            <w:pPr>
              <w:pStyle w:val="Normal"/>
              <w:widowControl w:val="false"/>
              <w:jc w:val="center"/>
              <w:textAlignment w:val="top"/>
              <w:rPr/>
            </w:pPr>
            <w:r>
              <w:rPr/>
              <w:t>Ed. Fun.-5.000</w:t>
            </w:r>
          </w:p>
          <w:p>
            <w:pPr>
              <w:pStyle w:val="Normal"/>
              <w:widowControl w:val="false"/>
              <w:jc w:val="center"/>
              <w:textAlignment w:val="top"/>
              <w:rPr/>
            </w:pPr>
            <w:r>
              <w:rPr/>
              <w:t>Saúde-20.000</w:t>
            </w:r>
          </w:p>
          <w:p>
            <w:pPr>
              <w:pStyle w:val="Normal"/>
              <w:widowControl w:val="false"/>
              <w:jc w:val="center"/>
              <w:textAlignment w:val="top"/>
              <w:rPr/>
            </w:pPr>
            <w:r>
              <w:rPr/>
              <w:t>Adm-4.500</w:t>
            </w:r>
          </w:p>
          <w:p>
            <w:pPr>
              <w:pStyle w:val="Normal"/>
              <w:widowControl w:val="false"/>
              <w:jc w:val="center"/>
              <w:textAlignment w:val="top"/>
              <w:rPr/>
            </w:pPr>
            <w:r>
              <w:rPr/>
              <w:t>Urb-3.500</w:t>
            </w:r>
          </w:p>
          <w:p>
            <w:pPr>
              <w:pStyle w:val="Normal"/>
              <w:widowControl w:val="false"/>
              <w:jc w:val="center"/>
              <w:textAlignment w:val="top"/>
              <w:rPr/>
            </w:pPr>
            <w:r>
              <w:rPr/>
              <w:t>Gab-3.000</w:t>
            </w:r>
          </w:p>
          <w:p>
            <w:pPr>
              <w:pStyle w:val="Normal"/>
              <w:widowControl w:val="false"/>
              <w:jc w:val="center"/>
              <w:textAlignment w:val="top"/>
              <w:rPr/>
            </w:pPr>
            <w:r>
              <w:rPr/>
              <w:t>Soc-4.000</w:t>
            </w:r>
          </w:p>
          <w:p>
            <w:pPr>
              <w:pStyle w:val="Normal"/>
              <w:widowControl w:val="false"/>
              <w:jc w:val="center"/>
              <w:textAlignment w:val="top"/>
              <w:rPr/>
            </w:pPr>
            <w:r>
              <w:rPr/>
              <w:t>DME-1500</w:t>
            </w:r>
          </w:p>
          <w:p>
            <w:pPr>
              <w:pStyle w:val="Normal"/>
              <w:widowControl w:val="false"/>
              <w:jc w:val="center"/>
              <w:textAlignment w:val="top"/>
              <w:rPr/>
            </w:pPr>
            <w:r>
              <w:rPr/>
              <w:t>CMDA-1.000</w:t>
            </w:r>
          </w:p>
          <w:p>
            <w:pPr>
              <w:pStyle w:val="Normal"/>
              <w:widowControl w:val="false"/>
              <w:jc w:val="center"/>
              <w:textAlignment w:val="top"/>
              <w:rPr/>
            </w:pPr>
            <w:r>
              <w:rPr/>
              <w:t>R. Patr-300</w:t>
            </w:r>
          </w:p>
          <w:p>
            <w:pPr>
              <w:pStyle w:val="Normal"/>
              <w:widowControl w:val="false"/>
              <w:jc w:val="center"/>
              <w:textAlignment w:val="top"/>
              <w:rPr/>
            </w:pPr>
            <w:r>
              <w:rPr/>
              <w:t>Militar-300</w:t>
            </w:r>
          </w:p>
          <w:p>
            <w:pPr>
              <w:pStyle w:val="Normal"/>
              <w:widowControl w:val="false"/>
              <w:jc w:val="center"/>
              <w:textAlignment w:val="top"/>
              <w:rPr/>
            </w:pPr>
            <w:r>
              <w:rPr/>
              <w:t>Civil-200</w:t>
            </w:r>
          </w:p>
          <w:p>
            <w:pPr>
              <w:pStyle w:val="Normal"/>
              <w:widowControl w:val="false"/>
              <w:spacing w:before="0" w:after="160"/>
              <w:jc w:val="center"/>
              <w:textAlignment w:val="top"/>
              <w:rPr/>
            </w:pPr>
            <w:r>
              <w:rPr/>
            </w:r>
          </w:p>
        </w:tc>
      </w:tr>
    </w:tbl>
    <w:p>
      <w:pPr>
        <w:pStyle w:val="Normal"/>
        <w:tabs>
          <w:tab w:val="clear" w:pos="708"/>
          <w:tab w:val="left" w:pos="2340" w:leader="none"/>
          <w:tab w:val="left" w:pos="4464" w:leader="none"/>
        </w:tabs>
        <w:spacing w:lineRule="auto" w:line="360"/>
        <w:jc w:val="both"/>
        <w:rPr>
          <w:rFonts w:eastAsia="Calibri" w:eastAsiaTheme="minorHAnsi"/>
          <w:kern w:val="0"/>
        </w:rPr>
      </w:pPr>
      <w:r>
        <w:rPr>
          <w:bCs/>
        </w:rPr>
        <w:t>*Tratando-se de Sistema de Registro de Preços, os quantitativos acima discriminados não obrigam a contratação pela administração pública, nos termos do art. 83 da Lei Federal n. 14.133/2021.</w:t>
      </w:r>
    </w:p>
    <w:p>
      <w:pPr>
        <w:pStyle w:val="Normal"/>
        <w:tabs>
          <w:tab w:val="clear" w:pos="708"/>
          <w:tab w:val="left" w:pos="2340" w:leader="none"/>
          <w:tab w:val="left" w:pos="4464" w:leader="none"/>
        </w:tabs>
        <w:spacing w:lineRule="auto" w:line="360" w:before="142" w:after="142"/>
        <w:jc w:val="both"/>
        <w:rPr/>
      </w:pPr>
      <w:r>
        <w:rPr>
          <w:bCs/>
        </w:rPr>
        <w:t>Conforme regulamentado no Decreto nº 4.072, em seu Art. 117, § 4º é possível aumentar os quantitativos fixados pela Ata de Registro de Preços, até uma vez a quantidade registrada inicialmente, com aceitação expressa do fornecedor, desde que demonstrado que a quantidade é insuficiente para atender a demanda durante o prazo de vigência.</w:t>
      </w:r>
    </w:p>
    <w:p>
      <w:pPr>
        <w:pStyle w:val="ListParagraph"/>
        <w:numPr>
          <w:ilvl w:val="1"/>
          <w:numId w:val="3"/>
        </w:numPr>
        <w:spacing w:lineRule="auto" w:line="360" w:before="142" w:after="142"/>
        <w:contextualSpacing/>
        <w:rPr>
          <w:rFonts w:ascii="Arial" w:hAnsi="Arial" w:eastAsia="Times New Roman" w:cs="Arial"/>
          <w:kern w:val="0"/>
          <w:sz w:val="22"/>
          <w:szCs w:val="22"/>
        </w:rPr>
      </w:pPr>
      <w:r>
        <w:rPr>
          <w:rFonts w:cs="Arial" w:ascii="Arial" w:hAnsi="Arial"/>
          <w:b/>
          <w:sz w:val="22"/>
          <w:szCs w:val="22"/>
        </w:rPr>
        <w:t>PRAZO DE VIG</w:t>
      </w:r>
      <w:r>
        <w:rPr>
          <w:rFonts w:cs="Arial" w:ascii="Arial" w:hAnsi="Arial"/>
          <w:b/>
          <w:sz w:val="22"/>
          <w:szCs w:val="22"/>
          <w:shd w:fill="FFFFFF" w:val="clear"/>
        </w:rPr>
        <w:t>ÊNCIA DA ATA DE REGISTRO DE PREÇOS</w:t>
      </w:r>
    </w:p>
    <w:p>
      <w:pPr>
        <w:pStyle w:val="Normal"/>
        <w:tabs>
          <w:tab w:val="clear" w:pos="708"/>
          <w:tab w:val="left" w:pos="2340" w:leader="none"/>
          <w:tab w:val="left" w:pos="4464" w:leader="none"/>
        </w:tabs>
        <w:spacing w:lineRule="auto" w:line="360" w:before="142" w:after="142"/>
        <w:ind w:firstLine="709"/>
        <w:jc w:val="both"/>
        <w:rPr/>
      </w:pPr>
      <w:bookmarkStart w:id="1" w:name="_Hlk181610591"/>
      <w:r>
        <w:rPr/>
        <w:t xml:space="preserve">O prazo de vigência da ata de registro de preços será de 1 (um) ano, a partir da assinatura da ata, e poderá ser prorrogado por igual período, desde que comprovado o preço vantajoso, nos termos do art. 84, </w:t>
      </w:r>
      <w:r>
        <w:rPr>
          <w:i/>
          <w:iCs/>
        </w:rPr>
        <w:t>caput</w:t>
      </w:r>
      <w:r>
        <w:rPr/>
        <w:t xml:space="preserve">, da Lei Federal n. 14.133/2021. </w:t>
      </w:r>
      <w:bookmarkEnd w:id="1"/>
    </w:p>
    <w:p>
      <w:pPr>
        <w:pStyle w:val="Normal"/>
        <w:tabs>
          <w:tab w:val="clear" w:pos="708"/>
          <w:tab w:val="left" w:pos="2340" w:leader="none"/>
          <w:tab w:val="left" w:pos="4464" w:leader="none"/>
        </w:tabs>
        <w:spacing w:lineRule="auto" w:line="360" w:before="142" w:after="142"/>
        <w:ind w:firstLine="709"/>
        <w:jc w:val="both"/>
        <w:rPr/>
      </w:pPr>
      <w:r>
        <w:rPr/>
        <w:t>Em caso de prorrogação da vigência da ata de registro de preços, as quantidades inicialmente registradas serão renovadas na sua totalidade, independentemente do quantitativo utilizado no período de vigência, não sendo possível cumular com as quantidades não utilizadas, conforme previsto no decreto regulamentador do município.</w:t>
      </w:r>
    </w:p>
    <w:p>
      <w:pPr>
        <w:pStyle w:val="Normal"/>
        <w:tabs>
          <w:tab w:val="clear" w:pos="708"/>
          <w:tab w:val="left" w:pos="2340" w:leader="none"/>
          <w:tab w:val="left" w:pos="4464" w:leader="none"/>
        </w:tabs>
        <w:spacing w:lineRule="auto" w:line="360" w:before="142" w:after="142"/>
        <w:ind w:firstLine="709"/>
        <w:jc w:val="both"/>
        <w:rPr/>
      </w:pPr>
      <w:r>
        <w:rPr/>
        <w:t>Nos termos do art. 84, parágrafo único, da Lei Federal n. 14.133/2021, o prazo de vigência dos contratos decorrentes do Sistema de Registro de Preços não se confunde com aquele da ata de registro de preços, mas deverá ser assinado durante a vigência da ata e terá sua vigência estabelecida em conformidade com as disposições nela contidas.</w:t>
      </w:r>
    </w:p>
    <w:p>
      <w:pPr>
        <w:pStyle w:val="ListParagraph"/>
        <w:numPr>
          <w:ilvl w:val="1"/>
          <w:numId w:val="3"/>
        </w:numPr>
        <w:spacing w:lineRule="auto" w:line="360" w:before="142" w:after="142"/>
        <w:contextualSpacing/>
        <w:rPr>
          <w:rFonts w:ascii="Arial" w:hAnsi="Arial" w:cs="Arial"/>
          <w:b/>
          <w:b/>
          <w:sz w:val="22"/>
          <w:szCs w:val="22"/>
        </w:rPr>
      </w:pPr>
      <w:r>
        <w:rPr>
          <w:rFonts w:cs="Arial" w:ascii="Arial" w:hAnsi="Arial"/>
          <w:b/>
          <w:sz w:val="22"/>
          <w:szCs w:val="22"/>
        </w:rPr>
        <w:t>ESPECIFICAÇÃO DOS PRODUTOS</w:t>
      </w:r>
    </w:p>
    <w:p>
      <w:pPr>
        <w:pStyle w:val="Normal"/>
        <w:tabs>
          <w:tab w:val="clear" w:pos="708"/>
          <w:tab w:val="left" w:pos="2340" w:leader="none"/>
          <w:tab w:val="left" w:pos="4464" w:leader="none"/>
        </w:tabs>
        <w:spacing w:lineRule="auto" w:line="360" w:before="142" w:after="142"/>
        <w:ind w:firstLine="709"/>
        <w:jc w:val="both"/>
        <w:rPr>
          <w:b/>
          <w:b/>
        </w:rPr>
      </w:pPr>
      <w:r>
        <w:rPr/>
        <w:t>A especificação dos produtos requerida pelo art. 40, § 1º, inciso I, da Lei Federal n. 14.133/2021 está estabelecida nos descritivos dos itens e no presente Termo de Referência, observados requisitos de qualidade, rendimento e durabilidade.</w:t>
      </w:r>
    </w:p>
    <w:p>
      <w:pPr>
        <w:pStyle w:val="ListParagraph"/>
        <w:numPr>
          <w:ilvl w:val="0"/>
          <w:numId w:val="3"/>
        </w:numPr>
        <w:tabs>
          <w:tab w:val="clear" w:pos="708"/>
          <w:tab w:val="left" w:pos="2340" w:leader="none"/>
          <w:tab w:val="left" w:pos="4464" w:leader="none"/>
        </w:tabs>
        <w:spacing w:lineRule="auto" w:line="360" w:before="142" w:after="142"/>
        <w:contextualSpacing/>
        <w:jc w:val="both"/>
        <w:rPr>
          <w:rFonts w:ascii="Arial" w:hAnsi="Arial" w:cs="Arial"/>
          <w:bCs/>
          <w:sz w:val="22"/>
          <w:szCs w:val="22"/>
        </w:rPr>
      </w:pPr>
      <w:r>
        <w:rPr>
          <w:rFonts w:cs="Arial" w:ascii="Arial" w:hAnsi="Arial"/>
          <w:b/>
          <w:sz w:val="22"/>
          <w:szCs w:val="22"/>
        </w:rPr>
        <w:t>REQUISITOS DA CONTRATAÇÃO</w:t>
      </w:r>
    </w:p>
    <w:p>
      <w:pPr>
        <w:pStyle w:val="Normal"/>
        <w:tabs>
          <w:tab w:val="clear" w:pos="708"/>
          <w:tab w:val="left" w:pos="2340" w:leader="none"/>
          <w:tab w:val="left" w:pos="4464" w:leader="none"/>
        </w:tabs>
        <w:spacing w:lineRule="auto" w:line="360" w:before="142" w:after="142"/>
        <w:ind w:firstLine="709"/>
        <w:jc w:val="both"/>
        <w:rPr/>
      </w:pPr>
      <w:r>
        <w:rPr>
          <w:bCs/>
        </w:rPr>
        <w:t xml:space="preserve">Poderão participar desta licitação todas e quaisquer empresas ou sociedades, regularmente estabelecidas no País – </w:t>
      </w:r>
      <w:bookmarkStart w:id="2" w:name="_Hlk1291563721"/>
      <w:r>
        <w:rPr>
          <w:bCs/>
        </w:rPr>
        <w:t>inclusive consórcios de empresas, desde que atendidas as disposições do art. 15 da Lei Federal n. 14.133/2021 –, que sejam especializadas e credenciadas no objeto desta licitação e que satisfaçam todas as exigências, especificações e normas previstas nos documentos deste processo licitatório – em especial neste Termo de Referência e no Edital e nos seus anexos – e nos regramentos e normativas existentes no Brasil sobre a área de fornecimento</w:t>
      </w:r>
      <w:bookmarkEnd w:id="2"/>
      <w:r>
        <w:rPr>
          <w:bCs/>
        </w:rPr>
        <w:t>.</w:t>
      </w:r>
    </w:p>
    <w:p>
      <w:pPr>
        <w:pStyle w:val="Normal"/>
        <w:tabs>
          <w:tab w:val="clear" w:pos="708"/>
          <w:tab w:val="left" w:pos="2340" w:leader="none"/>
          <w:tab w:val="left" w:pos="4464" w:leader="none"/>
        </w:tabs>
        <w:spacing w:lineRule="auto" w:line="360" w:before="142" w:after="142"/>
        <w:ind w:firstLine="709"/>
        <w:jc w:val="both"/>
        <w:rPr/>
      </w:pPr>
      <w:r>
        <w:rPr>
          <w:bCs/>
        </w:rPr>
        <w:t xml:space="preserve">A contratação pressupõe o pleno conhecimento e atendimento às exigências de habilitação e execução do contrato a ser formulado e os requisitos para a contratação constam também do próprio descritivo dos itens a serem licitados e nos descritivos dos itens </w:t>
      </w:r>
      <w:bookmarkStart w:id="3" w:name="_Hlk1321905011"/>
      <w:r>
        <w:rPr>
          <w:bCs/>
        </w:rPr>
        <w:t>presentes nos autos deste processo licitatório</w:t>
      </w:r>
      <w:bookmarkEnd w:id="3"/>
      <w:r>
        <w:rPr>
          <w:bCs/>
        </w:rPr>
        <w:t>.</w:t>
      </w:r>
    </w:p>
    <w:p>
      <w:pPr>
        <w:pStyle w:val="Normal"/>
        <w:tabs>
          <w:tab w:val="clear" w:pos="708"/>
          <w:tab w:val="left" w:pos="2340" w:leader="none"/>
          <w:tab w:val="left" w:pos="4464" w:leader="none"/>
        </w:tabs>
        <w:spacing w:lineRule="auto" w:line="360" w:before="142" w:after="142"/>
        <w:ind w:firstLine="709"/>
        <w:jc w:val="both"/>
        <w:rPr>
          <w:bCs/>
        </w:rPr>
      </w:pPr>
      <w:bookmarkStart w:id="4" w:name="_Hlk1291608961"/>
      <w:r>
        <w:rPr>
          <w:bCs/>
        </w:rPr>
        <w:t>É necessário manter as condições de habilitação exigidas na licitação e comprovar a regularidade fiscal e trabalhista junto ao Órgão Gerenciador.</w:t>
      </w:r>
      <w:bookmarkEnd w:id="4"/>
    </w:p>
    <w:p>
      <w:pPr>
        <w:pStyle w:val="Normal"/>
        <w:tabs>
          <w:tab w:val="clear" w:pos="708"/>
          <w:tab w:val="left" w:pos="2340" w:leader="none"/>
          <w:tab w:val="left" w:pos="4464" w:leader="none"/>
        </w:tabs>
        <w:spacing w:lineRule="auto" w:line="360" w:before="142" w:after="142"/>
        <w:ind w:firstLine="709"/>
        <w:jc w:val="both"/>
        <w:rPr>
          <w:bCs/>
        </w:rPr>
      </w:pPr>
      <w:bookmarkStart w:id="5" w:name="_Hlk1291611181"/>
      <w:r>
        <w:rPr>
          <w:bCs/>
        </w:rPr>
        <w:t>A(s) empresa(s) participante(s) deverá(ão) apresentar além dos documentos costumeiros os seguintes:</w:t>
      </w:r>
      <w:bookmarkEnd w:id="5"/>
    </w:p>
    <w:p>
      <w:pPr>
        <w:pStyle w:val="Normal"/>
        <w:tabs>
          <w:tab w:val="clear" w:pos="708"/>
          <w:tab w:val="left" w:pos="2340" w:leader="none"/>
          <w:tab w:val="left" w:pos="4464" w:leader="none"/>
        </w:tabs>
        <w:spacing w:lineRule="auto" w:line="360" w:before="142" w:after="142"/>
        <w:ind w:firstLine="709"/>
        <w:jc w:val="both"/>
        <w:rPr>
          <w:bCs/>
        </w:rPr>
      </w:pPr>
      <w:r>
        <w:rPr>
          <w:bCs/>
        </w:rPr>
        <w:t xml:space="preserve">a) Alvará de localização/funcionamento relativo ao domicílio ou sede do licitante e pertinente ao seu ramo de atividades; </w:t>
      </w:r>
    </w:p>
    <w:p>
      <w:pPr>
        <w:pStyle w:val="Normal"/>
        <w:tabs>
          <w:tab w:val="clear" w:pos="708"/>
          <w:tab w:val="left" w:pos="2340" w:leader="none"/>
          <w:tab w:val="left" w:pos="4464" w:leader="none"/>
        </w:tabs>
        <w:spacing w:lineRule="auto" w:line="360" w:before="142" w:after="142"/>
        <w:ind w:firstLine="709"/>
        <w:jc w:val="both"/>
        <w:rPr>
          <w:bCs/>
        </w:rPr>
      </w:pPr>
      <w:r>
        <w:rPr>
          <w:bCs/>
        </w:rPr>
        <w:t xml:space="preserve">b) Alvará sanitário em vigência; </w:t>
      </w:r>
    </w:p>
    <w:p>
      <w:pPr>
        <w:pStyle w:val="Normal"/>
        <w:tabs>
          <w:tab w:val="clear" w:pos="708"/>
          <w:tab w:val="left" w:pos="2340" w:leader="none"/>
          <w:tab w:val="left" w:pos="4464" w:leader="none"/>
        </w:tabs>
        <w:spacing w:lineRule="auto" w:line="360" w:before="142" w:after="142"/>
        <w:ind w:firstLine="709"/>
        <w:jc w:val="both"/>
        <w:rPr>
          <w:strike/>
          <w:color w:val="C9211E"/>
        </w:rPr>
      </w:pPr>
      <w:r>
        <w:rPr>
          <w:bCs/>
          <w:strike/>
          <w:color w:val="C9211E"/>
        </w:rPr>
        <w:t>c) Licença Ambiental de Operação – LAO da proponente participante da licitação.</w:t>
      </w:r>
    </w:p>
    <w:p>
      <w:pPr>
        <w:pStyle w:val="Default"/>
        <w:ind w:firstLine="14"/>
        <w:jc w:val="both"/>
        <w:rPr>
          <w:color w:val="000000"/>
          <w:highlight w:val="none"/>
          <w:shd w:fill="FFFF00" w:val="clear"/>
        </w:rPr>
      </w:pPr>
      <w:r>
        <w:rPr>
          <w:b/>
          <w:bCs/>
          <w:color w:val="000000"/>
          <w:sz w:val="22"/>
          <w:u w:val="single"/>
          <w:shd w:fill="FFFF00" w:val="clear"/>
        </w:rPr>
        <w:t>* A(s) licitante(s) vencedora(s) d</w:t>
      </w:r>
      <w:r>
        <w:rPr>
          <w:b/>
          <w:bCs/>
          <w:color w:val="000000"/>
          <w:sz w:val="22"/>
          <w:shd w:fill="FFFF00" w:val="clear"/>
        </w:rPr>
        <w:t>everão apresentar para a assinatura da ata de registro de preços a seguinte documentação:</w:t>
      </w:r>
    </w:p>
    <w:p>
      <w:pPr>
        <w:pStyle w:val="Default"/>
        <w:spacing w:before="0" w:after="0"/>
        <w:ind w:left="0" w:hanging="0"/>
        <w:rPr>
          <w:b/>
          <w:b/>
          <w:bCs/>
          <w:strike w:val="false"/>
          <w:dstrike w:val="false"/>
          <w:color w:val="000000"/>
          <w:sz w:val="22"/>
          <w:highlight w:val="none"/>
          <w:u w:val="none"/>
          <w:shd w:fill="FFFF00" w:val="clear"/>
        </w:rPr>
      </w:pPr>
      <w:r>
        <w:rPr>
          <w:b/>
          <w:bCs/>
          <w:strike w:val="false"/>
          <w:dstrike w:val="false"/>
          <w:color w:val="000000"/>
          <w:sz w:val="22"/>
          <w:u w:val="none"/>
          <w:shd w:fill="FFFF00" w:val="clear"/>
        </w:rPr>
      </w:r>
    </w:p>
    <w:p>
      <w:pPr>
        <w:pStyle w:val="Default"/>
        <w:spacing w:before="5" w:after="160"/>
        <w:ind w:left="46" w:hanging="0"/>
        <w:jc w:val="both"/>
        <w:rPr>
          <w:color w:val="000000"/>
          <w:highlight w:val="none"/>
          <w:shd w:fill="FFFF00" w:val="clear"/>
        </w:rPr>
      </w:pPr>
      <w:r>
        <w:rPr>
          <w:b/>
          <w:bCs/>
          <w:i/>
          <w:strike w:val="false"/>
          <w:dstrike w:val="false"/>
          <w:color w:val="000000"/>
          <w:sz w:val="23"/>
          <w:u w:val="none"/>
          <w:shd w:fill="FFFF00" w:val="clear"/>
        </w:rPr>
        <w:t>a)Licença Ambiental de Operação – LAO da proponente participante da licitação.</w:t>
      </w:r>
    </w:p>
    <w:p>
      <w:pPr>
        <w:pStyle w:val="Normal"/>
        <w:tabs>
          <w:tab w:val="clear" w:pos="708"/>
          <w:tab w:val="left" w:pos="2340" w:leader="none"/>
          <w:tab w:val="left" w:pos="4464" w:leader="none"/>
        </w:tabs>
        <w:spacing w:lineRule="auto" w:line="360" w:before="142" w:after="142"/>
        <w:ind w:firstLine="709"/>
        <w:jc w:val="both"/>
        <w:rPr>
          <w:strike/>
          <w:color w:val="000000"/>
          <w:highlight w:val="none"/>
          <w:shd w:fill="FFFF00" w:val="clear"/>
        </w:rPr>
      </w:pPr>
      <w:r>
        <w:rPr>
          <w:strike/>
          <w:color w:val="000000"/>
          <w:shd w:fill="FFFF00" w:val="clear"/>
        </w:rPr>
      </w:r>
    </w:p>
    <w:p>
      <w:pPr>
        <w:pStyle w:val="Normal"/>
        <w:tabs>
          <w:tab w:val="clear" w:pos="708"/>
          <w:tab w:val="left" w:pos="2340" w:leader="none"/>
          <w:tab w:val="left" w:pos="4464" w:leader="none"/>
        </w:tabs>
        <w:spacing w:lineRule="auto" w:line="360" w:before="142" w:after="142"/>
        <w:ind w:firstLine="709"/>
        <w:jc w:val="both"/>
        <w:rPr>
          <w:bCs/>
        </w:rPr>
      </w:pPr>
      <w:r>
        <w:rPr>
          <w:b/>
        </w:rPr>
        <w:t>ESTIMATIVA DO VALOR DA CONTRATAÇÃO</w:t>
      </w:r>
    </w:p>
    <w:p>
      <w:pPr>
        <w:pStyle w:val="Normal"/>
        <w:tabs>
          <w:tab w:val="clear" w:pos="708"/>
          <w:tab w:val="left" w:pos="2340" w:leader="none"/>
          <w:tab w:val="left" w:pos="4464" w:leader="none"/>
        </w:tabs>
        <w:spacing w:lineRule="auto" w:line="360" w:before="142" w:after="142"/>
        <w:ind w:firstLine="709"/>
        <w:jc w:val="both"/>
        <w:rPr/>
      </w:pPr>
      <w:r>
        <w:rPr>
          <w:bCs/>
        </w:rPr>
        <w:t xml:space="preserve">O valor da contratação fora estimado a partir dos quantitativos já expostos no corpo deste Termo de Referência e da pesquisa de preços realizada nos termos do art. 23, </w:t>
      </w:r>
      <w:r>
        <w:rPr>
          <w:bCs/>
          <w:i/>
          <w:iCs/>
        </w:rPr>
        <w:t>caput</w:t>
      </w:r>
      <w:r>
        <w:rPr>
          <w:bCs/>
        </w:rPr>
        <w:t xml:space="preserve"> e § 1º, da Lei Federal n. 14.133/2021.</w:t>
      </w:r>
    </w:p>
    <w:tbl>
      <w:tblPr>
        <w:tblW w:w="10048"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562"/>
        <w:gridCol w:w="1418"/>
        <w:gridCol w:w="849"/>
        <w:gridCol w:w="4117"/>
        <w:gridCol w:w="1276"/>
        <w:gridCol w:w="1825"/>
      </w:tblGrid>
      <w:tr>
        <w:trPr/>
        <w:tc>
          <w:tcPr>
            <w:tcW w:w="562" w:type="dxa"/>
            <w:tcBorders>
              <w:top w:val="single" w:sz="4" w:space="0" w:color="000000"/>
              <w:left w:val="single" w:sz="4" w:space="0" w:color="000000"/>
              <w:bottom w:val="single" w:sz="4" w:space="0" w:color="000000"/>
            </w:tcBorders>
          </w:tcPr>
          <w:p>
            <w:pPr>
              <w:pStyle w:val="Normal"/>
              <w:widowControl w:val="false"/>
              <w:suppressLineNumbers/>
              <w:spacing w:lineRule="auto" w:line="252" w:before="0" w:after="160"/>
              <w:jc w:val="center"/>
              <w:rPr>
                <w:rFonts w:eastAsia="NSimSun"/>
              </w:rPr>
            </w:pPr>
            <w:r>
              <w:rPr>
                <w:rFonts w:eastAsia="NSimSun"/>
                <w:b/>
                <w:bCs/>
              </w:rPr>
              <w:t>Item</w:t>
            </w:r>
          </w:p>
        </w:tc>
        <w:tc>
          <w:tcPr>
            <w:tcW w:w="1418" w:type="dxa"/>
            <w:tcBorders>
              <w:top w:val="single" w:sz="4" w:space="0" w:color="000000"/>
              <w:left w:val="single" w:sz="4" w:space="0" w:color="000000"/>
              <w:bottom w:val="single" w:sz="4" w:space="0" w:color="000000"/>
            </w:tcBorders>
          </w:tcPr>
          <w:p>
            <w:pPr>
              <w:pStyle w:val="Normal"/>
              <w:widowControl w:val="false"/>
              <w:suppressLineNumbers/>
              <w:spacing w:lineRule="auto" w:line="252" w:before="0" w:after="160"/>
              <w:jc w:val="center"/>
              <w:rPr>
                <w:rFonts w:eastAsia="NSimSun"/>
              </w:rPr>
            </w:pPr>
            <w:r>
              <w:rPr>
                <w:rFonts w:eastAsia="NSimSun"/>
                <w:b/>
                <w:bCs/>
                <w:color w:val="000000"/>
              </w:rPr>
              <w:t>Quantidade</w:t>
            </w:r>
          </w:p>
        </w:tc>
        <w:tc>
          <w:tcPr>
            <w:tcW w:w="849" w:type="dxa"/>
            <w:tcBorders>
              <w:top w:val="single" w:sz="4" w:space="0" w:color="000000"/>
              <w:left w:val="single" w:sz="4" w:space="0" w:color="000000"/>
              <w:bottom w:val="single" w:sz="4" w:space="0" w:color="000000"/>
            </w:tcBorders>
          </w:tcPr>
          <w:p>
            <w:pPr>
              <w:pStyle w:val="Normal"/>
              <w:widowControl w:val="false"/>
              <w:suppressLineNumbers/>
              <w:spacing w:lineRule="auto" w:line="252" w:before="0" w:after="160"/>
              <w:jc w:val="center"/>
              <w:rPr>
                <w:rFonts w:eastAsia="NSimSun"/>
              </w:rPr>
            </w:pPr>
            <w:r>
              <w:rPr>
                <w:rFonts w:eastAsia="NSimSun"/>
                <w:b/>
                <w:bCs/>
                <w:color w:val="000000"/>
              </w:rPr>
              <w:t>Und.</w:t>
            </w:r>
          </w:p>
        </w:tc>
        <w:tc>
          <w:tcPr>
            <w:tcW w:w="4117" w:type="dxa"/>
            <w:tcBorders>
              <w:top w:val="single" w:sz="4" w:space="0" w:color="000000"/>
              <w:left w:val="single" w:sz="4" w:space="0" w:color="000000"/>
              <w:bottom w:val="single" w:sz="4" w:space="0" w:color="000000"/>
            </w:tcBorders>
          </w:tcPr>
          <w:p>
            <w:pPr>
              <w:pStyle w:val="Normal"/>
              <w:widowControl w:val="false"/>
              <w:suppressLineNumbers/>
              <w:spacing w:lineRule="auto" w:line="252" w:before="0" w:after="160"/>
              <w:jc w:val="center"/>
              <w:rPr>
                <w:rFonts w:eastAsia="NSimSun"/>
              </w:rPr>
            </w:pPr>
            <w:r>
              <w:rPr>
                <w:rFonts w:eastAsia="NSimSun"/>
                <w:b/>
                <w:bCs/>
                <w:color w:val="000000"/>
              </w:rPr>
              <w:t>Descrição do produto</w:t>
            </w:r>
          </w:p>
        </w:tc>
        <w:tc>
          <w:tcPr>
            <w:tcW w:w="1276" w:type="dxa"/>
            <w:tcBorders>
              <w:top w:val="single" w:sz="4" w:space="0" w:color="000000"/>
              <w:left w:val="single" w:sz="4" w:space="0" w:color="000000"/>
              <w:bottom w:val="single" w:sz="4" w:space="0" w:color="000000"/>
            </w:tcBorders>
          </w:tcPr>
          <w:p>
            <w:pPr>
              <w:pStyle w:val="Normal"/>
              <w:widowControl w:val="false"/>
              <w:suppressLineNumbers/>
              <w:spacing w:lineRule="auto" w:line="252" w:before="0" w:after="160"/>
              <w:jc w:val="center"/>
              <w:rPr>
                <w:rFonts w:eastAsia="NSimSun"/>
              </w:rPr>
            </w:pPr>
            <w:r>
              <w:rPr>
                <w:rFonts w:eastAsia="NSimSun"/>
                <w:b/>
                <w:bCs/>
              </w:rPr>
              <w:t>Valor Unitário</w:t>
            </w:r>
          </w:p>
        </w:tc>
        <w:tc>
          <w:tcPr>
            <w:tcW w:w="1825"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pacing w:lineRule="auto" w:line="252" w:before="0" w:after="160"/>
              <w:jc w:val="center"/>
              <w:rPr>
                <w:rFonts w:eastAsia="NSimSun"/>
              </w:rPr>
            </w:pPr>
            <w:r>
              <w:rPr>
                <w:rFonts w:eastAsia="NSimSun"/>
                <w:b/>
                <w:bCs/>
              </w:rPr>
              <w:t>Valor Total</w:t>
            </w:r>
          </w:p>
        </w:tc>
      </w:tr>
      <w:tr>
        <w:trPr/>
        <w:tc>
          <w:tcPr>
            <w:tcW w:w="562" w:type="dxa"/>
            <w:tcBorders>
              <w:left w:val="single" w:sz="4" w:space="0" w:color="000000"/>
              <w:bottom w:val="single" w:sz="4" w:space="0" w:color="000000"/>
            </w:tcBorders>
          </w:tcPr>
          <w:p>
            <w:pPr>
              <w:pStyle w:val="Normal"/>
              <w:widowControl w:val="false"/>
              <w:suppressAutoHyphens w:val="false"/>
              <w:snapToGrid w:val="false"/>
              <w:spacing w:lineRule="auto" w:line="252" w:before="0" w:after="119"/>
              <w:jc w:val="both"/>
              <w:rPr>
                <w:rFonts w:eastAsia="NSimSun"/>
              </w:rPr>
            </w:pPr>
            <w:r>
              <w:rPr/>
              <w:t>01</w:t>
            </w:r>
          </w:p>
        </w:tc>
        <w:tc>
          <w:tcPr>
            <w:tcW w:w="1418" w:type="dxa"/>
            <w:tcBorders>
              <w:left w:val="single" w:sz="4" w:space="0" w:color="000000"/>
              <w:bottom w:val="single" w:sz="4" w:space="0" w:color="000000"/>
            </w:tcBorders>
          </w:tcPr>
          <w:p>
            <w:pPr>
              <w:pStyle w:val="Normal"/>
              <w:widowControl w:val="false"/>
              <w:suppressAutoHyphens w:val="false"/>
              <w:snapToGrid w:val="false"/>
              <w:spacing w:lineRule="atLeast" w:line="100" w:before="0" w:after="160"/>
              <w:jc w:val="right"/>
              <w:rPr>
                <w:rFonts w:eastAsia="NSimSun"/>
                <w:b/>
                <w:b/>
                <w:bCs/>
              </w:rPr>
            </w:pPr>
            <w:r>
              <w:rPr/>
              <w:t>300.000</w:t>
            </w:r>
          </w:p>
        </w:tc>
        <w:tc>
          <w:tcPr>
            <w:tcW w:w="849" w:type="dxa"/>
            <w:tcBorders>
              <w:left w:val="single" w:sz="4" w:space="0" w:color="000000"/>
              <w:bottom w:val="single" w:sz="4" w:space="0" w:color="000000"/>
            </w:tcBorders>
          </w:tcPr>
          <w:p>
            <w:pPr>
              <w:pStyle w:val="Normal"/>
              <w:widowControl w:val="false"/>
              <w:suppressLineNumbers/>
              <w:snapToGrid w:val="false"/>
              <w:spacing w:lineRule="auto" w:line="252" w:before="0" w:after="160"/>
              <w:rPr>
                <w:rFonts w:eastAsia="NSimSun"/>
              </w:rPr>
            </w:pPr>
            <w:r>
              <w:rPr>
                <w:rFonts w:eastAsia="Times New Roman"/>
                <w:b/>
                <w:bCs/>
              </w:rPr>
              <w:t>litros</w:t>
            </w:r>
          </w:p>
        </w:tc>
        <w:tc>
          <w:tcPr>
            <w:tcW w:w="4117" w:type="dxa"/>
            <w:tcBorders>
              <w:left w:val="single" w:sz="4" w:space="0" w:color="000000"/>
              <w:bottom w:val="single" w:sz="4" w:space="0" w:color="000000"/>
            </w:tcBorders>
          </w:tcPr>
          <w:p>
            <w:pPr>
              <w:pStyle w:val="Normal"/>
              <w:widowControl w:val="false"/>
              <w:suppressLineNumbers/>
              <w:suppressAutoHyphens w:val="false"/>
              <w:snapToGrid w:val="false"/>
              <w:spacing w:lineRule="auto" w:line="252" w:before="0" w:after="160"/>
              <w:jc w:val="both"/>
              <w:rPr/>
            </w:pPr>
            <w:r>
              <w:rPr/>
              <w:t>Óleo diesel s10</w:t>
            </w:r>
          </w:p>
        </w:tc>
        <w:tc>
          <w:tcPr>
            <w:tcW w:w="1276" w:type="dxa"/>
            <w:tcBorders>
              <w:left w:val="single" w:sz="4" w:space="0" w:color="000000"/>
              <w:bottom w:val="single" w:sz="4" w:space="0" w:color="000000"/>
            </w:tcBorders>
          </w:tcPr>
          <w:p>
            <w:pPr>
              <w:pStyle w:val="Normal"/>
              <w:widowControl w:val="false"/>
              <w:spacing w:before="0" w:after="160"/>
              <w:jc w:val="right"/>
              <w:rPr>
                <w:rFonts w:eastAsia="NSimSun"/>
              </w:rPr>
            </w:pPr>
            <w:r>
              <w:rPr>
                <w:rFonts w:eastAsia="NSimSun"/>
              </w:rPr>
              <w:t>5,716</w:t>
            </w:r>
          </w:p>
        </w:tc>
        <w:tc>
          <w:tcPr>
            <w:tcW w:w="1825" w:type="dxa"/>
            <w:tcBorders>
              <w:left w:val="single" w:sz="4" w:space="0" w:color="000000"/>
              <w:bottom w:val="single" w:sz="4" w:space="0" w:color="000000"/>
              <w:right w:val="single" w:sz="4" w:space="0" w:color="000000"/>
            </w:tcBorders>
          </w:tcPr>
          <w:p>
            <w:pPr>
              <w:pStyle w:val="Normal"/>
              <w:widowControl w:val="false"/>
              <w:suppressAutoHyphens w:val="false"/>
              <w:spacing w:lineRule="auto" w:line="252" w:before="0" w:after="160"/>
              <w:jc w:val="right"/>
              <w:rPr>
                <w:rFonts w:eastAsia="Calibri"/>
                <w:kern w:val="0"/>
                <w:lang w:eastAsia="pt-BR"/>
              </w:rPr>
            </w:pPr>
            <w:r>
              <w:rPr>
                <w:rFonts w:eastAsia="Calibri"/>
                <w:kern w:val="0"/>
                <w:lang w:eastAsia="pt-BR"/>
              </w:rPr>
              <w:t>1.714.800,00</w:t>
            </w:r>
          </w:p>
        </w:tc>
      </w:tr>
      <w:tr>
        <w:trPr/>
        <w:tc>
          <w:tcPr>
            <w:tcW w:w="562" w:type="dxa"/>
            <w:tcBorders>
              <w:left w:val="single" w:sz="4" w:space="0" w:color="000000"/>
              <w:bottom w:val="single" w:sz="4" w:space="0" w:color="000000"/>
            </w:tcBorders>
          </w:tcPr>
          <w:p>
            <w:pPr>
              <w:pStyle w:val="Normal"/>
              <w:widowControl w:val="false"/>
              <w:suppressAutoHyphens w:val="false"/>
              <w:snapToGrid w:val="false"/>
              <w:spacing w:lineRule="auto" w:line="252" w:before="0" w:after="119"/>
              <w:jc w:val="both"/>
              <w:rPr>
                <w:rFonts w:eastAsia="NSimSun"/>
              </w:rPr>
            </w:pPr>
            <w:r>
              <w:rPr/>
              <w:t>02</w:t>
            </w:r>
          </w:p>
        </w:tc>
        <w:tc>
          <w:tcPr>
            <w:tcW w:w="1418" w:type="dxa"/>
            <w:tcBorders>
              <w:left w:val="single" w:sz="4" w:space="0" w:color="000000"/>
              <w:bottom w:val="single" w:sz="4" w:space="0" w:color="000000"/>
            </w:tcBorders>
          </w:tcPr>
          <w:p>
            <w:pPr>
              <w:pStyle w:val="Normal"/>
              <w:widowControl w:val="false"/>
              <w:suppressAutoHyphens w:val="false"/>
              <w:snapToGrid w:val="false"/>
              <w:spacing w:lineRule="atLeast" w:line="100" w:before="0" w:after="160"/>
              <w:jc w:val="right"/>
              <w:rPr>
                <w:rFonts w:eastAsia="NSimSun"/>
                <w:b/>
                <w:b/>
                <w:bCs/>
                <w:lang w:eastAsia="pt-BR"/>
              </w:rPr>
            </w:pPr>
            <w:r>
              <w:rPr/>
              <w:t>57.300</w:t>
            </w:r>
          </w:p>
        </w:tc>
        <w:tc>
          <w:tcPr>
            <w:tcW w:w="849" w:type="dxa"/>
            <w:tcBorders>
              <w:left w:val="single" w:sz="4" w:space="0" w:color="000000"/>
              <w:bottom w:val="single" w:sz="4" w:space="0" w:color="000000"/>
            </w:tcBorders>
          </w:tcPr>
          <w:p>
            <w:pPr>
              <w:pStyle w:val="Normal"/>
              <w:widowControl w:val="false"/>
              <w:suppressLineNumbers/>
              <w:snapToGrid w:val="false"/>
              <w:spacing w:lineRule="auto" w:line="252" w:before="0" w:after="160"/>
              <w:rPr>
                <w:rFonts w:eastAsia="NSimSun"/>
              </w:rPr>
            </w:pPr>
            <w:r>
              <w:rPr>
                <w:rFonts w:eastAsia="Times New Roman"/>
                <w:b/>
                <w:bCs/>
              </w:rPr>
              <w:t>litros</w:t>
            </w:r>
          </w:p>
        </w:tc>
        <w:tc>
          <w:tcPr>
            <w:tcW w:w="4117" w:type="dxa"/>
            <w:tcBorders>
              <w:left w:val="single" w:sz="4" w:space="0" w:color="000000"/>
              <w:bottom w:val="single" w:sz="4" w:space="0" w:color="000000"/>
            </w:tcBorders>
          </w:tcPr>
          <w:p>
            <w:pPr>
              <w:pStyle w:val="Normal"/>
              <w:widowControl w:val="false"/>
              <w:suppressLineNumbers/>
              <w:suppressAutoHyphens w:val="false"/>
              <w:snapToGrid w:val="false"/>
              <w:spacing w:lineRule="auto" w:line="252" w:before="0" w:after="160"/>
              <w:jc w:val="both"/>
              <w:rPr/>
            </w:pPr>
            <w:r>
              <w:rPr/>
              <w:t>Gasolina comum</w:t>
            </w:r>
          </w:p>
        </w:tc>
        <w:tc>
          <w:tcPr>
            <w:tcW w:w="1276" w:type="dxa"/>
            <w:tcBorders>
              <w:left w:val="single" w:sz="4" w:space="0" w:color="000000"/>
              <w:bottom w:val="single" w:sz="4" w:space="0" w:color="000000"/>
            </w:tcBorders>
          </w:tcPr>
          <w:p>
            <w:pPr>
              <w:pStyle w:val="Normal"/>
              <w:widowControl w:val="false"/>
              <w:spacing w:before="0" w:after="160"/>
              <w:jc w:val="right"/>
              <w:rPr>
                <w:rFonts w:eastAsia="NSimSun"/>
              </w:rPr>
            </w:pPr>
            <w:r>
              <w:rPr>
                <w:rFonts w:eastAsia="NSimSun"/>
              </w:rPr>
              <w:t>6,137</w:t>
            </w:r>
          </w:p>
        </w:tc>
        <w:tc>
          <w:tcPr>
            <w:tcW w:w="1825" w:type="dxa"/>
            <w:tcBorders>
              <w:left w:val="single" w:sz="4" w:space="0" w:color="000000"/>
              <w:bottom w:val="single" w:sz="4" w:space="0" w:color="000000"/>
              <w:right w:val="single" w:sz="4" w:space="0" w:color="000000"/>
            </w:tcBorders>
          </w:tcPr>
          <w:p>
            <w:pPr>
              <w:pStyle w:val="Normal"/>
              <w:widowControl w:val="false"/>
              <w:suppressAutoHyphens w:val="false"/>
              <w:spacing w:lineRule="auto" w:line="252" w:before="0" w:after="160"/>
              <w:jc w:val="right"/>
              <w:rPr>
                <w:rFonts w:eastAsia="Calibri"/>
                <w:kern w:val="0"/>
                <w:lang w:eastAsia="pt-BR"/>
              </w:rPr>
            </w:pPr>
            <w:r>
              <w:rPr>
                <w:rFonts w:eastAsia="Calibri"/>
                <w:kern w:val="0"/>
                <w:lang w:eastAsia="pt-BR"/>
              </w:rPr>
              <w:t>351.650,10</w:t>
            </w:r>
          </w:p>
        </w:tc>
      </w:tr>
      <w:tr>
        <w:trPr/>
        <w:tc>
          <w:tcPr>
            <w:tcW w:w="8222" w:type="dxa"/>
            <w:gridSpan w:val="5"/>
            <w:tcBorders>
              <w:left w:val="single" w:sz="4" w:space="0" w:color="000000"/>
              <w:bottom w:val="single" w:sz="4" w:space="0" w:color="000000"/>
            </w:tcBorders>
          </w:tcPr>
          <w:p>
            <w:pPr>
              <w:pStyle w:val="Normal"/>
              <w:widowControl w:val="false"/>
              <w:suppressAutoHyphens w:val="false"/>
              <w:snapToGrid w:val="false"/>
              <w:spacing w:lineRule="auto" w:line="252" w:before="0" w:after="119"/>
              <w:jc w:val="center"/>
              <w:rPr>
                <w:rFonts w:eastAsia="NSimSun"/>
                <w:b/>
                <w:b/>
                <w:bCs/>
              </w:rPr>
            </w:pPr>
            <w:r>
              <w:rPr>
                <w:rFonts w:eastAsia="NSimSun"/>
                <w:b/>
                <w:bCs/>
              </w:rPr>
              <w:t>TOTAL</w:t>
            </w:r>
          </w:p>
        </w:tc>
        <w:tc>
          <w:tcPr>
            <w:tcW w:w="1825" w:type="dxa"/>
            <w:tcBorders>
              <w:left w:val="single" w:sz="4" w:space="0" w:color="000000"/>
              <w:bottom w:val="single" w:sz="4" w:space="0" w:color="000000"/>
              <w:right w:val="single" w:sz="4" w:space="0" w:color="000000"/>
            </w:tcBorders>
          </w:tcPr>
          <w:p>
            <w:pPr>
              <w:pStyle w:val="Normal"/>
              <w:widowControl w:val="false"/>
              <w:spacing w:before="0" w:after="160"/>
              <w:jc w:val="right"/>
              <w:rPr>
                <w:rFonts w:eastAsia="NSimSun"/>
                <w:b/>
                <w:b/>
                <w:bCs/>
              </w:rPr>
            </w:pPr>
            <w:r>
              <w:rPr>
                <w:rFonts w:eastAsia="NSimSun"/>
                <w:b/>
                <w:bCs/>
              </w:rPr>
              <w:t>R$ 2.066.450,10</w:t>
            </w:r>
          </w:p>
        </w:tc>
      </w:tr>
    </w:tbl>
    <w:p>
      <w:pPr>
        <w:pStyle w:val="Normal"/>
        <w:spacing w:lineRule="auto" w:line="360"/>
        <w:rPr/>
      </w:pPr>
      <w:r>
        <w:rPr/>
      </w:r>
    </w:p>
    <w:p>
      <w:pPr>
        <w:pStyle w:val="ListParagraph"/>
        <w:numPr>
          <w:ilvl w:val="0"/>
          <w:numId w:val="3"/>
        </w:numPr>
        <w:spacing w:lineRule="auto" w:line="360" w:before="142" w:after="142"/>
        <w:contextualSpacing/>
        <w:rPr>
          <w:rFonts w:ascii="Arial" w:hAnsi="Arial" w:cs="Arial"/>
          <w:bCs/>
          <w:sz w:val="22"/>
          <w:szCs w:val="22"/>
        </w:rPr>
      </w:pPr>
      <w:bookmarkStart w:id="6" w:name="_Hlk181610930"/>
      <w:bookmarkEnd w:id="6"/>
      <w:r>
        <w:rPr>
          <w:rFonts w:cs="Arial" w:ascii="Arial" w:hAnsi="Arial"/>
          <w:b/>
          <w:sz w:val="22"/>
          <w:szCs w:val="22"/>
        </w:rPr>
        <w:t>ADEQUAÇÃO ORÇAMENTÁRIA</w:t>
      </w:r>
    </w:p>
    <w:p>
      <w:pPr>
        <w:pStyle w:val="Normal"/>
        <w:tabs>
          <w:tab w:val="clear" w:pos="708"/>
          <w:tab w:val="left" w:pos="2340" w:leader="none"/>
          <w:tab w:val="left" w:pos="4464" w:leader="none"/>
        </w:tabs>
        <w:spacing w:lineRule="auto" w:line="360" w:before="142" w:after="142"/>
        <w:ind w:firstLine="709"/>
        <w:jc w:val="both"/>
        <w:rPr>
          <w:bCs/>
        </w:rPr>
      </w:pPr>
      <w:bookmarkStart w:id="7" w:name="_Hlk1816109301"/>
      <w:bookmarkEnd w:id="7"/>
      <w:r>
        <w:rPr>
          <w:bCs/>
        </w:rPr>
        <w:t xml:space="preserve">As despesas decorrentes das aquisições, objeto do presente certame, correrão à conta de dotação específica dos orçamentos de cada Órgão Participante referente ao exercício de 2024. </w:t>
      </w:r>
    </w:p>
    <w:p>
      <w:pPr>
        <w:pStyle w:val="Normal"/>
        <w:suppressAutoHyphens w:val="false"/>
        <w:rPr>
          <w:bCs/>
        </w:rPr>
      </w:pPr>
      <w:r>
        <w:rPr>
          <w:bCs/>
        </w:rPr>
      </w:r>
    </w:p>
    <w:p>
      <w:pPr>
        <w:pStyle w:val="Normal"/>
        <w:suppressAutoHyphens w:val="false"/>
        <w:rPr>
          <w:bCs/>
        </w:rPr>
      </w:pPr>
      <w:r>
        <w:rPr>
          <w:bCs/>
        </w:rPr>
        <w:t>Órgão/Unidade: 04.001 Secretaria Municipal de Educação Cultura e Turismo/Diretoria de   Educação</w:t>
      </w:r>
    </w:p>
    <w:p>
      <w:pPr>
        <w:pStyle w:val="Normal"/>
        <w:suppressAutoHyphens w:val="false"/>
        <w:rPr>
          <w:bCs/>
        </w:rPr>
      </w:pPr>
      <w:r>
        <w:rPr>
          <w:bCs/>
        </w:rPr>
        <w:t>Proj/ Ativ.: 2010 – Educação Infantil – Pré-Escolar</w:t>
      </w:r>
    </w:p>
    <w:p>
      <w:pPr>
        <w:pStyle w:val="Normal"/>
        <w:suppressAutoHyphens w:val="false"/>
        <w:rPr>
          <w:bCs/>
        </w:rPr>
      </w:pPr>
      <w:r>
        <w:rPr>
          <w:bCs/>
        </w:rPr>
        <w:t>Elemento: 3.3.90.00.00.00.00.00 – Aplicações Diretas</w:t>
      </w:r>
    </w:p>
    <w:p>
      <w:pPr>
        <w:pStyle w:val="Normal"/>
        <w:suppressAutoHyphens w:val="false"/>
        <w:rPr>
          <w:bCs/>
        </w:rPr>
      </w:pPr>
      <w:r>
        <w:rPr>
          <w:b/>
        </w:rPr>
        <w:t>20</w:t>
      </w:r>
      <w:r>
        <w:rPr>
          <w:bCs/>
        </w:rPr>
        <w:t xml:space="preserve"> 1.500.1001.0001 – MDE – Educação</w:t>
      </w:r>
    </w:p>
    <w:p>
      <w:pPr>
        <w:pStyle w:val="Normal"/>
        <w:suppressAutoHyphens w:val="false"/>
        <w:rPr>
          <w:bCs/>
        </w:rPr>
      </w:pPr>
      <w:r>
        <w:rPr>
          <w:bCs/>
        </w:rPr>
        <w:t>Proj/ Ativ.: 2.014 Manutenção do Ensino Fundamental</w:t>
      </w:r>
    </w:p>
    <w:p>
      <w:pPr>
        <w:pStyle w:val="Normal"/>
        <w:suppressAutoHyphens w:val="false"/>
        <w:rPr>
          <w:bCs/>
        </w:rPr>
      </w:pPr>
      <w:r>
        <w:rPr>
          <w:bCs/>
        </w:rPr>
        <w:t>Elemento: 3.3.90.00.00.00.00.00 – Aplicações Diretas</w:t>
      </w:r>
    </w:p>
    <w:p>
      <w:pPr>
        <w:pStyle w:val="Normal"/>
        <w:suppressAutoHyphens w:val="false"/>
        <w:rPr>
          <w:bCs/>
        </w:rPr>
      </w:pPr>
      <w:r>
        <w:rPr>
          <w:b/>
        </w:rPr>
        <w:t>33</w:t>
      </w:r>
      <w:r>
        <w:rPr>
          <w:bCs/>
        </w:rPr>
        <w:t xml:space="preserve">  1.500.1001.0001 – MDE – Educação </w:t>
      </w:r>
    </w:p>
    <w:p>
      <w:pPr>
        <w:pStyle w:val="Normal"/>
        <w:suppressAutoHyphens w:val="false"/>
        <w:rPr>
          <w:bCs/>
        </w:rPr>
      </w:pPr>
      <w:r>
        <w:rPr>
          <w:bCs/>
        </w:rPr>
        <w:t xml:space="preserve">Proj/ Ativ.: 2.015 - Manutenção e apoio ensino médio e profissionalizante </w:t>
      </w:r>
    </w:p>
    <w:p>
      <w:pPr>
        <w:pStyle w:val="Normal"/>
        <w:suppressAutoHyphens w:val="false"/>
        <w:rPr>
          <w:bCs/>
        </w:rPr>
      </w:pPr>
      <w:r>
        <w:rPr>
          <w:bCs/>
        </w:rPr>
        <w:t>Elemento: 3.3.90.00.00.00.00.00 – Aplicações Diretas</w:t>
      </w:r>
    </w:p>
    <w:p>
      <w:pPr>
        <w:pStyle w:val="Normal"/>
        <w:suppressAutoHyphens w:val="false"/>
        <w:rPr>
          <w:bCs/>
        </w:rPr>
      </w:pPr>
      <w:r>
        <w:rPr>
          <w:b/>
        </w:rPr>
        <w:t>36</w:t>
      </w:r>
      <w:r>
        <w:rPr>
          <w:bCs/>
        </w:rPr>
        <w:t xml:space="preserve">  1.500.0000.0104 - Recursos Ordinários</w:t>
      </w:r>
    </w:p>
    <w:p>
      <w:pPr>
        <w:pStyle w:val="Normal"/>
        <w:suppressAutoHyphens w:val="false"/>
        <w:rPr>
          <w:bCs/>
        </w:rPr>
      </w:pPr>
      <w:r>
        <w:rPr>
          <w:bCs/>
        </w:rPr>
      </w:r>
    </w:p>
    <w:p>
      <w:pPr>
        <w:pStyle w:val="Normal"/>
        <w:suppressAutoHyphens w:val="false"/>
        <w:rPr>
          <w:bCs/>
        </w:rPr>
      </w:pPr>
      <w:r>
        <w:rPr>
          <w:bCs/>
        </w:rPr>
        <w:t>Órgão/Unidade: 15.001 DIRETORIA DE ESPORTES</w:t>
      </w:r>
    </w:p>
    <w:p>
      <w:pPr>
        <w:pStyle w:val="Normal"/>
        <w:suppressAutoHyphens w:val="false"/>
        <w:rPr>
          <w:bCs/>
        </w:rPr>
      </w:pPr>
      <w:r>
        <w:rPr>
          <w:bCs/>
        </w:rPr>
        <w:t>Proj/ Ativ.: 2019 – Manutenção das Atividades Esportivas e Recreativas</w:t>
      </w:r>
    </w:p>
    <w:p>
      <w:pPr>
        <w:pStyle w:val="Normal"/>
        <w:suppressAutoHyphens w:val="false"/>
        <w:rPr>
          <w:bCs/>
        </w:rPr>
      </w:pPr>
      <w:r>
        <w:rPr>
          <w:bCs/>
        </w:rPr>
        <w:t>Elemento: 3.3.90.00.00.00.00.00 – Aplicações Diretas</w:t>
      </w:r>
    </w:p>
    <w:p>
      <w:pPr>
        <w:pStyle w:val="Normal"/>
        <w:suppressAutoHyphens w:val="false"/>
        <w:rPr>
          <w:bCs/>
        </w:rPr>
      </w:pPr>
      <w:r>
        <w:rPr>
          <w:b/>
        </w:rPr>
        <w:t>118</w:t>
      </w:r>
      <w:r>
        <w:rPr>
          <w:bCs/>
        </w:rPr>
        <w:t xml:space="preserve">  1.500.0000.0104 – Recursos Ordinários </w:t>
      </w:r>
    </w:p>
    <w:p>
      <w:pPr>
        <w:pStyle w:val="Normal"/>
        <w:suppressAutoHyphens w:val="false"/>
        <w:rPr>
          <w:bCs/>
        </w:rPr>
      </w:pPr>
      <w:r>
        <w:rPr>
          <w:bCs/>
        </w:rPr>
      </w:r>
    </w:p>
    <w:p>
      <w:pPr>
        <w:pStyle w:val="Normal"/>
        <w:suppressAutoHyphens w:val="false"/>
        <w:rPr>
          <w:bCs/>
        </w:rPr>
      </w:pPr>
      <w:r>
        <w:rPr>
          <w:bCs/>
        </w:rPr>
        <w:t>Órgão/Unidade: 05.002 Secretaria Mun. de Assistência Social e Habitação/Fundo Municipal de Assistência Social</w:t>
      </w:r>
    </w:p>
    <w:p>
      <w:pPr>
        <w:pStyle w:val="Normal"/>
        <w:suppressAutoHyphens w:val="false"/>
        <w:rPr>
          <w:bCs/>
        </w:rPr>
      </w:pPr>
      <w:r>
        <w:rPr>
          <w:bCs/>
        </w:rPr>
        <w:t>Proj/ Ativ.: 2024 – Manutenção da Oferta da Proteção Social Básica</w:t>
      </w:r>
    </w:p>
    <w:p>
      <w:pPr>
        <w:pStyle w:val="Normal"/>
        <w:suppressAutoHyphens w:val="false"/>
        <w:rPr>
          <w:bCs/>
        </w:rPr>
      </w:pPr>
      <w:r>
        <w:rPr>
          <w:bCs/>
        </w:rPr>
        <w:t>Elemento: 3.3.90.00.00.00.00.00 – Aplicações Diretas</w:t>
      </w:r>
    </w:p>
    <w:p>
      <w:pPr>
        <w:pStyle w:val="Normal"/>
        <w:suppressAutoHyphens w:val="false"/>
        <w:rPr>
          <w:bCs/>
        </w:rPr>
      </w:pPr>
      <w:r>
        <w:rPr>
          <w:b/>
        </w:rPr>
        <w:t>64</w:t>
      </w:r>
      <w:r>
        <w:rPr>
          <w:bCs/>
        </w:rPr>
        <w:t xml:space="preserve"> 1.500.0000.0104 – Recursos Ordinários </w:t>
      </w:r>
    </w:p>
    <w:p>
      <w:pPr>
        <w:pStyle w:val="Normal"/>
        <w:suppressAutoHyphens w:val="false"/>
        <w:rPr>
          <w:bCs/>
        </w:rPr>
      </w:pPr>
      <w:r>
        <w:rPr>
          <w:bCs/>
        </w:rPr>
      </w:r>
    </w:p>
    <w:p>
      <w:pPr>
        <w:pStyle w:val="Normal"/>
        <w:suppressAutoHyphens w:val="false"/>
        <w:rPr>
          <w:bCs/>
        </w:rPr>
      </w:pPr>
      <w:r>
        <w:rPr>
          <w:bCs/>
        </w:rPr>
        <w:t>Órgão/Unidade: 06.001 Secretaria Mun. de Infraestrutura e Transportes/Diretoria de Urbanismo</w:t>
      </w:r>
    </w:p>
    <w:p>
      <w:pPr>
        <w:pStyle w:val="Normal"/>
        <w:suppressAutoHyphens w:val="false"/>
        <w:rPr>
          <w:bCs/>
        </w:rPr>
      </w:pPr>
      <w:r>
        <w:rPr>
          <w:bCs/>
        </w:rPr>
        <w:t>Proj/ Ativ.: 2006 – Diretoria de Urbanismo</w:t>
      </w:r>
    </w:p>
    <w:p>
      <w:pPr>
        <w:pStyle w:val="Normal"/>
        <w:suppressAutoHyphens w:val="false"/>
        <w:rPr>
          <w:bCs/>
        </w:rPr>
      </w:pPr>
      <w:r>
        <w:rPr>
          <w:bCs/>
        </w:rPr>
        <w:t>Elemento: 3.3.90.00.00.00.00.00 – Aplicações Diretas</w:t>
      </w:r>
    </w:p>
    <w:p>
      <w:pPr>
        <w:pStyle w:val="Normal"/>
        <w:suppressAutoHyphens w:val="false"/>
        <w:rPr>
          <w:bCs/>
        </w:rPr>
      </w:pPr>
      <w:r>
        <w:rPr>
          <w:b/>
        </w:rPr>
        <w:t>77</w:t>
      </w:r>
      <w:r>
        <w:rPr>
          <w:bCs/>
        </w:rPr>
        <w:t xml:space="preserve">  1.500.0000.0104 – Recursos Ordinários </w:t>
      </w:r>
    </w:p>
    <w:p>
      <w:pPr>
        <w:pStyle w:val="Normal"/>
        <w:suppressAutoHyphens w:val="false"/>
        <w:rPr>
          <w:bCs/>
        </w:rPr>
      </w:pPr>
      <w:r>
        <w:rPr>
          <w:bCs/>
        </w:rPr>
      </w:r>
    </w:p>
    <w:p>
      <w:pPr>
        <w:pStyle w:val="Normal"/>
        <w:suppressAutoHyphens w:val="false"/>
        <w:rPr>
          <w:bCs/>
        </w:rPr>
      </w:pPr>
      <w:r>
        <w:rPr>
          <w:bCs/>
        </w:rPr>
        <w:t>Órgão/Unidade: 06.002 Secretaria Mun. de Infraestrutura e Transportes/Diretoria de Infra Estrutura e Transporte</w:t>
      </w:r>
    </w:p>
    <w:p>
      <w:pPr>
        <w:pStyle w:val="Normal"/>
        <w:suppressAutoHyphens w:val="false"/>
        <w:rPr>
          <w:bCs/>
        </w:rPr>
      </w:pPr>
      <w:r>
        <w:rPr>
          <w:bCs/>
        </w:rPr>
        <w:t>Proj/ Ativ.: 2007 – Diretoria de Infraestrutura</w:t>
      </w:r>
    </w:p>
    <w:p>
      <w:pPr>
        <w:pStyle w:val="Normal"/>
        <w:suppressAutoHyphens w:val="false"/>
        <w:rPr>
          <w:bCs/>
        </w:rPr>
      </w:pPr>
      <w:r>
        <w:rPr>
          <w:bCs/>
        </w:rPr>
        <w:t>Elemento: 3.3.90.00.00.00.00.00 – Aplicações Diretas</w:t>
      </w:r>
    </w:p>
    <w:p>
      <w:pPr>
        <w:pStyle w:val="Normal"/>
        <w:suppressAutoHyphens w:val="false"/>
        <w:rPr>
          <w:bCs/>
        </w:rPr>
      </w:pPr>
      <w:r>
        <w:rPr>
          <w:b/>
        </w:rPr>
        <w:t xml:space="preserve">91 </w:t>
      </w:r>
      <w:r>
        <w:rPr>
          <w:bCs/>
        </w:rPr>
        <w:t xml:space="preserve"> 2.500.0000.0000 – Recursos Ordinários </w:t>
      </w:r>
    </w:p>
    <w:p>
      <w:pPr>
        <w:pStyle w:val="Normal"/>
        <w:suppressAutoHyphens w:val="false"/>
        <w:rPr>
          <w:bCs/>
        </w:rPr>
      </w:pPr>
      <w:r>
        <w:rPr>
          <w:bCs/>
        </w:rPr>
      </w:r>
    </w:p>
    <w:p>
      <w:pPr>
        <w:pStyle w:val="Normal"/>
        <w:suppressAutoHyphens w:val="false"/>
        <w:rPr>
          <w:bCs/>
        </w:rPr>
      </w:pPr>
      <w:r>
        <w:rPr>
          <w:bCs/>
        </w:rPr>
        <w:t>Órgão/Unidade: 07.002 Secretaria Municipal de Agricultura e Ambiente/Fundo Municipal de Desenvolvimento Rural</w:t>
      </w:r>
    </w:p>
    <w:p>
      <w:pPr>
        <w:pStyle w:val="Normal"/>
        <w:suppressAutoHyphens w:val="false"/>
        <w:rPr>
          <w:bCs/>
        </w:rPr>
      </w:pPr>
      <w:r>
        <w:rPr>
          <w:bCs/>
        </w:rPr>
        <w:t>Proj/ Ativ.: 2030 – Apoio Administrativo – FUNDERURAL</w:t>
      </w:r>
    </w:p>
    <w:p>
      <w:pPr>
        <w:pStyle w:val="Normal"/>
        <w:suppressAutoHyphens w:val="false"/>
        <w:rPr>
          <w:bCs/>
        </w:rPr>
      </w:pPr>
      <w:r>
        <w:rPr>
          <w:bCs/>
        </w:rPr>
        <w:t>Elemento: 3.3.90.00.00.00.00.00 – Aplicações Diretas</w:t>
      </w:r>
    </w:p>
    <w:p>
      <w:pPr>
        <w:pStyle w:val="Normal"/>
        <w:suppressAutoHyphens w:val="false"/>
        <w:rPr>
          <w:bCs/>
        </w:rPr>
      </w:pPr>
      <w:r>
        <w:rPr>
          <w:b/>
        </w:rPr>
        <w:t>105</w:t>
      </w:r>
      <w:r>
        <w:rPr>
          <w:bCs/>
        </w:rPr>
        <w:t xml:space="preserve">  2.500.0000.0000 – Recursos Ordinários</w:t>
      </w:r>
    </w:p>
    <w:p>
      <w:pPr>
        <w:pStyle w:val="Normal"/>
        <w:suppressAutoHyphens w:val="false"/>
        <w:rPr>
          <w:bCs/>
        </w:rPr>
      </w:pPr>
      <w:r>
        <w:rPr>
          <w:bCs/>
        </w:rPr>
      </w:r>
    </w:p>
    <w:p>
      <w:pPr>
        <w:pStyle w:val="Normal"/>
        <w:suppressAutoHyphens w:val="false"/>
        <w:rPr>
          <w:bCs/>
        </w:rPr>
      </w:pPr>
      <w:r>
        <w:rPr>
          <w:bCs/>
        </w:rPr>
        <w:t>Entidade: FUNDO MUNICIPAL DE SAÚDE DE LINDÓIA DO SUL</w:t>
      </w:r>
    </w:p>
    <w:p>
      <w:pPr>
        <w:pStyle w:val="Normal"/>
        <w:suppressAutoHyphens w:val="false"/>
        <w:rPr>
          <w:bCs/>
        </w:rPr>
      </w:pPr>
      <w:r>
        <w:rPr>
          <w:bCs/>
        </w:rPr>
        <w:t>Órgão/Unidade: 10.001 Fundo Municipal de Saúde Lindóia do Sul</w:t>
      </w:r>
    </w:p>
    <w:p>
      <w:pPr>
        <w:pStyle w:val="Normal"/>
        <w:suppressAutoHyphens w:val="false"/>
        <w:rPr>
          <w:bCs/>
        </w:rPr>
      </w:pPr>
      <w:r>
        <w:rPr>
          <w:bCs/>
        </w:rPr>
        <w:t>Proj/ Ativ.: 2028 – Manutenção das Atividades da Saúde Pública</w:t>
      </w:r>
    </w:p>
    <w:p>
      <w:pPr>
        <w:pStyle w:val="Normal"/>
        <w:suppressAutoHyphens w:val="false"/>
        <w:rPr>
          <w:bCs/>
        </w:rPr>
      </w:pPr>
      <w:r>
        <w:rPr>
          <w:bCs/>
        </w:rPr>
        <w:t>Elemento: 3.3.90.00.00.00.00.00 – Aplicações Diretas</w:t>
      </w:r>
    </w:p>
    <w:p>
      <w:pPr>
        <w:pStyle w:val="Normal"/>
        <w:suppressAutoHyphens w:val="false"/>
        <w:rPr>
          <w:bCs/>
        </w:rPr>
      </w:pPr>
      <w:r>
        <w:rPr>
          <w:b/>
        </w:rPr>
        <w:t xml:space="preserve">14 </w:t>
      </w:r>
      <w:r>
        <w:rPr>
          <w:bCs/>
        </w:rPr>
        <w:t xml:space="preserve"> 1.500.1002.0002 – Receita de Impostos e Transf. De Impostos – Saúde </w:t>
      </w:r>
    </w:p>
    <w:p>
      <w:pPr>
        <w:pStyle w:val="Normal"/>
        <w:tabs>
          <w:tab w:val="clear" w:pos="708"/>
          <w:tab w:val="left" w:pos="2340" w:leader="none"/>
          <w:tab w:val="left" w:pos="4464" w:leader="none"/>
        </w:tabs>
        <w:spacing w:lineRule="auto" w:line="360" w:before="142" w:after="142"/>
        <w:jc w:val="both"/>
        <w:rPr>
          <w:bCs/>
        </w:rPr>
      </w:pPr>
      <w:r>
        <w:rPr>
          <w:bCs/>
        </w:rPr>
      </w:r>
    </w:p>
    <w:p>
      <w:pPr>
        <w:pStyle w:val="Normal"/>
        <w:tabs>
          <w:tab w:val="clear" w:pos="708"/>
          <w:tab w:val="left" w:pos="2340" w:leader="none"/>
          <w:tab w:val="left" w:pos="4464" w:leader="none"/>
        </w:tabs>
        <w:spacing w:lineRule="auto" w:line="360" w:before="142" w:after="142"/>
        <w:ind w:firstLine="709"/>
        <w:jc w:val="both"/>
        <w:rPr>
          <w:bCs/>
        </w:rPr>
      </w:pPr>
      <w:bookmarkStart w:id="8" w:name="_Hlk181610844"/>
      <w:r>
        <w:rPr>
          <w:bCs/>
        </w:rPr>
        <w:t xml:space="preserve">As despesas decorrentes das aquisições, objeto do presente certame, correrão à conta de dotação específica dos orçamentos de cada Órgão Participante referente ao exercício de 2025, prevista na LDO e No projeto da LOA 2025, atualmente tramitando no legislativo. </w:t>
      </w:r>
      <w:bookmarkEnd w:id="8"/>
    </w:p>
    <w:p>
      <w:pPr>
        <w:pStyle w:val="Normal"/>
        <w:suppressAutoHyphens w:val="false"/>
        <w:rPr>
          <w:bCs/>
        </w:rPr>
      </w:pPr>
      <w:r>
        <w:rPr>
          <w:bCs/>
        </w:rPr>
        <w:t>Entidade: PREFEITURA MUNICIPAL DE LINDÓIA DO SUL</w:t>
      </w:r>
    </w:p>
    <w:p>
      <w:pPr>
        <w:pStyle w:val="Normal"/>
        <w:suppressAutoHyphens w:val="false"/>
        <w:rPr>
          <w:bCs/>
        </w:rPr>
      </w:pPr>
      <w:r>
        <w:rPr>
          <w:bCs/>
        </w:rPr>
        <w:t>Órgão/Unidade: 02.001 Gabinete do Prefeito e Vice</w:t>
      </w:r>
    </w:p>
    <w:p>
      <w:pPr>
        <w:pStyle w:val="Normal"/>
        <w:suppressAutoHyphens w:val="false"/>
        <w:rPr>
          <w:bCs/>
        </w:rPr>
      </w:pPr>
      <w:r>
        <w:rPr>
          <w:bCs/>
        </w:rPr>
        <w:t>Proj/ Ativ.: 2002 Manutenção do Gabinete do Prefeito e Vice</w:t>
      </w:r>
    </w:p>
    <w:p>
      <w:pPr>
        <w:pStyle w:val="Normal"/>
        <w:suppressAutoHyphens w:val="false"/>
        <w:rPr>
          <w:bCs/>
        </w:rPr>
      </w:pPr>
      <w:r>
        <w:rPr>
          <w:bCs/>
        </w:rPr>
        <w:t>Elemento: 3.3.90.00.00.00.00.00 - Aplicações Diretas</w:t>
      </w:r>
    </w:p>
    <w:p>
      <w:pPr>
        <w:pStyle w:val="Normal"/>
        <w:suppressAutoHyphens w:val="false"/>
        <w:rPr>
          <w:bCs/>
        </w:rPr>
      </w:pPr>
      <w:r>
        <w:rPr>
          <w:bCs/>
        </w:rPr>
        <w:t>Recurso: 1.500.0000.0104 – Recursos Ordinários</w:t>
      </w:r>
    </w:p>
    <w:p>
      <w:pPr>
        <w:pStyle w:val="Normal"/>
        <w:suppressAutoHyphens w:val="false"/>
        <w:rPr>
          <w:bCs/>
        </w:rPr>
      </w:pPr>
      <w:r>
        <w:rPr>
          <w:bCs/>
        </w:rPr>
      </w:r>
    </w:p>
    <w:p>
      <w:pPr>
        <w:pStyle w:val="Normal"/>
        <w:suppressAutoHyphens w:val="false"/>
        <w:rPr>
          <w:bCs/>
        </w:rPr>
      </w:pPr>
      <w:r>
        <w:rPr>
          <w:bCs/>
        </w:rPr>
        <w:t>Órgão/Unidade: 03.001 Secretaria Municipal de Administração e Finanças</w:t>
      </w:r>
    </w:p>
    <w:p>
      <w:pPr>
        <w:pStyle w:val="Normal"/>
        <w:suppressAutoHyphens w:val="false"/>
        <w:rPr>
          <w:bCs/>
        </w:rPr>
      </w:pPr>
      <w:r>
        <w:rPr>
          <w:bCs/>
        </w:rPr>
        <w:t>Proj/ Ativ.: 2003 – Manutenção da Secretaria de Administra e Finanças</w:t>
      </w:r>
    </w:p>
    <w:p>
      <w:pPr>
        <w:pStyle w:val="Normal"/>
        <w:suppressAutoHyphens w:val="false"/>
        <w:rPr>
          <w:bCs/>
        </w:rPr>
      </w:pPr>
      <w:r>
        <w:rPr>
          <w:bCs/>
        </w:rPr>
        <w:t>Elemento: 3.3.90.00.00.00.00.00 - Aplicações Diretas</w:t>
      </w:r>
    </w:p>
    <w:p>
      <w:pPr>
        <w:pStyle w:val="Normal"/>
        <w:suppressAutoHyphens w:val="false"/>
        <w:rPr>
          <w:bCs/>
        </w:rPr>
      </w:pPr>
      <w:r>
        <w:rPr>
          <w:bCs/>
        </w:rPr>
        <w:t>Recurso: 1.500.0000.0104 – Recursos Ordinários</w:t>
      </w:r>
    </w:p>
    <w:p>
      <w:pPr>
        <w:pStyle w:val="Normal"/>
        <w:suppressAutoHyphens w:val="false"/>
        <w:rPr>
          <w:bCs/>
        </w:rPr>
      </w:pPr>
      <w:r>
        <w:rPr>
          <w:bCs/>
        </w:rPr>
      </w:r>
    </w:p>
    <w:p>
      <w:pPr>
        <w:pStyle w:val="Normal"/>
        <w:suppressAutoHyphens w:val="false"/>
        <w:rPr>
          <w:bCs/>
        </w:rPr>
      </w:pPr>
      <w:r>
        <w:rPr>
          <w:bCs/>
        </w:rPr>
        <w:t>Órgão/Unidade: 04.001 Secretaria Municipal de Educação Cultura e Turismo/Diretoria de   Educação</w:t>
      </w:r>
    </w:p>
    <w:p>
      <w:pPr>
        <w:pStyle w:val="Normal"/>
        <w:suppressAutoHyphens w:val="false"/>
        <w:rPr>
          <w:bCs/>
        </w:rPr>
      </w:pPr>
      <w:r>
        <w:rPr>
          <w:bCs/>
        </w:rPr>
        <w:t>Proj/ Ativ.: 2010 – Educação Infantil – Pré-Escolar</w:t>
      </w:r>
    </w:p>
    <w:p>
      <w:pPr>
        <w:pStyle w:val="Normal"/>
        <w:suppressAutoHyphens w:val="false"/>
        <w:rPr>
          <w:bCs/>
        </w:rPr>
      </w:pPr>
      <w:r>
        <w:rPr>
          <w:bCs/>
        </w:rPr>
        <w:t>Elemento: 3.3.90.00.00.00.00.00 – Aplicações Diretas</w:t>
      </w:r>
    </w:p>
    <w:p>
      <w:pPr>
        <w:pStyle w:val="Normal"/>
        <w:suppressAutoHyphens w:val="false"/>
        <w:rPr>
          <w:bCs/>
        </w:rPr>
      </w:pPr>
      <w:r>
        <w:rPr>
          <w:bCs/>
        </w:rPr>
        <w:t xml:space="preserve">Recurso: 1.500.1001.0001 – MDE – Educação </w:t>
      </w:r>
    </w:p>
    <w:p>
      <w:pPr>
        <w:pStyle w:val="Normal"/>
        <w:suppressAutoHyphens w:val="false"/>
        <w:rPr>
          <w:bCs/>
        </w:rPr>
      </w:pPr>
      <w:r>
        <w:rPr>
          <w:bCs/>
        </w:rPr>
        <w:t>Proj/ Ativ.: 2.014 Manutenção do Ensino Fundamental</w:t>
      </w:r>
    </w:p>
    <w:p>
      <w:pPr>
        <w:pStyle w:val="Normal"/>
        <w:suppressAutoHyphens w:val="false"/>
        <w:rPr>
          <w:bCs/>
        </w:rPr>
      </w:pPr>
      <w:r>
        <w:rPr>
          <w:bCs/>
        </w:rPr>
        <w:t>Elemento: 3.3.90.00.00.00.00.00 – Aplicações Diretas</w:t>
      </w:r>
    </w:p>
    <w:p>
      <w:pPr>
        <w:pStyle w:val="Normal"/>
        <w:suppressAutoHyphens w:val="false"/>
        <w:rPr>
          <w:bCs/>
        </w:rPr>
      </w:pPr>
      <w:r>
        <w:rPr>
          <w:bCs/>
        </w:rPr>
        <w:t xml:space="preserve">Recurso: 1.500.1001.0001 – MDE – Educação </w:t>
      </w:r>
    </w:p>
    <w:p>
      <w:pPr>
        <w:pStyle w:val="Normal"/>
        <w:suppressAutoHyphens w:val="false"/>
        <w:rPr>
          <w:bCs/>
        </w:rPr>
      </w:pPr>
      <w:r>
        <w:rPr>
          <w:bCs/>
        </w:rPr>
        <w:t xml:space="preserve">Proj/ Ativ.: 2.015 - Manutenção e apoio ensino médio e profissionalizante </w:t>
      </w:r>
    </w:p>
    <w:p>
      <w:pPr>
        <w:pStyle w:val="Normal"/>
        <w:suppressAutoHyphens w:val="false"/>
        <w:rPr>
          <w:bCs/>
        </w:rPr>
      </w:pPr>
      <w:r>
        <w:rPr>
          <w:bCs/>
        </w:rPr>
        <w:t>Elemento: 3.3.90.00.00.00.00.00 – Aplicações Diretas</w:t>
      </w:r>
    </w:p>
    <w:p>
      <w:pPr>
        <w:pStyle w:val="Normal"/>
        <w:suppressAutoHyphens w:val="false"/>
        <w:rPr>
          <w:bCs/>
        </w:rPr>
      </w:pPr>
      <w:r>
        <w:rPr>
          <w:bCs/>
        </w:rPr>
        <w:t>Recurso: 1.500.0000.0104 - Recursos Ordinários</w:t>
      </w:r>
    </w:p>
    <w:p>
      <w:pPr>
        <w:pStyle w:val="Normal"/>
        <w:suppressAutoHyphens w:val="false"/>
        <w:rPr>
          <w:bCs/>
        </w:rPr>
      </w:pPr>
      <w:r>
        <w:rPr>
          <w:bCs/>
        </w:rPr>
      </w:r>
    </w:p>
    <w:p>
      <w:pPr>
        <w:pStyle w:val="Normal"/>
        <w:suppressAutoHyphens w:val="false"/>
        <w:rPr>
          <w:bCs/>
        </w:rPr>
      </w:pPr>
      <w:r>
        <w:rPr>
          <w:bCs/>
        </w:rPr>
        <w:t>Órgão/Unidade: 15.001 DIRETORIA DE ESPORTES</w:t>
      </w:r>
    </w:p>
    <w:p>
      <w:pPr>
        <w:pStyle w:val="Normal"/>
        <w:suppressAutoHyphens w:val="false"/>
        <w:rPr>
          <w:bCs/>
        </w:rPr>
      </w:pPr>
      <w:r>
        <w:rPr>
          <w:bCs/>
        </w:rPr>
        <w:t>Proj/ Ativ.: 2019 – Manutenção das Atividades Esportivas e Recreativas</w:t>
      </w:r>
    </w:p>
    <w:p>
      <w:pPr>
        <w:pStyle w:val="Normal"/>
        <w:suppressAutoHyphens w:val="false"/>
        <w:rPr>
          <w:bCs/>
        </w:rPr>
      </w:pPr>
      <w:r>
        <w:rPr>
          <w:bCs/>
        </w:rPr>
        <w:t>Elemento: 3.3.90.00.00.00.00.00 – Aplicações Diretas</w:t>
      </w:r>
    </w:p>
    <w:p>
      <w:pPr>
        <w:pStyle w:val="Normal"/>
        <w:suppressAutoHyphens w:val="false"/>
        <w:rPr>
          <w:bCs/>
        </w:rPr>
      </w:pPr>
      <w:r>
        <w:rPr>
          <w:bCs/>
        </w:rPr>
        <w:t xml:space="preserve">Recurso: 1.500.0000.0104 – Recursos Ordinários </w:t>
      </w:r>
    </w:p>
    <w:p>
      <w:pPr>
        <w:pStyle w:val="Normal"/>
        <w:suppressAutoHyphens w:val="false"/>
        <w:rPr>
          <w:bCs/>
        </w:rPr>
      </w:pPr>
      <w:r>
        <w:rPr>
          <w:bCs/>
        </w:rPr>
      </w:r>
    </w:p>
    <w:p>
      <w:pPr>
        <w:pStyle w:val="Normal"/>
        <w:suppressAutoHyphens w:val="false"/>
        <w:rPr>
          <w:bCs/>
        </w:rPr>
      </w:pPr>
      <w:r>
        <w:rPr>
          <w:bCs/>
        </w:rPr>
        <w:t>Órgão/Unidade: 05.001 Secretaria Mun. de Assistência Social e Habitação/Diretoria de Ação Social</w:t>
      </w:r>
    </w:p>
    <w:p>
      <w:pPr>
        <w:pStyle w:val="Normal"/>
        <w:suppressAutoHyphens w:val="false"/>
        <w:rPr>
          <w:bCs/>
        </w:rPr>
      </w:pPr>
      <w:r>
        <w:rPr>
          <w:bCs/>
        </w:rPr>
        <w:t>Proj/ Ativ.: 2021 – Apoio Administrativo – FMAS</w:t>
      </w:r>
    </w:p>
    <w:p>
      <w:pPr>
        <w:pStyle w:val="Normal"/>
        <w:suppressAutoHyphens w:val="false"/>
        <w:rPr>
          <w:bCs/>
        </w:rPr>
      </w:pPr>
      <w:r>
        <w:rPr>
          <w:bCs/>
        </w:rPr>
        <w:t>Elemento: 3.3.90.00.00.00.00.00 – Aplicações Diretas</w:t>
      </w:r>
    </w:p>
    <w:p>
      <w:pPr>
        <w:pStyle w:val="Normal"/>
        <w:suppressAutoHyphens w:val="false"/>
        <w:rPr>
          <w:bCs/>
        </w:rPr>
      </w:pPr>
      <w:r>
        <w:rPr>
          <w:bCs/>
        </w:rPr>
        <w:t xml:space="preserve">Recurso: 1.500.0000.0104 – Recursos Ordinários </w:t>
      </w:r>
    </w:p>
    <w:p>
      <w:pPr>
        <w:pStyle w:val="Normal"/>
        <w:suppressAutoHyphens w:val="false"/>
        <w:rPr>
          <w:bCs/>
        </w:rPr>
      </w:pPr>
      <w:r>
        <w:rPr>
          <w:bCs/>
        </w:rPr>
      </w:r>
    </w:p>
    <w:p>
      <w:pPr>
        <w:pStyle w:val="Normal"/>
        <w:suppressAutoHyphens w:val="false"/>
        <w:rPr>
          <w:bCs/>
        </w:rPr>
      </w:pPr>
      <w:r>
        <w:rPr>
          <w:bCs/>
        </w:rPr>
        <w:t>Órgão/Unidade: 05.002 Secretaria Mun. de Assistência Social e Habitação/Fundo Municipal de Assistência Social</w:t>
      </w:r>
    </w:p>
    <w:p>
      <w:pPr>
        <w:pStyle w:val="Normal"/>
        <w:suppressAutoHyphens w:val="false"/>
        <w:rPr>
          <w:bCs/>
        </w:rPr>
      </w:pPr>
      <w:r>
        <w:rPr>
          <w:bCs/>
        </w:rPr>
        <w:t>Proj/ Ativ.: 2024 – Manutenção da Oferta da Proteção Social Básica</w:t>
      </w:r>
    </w:p>
    <w:p>
      <w:pPr>
        <w:pStyle w:val="Normal"/>
        <w:suppressAutoHyphens w:val="false"/>
        <w:rPr>
          <w:bCs/>
        </w:rPr>
      </w:pPr>
      <w:r>
        <w:rPr>
          <w:bCs/>
        </w:rPr>
        <w:t>Elemento: 3.3.90.00.00.00.00.00 – Aplicações Diretas</w:t>
      </w:r>
    </w:p>
    <w:p>
      <w:pPr>
        <w:pStyle w:val="Normal"/>
        <w:suppressAutoHyphens w:val="false"/>
        <w:rPr>
          <w:bCs/>
        </w:rPr>
      </w:pPr>
      <w:r>
        <w:rPr>
          <w:bCs/>
        </w:rPr>
        <w:t xml:space="preserve">Recurso: 1.500.0000.0104 – Recursos Ordinários </w:t>
      </w:r>
    </w:p>
    <w:p>
      <w:pPr>
        <w:pStyle w:val="Normal"/>
        <w:suppressAutoHyphens w:val="false"/>
        <w:rPr>
          <w:bCs/>
        </w:rPr>
      </w:pPr>
      <w:r>
        <w:rPr>
          <w:bCs/>
        </w:rPr>
        <w:t xml:space="preserve">Recurso: 2.660.0000.0241 - Transf. do Suas-Sigtv/custeio-portaria 886/23 </w:t>
      </w:r>
    </w:p>
    <w:p>
      <w:pPr>
        <w:pStyle w:val="Normal"/>
        <w:suppressAutoHyphens w:val="false"/>
        <w:rPr>
          <w:bCs/>
        </w:rPr>
      </w:pPr>
      <w:r>
        <w:rPr>
          <w:bCs/>
        </w:rPr>
      </w:r>
    </w:p>
    <w:p>
      <w:pPr>
        <w:pStyle w:val="Normal"/>
        <w:suppressAutoHyphens w:val="false"/>
        <w:rPr>
          <w:bCs/>
        </w:rPr>
      </w:pPr>
      <w:r>
        <w:rPr>
          <w:bCs/>
        </w:rPr>
        <w:t>Órgão/Unidade: 06.001 Secretaria Mun. de Infraestrutura e Transportes/Diretoria de Urbanismo</w:t>
      </w:r>
    </w:p>
    <w:p>
      <w:pPr>
        <w:pStyle w:val="Normal"/>
        <w:suppressAutoHyphens w:val="false"/>
        <w:rPr>
          <w:bCs/>
        </w:rPr>
      </w:pPr>
      <w:r>
        <w:rPr>
          <w:bCs/>
        </w:rPr>
        <w:t>Proj/ Ativ.: 2006 – Diretoria de Urbanismo</w:t>
      </w:r>
    </w:p>
    <w:p>
      <w:pPr>
        <w:pStyle w:val="Normal"/>
        <w:suppressAutoHyphens w:val="false"/>
        <w:rPr>
          <w:bCs/>
        </w:rPr>
      </w:pPr>
      <w:r>
        <w:rPr>
          <w:bCs/>
        </w:rPr>
        <w:t>Elemento: 3.3.90.00.00.00.00.00 – Aplicações Diretas</w:t>
      </w:r>
    </w:p>
    <w:p>
      <w:pPr>
        <w:pStyle w:val="Normal"/>
        <w:suppressAutoHyphens w:val="false"/>
        <w:rPr>
          <w:bCs/>
        </w:rPr>
      </w:pPr>
      <w:r>
        <w:rPr>
          <w:bCs/>
        </w:rPr>
        <w:t xml:space="preserve">Recurso: 1.500.0000.0104 – Recursos Ordinários </w:t>
      </w:r>
    </w:p>
    <w:p>
      <w:pPr>
        <w:pStyle w:val="Normal"/>
        <w:suppressAutoHyphens w:val="false"/>
        <w:rPr>
          <w:bCs/>
        </w:rPr>
      </w:pPr>
      <w:r>
        <w:rPr>
          <w:bCs/>
        </w:rPr>
      </w:r>
    </w:p>
    <w:p>
      <w:pPr>
        <w:pStyle w:val="Normal"/>
        <w:suppressAutoHyphens w:val="false"/>
        <w:rPr>
          <w:bCs/>
        </w:rPr>
      </w:pPr>
      <w:r>
        <w:rPr>
          <w:bCs/>
        </w:rPr>
        <w:t>Órgão/Unidade: 06.002 Secretaria Mun. de Infraestrutura e Transportes/Diretoria de Infra Estrutura e Transporte</w:t>
      </w:r>
    </w:p>
    <w:p>
      <w:pPr>
        <w:pStyle w:val="Normal"/>
        <w:suppressAutoHyphens w:val="false"/>
        <w:rPr>
          <w:bCs/>
        </w:rPr>
      </w:pPr>
      <w:r>
        <w:rPr>
          <w:bCs/>
        </w:rPr>
        <w:t>Proj/ Ativ.: 2007 – Diretoria de Infraestrutura</w:t>
      </w:r>
    </w:p>
    <w:p>
      <w:pPr>
        <w:pStyle w:val="Normal"/>
        <w:suppressAutoHyphens w:val="false"/>
        <w:rPr>
          <w:bCs/>
        </w:rPr>
      </w:pPr>
      <w:r>
        <w:rPr>
          <w:bCs/>
        </w:rPr>
        <w:t>Elemento: 3.3.90.00.00.00.00.00 – Aplicações Diretas</w:t>
      </w:r>
    </w:p>
    <w:p>
      <w:pPr>
        <w:pStyle w:val="Normal"/>
        <w:suppressAutoHyphens w:val="false"/>
        <w:rPr>
          <w:bCs/>
        </w:rPr>
      </w:pPr>
      <w:r>
        <w:rPr>
          <w:bCs/>
        </w:rPr>
        <w:t xml:space="preserve">Recurso: 1.500.0000.0104 – Recursos Ordinários </w:t>
      </w:r>
    </w:p>
    <w:p>
      <w:pPr>
        <w:pStyle w:val="Normal"/>
        <w:suppressAutoHyphens w:val="false"/>
        <w:rPr>
          <w:bCs/>
        </w:rPr>
      </w:pPr>
      <w:r>
        <w:rPr>
          <w:bCs/>
        </w:rPr>
        <w:t xml:space="preserve">Recurso: 1.704.0000.0044 – Fundo Especial do Petróleo </w:t>
      </w:r>
    </w:p>
    <w:p>
      <w:pPr>
        <w:pStyle w:val="Normal"/>
        <w:suppressAutoHyphens w:val="false"/>
        <w:rPr>
          <w:bCs/>
        </w:rPr>
      </w:pPr>
      <w:r>
        <w:rPr>
          <w:bCs/>
        </w:rPr>
      </w:r>
    </w:p>
    <w:p>
      <w:pPr>
        <w:pStyle w:val="Normal"/>
        <w:suppressAutoHyphens w:val="false"/>
        <w:rPr>
          <w:bCs/>
        </w:rPr>
      </w:pPr>
      <w:r>
        <w:rPr>
          <w:bCs/>
        </w:rPr>
        <w:t>Órgão/Unidade: 07.002 Secretaria Municipal de Agricultura e Ambiente/Fundo Municipal de Desenvolvimento Rural</w:t>
      </w:r>
    </w:p>
    <w:p>
      <w:pPr>
        <w:pStyle w:val="Normal"/>
        <w:suppressAutoHyphens w:val="false"/>
        <w:rPr>
          <w:bCs/>
        </w:rPr>
      </w:pPr>
      <w:r>
        <w:rPr>
          <w:bCs/>
        </w:rPr>
        <w:t>Proj/ Ativ.: 2030 – Apoio Administrativo – FUNDERURAL</w:t>
      </w:r>
    </w:p>
    <w:p>
      <w:pPr>
        <w:pStyle w:val="Normal"/>
        <w:suppressAutoHyphens w:val="false"/>
        <w:rPr>
          <w:bCs/>
        </w:rPr>
      </w:pPr>
      <w:r>
        <w:rPr>
          <w:bCs/>
        </w:rPr>
        <w:t>Elemento: 3.3.90.00.00.00.00.00 – Aplicações Diretas</w:t>
      </w:r>
    </w:p>
    <w:p>
      <w:pPr>
        <w:pStyle w:val="Normal"/>
        <w:suppressAutoHyphens w:val="false"/>
        <w:rPr>
          <w:bCs/>
        </w:rPr>
      </w:pPr>
      <w:r>
        <w:rPr>
          <w:bCs/>
        </w:rPr>
        <w:t>Recurso: 1.500.0000.0104 – Recursos Ordinários</w:t>
      </w:r>
    </w:p>
    <w:p>
      <w:pPr>
        <w:pStyle w:val="Normal"/>
        <w:suppressAutoHyphens w:val="false"/>
        <w:rPr>
          <w:bCs/>
        </w:rPr>
      </w:pPr>
      <w:r>
        <w:rPr>
          <w:bCs/>
        </w:rPr>
      </w:r>
    </w:p>
    <w:p>
      <w:pPr>
        <w:pStyle w:val="Normal"/>
        <w:suppressAutoHyphens w:val="false"/>
        <w:rPr>
          <w:bCs/>
        </w:rPr>
      </w:pPr>
      <w:r>
        <w:rPr>
          <w:bCs/>
        </w:rPr>
        <w:t>Órgão/Unidade: 80.001 Serviços de Utilidade Pública/Serviços de Utilidade Pública</w:t>
      </w:r>
    </w:p>
    <w:p>
      <w:pPr>
        <w:pStyle w:val="Normal"/>
        <w:suppressAutoHyphens w:val="false"/>
        <w:rPr>
          <w:bCs/>
        </w:rPr>
      </w:pPr>
      <w:r>
        <w:rPr>
          <w:bCs/>
        </w:rPr>
        <w:t>Proj/ Ativ.: 2043 – Manutenção do CMDCA e do Conselheiros Tutelares</w:t>
      </w:r>
    </w:p>
    <w:p>
      <w:pPr>
        <w:pStyle w:val="Normal"/>
        <w:suppressAutoHyphens w:val="false"/>
        <w:rPr>
          <w:bCs/>
        </w:rPr>
      </w:pPr>
      <w:r>
        <w:rPr>
          <w:bCs/>
        </w:rPr>
        <w:t>Elemento: 3.3.90.00.00.00.00.00 – Aplicações Diretas</w:t>
      </w:r>
    </w:p>
    <w:p>
      <w:pPr>
        <w:pStyle w:val="Normal"/>
        <w:suppressAutoHyphens w:val="false"/>
        <w:rPr>
          <w:bCs/>
        </w:rPr>
      </w:pPr>
      <w:r>
        <w:rPr>
          <w:bCs/>
        </w:rPr>
        <w:t>Recurso: 1.500.0000.0104 – Recursos Ordinários</w:t>
      </w:r>
    </w:p>
    <w:p>
      <w:pPr>
        <w:pStyle w:val="Normal"/>
        <w:suppressAutoHyphens w:val="false"/>
        <w:rPr>
          <w:bCs/>
        </w:rPr>
      </w:pPr>
      <w:r>
        <w:rPr>
          <w:bCs/>
        </w:rPr>
        <w:t>Proj/ Ativ.: 2044 – Segurança Pública</w:t>
      </w:r>
    </w:p>
    <w:p>
      <w:pPr>
        <w:pStyle w:val="Normal"/>
        <w:suppressAutoHyphens w:val="false"/>
        <w:rPr>
          <w:bCs/>
        </w:rPr>
      </w:pPr>
      <w:r>
        <w:rPr>
          <w:bCs/>
        </w:rPr>
        <w:t>Elemento: 3.3.90.00.00.00.00.00 – Aplicações Diretas</w:t>
      </w:r>
    </w:p>
    <w:p>
      <w:pPr>
        <w:pStyle w:val="Normal"/>
        <w:suppressAutoHyphens w:val="false"/>
        <w:rPr>
          <w:bCs/>
        </w:rPr>
      </w:pPr>
      <w:r>
        <w:rPr>
          <w:bCs/>
        </w:rPr>
        <w:t xml:space="preserve">Recurso: 1.500.0000.0655 – Convênio Rádio Patrulha </w:t>
      </w:r>
    </w:p>
    <w:p>
      <w:pPr>
        <w:pStyle w:val="Normal"/>
        <w:suppressAutoHyphens w:val="false"/>
        <w:rPr>
          <w:bCs/>
        </w:rPr>
      </w:pPr>
      <w:r>
        <w:rPr>
          <w:bCs/>
        </w:rPr>
        <w:t>Elemento: 3.3.90.00.00.00.00.00 – Aplicações Diretas</w:t>
      </w:r>
    </w:p>
    <w:p>
      <w:pPr>
        <w:pStyle w:val="Normal"/>
        <w:suppressAutoHyphens w:val="false"/>
        <w:rPr>
          <w:bCs/>
        </w:rPr>
      </w:pPr>
      <w:r>
        <w:rPr>
          <w:bCs/>
        </w:rPr>
        <w:t>Recurso: 1.752.7004.0054 – Convênio de Trânsito – Militar</w:t>
      </w:r>
    </w:p>
    <w:p>
      <w:pPr>
        <w:pStyle w:val="Normal"/>
        <w:suppressAutoHyphens w:val="false"/>
        <w:rPr>
          <w:bCs/>
        </w:rPr>
      </w:pPr>
      <w:r>
        <w:rPr>
          <w:bCs/>
        </w:rPr>
        <w:t>Elemento: 3.3.90.00.00.00.00.00 – Aplicações Diretas</w:t>
      </w:r>
    </w:p>
    <w:p>
      <w:pPr>
        <w:pStyle w:val="Normal"/>
        <w:suppressAutoHyphens w:val="false"/>
        <w:rPr>
          <w:bCs/>
        </w:rPr>
      </w:pPr>
      <w:r>
        <w:rPr>
          <w:bCs/>
        </w:rPr>
        <w:t>Recurso: 1.752.7005.0055 – Convênio de Trânsito – Civil</w:t>
      </w:r>
    </w:p>
    <w:p>
      <w:pPr>
        <w:pStyle w:val="Normal"/>
        <w:suppressAutoHyphens w:val="false"/>
        <w:rPr>
          <w:bCs/>
        </w:rPr>
      </w:pPr>
      <w:r>
        <w:rPr>
          <w:bCs/>
        </w:rPr>
      </w:r>
    </w:p>
    <w:p>
      <w:pPr>
        <w:pStyle w:val="Normal"/>
        <w:suppressAutoHyphens w:val="false"/>
        <w:rPr>
          <w:bCs/>
        </w:rPr>
      </w:pPr>
      <w:r>
        <w:rPr>
          <w:bCs/>
        </w:rPr>
        <w:t>Entidade: FUNDO MUNICIPAL DE SAÚDE DE LINDÓIA DO SUL</w:t>
      </w:r>
    </w:p>
    <w:p>
      <w:pPr>
        <w:pStyle w:val="Normal"/>
        <w:suppressAutoHyphens w:val="false"/>
        <w:rPr>
          <w:bCs/>
        </w:rPr>
      </w:pPr>
      <w:r>
        <w:rPr>
          <w:bCs/>
        </w:rPr>
        <w:t>Órgão/Unidade: 10.001 Fundo Municipal de Saúde Lindóia do Sul</w:t>
      </w:r>
    </w:p>
    <w:p>
      <w:pPr>
        <w:pStyle w:val="Normal"/>
        <w:suppressAutoHyphens w:val="false"/>
        <w:rPr>
          <w:bCs/>
        </w:rPr>
      </w:pPr>
      <w:r>
        <w:rPr>
          <w:bCs/>
        </w:rPr>
        <w:t>Proj/ Ativ.: 2028 – Manutenção das Atividades da Saúde Pública</w:t>
      </w:r>
    </w:p>
    <w:p>
      <w:pPr>
        <w:pStyle w:val="Normal"/>
        <w:suppressAutoHyphens w:val="false"/>
        <w:rPr>
          <w:bCs/>
        </w:rPr>
      </w:pPr>
      <w:r>
        <w:rPr>
          <w:bCs/>
        </w:rPr>
        <w:t>Elemento: 3.3.90.00.00.00.00.00 – Aplicações Diretas</w:t>
      </w:r>
    </w:p>
    <w:p>
      <w:pPr>
        <w:pStyle w:val="Normal"/>
        <w:suppressAutoHyphens w:val="false"/>
        <w:rPr>
          <w:bCs/>
        </w:rPr>
      </w:pPr>
      <w:r>
        <w:rPr>
          <w:bCs/>
        </w:rPr>
        <w:t xml:space="preserve">Recurso: 1.500.1002.0002 – Receita de Impostos e Transf. De Impostos – Saúde </w:t>
      </w:r>
    </w:p>
    <w:p>
      <w:pPr>
        <w:pStyle w:val="Normal"/>
        <w:suppressAutoHyphens w:val="false"/>
        <w:rPr>
          <w:bCs/>
        </w:rPr>
      </w:pPr>
      <w:r>
        <w:rPr>
          <w:bCs/>
        </w:rPr>
      </w:r>
    </w:p>
    <w:p>
      <w:pPr>
        <w:pStyle w:val="Normal"/>
        <w:suppressAutoHyphens w:val="false"/>
        <w:rPr>
          <w:bCs/>
        </w:rPr>
      </w:pPr>
      <w:r>
        <w:rPr>
          <w:bCs/>
        </w:rPr>
        <w:t>Proj/ Ativ.: 2025 Operacionalização das Estratégias Saúde da Família - ESF</w:t>
      </w:r>
    </w:p>
    <w:p>
      <w:pPr>
        <w:pStyle w:val="Normal"/>
        <w:suppressAutoHyphens w:val="false"/>
        <w:rPr>
          <w:bCs/>
        </w:rPr>
      </w:pPr>
      <w:r>
        <w:rPr>
          <w:bCs/>
        </w:rPr>
        <w:t>Elemento: 3.3.90.00.00.00.00.00 – Aplicações Diretas</w:t>
      </w:r>
    </w:p>
    <w:p>
      <w:pPr>
        <w:pStyle w:val="Normal"/>
        <w:suppressAutoHyphens w:val="false"/>
        <w:rPr>
          <w:bCs/>
        </w:rPr>
      </w:pPr>
      <w:r>
        <w:rPr>
          <w:bCs/>
        </w:rPr>
        <w:t xml:space="preserve">Recurso: 1.500.1002.0002 – Receita de Impostos e Transf. De Impostos – Saúde </w:t>
      </w:r>
    </w:p>
    <w:p>
      <w:pPr>
        <w:pStyle w:val="Normal"/>
        <w:suppressAutoHyphens w:val="false"/>
        <w:rPr>
          <w:bCs/>
        </w:rPr>
      </w:pPr>
      <w:r>
        <w:rPr>
          <w:bCs/>
        </w:rPr>
        <w:t>Elemento: 3.3.90.00.00.00.00.00 – Aplicações Diretas</w:t>
      </w:r>
    </w:p>
    <w:p>
      <w:pPr>
        <w:pStyle w:val="Normal"/>
        <w:suppressAutoHyphens w:val="false"/>
        <w:rPr>
          <w:bCs/>
        </w:rPr>
      </w:pPr>
      <w:r>
        <w:rPr>
          <w:bCs/>
        </w:rPr>
        <w:t xml:space="preserve">Recurso: 1.600.0000.0332 – Serviços Pub.Saúde/CUSTEIO </w:t>
      </w:r>
    </w:p>
    <w:p>
      <w:pPr>
        <w:pStyle w:val="Normal"/>
        <w:suppressAutoHyphens w:val="false"/>
        <w:rPr>
          <w:bCs/>
        </w:rPr>
      </w:pPr>
      <w:r>
        <w:rPr>
          <w:bCs/>
        </w:rPr>
      </w:r>
    </w:p>
    <w:p>
      <w:pPr>
        <w:pStyle w:val="Normal"/>
        <w:suppressAutoHyphens w:val="false"/>
        <w:rPr>
          <w:bCs/>
        </w:rPr>
      </w:pPr>
      <w:r>
        <w:rPr>
          <w:bCs/>
        </w:rPr>
        <w:t>Proj/ Ativ.: 2039 – Serviços de Vigilância Sanitária em Saúde</w:t>
      </w:r>
    </w:p>
    <w:p>
      <w:pPr>
        <w:pStyle w:val="Normal"/>
        <w:suppressAutoHyphens w:val="false"/>
        <w:rPr>
          <w:bCs/>
        </w:rPr>
      </w:pPr>
      <w:r>
        <w:rPr>
          <w:bCs/>
        </w:rPr>
        <w:t>Elemento: 3.3.90.00.00.00.00.00 – Aplicações Diretas</w:t>
      </w:r>
    </w:p>
    <w:p>
      <w:pPr>
        <w:pStyle w:val="Normal"/>
        <w:suppressAutoHyphens w:val="false"/>
        <w:rPr>
          <w:bCs/>
        </w:rPr>
      </w:pPr>
      <w:r>
        <w:rPr>
          <w:bCs/>
        </w:rPr>
        <w:t>Recurso: 1.500.1002.0002 – Receita de Impostos e Transf. De Impostos – Saúde</w:t>
      </w:r>
    </w:p>
    <w:p>
      <w:pPr>
        <w:pStyle w:val="Normal"/>
        <w:suppressAutoHyphens w:val="false"/>
        <w:rPr>
          <w:bCs/>
        </w:rPr>
      </w:pPr>
      <w:r>
        <w:rPr>
          <w:bCs/>
        </w:rPr>
        <w:t>Elemento: 3.3.90.00.00.00.00.00 – Aplicações Diretas</w:t>
      </w:r>
    </w:p>
    <w:p>
      <w:pPr>
        <w:pStyle w:val="Normal"/>
        <w:suppressAutoHyphens w:val="false"/>
        <w:rPr>
          <w:rFonts w:eastAsia="Times New Roman"/>
          <w:b/>
          <w:b/>
          <w:bCs/>
          <w:color w:val="000000"/>
          <w:kern w:val="0"/>
          <w:highlight w:val="yellow"/>
          <w:lang w:eastAsia="pt-BR"/>
        </w:rPr>
      </w:pPr>
      <w:r>
        <w:rPr>
          <w:bCs/>
        </w:rPr>
        <w:t>Recurso: 1.600.0000.0332 – Serviços Pub.Saúde/CUSTEIO</w:t>
      </w:r>
    </w:p>
    <w:p>
      <w:pPr>
        <w:pStyle w:val="Normal"/>
        <w:suppressAutoHyphens w:val="false"/>
        <w:rPr>
          <w:rFonts w:eastAsia="Times New Roman"/>
          <w:color w:val="000000"/>
          <w:kern w:val="0"/>
          <w:lang w:eastAsia="pt-BR"/>
        </w:rPr>
      </w:pPr>
      <w:r>
        <w:rPr>
          <w:rFonts w:eastAsia="Times New Roman"/>
          <w:color w:val="000000"/>
          <w:kern w:val="0"/>
          <w:lang w:eastAsia="pt-BR"/>
        </w:rPr>
      </w:r>
    </w:p>
    <w:p>
      <w:pPr>
        <w:pStyle w:val="Normal"/>
        <w:suppressAutoHyphens w:val="false"/>
        <w:rPr>
          <w:rFonts w:eastAsia="Times New Roman"/>
          <w:color w:val="000000"/>
          <w:kern w:val="0"/>
          <w:lang w:eastAsia="pt-BR"/>
        </w:rPr>
      </w:pPr>
      <w:r>
        <w:rPr>
          <w:rFonts w:eastAsia="Times New Roman"/>
          <w:color w:val="000000"/>
          <w:kern w:val="0"/>
          <w:lang w:eastAsia="pt-BR"/>
        </w:rPr>
        <w:t>Para o(s) exercício(s) seguinte(s), serão utilizadas as dotações que estiverem vigentes na data das contratações.</w:t>
      </w:r>
    </w:p>
    <w:p>
      <w:pPr>
        <w:pStyle w:val="Normal"/>
        <w:suppressAutoHyphens w:val="false"/>
        <w:rPr>
          <w:rFonts w:eastAsia="Times New Roman"/>
          <w:color w:val="000000"/>
          <w:kern w:val="0"/>
          <w:highlight w:val="yellow"/>
          <w:lang w:eastAsia="pt-BR"/>
        </w:rPr>
      </w:pPr>
      <w:r>
        <w:rPr>
          <w:rFonts w:eastAsia="Times New Roman"/>
          <w:color w:val="000000"/>
          <w:kern w:val="0"/>
          <w:highlight w:val="yellow"/>
          <w:lang w:eastAsia="pt-BR"/>
        </w:rPr>
      </w:r>
    </w:p>
    <w:p>
      <w:pPr>
        <w:pStyle w:val="ListParagraph"/>
        <w:numPr>
          <w:ilvl w:val="0"/>
          <w:numId w:val="3"/>
        </w:numPr>
        <w:spacing w:lineRule="auto" w:line="360" w:before="142" w:after="142"/>
        <w:contextualSpacing/>
        <w:rPr>
          <w:rFonts w:ascii="Arial" w:hAnsi="Arial" w:cs="Arial"/>
          <w:bCs/>
          <w:sz w:val="22"/>
          <w:szCs w:val="22"/>
        </w:rPr>
      </w:pPr>
      <w:r>
        <w:rPr>
          <w:rFonts w:cs="Arial" w:ascii="Arial" w:hAnsi="Arial"/>
          <w:b/>
          <w:sz w:val="22"/>
          <w:szCs w:val="22"/>
        </w:rPr>
        <w:t>FORMA E CRITÉRIOS DE SELEÇÃO DO FORNECEDOR</w:t>
      </w:r>
    </w:p>
    <w:p>
      <w:pPr>
        <w:pStyle w:val="Normal"/>
        <w:tabs>
          <w:tab w:val="clear" w:pos="708"/>
          <w:tab w:val="left" w:pos="2340" w:leader="none"/>
          <w:tab w:val="left" w:pos="4464" w:leader="none"/>
        </w:tabs>
        <w:spacing w:lineRule="auto" w:line="360" w:before="142" w:after="142"/>
        <w:ind w:firstLine="709"/>
        <w:jc w:val="both"/>
        <w:rPr>
          <w:b/>
          <w:b/>
          <w:bCs/>
        </w:rPr>
      </w:pPr>
      <w:r>
        <w:rPr>
          <w:bCs/>
        </w:rPr>
        <w:t>Através da licitação a ser realizada na modalidade pregão, na forma eletrônica, e auxiliada pelo Sistema de Registro de Preços, devidamente regulamentado pelo decreto municipal, será selecionado como fornecedor de cada item aquele que apresentar proposta de MENOR PREÇO, JULGAMENTO POR ITEM, não podendo o valor unitário de cada item ser superior ao seu valor de referência, modo de disputa ABERTO, nos termos do art. 6º, inciso XLI, e do art. 34, ambos da Lei Federal n. 14.133/2021, desde que atendidas às exigências e disposições dos descritivos, deste Termo de Referência e do Edital a ser publicado.</w:t>
      </w:r>
    </w:p>
    <w:p>
      <w:pPr>
        <w:pStyle w:val="ListParagraph"/>
        <w:numPr>
          <w:ilvl w:val="1"/>
          <w:numId w:val="3"/>
        </w:numPr>
        <w:tabs>
          <w:tab w:val="clear" w:pos="708"/>
          <w:tab w:val="left" w:pos="2340" w:leader="none"/>
          <w:tab w:val="left" w:pos="4464" w:leader="none"/>
        </w:tabs>
        <w:spacing w:lineRule="auto" w:line="360" w:before="142" w:after="142"/>
        <w:contextualSpacing/>
        <w:jc w:val="both"/>
        <w:rPr>
          <w:rFonts w:ascii="Arial" w:hAnsi="Arial" w:cs="Arial"/>
          <w:b/>
          <w:b/>
          <w:bCs/>
          <w:sz w:val="22"/>
          <w:szCs w:val="22"/>
        </w:rPr>
      </w:pPr>
      <w:r>
        <w:rPr>
          <w:rFonts w:cs="Arial" w:ascii="Arial" w:hAnsi="Arial"/>
          <w:b/>
          <w:bCs/>
          <w:sz w:val="22"/>
          <w:szCs w:val="22"/>
        </w:rPr>
        <w:t>EXIGÊNCIA DE AMOSTRAS</w:t>
      </w:r>
    </w:p>
    <w:p>
      <w:pPr>
        <w:pStyle w:val="Normal"/>
        <w:tabs>
          <w:tab w:val="clear" w:pos="708"/>
          <w:tab w:val="left" w:pos="2340" w:leader="none"/>
          <w:tab w:val="left" w:pos="4464" w:leader="none"/>
        </w:tabs>
        <w:spacing w:lineRule="auto" w:line="360" w:before="142" w:after="142"/>
        <w:ind w:firstLine="709"/>
        <w:jc w:val="both"/>
        <w:rPr>
          <w:b/>
          <w:b/>
        </w:rPr>
      </w:pPr>
      <w:r>
        <w:rPr/>
        <w:t>Não se aplica.</w:t>
      </w:r>
    </w:p>
    <w:p>
      <w:pPr>
        <w:pStyle w:val="Normal"/>
        <w:spacing w:lineRule="auto" w:line="360" w:before="142" w:after="142"/>
        <w:jc w:val="both"/>
        <w:rPr>
          <w:bCs/>
        </w:rPr>
      </w:pPr>
      <w:r>
        <w:rPr>
          <w:rFonts w:eastAsia="Lucida Sans Unicode"/>
          <w:color w:val="000000"/>
          <w:lang w:eastAsia="pt-BR"/>
        </w:rPr>
        <w:t xml:space="preserve">6.2 </w:t>
        <w:tab/>
      </w:r>
      <w:r>
        <w:rPr>
          <w:b/>
        </w:rPr>
        <w:t>MODELO DE EXECUÇÃO DO OBJETO</w:t>
      </w:r>
    </w:p>
    <w:p>
      <w:pPr>
        <w:pStyle w:val="Normal"/>
        <w:tabs>
          <w:tab w:val="clear" w:pos="708"/>
          <w:tab w:val="left" w:pos="2340" w:leader="none"/>
          <w:tab w:val="left" w:pos="4464" w:leader="none"/>
        </w:tabs>
        <w:spacing w:lineRule="auto" w:line="360" w:before="142" w:after="142"/>
        <w:ind w:firstLine="709"/>
        <w:jc w:val="both"/>
        <w:rPr>
          <w:bCs/>
        </w:rPr>
      </w:pPr>
      <w:r>
        <w:rPr>
          <w:bCs/>
        </w:rPr>
        <w:t xml:space="preserve">Conforme disposto no </w:t>
      </w:r>
      <w:r>
        <w:rPr/>
        <w:t>art. 84, parágrafo único, da Lei Federal n. 14.133/2021</w:t>
      </w:r>
      <w:r>
        <w:rPr>
          <w:bCs/>
        </w:rPr>
        <w:t xml:space="preserve">, o contrato decorrente do Sistema de Registro de Preços deverá ser assinado no prazo de vigência da ata de registro de preços </w:t>
      </w:r>
      <w:r>
        <w:rPr/>
        <w:t>e terá sua vigência estabelecida em conformidade com as disposições nela contidas.</w:t>
      </w:r>
    </w:p>
    <w:p>
      <w:pPr>
        <w:pStyle w:val="Normal"/>
        <w:tabs>
          <w:tab w:val="clear" w:pos="708"/>
          <w:tab w:val="left" w:pos="2340" w:leader="none"/>
          <w:tab w:val="left" w:pos="4464" w:leader="none"/>
        </w:tabs>
        <w:spacing w:lineRule="auto" w:line="360" w:before="142" w:after="142"/>
        <w:ind w:firstLine="709"/>
        <w:jc w:val="both"/>
        <w:rPr/>
      </w:pPr>
      <w:r>
        <w:rPr>
          <w:bCs/>
        </w:rPr>
        <w:t xml:space="preserve">A contratação do item, com fornecimento parcelado, será efetuada conforme a necessidade de cada Órgão Participante, não lhe sendo gerado, pela existência de preços registrados, a obrigação de contratar, nos termos do art. 83 da Lei Federal n. 14.133/2021. </w:t>
      </w:r>
    </w:p>
    <w:p>
      <w:pPr>
        <w:pStyle w:val="Normal"/>
        <w:tabs>
          <w:tab w:val="clear" w:pos="708"/>
          <w:tab w:val="left" w:pos="2340" w:leader="none"/>
          <w:tab w:val="left" w:pos="4464" w:leader="none"/>
        </w:tabs>
        <w:spacing w:lineRule="auto" w:line="360" w:before="142" w:after="142"/>
        <w:ind w:firstLine="709"/>
        <w:jc w:val="both"/>
        <w:rPr>
          <w:b/>
          <w:b/>
        </w:rPr>
      </w:pPr>
      <w:r>
        <w:rPr>
          <w:bCs/>
        </w:rPr>
        <w:t>A contratação com os fornecedores registrados será formalizada pelo Órgão Participante por intermédio de emissão de nota de empenho de despesa e autorização de fornecimento de compra.</w:t>
      </w:r>
    </w:p>
    <w:p>
      <w:pPr>
        <w:pStyle w:val="Normal"/>
        <w:tabs>
          <w:tab w:val="clear" w:pos="708"/>
          <w:tab w:val="left" w:pos="2340" w:leader="none"/>
          <w:tab w:val="left" w:pos="4464" w:leader="none"/>
        </w:tabs>
        <w:spacing w:lineRule="auto" w:line="360"/>
        <w:ind w:left="142" w:hanging="0"/>
        <w:jc w:val="both"/>
        <w:rPr>
          <w:rFonts w:eastAsia="Times New Roman"/>
          <w:color w:val="000000"/>
          <w:lang w:eastAsia="pt-BR"/>
        </w:rPr>
      </w:pPr>
      <w:r>
        <w:rPr>
          <w:bCs/>
        </w:rPr>
        <w:t>6.3</w:t>
      </w:r>
      <w:r>
        <w:rPr>
          <w:b/>
        </w:rPr>
        <w:t xml:space="preserve">    ENTREGA DO OBJETO</w:t>
      </w:r>
    </w:p>
    <w:p>
      <w:pPr>
        <w:pStyle w:val="Normal"/>
        <w:tabs>
          <w:tab w:val="clear" w:pos="708"/>
          <w:tab w:val="left" w:pos="2340" w:leader="none"/>
          <w:tab w:val="left" w:pos="4464" w:leader="none"/>
        </w:tabs>
        <w:spacing w:lineRule="auto" w:line="360"/>
        <w:ind w:left="142" w:hanging="0"/>
        <w:jc w:val="both"/>
        <w:rPr>
          <w:rFonts w:eastAsia="Times New Roman"/>
          <w:color w:val="000000"/>
          <w:lang w:eastAsia="pt-BR"/>
        </w:rPr>
      </w:pPr>
      <w:r>
        <w:rPr>
          <w:rFonts w:eastAsia="Times New Roman"/>
          <w:color w:val="000000"/>
          <w:lang w:eastAsia="pt-BR"/>
        </w:rPr>
        <w:t>.Os itens deverão ser entregues de segunda a sexta-feira, das 08:00 às 11:30 e das 13:30 às 17:00, eventualmente dependendo do evento a data de entrega poderá ser modificada e determinada pela secretaria solicitante.</w:t>
      </w:r>
    </w:p>
    <w:p>
      <w:pPr>
        <w:pStyle w:val="ListParagraph"/>
        <w:numPr>
          <w:ilvl w:val="0"/>
          <w:numId w:val="0"/>
        </w:numPr>
        <w:suppressAutoHyphens w:val="false"/>
        <w:spacing w:lineRule="auto" w:line="360" w:before="0" w:after="0"/>
        <w:ind w:left="0" w:hanging="0"/>
        <w:contextualSpacing w:val="false"/>
        <w:jc w:val="both"/>
        <w:rPr>
          <w:rFonts w:ascii="Arial" w:hAnsi="Arial" w:eastAsia="Times New Roman" w:cs="Arial"/>
          <w:color w:val="000000"/>
          <w:kern w:val="0"/>
          <w:sz w:val="22"/>
          <w:szCs w:val="22"/>
          <w:lang w:eastAsia="pt-BR" w:bidi="ar-SA"/>
        </w:rPr>
      </w:pPr>
      <w:r>
        <w:rPr>
          <w:rFonts w:eastAsia="Times New Roman" w:cs="Arial" w:ascii="Arial" w:hAnsi="Arial"/>
          <w:color w:val="000000"/>
          <w:kern w:val="0"/>
          <w:sz w:val="22"/>
          <w:szCs w:val="22"/>
          <w:lang w:eastAsia="pt-BR" w:bidi="ar-SA"/>
        </w:rPr>
        <w:t xml:space="preserve">     </w:t>
      </w:r>
      <w:r>
        <w:rPr>
          <w:rFonts w:eastAsia="Times New Roman" w:cs="Arial" w:ascii="Arial" w:hAnsi="Arial"/>
          <w:color w:val="000000"/>
          <w:kern w:val="0"/>
          <w:sz w:val="22"/>
          <w:szCs w:val="22"/>
          <w:lang w:eastAsia="pt-BR" w:bidi="ar-SA"/>
        </w:rPr>
        <w:t>O fornecimento do item 02 (gasolina comum) deverá ser efetuado conforme a necessidade do Município de Lindóia do Sul, em bomba própria ou conveniada a qual deverá estar localizada no perímetro urbano do Município, mediante apresentação de Ordem de Abastecimento fornecida pelo responsável do Setor de Controle de veículos.</w:t>
      </w:r>
    </w:p>
    <w:p>
      <w:pPr>
        <w:pStyle w:val="ListParagraph"/>
        <w:numPr>
          <w:ilvl w:val="0"/>
          <w:numId w:val="0"/>
        </w:numPr>
        <w:suppressAutoHyphens w:val="false"/>
        <w:spacing w:lineRule="auto" w:line="360" w:before="0" w:afterAutospacing="1"/>
        <w:ind w:left="0" w:hanging="0"/>
        <w:contextualSpacing w:val="false"/>
        <w:jc w:val="both"/>
        <w:rPr>
          <w:rFonts w:ascii="Arial" w:hAnsi="Arial" w:eastAsia="Times New Roman" w:cs="Arial"/>
          <w:color w:val="000000"/>
          <w:kern w:val="0"/>
          <w:sz w:val="22"/>
          <w:szCs w:val="22"/>
          <w:lang w:eastAsia="pt-BR" w:bidi="ar-SA"/>
        </w:rPr>
      </w:pPr>
      <w:r>
        <w:rPr>
          <w:rFonts w:eastAsia="Times New Roman" w:cs="Arial" w:ascii="Arial" w:hAnsi="Arial"/>
          <w:color w:val="000000"/>
          <w:kern w:val="0"/>
          <w:sz w:val="22"/>
          <w:szCs w:val="22"/>
          <w:lang w:eastAsia="pt-BR" w:bidi="ar-SA"/>
        </w:rPr>
        <w:t xml:space="preserve">   </w:t>
      </w:r>
      <w:r>
        <w:rPr>
          <w:rFonts w:eastAsia="Times New Roman" w:cs="Arial" w:ascii="Arial" w:hAnsi="Arial"/>
          <w:color w:val="000000"/>
          <w:kern w:val="0"/>
          <w:sz w:val="22"/>
          <w:szCs w:val="22"/>
          <w:lang w:eastAsia="pt-BR" w:bidi="ar-SA"/>
        </w:rPr>
        <w:t>O fornecimento do item 01 (óleo diesel S10) será conforme a necessidade do Município através de solicitação feita pelo setor responsável, com entrega no prazo máximo de até 72 horas após a solicitação, na Secretaria Municipal de Infraestrutura e Transportes, em Linha Lageado Acídio a 2KM da sede do Município, o transporte deverá ser realizado com veículos especial para este tipo de objeto.</w:t>
      </w:r>
    </w:p>
    <w:p>
      <w:pPr>
        <w:pStyle w:val="ListParagraph"/>
        <w:numPr>
          <w:ilvl w:val="0"/>
          <w:numId w:val="3"/>
        </w:numPr>
        <w:spacing w:lineRule="auto" w:line="360" w:before="142" w:after="142"/>
        <w:contextualSpacing/>
        <w:rPr>
          <w:rFonts w:ascii="Arial" w:hAnsi="Arial" w:cs="Arial"/>
          <w:bCs/>
          <w:sz w:val="22"/>
          <w:szCs w:val="22"/>
        </w:rPr>
      </w:pPr>
      <w:r>
        <w:rPr>
          <w:rFonts w:cs="Arial" w:ascii="Arial" w:hAnsi="Arial"/>
          <w:b/>
          <w:sz w:val="22"/>
          <w:szCs w:val="22"/>
        </w:rPr>
        <w:t>MODELO DE GESTÃO DO CONTRATO</w:t>
      </w:r>
    </w:p>
    <w:p>
      <w:pPr>
        <w:pStyle w:val="Normal"/>
        <w:tabs>
          <w:tab w:val="clear" w:pos="708"/>
          <w:tab w:val="left" w:pos="2340" w:leader="none"/>
          <w:tab w:val="left" w:pos="4464" w:leader="none"/>
        </w:tabs>
        <w:spacing w:lineRule="auto" w:line="360"/>
        <w:ind w:firstLine="709"/>
        <w:jc w:val="both"/>
        <w:rPr/>
      </w:pPr>
      <w:r>
        <w:rPr>
          <w:bCs/>
        </w:rPr>
        <w:t xml:space="preserve">A contratação decorrente do Sistema de Registro de Preços realizado pelo município é de total autonomia e responsabilidade do Órgão Participante o momento e a justificativa da contratação, observados a disponibilidade orçamentária e o prazo de vigência da ata, de acordo com a sua necessidade, sem qualquer interferência do Órgão Gerenciador na decisão de contratação. </w:t>
      </w:r>
    </w:p>
    <w:p>
      <w:pPr>
        <w:pStyle w:val="Normal"/>
        <w:tabs>
          <w:tab w:val="clear" w:pos="708"/>
          <w:tab w:val="left" w:pos="2340" w:leader="none"/>
          <w:tab w:val="left" w:pos="4464" w:leader="none"/>
        </w:tabs>
        <w:spacing w:lineRule="auto" w:line="360"/>
        <w:ind w:firstLine="709"/>
        <w:jc w:val="both"/>
        <w:rPr/>
      </w:pPr>
      <w:r>
        <w:rPr>
          <w:bCs/>
        </w:rPr>
        <w:t xml:space="preserve">Em conformidade com o art. 117 da Lei Federal n. 14.133/2021, o Órgão Participante deverá designar fiscal de contrato e representante da administração pública para acompanhamento e fiscalização da execução dos contratos celebrados entre este Órgão Participante e os fornecedores contratados na licitação, conforme requisitos estabelecidos no art. 7º do referido diploma legal. A vinculação do fiscal e representante da administração pública será associada na emissão da Solicitação de Fornecimento e será consignada na Autorização de Fornecimento com a sua respectiva ciência. </w:t>
      </w:r>
    </w:p>
    <w:p>
      <w:pPr>
        <w:pStyle w:val="Normal"/>
        <w:tabs>
          <w:tab w:val="clear" w:pos="708"/>
          <w:tab w:val="left" w:pos="2340" w:leader="none"/>
          <w:tab w:val="left" w:pos="4464" w:leader="none"/>
        </w:tabs>
        <w:spacing w:lineRule="auto" w:line="360"/>
        <w:ind w:firstLine="709"/>
        <w:jc w:val="both"/>
        <w:rPr>
          <w:b/>
          <w:b/>
        </w:rPr>
      </w:pPr>
      <w:r>
        <w:rPr>
          <w:bCs/>
        </w:rPr>
        <w:t>Caberá ao gestor do contrato constituir relatório final de que trata o art. 174, § 3º, inciso VI, alínea “d”, da Lei Federal n. 14.133/2021 com as informações obtidas durante a execução do contrato, como forma de aprimoramento das atividades da Administração.</w:t>
      </w:r>
    </w:p>
    <w:p>
      <w:pPr>
        <w:pStyle w:val="ListParagraph"/>
        <w:numPr>
          <w:ilvl w:val="0"/>
          <w:numId w:val="3"/>
        </w:numPr>
        <w:spacing w:lineRule="auto" w:line="360" w:before="142" w:after="142"/>
        <w:contextualSpacing/>
        <w:rPr>
          <w:rFonts w:ascii="Arial" w:hAnsi="Arial" w:cs="Arial"/>
          <w:b/>
          <w:b/>
          <w:sz w:val="22"/>
          <w:szCs w:val="22"/>
        </w:rPr>
      </w:pPr>
      <w:r>
        <w:rPr>
          <w:rFonts w:cs="Arial" w:ascii="Arial" w:hAnsi="Arial"/>
          <w:b/>
          <w:sz w:val="22"/>
          <w:szCs w:val="22"/>
        </w:rPr>
        <w:t>CRITÉRIOS DE MEDIÇÃO E PAGAMENTO</w:t>
      </w:r>
    </w:p>
    <w:p>
      <w:pPr>
        <w:pStyle w:val="ListParagraph"/>
        <w:numPr>
          <w:ilvl w:val="1"/>
          <w:numId w:val="3"/>
        </w:numPr>
        <w:spacing w:lineRule="auto" w:line="360" w:before="142" w:after="142"/>
        <w:contextualSpacing/>
        <w:rPr>
          <w:rFonts w:ascii="Arial" w:hAnsi="Arial" w:cs="Arial"/>
          <w:bCs/>
          <w:sz w:val="22"/>
          <w:szCs w:val="22"/>
        </w:rPr>
      </w:pPr>
      <w:r>
        <w:rPr>
          <w:rFonts w:cs="Arial" w:ascii="Arial" w:hAnsi="Arial"/>
          <w:b/>
          <w:sz w:val="22"/>
          <w:szCs w:val="22"/>
        </w:rPr>
        <w:t>CRITÉRIOS DE MEDIÇÃO</w:t>
      </w:r>
    </w:p>
    <w:p>
      <w:pPr>
        <w:pStyle w:val="Normal"/>
        <w:tabs>
          <w:tab w:val="clear" w:pos="708"/>
          <w:tab w:val="left" w:pos="2340" w:leader="none"/>
          <w:tab w:val="left" w:pos="4464" w:leader="none"/>
        </w:tabs>
        <w:spacing w:lineRule="auto" w:line="360" w:before="142" w:after="142"/>
        <w:ind w:firstLine="709"/>
        <w:jc w:val="both"/>
        <w:rPr>
          <w:b/>
          <w:b/>
        </w:rPr>
      </w:pPr>
      <w:r>
        <w:rPr>
          <w:bCs/>
        </w:rPr>
        <w:t>Por se tratar de simples aquisição de bens comuns e de entrega imediata, inexistem critérios de medição a serem fixados.</w:t>
      </w:r>
    </w:p>
    <w:p>
      <w:pPr>
        <w:pStyle w:val="ListParagraph"/>
        <w:numPr>
          <w:ilvl w:val="1"/>
          <w:numId w:val="3"/>
        </w:numPr>
        <w:spacing w:lineRule="auto" w:line="360" w:before="142" w:after="142"/>
        <w:contextualSpacing/>
        <w:rPr>
          <w:rFonts w:ascii="Arial" w:hAnsi="Arial" w:cs="Arial"/>
          <w:bCs/>
          <w:sz w:val="22"/>
          <w:szCs w:val="22"/>
        </w:rPr>
      </w:pPr>
      <w:r>
        <w:rPr>
          <w:rFonts w:cs="Arial" w:ascii="Arial" w:hAnsi="Arial"/>
          <w:b/>
          <w:sz w:val="22"/>
          <w:szCs w:val="22"/>
        </w:rPr>
        <w:t>CRITÉRIOS DE PAGAMENTO</w:t>
      </w:r>
    </w:p>
    <w:p>
      <w:pPr>
        <w:pStyle w:val="Normal"/>
        <w:tabs>
          <w:tab w:val="clear" w:pos="708"/>
          <w:tab w:val="left" w:pos="2340" w:leader="none"/>
          <w:tab w:val="left" w:pos="4464" w:leader="none"/>
        </w:tabs>
        <w:spacing w:lineRule="auto" w:line="360" w:before="142" w:after="142"/>
        <w:ind w:firstLine="709"/>
        <w:jc w:val="both"/>
        <w:rPr/>
      </w:pPr>
      <w:r>
        <w:rPr>
          <w:bCs/>
        </w:rPr>
        <w:t xml:space="preserve">O pagamento pelas aquisições, objeto da presente licitação, será feito pelo Órgão Participante em favor do licitante vencedor mediante boleto ou </w:t>
      </w:r>
      <w:r>
        <w:rPr/>
        <w:t>transferência bancária (TED, DOC, depósito) em conta corrente de titularidade do fornecedor</w:t>
      </w:r>
      <w:r>
        <w:rPr>
          <w:bCs/>
        </w:rPr>
        <w:t xml:space="preserve">. </w:t>
      </w:r>
    </w:p>
    <w:p>
      <w:pPr>
        <w:pStyle w:val="Normal"/>
        <w:tabs>
          <w:tab w:val="clear" w:pos="708"/>
          <w:tab w:val="left" w:pos="2340" w:leader="none"/>
          <w:tab w:val="left" w:pos="4464" w:leader="none"/>
        </w:tabs>
        <w:spacing w:lineRule="auto" w:line="360" w:before="142" w:after="142"/>
        <w:ind w:firstLine="709"/>
        <w:jc w:val="both"/>
        <w:rPr>
          <w:bCs/>
        </w:rPr>
      </w:pPr>
      <w:r>
        <w:rPr>
          <w:bCs/>
        </w:rPr>
        <w:t xml:space="preserve">O Órgão Participante efetuará o pagamento em até 15 dias após a data de recebimento do objeto desta licitação acompanhado da respectiva Nota Fiscal Eletrônica e arquivo XML. </w:t>
      </w:r>
    </w:p>
    <w:p>
      <w:pPr>
        <w:pStyle w:val="Normal"/>
        <w:tabs>
          <w:tab w:val="clear" w:pos="708"/>
          <w:tab w:val="left" w:pos="2340" w:leader="none"/>
          <w:tab w:val="left" w:pos="4464" w:leader="none"/>
        </w:tabs>
        <w:spacing w:lineRule="auto" w:line="360" w:before="142" w:after="142"/>
        <w:ind w:firstLine="709"/>
        <w:jc w:val="both"/>
        <w:rPr>
          <w:bCs/>
        </w:rPr>
      </w:pPr>
      <w:r>
        <w:rPr>
          <w:bCs/>
        </w:rPr>
        <w:t xml:space="preserve">O número do CNPJ - Cadastro Nacional de Pessoa Jurídica - constante das notas fiscais deverá ser aquele fornecido na fase de habilitação, exceto no caso de participação de empresas em consórcio. </w:t>
      </w:r>
    </w:p>
    <w:p>
      <w:pPr>
        <w:pStyle w:val="Normal"/>
        <w:tabs>
          <w:tab w:val="clear" w:pos="708"/>
          <w:tab w:val="left" w:pos="2340" w:leader="none"/>
          <w:tab w:val="left" w:pos="4464" w:leader="none"/>
        </w:tabs>
        <w:spacing w:lineRule="auto" w:line="360" w:before="142" w:after="142"/>
        <w:ind w:firstLine="709"/>
        <w:jc w:val="both"/>
        <w:rPr/>
      </w:pPr>
      <w:r>
        <w:rPr>
          <w:bCs/>
        </w:rPr>
        <w:t>Nenhum pagamento será efetuado à licitante vencedora enquanto pendente de liquidação qualquer obrigação financeira ou técnica que lhe for imposta, em virtude de penalidade ou inadimplência, sem que isso gere direito ao pleito do reajustamento de preços ou correção monetária.</w:t>
      </w:r>
    </w:p>
    <w:p>
      <w:pPr>
        <w:pStyle w:val="Normal"/>
        <w:tabs>
          <w:tab w:val="clear" w:pos="708"/>
          <w:tab w:val="left" w:pos="2340" w:leader="none"/>
          <w:tab w:val="left" w:pos="4464" w:leader="none"/>
        </w:tabs>
        <w:spacing w:lineRule="auto" w:line="360" w:before="142" w:after="142"/>
        <w:jc w:val="both"/>
        <w:rPr>
          <w:bCs/>
        </w:rPr>
      </w:pPr>
      <w:r>
        <w:rPr>
          <w:bCs/>
        </w:rPr>
      </w:r>
    </w:p>
    <w:p>
      <w:pPr>
        <w:pStyle w:val="Normal"/>
        <w:tabs>
          <w:tab w:val="clear" w:pos="708"/>
          <w:tab w:val="left" w:pos="2340" w:leader="none"/>
          <w:tab w:val="left" w:pos="4464" w:leader="none"/>
        </w:tabs>
        <w:spacing w:lineRule="auto" w:line="360"/>
        <w:ind w:firstLine="709"/>
        <w:rPr>
          <w:bCs/>
          <w:lang w:eastAsia="ar-SA"/>
        </w:rPr>
      </w:pPr>
      <w:r>
        <w:rPr>
          <w:bCs/>
        </w:rPr>
        <w:t>Lindóia do Sul,  13 de novembro de 2024.</w:t>
      </w:r>
    </w:p>
    <w:p>
      <w:pPr>
        <w:pStyle w:val="Normal"/>
        <w:spacing w:lineRule="auto" w:line="360" w:before="0" w:after="0"/>
        <w:ind w:firstLine="709"/>
        <w:contextualSpacing/>
        <w:jc w:val="both"/>
        <w:rPr>
          <w:bCs/>
          <w:lang w:eastAsia="ar-SA"/>
        </w:rPr>
      </w:pPr>
      <w:r>
        <w:rPr>
          <w:bCs/>
          <w:lang w:eastAsia="ar-SA"/>
        </w:rPr>
      </w:r>
    </w:p>
    <w:p>
      <w:pPr>
        <w:pStyle w:val="Normal"/>
        <w:spacing w:lineRule="auto" w:line="360" w:before="0" w:after="0"/>
        <w:ind w:firstLine="709"/>
        <w:contextualSpacing/>
        <w:jc w:val="both"/>
        <w:rPr>
          <w:bCs/>
          <w:lang w:eastAsia="ar-SA"/>
        </w:rPr>
      </w:pPr>
      <w:r>
        <w:rPr>
          <w:bCs/>
          <w:lang w:eastAsia="ar-SA"/>
        </w:rPr>
      </w:r>
    </w:p>
    <w:p>
      <w:pPr>
        <w:pStyle w:val="Normal"/>
        <w:spacing w:lineRule="auto" w:line="240" w:before="0" w:after="0"/>
        <w:contextualSpacing/>
        <w:jc w:val="center"/>
        <w:rPr>
          <w:b/>
          <w:b/>
          <w:bCs/>
        </w:rPr>
      </w:pPr>
      <w:r>
        <w:rPr>
          <w:b/>
          <w:bCs/>
        </w:rPr>
        <w:t>Edison Domingos Giron</w:t>
      </w:r>
    </w:p>
    <w:p>
      <w:pPr>
        <w:pStyle w:val="Normal"/>
        <w:spacing w:lineRule="auto" w:line="240" w:before="0" w:after="0"/>
        <w:contextualSpacing/>
        <w:jc w:val="center"/>
        <w:rPr>
          <w:b/>
          <w:b/>
          <w:bCs/>
        </w:rPr>
      </w:pPr>
      <w:r>
        <w:rPr>
          <w:b/>
          <w:bCs/>
        </w:rPr>
        <w:t>Auxiliar de Técnico</w:t>
      </w:r>
    </w:p>
    <w:p>
      <w:pPr>
        <w:pStyle w:val="Textopadro"/>
        <w:spacing w:before="0" w:after="0"/>
        <w:ind w:right="-39" w:hanging="0"/>
        <w:contextualSpacing/>
        <w:jc w:val="center"/>
        <w:rPr>
          <w:rFonts w:ascii="Arial" w:hAnsi="Arial" w:cs="Arial"/>
          <w:sz w:val="22"/>
          <w:szCs w:val="22"/>
        </w:rPr>
      </w:pPr>
      <w:r>
        <w:rPr>
          <w:rFonts w:cs="Arial" w:ascii="Arial" w:hAnsi="Arial"/>
          <w:sz w:val="22"/>
          <w:szCs w:val="22"/>
        </w:rPr>
      </w:r>
    </w:p>
    <w:p>
      <w:pPr>
        <w:pStyle w:val="Normal"/>
        <w:tabs>
          <w:tab w:val="clear" w:pos="708"/>
          <w:tab w:val="left" w:pos="5396" w:leader="none"/>
          <w:tab w:val="left" w:pos="5538" w:leader="none"/>
        </w:tabs>
        <w:spacing w:lineRule="exact" w:line="240"/>
        <w:jc w:val="center"/>
        <w:rPr>
          <w:rFonts w:eastAsia="Times New Roman"/>
          <w:b/>
          <w:b/>
          <w:bCs/>
        </w:rPr>
      </w:pPr>
      <w:r>
        <w:rPr>
          <w:rFonts w:eastAsia="Times New Roman"/>
          <w:b/>
          <w:bCs/>
        </w:rPr>
      </w:r>
    </w:p>
    <w:p>
      <w:pPr>
        <w:pStyle w:val="Normal"/>
        <w:spacing w:lineRule="auto" w:line="240"/>
        <w:jc w:val="center"/>
        <w:rPr>
          <w:rFonts w:ascii="Calibri" w:hAnsi="Calibri" w:cs="Calibri"/>
          <w:sz w:val="20"/>
          <w:szCs w:val="20"/>
        </w:rPr>
      </w:pPr>
      <w:r>
        <w:rPr>
          <w:rFonts w:cs="Calibri" w:ascii="Calibri" w:hAnsi="Calibri"/>
          <w:sz w:val="20"/>
          <w:szCs w:val="20"/>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1"/>
        <w:spacing w:lineRule="auto" w:line="240" w:before="0" w:after="0"/>
        <w:ind w:left="0" w:right="0" w:hanging="0"/>
        <w:jc w:val="center"/>
        <w:rPr>
          <w:rFonts w:ascii="Arial" w:hAnsi="Arial"/>
        </w:rPr>
      </w:pPr>
      <w:r>
        <w:rPr>
          <w:rFonts w:ascii="Arial" w:hAnsi="Arial"/>
        </w:rPr>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t>MODELO DE PROPOSTA DE PREÇOS E DADOS DA PROPONENTE</w:t>
      </w:r>
    </w:p>
    <w:p>
      <w:pPr>
        <w:pStyle w:val="Normal"/>
        <w:widowControl/>
        <w:suppressAutoHyphens w:val="true"/>
        <w:bidi w:val="0"/>
        <w:spacing w:lineRule="auto" w:line="276" w:before="0" w:after="0"/>
        <w:ind w:left="0" w:right="0" w:hanging="0"/>
        <w:jc w:val="both"/>
        <w:rPr>
          <w:rFonts w:ascii="Arial" w:hAnsi="Arial" w:eastAsia="SimSun" w:cs="Mangal"/>
          <w:b/>
          <w:b/>
          <w:bCs/>
          <w:color w:val="00000A"/>
          <w:sz w:val="21"/>
          <w:szCs w:val="21"/>
          <w:lang w:val="pt-BR" w:eastAsia="zh-CN" w:bidi="hi-IN"/>
        </w:rPr>
      </w:pPr>
      <w:r>
        <w:rPr>
          <w:rFonts w:eastAsia="SimSun" w:cs="Mangal" w:ascii="Arial" w:hAnsi="Arial"/>
          <w:b/>
          <w:bCs/>
          <w:color w:val="00000A"/>
          <w:sz w:val="21"/>
          <w:szCs w:val="21"/>
          <w:lang w:val="pt-BR" w:eastAsia="zh-CN" w:bidi="hi-IN"/>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EDITAL DE PREGÃO</w:t>
      </w:r>
      <w:r>
        <w:rPr>
          <w:rFonts w:ascii="Arial" w:hAnsi="Arial"/>
          <w:b/>
          <w:bCs/>
          <w:i w:val="false"/>
          <w:iCs w:val="false"/>
          <w:strike w:val="false"/>
          <w:dstrike w:val="false"/>
          <w:color w:val="000000"/>
          <w:sz w:val="21"/>
          <w:szCs w:val="21"/>
          <w:u w:val="none"/>
        </w:rPr>
        <w:t xml:space="preserve"> ELETRÔNICO Nº 19/2024</w:t>
      </w:r>
    </w:p>
    <w:p>
      <w:pPr>
        <w:pStyle w:val="Normal"/>
        <w:widowControl/>
        <w:suppressAutoHyphens w:val="true"/>
        <w:bidi w:val="0"/>
        <w:spacing w:lineRule="auto" w:line="276" w:before="0" w:after="0"/>
        <w:ind w:left="0" w:right="0" w:hanging="0"/>
        <w:jc w:val="both"/>
        <w:rPr>
          <w:rFonts w:ascii="Arial" w:hAnsi="Arial" w:eastAsia="SimSun" w:cs="Mangal"/>
          <w:b/>
          <w:b/>
          <w:bCs/>
          <w:color w:val="00000A"/>
          <w:sz w:val="21"/>
          <w:szCs w:val="21"/>
          <w:lang w:val="pt-BR" w:eastAsia="zh-CN" w:bidi="hi-IN"/>
        </w:rPr>
      </w:pPr>
      <w:r>
        <w:rPr>
          <w:rFonts w:eastAsia="SimSun" w:cs="Mangal" w:ascii="Arial" w:hAnsi="Arial"/>
          <w:b/>
          <w:bCs/>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Apresentamos nossa proposta para aquisição do objeto da presente Licitação Pregão, na Forma Eletrônica acatando todas as estipulações consignadas no respectivo Edital e seus anexos.</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t>1 – IDENTIFICAÇÃO DO CONCORRENTE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RAZÃO SOCIAL: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CNPJ: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INSCRIÇÃO ESTADUAL e/ou MUNICIPAL: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REPRESENTANTE: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CARGO: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CARTEIRA DE IDENTIDADE:</w:t>
        <w:tab/>
        <w:tab/>
        <w:tab/>
        <w:tab/>
        <w:t xml:space="preserve"> CPF: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ENDEREÇO: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TELEFONE: </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t>2 – PREÇO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tbl>
      <w:tblPr>
        <w:tblW w:w="9135" w:type="dxa"/>
        <w:jc w:val="left"/>
        <w:tblInd w:w="122" w:type="dxa"/>
        <w:tblLayout w:type="fixed"/>
        <w:tblCellMar>
          <w:top w:w="0" w:type="dxa"/>
          <w:left w:w="98" w:type="dxa"/>
          <w:bottom w:w="0" w:type="dxa"/>
          <w:right w:w="108" w:type="dxa"/>
        </w:tblCellMar>
      </w:tblPr>
      <w:tblGrid>
        <w:gridCol w:w="1467"/>
        <w:gridCol w:w="856"/>
        <w:gridCol w:w="735"/>
        <w:gridCol w:w="1140"/>
        <w:gridCol w:w="2488"/>
        <w:gridCol w:w="1086"/>
        <w:gridCol w:w="1362"/>
      </w:tblGrid>
      <w:tr>
        <w:trPr/>
        <w:tc>
          <w:tcPr>
            <w:tcW w:w="14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Item</w:t>
            </w:r>
          </w:p>
        </w:tc>
        <w:tc>
          <w:tcPr>
            <w:tcW w:w="8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Quant</w:t>
            </w:r>
          </w:p>
        </w:tc>
        <w:tc>
          <w:tcPr>
            <w:tcW w:w="7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Unid</w:t>
            </w:r>
          </w:p>
        </w:tc>
        <w:tc>
          <w:tcPr>
            <w:tcW w:w="11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Marca</w:t>
            </w:r>
          </w:p>
        </w:tc>
        <w:tc>
          <w:tcPr>
            <w:tcW w:w="24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Descrição</w:t>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Vl. Unit</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Vl. Total</w:t>
            </w:r>
          </w:p>
        </w:tc>
      </w:tr>
      <w:tr>
        <w:trPr/>
        <w:tc>
          <w:tcPr>
            <w:tcW w:w="14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7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1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24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14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7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1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24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7772" w:type="dxa"/>
            <w:gridSpan w:val="6"/>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cs="Arial"/>
                <w:b/>
                <w:b/>
                <w:color w:val="000000"/>
                <w:sz w:val="21"/>
                <w:szCs w:val="21"/>
              </w:rPr>
            </w:pPr>
            <w:r>
              <w:rPr>
                <w:rFonts w:cs="Arial" w:ascii="Arial" w:hAnsi="Arial"/>
                <w:b/>
                <w:color w:val="000000"/>
                <w:sz w:val="21"/>
                <w:szCs w:val="21"/>
              </w:rPr>
              <w:t>TOTAL DA PROPOSTA</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bl>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VALOR TOTAL R$</w:t>
        <w:tab/>
        <w:t>0,00 (por extenso).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b w:val="false"/>
          <w:b w:val="false"/>
          <w:bCs w:val="false"/>
          <w:sz w:val="21"/>
          <w:szCs w:val="21"/>
        </w:rPr>
      </w:pPr>
      <w:r>
        <w:rPr>
          <w:rFonts w:ascii="Arial" w:hAnsi="Arial"/>
          <w:b w:val="false"/>
          <w:bCs w:val="false"/>
          <w:sz w:val="21"/>
          <w:szCs w:val="21"/>
        </w:rPr>
        <w:t>Declaro que nos preços acima cotados estão incluídos todos os custos diretos e indiretos necessários à perfeita execução do objeto, encargos sociais e inclusive as despesas com materiais e/ou equipamentos,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0" w:right="0" w:hanging="0"/>
        <w:jc w:val="both"/>
        <w:rPr/>
      </w:pPr>
      <w:r>
        <w:rPr>
          <w:rFonts w:ascii="Arial" w:hAnsi="Arial"/>
          <w:b/>
          <w:bCs/>
          <w:sz w:val="21"/>
          <w:szCs w:val="21"/>
        </w:rPr>
        <w:t>3 – DADOS BANCÁRIOS DA EMPRESA</w:t>
      </w:r>
    </w:p>
    <w:p>
      <w:pPr>
        <w:pStyle w:val="Normal"/>
        <w:widowControl/>
        <w:suppressAutoHyphens w:val="true"/>
        <w:bidi w:val="0"/>
        <w:spacing w:lineRule="auto" w:line="360" w:before="0" w:after="0"/>
        <w:ind w:left="0" w:right="0" w:hanging="0"/>
        <w:jc w:val="both"/>
        <w:rPr/>
      </w:pPr>
      <w:r>
        <w:rPr>
          <w:rFonts w:ascii="Arial" w:hAnsi="Arial"/>
          <w:sz w:val="21"/>
          <w:szCs w:val="21"/>
        </w:rPr>
        <w:t>NOME DO BANCO:</w:t>
      </w:r>
    </w:p>
    <w:p>
      <w:pPr>
        <w:pStyle w:val="Normal"/>
        <w:widowControl/>
        <w:suppressAutoHyphens w:val="true"/>
        <w:bidi w:val="0"/>
        <w:spacing w:lineRule="auto" w:line="360" w:before="0" w:after="0"/>
        <w:ind w:left="0" w:right="0" w:hanging="0"/>
        <w:jc w:val="both"/>
        <w:rPr/>
      </w:pPr>
      <w:r>
        <w:rPr>
          <w:rFonts w:ascii="Arial" w:hAnsi="Arial"/>
          <w:sz w:val="21"/>
          <w:szCs w:val="21"/>
        </w:rPr>
        <w:t>CIDADE:</w:t>
      </w:r>
    </w:p>
    <w:p>
      <w:pPr>
        <w:pStyle w:val="Normal"/>
        <w:widowControl/>
        <w:suppressAutoHyphens w:val="true"/>
        <w:bidi w:val="0"/>
        <w:spacing w:lineRule="auto" w:line="360" w:before="0" w:after="0"/>
        <w:ind w:left="0" w:right="0" w:hanging="0"/>
        <w:jc w:val="both"/>
        <w:rPr/>
      </w:pPr>
      <w:r>
        <w:rPr>
          <w:rFonts w:ascii="Arial" w:hAnsi="Arial"/>
          <w:sz w:val="21"/>
          <w:szCs w:val="21"/>
        </w:rPr>
        <w:t>Nº DA AGÊNCIA:</w:t>
      </w:r>
    </w:p>
    <w:p>
      <w:pPr>
        <w:pStyle w:val="Normal"/>
        <w:widowControl/>
        <w:suppressAutoHyphens w:val="true"/>
        <w:bidi w:val="0"/>
        <w:spacing w:lineRule="auto" w:line="360" w:before="0" w:after="0"/>
        <w:ind w:left="0" w:right="0" w:hanging="0"/>
        <w:jc w:val="both"/>
        <w:rPr/>
      </w:pPr>
      <w:r>
        <w:rPr>
          <w:rFonts w:ascii="Arial" w:hAnsi="Arial"/>
          <w:sz w:val="21"/>
          <w:szCs w:val="21"/>
        </w:rPr>
        <w:t>Nº DA CONTA CORRENTE:</w:t>
      </w:r>
    </w:p>
    <w:p>
      <w:pPr>
        <w:pStyle w:val="Normal"/>
        <w:widowControl/>
        <w:suppressAutoHyphens w:val="true"/>
        <w:bidi w:val="0"/>
        <w:spacing w:lineRule="auto" w:line="360" w:before="0" w:after="0"/>
        <w:ind w:left="0" w:right="0" w:hanging="0"/>
        <w:jc w:val="both"/>
        <w:rPr/>
      </w:pPr>
      <w:r>
        <w:rPr>
          <w:rFonts w:ascii="Arial" w:hAnsi="Arial"/>
          <w:sz w:val="21"/>
          <w:szCs w:val="21"/>
        </w:rPr>
        <w:t>NOME DA CONTA CORRENTE (em nome da empresa):</w:t>
      </w:r>
    </w:p>
    <w:p>
      <w:pPr>
        <w:pStyle w:val="Normal"/>
        <w:widowControl/>
        <w:suppressAutoHyphens w:val="true"/>
        <w:bidi w:val="0"/>
        <w:spacing w:lineRule="auto" w:line="360" w:before="0" w:after="0"/>
        <w:ind w:left="0" w:right="0" w:hanging="0"/>
        <w:jc w:val="both"/>
        <w:rPr/>
      </w:pPr>
      <w:r>
        <w:rPr>
          <w:rFonts w:ascii="Arial" w:hAnsi="Arial"/>
          <w:sz w:val="21"/>
          <w:szCs w:val="21"/>
        </w:rPr>
        <w:t>CHAVE PIX:</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b/>
          <w:bCs/>
          <w:sz w:val="21"/>
          <w:szCs w:val="21"/>
        </w:rPr>
        <w:t>4 – DADOS DO REPRESENTANTE LEGAL RESPONSÁVEL PELA ASSINATURA DOCUMENTOS</w:t>
      </w:r>
    </w:p>
    <w:p>
      <w:pPr>
        <w:pStyle w:val="Normal"/>
        <w:widowControl/>
        <w:suppressAutoHyphens w:val="true"/>
        <w:bidi w:val="0"/>
        <w:spacing w:lineRule="auto" w:line="360" w:before="0" w:after="0"/>
        <w:ind w:left="0" w:right="0" w:hanging="0"/>
        <w:jc w:val="both"/>
        <w:rPr/>
      </w:pPr>
      <w:r>
        <w:rPr>
          <w:rFonts w:ascii="Arial" w:hAnsi="Arial"/>
          <w:sz w:val="21"/>
          <w:szCs w:val="21"/>
        </w:rPr>
        <w:t>NOME COMPLETO:</w:t>
      </w:r>
    </w:p>
    <w:p>
      <w:pPr>
        <w:pStyle w:val="Normal"/>
        <w:widowControl/>
        <w:suppressAutoHyphens w:val="true"/>
        <w:bidi w:val="0"/>
        <w:spacing w:lineRule="auto" w:line="360" w:before="0" w:after="0"/>
        <w:ind w:left="0" w:right="0" w:hanging="0"/>
        <w:jc w:val="both"/>
        <w:rPr/>
      </w:pPr>
      <w:r>
        <w:rPr>
          <w:rFonts w:ascii="Arial" w:hAnsi="Arial"/>
          <w:sz w:val="21"/>
          <w:szCs w:val="21"/>
        </w:rPr>
        <w:t>CARGO OU FUNÇÃO:</w:t>
      </w:r>
    </w:p>
    <w:p>
      <w:pPr>
        <w:pStyle w:val="Normal"/>
        <w:widowControl/>
        <w:suppressAutoHyphens w:val="true"/>
        <w:bidi w:val="0"/>
        <w:spacing w:lineRule="auto" w:line="360" w:before="0" w:after="0"/>
        <w:ind w:left="0" w:right="0" w:hanging="0"/>
        <w:jc w:val="both"/>
        <w:rPr/>
      </w:pPr>
      <w:r>
        <w:rPr>
          <w:rFonts w:ascii="Arial" w:hAnsi="Arial"/>
          <w:sz w:val="21"/>
          <w:szCs w:val="21"/>
        </w:rPr>
        <w:t>IDENTIDADE Nº:</w:t>
      </w:r>
    </w:p>
    <w:p>
      <w:pPr>
        <w:pStyle w:val="Normal"/>
        <w:widowControl/>
        <w:suppressAutoHyphens w:val="true"/>
        <w:bidi w:val="0"/>
        <w:spacing w:lineRule="auto" w:line="360" w:before="0" w:after="0"/>
        <w:ind w:left="0" w:right="0" w:hanging="0"/>
        <w:jc w:val="both"/>
        <w:rPr/>
      </w:pPr>
      <w:r>
        <w:rPr>
          <w:rFonts w:ascii="Arial" w:hAnsi="Arial"/>
          <w:sz w:val="21"/>
          <w:szCs w:val="21"/>
        </w:rPr>
        <w:t>CPF/MF Nº:</w:t>
      </w:r>
    </w:p>
    <w:p>
      <w:pPr>
        <w:pStyle w:val="Normal"/>
        <w:widowControl/>
        <w:suppressAutoHyphens w:val="true"/>
        <w:bidi w:val="0"/>
        <w:spacing w:lineRule="auto" w:line="360" w:before="0" w:after="0"/>
        <w:ind w:left="0" w:right="0" w:hanging="0"/>
        <w:jc w:val="both"/>
        <w:rPr/>
      </w:pPr>
      <w:r>
        <w:rPr>
          <w:rFonts w:ascii="Arial" w:hAnsi="Arial"/>
          <w:sz w:val="21"/>
          <w:szCs w:val="21"/>
        </w:rPr>
        <w:t>TELEFONE PARA CONTATO: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b/>
          <w:bCs/>
          <w:sz w:val="21"/>
          <w:szCs w:val="21"/>
        </w:rPr>
        <w:t>5 – DECLARAÇÃO DE DOMICÍLIO ELETRÔNICO DA EMPRESA</w:t>
      </w:r>
    </w:p>
    <w:p>
      <w:pPr>
        <w:pStyle w:val="Normal"/>
        <w:widowControl/>
        <w:suppressAutoHyphens w:val="true"/>
        <w:bidi w:val="0"/>
        <w:spacing w:lineRule="auto" w:line="360" w:before="0" w:after="0"/>
        <w:ind w:left="0" w:right="0" w:hanging="0"/>
        <w:jc w:val="both"/>
        <w:rPr/>
      </w:pPr>
      <w:r>
        <w:rPr>
          <w:rFonts w:ascii="Arial" w:hAnsi="Arial"/>
          <w:sz w:val="21"/>
          <w:szCs w:val="21"/>
        </w:rPr>
        <w:t>Declaramos que o Domicílio Eletrônico da Empresa para o recebimento de autorizações de fornecimento, alerta de avisos, notificações e decisões administrativas, é:</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E-MAIL:</w:t>
      </w:r>
    </w:p>
    <w:p>
      <w:pPr>
        <w:pStyle w:val="Normal"/>
        <w:widowControl/>
        <w:suppressAutoHyphens w:val="true"/>
        <w:bidi w:val="0"/>
        <w:spacing w:lineRule="auto" w:line="360" w:before="0" w:after="0"/>
        <w:ind w:left="0" w:right="0" w:hanging="0"/>
        <w:jc w:val="both"/>
        <w:rPr/>
      </w:pPr>
      <w:r>
        <w:rPr>
          <w:rFonts w:ascii="Arial" w:hAnsi="Arial"/>
          <w:sz w:val="21"/>
          <w:szCs w:val="21"/>
        </w:rPr>
        <w:t>Obs.: Informar preferencialmente apenas um e-mail como domicílio eletrônico da empresa. Poderá ser informado mais de um e-mail, porém somente será(ão) utilizado(s) se o Município não conseguir contato com o e-mail preferencial (primeiro informado).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b/>
          <w:bCs/>
          <w:sz w:val="21"/>
          <w:szCs w:val="21"/>
        </w:rPr>
        <w:t>6 – DECLARAÇÃO DE ASSINATURA POR CERTIFICAÇÃO DIGITAL</w:t>
      </w:r>
    </w:p>
    <w:p>
      <w:pPr>
        <w:pStyle w:val="Normal"/>
        <w:widowControl/>
        <w:suppressAutoHyphens w:val="true"/>
        <w:bidi w:val="0"/>
        <w:spacing w:lineRule="auto" w:line="360" w:before="0" w:after="0"/>
        <w:ind w:left="0" w:right="0" w:hanging="0"/>
        <w:jc w:val="both"/>
        <w:rPr/>
      </w:pPr>
      <w:r>
        <w:rPr/>
        <w:t>Declaramos estar ciente que o representante legal indicado neste documento será o signatário do “Contrato”, o qual deverá assinar o documento, que poderá ser eletrônico em formato “PDF”, por certificação digital, caso assim solicitado, bem como somente serão autorizados os pagamentos em contas cujo CNPJ de titularidade seja idêntico àquele da habilitação e proposta vinculada, na licitação, salvo em caso de participação em consórcios de empresa.</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t>7 – CONDIÇÕES GERAIS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 proponente declara conhecer os termos do instrumento convocatório que rege a presente Licitação.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PRAZO DE EXECUÇÃO: 60 (sessenta) dias da assinatura do contrato.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VALIDADE DA PROPOSTA: De no mínimo, 60 (sessenta) dias contados a partir da data da sessão pública do Pregão.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b w:val="false"/>
          <w:b w:val="false"/>
          <w:bCs w:val="false"/>
        </w:rPr>
      </w:pPr>
      <w:r>
        <w:rPr>
          <w:rFonts w:ascii="Arial" w:hAnsi="Arial"/>
          <w:b w:val="false"/>
          <w:bCs w:val="false"/>
          <w:sz w:val="21"/>
          <w:szCs w:val="21"/>
        </w:rPr>
        <w:t>PRAZO DE VIGÊNCIA DO CONTRAT</w:t>
      </w:r>
      <w:r>
        <w:rPr>
          <w:rFonts w:ascii="Arial" w:hAnsi="Arial"/>
          <w:b w:val="false"/>
          <w:bCs w:val="false"/>
          <w:color w:val="000000"/>
          <w:sz w:val="21"/>
          <w:szCs w:val="21"/>
          <w:shd w:fill="FFFFFF" w:val="clear"/>
        </w:rPr>
        <w:t>O:</w:t>
      </w:r>
      <w:r>
        <w:rPr>
          <w:rFonts w:ascii="Arial" w:hAnsi="Arial"/>
          <w:b w:val="false"/>
          <w:bCs w:val="false"/>
          <w:color w:val="000000"/>
          <w:position w:val="0"/>
          <w:sz w:val="21"/>
          <w:sz w:val="21"/>
          <w:szCs w:val="21"/>
          <w:shd w:fill="FFFFFF" w:val="clear"/>
          <w:vertAlign w:val="baseline"/>
        </w:rPr>
        <w:t xml:space="preserve"> 12 (doze) meses a partir da publicação no PNCP.</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CUMPRIMENTO PLENO DOS REQUISITOS DE HABILITAÇÃO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19/2024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(E</w:t>
      </w:r>
      <w:r>
        <w:rPr>
          <w:rFonts w:ascii="Arial" w:hAnsi="Arial"/>
          <w:color w:val="C9211E"/>
          <w:sz w:val="21"/>
          <w:szCs w:val="21"/>
        </w:rPr>
        <w:t>NDEREÇO COMERCIAL</w:t>
      </w:r>
      <w:r>
        <w:rPr>
          <w:rFonts w:ascii="Arial" w:hAnsi="Arial"/>
          <w:sz w:val="21"/>
          <w:szCs w:val="21"/>
        </w:rPr>
        <w:t>)</w:t>
        <w:tab/>
        <w:t>, declara, sob as penas da Lei Federal nº 14.133, de 2021, que cumpre plenamente os requisitos para sua habilitação no presente processo licitatório.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OBS – </w:t>
      </w:r>
      <w:r>
        <w:rPr>
          <w:rFonts w:ascii="Arial" w:hAnsi="Arial"/>
          <w:color w:val="C9211E"/>
          <w:sz w:val="21"/>
          <w:szCs w:val="21"/>
        </w:rPr>
        <w:t>Se for Microempresa ou Empresa de Pequeno Porte – EPP com problemas na habilitação, fazer constar tal ressalva.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IV</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AUSÊNCIA DE CONDENAÇÃO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19/2024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2021,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V</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AUSÊNCIA DE VÍNCULO SOCIAL E FUNCIONAL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19/2024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 ____________, sediada em (</w:t>
      </w:r>
      <w:r>
        <w:rPr>
          <w:rFonts w:ascii="Arial" w:hAnsi="Arial"/>
          <w:color w:val="C9211E"/>
          <w:sz w:val="21"/>
          <w:szCs w:val="21"/>
        </w:rPr>
        <w:t>ENDEREÇO COMERCIAL</w:t>
      </w:r>
      <w:r>
        <w:rPr>
          <w:rFonts w:ascii="Arial" w:hAnsi="Arial"/>
          <w:sz w:val="21"/>
          <w:szCs w:val="21"/>
        </w:rPr>
        <w:t>)</w:t>
        <w:tab/>
        <w:t>através de seu representante legal, Sr(a). _________________, declara, sob as penas da Lei Federal nº 14.133, 2021,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bem como declara</w:t>
      </w:r>
      <w:r>
        <w:rPr>
          <w:rFonts w:eastAsia="Times New Roman" w:cs="Arial" w:ascii="Arial" w:hAnsi="Arial"/>
          <w:kern w:val="0"/>
          <w:sz w:val="21"/>
          <w:szCs w:val="21"/>
          <w:lang w:eastAsia="pt-BR"/>
        </w:rPr>
        <w:t xml:space="preserve"> sob as penas da lei </w:t>
      </w:r>
      <w:r>
        <w:rPr>
          <w:rFonts w:eastAsia="Times New Roman" w:cs="Arial" w:ascii="Arial" w:hAnsi="Arial"/>
          <w:bCs/>
          <w:kern w:val="0"/>
          <w:sz w:val="21"/>
          <w:szCs w:val="21"/>
          <w:lang w:eastAsia="pt-BR"/>
        </w:rPr>
        <w:t>que não integra em seus quadros social e funcional, servidor público da administração direta ou indireta do Município de Lindóia do Sul, e agente político da esfera municipal de Lindóia do Sul, do Estado de Santa Catarina, e da União.</w:t>
      </w:r>
    </w:p>
    <w:p>
      <w:pPr>
        <w:pStyle w:val="Normal"/>
        <w:widowControl/>
        <w:suppressAutoHyphens w:val="true"/>
        <w:bidi w:val="0"/>
        <w:spacing w:lineRule="auto" w:line="300" w:before="0" w:after="0"/>
        <w:ind w:left="0" w:right="0" w:hanging="0"/>
        <w:jc w:val="both"/>
        <w:rPr/>
      </w:pPr>
      <w:r>
        <w:rPr>
          <w:rFonts w:eastAsia="Arial" w:cs="Arial" w:ascii="Arial" w:hAnsi="Arial"/>
          <w:b w:val="false"/>
          <w:bCs w:val="false"/>
          <w:kern w:val="0"/>
          <w:sz w:val="21"/>
          <w:szCs w:val="21"/>
          <w:lang w:eastAsia="pt-BR"/>
        </w:rPr>
        <w:tab/>
      </w:r>
      <w:r>
        <w:rPr>
          <w:rFonts w:eastAsia="Times New Roman" w:cs="Arial" w:ascii="Arial" w:hAnsi="Arial"/>
          <w:b w:val="false"/>
          <w:bCs w:val="false"/>
          <w:kern w:val="0"/>
          <w:sz w:val="21"/>
          <w:szCs w:val="21"/>
          <w:lang w:eastAsia="pt-BR"/>
        </w:rPr>
        <w:t xml:space="preserve">Portanto, inclusive, a empresa declara que também está em conformidade com o que prevê o art. </w:t>
      </w:r>
      <w:r>
        <w:rPr>
          <w:rFonts w:cs="Arial" w:ascii="Arial" w:hAnsi="Arial"/>
          <w:b w:val="false"/>
          <w:bCs w:val="false"/>
          <w:kern w:val="2"/>
          <w:sz w:val="21"/>
          <w:szCs w:val="21"/>
          <w:lang w:eastAsia="zh-CN"/>
        </w:rPr>
        <w:t>54 I “a” da Constituição Federal e art. 43 I ”a” e II “a” da Constituição do Estado de Santa Catarina.</w:t>
      </w:r>
      <w:r>
        <w:rPr>
          <w:rFonts w:eastAsia="Times New Roman" w:cs="Arial" w:ascii="Arial" w:hAnsi="Arial"/>
          <w:b w:val="false"/>
          <w:bCs w:val="false"/>
          <w:kern w:val="0"/>
          <w:sz w:val="21"/>
          <w:szCs w:val="21"/>
          <w:lang w:eastAsia="pt-BR"/>
        </w:rPr>
        <w:t xml:space="preserve"> </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VI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MICROEMPRESAS E EMPRESAS DE PEQUENO PORTE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19/2024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A empresa</w:t>
        <w:tab/>
        <w:tab/>
        <w:t>, inscrita no CNPJ sob o nº</w:t>
        <w:tab/>
        <w:tab/>
        <w:t>, por intermédio de seu representante legal, o(a) Sr.(a.) ou procurado</w:t>
        <w:tab/>
        <w:tab/>
        <w:t>, portador(a) da Carteira de Identidade nº</w:t>
        <w:tab/>
        <w:t>, do CPF nº</w:t>
        <w:tab/>
        <w:tab/>
        <w:t>, DECLARA, sob as penas elencadas na Lei Federal n° 14.133, de 2021, que em conformidade com o previsto no art. 3° da Lei Complementar n° 123, de 15 de dezembro de 2006, ter a receita bruta equivalente a uma</w:t>
        <w:tab/>
        <w:tab/>
        <w:tab/>
        <w:t>(microempresa ou empresa de pequeno porte). Declara ainda que não há nenhum dos impedimentos previstos no § 4°, art. 3° da LC 123/06.</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VII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ENQUADRAMENTO DE RECEITA BRUTA PARA FINS DE BENEFÍCIO PREVISTO NA LEI COMPLEMENTAR FEDERAL 123/2006</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19/2024</w:t>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A empresa</w:t>
        <w:tab/>
        <w:tab/>
        <w:t>, inscrita no CNPJ sob o nº</w:t>
        <w:tab/>
        <w:tab/>
        <w:t>, por intermédio de seu representante legal, o(a) Sr.(a.) ou procurador</w:t>
        <w:tab/>
        <w:tab/>
        <w:t>, portador(a) da Carteira de Identidade nº</w:t>
        <w:tab/>
        <w:t>, do CPF nº</w:t>
        <w:tab/>
        <w:tab/>
        <w:t>, DECLARA, sob as penas elencadas na Lei Federal n° 14.133, de 2021, que não celebrou contratos com a Administração Pública cujos valores somados extrapolou a receita bruta máxima admitida para fins de enquadramento como Empresa de Pequeno Porte no ano-calendário desta licitação, em conformidade com o previsto no inciso II, do art. 3° da Lei Complementar n° 123, de 15 de dezembro de 2006 e § 2º, do art. 4º, da Lei Federal nº 14.133, de 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VIII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CUMPRIMENTO DO ARTIGO 7º, INCISO XXXIII, DA CONSTITUIÇÃO DA REPÚBLICA FEDERATIVA DO BRASIL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19/2024</w:t>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Nome da Empresa</w:t>
        <w:tab/>
        <w:t>, inscrito no CNPJ n°</w:t>
        <w:tab/>
        <w:t>, por intermédio de seu representante    legal o(a) Sr(a).</w:t>
        <w:tab/>
        <w:tab/>
        <w:t>, portador(a) da Carteira de Identidade nº</w:t>
        <w:tab/>
        <w:t>e do CPF nº</w:t>
        <w:tab/>
        <w:tab/>
        <w:tab/>
        <w:t>, DECLARA, para fins do disposto no inciso V do artigo 68, da Lei Federal nº 14.133, de 2021, que não emprega menor de dezoito anos em trabalho noturno, perigoso ou insalubre, e não emprega menor de dezesseis anos (art. 7º, inciso XXXIII, da Constituição Federal).</w:t>
      </w:r>
    </w:p>
    <w:p>
      <w:pPr>
        <w:pStyle w:val="Normal"/>
        <w:widowControl/>
        <w:suppressAutoHyphens w:val="true"/>
        <w:bidi w:val="0"/>
        <w:spacing w:lineRule="auto" w:line="300" w:before="0" w:after="0"/>
        <w:ind w:left="0" w:right="0" w:hanging="0"/>
        <w:jc w:val="both"/>
        <w:rPr/>
      </w:pPr>
      <w:r>
        <w:rPr>
          <w:rFonts w:ascii="Arial" w:hAnsi="Arial"/>
          <w:sz w:val="21"/>
          <w:szCs w:val="21"/>
        </w:rPr>
        <w:t>Ressalva: emprega menor, a partir de quatorze anos, na condição de aprendiz (   ).</w:t>
      </w:r>
    </w:p>
    <w:p>
      <w:pPr>
        <w:pStyle w:val="Normal"/>
        <w:widowControl/>
        <w:suppressAutoHyphens w:val="true"/>
        <w:bidi w:val="0"/>
        <w:spacing w:lineRule="auto" w:line="300" w:before="0" w:after="0"/>
        <w:ind w:left="0" w:right="0" w:hanging="0"/>
        <w:jc w:val="both"/>
        <w:rPr/>
      </w:pPr>
      <w:r>
        <w:rPr>
          <w:rFonts w:ascii="Arial" w:hAnsi="Arial"/>
          <w:sz w:val="21"/>
          <w:szCs w:val="21"/>
        </w:rPr>
        <w:t>(Observação: em caso afirmativo, assinalar a ressalva acima)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p>
    <w:p>
      <w:pPr>
        <w:pStyle w:val="Normal"/>
        <w:widowControl/>
        <w:suppressAutoHyphens w:val="true"/>
        <w:bidi w:val="0"/>
        <w:spacing w:lineRule="auto" w:line="300" w:before="0" w:after="0"/>
        <w:ind w:left="0" w:right="0" w:hanging="0"/>
        <w:jc w:val="both"/>
        <w:rPr/>
      </w:pP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IX</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RESERVA DE CARGOS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19/2024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 declara, sob as penas da Lei Federal nº 14.133, de 2021, que cumpre as exigências de reserva de cargos para pessoa com deficiência e para reabilitado da Previdência Social, previstas em lei e em outras normas específicas.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Observação: </w:t>
      </w:r>
      <w:r>
        <w:rPr>
          <w:rFonts w:ascii="Arial" w:hAnsi="Arial"/>
          <w:sz w:val="21"/>
          <w:szCs w:val="21"/>
          <w:shd w:fill="FFFF00" w:val="clear"/>
        </w:rPr>
        <w:t>Os licitantes que, por sua natureza ou por força de lei, estiverem dispensados do cumprimento da reserva de cargos descrito nesta declaração, deverão apresentar declaração identificando a situação e citando os dispositivos legais pertinentes.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X</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INTEGRALIDADE DE CUSTOS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19/2024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XI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MODELO DE DECLARAÇÃO DE CONHECIMENTO DAS ESPECIFICAÇÕES E NORMAS PERTINENTES À EXECUÇÃO DOS SERVIÇOS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19/2024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Declaro, para os devidos fins da Licitação referente ao Pregão, na forma Eletrônica – Edital nº ___/2024, que a empresa</w:t>
        <w:tab/>
        <w:t>_________________, tomou conhecimento de todas as normas, especificações e informações necessárias e obrigatórias para a perfeita consecução do objeto do Edital supra, nos termos do art. 67, VI, da Lei Federal nº 14.133, de 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XII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111/2024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19/2024</w:t>
      </w:r>
    </w:p>
    <w:p>
      <w:pPr>
        <w:pStyle w:val="Normal"/>
        <w:spacing w:lineRule="auto" w:line="300" w:before="0" w:after="0"/>
        <w:ind w:left="0" w:right="0" w:hanging="0"/>
        <w:jc w:val="center"/>
        <w:rPr>
          <w:rFonts w:ascii="Arial" w:hAnsi="Arial" w:cs="Arial"/>
          <w:b/>
          <w:b/>
          <w:bCs/>
          <w:color w:val="000000"/>
          <w:kern w:val="2"/>
          <w:sz w:val="21"/>
          <w:szCs w:val="21"/>
          <w:lang w:eastAsia="zxx"/>
        </w:rPr>
      </w:pPr>
      <w:r>
        <w:rPr>
          <w:rFonts w:cs="Arial" w:ascii="Arial" w:hAnsi="Arial"/>
          <w:b/>
          <w:bCs/>
          <w:color w:val="000000"/>
          <w:kern w:val="2"/>
          <w:sz w:val="21"/>
          <w:szCs w:val="21"/>
          <w:lang w:eastAsia="zxx"/>
        </w:rPr>
      </w:r>
    </w:p>
    <w:p>
      <w:pPr>
        <w:pStyle w:val="Normal"/>
        <w:spacing w:lineRule="auto" w:line="300" w:before="0" w:after="0"/>
        <w:ind w:left="0" w:right="0" w:hanging="0"/>
        <w:jc w:val="left"/>
        <w:rPr/>
      </w:pPr>
      <w:r>
        <w:rPr>
          <w:rFonts w:cs="Arial" w:ascii="Arial" w:hAnsi="Arial"/>
          <w:b/>
          <w:bCs/>
          <w:color w:val="000000"/>
          <w:kern w:val="2"/>
          <w:sz w:val="21"/>
          <w:szCs w:val="21"/>
          <w:lang w:eastAsia="zxx"/>
        </w:rPr>
        <w:t>ATA DE REGISTRO DE PREÇOS Nº __/2024</w:t>
      </w:r>
    </w:p>
    <w:p>
      <w:pPr>
        <w:pStyle w:val="Normal"/>
        <w:spacing w:lineRule="auto" w:line="300" w:before="0" w:after="0"/>
        <w:ind w:left="0" w:right="0" w:hanging="0"/>
        <w:jc w:val="both"/>
        <w:rPr>
          <w:rFonts w:ascii="Arial" w:hAnsi="Arial" w:cs="Arial"/>
          <w:b/>
          <w:b/>
          <w:bCs/>
          <w:color w:val="000000"/>
          <w:kern w:val="2"/>
          <w:sz w:val="21"/>
          <w:szCs w:val="21"/>
          <w:lang w:eastAsia="zxx"/>
        </w:rPr>
      </w:pPr>
      <w:r>
        <w:rPr>
          <w:rFonts w:cs="Arial" w:ascii="Arial" w:hAnsi="Arial"/>
          <w:b/>
          <w:bCs/>
          <w:color w:val="000000"/>
          <w:kern w:val="2"/>
          <w:sz w:val="21"/>
          <w:szCs w:val="21"/>
          <w:lang w:eastAsia="zxx"/>
        </w:rPr>
      </w:r>
    </w:p>
    <w:p>
      <w:pPr>
        <w:pStyle w:val="Normal"/>
        <w:widowControl/>
        <w:suppressAutoHyphens w:val="false"/>
        <w:spacing w:lineRule="auto" w:line="300" w:before="0" w:after="0"/>
        <w:ind w:left="0" w:right="0" w:hanging="0"/>
        <w:jc w:val="both"/>
        <w:rPr/>
      </w:pPr>
      <w:r>
        <w:rPr>
          <w:rFonts w:cs="Arial" w:ascii="Arial" w:hAnsi="Arial"/>
          <w:b w:val="false"/>
          <w:bCs w:val="false"/>
          <w:kern w:val="2"/>
          <w:sz w:val="21"/>
          <w:szCs w:val="21"/>
          <w:lang w:eastAsia="zxx"/>
        </w:rPr>
        <w:t xml:space="preserve">O </w:t>
      </w:r>
      <w:r>
        <w:rPr>
          <w:rFonts w:cs="Arial" w:ascii="Arial" w:hAnsi="Arial"/>
          <w:b/>
          <w:bCs/>
          <w:kern w:val="2"/>
          <w:sz w:val="21"/>
          <w:szCs w:val="21"/>
          <w:lang w:eastAsia="zxx"/>
        </w:rPr>
        <w:t>Município de Lindóia do Sul</w:t>
      </w:r>
      <w:r>
        <w:rPr>
          <w:rFonts w:cs="Arial" w:ascii="Arial" w:hAnsi="Arial"/>
          <w:b w:val="false"/>
          <w:bCs w:val="false"/>
          <w:kern w:val="2"/>
          <w:sz w:val="21"/>
          <w:szCs w:val="21"/>
          <w:lang w:eastAsia="zxx"/>
        </w:rPr>
        <w:t xml:space="preserve"> - SC, localizada na Rua Tamandaré, 98, Centro, neste ato representado pelo Prefeito Municipal, Sr. </w:t>
      </w:r>
      <w:r>
        <w:rPr>
          <w:rFonts w:cs="Arial" w:ascii="Arial" w:hAnsi="Arial"/>
          <w:b/>
          <w:bCs/>
          <w:kern w:val="2"/>
          <w:sz w:val="21"/>
          <w:szCs w:val="21"/>
          <w:lang w:eastAsia="zxx"/>
        </w:rPr>
        <w:t>Neudi Angelo Bertol</w:t>
      </w:r>
      <w:r>
        <w:rPr>
          <w:rFonts w:cs="Arial" w:ascii="Arial" w:hAnsi="Arial"/>
          <w:b w:val="false"/>
          <w:bCs w:val="false"/>
          <w:color w:val="000000"/>
          <w:kern w:val="2"/>
          <w:sz w:val="21"/>
          <w:szCs w:val="21"/>
          <w:lang w:eastAsia="zxx"/>
        </w:rPr>
        <w:t xml:space="preserve">, e a empresa ____________________, inscrita no CNPJ nº ____________________, localizada _______________________, no município de _____________________________, nesta Ata representada pelo seu ____________, Sr. __________________, portador do CPF n° ______________ nos termos da Lei Federal n. 14.133/2021, das demais normas legais aplicáveis, em face da classificação das propostas apresentadas no PREGÃO ELETRÔNICO nº 19/2024, Ata de julgamento de Preços e homologada pela autoridade competente, RESOLVEM registrar os preços para possível </w:t>
      </w:r>
      <w:r>
        <w:rPr>
          <w:rFonts w:cs="Arial" w:ascii="Arial" w:hAnsi="Arial"/>
          <w:b w:val="false"/>
          <w:bCs w:val="false"/>
          <w:color w:val="000000"/>
          <w:sz w:val="21"/>
          <w:szCs w:val="21"/>
        </w:rPr>
        <w:t xml:space="preserve">aquisição conforme a necessidade de combustíveis( óleo diesel s10, gasolina comum) </w:t>
      </w:r>
      <w:r>
        <w:rPr>
          <w:rFonts w:eastAsia="Times New Roman" w:cs="Arial" w:ascii="Arial" w:hAnsi="Arial"/>
          <w:b w:val="false"/>
          <w:bCs w:val="false"/>
          <w:color w:val="000000"/>
          <w:sz w:val="21"/>
          <w:szCs w:val="21"/>
        </w:rPr>
        <w:t>,</w:t>
      </w:r>
      <w:r>
        <w:rPr>
          <w:rFonts w:cs="Arial" w:ascii="Arial" w:hAnsi="Arial"/>
          <w:b w:val="false"/>
          <w:bCs w:val="false"/>
          <w:color w:val="000000"/>
          <w:sz w:val="21"/>
          <w:szCs w:val="21"/>
        </w:rPr>
        <w:t xml:space="preserve"> </w:t>
      </w:r>
      <w:r>
        <w:rPr>
          <w:rFonts w:eastAsia="Times New Roman" w:cs="Arial" w:ascii="Arial" w:hAnsi="Arial"/>
          <w:b w:val="false"/>
          <w:bCs w:val="false"/>
          <w:color w:val="000000"/>
          <w:kern w:val="0"/>
          <w:sz w:val="21"/>
          <w:szCs w:val="21"/>
          <w:lang w:eastAsia="zh-CN"/>
        </w:rPr>
        <w:t>conforme especificações constantes do ANEXO “I” do Edital</w:t>
      </w:r>
      <w:r>
        <w:rPr>
          <w:rFonts w:cs="Arial" w:ascii="Arial" w:hAnsi="Arial"/>
          <w:b w:val="false"/>
          <w:bCs w:val="false"/>
          <w:color w:val="000000"/>
          <w:kern w:val="2"/>
          <w:sz w:val="21"/>
          <w:szCs w:val="21"/>
          <w:lang w:eastAsia="zxx"/>
        </w:rPr>
        <w:t>, objeto do PREGÃO ELETRÔNICO acima citado, que passa a fazer parte desta, nos seguintes termos:</w:t>
      </w:r>
    </w:p>
    <w:p>
      <w:pPr>
        <w:pStyle w:val="Normal"/>
        <w:widowControl/>
        <w:suppressAutoHyphens w:val="false"/>
        <w:spacing w:lineRule="auto" w:line="300" w:before="0" w:after="0"/>
        <w:ind w:left="0" w:right="0" w:hanging="0"/>
        <w:jc w:val="both"/>
        <w:rPr>
          <w:rFonts w:ascii="Arial" w:hAnsi="Arial" w:cs="Arial"/>
          <w:color w:val="000000"/>
          <w:kern w:val="2"/>
          <w:sz w:val="21"/>
          <w:szCs w:val="21"/>
          <w:lang w:eastAsia="zxx"/>
        </w:rPr>
      </w:pPr>
      <w:r>
        <w:rPr>
          <w:rFonts w:cs="Arial" w:ascii="Arial" w:hAnsi="Arial"/>
          <w:color w:val="000000"/>
          <w:kern w:val="2"/>
          <w:sz w:val="21"/>
          <w:szCs w:val="21"/>
          <w:lang w:eastAsia="zxx"/>
        </w:rPr>
      </w:r>
    </w:p>
    <w:p>
      <w:pPr>
        <w:pStyle w:val="Normal"/>
        <w:widowControl/>
        <w:suppressAutoHyphens w:val="false"/>
        <w:spacing w:lineRule="auto" w:line="300" w:before="0" w:after="0"/>
        <w:ind w:left="0" w:right="0" w:hanging="0"/>
        <w:jc w:val="both"/>
        <w:rPr/>
      </w:pPr>
      <w:r>
        <w:rPr>
          <w:rFonts w:cs="Arial" w:ascii="Arial" w:hAnsi="Arial"/>
          <w:b/>
          <w:bCs/>
          <w:color w:val="000000"/>
          <w:kern w:val="2"/>
          <w:sz w:val="21"/>
          <w:szCs w:val="21"/>
          <w:lang w:eastAsia="zxx"/>
        </w:rPr>
        <w:t>CLÁUSULA PRIMEIRA – DO OBJETO</w:t>
      </w:r>
    </w:p>
    <w:p>
      <w:pPr>
        <w:pStyle w:val="Normal"/>
        <w:tabs>
          <w:tab w:val="clear" w:pos="708"/>
          <w:tab w:val="left" w:pos="2340" w:leader="none"/>
          <w:tab w:val="left" w:pos="4464" w:leader="none"/>
        </w:tabs>
        <w:spacing w:lineRule="auto" w:line="300" w:before="0" w:after="0"/>
        <w:ind w:left="0" w:right="0" w:hanging="0"/>
        <w:jc w:val="both"/>
        <w:rPr>
          <w:rFonts w:ascii="Arial" w:hAnsi="Arial" w:cs="Arial"/>
          <w:bCs/>
          <w:color w:val="000000"/>
          <w:kern w:val="2"/>
          <w:sz w:val="21"/>
          <w:szCs w:val="21"/>
          <w:lang w:eastAsia="zxx"/>
        </w:rPr>
      </w:pPr>
      <w:r>
        <w:rPr>
          <w:rFonts w:cs="Arial" w:ascii="Arial" w:hAnsi="Arial"/>
          <w:bCs/>
          <w:color w:val="000000"/>
          <w:kern w:val="2"/>
          <w:sz w:val="21"/>
          <w:szCs w:val="21"/>
          <w:lang w:eastAsia="zxx"/>
        </w:rPr>
      </w:r>
    </w:p>
    <w:p>
      <w:pPr>
        <w:pStyle w:val="Normal"/>
        <w:tabs>
          <w:tab w:val="clear" w:pos="708"/>
          <w:tab w:val="left" w:pos="2340" w:leader="none"/>
          <w:tab w:val="left" w:pos="4464" w:leader="none"/>
        </w:tabs>
        <w:spacing w:lineRule="auto" w:line="300" w:before="0" w:after="0"/>
        <w:ind w:left="0" w:right="0" w:hanging="0"/>
        <w:jc w:val="both"/>
        <w:rPr/>
      </w:pPr>
      <w:r>
        <w:rPr>
          <w:rFonts w:cs="Arial" w:ascii="Arial" w:hAnsi="Arial"/>
          <w:bCs/>
          <w:color w:val="000000"/>
          <w:kern w:val="2"/>
          <w:sz w:val="21"/>
          <w:szCs w:val="21"/>
          <w:lang w:eastAsia="zxx"/>
        </w:rPr>
        <w:t>1.1. A presente Ata tem por objeto o REGISTRO DE PREÇOS para  aquisição de combustível,  de acordo com os quantitativos estimados e durante o prazo de vigência da Ata de Registro de Preços.</w:t>
      </w:r>
    </w:p>
    <w:p>
      <w:pPr>
        <w:pStyle w:val="Normal"/>
        <w:tabs>
          <w:tab w:val="clear" w:pos="708"/>
          <w:tab w:val="left" w:pos="2340" w:leader="none"/>
          <w:tab w:val="left" w:pos="4464" w:leader="none"/>
        </w:tabs>
        <w:spacing w:lineRule="auto" w:line="300" w:before="0" w:after="0"/>
        <w:ind w:left="0" w:right="0" w:hanging="0"/>
        <w:jc w:val="both"/>
        <w:rPr>
          <w:rFonts w:ascii="Arial" w:hAnsi="Arial" w:cs="Arial"/>
          <w:bCs/>
          <w:color w:val="000000"/>
          <w:kern w:val="2"/>
          <w:sz w:val="21"/>
          <w:szCs w:val="21"/>
          <w:lang w:eastAsia="zxx"/>
        </w:rPr>
      </w:pPr>
      <w:r>
        <w:rPr>
          <w:rFonts w:cs="Arial" w:ascii="Arial" w:hAnsi="Arial"/>
          <w:bCs/>
          <w:color w:val="000000"/>
          <w:kern w:val="2"/>
          <w:sz w:val="21"/>
          <w:szCs w:val="21"/>
          <w:lang w:eastAsia="zxx"/>
        </w:rPr>
      </w:r>
    </w:p>
    <w:p>
      <w:pPr>
        <w:pStyle w:val="Normal"/>
        <w:tabs>
          <w:tab w:val="clear" w:pos="708"/>
          <w:tab w:val="left" w:pos="2340" w:leader="none"/>
          <w:tab w:val="left" w:pos="4464" w:leader="none"/>
        </w:tabs>
        <w:spacing w:lineRule="auto" w:line="300" w:before="0" w:after="0"/>
        <w:ind w:left="0" w:right="0" w:hanging="0"/>
        <w:jc w:val="both"/>
        <w:rPr/>
      </w:pPr>
      <w:r>
        <w:rPr>
          <w:rFonts w:cs="Arial" w:ascii="Arial" w:hAnsi="Arial"/>
          <w:bCs/>
          <w:color w:val="000000"/>
          <w:kern w:val="2"/>
          <w:sz w:val="21"/>
          <w:szCs w:val="21"/>
          <w:lang w:eastAsia="zxx"/>
        </w:rPr>
        <w:t>1.2. As quantidades estimadas para a presente Ata são as descritas na tabela abaixo:</w:t>
      </w:r>
    </w:p>
    <w:p>
      <w:pPr>
        <w:pStyle w:val="Normal"/>
        <w:tabs>
          <w:tab w:val="clear" w:pos="708"/>
          <w:tab w:val="left" w:pos="2340" w:leader="none"/>
          <w:tab w:val="left" w:pos="4464" w:leader="none"/>
        </w:tabs>
        <w:spacing w:lineRule="auto" w:line="30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tbl>
      <w:tblPr>
        <w:tblW w:w="9135" w:type="dxa"/>
        <w:jc w:val="left"/>
        <w:tblInd w:w="122" w:type="dxa"/>
        <w:tblLayout w:type="fixed"/>
        <w:tblCellMar>
          <w:top w:w="0" w:type="dxa"/>
          <w:left w:w="98" w:type="dxa"/>
          <w:bottom w:w="0" w:type="dxa"/>
          <w:right w:w="108" w:type="dxa"/>
        </w:tblCellMar>
      </w:tblPr>
      <w:tblGrid>
        <w:gridCol w:w="840"/>
        <w:gridCol w:w="913"/>
        <w:gridCol w:w="842"/>
        <w:gridCol w:w="1080"/>
        <w:gridCol w:w="3011"/>
        <w:gridCol w:w="1086"/>
        <w:gridCol w:w="1362"/>
      </w:tblGrid>
      <w:tr>
        <w:trPr/>
        <w:tc>
          <w:tcPr>
            <w:tcW w:w="8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Item</w:t>
            </w:r>
          </w:p>
        </w:tc>
        <w:tc>
          <w:tcPr>
            <w:tcW w:w="91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Quant</w:t>
            </w:r>
          </w:p>
        </w:tc>
        <w:tc>
          <w:tcPr>
            <w:tcW w:w="84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Unid</w:t>
            </w:r>
          </w:p>
        </w:tc>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Marca</w:t>
            </w:r>
          </w:p>
        </w:tc>
        <w:tc>
          <w:tcPr>
            <w:tcW w:w="301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Descrição</w:t>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Vl. Unit</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Vl. Total</w:t>
            </w:r>
          </w:p>
        </w:tc>
      </w:tr>
      <w:tr>
        <w:trPr/>
        <w:tc>
          <w:tcPr>
            <w:tcW w:w="8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91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4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301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8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91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4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301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7772" w:type="dxa"/>
            <w:gridSpan w:val="6"/>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cs="Arial"/>
                <w:b/>
                <w:b/>
                <w:color w:val="000000"/>
                <w:sz w:val="21"/>
                <w:szCs w:val="21"/>
              </w:rPr>
            </w:pPr>
            <w:r>
              <w:rPr>
                <w:rFonts w:cs="Arial" w:ascii="Arial" w:hAnsi="Arial"/>
                <w:b/>
                <w:color w:val="000000"/>
                <w:sz w:val="21"/>
                <w:szCs w:val="21"/>
              </w:rPr>
              <w:t>TOTAL DA PROPOSTA</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bl>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spacing w:lineRule="auto" w:line="276" w:before="0" w:after="0"/>
        <w:ind w:left="0" w:right="0" w:hanging="0"/>
        <w:jc w:val="both"/>
        <w:rPr/>
      </w:pPr>
      <w:r>
        <w:rPr>
          <w:rFonts w:cs="Arial" w:ascii="Arial" w:hAnsi="Arial"/>
          <w:b/>
          <w:bCs/>
          <w:color w:val="000000"/>
          <w:sz w:val="21"/>
          <w:szCs w:val="21"/>
          <w:lang w:eastAsia="zxx"/>
        </w:rPr>
        <w:t>CLÁUSULA SEGUNDA – DA VALIDADE DA ATA</w:t>
      </w:r>
    </w:p>
    <w:p>
      <w:pPr>
        <w:pStyle w:val="Normal"/>
        <w:spacing w:lineRule="auto" w:line="276" w:before="0" w:after="0"/>
        <w:ind w:left="0" w:right="0" w:hanging="0"/>
        <w:jc w:val="both"/>
        <w:rPr>
          <w:rFonts w:ascii="Arial" w:hAnsi="Arial" w:cs="Arial"/>
          <w:b/>
          <w:b/>
          <w:bCs/>
          <w:color w:val="000000"/>
          <w:sz w:val="21"/>
          <w:szCs w:val="21"/>
          <w:lang w:eastAsia="zxx"/>
        </w:rPr>
      </w:pPr>
      <w:r>
        <w:rPr>
          <w:rFonts w:cs="Arial" w:ascii="Arial" w:hAnsi="Arial"/>
          <w:b/>
          <w:bCs/>
          <w:color w:val="000000"/>
          <w:sz w:val="21"/>
          <w:szCs w:val="21"/>
          <w:lang w:eastAsia="zxx"/>
        </w:rPr>
      </w:r>
    </w:p>
    <w:p>
      <w:pPr>
        <w:pStyle w:val="Normal"/>
        <w:spacing w:lineRule="auto" w:line="276" w:before="0" w:after="0"/>
        <w:ind w:left="0" w:right="0" w:hanging="0"/>
        <w:jc w:val="both"/>
        <w:rPr/>
      </w:pPr>
      <w:r>
        <w:rPr>
          <w:rFonts w:cs="Arial" w:ascii="Arial" w:hAnsi="Arial"/>
          <w:bCs/>
          <w:color w:val="000000"/>
          <w:sz w:val="21"/>
          <w:szCs w:val="21"/>
          <w:lang w:eastAsia="zxx"/>
        </w:rPr>
        <w:t xml:space="preserve">2.1. </w:t>
      </w:r>
      <w:r>
        <w:rPr>
          <w:rFonts w:eastAsia="Times New Roman" w:cs="Arial"/>
          <w:bCs/>
          <w:color w:val="000000"/>
          <w:kern w:val="0"/>
          <w:sz w:val="21"/>
          <w:szCs w:val="21"/>
          <w:lang w:eastAsia="zh-CN"/>
        </w:rPr>
        <w:t xml:space="preserve">O prazo de vigência da ata de registro de preços será de 1 (um) ano e poderá ser prorrogado por igual período, desde que comprovado o preço vantajoso, nos termos do art. 84, </w:t>
      </w:r>
      <w:r>
        <w:rPr>
          <w:rFonts w:eastAsia="Times New Roman" w:cs="Arial"/>
          <w:bCs/>
          <w:i/>
          <w:iCs/>
          <w:color w:val="000000"/>
          <w:kern w:val="0"/>
          <w:sz w:val="21"/>
          <w:szCs w:val="21"/>
          <w:lang w:eastAsia="zh-CN"/>
        </w:rPr>
        <w:t>caput</w:t>
      </w:r>
      <w:r>
        <w:rPr>
          <w:rFonts w:eastAsia="Times New Roman" w:cs="Arial"/>
          <w:bCs/>
          <w:color w:val="000000"/>
          <w:kern w:val="0"/>
          <w:sz w:val="21"/>
          <w:szCs w:val="21"/>
          <w:lang w:eastAsia="zh-CN"/>
        </w:rPr>
        <w:t xml:space="preserve">, da Lei Federal n. 14.133/2021. </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lang w:eastAsia="zxx"/>
        </w:rPr>
        <w:t>2.1.1. 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t>2.2. Durante o prazo de validade desta Ata de Registro de Preços, a Administração Municipal de Lindóia do Sul não será obrigada a firmar as contratações que dela poderão advir, facultando-se-lhe a realização de licitação específica para a aquisição pretendida, sendo assegurado ao(s) beneficiário(s) do registro preferência de fornecimento em igualdade de condições.</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t>2.3. Os preços, durante a vigência da Ata, serão fixos e irreajustáveis, exceto nas hipóteses devidamente comprovadas, de ocorrência de situação prevista no art. 122 do Decreto Municipal nº 4.072/2024 ou de redução dos preços praticados no mercado.</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b/>
          <w:b/>
          <w:color w:val="000000"/>
          <w:sz w:val="21"/>
          <w:szCs w:val="21"/>
        </w:rPr>
      </w:pPr>
      <w:r>
        <w:rPr>
          <w:rFonts w:cs="Arial" w:ascii="Arial" w:hAnsi="Arial"/>
          <w:b/>
          <w:color w:val="000000"/>
          <w:sz w:val="21"/>
          <w:szCs w:val="21"/>
        </w:rPr>
        <w:t>CLÁUSULA TERCEIRA -  DO PRAZO, FORMA DE RECEBIMENTO E LOCAL DE ENTREGA DO OBJETO</w:t>
      </w:r>
    </w:p>
    <w:p>
      <w:pPr>
        <w:pStyle w:val="Normal"/>
        <w:spacing w:lineRule="auto" w:line="276" w:before="0" w:after="0"/>
        <w:ind w:left="0" w:right="0" w:hanging="0"/>
        <w:jc w:val="both"/>
        <w:rPr>
          <w:rFonts w:ascii="Arial" w:hAnsi="Arial" w:cs="Arial"/>
          <w:b/>
          <w:b/>
          <w:color w:val="000000"/>
          <w:sz w:val="21"/>
          <w:szCs w:val="21"/>
          <w:lang w:eastAsia="zxx"/>
        </w:rPr>
      </w:pPr>
      <w:r>
        <w:rPr>
          <w:rFonts w:cs="Arial" w:ascii="Arial" w:hAnsi="Arial"/>
          <w:b/>
          <w:color w:val="000000"/>
          <w:sz w:val="21"/>
          <w:szCs w:val="21"/>
          <w:lang w:eastAsia="zxx"/>
        </w:rPr>
      </w:r>
    </w:p>
    <w:p>
      <w:pPr>
        <w:pStyle w:val="Normal"/>
        <w:numPr>
          <w:ilvl w:val="0"/>
          <w:numId w:val="0"/>
        </w:numPr>
        <w:suppressAutoHyphens w:val="false"/>
        <w:spacing w:lineRule="auto" w:line="276" w:before="0" w:after="0"/>
        <w:ind w:left="0" w:right="0" w:hanging="0"/>
        <w:jc w:val="both"/>
        <w:rPr>
          <w:rFonts w:ascii="Arial" w:hAnsi="Arial" w:eastAsia="Times New Roman" w:cs="Arial"/>
          <w:color w:val="000000"/>
          <w:sz w:val="21"/>
          <w:szCs w:val="21"/>
          <w:shd w:fill="FFFF00" w:val="clear"/>
          <w:lang w:eastAsia="pt-BR"/>
        </w:rPr>
      </w:pPr>
      <w:r>
        <w:rPr>
          <w:rFonts w:eastAsia="Times New Roman" w:cs="Arial" w:ascii="Arial" w:hAnsi="Arial"/>
          <w:color w:val="000000"/>
          <w:sz w:val="21"/>
          <w:szCs w:val="21"/>
          <w:shd w:fill="FFFF00" w:val="clear"/>
          <w:lang w:eastAsia="pt-BR"/>
        </w:rPr>
      </w:r>
    </w:p>
    <w:p>
      <w:pPr>
        <w:pStyle w:val="Default"/>
        <w:spacing w:lineRule="auto" w:line="276" w:before="0" w:after="0"/>
        <w:ind w:left="0" w:hanging="0"/>
        <w:jc w:val="both"/>
        <w:rPr>
          <w:rFonts w:ascii="Arial" w:hAnsi="Arial"/>
          <w:sz w:val="21"/>
          <w:szCs w:val="21"/>
        </w:rPr>
      </w:pPr>
      <w:r>
        <w:rPr>
          <w:rFonts w:ascii="Arial" w:hAnsi="Arial"/>
          <w:sz w:val="21"/>
          <w:szCs w:val="21"/>
        </w:rPr>
        <w:t>3.1.Os itens deverão ser entregues de segunda a sexta-feira, das 08:00 às 11:30 e das 13:30 às 17:00, eventualmente a data de entrega poderá ser modificada e determinada pela secretaria solicitante.</w:t>
      </w:r>
      <w:r>
        <w:rPr>
          <w:rFonts w:ascii="Arial" w:hAnsi="Arial"/>
          <w:b/>
          <w:sz w:val="21"/>
          <w:szCs w:val="21"/>
        </w:rPr>
        <w:t xml:space="preserve"> </w:t>
      </w:r>
    </w:p>
    <w:p>
      <w:pPr>
        <w:pStyle w:val="Default"/>
        <w:spacing w:lineRule="auto" w:line="276" w:before="0" w:after="0"/>
        <w:ind w:left="0" w:hanging="0"/>
        <w:jc w:val="both"/>
        <w:rPr>
          <w:rFonts w:ascii="Arial" w:hAnsi="Arial"/>
          <w:sz w:val="21"/>
          <w:szCs w:val="21"/>
        </w:rPr>
      </w:pPr>
      <w:r>
        <w:rPr>
          <w:rFonts w:ascii="Arial" w:hAnsi="Arial"/>
          <w:sz w:val="21"/>
          <w:szCs w:val="21"/>
        </w:rPr>
      </w:r>
    </w:p>
    <w:p>
      <w:pPr>
        <w:pStyle w:val="Default"/>
        <w:spacing w:lineRule="auto" w:line="276" w:before="0" w:after="279"/>
        <w:ind w:left="0" w:hanging="0"/>
        <w:jc w:val="both"/>
        <w:rPr>
          <w:rFonts w:ascii="Arial" w:hAnsi="Arial"/>
          <w:sz w:val="21"/>
          <w:szCs w:val="21"/>
        </w:rPr>
      </w:pPr>
      <w:r>
        <w:rPr>
          <w:rFonts w:ascii="Arial" w:hAnsi="Arial"/>
          <w:b w:val="false"/>
          <w:sz w:val="21"/>
          <w:szCs w:val="21"/>
        </w:rPr>
        <w:t>3.1.1 O fornecimento do item 02 (gasolina comum) deverá ser efetuado conforme a necessidade do município de Lindóia do Sul, em bomba própria ou conveniada a qual deverá estar localizada no perímetro urbano do município, mediante apresentação de Ordem de Abastecimento fornecida pelo responsável do Setor de Controle de veículos.</w:t>
      </w:r>
    </w:p>
    <w:p>
      <w:pPr>
        <w:pStyle w:val="Default"/>
        <w:spacing w:lineRule="auto" w:line="276" w:before="0" w:after="0"/>
        <w:ind w:left="0" w:hanging="0"/>
        <w:jc w:val="both"/>
        <w:rPr>
          <w:rFonts w:ascii="Arial" w:hAnsi="Arial"/>
          <w:sz w:val="21"/>
          <w:szCs w:val="21"/>
        </w:rPr>
      </w:pPr>
      <w:r>
        <w:rPr>
          <w:rFonts w:ascii="Arial" w:hAnsi="Arial"/>
          <w:b w:val="false"/>
          <w:sz w:val="21"/>
          <w:szCs w:val="21"/>
        </w:rPr>
        <w:t>3.1.2 O fornecimento do item 01 (óleo diesel  S10 ) será conforme a necessidade do município através de solicitação feita pelo setor responsável, com entrega no prazo máximo de até 72 após a solicitação, na Secretaria Municipal de Infraestrutura e Transportes, em Linha Lageado Acídio a 2km da sede do município, o transporte deverá ser realizado com veículos especiais para este tipo de objeto.</w:t>
      </w:r>
    </w:p>
    <w:p>
      <w:pPr>
        <w:pStyle w:val="Default"/>
        <w:spacing w:lineRule="auto" w:line="276" w:before="0" w:after="0"/>
        <w:ind w:left="0" w:hanging="0"/>
        <w:jc w:val="both"/>
        <w:rPr>
          <w:rFonts w:ascii="Arial" w:hAnsi="Arial"/>
          <w:sz w:val="21"/>
          <w:szCs w:val="21"/>
        </w:rPr>
      </w:pPr>
      <w:r>
        <w:rPr>
          <w:rFonts w:ascii="Arial" w:hAnsi="Arial"/>
          <w:sz w:val="21"/>
          <w:szCs w:val="21"/>
        </w:rPr>
      </w:r>
    </w:p>
    <w:p>
      <w:pPr>
        <w:pStyle w:val="Default"/>
        <w:spacing w:before="0" w:after="284"/>
        <w:ind w:left="0" w:hanging="0"/>
        <w:jc w:val="both"/>
        <w:rPr>
          <w:rFonts w:ascii="Arial" w:hAnsi="Arial"/>
          <w:sz w:val="21"/>
          <w:szCs w:val="21"/>
        </w:rPr>
      </w:pPr>
      <w:r>
        <w:rPr>
          <w:rFonts w:ascii="Arial" w:hAnsi="Arial"/>
          <w:sz w:val="21"/>
          <w:szCs w:val="21"/>
        </w:rPr>
        <w:t xml:space="preserve">3.1.3 Todas as despesas relacionadas com as entregas em cada órgão participante ocorrerão por conta do fornecedor, sob o qual ficará a total responsabilidade de realizar o transporte adequado e manter em perfeitas condições de armazenamento todos os itens a serem entregues, garantindo a sua total eficiência e qualidade. </w:t>
      </w:r>
    </w:p>
    <w:p>
      <w:pPr>
        <w:pStyle w:val="Default"/>
        <w:spacing w:before="0" w:after="284"/>
        <w:ind w:left="0" w:hanging="0"/>
        <w:jc w:val="both"/>
        <w:rPr>
          <w:rFonts w:ascii="Arial" w:hAnsi="Arial"/>
          <w:sz w:val="21"/>
          <w:szCs w:val="21"/>
        </w:rPr>
      </w:pPr>
      <w:r>
        <w:rPr>
          <w:rFonts w:ascii="Arial" w:hAnsi="Arial"/>
          <w:sz w:val="21"/>
          <w:szCs w:val="21"/>
        </w:rPr>
        <w:t xml:space="preserve">3.1.4 O Município de Lindóia do Sul não se responsabiliza por possíveis danos ocorridos durante o transporte. </w:t>
      </w:r>
    </w:p>
    <w:p>
      <w:pPr>
        <w:pStyle w:val="Default"/>
        <w:spacing w:before="0" w:after="0"/>
        <w:ind w:left="0" w:hanging="0"/>
        <w:jc w:val="both"/>
        <w:rPr>
          <w:rFonts w:ascii="Arial" w:hAnsi="Arial"/>
          <w:sz w:val="21"/>
          <w:szCs w:val="21"/>
        </w:rPr>
      </w:pPr>
      <w:r>
        <w:rPr>
          <w:rFonts w:ascii="Arial" w:hAnsi="Arial"/>
          <w:sz w:val="21"/>
          <w:szCs w:val="21"/>
        </w:rPr>
      </w:r>
    </w:p>
    <w:p>
      <w:pPr>
        <w:pStyle w:val="Normal"/>
        <w:numPr>
          <w:ilvl w:val="0"/>
          <w:numId w:val="0"/>
        </w:numPr>
        <w:tabs>
          <w:tab w:val="clear" w:pos="708"/>
          <w:tab w:val="left" w:pos="142" w:leader="none"/>
        </w:tabs>
        <w:spacing w:lineRule="auto" w:line="276" w:before="0" w:after="0"/>
        <w:ind w:left="0" w:right="0" w:hanging="0"/>
        <w:jc w:val="both"/>
        <w:rPr>
          <w:rFonts w:ascii="Arial" w:hAnsi="Arial" w:cs="Arial"/>
          <w:kern w:val="2"/>
          <w:sz w:val="21"/>
          <w:szCs w:val="21"/>
        </w:rPr>
      </w:pPr>
      <w:r>
        <w:rPr>
          <w:rFonts w:cs="Arial" w:ascii="Arial" w:hAnsi="Arial"/>
          <w:kern w:val="2"/>
          <w:sz w:val="21"/>
          <w:szCs w:val="21"/>
        </w:rPr>
      </w:r>
    </w:p>
    <w:p>
      <w:pPr>
        <w:pStyle w:val="Normal"/>
        <w:numPr>
          <w:ilvl w:val="0"/>
          <w:numId w:val="0"/>
        </w:numPr>
        <w:tabs>
          <w:tab w:val="clear" w:pos="708"/>
          <w:tab w:val="left" w:pos="142" w:leader="none"/>
        </w:tabs>
        <w:spacing w:lineRule="auto" w:line="276" w:before="0" w:after="0"/>
        <w:ind w:left="0" w:right="0" w:hanging="0"/>
        <w:jc w:val="both"/>
        <w:rPr>
          <w:rFonts w:ascii="Arial" w:hAnsi="Arial" w:cs="Arial"/>
          <w:kern w:val="2"/>
          <w:sz w:val="21"/>
          <w:szCs w:val="21"/>
        </w:rPr>
      </w:pPr>
      <w:r>
        <w:rPr>
          <w:rFonts w:cs="Arial" w:ascii="Arial" w:hAnsi="Arial"/>
          <w:kern w:val="2"/>
          <w:sz w:val="21"/>
          <w:szCs w:val="21"/>
        </w:rPr>
        <w:t>3.2. Todos os custos com o objeto, frete, deslocamento, serão de responsabilidade exclusiva da licitante, sob o qual ficará a total responsabilidade de realizar o transporte adequado e manter em perfeitas condições de armazenamento todos os itens a serem entregues, garantindo a sua total eficiência e qualidade.</w:t>
      </w:r>
    </w:p>
    <w:p>
      <w:pPr>
        <w:pStyle w:val="Normal"/>
        <w:numPr>
          <w:ilvl w:val="0"/>
          <w:numId w:val="0"/>
        </w:numPr>
        <w:tabs>
          <w:tab w:val="clear" w:pos="708"/>
          <w:tab w:val="left" w:pos="142" w:leader="none"/>
        </w:tabs>
        <w:spacing w:lineRule="auto" w:line="276" w:before="0" w:after="0"/>
        <w:ind w:left="0" w:right="0" w:hanging="0"/>
        <w:jc w:val="both"/>
        <w:rPr>
          <w:rFonts w:ascii="Arial" w:hAnsi="Arial" w:cs="Arial"/>
          <w:kern w:val="2"/>
          <w:sz w:val="21"/>
          <w:szCs w:val="21"/>
        </w:rPr>
      </w:pPr>
      <w:r>
        <w:rPr>
          <w:rFonts w:cs="Arial" w:ascii="Arial" w:hAnsi="Arial"/>
          <w:kern w:val="2"/>
          <w:sz w:val="21"/>
          <w:szCs w:val="21"/>
        </w:rPr>
      </w:r>
    </w:p>
    <w:p>
      <w:pPr>
        <w:pStyle w:val="Normal"/>
        <w:numPr>
          <w:ilvl w:val="0"/>
          <w:numId w:val="0"/>
        </w:numPr>
        <w:tabs>
          <w:tab w:val="clear" w:pos="708"/>
          <w:tab w:val="left" w:pos="142" w:leader="none"/>
        </w:tabs>
        <w:spacing w:lineRule="auto" w:line="276"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t xml:space="preserve">3.3. O ato de recebimento não implica a aceitação do produto; </w:t>
      </w:r>
    </w:p>
    <w:p>
      <w:pPr>
        <w:pStyle w:val="Normal"/>
        <w:numPr>
          <w:ilvl w:val="0"/>
          <w:numId w:val="5"/>
        </w:numPr>
        <w:tabs>
          <w:tab w:val="clear" w:pos="708"/>
          <w:tab w:val="left" w:pos="142" w:leader="none"/>
        </w:tabs>
        <w:spacing w:lineRule="auto" w:line="276" w:before="0" w:after="0"/>
        <w:ind w:left="0" w:right="0" w:hanging="0"/>
        <w:jc w:val="both"/>
        <w:rPr>
          <w:rFonts w:ascii="Arial" w:hAnsi="Arial" w:cs="Arial"/>
          <w:kern w:val="2"/>
          <w:sz w:val="21"/>
          <w:szCs w:val="21"/>
        </w:rPr>
      </w:pPr>
      <w:r>
        <w:rPr>
          <w:rFonts w:cs="Arial" w:ascii="Arial" w:hAnsi="Arial"/>
          <w:kern w:val="2"/>
          <w:sz w:val="21"/>
          <w:szCs w:val="21"/>
        </w:rPr>
      </w:r>
    </w:p>
    <w:p>
      <w:pPr>
        <w:pStyle w:val="Normal"/>
        <w:spacing w:lineRule="auto" w:line="276" w:before="0" w:after="0"/>
        <w:ind w:left="0" w:right="0" w:hanging="0"/>
        <w:jc w:val="both"/>
        <w:rPr>
          <w:rFonts w:ascii="Arial" w:hAnsi="Arial" w:cs="Arial"/>
          <w:b/>
          <w:b/>
          <w:color w:val="000000"/>
          <w:sz w:val="21"/>
          <w:szCs w:val="21"/>
        </w:rPr>
      </w:pPr>
      <w:r>
        <w:rPr>
          <w:rFonts w:cs="Arial" w:ascii="Arial" w:hAnsi="Arial"/>
          <w:b/>
          <w:color w:val="000000"/>
          <w:sz w:val="21"/>
          <w:szCs w:val="21"/>
        </w:rPr>
        <w:t>CLÁUSULA QUARTA – DAS PENALIDADES</w:t>
      </w:r>
    </w:p>
    <w:p>
      <w:pPr>
        <w:pStyle w:val="Normal"/>
        <w:spacing w:lineRule="auto" w:line="276" w:before="0" w:after="0"/>
        <w:ind w:left="0" w:right="0" w:hanging="0"/>
        <w:jc w:val="both"/>
        <w:rPr>
          <w:rFonts w:ascii="Arial" w:hAnsi="Arial" w:cs="Arial"/>
          <w:b/>
          <w:b/>
          <w:color w:val="000000"/>
          <w:sz w:val="21"/>
          <w:szCs w:val="21"/>
        </w:rPr>
      </w:pPr>
      <w:r>
        <w:rPr>
          <w:rFonts w:cs="Arial" w:ascii="Arial" w:hAnsi="Arial"/>
          <w:b/>
          <w:color w:val="000000"/>
          <w:sz w:val="21"/>
          <w:szCs w:val="21"/>
        </w:rPr>
      </w:r>
    </w:p>
    <w:p>
      <w:pPr>
        <w:pStyle w:val="Normal"/>
        <w:spacing w:lineRule="auto" w:line="276" w:before="0" w:after="0"/>
        <w:ind w:left="0" w:right="0" w:hanging="0"/>
        <w:jc w:val="both"/>
        <w:rPr/>
      </w:pPr>
      <w:r>
        <w:rPr>
          <w:rFonts w:cs="Arial" w:ascii="Arial" w:hAnsi="Arial"/>
          <w:color w:val="000000"/>
          <w:sz w:val="21"/>
          <w:szCs w:val="21"/>
        </w:rPr>
        <w:t xml:space="preserve">4.1. </w:t>
      </w:r>
      <w:r>
        <w:rPr>
          <w:rFonts w:eastAsia="Calibri" w:cs="Arial" w:ascii="Arial" w:hAnsi="Arial" w:eastAsiaTheme="minorHAnsi"/>
          <w:color w:val="000000"/>
          <w:sz w:val="21"/>
          <w:szCs w:val="21"/>
          <w:shd w:fill="FFFFFF" w:val="clear"/>
        </w:rPr>
        <w:t>As causas de rescisão contratual estão estabelecidas no artigo 137, de acordo com as disposições do art. 138 e 139, todos da Lei Federal nº 14.133, de 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4.2. O licitante ou o contratado será responsabilizado administrativamente pelas infrações previstas no art. 155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4.3. O Município de Lindóia do Sul poderá, garantido o contraditório e a ampla defesa, aplicar as seguintes sanções administrativas: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advertência;</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 – multa;</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III – impedimento de licitar e contratar com Administração Pública direta e indireta do Município de Lindóia do Sul, pelo prazo máximo de 03 (três) anos;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00" w:before="0" w:after="0"/>
        <w:ind w:left="0" w:right="0" w:hanging="0"/>
        <w:jc w:val="both"/>
        <w:rPr>
          <w:rFonts w:ascii="Arial" w:hAnsi="Arial" w:eastAsia="Calibri" w:eastAsiaTheme="minorHAnsi"/>
          <w:sz w:val="21"/>
          <w:szCs w:val="21"/>
          <w:shd w:fill="FFFFFF" w:val="clear"/>
        </w:rPr>
      </w:pPr>
      <w:r>
        <w:rPr>
          <w:rFonts w:eastAsia="Calibri" w:eastAsiaTheme="minorHAnsi"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4.4.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4.5. A recusa injustificada do adjudicatário em assinar a Ata de Registro de Preços/Contrato, no prazo máximo de 5 (cinco) dias úteis da notificação, implicará a aplicação da multa compensatória prevista no item anterior.</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4.6.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 – transcorridos 30 (trinta) dias do prazo de execução estabelecido na Ata de Registro de Preços/contrato, será considerado extinto a Ata de Registro de Preços/Contrato Administrativo, canceladas as ordens de serviços e aplicada multa de 20% (vinte inteiros por cento) por inexecução total, calculada sobre o valor da Ata de Registro de Preços/contrato.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4.7. Dependendo do descumprimento, se gerar algum prejuízo ao Município, poderá ser requerido do Contratado o valor de perdas e danos, após Processo Administrativo de reconhecimento da responsabilidade.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4.8.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4.9.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4.10.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4.12.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4.13.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spacing w:lineRule="auto" w:line="276" w:before="0" w:after="0"/>
        <w:ind w:left="0" w:right="0" w:hanging="0"/>
        <w:jc w:val="both"/>
        <w:rPr/>
      </w:pPr>
      <w:r>
        <w:rPr>
          <w:rFonts w:cs="Arial" w:ascii="Arial" w:hAnsi="Arial"/>
          <w:color w:val="000000"/>
          <w:sz w:val="21"/>
          <w:szCs w:val="21"/>
          <w:shd w:fill="FFFFFF" w:val="clear"/>
        </w:rPr>
        <w:t>4.14.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spacing w:lineRule="auto" w:line="276" w:before="0" w:after="0"/>
        <w:ind w:left="0" w:right="0" w:hanging="0"/>
        <w:jc w:val="both"/>
        <w:rPr>
          <w:rFonts w:ascii="Arial" w:hAnsi="Arial" w:cs="Arial"/>
          <w:color w:val="000000"/>
          <w:sz w:val="21"/>
          <w:szCs w:val="21"/>
          <w:shd w:fill="FFFFFF" w:val="clear"/>
        </w:rPr>
      </w:pPr>
      <w:r>
        <w:rPr>
          <w:rFonts w:cs="Arial" w:ascii="Arial" w:hAnsi="Arial"/>
          <w:color w:val="000000"/>
          <w:sz w:val="21"/>
          <w:szCs w:val="21"/>
          <w:shd w:fill="FFFFFF" w:val="clear"/>
        </w:rPr>
      </w:r>
    </w:p>
    <w:p>
      <w:pPr>
        <w:pStyle w:val="Normal"/>
        <w:spacing w:lineRule="auto" w:line="276" w:before="0" w:after="0"/>
        <w:ind w:left="0" w:right="0" w:hanging="0"/>
        <w:jc w:val="both"/>
        <w:rPr>
          <w:rFonts w:ascii="Arial" w:hAnsi="Arial" w:cs="Arial"/>
          <w:color w:val="000000"/>
          <w:sz w:val="21"/>
          <w:szCs w:val="21"/>
          <w:shd w:fill="FFFFFF" w:val="clear"/>
        </w:rPr>
      </w:pPr>
      <w:r>
        <w:rPr>
          <w:rFonts w:cs="Arial" w:ascii="Arial" w:hAnsi="Arial"/>
          <w:color w:val="000000"/>
          <w:sz w:val="21"/>
          <w:szCs w:val="21"/>
          <w:shd w:fill="FFFFFF" w:val="clear"/>
        </w:rPr>
      </w:r>
    </w:p>
    <w:p>
      <w:pPr>
        <w:pStyle w:val="Normal"/>
        <w:spacing w:lineRule="auto" w:line="276" w:before="0" w:after="0"/>
        <w:ind w:left="0" w:right="0" w:hanging="0"/>
        <w:jc w:val="both"/>
        <w:rPr>
          <w:rFonts w:ascii="Arial" w:hAnsi="Arial" w:cs="Arial"/>
          <w:b/>
          <w:b/>
          <w:bCs/>
          <w:color w:val="000000"/>
          <w:sz w:val="21"/>
          <w:szCs w:val="21"/>
          <w:lang w:eastAsia="zxx"/>
        </w:rPr>
      </w:pPr>
      <w:r>
        <w:rPr>
          <w:rFonts w:cs="Arial" w:ascii="Arial" w:hAnsi="Arial"/>
          <w:b/>
          <w:bCs/>
          <w:color w:val="000000"/>
          <w:sz w:val="21"/>
          <w:szCs w:val="21"/>
          <w:lang w:eastAsia="zxx"/>
        </w:rPr>
        <w:t>CLÁUSULA QUINTA – DO CANCELAMENTO</w:t>
      </w:r>
    </w:p>
    <w:p>
      <w:pPr>
        <w:pStyle w:val="Normal"/>
        <w:spacing w:lineRule="auto" w:line="300" w:before="0" w:after="0"/>
        <w:ind w:left="0" w:right="0" w:hanging="0"/>
        <w:jc w:val="both"/>
        <w:rPr>
          <w:rFonts w:cs="Arial"/>
          <w:bCs/>
          <w:color w:val="000000"/>
          <w:sz w:val="21"/>
          <w:szCs w:val="21"/>
        </w:rPr>
      </w:pPr>
      <w:r>
        <w:rPr>
          <w:rFonts w:cs="Arial"/>
          <w:bCs/>
          <w:color w:val="000000"/>
          <w:sz w:val="21"/>
          <w:szCs w:val="21"/>
        </w:rPr>
      </w:r>
    </w:p>
    <w:p>
      <w:pPr>
        <w:pStyle w:val="Normal"/>
        <w:spacing w:lineRule="auto" w:line="300" w:before="0" w:after="0"/>
        <w:ind w:left="0" w:right="0" w:hanging="0"/>
        <w:jc w:val="both"/>
        <w:rPr/>
      </w:pPr>
      <w:r>
        <w:rPr>
          <w:rFonts w:cs="Arial"/>
          <w:bCs/>
          <w:color w:val="000000"/>
          <w:sz w:val="21"/>
          <w:szCs w:val="21"/>
        </w:rPr>
        <w:t>5.1. O fornecedor terá seu registro suspenso ou cancelado, facultada a defesa prévia do interessado, no prazo de 5 (cinco) dias úteis, nos seguintes casos: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ab/>
        <w:t>I - pela Administração, quando:</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a) o fornecedor não cumprir as exigências do instrumento convocatório que der origem ao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b) o fornecedor recusar-se a assinar a ata ou a formalizar contrato decorrente do registro de preços, ressalvada a hipótese de</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a Administração aceitar sua justificativa;</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c) o fornecedor der causa à rescisão de contrato decorrente do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d) em qualquer das hipóteses de inexecução total ou parcial do contrato decorrente do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e) os preços registrados se apresentarem superiores aos praticados pelo mercado;</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f) por razões de interesse público, devidamente fundamentadas.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ab/>
        <w:t>II - pelo fornecedor quando, mediante solicitação por escrito, comprovar a impossibilidade de cumprir as exigências do instrumento convocatório que deu origem ao registro de preços.</w:t>
      </w:r>
    </w:p>
    <w:p>
      <w:pPr>
        <w:pStyle w:val="Corpodetexto22"/>
        <w:spacing w:lineRule="auto" w:line="300" w:before="0" w:after="0"/>
        <w:ind w:left="0" w:right="0" w:hanging="0"/>
        <w:jc w:val="both"/>
        <w:rPr>
          <w:rFonts w:cs="Arial"/>
          <w:bCs/>
          <w:color w:val="000000"/>
        </w:rPr>
      </w:pPr>
      <w:r>
        <w:rPr>
          <w:rFonts w:cs="Arial"/>
          <w:bCs/>
          <w:color w:val="000000"/>
        </w:rPr>
      </w:r>
    </w:p>
    <w:p>
      <w:pPr>
        <w:pStyle w:val="Corpodetexto22"/>
        <w:spacing w:lineRule="auto" w:line="300" w:before="0" w:after="0"/>
        <w:ind w:left="0" w:right="0" w:hanging="0"/>
        <w:jc w:val="both"/>
        <w:rPr>
          <w:sz w:val="21"/>
          <w:szCs w:val="21"/>
        </w:rPr>
      </w:pPr>
      <w:r>
        <w:rPr>
          <w:rFonts w:cs="Arial"/>
          <w:bCs/>
          <w:color w:val="000000"/>
          <w:sz w:val="21"/>
          <w:szCs w:val="21"/>
        </w:rPr>
        <w:t>5.1.1. A comunicação do cancelamento da ata de registro de preços, será formalizada através do e-mail indicado na fase de credenciamento do fornecedor.</w:t>
      </w:r>
    </w:p>
    <w:p>
      <w:pPr>
        <w:pStyle w:val="Corpodetexto22"/>
        <w:spacing w:lineRule="auto" w:line="300" w:before="0" w:after="0"/>
        <w:ind w:left="0" w:right="0" w:hanging="0"/>
        <w:jc w:val="both"/>
        <w:rPr>
          <w:rFonts w:cs="Arial"/>
          <w:bCs/>
          <w:color w:val="000000"/>
        </w:rPr>
      </w:pPr>
      <w:r>
        <w:rPr>
          <w:rFonts w:cs="Arial"/>
          <w:bCs/>
          <w:color w:val="000000"/>
        </w:rPr>
      </w:r>
    </w:p>
    <w:p>
      <w:pPr>
        <w:pStyle w:val="Corpodetexto22"/>
        <w:spacing w:lineRule="auto" w:line="300" w:before="0" w:after="0"/>
        <w:ind w:left="0" w:right="0" w:hanging="0"/>
        <w:jc w:val="both"/>
        <w:rPr>
          <w:sz w:val="21"/>
          <w:szCs w:val="21"/>
        </w:rPr>
      </w:pPr>
      <w:r>
        <w:rPr>
          <w:rFonts w:cs="Arial"/>
          <w:bCs/>
          <w:sz w:val="21"/>
          <w:szCs w:val="21"/>
        </w:rPr>
        <w:t>5.1.2. Nos casos de não confirmação do recebimento, será considerada válida a comunicação a partir do 2º dia útil da data de envio.</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eastAsia="Times New Roman" w:cs="Arial"/>
          <w:b/>
          <w:b/>
          <w:bCs/>
          <w:sz w:val="21"/>
          <w:szCs w:val="21"/>
        </w:rPr>
      </w:pPr>
      <w:r>
        <w:rPr>
          <w:rFonts w:eastAsia="Times New Roman" w:cs="Arial" w:ascii="Arial" w:hAnsi="Arial"/>
          <w:b/>
          <w:bCs/>
          <w:sz w:val="21"/>
          <w:szCs w:val="21"/>
        </w:rPr>
        <w:t>CLÁUSULA SEXTA – DA FISCALIZAÇÃO DA ATA DE REGISTRO DE PREÇOS</w:t>
      </w:r>
    </w:p>
    <w:p>
      <w:pPr>
        <w:pStyle w:val="Normal"/>
        <w:spacing w:lineRule="auto" w:line="276"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276" w:before="0" w:after="0"/>
        <w:ind w:left="0" w:right="0" w:hanging="0"/>
        <w:jc w:val="both"/>
        <w:rPr>
          <w:rFonts w:ascii="Arial" w:hAnsi="Arial" w:eastAsia="Times New Roman" w:cs="Arial"/>
          <w:sz w:val="21"/>
          <w:szCs w:val="21"/>
        </w:rPr>
      </w:pPr>
      <w:r>
        <w:rPr>
          <w:rFonts w:eastAsia="Times New Roman" w:cs="Arial" w:ascii="Arial" w:hAnsi="Arial"/>
          <w:sz w:val="21"/>
          <w:szCs w:val="21"/>
        </w:rPr>
        <w:t xml:space="preserve">6.1 </w:t>
      </w:r>
      <w:r>
        <w:rPr>
          <w:rFonts w:eastAsia="Times New Roman" w:cs="Arial" w:ascii="Arial" w:hAnsi="Arial"/>
          <w:color w:val="000000"/>
          <w:sz w:val="21"/>
          <w:szCs w:val="21"/>
        </w:rPr>
        <w:t>A fiscalização da execução do objeto contratado será realizada pelo Gestor e Fiscal indicados pelas Secretarias envolvidas no momento da elaboração da Ata de registro de preço/contrato.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8"/>
          <w:tab w:val="left" w:pos="2340" w:leader="none"/>
          <w:tab w:val="left" w:pos="4464" w:leader="none"/>
        </w:tabs>
        <w:spacing w:lineRule="auto" w:line="276" w:before="0" w:after="0"/>
        <w:ind w:left="0" w:right="0" w:hanging="0"/>
        <w:jc w:val="both"/>
        <w:rPr/>
      </w:pPr>
      <w:r>
        <w:rPr>
          <w:rFonts w:cs="Arial" w:ascii="Arial" w:hAnsi="Arial"/>
          <w:bCs/>
          <w:sz w:val="21"/>
          <w:szCs w:val="21"/>
        </w:rPr>
        <w:t>6.2. Em conformidade com o art. 117 da Lei Federal n. 14.133/2021, o Município designará fiscal de contrato e representante da administração pública para acompanhamento e fiscalização da execução de Ata de Registro de Preços/Contrato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pPr>
        <w:pStyle w:val="Normal"/>
        <w:tabs>
          <w:tab w:val="clear" w:pos="708"/>
          <w:tab w:val="left" w:pos="2340" w:leader="none"/>
          <w:tab w:val="left" w:pos="4464" w:leader="none"/>
        </w:tabs>
        <w:spacing w:lineRule="auto" w:line="276" w:before="0" w:after="0"/>
        <w:ind w:left="0" w:right="0" w:hanging="0"/>
        <w:jc w:val="both"/>
        <w:rPr>
          <w:rFonts w:ascii="Liberation Serif" w:hAnsi="Liberation Serif" w:eastAsia="SimSun" w:cs="Mangal"/>
          <w:color w:val="00000A"/>
          <w:sz w:val="24"/>
          <w:szCs w:val="24"/>
          <w:lang w:val="pt-BR" w:eastAsia="zh-CN" w:bidi="hi-IN"/>
        </w:rPr>
      </w:pPr>
      <w:r>
        <w:rPr>
          <w:rFonts w:eastAsia="SimSun" w:cs="Mangal" w:ascii="Liberation Serif" w:hAnsi="Liberation Serif"/>
          <w:color w:val="00000A"/>
          <w:sz w:val="24"/>
          <w:szCs w:val="24"/>
          <w:lang w:val="pt-BR" w:eastAsia="zh-CN" w:bidi="hi-IN"/>
        </w:rPr>
      </w:r>
    </w:p>
    <w:p>
      <w:pPr>
        <w:pStyle w:val="Normal"/>
        <w:spacing w:lineRule="auto" w:line="276" w:before="0" w:after="0"/>
        <w:ind w:left="0" w:right="0" w:hanging="0"/>
        <w:jc w:val="both"/>
        <w:rPr>
          <w:rFonts w:ascii="Arial" w:hAnsi="Arial" w:eastAsia="Times New Roman" w:cs="Arial"/>
          <w:sz w:val="21"/>
          <w:szCs w:val="21"/>
        </w:rPr>
      </w:pPr>
      <w:r>
        <w:rPr>
          <w:rFonts w:eastAsia="Times New Roman" w:cs="Arial" w:ascii="Arial" w:hAnsi="Arial"/>
          <w:bCs/>
          <w:color w:val="000000"/>
          <w:sz w:val="21"/>
          <w:szCs w:val="21"/>
        </w:rPr>
        <w:t>6.3. Caberá ao gestor da Ata de Registro de Preços/Contrato, com auxílio do Fiscal, constituir relatório final de que trata o art. 174, § 3º, inciso VI, alínea “d”, da Lei Federal n. 14.133/2021 com as informações obtidas durante a execução do contrato, como forma de aprimoramento das atividades da Administração.</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pPr>
      <w:r>
        <w:rPr>
          <w:rFonts w:cs="Arial" w:ascii="Arial" w:hAnsi="Arial"/>
          <w:b/>
          <w:bCs/>
          <w:color w:val="000000"/>
          <w:sz w:val="21"/>
          <w:szCs w:val="21"/>
          <w:lang w:eastAsia="zxx"/>
        </w:rPr>
        <w:t xml:space="preserve">CLÁUSULA SÉTIMA – </w:t>
      </w:r>
      <w:r>
        <w:rPr>
          <w:rFonts w:ascii="Arial" w:hAnsi="Arial"/>
          <w:b/>
          <w:sz w:val="21"/>
          <w:szCs w:val="21"/>
        </w:rPr>
        <w:t>DA VINCULAÇÃO AO PROCESSO LICITATÓRIO</w:t>
      </w:r>
    </w:p>
    <w:p>
      <w:pPr>
        <w:pStyle w:val="Normal"/>
        <w:spacing w:before="0" w:after="0"/>
        <w:jc w:val="left"/>
        <w:rPr>
          <w:rFonts w:ascii="Arial" w:hAnsi="Arial"/>
          <w:sz w:val="21"/>
          <w:szCs w:val="21"/>
        </w:rPr>
      </w:pPr>
      <w:r>
        <w:rPr>
          <w:rFonts w:ascii="Arial" w:hAnsi="Arial"/>
          <w:sz w:val="21"/>
          <w:szCs w:val="21"/>
        </w:rPr>
      </w:r>
    </w:p>
    <w:p>
      <w:pPr>
        <w:pStyle w:val="Normal"/>
        <w:spacing w:before="0" w:after="0"/>
        <w:jc w:val="both"/>
        <w:rPr>
          <w:rFonts w:ascii="Arial" w:hAnsi="Arial"/>
          <w:sz w:val="21"/>
          <w:szCs w:val="21"/>
        </w:rPr>
      </w:pPr>
      <w:r>
        <w:rPr>
          <w:rFonts w:ascii="Arial" w:hAnsi="Arial"/>
          <w:sz w:val="21"/>
          <w:szCs w:val="21"/>
        </w:rPr>
        <w:t>7.1. A presente Ata de Registro de Preços está vinculada ao Processo Licitatório Nº 111/2024, Pregão Eletrônico nº 16/2024.</w:t>
      </w:r>
    </w:p>
    <w:p>
      <w:pPr>
        <w:pStyle w:val="Normal"/>
        <w:spacing w:before="0" w:after="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b/>
          <w:bCs/>
          <w:sz w:val="21"/>
          <w:szCs w:val="21"/>
        </w:rPr>
        <w:t>CLÁUSULA OITAVA - DA PROTEÇÃO DE DADOS</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8.1.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8.2. 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8.3. Considerando o caráter público desta contratação, o compartilhamento de dados observará ao disposto no Capítulo IV da LGPD.</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8.4.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b/>
          <w:bCs/>
          <w:sz w:val="21"/>
          <w:szCs w:val="21"/>
        </w:rPr>
        <w:t>CLÁUSULA NONA - ANTICORRUPÇÃO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9.1.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pStyle w:val="Normal"/>
        <w:spacing w:before="0" w:after="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cs="Arial"/>
          <w:b/>
          <w:b/>
          <w:bCs/>
          <w:color w:val="000000"/>
          <w:sz w:val="21"/>
          <w:szCs w:val="21"/>
          <w:lang w:eastAsia="zxx"/>
        </w:rPr>
      </w:pPr>
      <w:r>
        <w:rPr>
          <w:rFonts w:cs="Arial" w:ascii="Arial" w:hAnsi="Arial"/>
          <w:b/>
          <w:bCs/>
          <w:color w:val="000000"/>
          <w:sz w:val="21"/>
          <w:szCs w:val="21"/>
          <w:lang w:eastAsia="zxx"/>
        </w:rPr>
        <w:t>CLÁUSULA DÉCIMA - DAS DISPOSIÇÕES FINAIS E DO FORO</w:t>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t>10.1. A empresa acima descrita passará a ser denominada detentora da Ata de Registro de Preços após a assinatura desta.</w:t>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t>10.2. Os casos omissos serão resolvidos de acordo com a Lei Federal nº 14.133/2021, Decreto Municipal nº 4.072/2024 e demais normas aplicáveis.</w:t>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t>10.3. Fica eleito o Foro da Comarca de Ipumirim - SC para dirimir quaisquer questões decorrentes da utilização da presente ata.</w:t>
      </w:r>
    </w:p>
    <w:p>
      <w:pPr>
        <w:pStyle w:val="Normal"/>
        <w:spacing w:lineRule="auto" w:line="276" w:before="0" w:after="0"/>
        <w:ind w:left="0" w:right="0" w:hanging="0"/>
        <w:jc w:val="both"/>
        <w:rPr>
          <w:rFonts w:cs="Arial"/>
          <w:bCs/>
          <w:kern w:val="2"/>
        </w:rPr>
      </w:pPr>
      <w:r>
        <w:rPr>
          <w:rFonts w:cs="Arial"/>
          <w:bCs/>
          <w:kern w:val="2"/>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bCs/>
          <w:color w:val="000000"/>
          <w:kern w:val="2"/>
          <w:sz w:val="21"/>
          <w:szCs w:val="21"/>
          <w:lang w:eastAsia="zxx"/>
        </w:rPr>
        <w:t>Lindóia do Sul, SC ______ de xxxxx de 2024.</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cs="Arial"/>
          <w:bCs/>
          <w:kern w:val="2"/>
        </w:rPr>
      </w:pPr>
      <w:r>
        <w:rPr>
          <w:rFonts w:cs="Arial"/>
          <w:bCs/>
          <w:kern w:val="2"/>
        </w:rPr>
      </w:r>
    </w:p>
    <w:p>
      <w:pPr>
        <w:pStyle w:val="Normal"/>
        <w:spacing w:lineRule="auto" w:line="276" w:before="0" w:after="0"/>
        <w:ind w:left="0" w:right="0" w:hanging="0"/>
        <w:jc w:val="both"/>
        <w:rPr>
          <w:rFonts w:ascii="Arial" w:hAnsi="Arial" w:cs="Arial"/>
          <w:b/>
          <w:b/>
          <w:bCs/>
          <w:color w:val="000000"/>
          <w:sz w:val="21"/>
          <w:szCs w:val="21"/>
          <w:lang w:eastAsia="zxx"/>
        </w:rPr>
      </w:pPr>
      <w:r>
        <w:rPr>
          <w:rFonts w:cs="Arial" w:ascii="Arial" w:hAnsi="Arial"/>
          <w:b/>
          <w:bCs/>
          <w:color w:val="000000"/>
          <w:kern w:val="2"/>
          <w:sz w:val="21"/>
          <w:szCs w:val="21"/>
          <w:lang w:eastAsia="zxx"/>
        </w:rPr>
        <w:t>Neudi Angelo Bertol</w:t>
        <w:tab/>
        <w:tab/>
        <w:tab/>
        <w:tab/>
        <w:tab/>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bCs/>
          <w:color w:val="000000"/>
          <w:kern w:val="2"/>
          <w:sz w:val="21"/>
          <w:szCs w:val="21"/>
          <w:lang w:eastAsia="zxx"/>
        </w:rPr>
        <w:t>Prefeito Municipal</w:t>
        <w:tab/>
        <w:tab/>
        <w:tab/>
        <w:tab/>
        <w:tab/>
        <w:t>Detentor da Ata</w:t>
      </w:r>
    </w:p>
    <w:p>
      <w:pPr>
        <w:pStyle w:val="Normal"/>
        <w:spacing w:lineRule="auto" w:line="276" w:before="0" w:after="0"/>
        <w:ind w:left="0" w:right="0" w:hanging="0"/>
        <w:jc w:val="both"/>
        <w:rPr>
          <w:rFonts w:cs="Arial"/>
          <w:bCs/>
          <w:kern w:val="2"/>
        </w:rPr>
      </w:pPr>
      <w:r>
        <w:rPr>
          <w:rFonts w:cs="Arial"/>
          <w:bCs/>
          <w:kern w:val="2"/>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bCs/>
          <w:color w:val="000000"/>
          <w:kern w:val="2"/>
          <w:sz w:val="21"/>
          <w:szCs w:val="21"/>
          <w:lang w:eastAsia="zxx"/>
        </w:rPr>
        <w:t>Testemunhas:</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bCs/>
          <w:color w:val="000000"/>
          <w:kern w:val="2"/>
          <w:sz w:val="21"/>
          <w:szCs w:val="21"/>
          <w:lang w:eastAsia="zxx"/>
        </w:rPr>
        <w:t>Nome:</w:t>
        <w:tab/>
        <w:tab/>
        <w:tab/>
        <w:tab/>
        <w:tab/>
        <w:tab/>
        <w:tab/>
        <w:t>Nome:</w:t>
      </w:r>
    </w:p>
    <w:p>
      <w:pPr>
        <w:pStyle w:val="Normal"/>
        <w:spacing w:lineRule="auto" w:line="276" w:before="0" w:after="0"/>
        <w:ind w:left="0" w:right="0" w:hanging="0"/>
        <w:jc w:val="both"/>
        <w:rPr>
          <w:rFonts w:ascii="Arial" w:hAnsi="Arial" w:cs="Arial"/>
          <w:color w:val="000000"/>
          <w:sz w:val="21"/>
          <w:szCs w:val="21"/>
          <w:lang w:eastAsia="zxx"/>
        </w:rPr>
      </w:pPr>
      <w:bookmarkStart w:id="9" w:name="_Hlk129156372"/>
      <w:bookmarkStart w:id="10" w:name="_Hlk132190501"/>
      <w:bookmarkStart w:id="11" w:name="_Hlk129160896"/>
      <w:bookmarkStart w:id="12" w:name="_Hlk129186259"/>
      <w:bookmarkStart w:id="13" w:name="_Hlk1291862591"/>
      <w:bookmarkStart w:id="14" w:name="_Hlk1038461172"/>
      <w:bookmarkStart w:id="15" w:name="_Hlk166662798"/>
      <w:bookmarkStart w:id="16" w:name="_Hlk166662625"/>
      <w:bookmarkStart w:id="17" w:name="_Hlk103846117"/>
      <w:bookmarkStart w:id="18" w:name="_Hlk1038461171"/>
      <w:bookmarkStart w:id="19" w:name="_Hlk166661777"/>
      <w:bookmarkStart w:id="20" w:name="_Hlk129161118"/>
      <w:bookmarkStart w:id="21" w:name="_Hlk1291608964"/>
      <w:bookmarkStart w:id="22" w:name="_Hlk1321905014"/>
      <w:bookmarkStart w:id="23" w:name="_Hlk1291563724"/>
      <w:bookmarkStart w:id="24" w:name="_Hlk179178263"/>
      <w:r>
        <w:rPr>
          <w:rFonts w:cs="Arial" w:ascii="Arial" w:hAnsi="Arial"/>
          <w:bCs/>
          <w:color w:val="000000"/>
          <w:kern w:val="2"/>
          <w:sz w:val="21"/>
          <w:szCs w:val="21"/>
          <w:lang w:eastAsia="zxx"/>
        </w:rPr>
        <w:t>CPF:</w:t>
        <w:tab/>
        <w:tab/>
        <w:tab/>
        <w:tab/>
        <w:tab/>
        <w:tab/>
        <w:tab/>
        <w:t>CPF:</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sectPr>
      <w:headerReference w:type="even" r:id="rId14"/>
      <w:headerReference w:type="default" r:id="rId15"/>
      <w:headerReference w:type="first" r:id="rId16"/>
      <w:footerReference w:type="even" r:id="rId17"/>
      <w:footerReference w:type="default" r:id="rId18"/>
      <w:footerReference w:type="first" r:id="rId19"/>
      <w:footnotePr>
        <w:numFmt w:val="decimal"/>
      </w:footnotePr>
      <w:type w:val="nextPage"/>
      <w:pgSz w:w="11906" w:h="16838"/>
      <w:pgMar w:left="1701" w:right="1080" w:gutter="0" w:header="425" w:top="2154" w:footer="0" w:bottom="1418"/>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Arial">
    <w:charset w:val="00"/>
    <w:family w:val="roman"/>
    <w:pitch w:val="variable"/>
  </w:font>
  <w:font w:name="Cambria">
    <w:charset w:val="00"/>
    <w:family w:val="roman"/>
    <w:pitch w:val="variable"/>
  </w:font>
  <w:font w:name="Courier New">
    <w:charset w:val="00"/>
    <w:family w:val="roman"/>
    <w:pitch w:val="variable"/>
  </w:font>
  <w:font w:name="Consolas">
    <w:charset w:val="00"/>
    <w:family w:val="roman"/>
    <w:pitch w:val="variable"/>
  </w:font>
  <w:font w:name="Symbol">
    <w:charset w:val="00"/>
    <w:family w:val="roman"/>
    <w:pitch w:val="variable"/>
  </w:font>
  <w:font w:name="Wingdings">
    <w:charset w:val="00"/>
    <w:family w:val="roman"/>
    <w:pitch w:val="variable"/>
  </w:font>
  <w:font w:name="Arial Unicode MS">
    <w:charset w:val="00"/>
    <w:family w:val="roman"/>
    <w:pitch w:val="variable"/>
  </w:font>
  <w:font w:name="Times">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 w:name="Verdana">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7128510" cy="1226820"/>
          <wp:effectExtent l="0" t="0" r="0" b="0"/>
          <wp:docPr id="7"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1" descr=""/>
                  <pic:cNvPicPr>
                    <a:picLocks noChangeAspect="1" noChangeArrowheads="1"/>
                  </pic:cNvPicPr>
                </pic:nvPicPr>
                <pic:blipFill>
                  <a:blip r:embed="rId1"/>
                  <a:srcRect l="-32" t="-153" r="-32" b="-153"/>
                  <a:stretch>
                    <a:fillRect/>
                  </a:stretch>
                </pic:blipFill>
                <pic:spPr bwMode="auto">
                  <a:xfrm>
                    <a:off x="0" y="0"/>
                    <a:ext cx="7128510" cy="1226820"/>
                  </a:xfrm>
                  <a:prstGeom prst="rect">
                    <a:avLst/>
                  </a:prstGeom>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7128510" cy="1226820"/>
          <wp:effectExtent l="0" t="0" r="0" b="0"/>
          <wp:docPr id="8"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1" descr=""/>
                  <pic:cNvPicPr>
                    <a:picLocks noChangeAspect="1" noChangeArrowheads="1"/>
                  </pic:cNvPicPr>
                </pic:nvPicPr>
                <pic:blipFill>
                  <a:blip r:embed="rId1"/>
                  <a:srcRect l="-32" t="-153" r="-32" b="-153"/>
                  <a:stretch>
                    <a:fillRect/>
                  </a:stretch>
                </pic:blipFill>
                <pic:spPr bwMode="auto">
                  <a:xfrm>
                    <a:off x="0" y="0"/>
                    <a:ext cx="7128510" cy="1226820"/>
                  </a:xfrm>
                  <a:prstGeom prst="rect">
                    <a:avLst/>
                  </a:prstGeom>
                </pic:spPr>
              </pic:pic>
            </a:graphicData>
          </a:graphic>
        </wp:inline>
      </w:drawing>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Notaderodap"/>
        <w:suppressLineNumbers/>
        <w:spacing w:before="0" w:after="160"/>
        <w:ind w:left="340" w:right="0" w:hanging="340"/>
        <w:rPr/>
      </w:pPr>
      <w:r>
        <w:rPr>
          <w:rStyle w:val="Caracteresdenotaderodap"/>
        </w:rPr>
        <w:footnoteRef/>
      </w:r>
      <w:r>
        <w:rPr>
          <w:sz w:val="18"/>
          <w:szCs w:val="18"/>
        </w:rPr>
        <w:tab/>
        <w:t xml:space="preserve"> </w:t>
      </w:r>
      <w:r>
        <w:rPr>
          <w:sz w:val="18"/>
          <w:szCs w:val="18"/>
        </w:rPr>
        <w:t>JUSTEN FILHO, Marçal. Comentários à Lei de Licitações e Contratações Administrativas: Lei 14.133/2021. São Paulo: Thomson Reuters Brasil, 2021. p. 356.</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7182485" cy="8892540"/>
          <wp:effectExtent l="0" t="0" r="0" b="0"/>
          <wp:wrapNone/>
          <wp:docPr id="2" name="WordPictureWatermark56988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56988954" descr=""/>
                  <pic:cNvPicPr>
                    <a:picLocks noChangeAspect="1" noChangeArrowheads="1"/>
                  </pic:cNvPicPr>
                </pic:nvPicPr>
                <pic:blipFill>
                  <a:blip r:embed="rId1"/>
                  <a:stretch>
                    <a:fillRect/>
                  </a:stretch>
                </pic:blipFill>
                <pic:spPr bwMode="auto">
                  <a:xfrm>
                    <a:off x="0" y="0"/>
                    <a:ext cx="7182485" cy="889254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anchor behindDoc="1" distT="0" distB="0" distL="0" distR="0" simplePos="0" locked="0" layoutInCell="0" allowOverlap="1" relativeHeight="69">
          <wp:simplePos x="0" y="0"/>
          <wp:positionH relativeFrom="column">
            <wp:posOffset>0</wp:posOffset>
          </wp:positionH>
          <wp:positionV relativeFrom="paragraph">
            <wp:posOffset>635</wp:posOffset>
          </wp:positionV>
          <wp:extent cx="635" cy="635"/>
          <wp:effectExtent l="0" t="0" r="0" b="0"/>
          <wp:wrapSquare wrapText="bothSides"/>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1"/>
                  <a:stretch>
                    <a:fillRect/>
                  </a:stretch>
                </pic:blipFill>
                <pic:spPr bwMode="auto">
                  <a:xfrm>
                    <a:off x="0" y="0"/>
                    <a:ext cx="635" cy="635"/>
                  </a:xfrm>
                  <a:prstGeom prst="rect">
                    <a:avLst/>
                  </a:prstGeom>
                </pic:spPr>
              </pic:pic>
            </a:graphicData>
          </a:graphic>
        </wp:anchor>
      </w:drawing>
      <w:drawing>
        <wp:inline distT="0" distB="0" distL="0" distR="0">
          <wp:extent cx="6678930" cy="1132205"/>
          <wp:effectExtent l="0" t="0" r="0" b="0"/>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2"/>
                  <a:srcRect l="-33" t="-200" r="-33" b="-200"/>
                  <a:stretch>
                    <a:fillRect/>
                  </a:stretch>
                </pic:blipFill>
                <pic:spPr bwMode="auto">
                  <a:xfrm>
                    <a:off x="0" y="0"/>
                    <a:ext cx="6678930" cy="1132205"/>
                  </a:xfrm>
                  <a:prstGeom prst="rect">
                    <a:avLst/>
                  </a:prstGeom>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anchor behindDoc="1" distT="0" distB="0" distL="0" distR="0" simplePos="0" locked="0" layoutInCell="0" allowOverlap="1" relativeHeight="69">
          <wp:simplePos x="0" y="0"/>
          <wp:positionH relativeFrom="column">
            <wp:posOffset>0</wp:posOffset>
          </wp:positionH>
          <wp:positionV relativeFrom="paragraph">
            <wp:posOffset>635</wp:posOffset>
          </wp:positionV>
          <wp:extent cx="635" cy="635"/>
          <wp:effectExtent l="0" t="0" r="0" b="0"/>
          <wp:wrapSquare wrapText="bothSides"/>
          <wp:docPr id="5"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2" descr=""/>
                  <pic:cNvPicPr>
                    <a:picLocks noChangeAspect="1" noChangeArrowheads="1"/>
                  </pic:cNvPicPr>
                </pic:nvPicPr>
                <pic:blipFill>
                  <a:blip r:embed="rId1"/>
                  <a:stretch>
                    <a:fillRect/>
                  </a:stretch>
                </pic:blipFill>
                <pic:spPr bwMode="auto">
                  <a:xfrm>
                    <a:off x="0" y="0"/>
                    <a:ext cx="635" cy="635"/>
                  </a:xfrm>
                  <a:prstGeom prst="rect">
                    <a:avLst/>
                  </a:prstGeom>
                </pic:spPr>
              </pic:pic>
            </a:graphicData>
          </a:graphic>
        </wp:anchor>
      </w:drawing>
      <w:drawing>
        <wp:inline distT="0" distB="0" distL="0" distR="0">
          <wp:extent cx="6678930" cy="1132205"/>
          <wp:effectExtent l="0" t="0" r="0" b="0"/>
          <wp:docPr id="6"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descr=""/>
                  <pic:cNvPicPr>
                    <a:picLocks noChangeAspect="1" noChangeArrowheads="1"/>
                  </pic:cNvPicPr>
                </pic:nvPicPr>
                <pic:blipFill>
                  <a:blip r:embed="rId2"/>
                  <a:srcRect l="-33" t="-200" r="-33" b="-200"/>
                  <a:stretch>
                    <a:fillRect/>
                  </a:stretch>
                </pic:blipFill>
                <pic:spPr bwMode="auto">
                  <a:xfrm>
                    <a:off x="0" y="0"/>
                    <a:ext cx="6678930" cy="113220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decimal"/>
      <w:lvlText w:val="%1."/>
      <w:lvlJc w:val="right"/>
      <w:pPr>
        <w:tabs>
          <w:tab w:val="num" w:pos="0"/>
        </w:tabs>
        <w:ind w:left="425" w:hanging="141"/>
      </w:pPr>
      <w:rPr>
        <w:sz w:val="20"/>
        <w:b w:val="false"/>
        <w:szCs w:val="20"/>
        <w:bCs/>
        <w:rFonts w:ascii="Calibri" w:hAnsi="Calibri" w:cs="Calibri"/>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ANEXO %1"/>
      <w:lvlJc w:val="left"/>
      <w:pPr>
        <w:tabs>
          <w:tab w:val="num" w:pos="0"/>
        </w:tabs>
        <w:ind w:left="720" w:hanging="360"/>
      </w:pPr>
      <w:rPr>
        <w:sz w:val="48"/>
        <w:b w:val="false"/>
        <w:szCs w:val="48"/>
        <w:bCs/>
        <w:rFonts w:ascii="Calibri" w:hAnsi="Calibri" w:cs="Calibri"/>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90"/>
  <w:defaultTabStop w:val="708"/>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Calibri" w:cs="Tahoma" w:eastAsia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uiPriority="0"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qFormat="1"/>
    <w:lsdException w:name="Body Text Indent 2" w:uiPriority="0" w:semiHidden="1" w:unhideWhenUsed="1" w:qFormat="1"/>
    <w:lsdException w:name="Body Text Indent 3" w:uiPriority="0" w:semiHidden="1" w:unhideWhenUsed="1"/>
    <w:lsdException w:name="Block Text" w:semiHidden="1" w:unhideWhenUsed="1"/>
    <w:lsdException w:name="Hyperlink" w:uiPriority="0" w:semiHidden="1" w:unhideWhenUsed="1"/>
    <w:lsdException w:name="FollowedHyperlink" w:uiPriority="0" w:semiHidden="1" w:unhideWhenUsed="1"/>
    <w:lsdException w:name="Strong" w:uiPriority="0" w:qFormat="1"/>
    <w:lsdException w:name="Emphasis" w:uiPriority="0" w:qFormat="1"/>
    <w:lsdException w:name="Document Map" w:uiPriority="0" w:semiHidden="1" w:unhideWhenUsed="1"/>
    <w:lsdException w:name="Plain Text" w:uiPriority="0"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660c"/>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paragraph" w:styleId="Ttulo1">
    <w:name w:val="Heading 1"/>
    <w:basedOn w:val="Normal"/>
    <w:next w:val="Normal"/>
    <w:link w:val="Ttulo1Char"/>
    <w:qFormat/>
    <w:rsid w:val="00757293"/>
    <w:pPr>
      <w:keepNext w:val="true"/>
      <w:spacing w:lineRule="auto" w:line="240" w:before="240" w:after="60"/>
      <w:outlineLvl w:val="0"/>
    </w:pPr>
    <w:rPr>
      <w:rFonts w:ascii="Arial" w:hAnsi="Arial" w:eastAsia="Times New Roman" w:cs="Arial"/>
      <w:b/>
      <w:bCs/>
      <w:kern w:val="2"/>
      <w:sz w:val="32"/>
      <w:szCs w:val="32"/>
      <w:lang w:eastAsia="pt-BR"/>
    </w:rPr>
  </w:style>
  <w:style w:type="paragraph" w:styleId="Ttulo2">
    <w:name w:val="Heading 2"/>
    <w:basedOn w:val="Normal"/>
    <w:next w:val="Normal"/>
    <w:link w:val="Ttulo2Char"/>
    <w:unhideWhenUsed/>
    <w:qFormat/>
    <w:rsid w:val="00757293"/>
    <w:pPr>
      <w:keepNext w:val="true"/>
      <w:spacing w:lineRule="auto" w:line="240" w:before="240" w:after="60"/>
      <w:outlineLvl w:val="1"/>
    </w:pPr>
    <w:rPr>
      <w:rFonts w:ascii="Cambria" w:hAnsi="Cambria" w:eastAsia="Times New Roman" w:cs="Times New Roman"/>
      <w:b/>
      <w:bCs/>
      <w:i/>
      <w:iCs/>
      <w:sz w:val="28"/>
      <w:szCs w:val="28"/>
      <w:lang w:val="x-none" w:eastAsia="x-none"/>
    </w:rPr>
  </w:style>
  <w:style w:type="paragraph" w:styleId="Ttulo3">
    <w:name w:val="Heading 3"/>
    <w:basedOn w:val="Normal"/>
    <w:next w:val="Normal"/>
    <w:link w:val="Ttulo3Char"/>
    <w:qFormat/>
    <w:rsid w:val="00652630"/>
    <w:pPr>
      <w:keepNext w:val="true"/>
      <w:suppressAutoHyphens w:val="true"/>
      <w:spacing w:lineRule="auto" w:line="240" w:before="240" w:after="60"/>
      <w:outlineLvl w:val="2"/>
    </w:pPr>
    <w:rPr>
      <w:rFonts w:ascii="Arial" w:hAnsi="Arial" w:eastAsia="Times New Roman" w:cs="Times New Roman"/>
      <w:b/>
      <w:bCs/>
      <w:sz w:val="26"/>
      <w:szCs w:val="26"/>
      <w:lang w:val="x-none" w:eastAsia="ar-SA"/>
    </w:rPr>
  </w:style>
  <w:style w:type="paragraph" w:styleId="Ttulo4">
    <w:name w:val="Heading 4"/>
    <w:basedOn w:val="Normal"/>
    <w:next w:val="Normal"/>
    <w:link w:val="Ttulo4Char"/>
    <w:qFormat/>
    <w:rsid w:val="00652630"/>
    <w:pPr>
      <w:keepNext w:val="true"/>
      <w:suppressAutoHyphens w:val="true"/>
      <w:spacing w:lineRule="auto" w:line="240" w:before="240" w:after="60"/>
      <w:outlineLvl w:val="3"/>
    </w:pPr>
    <w:rPr>
      <w:rFonts w:ascii="Times New Roman" w:hAnsi="Times New Roman" w:eastAsia="Times New Roman" w:cs="Times New Roman"/>
      <w:b/>
      <w:bCs/>
      <w:sz w:val="28"/>
      <w:szCs w:val="28"/>
      <w:lang w:val="x-none" w:eastAsia="ar-SA"/>
    </w:rPr>
  </w:style>
  <w:style w:type="paragraph" w:styleId="Ttulo5">
    <w:name w:val="Heading 5"/>
    <w:basedOn w:val="Normal"/>
    <w:next w:val="Normal"/>
    <w:link w:val="Ttulo5Char"/>
    <w:qFormat/>
    <w:rsid w:val="00757293"/>
    <w:pPr>
      <w:spacing w:lineRule="auto" w:line="240" w:before="240" w:after="60"/>
      <w:outlineLvl w:val="4"/>
    </w:pPr>
    <w:rPr>
      <w:rFonts w:ascii="Times New Roman" w:hAnsi="Times New Roman" w:eastAsia="Times New Roman" w:cs="Times New Roman"/>
      <w:b/>
      <w:bCs/>
      <w:i/>
      <w:iCs/>
      <w:sz w:val="26"/>
      <w:szCs w:val="26"/>
      <w:lang w:val="x-none" w:eastAsia="x-none"/>
    </w:rPr>
  </w:style>
  <w:style w:type="paragraph" w:styleId="Ttulo6">
    <w:name w:val="Heading 6"/>
    <w:basedOn w:val="Normal"/>
    <w:next w:val="Normal"/>
    <w:link w:val="Ttulo6Char"/>
    <w:qFormat/>
    <w:rsid w:val="00757293"/>
    <w:pPr>
      <w:spacing w:lineRule="auto" w:line="240" w:before="240" w:after="60"/>
      <w:outlineLvl w:val="5"/>
    </w:pPr>
    <w:rPr>
      <w:rFonts w:ascii="Times New Roman" w:hAnsi="Times New Roman" w:eastAsia="Times New Roman" w:cs="Times New Roman"/>
      <w:b/>
      <w:bCs/>
      <w:lang w:val="x-none" w:eastAsia="x-none"/>
    </w:rPr>
  </w:style>
  <w:style w:type="paragraph" w:styleId="Ttulo7">
    <w:name w:val="Heading 7"/>
    <w:basedOn w:val="Normal"/>
    <w:next w:val="Normal"/>
    <w:link w:val="Ttulo7Char"/>
    <w:qFormat/>
    <w:rsid w:val="00757293"/>
    <w:pPr>
      <w:keepNext w:val="true"/>
      <w:spacing w:lineRule="auto" w:line="240" w:before="0" w:after="0"/>
      <w:jc w:val="center"/>
      <w:outlineLvl w:val="6"/>
    </w:pPr>
    <w:rPr>
      <w:rFonts w:ascii="Arial" w:hAnsi="Arial" w:eastAsia="Times New Roman" w:cs="Arial"/>
      <w:b/>
      <w:sz w:val="28"/>
      <w:szCs w:val="20"/>
      <w:lang w:eastAsia="pt-BR"/>
    </w:rPr>
  </w:style>
  <w:style w:type="paragraph" w:styleId="Ttulo8">
    <w:name w:val="Heading 8"/>
    <w:basedOn w:val="Normal"/>
    <w:next w:val="Normal"/>
    <w:link w:val="Ttulo8Char"/>
    <w:uiPriority w:val="9"/>
    <w:qFormat/>
    <w:rsid w:val="00652630"/>
    <w:pPr>
      <w:keepNext w:val="true"/>
      <w:tabs>
        <w:tab w:val="clear" w:pos="708"/>
        <w:tab w:val="left" w:pos="0" w:leader="none"/>
      </w:tabs>
      <w:suppressAutoHyphens w:val="true"/>
      <w:snapToGrid w:val="false"/>
      <w:spacing w:lineRule="auto" w:line="240" w:before="0" w:after="0"/>
      <w:jc w:val="center"/>
      <w:outlineLvl w:val="7"/>
    </w:pPr>
    <w:rPr>
      <w:rFonts w:ascii="Arial" w:hAnsi="Arial" w:eastAsia="Times New Roman" w:cs="Times New Roman"/>
      <w:color w:val="000000"/>
      <w:sz w:val="28"/>
      <w:szCs w:val="20"/>
      <w:lang w:val="x-none" w:eastAsia="ar-SA"/>
    </w:rPr>
  </w:style>
  <w:style w:type="paragraph" w:styleId="Ttulo9">
    <w:name w:val="Heading 9"/>
    <w:basedOn w:val="Normal"/>
    <w:next w:val="Normal"/>
    <w:link w:val="Ttulo9Char"/>
    <w:qFormat/>
    <w:rsid w:val="00757293"/>
    <w:pPr>
      <w:spacing w:lineRule="auto" w:line="240" w:before="240" w:after="60"/>
      <w:outlineLvl w:val="8"/>
    </w:pPr>
    <w:rPr>
      <w:rFonts w:ascii="Arial" w:hAnsi="Arial" w:eastAsia="Times New Roman" w:cs="Arial"/>
      <w:lang w:eastAsia="pt-BR"/>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fb660c"/>
    <w:rPr/>
  </w:style>
  <w:style w:type="character" w:styleId="RodapChar" w:customStyle="1">
    <w:name w:val="Rodapé Char"/>
    <w:basedOn w:val="DefaultParagraphFont"/>
    <w:qFormat/>
    <w:rsid w:val="00fb660c"/>
    <w:rPr/>
  </w:style>
  <w:style w:type="character" w:styleId="TextodebaloChar" w:customStyle="1">
    <w:name w:val="Texto de balão Char"/>
    <w:basedOn w:val="DefaultParagraphFont"/>
    <w:link w:val="BalloonText"/>
    <w:uiPriority w:val="99"/>
    <w:semiHidden/>
    <w:qFormat/>
    <w:rsid w:val="007a6e59"/>
    <w:rPr>
      <w:rFonts w:ascii="Tahoma" w:hAnsi="Tahoma" w:cs="Tahoma"/>
      <w:sz w:val="16"/>
      <w:szCs w:val="16"/>
    </w:rPr>
  </w:style>
  <w:style w:type="character" w:styleId="RecuodecorpodetextoChar" w:customStyle="1">
    <w:name w:val="Recuo de corpo de texto Char"/>
    <w:basedOn w:val="DefaultParagraphFont"/>
    <w:uiPriority w:val="99"/>
    <w:qFormat/>
    <w:rsid w:val="007a6e59"/>
    <w:rPr>
      <w:rFonts w:ascii="Times New Roman" w:hAnsi="Times New Roman" w:eastAsia="Times New Roman" w:cs="Times New Roman"/>
      <w:sz w:val="24"/>
      <w:szCs w:val="24"/>
    </w:rPr>
  </w:style>
  <w:style w:type="character" w:styleId="Ttulo1Char" w:customStyle="1">
    <w:name w:val="Título 1 Char"/>
    <w:basedOn w:val="DefaultParagraphFont"/>
    <w:qFormat/>
    <w:rsid w:val="00757293"/>
    <w:rPr>
      <w:rFonts w:ascii="Arial" w:hAnsi="Arial" w:eastAsia="Times New Roman" w:cs="Arial"/>
      <w:b/>
      <w:bCs/>
      <w:kern w:val="2"/>
      <w:sz w:val="32"/>
      <w:szCs w:val="32"/>
      <w:lang w:eastAsia="pt-BR"/>
    </w:rPr>
  </w:style>
  <w:style w:type="character" w:styleId="Ttulo2Char" w:customStyle="1">
    <w:name w:val="Título 2 Char"/>
    <w:basedOn w:val="DefaultParagraphFont"/>
    <w:qFormat/>
    <w:rsid w:val="00757293"/>
    <w:rPr>
      <w:rFonts w:ascii="Cambria" w:hAnsi="Cambria" w:eastAsia="Times New Roman" w:cs="Times New Roman"/>
      <w:b/>
      <w:bCs/>
      <w:i/>
      <w:iCs/>
      <w:sz w:val="28"/>
      <w:szCs w:val="28"/>
      <w:lang w:val="x-none" w:eastAsia="x-none"/>
    </w:rPr>
  </w:style>
  <w:style w:type="character" w:styleId="Ttulo5Char" w:customStyle="1">
    <w:name w:val="Título 5 Char"/>
    <w:basedOn w:val="DefaultParagraphFont"/>
    <w:uiPriority w:val="9"/>
    <w:qFormat/>
    <w:rsid w:val="00757293"/>
    <w:rPr>
      <w:rFonts w:ascii="Times New Roman" w:hAnsi="Times New Roman" w:eastAsia="Times New Roman" w:cs="Times New Roman"/>
      <w:b/>
      <w:bCs/>
      <w:i/>
      <w:iCs/>
      <w:sz w:val="26"/>
      <w:szCs w:val="26"/>
      <w:lang w:val="x-none" w:eastAsia="x-none"/>
    </w:rPr>
  </w:style>
  <w:style w:type="character" w:styleId="Ttulo6Char" w:customStyle="1">
    <w:name w:val="Título 6 Char"/>
    <w:basedOn w:val="DefaultParagraphFont"/>
    <w:qFormat/>
    <w:rsid w:val="00757293"/>
    <w:rPr>
      <w:rFonts w:ascii="Times New Roman" w:hAnsi="Times New Roman" w:eastAsia="Times New Roman" w:cs="Times New Roman"/>
      <w:b/>
      <w:bCs/>
      <w:lang w:val="x-none" w:eastAsia="x-none"/>
    </w:rPr>
  </w:style>
  <w:style w:type="character" w:styleId="Ttulo7Char" w:customStyle="1">
    <w:name w:val="Título 7 Char"/>
    <w:basedOn w:val="DefaultParagraphFont"/>
    <w:uiPriority w:val="9"/>
    <w:qFormat/>
    <w:rsid w:val="00757293"/>
    <w:rPr>
      <w:rFonts w:ascii="Arial" w:hAnsi="Arial" w:eastAsia="Times New Roman" w:cs="Arial"/>
      <w:b/>
      <w:sz w:val="28"/>
      <w:szCs w:val="20"/>
      <w:lang w:eastAsia="pt-BR"/>
    </w:rPr>
  </w:style>
  <w:style w:type="character" w:styleId="Ttulo9Char" w:customStyle="1">
    <w:name w:val="Título 9 Char"/>
    <w:basedOn w:val="DefaultParagraphFont"/>
    <w:uiPriority w:val="9"/>
    <w:qFormat/>
    <w:rsid w:val="00757293"/>
    <w:rPr>
      <w:rFonts w:ascii="Arial" w:hAnsi="Arial" w:eastAsia="Times New Roman" w:cs="Arial"/>
      <w:lang w:eastAsia="pt-BR"/>
    </w:rPr>
  </w:style>
  <w:style w:type="character" w:styleId="LinkdaInternet">
    <w:name w:val="Hyperlink"/>
    <w:rsid w:val="00757293"/>
    <w:rPr>
      <w:color w:val="0000FF"/>
      <w:u w:val="single"/>
    </w:rPr>
  </w:style>
  <w:style w:type="character" w:styleId="Strong">
    <w:name w:val="Strong"/>
    <w:qFormat/>
    <w:rPr>
      <w:b/>
      <w:bCs/>
    </w:rPr>
  </w:style>
  <w:style w:type="character" w:styleId="CorpodetextoChar" w:customStyle="1">
    <w:name w:val="Corpo de texto Char"/>
    <w:basedOn w:val="DefaultParagraphFont"/>
    <w:qFormat/>
    <w:rsid w:val="00757293"/>
    <w:rPr>
      <w:rFonts w:eastAsia="Times New Roman" w:cs="Times New Roman"/>
      <w:lang w:val="x-none" w:eastAsia="x-none"/>
    </w:rPr>
  </w:style>
  <w:style w:type="character" w:styleId="Corpodetexto3Char" w:customStyle="1">
    <w:name w:val="Corpo de texto 3 Char"/>
    <w:basedOn w:val="DefaultParagraphFont"/>
    <w:link w:val="BodyText3"/>
    <w:qFormat/>
    <w:rsid w:val="00757293"/>
    <w:rPr>
      <w:rFonts w:ascii="Times New Roman" w:hAnsi="Times New Roman" w:eastAsia="Times New Roman" w:cs="Times New Roman"/>
      <w:sz w:val="16"/>
      <w:szCs w:val="16"/>
      <w:lang w:eastAsia="pt-BR"/>
    </w:rPr>
  </w:style>
  <w:style w:type="character" w:styleId="TtuloChar" w:customStyle="1">
    <w:name w:val="Título Char"/>
    <w:basedOn w:val="DefaultParagraphFont"/>
    <w:qFormat/>
    <w:rsid w:val="00757293"/>
    <w:rPr>
      <w:rFonts w:ascii="Arial" w:hAnsi="Arial" w:eastAsia="Tahoma" w:cs="Times New Roman"/>
      <w:sz w:val="28"/>
      <w:szCs w:val="28"/>
      <w:lang w:val="x-none" w:eastAsia="ar-SA"/>
    </w:rPr>
  </w:style>
  <w:style w:type="character" w:styleId="Recuodecorpodetexto2Char" w:customStyle="1">
    <w:name w:val="Recuo de corpo de texto 2 Char"/>
    <w:basedOn w:val="DefaultParagraphFont"/>
    <w:link w:val="BodyTextIndent2"/>
    <w:qFormat/>
    <w:rsid w:val="00757293"/>
    <w:rPr>
      <w:rFonts w:ascii="Times New Roman" w:hAnsi="Times New Roman" w:eastAsia="Times New Roman" w:cs="Times New Roman"/>
      <w:sz w:val="24"/>
      <w:szCs w:val="24"/>
      <w:lang w:eastAsia="pt-BR"/>
    </w:rPr>
  </w:style>
  <w:style w:type="character" w:styleId="Recuodecorpodetexto3Char" w:customStyle="1">
    <w:name w:val="Recuo de corpo de texto 3 Char"/>
    <w:basedOn w:val="DefaultParagraphFont"/>
    <w:link w:val="BodyTextIndent3"/>
    <w:qFormat/>
    <w:rsid w:val="00757293"/>
    <w:rPr>
      <w:rFonts w:ascii="Times New Roman" w:hAnsi="Times New Roman" w:eastAsia="Times New Roman" w:cs="Times New Roman"/>
      <w:sz w:val="16"/>
      <w:szCs w:val="16"/>
      <w:lang w:eastAsia="pt-BR"/>
    </w:rPr>
  </w:style>
  <w:style w:type="character" w:styleId="TextosemFormataoChar" w:customStyle="1">
    <w:name w:val="Texto sem Formatação Char"/>
    <w:basedOn w:val="DefaultParagraphFont"/>
    <w:link w:val="PlainText"/>
    <w:qFormat/>
    <w:rsid w:val="00757293"/>
    <w:rPr>
      <w:rFonts w:ascii="Courier New" w:hAnsi="Courier New" w:eastAsia="Times New Roman" w:cs="Times New Roman"/>
      <w:sz w:val="20"/>
      <w:szCs w:val="20"/>
      <w:lang w:eastAsia="pt-BR"/>
    </w:rPr>
  </w:style>
  <w:style w:type="character" w:styleId="Pagenumber">
    <w:name w:val="page number"/>
    <w:basedOn w:val="DefaultParagraphFont"/>
    <w:qFormat/>
    <w:rsid w:val="00757293"/>
    <w:rPr/>
  </w:style>
  <w:style w:type="character" w:styleId="Linkdainternetvisitado">
    <w:name w:val="FollowedHyperlink"/>
    <w:rsid w:val="00757293"/>
    <w:rPr>
      <w:color w:val="800080"/>
      <w:u w:val="single"/>
    </w:rPr>
  </w:style>
  <w:style w:type="character" w:styleId="Descricao1" w:customStyle="1">
    <w:name w:val="descricao1"/>
    <w:qFormat/>
    <w:rsid w:val="00757293"/>
    <w:rPr>
      <w:color w:val="666666"/>
      <w:sz w:val="15"/>
      <w:szCs w:val="15"/>
    </w:rPr>
  </w:style>
  <w:style w:type="character" w:styleId="Annotationreference">
    <w:name w:val="annotation reference"/>
    <w:semiHidden/>
    <w:qFormat/>
    <w:rsid w:val="00757293"/>
    <w:rPr>
      <w:sz w:val="16"/>
      <w:szCs w:val="16"/>
    </w:rPr>
  </w:style>
  <w:style w:type="character" w:styleId="TextodecomentrioChar" w:customStyle="1">
    <w:name w:val="Texto de comentário Char"/>
    <w:basedOn w:val="DefaultParagraphFont"/>
    <w:link w:val="Annotationtext"/>
    <w:uiPriority w:val="99"/>
    <w:semiHidden/>
    <w:qFormat/>
    <w:rsid w:val="00757293"/>
    <w:rPr>
      <w:rFonts w:ascii="Times New Roman" w:hAnsi="Times New Roman" w:eastAsia="Times New Roman" w:cs="Times New Roman"/>
      <w:sz w:val="20"/>
      <w:szCs w:val="20"/>
      <w:lang w:eastAsia="pt-BR"/>
    </w:rPr>
  </w:style>
  <w:style w:type="character" w:styleId="AssuntodocomentrioChar" w:customStyle="1">
    <w:name w:val="Assunto do comentário Char"/>
    <w:basedOn w:val="TextodecomentrioChar"/>
    <w:link w:val="Annotationsubject"/>
    <w:uiPriority w:val="99"/>
    <w:semiHidden/>
    <w:qFormat/>
    <w:rsid w:val="00757293"/>
    <w:rPr>
      <w:rFonts w:ascii="Times New Roman" w:hAnsi="Times New Roman" w:eastAsia="Times New Roman" w:cs="Times New Roman"/>
      <w:b/>
      <w:bCs/>
      <w:sz w:val="20"/>
      <w:szCs w:val="20"/>
      <w:lang w:eastAsia="pt-BR"/>
    </w:rPr>
  </w:style>
  <w:style w:type="character" w:styleId="Appleconvertedspace" w:customStyle="1">
    <w:name w:val="apple-converted-space"/>
    <w:basedOn w:val="DefaultParagraphFont"/>
    <w:qFormat/>
    <w:rsid w:val="00757293"/>
    <w:rPr/>
  </w:style>
  <w:style w:type="character" w:styleId="Mainwindow1" w:customStyle="1">
    <w:name w:val="mainwindow1"/>
    <w:basedOn w:val="DefaultParagraphFont"/>
    <w:qFormat/>
    <w:rsid w:val="00757293"/>
    <w:rPr/>
  </w:style>
  <w:style w:type="character" w:styleId="Ttulo3Char" w:customStyle="1">
    <w:name w:val="Título 3 Char"/>
    <w:basedOn w:val="DefaultParagraphFont"/>
    <w:qFormat/>
    <w:rsid w:val="00652630"/>
    <w:rPr>
      <w:rFonts w:ascii="Arial" w:hAnsi="Arial" w:eastAsia="Times New Roman" w:cs="Times New Roman"/>
      <w:b/>
      <w:bCs/>
      <w:sz w:val="26"/>
      <w:szCs w:val="26"/>
      <w:lang w:val="x-none" w:eastAsia="ar-SA"/>
    </w:rPr>
  </w:style>
  <w:style w:type="character" w:styleId="Ttulo4Char" w:customStyle="1">
    <w:name w:val="Título 4 Char"/>
    <w:basedOn w:val="DefaultParagraphFont"/>
    <w:qFormat/>
    <w:rsid w:val="00652630"/>
    <w:rPr>
      <w:rFonts w:ascii="Times New Roman" w:hAnsi="Times New Roman" w:eastAsia="Times New Roman" w:cs="Times New Roman"/>
      <w:b/>
      <w:bCs/>
      <w:sz w:val="28"/>
      <w:szCs w:val="28"/>
      <w:lang w:val="x-none" w:eastAsia="ar-SA"/>
    </w:rPr>
  </w:style>
  <w:style w:type="character" w:styleId="Ttulo8Char" w:customStyle="1">
    <w:name w:val="Título 8 Char"/>
    <w:basedOn w:val="DefaultParagraphFont"/>
    <w:uiPriority w:val="9"/>
    <w:qFormat/>
    <w:rsid w:val="00652630"/>
    <w:rPr>
      <w:rFonts w:ascii="Arial" w:hAnsi="Arial" w:eastAsia="Times New Roman" w:cs="Times New Roman"/>
      <w:color w:val="000000"/>
      <w:sz w:val="28"/>
      <w:szCs w:val="20"/>
      <w:lang w:val="x-none" w:eastAsia="ar-SA"/>
    </w:rPr>
  </w:style>
  <w:style w:type="character" w:styleId="Nfase">
    <w:name w:val="Emphasis"/>
    <w:qFormat/>
    <w:rsid w:val="00652630"/>
    <w:rPr>
      <w:b/>
      <w:bCs/>
      <w:i w:val="false"/>
      <w:iCs w:val="false"/>
    </w:rPr>
  </w:style>
  <w:style w:type="character" w:styleId="PrformataoHTMLChar" w:customStyle="1">
    <w:name w:val="Pré-formatação HTML Char"/>
    <w:link w:val="HTMLPreformatted"/>
    <w:uiPriority w:val="99"/>
    <w:qFormat/>
    <w:locked/>
    <w:rsid w:val="00652630"/>
    <w:rPr>
      <w:rFonts w:ascii="Courier New" w:hAnsi="Courier New"/>
      <w:color w:val="29387B"/>
      <w:sz w:val="18"/>
      <w:szCs w:val="18"/>
    </w:rPr>
  </w:style>
  <w:style w:type="character" w:styleId="PrformataoHTMLChar1" w:customStyle="1">
    <w:name w:val="Pré-formatação HTML Char1"/>
    <w:basedOn w:val="DefaultParagraphFont"/>
    <w:uiPriority w:val="99"/>
    <w:qFormat/>
    <w:rsid w:val="00652630"/>
    <w:rPr>
      <w:rFonts w:ascii="Consolas" w:hAnsi="Consolas"/>
      <w:sz w:val="20"/>
      <w:szCs w:val="20"/>
    </w:rPr>
  </w:style>
  <w:style w:type="character" w:styleId="Corpodetexto2Char" w:customStyle="1">
    <w:name w:val="Corpo de texto 2 Char"/>
    <w:link w:val="BodyText2"/>
    <w:qFormat/>
    <w:locked/>
    <w:rsid w:val="00652630"/>
    <w:rPr>
      <w:bCs/>
      <w:sz w:val="24"/>
    </w:rPr>
  </w:style>
  <w:style w:type="character" w:styleId="Corpodetexto2Char1" w:customStyle="1">
    <w:name w:val="Corpo de texto 2 Char1"/>
    <w:basedOn w:val="DefaultParagraphFont"/>
    <w:qFormat/>
    <w:rsid w:val="00652630"/>
    <w:rPr/>
  </w:style>
  <w:style w:type="character" w:styleId="AbsatzStandardschriftart" w:customStyle="1">
    <w:name w:val="Absatz-Standardschriftart"/>
    <w:qFormat/>
    <w:rsid w:val="00652630"/>
    <w:rPr/>
  </w:style>
  <w:style w:type="character" w:styleId="WWAbsatzStandardschriftart" w:customStyle="1">
    <w:name w:val="WW-Absatz-Standardschriftart"/>
    <w:qFormat/>
    <w:rsid w:val="00652630"/>
    <w:rPr/>
  </w:style>
  <w:style w:type="character" w:styleId="WWAbsatzStandardschriftart1" w:customStyle="1">
    <w:name w:val="WW-Absatz-Standardschriftart1"/>
    <w:qFormat/>
    <w:rsid w:val="00652630"/>
    <w:rPr/>
  </w:style>
  <w:style w:type="character" w:styleId="Fontepargpadro2" w:customStyle="1">
    <w:name w:val="Fonte parág. padrão2"/>
    <w:qFormat/>
    <w:rsid w:val="00652630"/>
    <w:rPr/>
  </w:style>
  <w:style w:type="character" w:styleId="WWAbsatzStandardschriftart11" w:customStyle="1">
    <w:name w:val="WW-Absatz-Standardschriftart11"/>
    <w:qFormat/>
    <w:rsid w:val="00652630"/>
    <w:rPr/>
  </w:style>
  <w:style w:type="character" w:styleId="WWAbsatzStandardschriftart111" w:customStyle="1">
    <w:name w:val="WW-Absatz-Standardschriftart111"/>
    <w:qFormat/>
    <w:rsid w:val="00652630"/>
    <w:rPr/>
  </w:style>
  <w:style w:type="character" w:styleId="WWAbsatzStandardschriftart1111" w:customStyle="1">
    <w:name w:val="WW-Absatz-Standardschriftart1111"/>
    <w:qFormat/>
    <w:rsid w:val="00652630"/>
    <w:rPr/>
  </w:style>
  <w:style w:type="character" w:styleId="Fontepargpadro1" w:customStyle="1">
    <w:name w:val="Fonte parág. padrão1"/>
    <w:qFormat/>
    <w:rsid w:val="00652630"/>
    <w:rPr/>
  </w:style>
  <w:style w:type="character" w:styleId="Hlon3" w:customStyle="1">
    <w:name w:val="hlon3"/>
    <w:qFormat/>
    <w:rsid w:val="00652630"/>
    <w:rPr>
      <w:shd w:fill="DDE7C8" w:val="clear"/>
    </w:rPr>
  </w:style>
  <w:style w:type="character" w:styleId="St" w:customStyle="1">
    <w:name w:val="st"/>
    <w:qFormat/>
    <w:rsid w:val="00652630"/>
    <w:rPr/>
  </w:style>
  <w:style w:type="character" w:styleId="MapadoDocumentoChar" w:customStyle="1">
    <w:name w:val="Mapa do Documento Char"/>
    <w:basedOn w:val="DefaultParagraphFont"/>
    <w:link w:val="DocumentMap"/>
    <w:qFormat/>
    <w:rsid w:val="00652630"/>
    <w:rPr>
      <w:rFonts w:eastAsia="Times New Roman" w:cs="Times New Roman"/>
      <w:sz w:val="16"/>
      <w:szCs w:val="16"/>
      <w:lang w:val="x-none" w:eastAsia="x-none"/>
    </w:rPr>
  </w:style>
  <w:style w:type="character" w:styleId="UnresolvedMention">
    <w:name w:val="Unresolved Mention"/>
    <w:uiPriority w:val="99"/>
    <w:semiHidden/>
    <w:unhideWhenUsed/>
    <w:qFormat/>
    <w:rsid w:val="00652630"/>
    <w:rPr>
      <w:color w:val="605E5C"/>
      <w:shd w:fill="E1DFDD" w:val="clear"/>
    </w:rPr>
  </w:style>
  <w:style w:type="character" w:styleId="WW8Num1z0" w:customStyle="1">
    <w:name w:val="WW8Num1z0"/>
    <w:qFormat/>
    <w:rsid w:val="00652630"/>
    <w:rPr/>
  </w:style>
  <w:style w:type="character" w:styleId="WW8Num1z1" w:customStyle="1">
    <w:name w:val="WW8Num1z1"/>
    <w:qFormat/>
    <w:rsid w:val="00652630"/>
    <w:rPr/>
  </w:style>
  <w:style w:type="character" w:styleId="WW8Num1z2" w:customStyle="1">
    <w:name w:val="WW8Num1z2"/>
    <w:qFormat/>
    <w:rsid w:val="00652630"/>
    <w:rPr/>
  </w:style>
  <w:style w:type="character" w:styleId="WW8Num1z3" w:customStyle="1">
    <w:name w:val="WW8Num1z3"/>
    <w:qFormat/>
    <w:rsid w:val="00652630"/>
    <w:rPr/>
  </w:style>
  <w:style w:type="character" w:styleId="WW8Num1z4" w:customStyle="1">
    <w:name w:val="WW8Num1z4"/>
    <w:qFormat/>
    <w:rsid w:val="00652630"/>
    <w:rPr/>
  </w:style>
  <w:style w:type="character" w:styleId="WW8Num1z5" w:customStyle="1">
    <w:name w:val="WW8Num1z5"/>
    <w:qFormat/>
    <w:rsid w:val="00652630"/>
    <w:rPr/>
  </w:style>
  <w:style w:type="character" w:styleId="WW8Num1z6" w:customStyle="1">
    <w:name w:val="WW8Num1z6"/>
    <w:qFormat/>
    <w:rsid w:val="00652630"/>
    <w:rPr/>
  </w:style>
  <w:style w:type="character" w:styleId="WW8Num1z7" w:customStyle="1">
    <w:name w:val="WW8Num1z7"/>
    <w:qFormat/>
    <w:rsid w:val="00652630"/>
    <w:rPr/>
  </w:style>
  <w:style w:type="character" w:styleId="WW8Num1z8" w:customStyle="1">
    <w:name w:val="WW8Num1z8"/>
    <w:qFormat/>
    <w:rsid w:val="00652630"/>
    <w:rPr/>
  </w:style>
  <w:style w:type="character" w:styleId="WW8Num2z0" w:customStyle="1">
    <w:name w:val="WW8Num2z0"/>
    <w:qFormat/>
    <w:rsid w:val="00652630"/>
    <w:rPr/>
  </w:style>
  <w:style w:type="character" w:styleId="WW8Num2z2" w:customStyle="1">
    <w:name w:val="WW8Num2z2"/>
    <w:qFormat/>
    <w:rsid w:val="00652630"/>
    <w:rPr>
      <w:sz w:val="22"/>
      <w:szCs w:val="22"/>
    </w:rPr>
  </w:style>
  <w:style w:type="character" w:styleId="WW8Num3z0" w:customStyle="1">
    <w:name w:val="WW8Num3z0"/>
    <w:qFormat/>
    <w:rsid w:val="00652630"/>
    <w:rPr>
      <w:rFonts w:ascii="Symbol" w:hAnsi="Symbol" w:cs="Symbol"/>
    </w:rPr>
  </w:style>
  <w:style w:type="character" w:styleId="WW8Num3z1" w:customStyle="1">
    <w:name w:val="WW8Num3z1"/>
    <w:qFormat/>
    <w:rsid w:val="00652630"/>
    <w:rPr>
      <w:rFonts w:ascii="Wingdings" w:hAnsi="Wingdings" w:cs="Wingdings"/>
    </w:rPr>
  </w:style>
  <w:style w:type="character" w:styleId="WW8Num3z4" w:customStyle="1">
    <w:name w:val="WW8Num3z4"/>
    <w:qFormat/>
    <w:rsid w:val="00652630"/>
    <w:rPr>
      <w:rFonts w:ascii="Courier New" w:hAnsi="Courier New" w:cs="Courier New"/>
    </w:rPr>
  </w:style>
  <w:style w:type="character" w:styleId="WW8Num4z0" w:customStyle="1">
    <w:name w:val="WW8Num4z0"/>
    <w:qFormat/>
    <w:rsid w:val="00652630"/>
    <w:rPr>
      <w:rFonts w:ascii="Symbol" w:hAnsi="Symbol" w:cs="Symbol"/>
    </w:rPr>
  </w:style>
  <w:style w:type="character" w:styleId="WW8Num4z1" w:customStyle="1">
    <w:name w:val="WW8Num4z1"/>
    <w:qFormat/>
    <w:rsid w:val="00652630"/>
    <w:rPr>
      <w:rFonts w:ascii="Courier New" w:hAnsi="Courier New" w:cs="Courier New"/>
    </w:rPr>
  </w:style>
  <w:style w:type="character" w:styleId="WW8Num4z2" w:customStyle="1">
    <w:name w:val="WW8Num4z2"/>
    <w:qFormat/>
    <w:rsid w:val="00652630"/>
    <w:rPr>
      <w:rFonts w:ascii="Wingdings" w:hAnsi="Wingdings" w:cs="Wingdings"/>
    </w:rPr>
  </w:style>
  <w:style w:type="character" w:styleId="WW8Num5z0" w:customStyle="1">
    <w:name w:val="WW8Num5z0"/>
    <w:qFormat/>
    <w:rsid w:val="00652630"/>
    <w:rPr>
      <w:rFonts w:ascii="Symbol" w:hAnsi="Symbol" w:cs="Symbol"/>
    </w:rPr>
  </w:style>
  <w:style w:type="character" w:styleId="WW8Num5z1" w:customStyle="1">
    <w:name w:val="WW8Num5z1"/>
    <w:qFormat/>
    <w:rsid w:val="00652630"/>
    <w:rPr>
      <w:rFonts w:ascii="Courier New" w:hAnsi="Courier New" w:cs="Courier New"/>
    </w:rPr>
  </w:style>
  <w:style w:type="character" w:styleId="WW8Num5z2" w:customStyle="1">
    <w:name w:val="WW8Num5z2"/>
    <w:qFormat/>
    <w:rsid w:val="00652630"/>
    <w:rPr>
      <w:rFonts w:ascii="Wingdings" w:hAnsi="Wingdings" w:cs="Wingdings"/>
    </w:rPr>
  </w:style>
  <w:style w:type="character" w:styleId="WW8Num6z0" w:customStyle="1">
    <w:name w:val="WW8Num6z0"/>
    <w:qFormat/>
    <w:rsid w:val="00652630"/>
    <w:rPr>
      <w:rFonts w:ascii="Symbol" w:hAnsi="Symbol" w:cs="Symbol"/>
    </w:rPr>
  </w:style>
  <w:style w:type="character" w:styleId="WW8Num6z1" w:customStyle="1">
    <w:name w:val="WW8Num6z1"/>
    <w:qFormat/>
    <w:rsid w:val="00652630"/>
    <w:rPr>
      <w:rFonts w:ascii="Courier New" w:hAnsi="Courier New" w:cs="Courier New"/>
    </w:rPr>
  </w:style>
  <w:style w:type="character" w:styleId="WW8Num6z2" w:customStyle="1">
    <w:name w:val="WW8Num6z2"/>
    <w:qFormat/>
    <w:rsid w:val="00652630"/>
    <w:rPr>
      <w:rFonts w:ascii="Wingdings" w:hAnsi="Wingdings" w:cs="Wingdings"/>
    </w:rPr>
  </w:style>
  <w:style w:type="character" w:styleId="WW8Num7z0" w:customStyle="1">
    <w:name w:val="WW8Num7z0"/>
    <w:qFormat/>
    <w:rsid w:val="00652630"/>
    <w:rPr/>
  </w:style>
  <w:style w:type="character" w:styleId="WW8Num8z0" w:customStyle="1">
    <w:name w:val="WW8Num8z0"/>
    <w:qFormat/>
    <w:rsid w:val="00652630"/>
    <w:rPr>
      <w:rFonts w:ascii="Wingdings" w:hAnsi="Wingdings" w:cs="Wingdings"/>
    </w:rPr>
  </w:style>
  <w:style w:type="character" w:styleId="WW8Num8z1" w:customStyle="1">
    <w:name w:val="WW8Num8z1"/>
    <w:qFormat/>
    <w:rsid w:val="00652630"/>
    <w:rPr>
      <w:rFonts w:ascii="Courier New" w:hAnsi="Courier New" w:cs="Courier New"/>
    </w:rPr>
  </w:style>
  <w:style w:type="character" w:styleId="WW8Num8z3" w:customStyle="1">
    <w:name w:val="WW8Num8z3"/>
    <w:qFormat/>
    <w:rsid w:val="00652630"/>
    <w:rPr>
      <w:rFonts w:ascii="Symbol" w:hAnsi="Symbol" w:cs="Symbol"/>
    </w:rPr>
  </w:style>
  <w:style w:type="character" w:styleId="WW8Num9z0" w:customStyle="1">
    <w:name w:val="WW8Num9z0"/>
    <w:qFormat/>
    <w:rsid w:val="00652630"/>
    <w:rPr/>
  </w:style>
  <w:style w:type="character" w:styleId="WW8Num9z1" w:customStyle="1">
    <w:name w:val="WW8Num9z1"/>
    <w:qFormat/>
    <w:rsid w:val="00652630"/>
    <w:rPr/>
  </w:style>
  <w:style w:type="character" w:styleId="WW8Num9z2" w:customStyle="1">
    <w:name w:val="WW8Num9z2"/>
    <w:qFormat/>
    <w:rsid w:val="00652630"/>
    <w:rPr/>
  </w:style>
  <w:style w:type="character" w:styleId="WW8Num9z3" w:customStyle="1">
    <w:name w:val="WW8Num9z3"/>
    <w:qFormat/>
    <w:rsid w:val="00652630"/>
    <w:rPr/>
  </w:style>
  <w:style w:type="character" w:styleId="WW8Num9z4" w:customStyle="1">
    <w:name w:val="WW8Num9z4"/>
    <w:qFormat/>
    <w:rsid w:val="00652630"/>
    <w:rPr/>
  </w:style>
  <w:style w:type="character" w:styleId="WW8Num9z5" w:customStyle="1">
    <w:name w:val="WW8Num9z5"/>
    <w:qFormat/>
    <w:rsid w:val="00652630"/>
    <w:rPr/>
  </w:style>
  <w:style w:type="character" w:styleId="WW8Num9z6" w:customStyle="1">
    <w:name w:val="WW8Num9z6"/>
    <w:qFormat/>
    <w:rsid w:val="00652630"/>
    <w:rPr/>
  </w:style>
  <w:style w:type="character" w:styleId="WW8Num9z7" w:customStyle="1">
    <w:name w:val="WW8Num9z7"/>
    <w:qFormat/>
    <w:rsid w:val="00652630"/>
    <w:rPr/>
  </w:style>
  <w:style w:type="character" w:styleId="WW8Num9z8" w:customStyle="1">
    <w:name w:val="WW8Num9z8"/>
    <w:qFormat/>
    <w:rsid w:val="00652630"/>
    <w:rPr/>
  </w:style>
  <w:style w:type="character" w:styleId="WW8Num10z0" w:customStyle="1">
    <w:name w:val="WW8Num10z0"/>
    <w:qFormat/>
    <w:rsid w:val="00652630"/>
    <w:rPr/>
  </w:style>
  <w:style w:type="character" w:styleId="WW8Num11z0" w:customStyle="1">
    <w:name w:val="WW8Num11z0"/>
    <w:qFormat/>
    <w:rsid w:val="00652630"/>
    <w:rPr>
      <w:rFonts w:ascii="Symbol" w:hAnsi="Symbol" w:cs="Symbol"/>
    </w:rPr>
  </w:style>
  <w:style w:type="character" w:styleId="WW8Num11z1" w:customStyle="1">
    <w:name w:val="WW8Num11z1"/>
    <w:qFormat/>
    <w:rsid w:val="00652630"/>
    <w:rPr>
      <w:rFonts w:ascii="Courier New" w:hAnsi="Courier New" w:cs="Courier New"/>
    </w:rPr>
  </w:style>
  <w:style w:type="character" w:styleId="WW8Num11z2" w:customStyle="1">
    <w:name w:val="WW8Num11z2"/>
    <w:qFormat/>
    <w:rsid w:val="00652630"/>
    <w:rPr>
      <w:rFonts w:ascii="Wingdings" w:hAnsi="Wingdings" w:cs="Wingdings"/>
    </w:rPr>
  </w:style>
  <w:style w:type="character" w:styleId="WW8Num12z0" w:customStyle="1">
    <w:name w:val="WW8Num12z0"/>
    <w:qFormat/>
    <w:rsid w:val="00652630"/>
    <w:rPr/>
  </w:style>
  <w:style w:type="character" w:styleId="WW8Num12z1" w:customStyle="1">
    <w:name w:val="WW8Num12z1"/>
    <w:qFormat/>
    <w:rsid w:val="00652630"/>
    <w:rPr/>
  </w:style>
  <w:style w:type="character" w:styleId="WW8Num12z2" w:customStyle="1">
    <w:name w:val="WW8Num12z2"/>
    <w:qFormat/>
    <w:rsid w:val="00652630"/>
    <w:rPr/>
  </w:style>
  <w:style w:type="character" w:styleId="WW8Num12z3" w:customStyle="1">
    <w:name w:val="WW8Num12z3"/>
    <w:qFormat/>
    <w:rsid w:val="00652630"/>
    <w:rPr/>
  </w:style>
  <w:style w:type="character" w:styleId="WW8Num12z4" w:customStyle="1">
    <w:name w:val="WW8Num12z4"/>
    <w:qFormat/>
    <w:rsid w:val="00652630"/>
    <w:rPr/>
  </w:style>
  <w:style w:type="character" w:styleId="WW8Num12z5" w:customStyle="1">
    <w:name w:val="WW8Num12z5"/>
    <w:qFormat/>
    <w:rsid w:val="00652630"/>
    <w:rPr/>
  </w:style>
  <w:style w:type="character" w:styleId="WW8Num12z6" w:customStyle="1">
    <w:name w:val="WW8Num12z6"/>
    <w:qFormat/>
    <w:rsid w:val="00652630"/>
    <w:rPr/>
  </w:style>
  <w:style w:type="character" w:styleId="WW8Num12z7" w:customStyle="1">
    <w:name w:val="WW8Num12z7"/>
    <w:qFormat/>
    <w:rsid w:val="00652630"/>
    <w:rPr/>
  </w:style>
  <w:style w:type="character" w:styleId="WW8Num12z8" w:customStyle="1">
    <w:name w:val="WW8Num12z8"/>
    <w:qFormat/>
    <w:rsid w:val="00652630"/>
    <w:rPr/>
  </w:style>
  <w:style w:type="character" w:styleId="WW8Num13z0" w:customStyle="1">
    <w:name w:val="WW8Num13z0"/>
    <w:qFormat/>
    <w:rsid w:val="00652630"/>
    <w:rPr>
      <w:rFonts w:ascii="Symbol" w:hAnsi="Symbol" w:cs="Symbol"/>
    </w:rPr>
  </w:style>
  <w:style w:type="character" w:styleId="WW8Num13z1" w:customStyle="1">
    <w:name w:val="WW8Num13z1"/>
    <w:qFormat/>
    <w:rsid w:val="00652630"/>
    <w:rPr>
      <w:rFonts w:ascii="Courier New" w:hAnsi="Courier New" w:cs="Courier New"/>
    </w:rPr>
  </w:style>
  <w:style w:type="character" w:styleId="WW8Num13z2" w:customStyle="1">
    <w:name w:val="WW8Num13z2"/>
    <w:qFormat/>
    <w:rsid w:val="00652630"/>
    <w:rPr>
      <w:rFonts w:ascii="Wingdings" w:hAnsi="Wingdings" w:cs="Wingdings"/>
    </w:rPr>
  </w:style>
  <w:style w:type="character" w:styleId="WW8Num14z0" w:customStyle="1">
    <w:name w:val="WW8Num14z0"/>
    <w:qFormat/>
    <w:rsid w:val="00652630"/>
    <w:rPr/>
  </w:style>
  <w:style w:type="character" w:styleId="WW8Num14z1" w:customStyle="1">
    <w:name w:val="WW8Num14z1"/>
    <w:qFormat/>
    <w:rsid w:val="00652630"/>
    <w:rPr/>
  </w:style>
  <w:style w:type="character" w:styleId="WW8Num14z2" w:customStyle="1">
    <w:name w:val="WW8Num14z2"/>
    <w:qFormat/>
    <w:rsid w:val="00652630"/>
    <w:rPr/>
  </w:style>
  <w:style w:type="character" w:styleId="WW8Num14z3" w:customStyle="1">
    <w:name w:val="WW8Num14z3"/>
    <w:qFormat/>
    <w:rsid w:val="00652630"/>
    <w:rPr/>
  </w:style>
  <w:style w:type="character" w:styleId="WW8Num14z4" w:customStyle="1">
    <w:name w:val="WW8Num14z4"/>
    <w:qFormat/>
    <w:rsid w:val="00652630"/>
    <w:rPr/>
  </w:style>
  <w:style w:type="character" w:styleId="WW8Num14z5" w:customStyle="1">
    <w:name w:val="WW8Num14z5"/>
    <w:qFormat/>
    <w:rsid w:val="00652630"/>
    <w:rPr/>
  </w:style>
  <w:style w:type="character" w:styleId="WW8Num14z6" w:customStyle="1">
    <w:name w:val="WW8Num14z6"/>
    <w:qFormat/>
    <w:rsid w:val="00652630"/>
    <w:rPr/>
  </w:style>
  <w:style w:type="character" w:styleId="WW8Num14z7" w:customStyle="1">
    <w:name w:val="WW8Num14z7"/>
    <w:qFormat/>
    <w:rsid w:val="00652630"/>
    <w:rPr/>
  </w:style>
  <w:style w:type="character" w:styleId="WW8Num14z8" w:customStyle="1">
    <w:name w:val="WW8Num14z8"/>
    <w:qFormat/>
    <w:rsid w:val="00652630"/>
    <w:rPr/>
  </w:style>
  <w:style w:type="character" w:styleId="WW8Num15z0" w:customStyle="1">
    <w:name w:val="WW8Num15z0"/>
    <w:qFormat/>
    <w:rsid w:val="00652630"/>
    <w:rPr/>
  </w:style>
  <w:style w:type="character" w:styleId="WW8Num16z0" w:customStyle="1">
    <w:name w:val="WW8Num16z0"/>
    <w:qFormat/>
    <w:rsid w:val="00652630"/>
    <w:rPr/>
  </w:style>
  <w:style w:type="character" w:styleId="WW8Num16z1" w:customStyle="1">
    <w:name w:val="WW8Num16z1"/>
    <w:qFormat/>
    <w:rsid w:val="00652630"/>
    <w:rPr/>
  </w:style>
  <w:style w:type="character" w:styleId="WW8Num16z2" w:customStyle="1">
    <w:name w:val="WW8Num16z2"/>
    <w:qFormat/>
    <w:rsid w:val="00652630"/>
    <w:rPr/>
  </w:style>
  <w:style w:type="character" w:styleId="WW8Num16z3" w:customStyle="1">
    <w:name w:val="WW8Num16z3"/>
    <w:qFormat/>
    <w:rsid w:val="00652630"/>
    <w:rPr/>
  </w:style>
  <w:style w:type="character" w:styleId="WW8Num16z4" w:customStyle="1">
    <w:name w:val="WW8Num16z4"/>
    <w:qFormat/>
    <w:rsid w:val="00652630"/>
    <w:rPr/>
  </w:style>
  <w:style w:type="character" w:styleId="WW8Num16z5" w:customStyle="1">
    <w:name w:val="WW8Num16z5"/>
    <w:qFormat/>
    <w:rsid w:val="00652630"/>
    <w:rPr/>
  </w:style>
  <w:style w:type="character" w:styleId="WW8Num16z6" w:customStyle="1">
    <w:name w:val="WW8Num16z6"/>
    <w:qFormat/>
    <w:rsid w:val="00652630"/>
    <w:rPr/>
  </w:style>
  <w:style w:type="character" w:styleId="WW8Num16z7" w:customStyle="1">
    <w:name w:val="WW8Num16z7"/>
    <w:qFormat/>
    <w:rsid w:val="00652630"/>
    <w:rPr/>
  </w:style>
  <w:style w:type="character" w:styleId="WW8Num16z8" w:customStyle="1">
    <w:name w:val="WW8Num16z8"/>
    <w:qFormat/>
    <w:rsid w:val="00652630"/>
    <w:rPr/>
  </w:style>
  <w:style w:type="character" w:styleId="WW8Num17z0" w:customStyle="1">
    <w:name w:val="WW8Num17z0"/>
    <w:qFormat/>
    <w:rsid w:val="00652630"/>
    <w:rPr/>
  </w:style>
  <w:style w:type="character" w:styleId="WW8Num17z1" w:customStyle="1">
    <w:name w:val="WW8Num17z1"/>
    <w:qFormat/>
    <w:rsid w:val="00652630"/>
    <w:rPr/>
  </w:style>
  <w:style w:type="character" w:styleId="WW8Num17z2" w:customStyle="1">
    <w:name w:val="WW8Num17z2"/>
    <w:qFormat/>
    <w:rsid w:val="00652630"/>
    <w:rPr/>
  </w:style>
  <w:style w:type="character" w:styleId="WW8Num17z3" w:customStyle="1">
    <w:name w:val="WW8Num17z3"/>
    <w:qFormat/>
    <w:rsid w:val="00652630"/>
    <w:rPr/>
  </w:style>
  <w:style w:type="character" w:styleId="WW8Num17z4" w:customStyle="1">
    <w:name w:val="WW8Num17z4"/>
    <w:qFormat/>
    <w:rsid w:val="00652630"/>
    <w:rPr/>
  </w:style>
  <w:style w:type="character" w:styleId="WW8Num17z5" w:customStyle="1">
    <w:name w:val="WW8Num17z5"/>
    <w:qFormat/>
    <w:rsid w:val="00652630"/>
    <w:rPr/>
  </w:style>
  <w:style w:type="character" w:styleId="WW8Num17z6" w:customStyle="1">
    <w:name w:val="WW8Num17z6"/>
    <w:qFormat/>
    <w:rsid w:val="00652630"/>
    <w:rPr/>
  </w:style>
  <w:style w:type="character" w:styleId="WW8Num17z7" w:customStyle="1">
    <w:name w:val="WW8Num17z7"/>
    <w:qFormat/>
    <w:rsid w:val="00652630"/>
    <w:rPr/>
  </w:style>
  <w:style w:type="character" w:styleId="WW8Num17z8" w:customStyle="1">
    <w:name w:val="WW8Num17z8"/>
    <w:qFormat/>
    <w:rsid w:val="00652630"/>
    <w:rPr/>
  </w:style>
  <w:style w:type="character" w:styleId="WW8Num18z0" w:customStyle="1">
    <w:name w:val="WW8Num18z0"/>
    <w:qFormat/>
    <w:rsid w:val="00652630"/>
    <w:rPr/>
  </w:style>
  <w:style w:type="character" w:styleId="WW8Num18z1" w:customStyle="1">
    <w:name w:val="WW8Num18z1"/>
    <w:qFormat/>
    <w:rsid w:val="00652630"/>
    <w:rPr/>
  </w:style>
  <w:style w:type="character" w:styleId="WW8Num18z2" w:customStyle="1">
    <w:name w:val="WW8Num18z2"/>
    <w:qFormat/>
    <w:rsid w:val="00652630"/>
    <w:rPr/>
  </w:style>
  <w:style w:type="character" w:styleId="WW8Num18z3" w:customStyle="1">
    <w:name w:val="WW8Num18z3"/>
    <w:qFormat/>
    <w:rsid w:val="00652630"/>
    <w:rPr/>
  </w:style>
  <w:style w:type="character" w:styleId="WW8Num18z4" w:customStyle="1">
    <w:name w:val="WW8Num18z4"/>
    <w:qFormat/>
    <w:rsid w:val="00652630"/>
    <w:rPr/>
  </w:style>
  <w:style w:type="character" w:styleId="WW8Num18z5" w:customStyle="1">
    <w:name w:val="WW8Num18z5"/>
    <w:qFormat/>
    <w:rsid w:val="00652630"/>
    <w:rPr/>
  </w:style>
  <w:style w:type="character" w:styleId="WW8Num18z6" w:customStyle="1">
    <w:name w:val="WW8Num18z6"/>
    <w:qFormat/>
    <w:rsid w:val="00652630"/>
    <w:rPr/>
  </w:style>
  <w:style w:type="character" w:styleId="WW8Num18z7" w:customStyle="1">
    <w:name w:val="WW8Num18z7"/>
    <w:qFormat/>
    <w:rsid w:val="00652630"/>
    <w:rPr/>
  </w:style>
  <w:style w:type="character" w:styleId="WW8Num18z8" w:customStyle="1">
    <w:name w:val="WW8Num18z8"/>
    <w:qFormat/>
    <w:rsid w:val="00652630"/>
    <w:rPr/>
  </w:style>
  <w:style w:type="character" w:styleId="WW8Num19z0" w:customStyle="1">
    <w:name w:val="WW8Num19z0"/>
    <w:qFormat/>
    <w:rsid w:val="00652630"/>
    <w:rPr/>
  </w:style>
  <w:style w:type="character" w:styleId="WW8Num19z1" w:customStyle="1">
    <w:name w:val="WW8Num19z1"/>
    <w:qFormat/>
    <w:rsid w:val="00652630"/>
    <w:rPr/>
  </w:style>
  <w:style w:type="character" w:styleId="WW8Num19z2" w:customStyle="1">
    <w:name w:val="WW8Num19z2"/>
    <w:qFormat/>
    <w:rsid w:val="00652630"/>
    <w:rPr/>
  </w:style>
  <w:style w:type="character" w:styleId="WW8Num19z3" w:customStyle="1">
    <w:name w:val="WW8Num19z3"/>
    <w:qFormat/>
    <w:rsid w:val="00652630"/>
    <w:rPr/>
  </w:style>
  <w:style w:type="character" w:styleId="WW8Num19z4" w:customStyle="1">
    <w:name w:val="WW8Num19z4"/>
    <w:qFormat/>
    <w:rsid w:val="00652630"/>
    <w:rPr/>
  </w:style>
  <w:style w:type="character" w:styleId="WW8Num19z5" w:customStyle="1">
    <w:name w:val="WW8Num19z5"/>
    <w:qFormat/>
    <w:rsid w:val="00652630"/>
    <w:rPr/>
  </w:style>
  <w:style w:type="character" w:styleId="WW8Num19z6" w:customStyle="1">
    <w:name w:val="WW8Num19z6"/>
    <w:qFormat/>
    <w:rsid w:val="00652630"/>
    <w:rPr/>
  </w:style>
  <w:style w:type="character" w:styleId="WW8Num19z7" w:customStyle="1">
    <w:name w:val="WW8Num19z7"/>
    <w:qFormat/>
    <w:rsid w:val="00652630"/>
    <w:rPr/>
  </w:style>
  <w:style w:type="character" w:styleId="WW8Num19z8" w:customStyle="1">
    <w:name w:val="WW8Num19z8"/>
    <w:qFormat/>
    <w:rsid w:val="00652630"/>
    <w:rPr/>
  </w:style>
  <w:style w:type="character" w:styleId="WW8Num20z0" w:customStyle="1">
    <w:name w:val="WW8Num20z0"/>
    <w:qFormat/>
    <w:rsid w:val="00652630"/>
    <w:rPr>
      <w:rFonts w:ascii="Symbol" w:hAnsi="Symbol" w:cs="Symbol"/>
    </w:rPr>
  </w:style>
  <w:style w:type="character" w:styleId="WW8Num20z1" w:customStyle="1">
    <w:name w:val="WW8Num20z1"/>
    <w:qFormat/>
    <w:rsid w:val="00652630"/>
    <w:rPr>
      <w:rFonts w:ascii="Courier New" w:hAnsi="Courier New" w:cs="Courier New"/>
    </w:rPr>
  </w:style>
  <w:style w:type="character" w:styleId="WW8Num20z2" w:customStyle="1">
    <w:name w:val="WW8Num20z2"/>
    <w:qFormat/>
    <w:rsid w:val="00652630"/>
    <w:rPr>
      <w:rFonts w:ascii="Wingdings" w:hAnsi="Wingdings" w:cs="Wingdings"/>
    </w:rPr>
  </w:style>
  <w:style w:type="character" w:styleId="WW8Num21z0" w:customStyle="1">
    <w:name w:val="WW8Num21z0"/>
    <w:qFormat/>
    <w:rsid w:val="00652630"/>
    <w:rPr>
      <w:rFonts w:ascii="Arial Unicode MS" w:hAnsi="Arial Unicode MS" w:cs="Arial Unicode MS"/>
    </w:rPr>
  </w:style>
  <w:style w:type="character" w:styleId="WW8Num22z0" w:customStyle="1">
    <w:name w:val="WW8Num22z0"/>
    <w:qFormat/>
    <w:rsid w:val="00652630"/>
    <w:rPr>
      <w:rFonts w:ascii="Symbol" w:hAnsi="Symbol" w:cs="Symbol"/>
    </w:rPr>
  </w:style>
  <w:style w:type="character" w:styleId="WW8Num22z1" w:customStyle="1">
    <w:name w:val="WW8Num22z1"/>
    <w:qFormat/>
    <w:rsid w:val="00652630"/>
    <w:rPr>
      <w:rFonts w:ascii="Courier New" w:hAnsi="Courier New" w:cs="Courier New"/>
    </w:rPr>
  </w:style>
  <w:style w:type="character" w:styleId="WW8Num22z2" w:customStyle="1">
    <w:name w:val="WW8Num22z2"/>
    <w:qFormat/>
    <w:rsid w:val="00652630"/>
    <w:rPr>
      <w:rFonts w:ascii="Wingdings" w:hAnsi="Wingdings" w:cs="Wingdings"/>
    </w:rPr>
  </w:style>
  <w:style w:type="character" w:styleId="WW8Num23z0" w:customStyle="1">
    <w:name w:val="WW8Num23z0"/>
    <w:qFormat/>
    <w:rsid w:val="00652630"/>
    <w:rPr/>
  </w:style>
  <w:style w:type="character" w:styleId="WW8Num24z0" w:customStyle="1">
    <w:name w:val="WW8Num24z0"/>
    <w:qFormat/>
    <w:rsid w:val="00652630"/>
    <w:rPr/>
  </w:style>
  <w:style w:type="character" w:styleId="WW8Num24z1" w:customStyle="1">
    <w:name w:val="WW8Num24z1"/>
    <w:qFormat/>
    <w:rsid w:val="00652630"/>
    <w:rPr/>
  </w:style>
  <w:style w:type="character" w:styleId="WW8Num24z2" w:customStyle="1">
    <w:name w:val="WW8Num24z2"/>
    <w:qFormat/>
    <w:rsid w:val="00652630"/>
    <w:rPr/>
  </w:style>
  <w:style w:type="character" w:styleId="WW8Num24z3" w:customStyle="1">
    <w:name w:val="WW8Num24z3"/>
    <w:qFormat/>
    <w:rsid w:val="00652630"/>
    <w:rPr/>
  </w:style>
  <w:style w:type="character" w:styleId="WW8Num24z4" w:customStyle="1">
    <w:name w:val="WW8Num24z4"/>
    <w:qFormat/>
    <w:rsid w:val="00652630"/>
    <w:rPr/>
  </w:style>
  <w:style w:type="character" w:styleId="WW8Num24z5" w:customStyle="1">
    <w:name w:val="WW8Num24z5"/>
    <w:qFormat/>
    <w:rsid w:val="00652630"/>
    <w:rPr/>
  </w:style>
  <w:style w:type="character" w:styleId="WW8Num24z6" w:customStyle="1">
    <w:name w:val="WW8Num24z6"/>
    <w:qFormat/>
    <w:rsid w:val="00652630"/>
    <w:rPr/>
  </w:style>
  <w:style w:type="character" w:styleId="WW8Num24z7" w:customStyle="1">
    <w:name w:val="WW8Num24z7"/>
    <w:qFormat/>
    <w:rsid w:val="00652630"/>
    <w:rPr/>
  </w:style>
  <w:style w:type="character" w:styleId="WW8Num24z8" w:customStyle="1">
    <w:name w:val="WW8Num24z8"/>
    <w:qFormat/>
    <w:rsid w:val="00652630"/>
    <w:rPr/>
  </w:style>
  <w:style w:type="character" w:styleId="WW8Num25z0" w:customStyle="1">
    <w:name w:val="WW8Num25z0"/>
    <w:qFormat/>
    <w:rsid w:val="00652630"/>
    <w:rPr/>
  </w:style>
  <w:style w:type="character" w:styleId="WW8Num25z1" w:customStyle="1">
    <w:name w:val="WW8Num25z1"/>
    <w:qFormat/>
    <w:rsid w:val="00652630"/>
    <w:rPr/>
  </w:style>
  <w:style w:type="character" w:styleId="WW8Num25z2" w:customStyle="1">
    <w:name w:val="WW8Num25z2"/>
    <w:qFormat/>
    <w:rsid w:val="00652630"/>
    <w:rPr/>
  </w:style>
  <w:style w:type="character" w:styleId="WW8Num25z3" w:customStyle="1">
    <w:name w:val="WW8Num25z3"/>
    <w:qFormat/>
    <w:rsid w:val="00652630"/>
    <w:rPr/>
  </w:style>
  <w:style w:type="character" w:styleId="WW8Num25z4" w:customStyle="1">
    <w:name w:val="WW8Num25z4"/>
    <w:qFormat/>
    <w:rsid w:val="00652630"/>
    <w:rPr/>
  </w:style>
  <w:style w:type="character" w:styleId="WW8Num25z5" w:customStyle="1">
    <w:name w:val="WW8Num25z5"/>
    <w:qFormat/>
    <w:rsid w:val="00652630"/>
    <w:rPr/>
  </w:style>
  <w:style w:type="character" w:styleId="WW8Num25z6" w:customStyle="1">
    <w:name w:val="WW8Num25z6"/>
    <w:qFormat/>
    <w:rsid w:val="00652630"/>
    <w:rPr/>
  </w:style>
  <w:style w:type="character" w:styleId="WW8Num25z7" w:customStyle="1">
    <w:name w:val="WW8Num25z7"/>
    <w:qFormat/>
    <w:rsid w:val="00652630"/>
    <w:rPr/>
  </w:style>
  <w:style w:type="character" w:styleId="WW8Num25z8" w:customStyle="1">
    <w:name w:val="WW8Num25z8"/>
    <w:qFormat/>
    <w:rsid w:val="00652630"/>
    <w:rPr/>
  </w:style>
  <w:style w:type="character" w:styleId="WW8Num26z0" w:customStyle="1">
    <w:name w:val="WW8Num26z0"/>
    <w:qFormat/>
    <w:rsid w:val="00652630"/>
    <w:rPr>
      <w:rFonts w:ascii="Symbol" w:hAnsi="Symbol" w:cs="Symbol"/>
    </w:rPr>
  </w:style>
  <w:style w:type="character" w:styleId="WW8Num26z1" w:customStyle="1">
    <w:name w:val="WW8Num26z1"/>
    <w:qFormat/>
    <w:rsid w:val="00652630"/>
    <w:rPr>
      <w:rFonts w:ascii="Courier New" w:hAnsi="Courier New" w:cs="Courier New"/>
    </w:rPr>
  </w:style>
  <w:style w:type="character" w:styleId="WW8Num26z2" w:customStyle="1">
    <w:name w:val="WW8Num26z2"/>
    <w:qFormat/>
    <w:rsid w:val="00652630"/>
    <w:rPr>
      <w:rFonts w:ascii="Wingdings" w:hAnsi="Wingdings" w:cs="Wingdings"/>
    </w:rPr>
  </w:style>
  <w:style w:type="character" w:styleId="WW8Num27z0" w:customStyle="1">
    <w:name w:val="WW8Num27z0"/>
    <w:qFormat/>
    <w:rsid w:val="00652630"/>
    <w:rPr/>
  </w:style>
  <w:style w:type="character" w:styleId="WW8Num27z1" w:customStyle="1">
    <w:name w:val="WW8Num27z1"/>
    <w:qFormat/>
    <w:rsid w:val="00652630"/>
    <w:rPr/>
  </w:style>
  <w:style w:type="character" w:styleId="WW8Num27z2" w:customStyle="1">
    <w:name w:val="WW8Num27z2"/>
    <w:qFormat/>
    <w:rsid w:val="00652630"/>
    <w:rPr/>
  </w:style>
  <w:style w:type="character" w:styleId="WW8Num27z3" w:customStyle="1">
    <w:name w:val="WW8Num27z3"/>
    <w:qFormat/>
    <w:rsid w:val="00652630"/>
    <w:rPr/>
  </w:style>
  <w:style w:type="character" w:styleId="WW8Num27z4" w:customStyle="1">
    <w:name w:val="WW8Num27z4"/>
    <w:qFormat/>
    <w:rsid w:val="00652630"/>
    <w:rPr/>
  </w:style>
  <w:style w:type="character" w:styleId="WW8Num27z5" w:customStyle="1">
    <w:name w:val="WW8Num27z5"/>
    <w:qFormat/>
    <w:rsid w:val="00652630"/>
    <w:rPr/>
  </w:style>
  <w:style w:type="character" w:styleId="WW8Num27z6" w:customStyle="1">
    <w:name w:val="WW8Num27z6"/>
    <w:qFormat/>
    <w:rsid w:val="00652630"/>
    <w:rPr/>
  </w:style>
  <w:style w:type="character" w:styleId="WW8Num27z7" w:customStyle="1">
    <w:name w:val="WW8Num27z7"/>
    <w:qFormat/>
    <w:rsid w:val="00652630"/>
    <w:rPr/>
  </w:style>
  <w:style w:type="character" w:styleId="WW8Num27z8" w:customStyle="1">
    <w:name w:val="WW8Num27z8"/>
    <w:qFormat/>
    <w:rsid w:val="00652630"/>
    <w:rPr/>
  </w:style>
  <w:style w:type="character" w:styleId="WW8Num28z0" w:customStyle="1">
    <w:name w:val="WW8Num28z0"/>
    <w:qFormat/>
    <w:rsid w:val="00652630"/>
    <w:rPr/>
  </w:style>
  <w:style w:type="character" w:styleId="WW8Num29z0" w:customStyle="1">
    <w:name w:val="WW8Num29z0"/>
    <w:qFormat/>
    <w:rsid w:val="00652630"/>
    <w:rPr/>
  </w:style>
  <w:style w:type="character" w:styleId="WW8Num30z0" w:customStyle="1">
    <w:name w:val="WW8Num30z0"/>
    <w:qFormat/>
    <w:rsid w:val="00652630"/>
    <w:rPr>
      <w:rFonts w:ascii="Symbol" w:hAnsi="Symbol" w:cs="Symbol"/>
    </w:rPr>
  </w:style>
  <w:style w:type="character" w:styleId="WW8Num30z1" w:customStyle="1">
    <w:name w:val="WW8Num30z1"/>
    <w:qFormat/>
    <w:rsid w:val="00652630"/>
    <w:rPr>
      <w:rFonts w:ascii="Courier New" w:hAnsi="Courier New" w:cs="Courier New"/>
    </w:rPr>
  </w:style>
  <w:style w:type="character" w:styleId="WW8Num30z2" w:customStyle="1">
    <w:name w:val="WW8Num30z2"/>
    <w:qFormat/>
    <w:rsid w:val="00652630"/>
    <w:rPr>
      <w:rFonts w:ascii="Wingdings" w:hAnsi="Wingdings" w:cs="Wingdings"/>
    </w:rPr>
  </w:style>
  <w:style w:type="character" w:styleId="WW8Num31z0" w:customStyle="1">
    <w:name w:val="WW8Num31z0"/>
    <w:qFormat/>
    <w:rsid w:val="00652630"/>
    <w:rPr>
      <w:rFonts w:ascii="Symbol" w:hAnsi="Symbol" w:cs="Symbol"/>
    </w:rPr>
  </w:style>
  <w:style w:type="character" w:styleId="WW8Num31z1" w:customStyle="1">
    <w:name w:val="WW8Num31z1"/>
    <w:qFormat/>
    <w:rsid w:val="00652630"/>
    <w:rPr>
      <w:rFonts w:ascii="Courier New" w:hAnsi="Courier New" w:cs="Courier New"/>
    </w:rPr>
  </w:style>
  <w:style w:type="character" w:styleId="WW8Num31z2" w:customStyle="1">
    <w:name w:val="WW8Num31z2"/>
    <w:qFormat/>
    <w:rsid w:val="00652630"/>
    <w:rPr>
      <w:rFonts w:ascii="Wingdings" w:hAnsi="Wingdings" w:cs="Wingdings"/>
    </w:rPr>
  </w:style>
  <w:style w:type="character" w:styleId="WW8Num32z0" w:customStyle="1">
    <w:name w:val="WW8Num32z0"/>
    <w:qFormat/>
    <w:rsid w:val="00652630"/>
    <w:rPr/>
  </w:style>
  <w:style w:type="character" w:styleId="WW8Num33z0" w:customStyle="1">
    <w:name w:val="WW8Num33z0"/>
    <w:qFormat/>
    <w:rsid w:val="00652630"/>
    <w:rPr>
      <w:rFonts w:ascii="Symbol" w:hAnsi="Symbol" w:cs="Symbol"/>
    </w:rPr>
  </w:style>
  <w:style w:type="character" w:styleId="WW8Num33z1" w:customStyle="1">
    <w:name w:val="WW8Num33z1"/>
    <w:qFormat/>
    <w:rsid w:val="00652630"/>
    <w:rPr>
      <w:rFonts w:ascii="Courier New" w:hAnsi="Courier New" w:cs="Courier New"/>
    </w:rPr>
  </w:style>
  <w:style w:type="character" w:styleId="WW8Num33z2" w:customStyle="1">
    <w:name w:val="WW8Num33z2"/>
    <w:qFormat/>
    <w:rsid w:val="00652630"/>
    <w:rPr>
      <w:rFonts w:ascii="Wingdings" w:hAnsi="Wingdings" w:cs="Wingdings"/>
    </w:rPr>
  </w:style>
  <w:style w:type="character" w:styleId="WW8Num34z0" w:customStyle="1">
    <w:name w:val="WW8Num34z0"/>
    <w:qFormat/>
    <w:rsid w:val="00652630"/>
    <w:rPr>
      <w:rFonts w:ascii="Symbol" w:hAnsi="Symbol" w:cs="Symbol"/>
    </w:rPr>
  </w:style>
  <w:style w:type="character" w:styleId="WW8Num34z1" w:customStyle="1">
    <w:name w:val="WW8Num34z1"/>
    <w:qFormat/>
    <w:rsid w:val="00652630"/>
    <w:rPr>
      <w:rFonts w:ascii="Courier New" w:hAnsi="Courier New" w:cs="Courier New"/>
    </w:rPr>
  </w:style>
  <w:style w:type="character" w:styleId="WW8Num34z2" w:customStyle="1">
    <w:name w:val="WW8Num34z2"/>
    <w:qFormat/>
    <w:rsid w:val="00652630"/>
    <w:rPr>
      <w:rFonts w:ascii="Wingdings" w:hAnsi="Wingdings" w:cs="Wingdings"/>
    </w:rPr>
  </w:style>
  <w:style w:type="character" w:styleId="WW8Num35z0" w:customStyle="1">
    <w:name w:val="WW8Num35z0"/>
    <w:qFormat/>
    <w:rsid w:val="00652630"/>
    <w:rPr>
      <w:rFonts w:ascii="Times" w:hAnsi="Times" w:cs="Times"/>
      <w:b w:val="false"/>
    </w:rPr>
  </w:style>
  <w:style w:type="character" w:styleId="WW8Num35z1" w:customStyle="1">
    <w:name w:val="WW8Num35z1"/>
    <w:qFormat/>
    <w:rsid w:val="00652630"/>
    <w:rPr/>
  </w:style>
  <w:style w:type="character" w:styleId="WW8Num35z2" w:customStyle="1">
    <w:name w:val="WW8Num35z2"/>
    <w:qFormat/>
    <w:rsid w:val="00652630"/>
    <w:rPr/>
  </w:style>
  <w:style w:type="character" w:styleId="WW8Num35z3" w:customStyle="1">
    <w:name w:val="WW8Num35z3"/>
    <w:qFormat/>
    <w:rsid w:val="00652630"/>
    <w:rPr/>
  </w:style>
  <w:style w:type="character" w:styleId="WW8Num35z4" w:customStyle="1">
    <w:name w:val="WW8Num35z4"/>
    <w:qFormat/>
    <w:rsid w:val="00652630"/>
    <w:rPr/>
  </w:style>
  <w:style w:type="character" w:styleId="WW8Num35z5" w:customStyle="1">
    <w:name w:val="WW8Num35z5"/>
    <w:qFormat/>
    <w:rsid w:val="00652630"/>
    <w:rPr/>
  </w:style>
  <w:style w:type="character" w:styleId="WW8Num35z6" w:customStyle="1">
    <w:name w:val="WW8Num35z6"/>
    <w:qFormat/>
    <w:rsid w:val="00652630"/>
    <w:rPr/>
  </w:style>
  <w:style w:type="character" w:styleId="WW8Num35z7" w:customStyle="1">
    <w:name w:val="WW8Num35z7"/>
    <w:qFormat/>
    <w:rsid w:val="00652630"/>
    <w:rPr/>
  </w:style>
  <w:style w:type="character" w:styleId="WW8Num35z8" w:customStyle="1">
    <w:name w:val="WW8Num35z8"/>
    <w:qFormat/>
    <w:rsid w:val="00652630"/>
    <w:rPr/>
  </w:style>
  <w:style w:type="character" w:styleId="WW8Num36z0" w:customStyle="1">
    <w:name w:val="WW8Num36z0"/>
    <w:qFormat/>
    <w:rsid w:val="00652630"/>
    <w:rPr/>
  </w:style>
  <w:style w:type="character" w:styleId="WW8Num36z1" w:customStyle="1">
    <w:name w:val="WW8Num36z1"/>
    <w:qFormat/>
    <w:rsid w:val="00652630"/>
    <w:rPr/>
  </w:style>
  <w:style w:type="character" w:styleId="WW8Num36z2" w:customStyle="1">
    <w:name w:val="WW8Num36z2"/>
    <w:qFormat/>
    <w:rsid w:val="00652630"/>
    <w:rPr/>
  </w:style>
  <w:style w:type="character" w:styleId="WW8Num36z3" w:customStyle="1">
    <w:name w:val="WW8Num36z3"/>
    <w:qFormat/>
    <w:rsid w:val="00652630"/>
    <w:rPr/>
  </w:style>
  <w:style w:type="character" w:styleId="WW8Num36z4" w:customStyle="1">
    <w:name w:val="WW8Num36z4"/>
    <w:qFormat/>
    <w:rsid w:val="00652630"/>
    <w:rPr/>
  </w:style>
  <w:style w:type="character" w:styleId="WW8Num36z5" w:customStyle="1">
    <w:name w:val="WW8Num36z5"/>
    <w:qFormat/>
    <w:rsid w:val="00652630"/>
    <w:rPr/>
  </w:style>
  <w:style w:type="character" w:styleId="WW8Num36z6" w:customStyle="1">
    <w:name w:val="WW8Num36z6"/>
    <w:qFormat/>
    <w:rsid w:val="00652630"/>
    <w:rPr/>
  </w:style>
  <w:style w:type="character" w:styleId="WW8Num36z7" w:customStyle="1">
    <w:name w:val="WW8Num36z7"/>
    <w:qFormat/>
    <w:rsid w:val="00652630"/>
    <w:rPr/>
  </w:style>
  <w:style w:type="character" w:styleId="WW8Num36z8" w:customStyle="1">
    <w:name w:val="WW8Num36z8"/>
    <w:qFormat/>
    <w:rsid w:val="00652630"/>
    <w:rPr/>
  </w:style>
  <w:style w:type="character" w:styleId="WW8Num37z0" w:customStyle="1">
    <w:name w:val="WW8Num37z0"/>
    <w:qFormat/>
    <w:rsid w:val="00652630"/>
    <w:rPr/>
  </w:style>
  <w:style w:type="character" w:styleId="WW8Num38z0" w:customStyle="1">
    <w:name w:val="WW8Num38z0"/>
    <w:qFormat/>
    <w:rsid w:val="00652630"/>
    <w:rPr>
      <w:rFonts w:ascii="Symbol" w:hAnsi="Symbol" w:cs="Symbol"/>
    </w:rPr>
  </w:style>
  <w:style w:type="character" w:styleId="WW8Num38z1" w:customStyle="1">
    <w:name w:val="WW8Num38z1"/>
    <w:qFormat/>
    <w:rsid w:val="00652630"/>
    <w:rPr>
      <w:rFonts w:ascii="Courier New" w:hAnsi="Courier New" w:cs="Courier New"/>
    </w:rPr>
  </w:style>
  <w:style w:type="character" w:styleId="WW8Num38z2" w:customStyle="1">
    <w:name w:val="WW8Num38z2"/>
    <w:qFormat/>
    <w:rsid w:val="00652630"/>
    <w:rPr>
      <w:rFonts w:ascii="Wingdings" w:hAnsi="Wingdings" w:cs="Wingdings"/>
    </w:rPr>
  </w:style>
  <w:style w:type="character" w:styleId="WW8Num39z0" w:customStyle="1">
    <w:name w:val="WW8Num39z0"/>
    <w:qFormat/>
    <w:rsid w:val="00652630"/>
    <w:rPr/>
  </w:style>
  <w:style w:type="character" w:styleId="WW8Num40z0" w:customStyle="1">
    <w:name w:val="WW8Num40z0"/>
    <w:qFormat/>
    <w:rsid w:val="00652630"/>
    <w:rPr>
      <w:rFonts w:ascii="Symbol" w:hAnsi="Symbol" w:cs="Symbol"/>
    </w:rPr>
  </w:style>
  <w:style w:type="character" w:styleId="WW8Num40z1" w:customStyle="1">
    <w:name w:val="WW8Num40z1"/>
    <w:qFormat/>
    <w:rsid w:val="00652630"/>
    <w:rPr>
      <w:rFonts w:ascii="Courier New" w:hAnsi="Courier New" w:cs="Courier New"/>
    </w:rPr>
  </w:style>
  <w:style w:type="character" w:styleId="WW8Num40z2" w:customStyle="1">
    <w:name w:val="WW8Num40z2"/>
    <w:qFormat/>
    <w:rsid w:val="00652630"/>
    <w:rPr>
      <w:rFonts w:ascii="Wingdings" w:hAnsi="Wingdings" w:cs="Wingdings"/>
    </w:rPr>
  </w:style>
  <w:style w:type="character" w:styleId="WW8Num41z0" w:customStyle="1">
    <w:name w:val="WW8Num41z0"/>
    <w:qFormat/>
    <w:rsid w:val="00652630"/>
    <w:rPr/>
  </w:style>
  <w:style w:type="character" w:styleId="WW8Num41z1" w:customStyle="1">
    <w:name w:val="WW8Num41z1"/>
    <w:qFormat/>
    <w:rsid w:val="00652630"/>
    <w:rPr/>
  </w:style>
  <w:style w:type="character" w:styleId="WW8Num41z2" w:customStyle="1">
    <w:name w:val="WW8Num41z2"/>
    <w:qFormat/>
    <w:rsid w:val="00652630"/>
    <w:rPr/>
  </w:style>
  <w:style w:type="character" w:styleId="WW8Num41z3" w:customStyle="1">
    <w:name w:val="WW8Num41z3"/>
    <w:qFormat/>
    <w:rsid w:val="00652630"/>
    <w:rPr/>
  </w:style>
  <w:style w:type="character" w:styleId="WW8Num41z4" w:customStyle="1">
    <w:name w:val="WW8Num41z4"/>
    <w:qFormat/>
    <w:rsid w:val="00652630"/>
    <w:rPr/>
  </w:style>
  <w:style w:type="character" w:styleId="WW8Num41z5" w:customStyle="1">
    <w:name w:val="WW8Num41z5"/>
    <w:qFormat/>
    <w:rsid w:val="00652630"/>
    <w:rPr/>
  </w:style>
  <w:style w:type="character" w:styleId="WW8Num41z6" w:customStyle="1">
    <w:name w:val="WW8Num41z6"/>
    <w:qFormat/>
    <w:rsid w:val="00652630"/>
    <w:rPr/>
  </w:style>
  <w:style w:type="character" w:styleId="WW8Num41z7" w:customStyle="1">
    <w:name w:val="WW8Num41z7"/>
    <w:qFormat/>
    <w:rsid w:val="00652630"/>
    <w:rPr/>
  </w:style>
  <w:style w:type="character" w:styleId="WW8Num41z8" w:customStyle="1">
    <w:name w:val="WW8Num41z8"/>
    <w:qFormat/>
    <w:rsid w:val="00652630"/>
    <w:rPr/>
  </w:style>
  <w:style w:type="character" w:styleId="WW8Num42z0" w:customStyle="1">
    <w:name w:val="WW8Num42z0"/>
    <w:qFormat/>
    <w:rsid w:val="00652630"/>
    <w:rPr/>
  </w:style>
  <w:style w:type="character" w:styleId="WW8Num42z1" w:customStyle="1">
    <w:name w:val="WW8Num42z1"/>
    <w:qFormat/>
    <w:rsid w:val="00652630"/>
    <w:rPr/>
  </w:style>
  <w:style w:type="character" w:styleId="WW8Num42z2" w:customStyle="1">
    <w:name w:val="WW8Num42z2"/>
    <w:qFormat/>
    <w:rsid w:val="00652630"/>
    <w:rPr/>
  </w:style>
  <w:style w:type="character" w:styleId="WW8Num42z3" w:customStyle="1">
    <w:name w:val="WW8Num42z3"/>
    <w:qFormat/>
    <w:rsid w:val="00652630"/>
    <w:rPr/>
  </w:style>
  <w:style w:type="character" w:styleId="WW8Num42z4" w:customStyle="1">
    <w:name w:val="WW8Num42z4"/>
    <w:qFormat/>
    <w:rsid w:val="00652630"/>
    <w:rPr/>
  </w:style>
  <w:style w:type="character" w:styleId="WW8Num42z5" w:customStyle="1">
    <w:name w:val="WW8Num42z5"/>
    <w:qFormat/>
    <w:rsid w:val="00652630"/>
    <w:rPr/>
  </w:style>
  <w:style w:type="character" w:styleId="WW8Num42z6" w:customStyle="1">
    <w:name w:val="WW8Num42z6"/>
    <w:qFormat/>
    <w:rsid w:val="00652630"/>
    <w:rPr/>
  </w:style>
  <w:style w:type="character" w:styleId="WW8Num42z7" w:customStyle="1">
    <w:name w:val="WW8Num42z7"/>
    <w:qFormat/>
    <w:rsid w:val="00652630"/>
    <w:rPr/>
  </w:style>
  <w:style w:type="character" w:styleId="WW8Num42z8" w:customStyle="1">
    <w:name w:val="WW8Num42z8"/>
    <w:qFormat/>
    <w:rsid w:val="00652630"/>
    <w:rPr/>
  </w:style>
  <w:style w:type="character" w:styleId="WW8Num43z0" w:customStyle="1">
    <w:name w:val="WW8Num43z0"/>
    <w:qFormat/>
    <w:rsid w:val="00652630"/>
    <w:rPr/>
  </w:style>
  <w:style w:type="character" w:styleId="WW8Num43z1" w:customStyle="1">
    <w:name w:val="WW8Num43z1"/>
    <w:qFormat/>
    <w:rsid w:val="00652630"/>
    <w:rPr/>
  </w:style>
  <w:style w:type="character" w:styleId="WW8Num43z2" w:customStyle="1">
    <w:name w:val="WW8Num43z2"/>
    <w:qFormat/>
    <w:rsid w:val="00652630"/>
    <w:rPr/>
  </w:style>
  <w:style w:type="character" w:styleId="WW8Num43z3" w:customStyle="1">
    <w:name w:val="WW8Num43z3"/>
    <w:qFormat/>
    <w:rsid w:val="00652630"/>
    <w:rPr/>
  </w:style>
  <w:style w:type="character" w:styleId="WW8Num43z4" w:customStyle="1">
    <w:name w:val="WW8Num43z4"/>
    <w:qFormat/>
    <w:rsid w:val="00652630"/>
    <w:rPr/>
  </w:style>
  <w:style w:type="character" w:styleId="WW8Num43z5" w:customStyle="1">
    <w:name w:val="WW8Num43z5"/>
    <w:qFormat/>
    <w:rsid w:val="00652630"/>
    <w:rPr/>
  </w:style>
  <w:style w:type="character" w:styleId="WW8Num43z6" w:customStyle="1">
    <w:name w:val="WW8Num43z6"/>
    <w:qFormat/>
    <w:rsid w:val="00652630"/>
    <w:rPr/>
  </w:style>
  <w:style w:type="character" w:styleId="WW8Num43z7" w:customStyle="1">
    <w:name w:val="WW8Num43z7"/>
    <w:qFormat/>
    <w:rsid w:val="00652630"/>
    <w:rPr/>
  </w:style>
  <w:style w:type="character" w:styleId="WW8Num43z8" w:customStyle="1">
    <w:name w:val="WW8Num43z8"/>
    <w:qFormat/>
    <w:rsid w:val="00652630"/>
    <w:rPr/>
  </w:style>
  <w:style w:type="character" w:styleId="WW8Num44z0" w:customStyle="1">
    <w:name w:val="WW8Num44z0"/>
    <w:qFormat/>
    <w:rsid w:val="00652630"/>
    <w:rPr>
      <w:rFonts w:ascii="Symbol" w:hAnsi="Symbol" w:cs="Symbol"/>
    </w:rPr>
  </w:style>
  <w:style w:type="character" w:styleId="WW8Num44z1" w:customStyle="1">
    <w:name w:val="WW8Num44z1"/>
    <w:qFormat/>
    <w:rsid w:val="00652630"/>
    <w:rPr>
      <w:rFonts w:ascii="Courier New" w:hAnsi="Courier New" w:cs="Courier New"/>
    </w:rPr>
  </w:style>
  <w:style w:type="character" w:styleId="WW8Num44z2" w:customStyle="1">
    <w:name w:val="WW8Num44z2"/>
    <w:qFormat/>
    <w:rsid w:val="00652630"/>
    <w:rPr>
      <w:rFonts w:ascii="Wingdings" w:hAnsi="Wingdings" w:cs="Wingdings"/>
    </w:rPr>
  </w:style>
  <w:style w:type="character" w:styleId="WW8Num45z0" w:customStyle="1">
    <w:name w:val="WW8Num45z0"/>
    <w:qFormat/>
    <w:rsid w:val="00652630"/>
    <w:rPr>
      <w:rFonts w:ascii="Symbol" w:hAnsi="Symbol" w:cs="Symbol"/>
    </w:rPr>
  </w:style>
  <w:style w:type="character" w:styleId="WW8Num45z1" w:customStyle="1">
    <w:name w:val="WW8Num45z1"/>
    <w:qFormat/>
    <w:rsid w:val="00652630"/>
    <w:rPr>
      <w:rFonts w:ascii="Courier New" w:hAnsi="Courier New" w:cs="Courier New"/>
    </w:rPr>
  </w:style>
  <w:style w:type="character" w:styleId="WW8Num45z2" w:customStyle="1">
    <w:name w:val="WW8Num45z2"/>
    <w:qFormat/>
    <w:rsid w:val="00652630"/>
    <w:rPr>
      <w:rFonts w:ascii="Wingdings" w:hAnsi="Wingdings" w:cs="Wingdings"/>
    </w:rPr>
  </w:style>
  <w:style w:type="character" w:styleId="WW8Num46z0" w:customStyle="1">
    <w:name w:val="WW8Num46z0"/>
    <w:qFormat/>
    <w:rsid w:val="00652630"/>
    <w:rPr/>
  </w:style>
  <w:style w:type="character" w:styleId="WW8Num46z1" w:customStyle="1">
    <w:name w:val="WW8Num46z1"/>
    <w:qFormat/>
    <w:rsid w:val="00652630"/>
    <w:rPr/>
  </w:style>
  <w:style w:type="character" w:styleId="WW8Num46z2" w:customStyle="1">
    <w:name w:val="WW8Num46z2"/>
    <w:qFormat/>
    <w:rsid w:val="00652630"/>
    <w:rPr/>
  </w:style>
  <w:style w:type="character" w:styleId="WW8Num46z3" w:customStyle="1">
    <w:name w:val="WW8Num46z3"/>
    <w:qFormat/>
    <w:rsid w:val="00652630"/>
    <w:rPr/>
  </w:style>
  <w:style w:type="character" w:styleId="WW8Num46z4" w:customStyle="1">
    <w:name w:val="WW8Num46z4"/>
    <w:qFormat/>
    <w:rsid w:val="00652630"/>
    <w:rPr/>
  </w:style>
  <w:style w:type="character" w:styleId="WW8Num46z5" w:customStyle="1">
    <w:name w:val="WW8Num46z5"/>
    <w:qFormat/>
    <w:rsid w:val="00652630"/>
    <w:rPr/>
  </w:style>
  <w:style w:type="character" w:styleId="WW8Num46z6" w:customStyle="1">
    <w:name w:val="WW8Num46z6"/>
    <w:qFormat/>
    <w:rsid w:val="00652630"/>
    <w:rPr/>
  </w:style>
  <w:style w:type="character" w:styleId="WW8Num46z7" w:customStyle="1">
    <w:name w:val="WW8Num46z7"/>
    <w:qFormat/>
    <w:rsid w:val="00652630"/>
    <w:rPr/>
  </w:style>
  <w:style w:type="character" w:styleId="WW8Num46z8" w:customStyle="1">
    <w:name w:val="WW8Num46z8"/>
    <w:qFormat/>
    <w:rsid w:val="00652630"/>
    <w:rPr/>
  </w:style>
  <w:style w:type="character" w:styleId="WW8Num47z0" w:customStyle="1">
    <w:name w:val="WW8Num47z0"/>
    <w:qFormat/>
    <w:rsid w:val="00652630"/>
    <w:rPr/>
  </w:style>
  <w:style w:type="character" w:styleId="WW8Num47z1" w:customStyle="1">
    <w:name w:val="WW8Num47z1"/>
    <w:qFormat/>
    <w:rsid w:val="00652630"/>
    <w:rPr/>
  </w:style>
  <w:style w:type="character" w:styleId="WW8Num47z2" w:customStyle="1">
    <w:name w:val="WW8Num47z2"/>
    <w:qFormat/>
    <w:rsid w:val="00652630"/>
    <w:rPr/>
  </w:style>
  <w:style w:type="character" w:styleId="WW8Num47z3" w:customStyle="1">
    <w:name w:val="WW8Num47z3"/>
    <w:qFormat/>
    <w:rsid w:val="00652630"/>
    <w:rPr/>
  </w:style>
  <w:style w:type="character" w:styleId="WW8Num47z4" w:customStyle="1">
    <w:name w:val="WW8Num47z4"/>
    <w:qFormat/>
    <w:rsid w:val="00652630"/>
    <w:rPr/>
  </w:style>
  <w:style w:type="character" w:styleId="WW8Num47z5" w:customStyle="1">
    <w:name w:val="WW8Num47z5"/>
    <w:qFormat/>
    <w:rsid w:val="00652630"/>
    <w:rPr/>
  </w:style>
  <w:style w:type="character" w:styleId="WW8Num47z6" w:customStyle="1">
    <w:name w:val="WW8Num47z6"/>
    <w:qFormat/>
    <w:rsid w:val="00652630"/>
    <w:rPr/>
  </w:style>
  <w:style w:type="character" w:styleId="WW8Num47z7" w:customStyle="1">
    <w:name w:val="WW8Num47z7"/>
    <w:qFormat/>
    <w:rsid w:val="00652630"/>
    <w:rPr/>
  </w:style>
  <w:style w:type="character" w:styleId="WW8Num47z8" w:customStyle="1">
    <w:name w:val="WW8Num47z8"/>
    <w:qFormat/>
    <w:rsid w:val="00652630"/>
    <w:rPr/>
  </w:style>
  <w:style w:type="character" w:styleId="WW8Num48z0" w:customStyle="1">
    <w:name w:val="WW8Num48z0"/>
    <w:qFormat/>
    <w:rsid w:val="00652630"/>
    <w:rPr>
      <w:rFonts w:ascii="Arial" w:hAnsi="Arial" w:cs="Arial"/>
    </w:rPr>
  </w:style>
  <w:style w:type="character" w:styleId="WW8NumSt11z0" w:customStyle="1">
    <w:name w:val="WW8NumSt11z0"/>
    <w:qFormat/>
    <w:rsid w:val="00652630"/>
    <w:rPr>
      <w:rFonts w:ascii="Arial" w:hAnsi="Arial" w:cs="Arial"/>
    </w:rPr>
  </w:style>
  <w:style w:type="character" w:styleId="Refdecomentrio1" w:customStyle="1">
    <w:name w:val="Ref. de comentário1"/>
    <w:qFormat/>
    <w:rsid w:val="00652630"/>
    <w:rPr>
      <w:sz w:val="16"/>
      <w:szCs w:val="16"/>
    </w:rPr>
  </w:style>
  <w:style w:type="character" w:styleId="TextosemFormataoChar1" w:customStyle="1">
    <w:name w:val="Texto sem Formatação Char1"/>
    <w:qFormat/>
    <w:rsid w:val="00652630"/>
    <w:rPr>
      <w:rFonts w:ascii="Courier New" w:hAnsi="Courier New"/>
    </w:rPr>
  </w:style>
  <w:style w:type="character" w:styleId="PlaceholderText">
    <w:name w:val="Placeholder Text"/>
    <w:uiPriority w:val="99"/>
    <w:semiHidden/>
    <w:qFormat/>
    <w:rsid w:val="004a0025"/>
    <w:rPr>
      <w:color w:val="808080"/>
    </w:rPr>
  </w:style>
  <w:style w:type="character" w:styleId="MenoPendente1" w:customStyle="1">
    <w:name w:val="Menção Pendente1"/>
    <w:basedOn w:val="DefaultParagraphFont"/>
    <w:uiPriority w:val="99"/>
    <w:semiHidden/>
    <w:unhideWhenUsed/>
    <w:qFormat/>
    <w:rsid w:val="004a0025"/>
    <w:rPr>
      <w:color w:val="605E5C"/>
      <w:shd w:fill="E1DFDD" w:val="clear"/>
    </w:rPr>
  </w:style>
  <w:style w:type="character" w:styleId="MenoPendente2" w:customStyle="1">
    <w:name w:val="Menção Pendente2"/>
    <w:basedOn w:val="DefaultParagraphFont"/>
    <w:uiPriority w:val="99"/>
    <w:semiHidden/>
    <w:unhideWhenUsed/>
    <w:qFormat/>
    <w:rsid w:val="004a0025"/>
    <w:rPr>
      <w:color w:val="605E5C"/>
      <w:shd w:fill="E1DFDD" w:val="clear"/>
    </w:rPr>
  </w:style>
  <w:style w:type="character" w:styleId="TextodecomentrioChar1" w:customStyle="1">
    <w:name w:val="Texto de comentário Char1"/>
    <w:basedOn w:val="DefaultParagraphFont"/>
    <w:uiPriority w:val="99"/>
    <w:semiHidden/>
    <w:qFormat/>
    <w:rsid w:val="004a0025"/>
    <w:rPr>
      <w:rFonts w:ascii="Calibri" w:hAnsi="Calibri" w:eastAsia="Microsoft YaHei Light" w:cs="Calibri" w:cstheme="minorHAnsi"/>
      <w:color w:val="000000" w:themeColor="text1"/>
      <w:sz w:val="24"/>
      <w:szCs w:val="24"/>
      <w:lang w:eastAsia="pt-BR"/>
    </w:rPr>
  </w:style>
  <w:style w:type="character" w:styleId="MenoPendente3" w:customStyle="1">
    <w:name w:val="Menção Pendente3"/>
    <w:basedOn w:val="DefaultParagraphFont"/>
    <w:uiPriority w:val="99"/>
    <w:semiHidden/>
    <w:unhideWhenUsed/>
    <w:qFormat/>
    <w:rsid w:val="004a0025"/>
    <w:rPr>
      <w:color w:val="605E5C"/>
      <w:shd w:fill="E1DFDD" w:val="clear"/>
    </w:rPr>
  </w:style>
  <w:style w:type="character" w:styleId="MenoPendente4" w:customStyle="1">
    <w:name w:val="Menção Pendente4"/>
    <w:uiPriority w:val="99"/>
    <w:semiHidden/>
    <w:unhideWhenUsed/>
    <w:qFormat/>
    <w:rsid w:val="004a0025"/>
    <w:rPr>
      <w:color w:val="605E5C"/>
      <w:shd w:fill="E1DFDD" w:val="clear"/>
    </w:rPr>
  </w:style>
  <w:style w:type="character" w:styleId="Corpodetexto3Char1" w:customStyle="1">
    <w:name w:val="Corpo de texto 3 Char1"/>
    <w:basedOn w:val="DefaultParagraphFont"/>
    <w:uiPriority w:val="99"/>
    <w:semiHidden/>
    <w:qFormat/>
    <w:rsid w:val="004a0025"/>
    <w:rPr>
      <w:rFonts w:ascii="Calibri" w:hAnsi="Calibri" w:eastAsia="Calibri" w:cs="Times New Roman"/>
      <w:sz w:val="16"/>
      <w:szCs w:val="16"/>
    </w:rPr>
  </w:style>
  <w:style w:type="character" w:styleId="AssuntodocomentrioChar1" w:customStyle="1">
    <w:name w:val="Assunto do comentário Char1"/>
    <w:basedOn w:val="TextodecomentrioChar"/>
    <w:uiPriority w:val="99"/>
    <w:semiHidden/>
    <w:qFormat/>
    <w:rsid w:val="004a0025"/>
    <w:rPr>
      <w:rFonts w:ascii="Times New Roman" w:hAnsi="Times New Roman" w:eastAsia="Times New Roman" w:cs="Times New Roman"/>
      <w:sz w:val="20"/>
      <w:szCs w:val="20"/>
      <w:lang w:eastAsia="pt-BR"/>
    </w:rPr>
  </w:style>
  <w:style w:type="character" w:styleId="TextodenotadefimChar" w:customStyle="1">
    <w:name w:val="Texto de nota de fim Char"/>
    <w:basedOn w:val="DefaultParagraphFont"/>
    <w:uiPriority w:val="99"/>
    <w:semiHidden/>
    <w:qFormat/>
    <w:rsid w:val="004a0025"/>
    <w:rPr>
      <w:rFonts w:ascii="Calibri" w:hAnsi="Calibri" w:eastAsia="Calibri" w:cs="Times New Roman"/>
      <w:sz w:val="20"/>
      <w:szCs w:val="20"/>
    </w:rPr>
  </w:style>
  <w:style w:type="character" w:styleId="TextodenotadefimChar1" w:customStyle="1">
    <w:name w:val="Texto de nota de fim Char1"/>
    <w:basedOn w:val="DefaultParagraphFont"/>
    <w:uiPriority w:val="99"/>
    <w:semiHidden/>
    <w:qFormat/>
    <w:rsid w:val="004a0025"/>
    <w:rPr>
      <w:rFonts w:ascii="Calibri" w:hAnsi="Calibri" w:eastAsia="Calibri" w:cs="Times New Roman"/>
      <w:sz w:val="20"/>
      <w:szCs w:val="20"/>
    </w:rPr>
  </w:style>
  <w:style w:type="character" w:styleId="CorpodetextoChar1" w:customStyle="1">
    <w:name w:val="Corpo de texto Char1"/>
    <w:basedOn w:val="DefaultParagraphFont"/>
    <w:uiPriority w:val="99"/>
    <w:semiHidden/>
    <w:qFormat/>
    <w:rsid w:val="004a0025"/>
    <w:rPr>
      <w:rFonts w:ascii="Calibri" w:hAnsi="Calibri" w:eastAsia="Arial Unicode MS" w:cs="Calibri"/>
      <w:color w:val="000000" w:themeColor="text1"/>
      <w:sz w:val="20"/>
      <w:szCs w:val="22"/>
      <w:lang w:eastAsia="pt-BR"/>
    </w:rPr>
  </w:style>
  <w:style w:type="character" w:styleId="TextodebaloChar1" w:customStyle="1">
    <w:name w:val="Texto de balão Char1"/>
    <w:basedOn w:val="DefaultParagraphFont"/>
    <w:uiPriority w:val="99"/>
    <w:semiHidden/>
    <w:qFormat/>
    <w:rsid w:val="004a0025"/>
    <w:rPr>
      <w:rFonts w:ascii="Segoe UI" w:hAnsi="Segoe UI" w:cs="Segoe UI"/>
      <w:sz w:val="18"/>
      <w:szCs w:val="18"/>
    </w:rPr>
  </w:style>
  <w:style w:type="character" w:styleId="Corpodetexto3Char2" w:customStyle="1">
    <w:name w:val="Corpo de texto 3 Char2"/>
    <w:basedOn w:val="DefaultParagraphFont"/>
    <w:uiPriority w:val="99"/>
    <w:semiHidden/>
    <w:qFormat/>
    <w:rsid w:val="004a0025"/>
    <w:rPr>
      <w:rFonts w:ascii="Calibri" w:hAnsi="Calibri" w:eastAsia="Arial Unicode MS" w:cs="Calibri"/>
      <w:color w:val="000000" w:themeColor="text1"/>
      <w:sz w:val="16"/>
      <w:szCs w:val="16"/>
      <w:lang w:eastAsia="pt-BR"/>
    </w:rPr>
  </w:style>
  <w:style w:type="character" w:styleId="TextodecomentrioChar2" w:customStyle="1">
    <w:name w:val="Texto de comentário Char2"/>
    <w:basedOn w:val="DefaultParagraphFont"/>
    <w:uiPriority w:val="99"/>
    <w:semiHidden/>
    <w:qFormat/>
    <w:rsid w:val="004a0025"/>
    <w:rPr>
      <w:rFonts w:cs="Times New Roman"/>
      <w:sz w:val="20"/>
      <w:szCs w:val="20"/>
    </w:rPr>
  </w:style>
  <w:style w:type="character" w:styleId="AssuntodocomentrioChar2" w:customStyle="1">
    <w:name w:val="Assunto do comentário Char2"/>
    <w:basedOn w:val="TextodecomentrioChar"/>
    <w:uiPriority w:val="99"/>
    <w:semiHidden/>
    <w:qFormat/>
    <w:rsid w:val="004a0025"/>
    <w:rPr>
      <w:rFonts w:ascii="Times New Roman" w:hAnsi="Times New Roman" w:eastAsia="Times New Roman" w:cs="Times New Roman"/>
      <w:sz w:val="20"/>
      <w:szCs w:val="20"/>
      <w:lang w:eastAsia="pt-BR"/>
    </w:rPr>
  </w:style>
  <w:style w:type="character" w:styleId="CabealhoChar1" w:customStyle="1">
    <w:name w:val="Cabeçalho Char1"/>
    <w:basedOn w:val="DefaultParagraphFont"/>
    <w:uiPriority w:val="99"/>
    <w:semiHidden/>
    <w:qFormat/>
    <w:rsid w:val="004a0025"/>
    <w:rPr>
      <w:rFonts w:cs="Times New Roman"/>
    </w:rPr>
  </w:style>
  <w:style w:type="character" w:styleId="RodapChar1" w:customStyle="1">
    <w:name w:val="Rodapé Char1"/>
    <w:basedOn w:val="DefaultParagraphFont"/>
    <w:uiPriority w:val="99"/>
    <w:semiHidden/>
    <w:qFormat/>
    <w:rsid w:val="004a0025"/>
    <w:rPr>
      <w:rFonts w:cs="Times New Roman"/>
    </w:rPr>
  </w:style>
  <w:style w:type="character" w:styleId="TextodenotadefimChar2" w:customStyle="1">
    <w:name w:val="Texto de nota de fim Char2"/>
    <w:basedOn w:val="DefaultParagraphFont"/>
    <w:uiPriority w:val="99"/>
    <w:semiHidden/>
    <w:qFormat/>
    <w:rsid w:val="004a0025"/>
    <w:rPr>
      <w:sz w:val="20"/>
      <w:szCs w:val="20"/>
    </w:rPr>
  </w:style>
  <w:style w:type="character" w:styleId="RecuodecorpodetextoChar1" w:customStyle="1">
    <w:name w:val="Recuo de corpo de texto Char1"/>
    <w:basedOn w:val="DefaultParagraphFont"/>
    <w:uiPriority w:val="99"/>
    <w:semiHidden/>
    <w:qFormat/>
    <w:rsid w:val="004a0025"/>
    <w:rPr>
      <w:rFonts w:ascii="Calibri" w:hAnsi="Calibri" w:eastAsia="Arial Unicode MS" w:cs="Calibri"/>
      <w:color w:val="000000" w:themeColor="text1"/>
      <w:sz w:val="20"/>
      <w:szCs w:val="22"/>
      <w:lang w:eastAsia="pt-BR"/>
    </w:rPr>
  </w:style>
  <w:style w:type="character" w:styleId="MenoPendente5" w:customStyle="1">
    <w:name w:val="Menção Pendente5"/>
    <w:basedOn w:val="DefaultParagraphFont"/>
    <w:uiPriority w:val="99"/>
    <w:semiHidden/>
    <w:unhideWhenUsed/>
    <w:qFormat/>
    <w:rsid w:val="004a0025"/>
    <w:rPr>
      <w:color w:val="605E5C"/>
      <w:shd w:fill="E1DFDD" w:val="clear"/>
    </w:rPr>
  </w:style>
  <w:style w:type="character" w:styleId="Ncoradanotadefim">
    <w:name w:val="Endnote Reference"/>
    <w:rPr>
      <w:vertAlign w:val="superscript"/>
    </w:rPr>
  </w:style>
  <w:style w:type="character" w:styleId="EndnoteCharacters">
    <w:name w:val="Endnote Characters"/>
    <w:qFormat/>
    <w:rPr>
      <w:vertAlign w:val="superscript"/>
    </w:rPr>
  </w:style>
  <w:style w:type="character" w:styleId="Bold" w:customStyle="1">
    <w:name w:val="Bold"/>
    <w:basedOn w:val="DefaultParagraphFont"/>
    <w:uiPriority w:val="1"/>
    <w:qFormat/>
    <w:rsid w:val="004a0025"/>
    <w:rPr>
      <w:b/>
    </w:rPr>
  </w:style>
  <w:style w:type="character" w:styleId="SubttuloChar" w:customStyle="1">
    <w:name w:val="Subtítulo Char"/>
    <w:basedOn w:val="DefaultParagraphFont"/>
    <w:qFormat/>
    <w:rsid w:val="0076392d"/>
    <w:rPr>
      <w:rFonts w:ascii="Arial" w:hAnsi="Arial" w:eastAsia="Times New Roman" w:cs="Times New Roman"/>
      <w:b/>
      <w:szCs w:val="48"/>
      <w:lang w:eastAsia="pt-BR"/>
    </w:rPr>
  </w:style>
  <w:style w:type="character" w:styleId="SubtleReference">
    <w:name w:val="Subtle Reference"/>
    <w:uiPriority w:val="31"/>
    <w:qFormat/>
    <w:rsid w:val="0076392d"/>
    <w:rPr>
      <w:smallCaps/>
      <w:color w:val="C0504D"/>
      <w:u w:val="single"/>
    </w:rPr>
  </w:style>
  <w:style w:type="character" w:styleId="CitaoChar" w:customStyle="1">
    <w:name w:val="Citação Char"/>
    <w:basedOn w:val="DefaultParagraphFont"/>
    <w:link w:val="Quote"/>
    <w:uiPriority w:val="29"/>
    <w:qFormat/>
    <w:rsid w:val="0076392d"/>
    <w:rPr>
      <w:rFonts w:ascii="Times New Roman" w:hAnsi="Times New Roman" w:eastAsia="Times New Roman" w:cs="Times New Roman"/>
      <w:i/>
      <w:iCs/>
      <w:color w:val="000000"/>
      <w:sz w:val="24"/>
      <w:szCs w:val="24"/>
      <w:lang w:eastAsia="pt-BR"/>
    </w:rPr>
  </w:style>
  <w:style w:type="character" w:styleId="Object" w:customStyle="1">
    <w:name w:val="object"/>
    <w:qFormat/>
    <w:rsid w:val="00200f27"/>
    <w:rPr/>
  </w:style>
  <w:style w:type="character" w:styleId="WWLinkdaInternet">
    <w:name w:val="WW-Link da Internet"/>
    <w:qFormat/>
    <w:rPr>
      <w:color w:val="0000FF"/>
      <w:u w:val="single"/>
    </w:rPr>
  </w:style>
  <w:style w:type="character" w:styleId="Refdenotadefim">
    <w:name w:val="Ref. de nota de fim"/>
    <w:qFormat/>
    <w:rPr>
      <w:vertAlign w:val="superscript"/>
    </w:rPr>
  </w:style>
  <w:style w:type="character" w:styleId="WWCaracteresdenotadefim">
    <w:name w:val="WW-Caracteres de nota de fim"/>
    <w:qFormat/>
    <w:rPr/>
  </w:style>
  <w:style w:type="character" w:styleId="Refdenotaderodap">
    <w:name w:val="Ref. de nota de rodapé"/>
    <w:qFormat/>
    <w:rPr>
      <w:vertAlign w:val="superscript"/>
    </w:rPr>
  </w:style>
  <w:style w:type="character" w:styleId="Fontepargpadro">
    <w:name w:val="Fonte parág. padrão"/>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3">
    <w:name w:val="WW8Num3z3"/>
    <w:qFormat/>
    <w:rPr/>
  </w:style>
  <w:style w:type="character" w:styleId="WW8Num3z2">
    <w:name w:val="WW8Num3z2"/>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1">
    <w:name w:val="WW8Num2z1"/>
    <w:qFormat/>
    <w:rPr/>
  </w:style>
  <w:style w:type="character" w:styleId="Caracteresdenotaderodap">
    <w:name w:val="Caracteres de nota de rodapé"/>
    <w:qFormat/>
    <w:rPr/>
  </w:style>
  <w:style w:type="character" w:styleId="Ncoradanotaderodap">
    <w:name w:val="Footnote Reference"/>
    <w:rPr>
      <w:vertAlign w:val="superscript"/>
    </w:rPr>
  </w:style>
  <w:style w:type="character" w:styleId="FootnoteCharacters">
    <w:name w:val="Footnote Characters"/>
    <w:qFormat/>
    <w:rPr>
      <w:vertAlign w:val="superscript"/>
    </w:rPr>
  </w:style>
  <w:style w:type="character" w:styleId="Caracteresdenotadefim">
    <w:name w:val="Caracteres de nota de fim"/>
    <w:qFormat/>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link w:val="CorpodetextoChar"/>
    <w:rsid w:val="00757293"/>
    <w:pPr>
      <w:spacing w:lineRule="auto" w:line="240" w:before="0" w:after="0"/>
    </w:pPr>
    <w:rPr>
      <w:rFonts w:eastAsia="Times New Roman" w:cs="Times New Roman"/>
      <w:lang w:val="x-none" w:eastAsia="x-none"/>
    </w:rPr>
  </w:style>
  <w:style w:type="paragraph" w:styleId="Lista">
    <w:name w:val="List"/>
    <w:basedOn w:val="Corpodotexto"/>
    <w:rsid w:val="00652630"/>
    <w:pPr>
      <w:suppressAutoHyphens w:val="true"/>
    </w:pPr>
    <w:rPr>
      <w:rFonts w:cs="Lucida Sans"/>
      <w:lang w:val="pt-BR" w:eastAsia="zh-CN"/>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rsid w:val="00652630"/>
    <w:pPr>
      <w:suppressLineNumbers/>
      <w:suppressAutoHyphens w:val="true"/>
      <w:spacing w:lineRule="auto" w:line="240" w:before="0" w:after="0"/>
    </w:pPr>
    <w:rPr>
      <w:rFonts w:ascii="Times New Roman" w:hAnsi="Times New Roman" w:eastAsia="Times New Roman" w:cs="Lucida Sans"/>
      <w:sz w:val="24"/>
      <w:szCs w:val="24"/>
      <w:lang w:eastAsia="zh-CN"/>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fb660c"/>
    <w:pPr>
      <w:tabs>
        <w:tab w:val="clear" w:pos="708"/>
        <w:tab w:val="center" w:pos="4252" w:leader="none"/>
        <w:tab w:val="right" w:pos="8504" w:leader="none"/>
      </w:tabs>
      <w:spacing w:lineRule="auto" w:line="240" w:before="0" w:after="0"/>
    </w:pPr>
    <w:rPr/>
  </w:style>
  <w:style w:type="paragraph" w:styleId="Rodap">
    <w:name w:val="Footer"/>
    <w:basedOn w:val="Normal"/>
    <w:link w:val="RodapChar"/>
    <w:unhideWhenUsed/>
    <w:rsid w:val="00fb660c"/>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nhideWhenUsed/>
    <w:qFormat/>
    <w:rsid w:val="007a6e59"/>
    <w:pPr>
      <w:spacing w:lineRule="auto" w:line="240" w:before="0" w:after="0"/>
    </w:pPr>
    <w:rPr>
      <w:sz w:val="16"/>
      <w:szCs w:val="16"/>
    </w:rPr>
  </w:style>
  <w:style w:type="paragraph" w:styleId="Corpodotextorecuado">
    <w:name w:val="Body Text Indent"/>
    <w:basedOn w:val="Normal"/>
    <w:link w:val="RecuodecorpodetextoChar"/>
    <w:rsid w:val="007a6e59"/>
    <w:pPr>
      <w:spacing w:lineRule="auto" w:line="240" w:before="0" w:after="120"/>
      <w:ind w:left="283" w:hanging="0"/>
    </w:pPr>
    <w:rPr>
      <w:rFonts w:ascii="Times New Roman" w:hAnsi="Times New Roman" w:eastAsia="Times New Roman" w:cs="Times New Roman"/>
      <w:sz w:val="24"/>
      <w:szCs w:val="24"/>
    </w:rPr>
  </w:style>
  <w:style w:type="paragraph" w:styleId="P4" w:customStyle="1">
    <w:name w:val="p4"/>
    <w:basedOn w:val="Normal"/>
    <w:qFormat/>
    <w:rsid w:val="007a6e59"/>
    <w:pPr>
      <w:spacing w:lineRule="auto" w:line="240" w:beforeAutospacing="1" w:afterAutospacing="1"/>
    </w:pPr>
    <w:rPr>
      <w:rFonts w:ascii="Arial Unicode MS" w:hAnsi="Arial Unicode MS" w:eastAsia="Arial Unicode MS" w:cs="Arial Unicode MS"/>
      <w:sz w:val="24"/>
      <w:szCs w:val="24"/>
      <w:lang w:eastAsia="pt-BR"/>
    </w:rPr>
  </w:style>
  <w:style w:type="paragraph" w:styleId="BodyText3">
    <w:name w:val="Body Text 3"/>
    <w:basedOn w:val="Normal"/>
    <w:link w:val="Corpodetexto3Char"/>
    <w:qFormat/>
    <w:rsid w:val="00757293"/>
    <w:pPr>
      <w:spacing w:lineRule="auto" w:line="240" w:before="0" w:after="120"/>
    </w:pPr>
    <w:rPr>
      <w:rFonts w:ascii="Times New Roman" w:hAnsi="Times New Roman" w:eastAsia="Times New Roman" w:cs="Times New Roman"/>
      <w:sz w:val="16"/>
      <w:szCs w:val="16"/>
      <w:lang w:eastAsia="pt-BR"/>
    </w:rPr>
  </w:style>
  <w:style w:type="paragraph" w:styleId="Ttulododocumento">
    <w:name w:val="Title"/>
    <w:basedOn w:val="Normal"/>
    <w:next w:val="Corpodotexto"/>
    <w:link w:val="TtuloChar"/>
    <w:qFormat/>
    <w:rsid w:val="00757293"/>
    <w:pPr>
      <w:keepNext w:val="true"/>
      <w:suppressAutoHyphens w:val="true"/>
      <w:spacing w:lineRule="auto" w:line="240" w:before="240" w:after="120"/>
    </w:pPr>
    <w:rPr>
      <w:rFonts w:ascii="Arial" w:hAnsi="Arial" w:eastAsia="Tahoma" w:cs="Times New Roman"/>
      <w:sz w:val="28"/>
      <w:szCs w:val="28"/>
      <w:lang w:val="x-none" w:eastAsia="ar-SA"/>
    </w:rPr>
  </w:style>
  <w:style w:type="paragraph" w:styleId="Corpodetexto21" w:customStyle="1">
    <w:name w:val="Corpo de texto 21"/>
    <w:basedOn w:val="Normal"/>
    <w:qFormat/>
    <w:rsid w:val="00757293"/>
    <w:pPr>
      <w:spacing w:lineRule="auto" w:line="240" w:before="0" w:after="0"/>
      <w:jc w:val="both"/>
    </w:pPr>
    <w:rPr>
      <w:rFonts w:ascii="Arial" w:hAnsi="Arial" w:eastAsia="Times New Roman" w:cs="Times New Roman"/>
      <w:sz w:val="24"/>
      <w:szCs w:val="20"/>
      <w:lang w:eastAsia="pt-BR"/>
    </w:rPr>
  </w:style>
  <w:style w:type="paragraph" w:styleId="BodyTextIndent2">
    <w:name w:val="Body Text Indent 2"/>
    <w:basedOn w:val="Normal"/>
    <w:link w:val="Recuodecorpodetexto2Char"/>
    <w:qFormat/>
    <w:rsid w:val="00757293"/>
    <w:pPr>
      <w:spacing w:lineRule="auto" w:line="480" w:before="0" w:after="120"/>
      <w:ind w:left="283" w:hanging="0"/>
    </w:pPr>
    <w:rPr>
      <w:rFonts w:ascii="Times New Roman" w:hAnsi="Times New Roman" w:eastAsia="Times New Roman" w:cs="Times New Roman"/>
      <w:sz w:val="24"/>
      <w:szCs w:val="24"/>
      <w:lang w:eastAsia="pt-BR"/>
    </w:rPr>
  </w:style>
  <w:style w:type="paragraph" w:styleId="BodyTextIndent3">
    <w:name w:val="Body Text Indent 3"/>
    <w:basedOn w:val="Normal"/>
    <w:link w:val="Recuodecorpodetexto3Char"/>
    <w:qFormat/>
    <w:rsid w:val="00757293"/>
    <w:pPr>
      <w:spacing w:lineRule="auto" w:line="240" w:before="0" w:after="120"/>
      <w:ind w:left="283" w:hanging="0"/>
    </w:pPr>
    <w:rPr>
      <w:rFonts w:ascii="Times New Roman" w:hAnsi="Times New Roman" w:eastAsia="Times New Roman" w:cs="Times New Roman"/>
      <w:sz w:val="16"/>
      <w:szCs w:val="16"/>
      <w:lang w:eastAsia="pt-BR"/>
    </w:rPr>
  </w:style>
  <w:style w:type="paragraph" w:styleId="PlainText">
    <w:name w:val="Plain Text"/>
    <w:basedOn w:val="Normal"/>
    <w:link w:val="TextosemFormataoChar"/>
    <w:qFormat/>
    <w:rsid w:val="00757293"/>
    <w:pPr>
      <w:spacing w:lineRule="auto" w:line="240" w:before="0" w:after="0"/>
    </w:pPr>
    <w:rPr>
      <w:rFonts w:ascii="Courier New" w:hAnsi="Courier New" w:eastAsia="Times New Roman" w:cs="Times New Roman"/>
      <w:sz w:val="20"/>
      <w:szCs w:val="20"/>
      <w:lang w:eastAsia="pt-BR"/>
    </w:rPr>
  </w:style>
  <w:style w:type="paragraph" w:styleId="NormalWeb">
    <w:name w:val="Normal (Web)"/>
    <w:basedOn w:val="Normal"/>
    <w:uiPriority w:val="99"/>
    <w:qFormat/>
    <w:rsid w:val="00757293"/>
    <w:pPr>
      <w:spacing w:lineRule="auto" w:line="240" w:beforeAutospacing="1" w:afterAutospacing="1"/>
    </w:pPr>
    <w:rPr>
      <w:rFonts w:ascii="Times New Roman" w:hAnsi="Times New Roman" w:eastAsia="Times New Roman" w:cs="Times New Roman"/>
      <w:sz w:val="24"/>
      <w:szCs w:val="24"/>
      <w:lang w:eastAsia="pt-BR"/>
    </w:rPr>
  </w:style>
  <w:style w:type="paragraph" w:styleId="Caption">
    <w:name w:val="caption"/>
    <w:basedOn w:val="Normal"/>
    <w:next w:val="Normal"/>
    <w:qFormat/>
    <w:rsid w:val="00757293"/>
    <w:pPr>
      <w:pBdr>
        <w:top w:val="single" w:sz="6" w:space="1" w:color="000000"/>
        <w:left w:val="single" w:sz="6" w:space="1" w:color="000000"/>
        <w:bottom w:val="single" w:sz="6" w:space="1" w:color="000000"/>
        <w:right w:val="single" w:sz="6" w:space="1" w:color="000000"/>
      </w:pBdr>
      <w:spacing w:lineRule="auto" w:line="240" w:before="0" w:after="0"/>
      <w:jc w:val="both"/>
    </w:pPr>
    <w:rPr>
      <w:rFonts w:ascii="Arial" w:hAnsi="Arial" w:eastAsia="Times New Roman" w:cs="Arial"/>
      <w:sz w:val="24"/>
      <w:szCs w:val="20"/>
      <w:lang w:eastAsia="pt-BR"/>
    </w:rPr>
  </w:style>
  <w:style w:type="paragraph" w:styleId="WWCorpodetexto3" w:customStyle="1">
    <w:name w:val="WW-Corpo de texto 3"/>
    <w:basedOn w:val="Normal"/>
    <w:qFormat/>
    <w:rsid w:val="00757293"/>
    <w:pPr>
      <w:spacing w:lineRule="auto" w:line="240" w:before="0" w:after="0"/>
      <w:jc w:val="both"/>
    </w:pPr>
    <w:rPr>
      <w:rFonts w:ascii="Times New Roman" w:hAnsi="Times New Roman" w:eastAsia="Times New Roman" w:cs="Times New Roman"/>
      <w:sz w:val="24"/>
      <w:szCs w:val="20"/>
      <w:lang w:eastAsia="ar-SA"/>
    </w:rPr>
  </w:style>
  <w:style w:type="paragraph" w:styleId="Font5" w:customStyle="1">
    <w:name w:val="font5"/>
    <w:basedOn w:val="Normal"/>
    <w:qFormat/>
    <w:rsid w:val="00757293"/>
    <w:pPr>
      <w:spacing w:lineRule="auto" w:line="240" w:beforeAutospacing="1" w:afterAutospacing="1"/>
    </w:pPr>
    <w:rPr>
      <w:rFonts w:ascii="Arial" w:hAnsi="Arial" w:eastAsia="Times New Roman" w:cs="Arial"/>
      <w:b/>
      <w:bCs/>
      <w:sz w:val="20"/>
      <w:szCs w:val="20"/>
      <w:lang w:eastAsia="pt-BR"/>
    </w:rPr>
  </w:style>
  <w:style w:type="paragraph" w:styleId="Font6" w:customStyle="1">
    <w:name w:val="font6"/>
    <w:basedOn w:val="Normal"/>
    <w:qFormat/>
    <w:rsid w:val="00757293"/>
    <w:pPr>
      <w:spacing w:lineRule="auto" w:line="240" w:beforeAutospacing="1" w:afterAutospacing="1"/>
    </w:pPr>
    <w:rPr>
      <w:rFonts w:ascii="Arial" w:hAnsi="Arial" w:eastAsia="Times New Roman" w:cs="Arial"/>
      <w:sz w:val="20"/>
      <w:szCs w:val="20"/>
      <w:lang w:eastAsia="pt-BR"/>
    </w:rPr>
  </w:style>
  <w:style w:type="paragraph" w:styleId="Font7" w:customStyle="1">
    <w:name w:val="font7"/>
    <w:basedOn w:val="Normal"/>
    <w:qFormat/>
    <w:rsid w:val="00757293"/>
    <w:pPr>
      <w:spacing w:lineRule="auto" w:line="240" w:beforeAutospacing="1" w:afterAutospacing="1"/>
    </w:pPr>
    <w:rPr>
      <w:rFonts w:ascii="Arial" w:hAnsi="Arial" w:eastAsia="Times New Roman" w:cs="Arial"/>
      <w:b/>
      <w:bCs/>
      <w:color w:val="000000"/>
      <w:sz w:val="19"/>
      <w:szCs w:val="19"/>
      <w:lang w:eastAsia="pt-BR"/>
    </w:rPr>
  </w:style>
  <w:style w:type="paragraph" w:styleId="Font8" w:customStyle="1">
    <w:name w:val="font8"/>
    <w:basedOn w:val="Normal"/>
    <w:qFormat/>
    <w:rsid w:val="00757293"/>
    <w:pPr>
      <w:spacing w:lineRule="auto" w:line="240" w:beforeAutospacing="1" w:afterAutospacing="1"/>
    </w:pPr>
    <w:rPr>
      <w:rFonts w:ascii="Arial" w:hAnsi="Arial" w:eastAsia="Times New Roman" w:cs="Arial"/>
      <w:color w:val="000000"/>
      <w:sz w:val="19"/>
      <w:szCs w:val="19"/>
      <w:lang w:eastAsia="pt-BR"/>
    </w:rPr>
  </w:style>
  <w:style w:type="paragraph" w:styleId="Font9" w:customStyle="1">
    <w:name w:val="font9"/>
    <w:basedOn w:val="Normal"/>
    <w:qFormat/>
    <w:rsid w:val="00757293"/>
    <w:pPr>
      <w:spacing w:lineRule="auto" w:line="240" w:beforeAutospacing="1" w:afterAutospacing="1"/>
    </w:pPr>
    <w:rPr>
      <w:rFonts w:ascii="Arial" w:hAnsi="Arial" w:eastAsia="Times New Roman" w:cs="Arial"/>
      <w:b/>
      <w:bCs/>
      <w:sz w:val="19"/>
      <w:szCs w:val="19"/>
      <w:lang w:eastAsia="pt-BR"/>
    </w:rPr>
  </w:style>
  <w:style w:type="paragraph" w:styleId="Font10" w:customStyle="1">
    <w:name w:val="font10"/>
    <w:basedOn w:val="Normal"/>
    <w:qFormat/>
    <w:rsid w:val="00757293"/>
    <w:pPr>
      <w:spacing w:lineRule="auto" w:line="240" w:beforeAutospacing="1" w:afterAutospacing="1"/>
    </w:pPr>
    <w:rPr>
      <w:rFonts w:ascii="Arial" w:hAnsi="Arial" w:eastAsia="Times New Roman" w:cs="Arial"/>
      <w:sz w:val="19"/>
      <w:szCs w:val="19"/>
      <w:lang w:eastAsia="pt-BR"/>
    </w:rPr>
  </w:style>
  <w:style w:type="paragraph" w:styleId="Xl19" w:customStyle="1">
    <w:name w:val="xl19"/>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4"/>
      <w:szCs w:val="24"/>
      <w:lang w:eastAsia="pt-BR"/>
    </w:rPr>
  </w:style>
  <w:style w:type="paragraph" w:styleId="Xl20" w:customStyle="1">
    <w:name w:val="xl20"/>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24"/>
      <w:szCs w:val="24"/>
      <w:lang w:eastAsia="pt-BR"/>
    </w:rPr>
  </w:style>
  <w:style w:type="paragraph" w:styleId="Xl21" w:customStyle="1">
    <w:name w:val="xl21"/>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24"/>
      <w:szCs w:val="24"/>
      <w:lang w:eastAsia="pt-BR"/>
    </w:rPr>
  </w:style>
  <w:style w:type="paragraph" w:styleId="Xl22" w:customStyle="1">
    <w:name w:val="xl22"/>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19"/>
      <w:szCs w:val="19"/>
      <w:lang w:eastAsia="pt-BR"/>
    </w:rPr>
  </w:style>
  <w:style w:type="paragraph" w:styleId="Xl23" w:customStyle="1">
    <w:name w:val="xl23"/>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sz w:val="19"/>
      <w:szCs w:val="19"/>
      <w:lang w:eastAsia="pt-BR"/>
    </w:rPr>
  </w:style>
  <w:style w:type="paragraph" w:styleId="Xl24" w:customStyle="1">
    <w:name w:val="xl24"/>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19"/>
      <w:szCs w:val="19"/>
      <w:lang w:eastAsia="pt-BR"/>
    </w:rPr>
  </w:style>
  <w:style w:type="paragraph" w:styleId="Xl25" w:customStyle="1">
    <w:name w:val="xl25"/>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sz w:val="24"/>
      <w:szCs w:val="24"/>
      <w:lang w:eastAsia="pt-BR"/>
    </w:rPr>
  </w:style>
  <w:style w:type="paragraph" w:styleId="Xl26" w:customStyle="1">
    <w:name w:val="xl26"/>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19"/>
      <w:szCs w:val="19"/>
      <w:lang w:eastAsia="pt-BR"/>
    </w:rPr>
  </w:style>
  <w:style w:type="paragraph" w:styleId="Xl27" w:customStyle="1">
    <w:name w:val="xl27"/>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4"/>
      <w:szCs w:val="24"/>
      <w:lang w:eastAsia="pt-BR"/>
    </w:rPr>
  </w:style>
  <w:style w:type="paragraph" w:styleId="Textopadro" w:customStyle="1">
    <w:name w:val="Texto padrão"/>
    <w:basedOn w:val="Normal"/>
    <w:qFormat/>
    <w:rsid w:val="00757293"/>
    <w:pPr>
      <w:widowControl w:val="false"/>
      <w:spacing w:lineRule="auto" w:line="240" w:before="0" w:after="0"/>
    </w:pPr>
    <w:rPr>
      <w:rFonts w:ascii="Times New Roman" w:hAnsi="Times New Roman" w:eastAsia="Times New Roman" w:cs="Times New Roman"/>
      <w:sz w:val="24"/>
      <w:szCs w:val="20"/>
      <w:lang w:val="en-US" w:eastAsia="pt-BR"/>
    </w:rPr>
  </w:style>
  <w:style w:type="paragraph" w:styleId="Annotationtext">
    <w:name w:val="annotation text"/>
    <w:basedOn w:val="Normal"/>
    <w:link w:val="TextodecomentrioChar"/>
    <w:semiHidden/>
    <w:qFormat/>
    <w:rsid w:val="00757293"/>
    <w:pPr>
      <w:spacing w:lineRule="auto" w:line="240" w:before="0" w:after="0"/>
    </w:pPr>
    <w:rPr>
      <w:rFonts w:ascii="Times New Roman" w:hAnsi="Times New Roman" w:eastAsia="Times New Roman" w:cs="Times New Roman"/>
      <w:sz w:val="20"/>
      <w:szCs w:val="20"/>
      <w:lang w:eastAsia="pt-BR"/>
    </w:rPr>
  </w:style>
  <w:style w:type="paragraph" w:styleId="Annotationsubject">
    <w:name w:val="annotation subject"/>
    <w:basedOn w:val="Annotationtext"/>
    <w:next w:val="Annotationtext"/>
    <w:link w:val="AssuntodocomentrioChar"/>
    <w:qFormat/>
    <w:rsid w:val="00757293"/>
    <w:pPr/>
    <w:rPr>
      <w:b/>
      <w:bCs/>
    </w:rPr>
  </w:style>
  <w:style w:type="paragraph" w:styleId="Western" w:customStyle="1">
    <w:name w:val="western"/>
    <w:basedOn w:val="Normal"/>
    <w:qFormat/>
    <w:rsid w:val="00757293"/>
    <w:pPr>
      <w:spacing w:lineRule="auto" w:line="240" w:beforeAutospacing="1" w:after="0"/>
      <w:jc w:val="both"/>
    </w:pPr>
    <w:rPr>
      <w:rFonts w:ascii="Verdana" w:hAnsi="Verdana" w:eastAsia="Times New Roman" w:cs="Times New Roman"/>
      <w:color w:val="000000"/>
      <w:lang w:eastAsia="pt-BR"/>
    </w:rPr>
  </w:style>
  <w:style w:type="paragraph" w:styleId="Mainwindow" w:customStyle="1">
    <w:name w:val="mainwindow"/>
    <w:basedOn w:val="Normal"/>
    <w:qFormat/>
    <w:rsid w:val="00757293"/>
    <w:pPr>
      <w:spacing w:lineRule="auto" w:line="240" w:beforeAutospacing="1" w:afterAutospacing="1"/>
    </w:pPr>
    <w:rPr>
      <w:rFonts w:ascii="Times New Roman" w:hAnsi="Times New Roman" w:eastAsia="Times New Roman" w:cs="Times New Roman"/>
      <w:sz w:val="24"/>
      <w:szCs w:val="24"/>
      <w:lang w:eastAsia="pt-BR"/>
    </w:rPr>
  </w:style>
  <w:style w:type="paragraph" w:styleId="Revision">
    <w:name w:val="Revision"/>
    <w:uiPriority w:val="99"/>
    <w:qFormat/>
    <w:rsid w:val="0075729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pt-BR" w:eastAsia="pt-BR" w:bidi="ar-SA"/>
    </w:rPr>
  </w:style>
  <w:style w:type="paragraph" w:styleId="Artigo" w:customStyle="1">
    <w:name w:val="artigo"/>
    <w:basedOn w:val="Normal"/>
    <w:qFormat/>
    <w:rsid w:val="00757293"/>
    <w:pPr>
      <w:spacing w:lineRule="auto" w:line="240" w:beforeAutospacing="1" w:afterAutospacing="1"/>
    </w:pPr>
    <w:rPr>
      <w:rFonts w:ascii="Times New Roman" w:hAnsi="Times New Roman" w:eastAsia="Times New Roman" w:cs="Times New Roman"/>
      <w:sz w:val="24"/>
      <w:szCs w:val="24"/>
      <w:lang w:eastAsia="pt-BR"/>
    </w:rPr>
  </w:style>
  <w:style w:type="paragraph" w:styleId="Default" w:customStyle="1">
    <w:name w:val="Default"/>
    <w:qFormat/>
    <w:rsid w:val="00757293"/>
    <w:pPr>
      <w:widowControl/>
      <w:suppressAutoHyphens w:val="true"/>
      <w:bidi w:val="0"/>
      <w:spacing w:lineRule="auto" w:line="240" w:before="0" w:after="0"/>
      <w:jc w:val="left"/>
    </w:pPr>
    <w:rPr>
      <w:rFonts w:ascii="Calibri" w:hAnsi="Calibri" w:eastAsia="Times New Roman" w:cs="Calibri"/>
      <w:color w:val="000000"/>
      <w:kern w:val="0"/>
      <w:sz w:val="24"/>
      <w:szCs w:val="24"/>
      <w:lang w:val="pt-BR" w:eastAsia="pt-BR" w:bidi="ar-SA"/>
    </w:rPr>
  </w:style>
  <w:style w:type="paragraph" w:styleId="Pa6" w:customStyle="1">
    <w:name w:val="Pa6"/>
    <w:basedOn w:val="Normal"/>
    <w:next w:val="Normal"/>
    <w:qFormat/>
    <w:rsid w:val="00757293"/>
    <w:pPr>
      <w:spacing w:lineRule="atLeast" w:line="181" w:before="0" w:after="0"/>
    </w:pPr>
    <w:rPr>
      <w:rFonts w:eastAsia="Times New Roman"/>
      <w:sz w:val="24"/>
      <w:szCs w:val="24"/>
    </w:rPr>
  </w:style>
  <w:style w:type="paragraph" w:styleId="Standard" w:customStyle="1">
    <w:name w:val="Standard"/>
    <w:qFormat/>
    <w:rsid w:val="00757293"/>
    <w:pPr>
      <w:widowControl w:val="false"/>
      <w:suppressAutoHyphens w:val="true"/>
      <w:bidi w:val="0"/>
      <w:spacing w:lineRule="auto" w:line="240" w:before="0" w:after="0"/>
      <w:jc w:val="left"/>
    </w:pPr>
    <w:rPr>
      <w:rFonts w:ascii="Liberation Serif" w:hAnsi="Liberation Serif" w:eastAsia="SimSun" w:cs="Mangal"/>
      <w:color w:val="auto"/>
      <w:kern w:val="2"/>
      <w:sz w:val="24"/>
      <w:szCs w:val="24"/>
      <w:lang w:val="pt-BR" w:eastAsia="zh-CN" w:bidi="hi-IN"/>
    </w:rPr>
  </w:style>
  <w:style w:type="paragraph" w:styleId="NoSpacing">
    <w:name w:val="No Spacing"/>
    <w:uiPriority w:val="1"/>
    <w:qFormat/>
    <w:rsid w:val="0075729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pt-BR" w:eastAsia="ar-SA" w:bidi="ar-SA"/>
    </w:rPr>
  </w:style>
  <w:style w:type="paragraph" w:styleId="HTMLPreformatted">
    <w:name w:val="HTML Preformatted"/>
    <w:basedOn w:val="Normal"/>
    <w:link w:val="PrformataoHTMLChar"/>
    <w:uiPriority w:val="99"/>
    <w:qFormat/>
    <w:rsid w:val="00652630"/>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color w:val="29387B"/>
      <w:sz w:val="18"/>
      <w:szCs w:val="18"/>
    </w:rPr>
  </w:style>
  <w:style w:type="paragraph" w:styleId="BodyText2">
    <w:name w:val="Body Text 2"/>
    <w:basedOn w:val="Normal"/>
    <w:link w:val="Corpodetexto2Char"/>
    <w:qFormat/>
    <w:rsid w:val="00652630"/>
    <w:pPr>
      <w:spacing w:lineRule="auto" w:line="240" w:before="0" w:after="0"/>
    </w:pPr>
    <w:rPr>
      <w:bCs/>
      <w:sz w:val="24"/>
    </w:rPr>
  </w:style>
  <w:style w:type="paragraph" w:styleId="ListParagraph">
    <w:name w:val="List Paragraph"/>
    <w:basedOn w:val="Normal"/>
    <w:uiPriority w:val="34"/>
    <w:qFormat/>
    <w:rsid w:val="00652630"/>
    <w:pPr>
      <w:spacing w:lineRule="auto" w:line="240" w:before="0" w:after="0"/>
      <w:ind w:left="720" w:hanging="0"/>
      <w:contextualSpacing/>
    </w:pPr>
    <w:rPr>
      <w:rFonts w:ascii="Times New Roman" w:hAnsi="Times New Roman" w:eastAsia="Times New Roman" w:cs="Times New Roman"/>
      <w:sz w:val="24"/>
      <w:szCs w:val="24"/>
      <w:lang w:eastAsia="pt-BR"/>
    </w:rPr>
  </w:style>
  <w:style w:type="paragraph" w:styleId="DocumentMap">
    <w:name w:val="Document Map"/>
    <w:basedOn w:val="Normal"/>
    <w:link w:val="MapadoDocumentoChar"/>
    <w:qFormat/>
    <w:rsid w:val="00652630"/>
    <w:pPr>
      <w:spacing w:lineRule="auto" w:line="240" w:before="0" w:after="0"/>
    </w:pPr>
    <w:rPr>
      <w:rFonts w:eastAsia="Times New Roman" w:cs="Times New Roman"/>
      <w:sz w:val="16"/>
      <w:szCs w:val="16"/>
      <w:lang w:val="x-none" w:eastAsia="x-none"/>
    </w:rPr>
  </w:style>
  <w:style w:type="paragraph" w:styleId="Contedodatabela" w:customStyle="1">
    <w:name w:val="Conteúdo da tabela"/>
    <w:basedOn w:val="Normal"/>
    <w:qFormat/>
    <w:rsid w:val="00652630"/>
    <w:pPr>
      <w:widowControl w:val="false"/>
      <w:suppressLineNumbers/>
      <w:suppressAutoHyphens w:val="true"/>
      <w:spacing w:lineRule="auto" w:line="240" w:before="0" w:after="0"/>
    </w:pPr>
    <w:rPr>
      <w:rFonts w:ascii="Arial" w:hAnsi="Arial" w:eastAsia="Andale Sans UI" w:cs="Times New Roman"/>
      <w:kern w:val="2"/>
      <w:sz w:val="20"/>
      <w:szCs w:val="24"/>
    </w:rPr>
  </w:style>
  <w:style w:type="paragraph" w:styleId="TextosemFormatao1" w:customStyle="1">
    <w:name w:val="Texto sem Formatação1"/>
    <w:basedOn w:val="Normal"/>
    <w:qFormat/>
    <w:rsid w:val="00652630"/>
    <w:pPr/>
    <w:rPr>
      <w:rFonts w:ascii="Courier New" w:hAnsi="Courier New" w:eastAsia="Times New Roman" w:cs="Times New Roman"/>
      <w:sz w:val="24"/>
      <w:szCs w:val="24"/>
      <w:lang w:eastAsia="pt-BR"/>
    </w:rPr>
  </w:style>
  <w:style w:type="paragraph" w:styleId="ListBullet">
    <w:name w:val="List Bullet"/>
    <w:basedOn w:val="Normal"/>
    <w:qFormat/>
    <w:rsid w:val="00652630"/>
    <w:pPr>
      <w:numPr>
        <w:ilvl w:val="0"/>
        <w:numId w:val="1"/>
      </w:numPr>
      <w:spacing w:lineRule="auto" w:line="240" w:before="0" w:after="0"/>
    </w:pPr>
    <w:rPr>
      <w:rFonts w:ascii="Times New Roman" w:hAnsi="Times New Roman" w:eastAsia="Times New Roman" w:cs="Times New Roman"/>
      <w:sz w:val="20"/>
      <w:szCs w:val="20"/>
      <w:lang w:eastAsia="pt-BR"/>
    </w:rPr>
  </w:style>
  <w:style w:type="paragraph" w:styleId="TableParagraph" w:customStyle="1">
    <w:name w:val="Table Paragraph"/>
    <w:basedOn w:val="Normal"/>
    <w:uiPriority w:val="1"/>
    <w:qFormat/>
    <w:rsid w:val="00652630"/>
    <w:pPr>
      <w:widowControl w:val="false"/>
      <w:spacing w:lineRule="auto" w:line="240" w:before="0" w:after="0"/>
    </w:pPr>
    <w:rPr>
      <w:rFonts w:ascii="Times New Roman" w:hAnsi="Times New Roman" w:eastAsia="Times New Roman" w:cs="Times New Roman"/>
      <w:lang w:val="en-US" w:bidi="en-US"/>
    </w:rPr>
  </w:style>
  <w:style w:type="paragraph" w:styleId="TxBrp9" w:customStyle="1">
    <w:name w:val="TxBr_p9"/>
    <w:basedOn w:val="Normal"/>
    <w:qFormat/>
    <w:rsid w:val="00652630"/>
    <w:pPr>
      <w:widowControl w:val="false"/>
      <w:tabs>
        <w:tab w:val="clear" w:pos="708"/>
        <w:tab w:val="left" w:pos="204" w:leader="none"/>
      </w:tabs>
      <w:spacing w:lineRule="atLeast" w:line="240" w:before="0" w:after="0"/>
      <w:jc w:val="both"/>
    </w:pPr>
    <w:rPr>
      <w:rFonts w:ascii="Times New Roman" w:hAnsi="Times New Roman" w:eastAsia="Times New Roman" w:cs="Times New Roman"/>
      <w:sz w:val="24"/>
      <w:szCs w:val="24"/>
      <w:lang w:eastAsia="pt-BR"/>
    </w:rPr>
  </w:style>
  <w:style w:type="paragraph" w:styleId="Ttulo11" w:customStyle="1">
    <w:name w:val="Título1"/>
    <w:basedOn w:val="Normal"/>
    <w:next w:val="Corpodotexto"/>
    <w:qFormat/>
    <w:rsid w:val="00652630"/>
    <w:pPr>
      <w:keepNext w:val="true"/>
      <w:suppressAutoHyphens w:val="true"/>
      <w:spacing w:lineRule="auto" w:line="240" w:before="240" w:after="120"/>
    </w:pPr>
    <w:rPr>
      <w:rFonts w:ascii="Arial" w:hAnsi="Arial" w:eastAsia="Tahoma"/>
      <w:sz w:val="28"/>
      <w:szCs w:val="28"/>
      <w:lang w:eastAsia="zh-CN"/>
    </w:rPr>
  </w:style>
  <w:style w:type="paragraph" w:styleId="Corpodetexto31" w:customStyle="1">
    <w:name w:val="Corpo de texto 31"/>
    <w:basedOn w:val="Normal"/>
    <w:qFormat/>
    <w:rsid w:val="00652630"/>
    <w:pPr>
      <w:suppressAutoHyphens w:val="true"/>
      <w:spacing w:lineRule="auto" w:line="240" w:before="0" w:after="120"/>
    </w:pPr>
    <w:rPr>
      <w:rFonts w:ascii="Times New Roman" w:hAnsi="Times New Roman" w:eastAsia="Times New Roman" w:cs="Times New Roman"/>
      <w:sz w:val="16"/>
      <w:szCs w:val="16"/>
      <w:lang w:eastAsia="zh-CN"/>
    </w:rPr>
  </w:style>
  <w:style w:type="paragraph" w:styleId="Corpodetexto22" w:customStyle="1">
    <w:name w:val="Corpo de texto 22"/>
    <w:basedOn w:val="Normal"/>
    <w:qFormat/>
    <w:rsid w:val="00652630"/>
    <w:pPr>
      <w:suppressAutoHyphens w:val="true"/>
      <w:spacing w:lineRule="auto" w:line="240" w:before="0" w:after="0"/>
      <w:jc w:val="both"/>
    </w:pPr>
    <w:rPr>
      <w:rFonts w:ascii="Arial" w:hAnsi="Arial" w:eastAsia="Times New Roman" w:cs="Arial"/>
      <w:sz w:val="24"/>
      <w:szCs w:val="20"/>
      <w:lang w:eastAsia="zh-CN"/>
    </w:rPr>
  </w:style>
  <w:style w:type="paragraph" w:styleId="Recuodecorpodetexto21" w:customStyle="1">
    <w:name w:val="Recuo de corpo de texto 21"/>
    <w:basedOn w:val="Normal"/>
    <w:qFormat/>
    <w:rsid w:val="00652630"/>
    <w:pPr>
      <w:suppressAutoHyphens w:val="true"/>
      <w:spacing w:lineRule="auto" w:line="480" w:before="0" w:after="120"/>
      <w:ind w:left="283" w:hanging="0"/>
    </w:pPr>
    <w:rPr>
      <w:rFonts w:ascii="Times New Roman" w:hAnsi="Times New Roman" w:eastAsia="Times New Roman" w:cs="Times New Roman"/>
      <w:sz w:val="24"/>
      <w:szCs w:val="24"/>
      <w:lang w:eastAsia="zh-CN"/>
    </w:rPr>
  </w:style>
  <w:style w:type="paragraph" w:styleId="Recuodecorpodetexto31" w:customStyle="1">
    <w:name w:val="Recuo de corpo de texto 31"/>
    <w:basedOn w:val="Normal"/>
    <w:qFormat/>
    <w:rsid w:val="00652630"/>
    <w:pPr>
      <w:suppressAutoHyphens w:val="true"/>
      <w:spacing w:lineRule="auto" w:line="240" w:before="0" w:after="120"/>
      <w:ind w:left="283" w:hanging="0"/>
    </w:pPr>
    <w:rPr>
      <w:rFonts w:ascii="Times New Roman" w:hAnsi="Times New Roman" w:eastAsia="Times New Roman" w:cs="Times New Roman"/>
      <w:sz w:val="16"/>
      <w:szCs w:val="16"/>
      <w:lang w:eastAsia="zh-CN"/>
    </w:rPr>
  </w:style>
  <w:style w:type="paragraph" w:styleId="Textodecomentrio1" w:customStyle="1">
    <w:name w:val="Texto de comentário1"/>
    <w:basedOn w:val="Normal"/>
    <w:qFormat/>
    <w:rsid w:val="00652630"/>
    <w:pPr>
      <w:suppressAutoHyphens w:val="true"/>
      <w:spacing w:lineRule="auto" w:line="240" w:before="0" w:after="0"/>
    </w:pPr>
    <w:rPr>
      <w:rFonts w:ascii="Times New Roman" w:hAnsi="Times New Roman" w:eastAsia="Times New Roman" w:cs="Times New Roman"/>
      <w:sz w:val="20"/>
      <w:szCs w:val="20"/>
      <w:lang w:eastAsia="zh-CN"/>
    </w:rPr>
  </w:style>
  <w:style w:type="paragraph" w:styleId="Ttulodetabela" w:customStyle="1">
    <w:name w:val="Título de tabela"/>
    <w:basedOn w:val="Contedodatabela"/>
    <w:qFormat/>
    <w:rsid w:val="00652630"/>
    <w:pPr>
      <w:jc w:val="center"/>
    </w:pPr>
    <w:rPr>
      <w:rFonts w:ascii="Times New Roman" w:hAnsi="Times New Roman" w:eastAsia="Times New Roman" w:cs="Times New Roman"/>
      <w:b/>
      <w:bCs/>
      <w:kern w:val="0"/>
      <w:lang w:bidi="ar-SA"/>
    </w:rPr>
  </w:style>
  <w:style w:type="paragraph" w:styleId="Contedodoquadro" w:customStyle="1">
    <w:name w:val="Conteúdo do quadro"/>
    <w:basedOn w:val="Normal"/>
    <w:qFormat/>
    <w:rsid w:val="00652630"/>
    <w:pPr>
      <w:suppressAutoHyphens w:val="true"/>
      <w:spacing w:lineRule="auto" w:line="240" w:before="0" w:after="0"/>
    </w:pPr>
    <w:rPr>
      <w:rFonts w:ascii="Times New Roman" w:hAnsi="Times New Roman" w:eastAsia="Times New Roman" w:cs="Times New Roman"/>
      <w:sz w:val="24"/>
      <w:szCs w:val="24"/>
      <w:lang w:eastAsia="zh-CN"/>
    </w:rPr>
  </w:style>
  <w:style w:type="paragraph" w:styleId="Msonormal" w:customStyle="1">
    <w:name w:val="msonormal"/>
    <w:basedOn w:val="Normal"/>
    <w:qFormat/>
    <w:rsid w:val="00652630"/>
    <w:pPr>
      <w:spacing w:lineRule="auto" w:line="240" w:beforeAutospacing="1" w:afterAutospacing="1"/>
    </w:pPr>
    <w:rPr>
      <w:rFonts w:ascii="Times New Roman" w:hAnsi="Times New Roman" w:eastAsia="Times New Roman" w:cs="Times New Roman"/>
      <w:sz w:val="24"/>
      <w:szCs w:val="24"/>
      <w:lang w:eastAsia="pt-BR"/>
    </w:rPr>
  </w:style>
  <w:style w:type="paragraph" w:styleId="Xl63" w:customStyle="1">
    <w:name w:val="xl63"/>
    <w:basedOn w:val="Normal"/>
    <w:qFormat/>
    <w:rsid w:val="00652630"/>
    <w:pPr>
      <w:spacing w:lineRule="auto" w:line="240" w:beforeAutospacing="1" w:afterAutospacing="1"/>
      <w:textAlignment w:val="center"/>
    </w:pPr>
    <w:rPr>
      <w:rFonts w:ascii="Arial" w:hAnsi="Arial" w:eastAsia="Times New Roman" w:cs="Arial"/>
      <w:sz w:val="20"/>
      <w:szCs w:val="20"/>
      <w:lang w:eastAsia="pt-BR"/>
    </w:rPr>
  </w:style>
  <w:style w:type="paragraph" w:styleId="Xl64" w:customStyle="1">
    <w:name w:val="xl64"/>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b/>
      <w:bCs/>
      <w:sz w:val="20"/>
      <w:szCs w:val="20"/>
      <w:lang w:eastAsia="pt-BR"/>
    </w:rPr>
  </w:style>
  <w:style w:type="paragraph" w:styleId="Xl65" w:customStyle="1">
    <w:name w:val="xl65"/>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Arial" w:hAnsi="Arial" w:eastAsia="Times New Roman" w:cs="Arial"/>
      <w:sz w:val="20"/>
      <w:szCs w:val="20"/>
      <w:lang w:eastAsia="pt-BR"/>
    </w:rPr>
  </w:style>
  <w:style w:type="paragraph" w:styleId="Xl66" w:customStyle="1">
    <w:name w:val="xl66"/>
    <w:basedOn w:val="Normal"/>
    <w:qFormat/>
    <w:rsid w:val="00652630"/>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67" w:customStyle="1">
    <w:name w:val="xl67"/>
    <w:basedOn w:val="Normal"/>
    <w:qFormat/>
    <w:rsid w:val="00652630"/>
    <w:pPr>
      <w:pBdr>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68" w:customStyle="1">
    <w:name w:val="xl68"/>
    <w:basedOn w:val="Normal"/>
    <w:qFormat/>
    <w:rsid w:val="00652630"/>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69" w:customStyle="1">
    <w:name w:val="xl69"/>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0" w:customStyle="1">
    <w:name w:val="xl70"/>
    <w:basedOn w:val="Normal"/>
    <w:qFormat/>
    <w:rsid w:val="00652630"/>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1" w:customStyle="1">
    <w:name w:val="xl71"/>
    <w:basedOn w:val="Normal"/>
    <w:qFormat/>
    <w:rsid w:val="00652630"/>
    <w:pPr>
      <w:pBdr>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2" w:customStyle="1">
    <w:name w:val="xl72"/>
    <w:basedOn w:val="Normal"/>
    <w:qFormat/>
    <w:rsid w:val="00652630"/>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3" w:customStyle="1">
    <w:name w:val="xl73"/>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4" w:customStyle="1">
    <w:name w:val="xl74"/>
    <w:basedOn w:val="Normal"/>
    <w:qFormat/>
    <w:rsid w:val="00652630"/>
    <w:pPr>
      <w:pBdr>
        <w:top w:val="single" w:sz="8" w:space="0" w:color="000000"/>
        <w:left w:val="single" w:sz="8" w:space="0" w:color="000000"/>
        <w:bottom w:val="single" w:sz="8" w:space="0" w:color="000000"/>
      </w:pBdr>
      <w:spacing w:lineRule="auto" w:line="240" w:beforeAutospacing="1" w:afterAutospacing="1"/>
      <w:jc w:val="center"/>
      <w:textAlignment w:val="center"/>
    </w:pPr>
    <w:rPr>
      <w:rFonts w:ascii="Arial" w:hAnsi="Arial" w:eastAsia="Times New Roman" w:cs="Arial"/>
      <w:b/>
      <w:bCs/>
      <w:sz w:val="24"/>
      <w:szCs w:val="24"/>
      <w:lang w:eastAsia="pt-BR"/>
    </w:rPr>
  </w:style>
  <w:style w:type="paragraph" w:styleId="Xl75" w:customStyle="1">
    <w:name w:val="xl75"/>
    <w:basedOn w:val="Normal"/>
    <w:qFormat/>
    <w:rsid w:val="00652630"/>
    <w:pPr>
      <w:pBdr>
        <w:top w:val="single" w:sz="8" w:space="0" w:color="000000"/>
        <w:bottom w:val="single" w:sz="8" w:space="0" w:color="000000"/>
      </w:pBdr>
      <w:spacing w:lineRule="auto" w:line="240" w:beforeAutospacing="1" w:afterAutospacing="1"/>
      <w:jc w:val="center"/>
      <w:textAlignment w:val="center"/>
    </w:pPr>
    <w:rPr>
      <w:rFonts w:ascii="Arial" w:hAnsi="Arial" w:eastAsia="Times New Roman" w:cs="Arial"/>
      <w:b/>
      <w:bCs/>
      <w:sz w:val="24"/>
      <w:szCs w:val="24"/>
      <w:lang w:eastAsia="pt-BR"/>
    </w:rPr>
  </w:style>
  <w:style w:type="paragraph" w:styleId="Xl76" w:customStyle="1">
    <w:name w:val="xl76"/>
    <w:basedOn w:val="Normal"/>
    <w:qFormat/>
    <w:rsid w:val="00652630"/>
    <w:pPr>
      <w:pBdr>
        <w:top w:val="single" w:sz="8" w:space="0" w:color="000000"/>
        <w:bottom w:val="single" w:sz="8" w:space="0" w:color="000000"/>
        <w:right w:val="single" w:sz="4" w:space="0" w:color="000000"/>
      </w:pBdr>
      <w:spacing w:lineRule="auto" w:line="240" w:beforeAutospacing="1" w:afterAutospacing="1"/>
      <w:jc w:val="center"/>
      <w:textAlignment w:val="center"/>
    </w:pPr>
    <w:rPr>
      <w:rFonts w:ascii="Arial" w:hAnsi="Arial" w:eastAsia="Times New Roman" w:cs="Arial"/>
      <w:b/>
      <w:bCs/>
      <w:sz w:val="24"/>
      <w:szCs w:val="24"/>
      <w:lang w:eastAsia="pt-BR"/>
    </w:rPr>
  </w:style>
  <w:style w:type="paragraph" w:styleId="Normalofc" w:customStyle="1">
    <w:name w:val="Normal ofc"/>
    <w:basedOn w:val="Normal"/>
    <w:qFormat/>
    <w:rsid w:val="00652630"/>
    <w:pPr>
      <w:spacing w:lineRule="auto" w:line="360" w:before="0" w:after="0"/>
      <w:jc w:val="both"/>
    </w:pPr>
    <w:rPr>
      <w:rFonts w:ascii="Arial" w:hAnsi="Arial" w:eastAsia="Times New Roman" w:cs="Arial"/>
      <w:color w:val="000000"/>
      <w:sz w:val="24"/>
      <w:szCs w:val="20"/>
      <w:lang w:eastAsia="pt-BR"/>
    </w:rPr>
  </w:style>
  <w:style w:type="paragraph" w:styleId="Corpodetexto23" w:customStyle="1">
    <w:name w:val="Corpo de texto 23"/>
    <w:basedOn w:val="Normal"/>
    <w:qFormat/>
    <w:rsid w:val="00a10b4a"/>
    <w:pPr>
      <w:spacing w:lineRule="auto" w:line="240" w:before="0" w:after="0"/>
      <w:jc w:val="both"/>
    </w:pPr>
    <w:rPr>
      <w:rFonts w:ascii="Arial" w:hAnsi="Arial" w:eastAsia="Times New Roman" w:cs="Times New Roman"/>
      <w:sz w:val="24"/>
      <w:szCs w:val="20"/>
      <w:lang w:eastAsia="pt-BR"/>
    </w:rPr>
  </w:style>
  <w:style w:type="paragraph" w:styleId="BodyTabelas" w:customStyle="1">
    <w:name w:val="Body Tabelas"/>
    <w:basedOn w:val="Normal"/>
    <w:qFormat/>
    <w:rsid w:val="004a0025"/>
    <w:pPr>
      <w:spacing w:lineRule="auto" w:line="240" w:before="60" w:after="60"/>
    </w:pPr>
    <w:rPr>
      <w:rFonts w:ascii="Calibri" w:hAnsi="Calibri" w:eastAsia="Arial Unicode MS" w:cs="Calibri"/>
      <w:color w:val="000000" w:themeColor="text1"/>
      <w:sz w:val="16"/>
      <w:szCs w:val="16"/>
      <w:lang w:eastAsia="pt-BR"/>
    </w:rPr>
  </w:style>
  <w:style w:type="paragraph" w:styleId="TituloAnexos" w:customStyle="1">
    <w:name w:val="Titulo Anexos"/>
    <w:basedOn w:val="Normal"/>
    <w:qFormat/>
    <w:rsid w:val="004a0025"/>
    <w:pPr>
      <w:pageBreakBefore/>
      <w:numPr>
        <w:ilvl w:val="0"/>
        <w:numId w:val="4"/>
      </w:numPr>
      <w:pBdr>
        <w:bottom w:val="single" w:sz="4" w:space="1" w:color="000000"/>
      </w:pBdr>
      <w:spacing w:lineRule="auto" w:line="240" w:before="240" w:after="120"/>
      <w:ind w:left="0" w:hanging="0"/>
      <w:outlineLvl w:val="0"/>
    </w:pPr>
    <w:rPr>
      <w:rFonts w:ascii="Calibri" w:hAnsi="Calibri" w:eastAsia="Arial Unicode MS" w:cs="Calibri"/>
      <w:color w:val="000000" w:themeColor="text1"/>
      <w:sz w:val="48"/>
      <w:szCs w:val="48"/>
      <w:lang w:eastAsia="pt-BR"/>
    </w:rPr>
  </w:style>
  <w:style w:type="paragraph" w:styleId="TituloCargos" w:customStyle="1">
    <w:name w:val="Titulo Cargos"/>
    <w:basedOn w:val="Titulosn1"/>
    <w:qFormat/>
    <w:rsid w:val="004a0025"/>
    <w:pPr>
      <w:pBdr>
        <w:top w:val="single" w:sz="24" w:space="1" w:color="000000"/>
      </w:pBdr>
      <w:spacing w:before="360" w:after="160"/>
      <w:outlineLvl w:val="5"/>
    </w:pPr>
    <w:rPr>
      <w:sz w:val="24"/>
      <w:szCs w:val="20"/>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4a0025"/>
    <w:pPr>
      <w:spacing w:before="720" w:after="120"/>
      <w:ind w:hanging="142"/>
      <w:outlineLvl w:val="9"/>
    </w:pPr>
    <w:rPr>
      <w:rFonts w:ascii="Calibri" w:hAnsi="Calibri" w:eastAsia="Lucida Sans Unicode" w:cs="Calibri"/>
      <w:color w:val="000000" w:themeColor="text1"/>
      <w:kern w:val="0"/>
      <w:sz w:val="36"/>
      <w:szCs w:val="36"/>
    </w:rPr>
  </w:style>
  <w:style w:type="paragraph" w:styleId="Bodyn1" w:customStyle="1">
    <w:name w:val="Body n1"/>
    <w:basedOn w:val="Normal"/>
    <w:qFormat/>
    <w:rsid w:val="004a0025"/>
    <w:pPr>
      <w:spacing w:lineRule="auto" w:line="240" w:before="240" w:after="120"/>
      <w:ind w:hanging="142"/>
    </w:pPr>
    <w:rPr>
      <w:rFonts w:ascii="Calibri" w:hAnsi="Calibri" w:eastAsia="Arial Unicode MS" w:cs="Calibri"/>
      <w:color w:val="000000" w:themeColor="text1"/>
      <w:sz w:val="20"/>
      <w:lang w:eastAsia="ar-SA"/>
    </w:rPr>
  </w:style>
  <w:style w:type="paragraph" w:styleId="Bodyn2" w:customStyle="1">
    <w:name w:val="Body n2"/>
    <w:basedOn w:val="Bodyn1"/>
    <w:qFormat/>
    <w:rsid w:val="004a0025"/>
    <w:pPr/>
    <w:rPr/>
  </w:style>
  <w:style w:type="paragraph" w:styleId="Bordalateral" w:customStyle="1">
    <w:name w:val="Borda lateral"/>
    <w:basedOn w:val="Normal"/>
    <w:qFormat/>
    <w:rsid w:val="004a0025"/>
    <w:pPr>
      <w:pBdr>
        <w:left w:val="single" w:sz="48" w:space="4" w:color="BFBFBF"/>
      </w:pBdr>
      <w:shd w:val="clear" w:color="auto" w:fill="FFFFFF" w:themeFill="background1"/>
      <w:spacing w:lineRule="auto" w:line="240" w:before="240" w:after="120"/>
      <w:ind w:left="567" w:hanging="0"/>
    </w:pPr>
    <w:rPr>
      <w:rFonts w:ascii="Calibri" w:hAnsi="Calibri" w:eastAsia="Arial Unicode MS" w:cs="Calibri"/>
      <w:color w:val="000000" w:themeColor="text1"/>
      <w:sz w:val="20"/>
      <w:lang w:eastAsia="pt-BR"/>
    </w:rPr>
  </w:style>
  <w:style w:type="paragraph" w:styleId="Titulosn1" w:customStyle="1">
    <w:name w:val="Titulo sn 1"/>
    <w:basedOn w:val="Normal"/>
    <w:qFormat/>
    <w:rsid w:val="004a0025"/>
    <w:pPr>
      <w:keepNext w:val="true"/>
      <w:spacing w:lineRule="auto" w:line="240" w:before="480" w:after="120"/>
      <w:outlineLvl w:val="3"/>
    </w:pPr>
    <w:rPr>
      <w:rFonts w:ascii="Calibri" w:hAnsi="Calibri" w:eastAsia="Arial Unicode MS" w:cs="Calibri"/>
      <w:b/>
      <w:bCs/>
      <w:caps/>
      <w:color w:val="000000" w:themeColor="text1"/>
      <w:sz w:val="28"/>
      <w:szCs w:val="28"/>
      <w:lang w:eastAsia="ar-SA"/>
    </w:rPr>
  </w:style>
  <w:style w:type="paragraph" w:styleId="Titulosn2" w:customStyle="1">
    <w:name w:val="Titulo sn 2"/>
    <w:basedOn w:val="Titulosn1"/>
    <w:qFormat/>
    <w:rsid w:val="004a0025"/>
    <w:pPr>
      <w:spacing w:before="360" w:after="120"/>
      <w:outlineLvl w:val="4"/>
    </w:pPr>
    <w:rPr>
      <w:sz w:val="24"/>
      <w:szCs w:val="20"/>
    </w:rPr>
  </w:style>
  <w:style w:type="paragraph" w:styleId="ListaBullets" w:customStyle="1">
    <w:name w:val="Lista Bullets"/>
    <w:basedOn w:val="Normal"/>
    <w:qFormat/>
    <w:rsid w:val="004a0025"/>
    <w:pPr>
      <w:numPr>
        <w:ilvl w:val="0"/>
        <w:numId w:val="2"/>
      </w:numPr>
      <w:spacing w:lineRule="auto" w:line="240" w:before="240" w:after="120"/>
      <w:ind w:left="567" w:hanging="284"/>
      <w:contextualSpacing/>
    </w:pPr>
    <w:rPr>
      <w:rFonts w:ascii="Calibri" w:hAnsi="Calibri" w:eastAsia="Arial Unicode MS" w:cs="Calibri"/>
      <w:color w:val="000000" w:themeColor="text1"/>
      <w:sz w:val="20"/>
      <w:lang w:eastAsia="pt-BR"/>
    </w:rPr>
  </w:style>
  <w:style w:type="paragraph" w:styleId="ListaNumerada" w:customStyle="1">
    <w:name w:val="Lista Numerada"/>
    <w:qFormat/>
    <w:rsid w:val="004a0025"/>
    <w:pPr>
      <w:widowControl/>
      <w:numPr>
        <w:ilvl w:val="0"/>
        <w:numId w:val="3"/>
      </w:numPr>
      <w:suppressAutoHyphens w:val="true"/>
      <w:bidi w:val="0"/>
      <w:spacing w:lineRule="auto" w:line="240" w:before="0" w:after="0"/>
      <w:jc w:val="left"/>
    </w:pPr>
    <w:rPr>
      <w:rFonts w:ascii="Calibri" w:hAnsi="Calibri" w:eastAsia="Arial Unicode MS" w:cs="Calibri"/>
      <w:color w:val="000000" w:themeColor="text1"/>
      <w:kern w:val="0"/>
      <w:sz w:val="20"/>
      <w:szCs w:val="20"/>
      <w:lang w:val="pt-BR" w:eastAsia="ar-SA" w:bidi="ar-SA"/>
    </w:rPr>
  </w:style>
  <w:style w:type="paragraph" w:styleId="Bodyn3" w:customStyle="1">
    <w:name w:val="Body n3"/>
    <w:basedOn w:val="Bodyn2"/>
    <w:qFormat/>
    <w:rsid w:val="004a0025"/>
    <w:pPr/>
    <w:rPr/>
  </w:style>
  <w:style w:type="paragraph" w:styleId="CabealhoEdital" w:customStyle="1">
    <w:name w:val="Cabeçalho Edital"/>
    <w:basedOn w:val="Normal"/>
    <w:qFormat/>
    <w:rsid w:val="004a0025"/>
    <w:pPr>
      <w:spacing w:lineRule="auto" w:line="240" w:before="480" w:after="480"/>
      <w:ind w:left="3402" w:hanging="0"/>
    </w:pPr>
    <w:rPr>
      <w:rFonts w:ascii="Calibri" w:hAnsi="Calibri" w:eastAsia="Arial Unicode MS" w:cs="Calibri"/>
      <w:color w:val="000000" w:themeColor="text1"/>
      <w:sz w:val="20"/>
      <w:lang w:eastAsia="pt-BR"/>
    </w:rPr>
  </w:style>
  <w:style w:type="paragraph" w:styleId="Notadefim">
    <w:name w:val="Endnote Text"/>
    <w:basedOn w:val="Normal"/>
    <w:link w:val="TextodenotadefimChar"/>
    <w:uiPriority w:val="99"/>
    <w:semiHidden/>
    <w:unhideWhenUsed/>
    <w:qFormat/>
    <w:rsid w:val="004a0025"/>
    <w:pPr>
      <w:spacing w:lineRule="auto" w:line="240" w:before="0" w:after="0"/>
    </w:pPr>
    <w:rPr>
      <w:rFonts w:ascii="Calibri" w:hAnsi="Calibri" w:eastAsia="Calibri" w:cs="Times New Roman"/>
      <w:sz w:val="20"/>
      <w:szCs w:val="20"/>
    </w:rPr>
  </w:style>
  <w:style w:type="paragraph" w:styleId="TBodyn2" w:customStyle="1">
    <w:name w:val="TBody n2"/>
    <w:basedOn w:val="Bodyn2"/>
    <w:next w:val="Bodyn2"/>
    <w:qFormat/>
    <w:rsid w:val="004a0025"/>
    <w:pPr>
      <w:spacing w:before="360" w:after="120"/>
      <w:outlineLvl w:val="2"/>
    </w:pPr>
    <w:rPr>
      <w:b/>
    </w:rPr>
  </w:style>
  <w:style w:type="paragraph" w:styleId="ListBullet3">
    <w:name w:val="List Bullet 3"/>
    <w:basedOn w:val="Normal"/>
    <w:uiPriority w:val="99"/>
    <w:unhideWhenUsed/>
    <w:qFormat/>
    <w:rsid w:val="004a0025"/>
    <w:pPr>
      <w:spacing w:lineRule="auto" w:line="240" w:before="240" w:after="120"/>
      <w:ind w:left="566" w:hanging="283"/>
      <w:contextualSpacing/>
    </w:pPr>
    <w:rPr>
      <w:rFonts w:ascii="Calibri" w:hAnsi="Calibri" w:eastAsia="Arial Unicode MS" w:cs="Calibri"/>
      <w:color w:val="000000" w:themeColor="text1"/>
      <w:sz w:val="20"/>
      <w:lang w:eastAsia="pt-BR"/>
    </w:rPr>
  </w:style>
  <w:style w:type="paragraph" w:styleId="ListBullet4">
    <w:name w:val="List Bullet 4"/>
    <w:basedOn w:val="Normal"/>
    <w:uiPriority w:val="99"/>
    <w:unhideWhenUsed/>
    <w:qFormat/>
    <w:rsid w:val="004a0025"/>
    <w:pPr>
      <w:spacing w:lineRule="auto" w:line="240" w:before="240" w:after="120"/>
      <w:ind w:left="849" w:hanging="283"/>
      <w:contextualSpacing/>
    </w:pPr>
    <w:rPr>
      <w:rFonts w:ascii="Calibri" w:hAnsi="Calibri" w:eastAsia="Arial Unicode MS" w:cs="Calibri"/>
      <w:color w:val="000000" w:themeColor="text1"/>
      <w:sz w:val="20"/>
      <w:lang w:eastAsia="pt-BR"/>
    </w:rPr>
  </w:style>
  <w:style w:type="paragraph" w:styleId="ListBullet5">
    <w:name w:val="List Bullet 5"/>
    <w:basedOn w:val="Normal"/>
    <w:uiPriority w:val="99"/>
    <w:unhideWhenUsed/>
    <w:qFormat/>
    <w:rsid w:val="004a0025"/>
    <w:pPr>
      <w:spacing w:lineRule="auto" w:line="240" w:before="240" w:after="120"/>
      <w:ind w:left="1132" w:hanging="283"/>
      <w:contextualSpacing/>
    </w:pPr>
    <w:rPr>
      <w:rFonts w:ascii="Calibri" w:hAnsi="Calibri" w:eastAsia="Arial Unicode MS" w:cs="Calibri"/>
      <w:color w:val="000000" w:themeColor="text1"/>
      <w:sz w:val="20"/>
      <w:lang w:eastAsia="pt-BR"/>
    </w:rPr>
  </w:style>
  <w:style w:type="paragraph" w:styleId="ListNumber">
    <w:name w:val="List Number"/>
    <w:basedOn w:val="Normal"/>
    <w:uiPriority w:val="99"/>
    <w:unhideWhenUsed/>
    <w:qFormat/>
    <w:rsid w:val="004a0025"/>
    <w:pPr>
      <w:spacing w:lineRule="auto" w:line="240" w:before="240" w:after="120"/>
      <w:ind w:left="1415" w:hanging="283"/>
      <w:contextualSpacing/>
    </w:pPr>
    <w:rPr>
      <w:rFonts w:ascii="Calibri" w:hAnsi="Calibri" w:eastAsia="Arial Unicode MS" w:cs="Calibri"/>
      <w:color w:val="000000" w:themeColor="text1"/>
      <w:sz w:val="20"/>
      <w:lang w:eastAsia="pt-BR"/>
    </w:rPr>
  </w:style>
  <w:style w:type="paragraph" w:styleId="Sumrio2">
    <w:name w:val="TOC 2"/>
    <w:basedOn w:val="Normal"/>
    <w:next w:val="Normal"/>
    <w:autoRedefine/>
    <w:uiPriority w:val="39"/>
    <w:unhideWhenUsed/>
    <w:qFormat/>
    <w:rsid w:val="0076392d"/>
    <w:pPr>
      <w:spacing w:before="0" w:after="100"/>
      <w:ind w:left="220" w:hanging="0"/>
    </w:pPr>
    <w:rPr/>
  </w:style>
  <w:style w:type="paragraph" w:styleId="Sumrio1">
    <w:name w:val="TOC 1"/>
    <w:basedOn w:val="Normal"/>
    <w:next w:val="Normal"/>
    <w:autoRedefine/>
    <w:uiPriority w:val="39"/>
    <w:unhideWhenUsed/>
    <w:qFormat/>
    <w:rsid w:val="0076392d"/>
    <w:pPr>
      <w:spacing w:before="0" w:after="100"/>
    </w:pPr>
    <w:rPr/>
  </w:style>
  <w:style w:type="paragraph" w:styleId="Sumrio3">
    <w:name w:val="TOC 3"/>
    <w:basedOn w:val="Normal"/>
    <w:next w:val="Normal"/>
    <w:autoRedefine/>
    <w:uiPriority w:val="39"/>
    <w:unhideWhenUsed/>
    <w:qFormat/>
    <w:rsid w:val="0076392d"/>
    <w:pPr>
      <w:spacing w:lineRule="auto" w:line="276" w:before="0" w:after="100"/>
      <w:ind w:left="440" w:hanging="0"/>
      <w:jc w:val="center"/>
    </w:pPr>
    <w:rPr>
      <w:rFonts w:ascii="Calibri" w:hAnsi="Calibri" w:eastAsia="Times New Roman" w:cs="Times New Roman"/>
    </w:rPr>
  </w:style>
  <w:style w:type="paragraph" w:styleId="Subttulo">
    <w:name w:val="Subtitle"/>
    <w:basedOn w:val="Normal"/>
    <w:next w:val="Normal"/>
    <w:link w:val="SubttuloChar"/>
    <w:autoRedefine/>
    <w:qFormat/>
    <w:rsid w:val="0076392d"/>
    <w:pPr>
      <w:spacing w:lineRule="auto" w:line="240" w:before="0" w:after="60"/>
      <w:jc w:val="both"/>
      <w:outlineLvl w:val="1"/>
    </w:pPr>
    <w:rPr>
      <w:rFonts w:ascii="Arial" w:hAnsi="Arial" w:eastAsia="Times New Roman" w:cs="Times New Roman"/>
      <w:b/>
      <w:szCs w:val="48"/>
      <w:lang w:eastAsia="pt-BR"/>
    </w:rPr>
  </w:style>
  <w:style w:type="paragraph" w:styleId="Quote">
    <w:name w:val="Quote"/>
    <w:basedOn w:val="Normal"/>
    <w:next w:val="Normal"/>
    <w:link w:val="CitaoChar"/>
    <w:uiPriority w:val="29"/>
    <w:qFormat/>
    <w:rsid w:val="0076392d"/>
    <w:pPr>
      <w:spacing w:lineRule="auto" w:line="240" w:before="0" w:after="0"/>
      <w:jc w:val="center"/>
    </w:pPr>
    <w:rPr>
      <w:rFonts w:ascii="Times New Roman" w:hAnsi="Times New Roman" w:eastAsia="Times New Roman" w:cs="Times New Roman"/>
      <w:i/>
      <w:iCs/>
      <w:color w:val="000000"/>
      <w:sz w:val="24"/>
      <w:szCs w:val="24"/>
      <w:lang w:eastAsia="pt-BR"/>
    </w:rPr>
  </w:style>
  <w:style w:type="paragraph" w:styleId="Textbody" w:customStyle="1">
    <w:name w:val="textbody"/>
    <w:basedOn w:val="Normal"/>
    <w:qFormat/>
    <w:rsid w:val="005778d4"/>
    <w:pPr>
      <w:spacing w:lineRule="auto" w:line="240" w:beforeAutospacing="1" w:afterAutospacing="1"/>
    </w:pPr>
    <w:rPr>
      <w:rFonts w:ascii="Times New Roman" w:hAnsi="Times New Roman" w:eastAsia="Times New Roman" w:cs="Times New Roman"/>
      <w:sz w:val="24"/>
      <w:szCs w:val="24"/>
      <w:lang w:eastAsia="pt-BR"/>
    </w:rPr>
  </w:style>
  <w:style w:type="paragraph" w:styleId="LOnormal1">
    <w:name w:val="LO-normal1"/>
    <w:qFormat/>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paragraph" w:styleId="LOnormal">
    <w:name w:val="LO-normal"/>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PargrafodaLista">
    <w:name w:val="Parágrafo da Lista"/>
    <w:basedOn w:val="Normal"/>
    <w:qFormat/>
    <w:pPr>
      <w:spacing w:lineRule="exact" w:line="240"/>
      <w:ind w:left="708" w:hanging="0"/>
    </w:pPr>
    <w:rPr>
      <w:rFonts w:ascii="Liberation Serif" w:hAnsi="Liberation Serif" w:eastAsia="Mangal"/>
      <w:sz w:val="24"/>
    </w:rPr>
  </w:style>
  <w:style w:type="paragraph" w:styleId="Xmsonormal">
    <w:name w:val="x_msonormal"/>
    <w:basedOn w:val="Normal"/>
    <w:qFormat/>
    <w:pPr>
      <w:suppressAutoHyphens w:val="false"/>
      <w:spacing w:lineRule="exact" w:line="240"/>
    </w:pPr>
    <w:rPr>
      <w:rFonts w:ascii="Times New Roman" w:hAnsi="Times New Roman" w:eastAsia="Times New Roman"/>
      <w:sz w:val="24"/>
    </w:rPr>
  </w:style>
  <w:style w:type="paragraph" w:styleId="Ttulo21">
    <w:name w:val="Título2"/>
    <w:basedOn w:val="Normal"/>
    <w:qFormat/>
    <w:pPr>
      <w:keepNext w:val="true"/>
      <w:spacing w:lineRule="exact" w:line="240" w:before="240" w:after="120"/>
    </w:pPr>
    <w:rPr>
      <w:rFonts w:ascii="Liberation Sans" w:hAnsi="Liberation Sans" w:eastAsia="Liberation Sans"/>
      <w:sz w:val="28"/>
    </w:rPr>
  </w:style>
  <w:style w:type="paragraph" w:styleId="CimTextoNormal">
    <w:name w:val="Cim_Texto_Normal"/>
    <w:basedOn w:val="Normal"/>
    <w:qFormat/>
    <w:pPr>
      <w:spacing w:lineRule="exact" w:line="360" w:before="120" w:after="240"/>
      <w:ind w:firstLine="709"/>
      <w:contextualSpacing/>
      <w:jc w:val="both"/>
    </w:pPr>
    <w:rPr/>
  </w:style>
  <w:style w:type="paragraph" w:styleId="Contedodetabela">
    <w:name w:val="Conteúdo de tabela"/>
    <w:basedOn w:val="Normal"/>
    <w:qFormat/>
    <w:pPr/>
    <w:rPr/>
  </w:style>
  <w:style w:type="paragraph" w:styleId="Notaderodap">
    <w:name w:val="Footnote Text"/>
    <w:basedOn w:val="Normal"/>
    <w:qFormat/>
    <w:pPr>
      <w:suppressLineNumbers/>
      <w:ind w:left="340" w:right="0" w:hanging="340"/>
    </w:pPr>
    <w:rPr>
      <w:sz w:val="20"/>
      <w:szCs w:val="20"/>
    </w:rPr>
  </w:style>
  <w:style w:type="paragraph" w:styleId="Normal1">
    <w:name w:val="Normal1"/>
    <w:qFormat/>
    <w:pPr>
      <w:widowControl w:val="false"/>
      <w:suppressAutoHyphens w:val="true"/>
      <w:bidi w:val="0"/>
      <w:spacing w:before="0" w:after="0"/>
      <w:jc w:val="left"/>
    </w:pPr>
    <w:rPr>
      <w:rFonts w:ascii="Liberation Serif;Times New Roma" w:hAnsi="Liberation Serif;Times New Roma" w:eastAsia="SimSun" w:cs="Mangal"/>
      <w:color w:val="00000A"/>
      <w:kern w:val="2"/>
      <w:sz w:val="22"/>
      <w:szCs w:val="22"/>
      <w:lang w:val="pt-BR" w:eastAsia="en-US" w:bidi="ar-SA"/>
    </w:rPr>
  </w:style>
  <w:style w:type="paragraph" w:styleId="Cabealho1">
    <w:name w:val="Cabeçalho1"/>
    <w:basedOn w:val="CabealhoeRodap"/>
    <w:qFormat/>
    <w:pPr>
      <w:widowControl w:val="false"/>
      <w:tabs>
        <w:tab w:val="clear" w:pos="708"/>
        <w:tab w:val="center" w:pos="5953" w:leader="none"/>
        <w:tab w:val="right" w:pos="11906" w:leader="none"/>
      </w:tabs>
      <w:suppressAutoHyphens w:val="true"/>
      <w:spacing w:lineRule="auto" w:line="276"/>
      <w:jc w:val="left"/>
    </w:pPr>
    <w:rPr>
      <w:rFonts w:ascii="Times New Roman" w:hAnsi="Times New Roman" w:eastAsia="Arial Unicode MS" w:cs="Tahoma"/>
      <w:color w:val="auto"/>
      <w:sz w:val="22"/>
      <w:szCs w:val="22"/>
      <w:lang w:val="ar-SA" w:eastAsia="zh-CN" w:bidi="ar-SA"/>
    </w:rPr>
  </w:style>
  <w:style w:type="numbering" w:styleId="NoList" w:default="1">
    <w:name w:val="No List"/>
    <w:uiPriority w:val="99"/>
    <w:semiHidden/>
    <w:unhideWhenUsed/>
    <w:qFormat/>
  </w:style>
  <w:style w:type="numbering" w:styleId="Semlista1" w:customStyle="1">
    <w:name w:val="Sem lista1"/>
    <w:uiPriority w:val="99"/>
    <w:semiHidden/>
    <w:unhideWhenUsed/>
    <w:qFormat/>
    <w:rsid w:val="00757293"/>
  </w:style>
  <w:style w:type="numbering" w:styleId="Edital" w:customStyle="1">
    <w:name w:val="Edital"/>
    <w:uiPriority w:val="99"/>
    <w:qFormat/>
    <w:rsid w:val="004a0025"/>
  </w:style>
  <w:style w:type="numbering" w:styleId="WW8Num2">
    <w:name w:val="WW8Num2"/>
    <w:qFormat/>
  </w:style>
  <w:style w:type="numbering" w:styleId="Semlista">
    <w:name w:val="Sem lista"/>
    <w:qFormat/>
  </w:style>
  <w:style w:type="numbering" w:styleId="WW8Num1">
    <w:name w:val="WW8Num1"/>
    <w:qFormat/>
  </w:style>
  <w:style w:type="numbering" w:styleId="WW8Num3">
    <w:name w:val="WW8Num3"/>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757293"/>
    <w:pPr>
      <w:spacing w:after="0" w:line="240" w:lineRule="auto"/>
    </w:pPr>
    <w:rPr>
      <w:lang w:eastAsia="pt-B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652630"/>
    <w:pPr>
      <w:spacing w:after="0" w:line="240" w:lineRule="auto"/>
    </w:pPr>
    <w:rPr>
      <w:lang w:val="en-US"/>
    </w:rPr>
    <w:tblPr>
      <w:tblCellMar>
        <w:top w:w="0" w:type="dxa"/>
        <w:left w:w="0" w:type="dxa"/>
        <w:bottom w:w="0" w:type="dxa"/>
        <w:right w:w="0" w:type="dxa"/>
      </w:tblCellMar>
    </w:tblPr>
  </w:style>
  <w:style w:type="table" w:customStyle="1" w:styleId="Tabelacomgrade3">
    <w:name w:val="Tabela com grade3"/>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elacomgrade4">
    <w:name w:val="Tabela com grade4"/>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SombreamentoClaro-nfase5">
    <w:name w:val="Light Shading Accent 5"/>
    <w:basedOn w:val="Tabelanormal"/>
    <w:uiPriority w:val="60"/>
    <w:rsid w:val="004a0025"/>
    <w:pPr>
      <w:spacing w:after="0" w:line="240" w:lineRule="auto"/>
    </w:pPr>
    <w:rPr>
      <w:rFonts w:asciiTheme="minorHAnsi" w:hAnsiTheme="minorHAnsi" w:cstheme="minorBidi"/>
      <w:color w:val="2E74B5" w:themeColor="accent5" w:themeShade="bf"/>
    </w:rPr>
    <w:tblPr>
      <w:tblStyleRowBandSize w:val="1"/>
      <w:tblStyleColBandSize w:val="1"/>
      <w:tblBorders>
        <w:top w:val="single" w:color="5B9BD5" w:themeColor="accent5" w:sz="8" w:space="0"/>
        <w:bottom w:val="single" w:color="5B9BD5" w:themeColor="accent5" w:sz="8" w:space="0"/>
      </w:tblBorders>
    </w:tblPr>
    <w:tblStylePr w:type="fir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la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customStyle="1" w:styleId="TabeladeGrade5Escura-nfase31">
    <w:name w:val="Tabela de Grade 5 Escura - Ênfase 31"/>
    <w:basedOn w:val="Tabelanormal"/>
    <w:uiPriority w:val="50"/>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DEDED"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elaSimples31">
    <w:name w:val="Tabela Simples 31"/>
    <w:basedOn w:val="Tabelanormal"/>
    <w:uiPriority w:val="43"/>
    <w:rsid w:val="004a0025"/>
    <w:pPr>
      <w:spacing w:after="0" w:line="240" w:lineRule="auto"/>
    </w:pPr>
    <w:rPr>
      <w:rFonts w:asciiTheme="minorHAnsi" w:hAnsiTheme="minorHAnsi" w:eastAsiaTheme="minorEastAsia" w:cstheme="minorBidi"/>
      <w:sz w:val="21"/>
      <w:szCs w:val="21"/>
    </w:rPr>
    <w:tblPr>
      <w:tblStyleRowBandSize w:val="1"/>
      <w:tblStyleColBandSize w:val="1"/>
    </w:tblPr>
    <w:tblStylePr w:type="firstRow">
      <w:rPr>
        <w:b/>
        <w:bCs/>
        <w:caps/>
      </w:rPr>
      <w:tblPr/>
      <w:tcPr>
        <w:tcBorders>
          <w:bottom w:val="single" w:color="7F7F7F" w:themeColor="text1"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Fepese">
    <w:name w:val="Fepese"/>
    <w:basedOn w:val="Tabelanormal"/>
    <w:uiPriority w:val="44"/>
    <w:rsid w:val="004a0025"/>
    <w:pPr>
      <w:spacing w:after="0" w:line="240" w:lineRule="auto"/>
    </w:pPr>
    <w:rPr>
      <w:rFonts w:eastAsiaTheme="minorEastAsia" w:cstheme="minorBidi"/>
      <w:sz w:val="20"/>
      <w:szCs w:val="21"/>
    </w:rPr>
    <w:tblPr>
      <w:tblStyleRowBandSize w:val="1"/>
      <w:tblStyleColBandSize w:val="1"/>
      <w:tblBorders>
        <w:top w:val="single" w:color="auto" w:sz="8" w:space="0"/>
        <w:bottom w:val="single" w:color="auto" w:sz="8" w:space="0"/>
        <w:insideH w:val="single" w:color="auto" w:sz="8" w:space="0"/>
      </w:tblBorders>
    </w:tblPr>
    <w:tblStylePr w:type="firstRow">
      <w:pPr>
        <w:jc w:val="left"/>
      </w:pPr>
      <w:rPr>
        <w:b/>
        <w:bCs/>
      </w:rPr>
      <w:tblPr/>
      <w:tcPr>
        <w:tcBorders>
          <w:top w:val="single" w:color="auto" w:sz="8" w:space="0"/>
          <w:bottom w:val="nil"/>
        </w:tcBorders>
        <w:shd w:val="clear" w:color="auto" w:fill="D9D9D9" w:themeFill="background1" w:themeFillShade="d9"/>
      </w:tcPr>
    </w:tblStylePr>
    <w:tblStylePr w:type="lastRow">
      <w:rPr>
        <w:b/>
        <w:bCs/>
      </w:rPr>
      <w:tblPr/>
      <w:tcPr>
        <w:shd w:val="clear" w:color="auto" w:fill="D9D9D9" w:themeFill="background1" w:themeFillShade="d9"/>
      </w:tcPr>
    </w:tblStylePr>
    <w:tblStylePr w:type="firstCol">
      <w:rPr>
        <w:b/>
        <w:bCs/>
      </w:rPr>
      <w:tblPr/>
    </w:tblStylePr>
    <w:tblStylePr w:type="lastCol">
      <w:rPr>
        <w:b/>
        <w:bCs/>
      </w:rPr>
      <w:tblPr/>
    </w:tblStylePr>
    <w:tblStylePr w:type="band1Horz">
      <w:tblPr/>
      <w:tcPr>
        <w:shd w:val="clear" w:color="auto" w:fill="F2F2F2" w:themeFill="background1" w:themeFillShade="f2"/>
      </w:tcPr>
    </w:tblStylePr>
  </w:style>
  <w:style w:type="table" w:customStyle="1" w:styleId="TabelaSimples11">
    <w:name w:val="Tabela Simples 11"/>
    <w:basedOn w:val="Tabelanormal"/>
    <w:uiPriority w:val="41"/>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tblStylePr w:type="firstRow">
      <w:rPr>
        <w:b/>
        <w:bCs/>
      </w:rPr>
      <w:tblPr/>
    </w:tblStylePr>
    <w:tblStylePr w:type="lastRow">
      <w:rPr>
        <w:b/>
        <w:bCs/>
      </w:rPr>
      <w:tblPr/>
      <w:tcPr>
        <w:tcBorders>
          <w:top w:val="double" w:color="BFBFBF" w:themeColor="background1" w:sz="4" w:space="0"/>
        </w:tcBorders>
      </w:tc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ombreamentoClaro">
    <w:name w:val="Light Shading"/>
    <w:basedOn w:val="Tabelanormal"/>
    <w:uiPriority w:val="60"/>
    <w:rsid w:val="004a0025"/>
    <w:pPr>
      <w:spacing w:after="0" w:line="240" w:lineRule="auto"/>
    </w:pPr>
    <w:rPr>
      <w:rFonts w:asciiTheme="minorHAnsi" w:hAnsiTheme="minorHAnsi" w:eastAsiaTheme="minorEastAsia" w:cstheme="minorBidi"/>
      <w:color w:val="000000" w:themeColor="text1" w:themeShade="bf"/>
      <w:sz w:val="21"/>
      <w:szCs w:val="21"/>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dia1">
    <w:name w:val="Medium List 1"/>
    <w:basedOn w:val="Tabelanormal"/>
    <w:uiPriority w:val="65"/>
    <w:rsid w:val="004a0025"/>
    <w:pPr>
      <w:spacing w:after="0" w:line="240" w:lineRule="auto"/>
    </w:pPr>
    <w:rPr>
      <w:rFonts w:asciiTheme="minorHAnsi" w:hAnsiTheme="minorHAnsi" w:eastAsiaTheme="minorEastAsia" w:cstheme="minorBidi"/>
      <w:color w:val="000000" w:themeColor="text1"/>
      <w:sz w:val="21"/>
      <w:szCs w:val="2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eladeLista2-nfase41">
    <w:name w:val="Tabela de Lista 2 - Ênfase 41"/>
    <w:basedOn w:val="Tabelanormal"/>
    <w:uiPriority w:val="47"/>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FFD966" w:themeColor="accent4" w:themeTint="99" w:sz="4" w:space="0"/>
        <w:bottom w:val="single" w:color="FFD966" w:themeColor="accent4" w:themeTint="99" w:sz="4" w:space="0"/>
        <w:insideH w:val="single" w:color="FFD966" w:themeColor="accent4"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Lista41">
    <w:name w:val="Tabela de Lista 41"/>
    <w:basedOn w:val="Tabelanormal"/>
    <w:uiPriority w:val="49"/>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Grade2-nfase11">
    <w:name w:val="Tabela de Grade 2 - Ênfase 11"/>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blPr/>
      <w:tcPr>
        <w:tcBorders>
          <w:top w:val="nil"/>
          <w:bottom w:val="single" w:color="8EAADB" w:themeColor="accent1" w:sz="12" w:space="0"/>
          <w:insideH w:val="nil"/>
          <w:insideV w:val="nil"/>
        </w:tcBorders>
        <w:shd w:val="clear" w:color="auto" w:fill="FFFFFF" w:themeFill="background1"/>
      </w:tcPr>
    </w:tblStylePr>
    <w:tblStylePr w:type="lastRow">
      <w:rPr>
        <w:b/>
        <w:bCs/>
      </w:rPr>
      <w:tblPr/>
      <w:tcPr>
        <w:tcBorders>
          <w:top w:val="double" w:color="8EAADB" w:themeColor="accent1"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eladeGrade41">
    <w:name w:val="Tabela de Grade 41"/>
    <w:basedOn w:val="Tabelanormal"/>
    <w:uiPriority w:val="49"/>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
    <w:name w:val="Tabela com grade1"/>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elacomgrade2">
    <w:name w:val="Tabela com grade2"/>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SombreamentoClaro1">
    <w:name w:val="Sombreamento Claro1"/>
    <w:basedOn w:val="Tabelanormal"/>
    <w:uiPriority w:val="60"/>
    <w:rsid w:val="004a0025"/>
    <w:pPr>
      <w:spacing w:after="0" w:line="240" w:lineRule="auto"/>
    </w:pPr>
    <w:rPr>
      <w:rFonts w:asciiTheme="minorHAnsi" w:hAnsiTheme="minorHAnsi" w:eastAsiaTheme="minorEastAsia" w:cstheme="minorBidi"/>
      <w:color w:val="000000" w:themeColor="text1" w:themeShade="bf"/>
      <w:sz w:val="21"/>
      <w:szCs w:val="21"/>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staMdia11">
    <w:name w:val="Lista Média 11"/>
    <w:basedOn w:val="Tabelanormal"/>
    <w:uiPriority w:val="65"/>
    <w:rsid w:val="004a0025"/>
    <w:pPr>
      <w:spacing w:after="0" w:line="240" w:lineRule="auto"/>
    </w:pPr>
    <w:rPr>
      <w:rFonts w:asciiTheme="minorHAnsi" w:hAnsiTheme="minorHAnsi" w:eastAsiaTheme="minorEastAsia" w:cstheme="minorBidi"/>
      <w:color w:val="000000" w:themeColor="text1"/>
      <w:sz w:val="21"/>
      <w:szCs w:val="2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eladeGrade42">
    <w:name w:val="Tabela de Grade 42"/>
    <w:basedOn w:val="Tabelanormal"/>
    <w:uiPriority w:val="49"/>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ombreamentoClaro-nfase1">
    <w:name w:val="Light Shading Accent 1"/>
    <w:basedOn w:val="Tabelanormal"/>
    <w:uiPriority w:val="60"/>
    <w:rsid w:val="004a0025"/>
    <w:pPr>
      <w:spacing w:after="0" w:line="240" w:lineRule="auto"/>
    </w:pPr>
    <w:rPr>
      <w:rFonts w:asciiTheme="minorHAnsi" w:hAnsiTheme="minorHAnsi" w:cstheme="minorBidi"/>
      <w:color w:val="2F5496" w:themeColor="accent1" w:themeShade="bf"/>
    </w:rPr>
    <w:tblPr>
      <w:tblStyleRowBandSize w:val="1"/>
      <w:tblStyleColBandSize w:val="1"/>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customStyle="1" w:styleId="TabeladeGrade6Colorida1">
    <w:name w:val="Tabela de Grade 6 Colorida1"/>
    <w:basedOn w:val="Tabelanormal"/>
    <w:uiPriority w:val="51"/>
    <w:rsid w:val="004a0025"/>
    <w:pPr>
      <w:spacing w:after="0" w:line="240" w:lineRule="auto"/>
    </w:pPr>
    <w:rPr>
      <w:rFonts w:asciiTheme="minorHAnsi" w:hAnsiTheme="minorHAnsi" w:cstheme="minorBidi"/>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000000" w:themeColor="text1" w:sz="12" w:space="0"/>
        </w:tcBorders>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21">
    <w:name w:val="Tabela de Lista 21"/>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aMdia1-nfase6">
    <w:name w:val="Medium List 1 Accent 6"/>
    <w:basedOn w:val="Tabelanormal"/>
    <w:uiPriority w:val="65"/>
    <w:rsid w:val="004a0025"/>
    <w:pPr>
      <w:spacing w:after="0" w:line="240" w:lineRule="auto"/>
    </w:pPr>
    <w:rPr>
      <w:rFonts w:asciiTheme="minorHAnsi" w:hAnsiTheme="minorHAnsi" w:cstheme="minorBidi"/>
      <w:color w:val="000000" w:themeColor="text1"/>
    </w:rPr>
    <w:tblPr>
      <w:tblStyleRowBandSize w:val="1"/>
      <w:tblStyleColBandSize w:val="1"/>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blPr/>
      <w:tcPr>
        <w:tcBorders>
          <w:top w:val="nil"/>
          <w:bottom w:val="single" w:color="70AD47" w:themeColor="accent6" w:sz="8" w:space="0"/>
        </w:tcBorders>
      </w:tcPr>
    </w:tblStylePr>
    <w:tblStylePr w:type="lastRow">
      <w:rPr>
        <w:b/>
        <w:bCs/>
        <w:color w:val="44546A" w:themeColor="text2"/>
      </w:rPr>
      <w:tblPr/>
      <w:tcPr>
        <w:tcBorders>
          <w:top w:val="single" w:color="70AD47" w:themeColor="accent6" w:sz="8" w:space="0"/>
          <w:bottom w:val="single" w:color="70AD47" w:themeColor="accent6" w:sz="8" w:space="0"/>
        </w:tcBorders>
      </w:tcPr>
    </w:tblStylePr>
    <w:tblStylePr w:type="firstCol">
      <w:rPr>
        <w:b/>
        <w:bCs/>
      </w:rPr>
      <w:tblPr/>
    </w:tblStylePr>
    <w:tblStylePr w:type="lastCol">
      <w:rPr>
        <w:b/>
        <w:bCs/>
      </w:rPr>
      <w:tblPr/>
      <w:tcPr>
        <w:tcBorders>
          <w:top w:val="single" w:color="70AD47" w:themeColor="accent6" w:sz="8" w:space="0"/>
          <w:bottom w:val="single" w:color="70AD47" w:themeColor="accent6" w:sz="8" w:space="0"/>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TabeladeLista7Colorida-nfase51">
    <w:name w:val="Tabela de Lista 7 Colorida - Ênfase 51"/>
    <w:basedOn w:val="Tabelanormal"/>
    <w:uiPriority w:val="52"/>
    <w:rsid w:val="004a0025"/>
    <w:pPr>
      <w:spacing w:after="0" w:line="240" w:lineRule="auto"/>
    </w:pPr>
    <w:rPr>
      <w:rFonts w:asciiTheme="minorHAnsi" w:hAnsiTheme="minorHAnsi" w:cstheme="minorBidi"/>
      <w:color w:val="2E74B5" w:themeColor="accent5" w:themeShade="bf"/>
    </w:rPr>
    <w:tblPr>
      <w:tblStyleRowBandSize w:val="1"/>
      <w:tblStyleColBandSize w:val="1"/>
    </w:tblPr>
    <w:tblStylePr w:type="firstRow">
      <w:rPr>
        <w:rFonts w:asciiTheme="majorHAnsi" w:hAnsiTheme="majorHAnsi" w:eastAsiaTheme="majorEastAsia" w:cstheme="majorBidi"/>
        <w:i/>
        <w:sz w:val="26"/>
      </w:rPr>
      <w:tblPr/>
      <w:tcPr>
        <w:tcBorders>
          <w:bottom w:val="single" w:color="5B9BD5" w:themeColor="accent5"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5B9BD5" w:themeColor="accent5"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5B9BD5" w:themeColor="accent5"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5B9BD5" w:themeColor="accent5" w:sz="4" w:space="0"/>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2-nfase51">
    <w:name w:val="Tabela de Lista 2 - Ênfase 51"/>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9CC2E5" w:themeColor="accent5" w:themeTint="99" w:sz="4" w:space="0"/>
        <w:bottom w:val="single" w:color="9CC2E5" w:themeColor="accent5" w:themeTint="99" w:sz="4" w:space="0"/>
        <w:insideH w:val="single" w:color="9CC2E5" w:themeColor="accent5"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eladeLista22">
    <w:name w:val="Tabela de Lista 22"/>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21">
    <w:name w:val="Tabela com grade21"/>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ListaClara-nfase1">
    <w:name w:val="Light List Accent 1"/>
    <w:basedOn w:val="Tabelanormal"/>
    <w:uiPriority w:val="61"/>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tcBorders>
      </w:tcPr>
    </w:tblStylePr>
    <w:tblStylePr w:type="firstCol">
      <w:rPr>
        <w:b/>
        <w:bCs/>
      </w:rPr>
      <w:tblPr/>
    </w:tblStylePr>
    <w:tblStylePr w:type="lastCol">
      <w:rPr>
        <w:b/>
        <w:bCs/>
      </w:rPr>
      <w:tbl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style>
  <w:style w:type="table" w:customStyle="1" w:styleId="TableGrid">
    <w:name w:val="TableGrid"/>
    <w:rsid w:val="004a0025"/>
    <w:pPr>
      <w:spacing w:after="0" w:line="240" w:lineRule="auto"/>
      <w:jc w:val="both"/>
    </w:pPr>
    <w:rPr>
      <w:rFonts w:asciiTheme="minorHAnsi" w:hAnsiTheme="minorHAnsi" w:eastAsiaTheme="minorEastAsia" w:cstheme="minorBidi"/>
      <w:lang w:eastAsia="pt-BR"/>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image" Target="media/image1.png"/><Relationship Id="rId5" Type="http://schemas.openxmlformats.org/officeDocument/2006/relationships/hyperlink" Target="mailto:compras@lindoiadosul.sc.gov.br" TargetMode="External"/><Relationship Id="rId6" Type="http://schemas.openxmlformats.org/officeDocument/2006/relationships/hyperlink" Target="mailto:compras2@lindoiadosul.sc.gov.br" TargetMode="External"/><Relationship Id="rId7" Type="http://schemas.openxmlformats.org/officeDocument/2006/relationships/hyperlink" Target="https://lindoiadosul.sc.gov.br/licitacoes/" TargetMode="External"/><Relationship Id="rId8" Type="http://schemas.openxmlformats.org/officeDocument/2006/relationships/hyperlink" Target="http://www.portaldecompraspublicas.com.br/" TargetMode="External"/><Relationship Id="rId9" Type="http://schemas.openxmlformats.org/officeDocument/2006/relationships/hyperlink" Target="../../../2022/Edital/PMLDS/PL%2050-2022%20EDITAL%20PREG&#195;O%20ELETR&#212;NICO%20motoniveladora/www.portaldecompraspublicas.com.br" TargetMode="External"/><Relationship Id="rId10" Type="http://schemas.openxmlformats.org/officeDocument/2006/relationships/hyperlink" Target="https://contas.tcu.gov.br/ords/f?p=704144:3:102385750945059::NO:3,4,6" TargetMode="External"/><Relationship Id="rId11" Type="http://schemas.openxmlformats.org/officeDocument/2006/relationships/hyperlink" Target="https://www.cnj.jus.br/improbidade_adm/consultar_requerido.php" TargetMode="External"/><Relationship Id="rId12" Type="http://schemas.openxmlformats.org/officeDocument/2006/relationships/hyperlink" Target="https://portaldatransparencia.gov.br/sancoes/consulta?ordenarPor=nomeSancionado&amp;direcao=asc" TargetMode="External"/><Relationship Id="rId13" Type="http://schemas.openxmlformats.org/officeDocument/2006/relationships/hyperlink" Target="mailto:licita@lindoiadosul.sc.gov.br"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oter" Target="footer3.xml"/><Relationship Id="rId20" Type="http://schemas.openxmlformats.org/officeDocument/2006/relationships/footnotes" Target="footnotes.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image" Target="media/image4.png"/>
</Relationships>
</file>

<file path=word/_rels/footer3.xml.rels><?xml version="1.0" encoding="UTF-8"?>
<Relationships xmlns="http://schemas.openxmlformats.org/package/2006/relationships"><Relationship Id="rId1" Type="http://schemas.openxmlformats.org/officeDocument/2006/relationships/image" Target="media/image4.png"/>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3.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023E52-997C-4D76-A058-BF2C7FED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25097</TotalTime>
  <Application>LibreOffice/7.4.2.3$Windows_X86_64 LibreOffice_project/382eef1f22670f7f4118c8c2dd222ec7ad009daf</Application>
  <AppVersion>15.0000</AppVersion>
  <Pages>68</Pages>
  <Words>18971</Words>
  <Characters>108583</Characters>
  <CharactersWithSpaces>127064</CharactersWithSpaces>
  <Paragraphs>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2024-11-12T16:54:00Z</dcterms:created>
  <dc:creator>EDULDS</dc:creator>
  <dc:description/>
  <dc:language>pt-BR</dc:language>
  <cp:lastModifiedBy/>
  <cp:lastPrinted>2024-10-25T15:08:16Z</cp:lastPrinted>
  <dcterms:modified xsi:type="dcterms:W3CDTF">2024-11-13T15:09:24Z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