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5043FA">
      <w:pPr>
        <w:widowControl/>
        <w:suppressAutoHyphens/>
        <w:bidi w:val="0"/>
        <w:spacing w:before="0" w:after="0" w:line="300" w:lineRule="auto"/>
        <w:ind w:left="0" w:right="0" w:firstLine="0"/>
        <w:jc w:val="center"/>
        <w:rPr>
          <w:rFonts w:ascii="Arial" w:hAnsi="Arial"/>
          <w:b/>
          <w:bCs/>
          <w:i w:val="0"/>
          <w:iCs w:val="0"/>
          <w:sz w:val="21"/>
          <w:szCs w:val="21"/>
        </w:rPr>
      </w:pPr>
    </w:p>
    <w:p w14:paraId="50F0ED76">
      <w:pPr>
        <w:widowControl/>
        <w:suppressAutoHyphens/>
        <w:bidi w:val="0"/>
        <w:spacing w:before="0" w:after="0" w:line="300" w:lineRule="auto"/>
        <w:ind w:left="0" w:right="0" w:firstLine="0"/>
        <w:jc w:val="center"/>
      </w:pPr>
      <w:r>
        <w:rPr>
          <w:rFonts w:ascii="Arial" w:hAnsi="Arial"/>
          <w:b/>
          <w:bCs/>
          <w:i w:val="0"/>
          <w:iCs w:val="0"/>
          <w:sz w:val="21"/>
          <w:szCs w:val="21"/>
        </w:rPr>
        <w:t xml:space="preserve"> EDITAL</w:t>
      </w:r>
    </w:p>
    <w:p w14:paraId="336D8DB6">
      <w:pPr>
        <w:widowControl/>
        <w:suppressAutoHyphens/>
        <w:bidi w:val="0"/>
        <w:spacing w:before="0" w:after="0" w:line="300" w:lineRule="auto"/>
        <w:ind w:left="0" w:right="0" w:firstLine="0"/>
        <w:jc w:val="center"/>
        <w:rPr>
          <w:rFonts w:ascii="Arial" w:hAnsi="Arial"/>
          <w:sz w:val="21"/>
          <w:szCs w:val="21"/>
        </w:rPr>
      </w:pPr>
    </w:p>
    <w:p w14:paraId="58A2C2EA">
      <w:pPr>
        <w:spacing w:before="0" w:after="0" w:line="300" w:lineRule="auto"/>
        <w:ind w:left="0" w:right="0" w:firstLine="0"/>
        <w:jc w:val="center"/>
        <w:rPr>
          <w:rFonts w:ascii="Arial" w:hAnsi="Arial" w:cs="Arial"/>
          <w:b/>
          <w:bCs/>
          <w:i w:val="0"/>
          <w:iCs w:val="0"/>
          <w:color w:val="000000"/>
          <w:sz w:val="21"/>
          <w:szCs w:val="21"/>
        </w:rPr>
      </w:pPr>
    </w:p>
    <w:p w14:paraId="372DB59C">
      <w:pPr>
        <w:widowControl/>
        <w:suppressAutoHyphens/>
        <w:bidi w:val="0"/>
        <w:spacing w:before="0" w:after="0" w:line="300" w:lineRule="auto"/>
        <w:ind w:left="0" w:right="0" w:firstLine="0"/>
        <w:jc w:val="center"/>
        <w:rPr>
          <w:rFonts w:ascii="Arial" w:hAnsi="Arial"/>
          <w:sz w:val="21"/>
          <w:szCs w:val="21"/>
        </w:rPr>
      </w:pPr>
    </w:p>
    <w:p w14:paraId="4EF889D9">
      <w:pPr>
        <w:pStyle w:val="3"/>
        <w:widowControl/>
        <w:suppressAutoHyphens/>
        <w:bidi w:val="0"/>
        <w:spacing w:before="0" w:after="0" w:line="300" w:lineRule="auto"/>
        <w:ind w:left="0" w:right="0" w:firstLine="0"/>
        <w:jc w:val="both"/>
      </w:pPr>
      <w:r>
        <w:rPr>
          <w:rFonts w:ascii="Arial" w:hAnsi="Arial"/>
          <w:b/>
          <w:bCs/>
          <w:i w:val="0"/>
          <w:iCs w:val="0"/>
          <w:sz w:val="21"/>
          <w:szCs w:val="21"/>
        </w:rPr>
        <w:t>PROCESSO LICITATÓRIO Nº 144/2024</w:t>
      </w:r>
    </w:p>
    <w:p w14:paraId="0FF4C6E9">
      <w:pPr>
        <w:pStyle w:val="3"/>
        <w:widowControl/>
        <w:suppressAutoHyphens/>
        <w:bidi w:val="0"/>
        <w:spacing w:before="0" w:after="0" w:line="300" w:lineRule="auto"/>
        <w:ind w:left="0" w:right="0" w:firstLine="0"/>
        <w:jc w:val="both"/>
      </w:pPr>
      <w:r>
        <w:rPr>
          <w:rFonts w:ascii="Arial" w:hAnsi="Arial"/>
          <w:b/>
          <w:bCs/>
          <w:i w:val="0"/>
          <w:iCs w:val="0"/>
          <w:sz w:val="21"/>
          <w:szCs w:val="21"/>
        </w:rPr>
        <w:t>EDITAL DE PREGÃO</w:t>
      </w:r>
      <w:r>
        <w:rPr>
          <w:rFonts w:ascii="Arial" w:hAnsi="Arial"/>
          <w:b/>
          <w:bCs/>
          <w:i w:val="0"/>
          <w:iCs w:val="0"/>
          <w:strike w:val="0"/>
          <w:dstrike w:val="0"/>
          <w:color w:val="000000"/>
          <w:sz w:val="21"/>
          <w:szCs w:val="21"/>
          <w:u w:val="none"/>
        </w:rPr>
        <w:t xml:space="preserve"> ELETRÔNICO Nº 23/2024</w:t>
      </w:r>
    </w:p>
    <w:p w14:paraId="3E12B200">
      <w:pPr>
        <w:widowControl/>
        <w:suppressAutoHyphens/>
        <w:bidi w:val="0"/>
        <w:spacing w:before="0" w:after="0" w:line="300" w:lineRule="auto"/>
        <w:ind w:left="0" w:right="0" w:firstLine="0"/>
        <w:jc w:val="both"/>
        <w:rPr>
          <w:rFonts w:ascii="Arial" w:hAnsi="Arial"/>
          <w:sz w:val="21"/>
          <w:szCs w:val="21"/>
        </w:rPr>
      </w:pPr>
    </w:p>
    <w:p w14:paraId="4D35A4ED">
      <w:pPr>
        <w:widowControl/>
        <w:suppressAutoHyphens/>
        <w:bidi w:val="0"/>
        <w:spacing w:before="0" w:after="0" w:line="360" w:lineRule="auto"/>
        <w:ind w:left="0" w:right="0" w:firstLine="0"/>
        <w:jc w:val="both"/>
        <w:rPr>
          <w:rFonts w:ascii="Arial" w:hAnsi="Arial"/>
          <w:sz w:val="21"/>
          <w:szCs w:val="21"/>
        </w:rPr>
      </w:pPr>
    </w:p>
    <w:p w14:paraId="5FA0EEE1">
      <w:pPr>
        <w:widowControl/>
        <w:suppressAutoHyphens/>
        <w:bidi w:val="0"/>
        <w:spacing w:before="0" w:after="0" w:line="360" w:lineRule="auto"/>
        <w:ind w:left="0" w:right="0" w:firstLine="0"/>
        <w:jc w:val="both"/>
      </w:pPr>
      <w:r>
        <w:rPr>
          <w:rFonts w:ascii="Arial" w:hAnsi="Arial" w:cs="Arial"/>
          <w:sz w:val="21"/>
          <w:szCs w:val="21"/>
        </w:rPr>
        <w:t xml:space="preserve">O Município de Lindóia do Sul, pessoa jurídica de direito público interno, inscrito no CNPJ 78.510.112/0001-80, com sede na Rua Tamandaré, nº 98, Centro, Lindóia do Sul, SC, CEP 89.735-000, através de seu Prefeito Municipal em exercício, Senhor </w:t>
      </w:r>
      <w:r>
        <w:rPr>
          <w:rFonts w:ascii="Arial" w:hAnsi="Arial" w:cs="Arial"/>
          <w:b/>
          <w:sz w:val="21"/>
          <w:szCs w:val="21"/>
        </w:rPr>
        <w:t>PEDRO ARI PARIZOTTO</w:t>
      </w:r>
      <w:r>
        <w:rPr>
          <w:rFonts w:ascii="Arial" w:hAnsi="Arial" w:cs="Arial"/>
          <w:color w:val="000000"/>
          <w:sz w:val="21"/>
          <w:szCs w:val="21"/>
        </w:rPr>
        <w:t xml:space="preserve">, no uso de suas atribuições, torna público, para conhecimento dos interessados, que realizará licitação na modalidade </w:t>
      </w:r>
      <w:r>
        <w:rPr>
          <w:rFonts w:ascii="Arial" w:hAnsi="Arial" w:cs="Arial"/>
          <w:b/>
          <w:bCs/>
          <w:color w:val="000000"/>
          <w:sz w:val="21"/>
          <w:szCs w:val="21"/>
        </w:rPr>
        <w:t>PREGÃO</w:t>
      </w:r>
      <w:r>
        <w:rPr>
          <w:rFonts w:ascii="Arial" w:hAnsi="Arial" w:cs="Arial"/>
          <w:b/>
          <w:color w:val="000000"/>
          <w:sz w:val="21"/>
          <w:szCs w:val="21"/>
        </w:rPr>
        <w:t xml:space="preserve">, </w:t>
      </w:r>
      <w:r>
        <w:rPr>
          <w:rFonts w:ascii="Arial" w:hAnsi="Arial" w:cs="Arial"/>
          <w:color w:val="000000"/>
          <w:sz w:val="21"/>
          <w:szCs w:val="21"/>
        </w:rPr>
        <w:t>sob a forma</w:t>
      </w:r>
      <w:r>
        <w:rPr>
          <w:rFonts w:ascii="Arial" w:hAnsi="Arial" w:cs="Arial"/>
          <w:b/>
          <w:color w:val="000000"/>
          <w:sz w:val="21"/>
          <w:szCs w:val="21"/>
        </w:rPr>
        <w:t xml:space="preserve"> ELETRÔNICA</w:t>
      </w:r>
      <w:r>
        <w:rPr>
          <w:rFonts w:ascii="Arial" w:hAnsi="Arial" w:cs="Arial"/>
          <w:color w:val="000000"/>
          <w:sz w:val="21"/>
          <w:szCs w:val="21"/>
        </w:rPr>
        <w:t xml:space="preserve">, auxiliado pelo </w:t>
      </w:r>
      <w:r>
        <w:rPr>
          <w:rFonts w:ascii="Arial" w:hAnsi="Arial" w:cs="Arial"/>
          <w:b/>
          <w:bCs/>
          <w:color w:val="000000"/>
          <w:sz w:val="21"/>
          <w:szCs w:val="21"/>
        </w:rPr>
        <w:t>SISTEMA DE REGISTRO DE PREÇOS</w:t>
      </w:r>
      <w:r>
        <w:rPr>
          <w:rFonts w:ascii="Arial" w:hAnsi="Arial" w:cs="Arial"/>
          <w:color w:val="000000"/>
          <w:sz w:val="21"/>
          <w:szCs w:val="21"/>
        </w:rPr>
        <w:t xml:space="preserve"> para eventual contratação, com fornecimento parcelado do objeto abaixo indicado, através do site </w:t>
      </w:r>
      <w:r>
        <w:fldChar w:fldCharType="begin"/>
      </w:r>
      <w:r>
        <w:instrText xml:space="preserve"> HYPERLINK "http://www.portaldecompraspublicas.com.br/" \h </w:instrText>
      </w:r>
      <w:r>
        <w:fldChar w:fldCharType="separate"/>
      </w:r>
      <w:r>
        <w:rPr>
          <w:rStyle w:val="19"/>
          <w:rFonts w:ascii="Arial" w:hAnsi="Arial" w:cs="Arial"/>
          <w:sz w:val="21"/>
          <w:szCs w:val="21"/>
        </w:rPr>
        <w:t>www.portaldecompraspublicas.com.br</w:t>
      </w:r>
      <w:r>
        <w:rPr>
          <w:rStyle w:val="19"/>
          <w:rFonts w:ascii="Arial" w:hAnsi="Arial" w:cs="Arial"/>
          <w:sz w:val="21"/>
          <w:szCs w:val="21"/>
        </w:rPr>
        <w:fldChar w:fldCharType="end"/>
      </w:r>
      <w:r>
        <w:rPr>
          <w:rFonts w:ascii="Arial" w:hAnsi="Arial" w:cs="Arial"/>
          <w:color w:val="000000"/>
          <w:sz w:val="21"/>
          <w:szCs w:val="21"/>
        </w:rPr>
        <w:t>, em conformidade com as condições do Edital, que rege este pregão, nas disposições da Lei Federal nº 14.133, de 01 de abril de 2021 e Decreto Municipal nº 4.072 de 11 de janeiro de 2024.</w:t>
      </w:r>
    </w:p>
    <w:p w14:paraId="78840E6C">
      <w:pPr>
        <w:widowControl/>
        <w:suppressAutoHyphens/>
        <w:bidi w:val="0"/>
        <w:spacing w:before="0" w:after="0" w:line="360" w:lineRule="auto"/>
        <w:ind w:left="0" w:right="0" w:firstLine="0"/>
        <w:jc w:val="both"/>
        <w:rPr>
          <w:rFonts w:ascii="Arial" w:hAnsi="Arial" w:cs="Arial"/>
          <w:color w:val="000000"/>
          <w:sz w:val="21"/>
          <w:szCs w:val="21"/>
        </w:rPr>
      </w:pPr>
    </w:p>
    <w:p w14:paraId="239AA3B5">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 xml:space="preserve">SISTEMA: </w:t>
      </w:r>
      <w:r>
        <w:rPr>
          <w:rFonts w:ascii="Arial" w:hAnsi="Arial" w:cs="Arial"/>
          <w:b/>
          <w:bCs/>
          <w:strike w:val="0"/>
          <w:dstrike w:val="0"/>
          <w:color w:val="000000"/>
          <w:sz w:val="21"/>
          <w:szCs w:val="21"/>
          <w:u w:val="none"/>
        </w:rPr>
        <w:t>REGISTRO DE PREÇOS</w:t>
      </w:r>
      <w:r>
        <w:rPr>
          <w:rFonts w:ascii="Arial" w:hAnsi="Arial" w:cs="Arial"/>
          <w:b w:val="0"/>
          <w:bCs/>
          <w:strike w:val="0"/>
          <w:dstrike w:val="0"/>
          <w:color w:val="000000"/>
          <w:sz w:val="21"/>
          <w:szCs w:val="21"/>
          <w:u w:val="none"/>
        </w:rPr>
        <w:t xml:space="preserve"> </w:t>
      </w:r>
    </w:p>
    <w:p w14:paraId="47BC659D">
      <w:pPr>
        <w:pStyle w:val="398"/>
        <w:spacing w:before="0" w:after="0" w:line="360" w:lineRule="auto"/>
        <w:ind w:left="0" w:right="0" w:firstLine="0"/>
        <w:rPr>
          <w:rFonts w:ascii="Arial" w:hAnsi="Arial"/>
          <w:sz w:val="21"/>
          <w:szCs w:val="21"/>
        </w:rPr>
      </w:pPr>
      <w:r>
        <w:rPr>
          <w:rFonts w:ascii="Arial" w:hAnsi="Arial"/>
          <w:b/>
          <w:bCs/>
          <w:strike w:val="0"/>
          <w:dstrike w:val="0"/>
          <w:color w:val="000000"/>
          <w:sz w:val="21"/>
          <w:szCs w:val="21"/>
          <w:u w:val="none"/>
        </w:rPr>
        <w:t xml:space="preserve">CRITÉRIO DE JULGAMENTO: </w:t>
      </w:r>
      <w:r>
        <w:rPr>
          <w:rFonts w:ascii="Arial" w:hAnsi="Arial"/>
          <w:b w:val="0"/>
          <w:bCs/>
          <w:strike w:val="0"/>
          <w:dstrike w:val="0"/>
          <w:color w:val="000000"/>
          <w:sz w:val="21"/>
          <w:szCs w:val="21"/>
          <w:u w:val="none"/>
        </w:rPr>
        <w:t>Menor preço por Item</w:t>
      </w:r>
    </w:p>
    <w:p w14:paraId="5589B7B1">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RECEBIMENTO DAS PROPOSTAS</w:t>
      </w:r>
      <w:r>
        <w:rPr>
          <w:rFonts w:ascii="Arial" w:hAnsi="Arial"/>
          <w:sz w:val="21"/>
          <w:szCs w:val="21"/>
        </w:rPr>
        <w:t xml:space="preserve">: </w:t>
      </w:r>
      <w:r>
        <w:rPr>
          <w:rFonts w:ascii="Arial" w:hAnsi="Arial"/>
          <w:b/>
          <w:bCs/>
          <w:sz w:val="21"/>
          <w:szCs w:val="21"/>
        </w:rPr>
        <w:t>até as</w:t>
      </w:r>
      <w:r>
        <w:rPr>
          <w:rFonts w:ascii="Arial" w:hAnsi="Arial"/>
          <w:b/>
          <w:bCs/>
          <w:color w:val="C9211E"/>
          <w:sz w:val="21"/>
          <w:szCs w:val="21"/>
        </w:rPr>
        <w:t xml:space="preserve"> </w:t>
      </w:r>
      <w:r>
        <w:rPr>
          <w:rFonts w:ascii="Arial" w:hAnsi="Arial"/>
          <w:b/>
          <w:bCs/>
          <w:color w:val="000000"/>
          <w:sz w:val="21"/>
          <w:szCs w:val="21"/>
        </w:rPr>
        <w:t>08:30</w:t>
      </w:r>
      <w:r>
        <w:rPr>
          <w:rFonts w:ascii="Arial" w:hAnsi="Arial"/>
          <w:b/>
          <w:bCs/>
          <w:color w:val="000000"/>
          <w:sz w:val="21"/>
          <w:szCs w:val="21"/>
          <w:shd w:val="clear" w:fill="auto"/>
        </w:rPr>
        <w:t xml:space="preserve"> horas do dia 30 de dezembro de 2024.</w:t>
      </w:r>
    </w:p>
    <w:p w14:paraId="29CEEAF4">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DOCUMENTOS DE HABILITAÇÃO</w:t>
      </w:r>
      <w:r>
        <w:rPr>
          <w:rFonts w:ascii="Arial" w:hAnsi="Arial"/>
          <w:sz w:val="21"/>
          <w:szCs w:val="21"/>
        </w:rPr>
        <w:t>: Na mesma data e horário do recebimento das propostas, encerrada a fase de lances, o licitante classificado provisoriamente em primeiro lugar poderá complementar ou substituir a documentação apresentada, dentro do prazo fixado pelo pregoeiro, não inferior a 02 (duas) horas, podendo ser prorrogado por igual período.</w:t>
      </w:r>
    </w:p>
    <w:p w14:paraId="5BD2A353">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INÍCIO DA SESSÃO</w:t>
      </w:r>
      <w:r>
        <w:rPr>
          <w:rFonts w:ascii="Arial" w:hAnsi="Arial"/>
          <w:sz w:val="21"/>
          <w:szCs w:val="21"/>
        </w:rPr>
        <w:t xml:space="preserve">: </w:t>
      </w:r>
      <w:r>
        <w:rPr>
          <w:rFonts w:ascii="Arial" w:hAnsi="Arial"/>
          <w:b/>
          <w:bCs/>
          <w:sz w:val="21"/>
          <w:szCs w:val="21"/>
        </w:rPr>
        <w:t xml:space="preserve">às </w:t>
      </w:r>
      <w:r>
        <w:rPr>
          <w:rFonts w:ascii="Arial" w:hAnsi="Arial"/>
          <w:b/>
          <w:bCs/>
          <w:color w:val="000000"/>
          <w:sz w:val="21"/>
          <w:szCs w:val="21"/>
        </w:rPr>
        <w:t>08:31 do dia 30 de dezembro de 2024.</w:t>
      </w:r>
    </w:p>
    <w:p w14:paraId="34B5A25C">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REFERÊNCIA DE TEMPO</w:t>
      </w:r>
      <w:r>
        <w:rPr>
          <w:rFonts w:ascii="Arial" w:hAnsi="Arial"/>
          <w:sz w:val="21"/>
          <w:szCs w:val="21"/>
        </w:rPr>
        <w:t>: horário de Brasília (DF)</w:t>
      </w:r>
    </w:p>
    <w:p w14:paraId="44AC1C56">
      <w:pPr>
        <w:widowControl/>
        <w:suppressAutoHyphens/>
        <w:bidi w:val="0"/>
        <w:spacing w:before="0" w:after="0" w:line="360" w:lineRule="auto"/>
        <w:ind w:left="0" w:right="0" w:firstLine="0"/>
        <w:jc w:val="both"/>
      </w:pPr>
      <w:r>
        <w:rPr>
          <w:rFonts w:ascii="Arial" w:hAnsi="Arial"/>
          <w:b/>
          <w:bCs/>
          <w:sz w:val="21"/>
          <w:szCs w:val="21"/>
        </w:rPr>
        <w:t>PLATAFORMA ELETRÔNICA</w:t>
      </w:r>
      <w:r>
        <w:rPr>
          <w:rFonts w:ascii="Arial" w:hAnsi="Arial"/>
          <w:sz w:val="21"/>
          <w:szCs w:val="21"/>
        </w:rPr>
        <w:t xml:space="preserve">: </w:t>
      </w:r>
      <w:r>
        <w:fldChar w:fldCharType="begin"/>
      </w:r>
      <w:r>
        <w:instrText xml:space="preserve"> HYPERLINK "http://www.portaldecompraspublicas.com.br/" \h </w:instrText>
      </w:r>
      <w:r>
        <w:fldChar w:fldCharType="separate"/>
      </w:r>
      <w:r>
        <w:rPr>
          <w:rStyle w:val="19"/>
          <w:rFonts w:ascii="Arial" w:hAnsi="Arial"/>
          <w:sz w:val="21"/>
          <w:szCs w:val="21"/>
        </w:rPr>
        <w:t>www.portaldecompraspublicas.com.br</w:t>
      </w:r>
      <w:r>
        <w:rPr>
          <w:rStyle w:val="19"/>
          <w:rFonts w:ascii="Arial" w:hAnsi="Arial"/>
          <w:sz w:val="21"/>
          <w:szCs w:val="21"/>
        </w:rPr>
        <w:fldChar w:fldCharType="end"/>
      </w:r>
      <w:r>
        <w:rPr>
          <w:rFonts w:ascii="Arial" w:hAnsi="Arial"/>
          <w:sz w:val="21"/>
          <w:szCs w:val="21"/>
        </w:rPr>
        <w:t xml:space="preserve"> “Acesso Identificado”</w:t>
      </w:r>
    </w:p>
    <w:p w14:paraId="0424B0BA">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INTERVALO MÍNIMO DE LANCES</w:t>
      </w:r>
      <w:r>
        <w:rPr>
          <w:rFonts w:ascii="Arial" w:hAnsi="Arial"/>
          <w:sz w:val="21"/>
          <w:szCs w:val="21"/>
        </w:rPr>
        <w:t>: R$ 0,01 (um centavo de real)</w:t>
      </w:r>
    </w:p>
    <w:p w14:paraId="42D0C9CD">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DATA LIMITE PARA IMPUGNAÇÃO E ESCLARECIMENTOS:</w:t>
      </w:r>
      <w:r>
        <w:rPr>
          <w:rFonts w:ascii="Arial" w:hAnsi="Arial"/>
          <w:b w:val="0"/>
          <w:bCs w:val="0"/>
          <w:color w:val="000000"/>
          <w:sz w:val="21"/>
          <w:szCs w:val="21"/>
          <w:shd w:val="clear" w:fill="auto"/>
        </w:rPr>
        <w:t xml:space="preserve"> </w:t>
      </w:r>
      <w:r>
        <w:rPr>
          <w:rFonts w:ascii="Arial" w:hAnsi="Arial"/>
          <w:b/>
          <w:bCs/>
          <w:color w:val="000000"/>
          <w:sz w:val="21"/>
          <w:szCs w:val="21"/>
          <w:shd w:val="clear" w:fill="auto"/>
        </w:rPr>
        <w:t>2</w:t>
      </w:r>
      <w:r>
        <w:rPr>
          <w:rFonts w:hint="default" w:ascii="Arial" w:hAnsi="Arial"/>
          <w:b/>
          <w:bCs/>
          <w:color w:val="000000"/>
          <w:sz w:val="21"/>
          <w:szCs w:val="21"/>
          <w:shd w:val="clear" w:fill="auto"/>
          <w:lang w:val="pt-BR"/>
        </w:rPr>
        <w:t>4</w:t>
      </w:r>
      <w:bookmarkStart w:id="24" w:name="_GoBack"/>
      <w:bookmarkEnd w:id="24"/>
      <w:r>
        <w:rPr>
          <w:rFonts w:ascii="Arial" w:hAnsi="Arial"/>
          <w:b/>
          <w:bCs/>
          <w:color w:val="000000"/>
          <w:sz w:val="21"/>
          <w:szCs w:val="21"/>
          <w:shd w:val="clear" w:fill="auto"/>
        </w:rPr>
        <w:t xml:space="preserve"> de dezembro de 2024 até às 23h59m</w:t>
      </w:r>
    </w:p>
    <w:p w14:paraId="3CE2397E">
      <w:pPr>
        <w:pStyle w:val="398"/>
        <w:spacing w:before="0" w:after="0" w:line="360" w:lineRule="auto"/>
        <w:ind w:left="0" w:right="0" w:firstLine="0"/>
        <w:rPr>
          <w:rFonts w:ascii="Arial" w:hAnsi="Arial"/>
          <w:sz w:val="21"/>
          <w:szCs w:val="21"/>
        </w:rPr>
      </w:pPr>
      <w:r>
        <w:rPr>
          <w:rFonts w:ascii="Arial" w:hAnsi="Arial"/>
          <w:b/>
          <w:strike w:val="0"/>
          <w:dstrike w:val="0"/>
          <w:color w:val="000000"/>
          <w:sz w:val="21"/>
          <w:szCs w:val="21"/>
          <w:u w:val="none"/>
        </w:rPr>
        <w:t xml:space="preserve">MODO DE DISPUTA: </w:t>
      </w:r>
      <w:r>
        <w:rPr>
          <w:rFonts w:ascii="Arial" w:hAnsi="Arial"/>
          <w:b w:val="0"/>
          <w:strike w:val="0"/>
          <w:dstrike w:val="0"/>
          <w:color w:val="000000"/>
          <w:sz w:val="21"/>
          <w:szCs w:val="21"/>
          <w:u w:val="none"/>
        </w:rPr>
        <w:t xml:space="preserve">Aberto </w:t>
      </w:r>
    </w:p>
    <w:p w14:paraId="2DC4665B">
      <w:pPr>
        <w:pStyle w:val="398"/>
        <w:spacing w:before="0" w:after="0" w:line="360" w:lineRule="auto"/>
        <w:ind w:left="0" w:right="0" w:firstLine="0"/>
        <w:rPr>
          <w:rFonts w:ascii="Arial" w:hAnsi="Arial"/>
          <w:sz w:val="21"/>
          <w:szCs w:val="21"/>
        </w:rPr>
      </w:pPr>
    </w:p>
    <w:p w14:paraId="107BFB17">
      <w:pPr>
        <w:pStyle w:val="398"/>
        <w:spacing w:before="0" w:after="0" w:line="360" w:lineRule="auto"/>
        <w:ind w:left="0" w:right="0" w:firstLine="0"/>
        <w:jc w:val="both"/>
        <w:rPr>
          <w:rFonts w:ascii="Arial" w:hAnsi="Arial"/>
          <w:sz w:val="21"/>
          <w:szCs w:val="21"/>
        </w:rPr>
      </w:pPr>
      <w:r>
        <w:rPr>
          <w:rFonts w:ascii="Arial" w:hAnsi="Arial"/>
          <w:b/>
          <w:strike w:val="0"/>
          <w:dstrike w:val="0"/>
          <w:color w:val="000000"/>
          <w:sz w:val="21"/>
          <w:szCs w:val="21"/>
          <w:u w:val="none"/>
        </w:rPr>
        <w:t xml:space="preserve">OBJETO: </w:t>
      </w:r>
      <w:r>
        <w:rPr>
          <w:rFonts w:ascii="Arial" w:hAnsi="Arial" w:eastAsia="Times New Roman" w:cs="Arial"/>
          <w:b w:val="0"/>
          <w:bCs w:val="0"/>
          <w:strike w:val="0"/>
          <w:dstrike w:val="0"/>
          <w:color w:val="000000"/>
          <w:sz w:val="21"/>
          <w:szCs w:val="21"/>
          <w:highlight w:val="white"/>
          <w:u w:val="none"/>
          <w:lang w:bidi="hi-IN"/>
        </w:rPr>
        <w:t>A presente licitação tem por objeto a aquisição gasolina comum, de forma parcelada, para o abastecimento da frota da Prefeitura de Lindóia do Sul e também para os veículos da Polícia Militar e Polícia Civil, conforme especificações constantes no Termo de R</w:t>
      </w:r>
      <w:r>
        <w:drawing>
          <wp:anchor distT="0" distB="0" distL="0" distR="0" simplePos="0" relativeHeight="251660288" behindDoc="1" locked="0" layoutInCell="0" allowOverlap="1">
            <wp:simplePos x="0" y="0"/>
            <wp:positionH relativeFrom="column">
              <wp:posOffset>-720090</wp:posOffset>
            </wp:positionH>
            <wp:positionV relativeFrom="paragraph">
              <wp:posOffset>9516110</wp:posOffset>
            </wp:positionV>
            <wp:extent cx="7545070" cy="963295"/>
            <wp:effectExtent l="0" t="0" r="0" b="0"/>
            <wp:wrapSquare wrapText="bothSides"/>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12"/>
                    <a:stretch>
                      <a:fillRect/>
                    </a:stretch>
                  </pic:blipFill>
                  <pic:spPr>
                    <a:xfrm>
                      <a:off x="0" y="0"/>
                      <a:ext cx="7545070" cy="963295"/>
                    </a:xfrm>
                    <a:prstGeom prst="rect">
                      <a:avLst/>
                    </a:prstGeom>
                  </pic:spPr>
                </pic:pic>
              </a:graphicData>
            </a:graphic>
          </wp:anchor>
        </w:drawing>
      </w:r>
      <w:r>
        <w:rPr>
          <w:rFonts w:ascii="Arial" w:hAnsi="Arial" w:eastAsia="Times New Roman" w:cs="Arial"/>
          <w:b w:val="0"/>
          <w:bCs w:val="0"/>
          <w:strike w:val="0"/>
          <w:dstrike w:val="0"/>
          <w:color w:val="000000"/>
          <w:sz w:val="21"/>
          <w:szCs w:val="21"/>
          <w:highlight w:val="white"/>
          <w:u w:val="none"/>
          <w:lang w:bidi="hi-IN"/>
        </w:rPr>
        <w:t>eferência.</w:t>
      </w:r>
    </w:p>
    <w:p w14:paraId="1495A741">
      <w:pPr>
        <w:pStyle w:val="398"/>
        <w:spacing w:before="0" w:after="0" w:line="360" w:lineRule="auto"/>
        <w:ind w:left="0" w:right="0" w:firstLine="0"/>
        <w:jc w:val="both"/>
        <w:rPr>
          <w:rFonts w:eastAsia="Times New Roman"/>
          <w:b w:val="0"/>
          <w:bCs w:val="0"/>
          <w:strike w:val="0"/>
          <w:dstrike w:val="0"/>
          <w:color w:val="000000"/>
          <w:highlight w:val="white"/>
          <w:u w:val="none"/>
        </w:rPr>
      </w:pPr>
    </w:p>
    <w:p w14:paraId="6336735B">
      <w:pPr>
        <w:pStyle w:val="398"/>
        <w:spacing w:before="0" w:after="0" w:line="360" w:lineRule="auto"/>
        <w:ind w:left="0" w:right="0" w:firstLine="0"/>
        <w:jc w:val="both"/>
        <w:rPr>
          <w:rFonts w:ascii="Arial" w:hAnsi="Arial"/>
          <w:sz w:val="21"/>
          <w:szCs w:val="21"/>
        </w:rPr>
      </w:pPr>
      <w:r>
        <w:rPr>
          <w:rFonts w:ascii="Arial" w:hAnsi="Arial" w:eastAsia="Times New Roman"/>
          <w:b w:val="0"/>
          <w:bCs w:val="0"/>
          <w:strike w:val="0"/>
          <w:dstrike w:val="0"/>
          <w:color w:val="000000"/>
          <w:sz w:val="21"/>
          <w:szCs w:val="21"/>
          <w:highlight w:val="white"/>
          <w:u w:val="none"/>
        </w:rPr>
        <w:t>A licitante vendedora do item 01 (gasolina comum) deverá possuir posto de abastecimento próprio ou conveniado, o qual deverá estar localizado dentro do perímetro urbano do município de Lindóia do Sul/SC.</w:t>
      </w:r>
    </w:p>
    <w:p w14:paraId="50701CDA">
      <w:pPr>
        <w:pStyle w:val="398"/>
        <w:spacing w:before="0" w:after="0" w:line="360" w:lineRule="auto"/>
        <w:ind w:left="0" w:right="0" w:firstLine="0"/>
        <w:jc w:val="both"/>
        <w:rPr>
          <w:rFonts w:ascii="Arial" w:hAnsi="Arial"/>
          <w:sz w:val="21"/>
          <w:szCs w:val="21"/>
        </w:rPr>
      </w:pPr>
      <w:r>
        <w:rPr>
          <w:rFonts w:ascii="Arial" w:hAnsi="Arial" w:eastAsia="Times New Roman"/>
          <w:b w:val="0"/>
          <w:bCs w:val="0"/>
          <w:strike w:val="0"/>
          <w:dstrike w:val="0"/>
          <w:color w:val="000000"/>
          <w:sz w:val="21"/>
          <w:szCs w:val="21"/>
          <w:highlight w:val="white"/>
          <w:u w:val="none"/>
        </w:rPr>
        <w:t>O texto descritivo completo e informações pertinentes de cada item a ser licitado constam nos autos do processo licitatório em que se insere o Termo de Referência e estão anexas ao edital, constituindo parte integrante deste.</w:t>
      </w:r>
    </w:p>
    <w:p w14:paraId="72699D7F">
      <w:pPr>
        <w:pStyle w:val="398"/>
        <w:spacing w:before="0" w:after="0" w:line="360" w:lineRule="auto"/>
        <w:ind w:left="0" w:right="0" w:firstLine="0"/>
        <w:jc w:val="both"/>
        <w:rPr>
          <w:rFonts w:ascii="Arial" w:hAnsi="Arial" w:eastAsia="Times New Roman"/>
          <w:b w:val="0"/>
          <w:bCs w:val="0"/>
          <w:strike w:val="0"/>
          <w:dstrike w:val="0"/>
          <w:color w:val="000000"/>
          <w:sz w:val="21"/>
          <w:szCs w:val="21"/>
          <w:highlight w:val="white"/>
          <w:u w:val="none"/>
          <w:lang w:eastAsia="pt-BR"/>
        </w:rPr>
      </w:pPr>
    </w:p>
    <w:p w14:paraId="30FE5C31">
      <w:pPr>
        <w:pStyle w:val="398"/>
        <w:spacing w:before="0" w:after="0" w:line="360" w:lineRule="auto"/>
        <w:ind w:left="0" w:right="0" w:firstLine="0"/>
        <w:rPr>
          <w:rFonts w:ascii="Arial" w:hAnsi="Arial"/>
          <w:b/>
          <w:strike w:val="0"/>
          <w:dstrike w:val="0"/>
          <w:color w:val="000000"/>
          <w:sz w:val="21"/>
          <w:szCs w:val="21"/>
          <w:u w:val="none"/>
        </w:rPr>
      </w:pPr>
    </w:p>
    <w:p w14:paraId="50E1F2DE">
      <w:pPr>
        <w:pStyle w:val="398"/>
        <w:spacing w:before="0" w:after="0" w:line="360" w:lineRule="auto"/>
        <w:ind w:left="0" w:right="0" w:firstLine="0"/>
        <w:rPr>
          <w:rFonts w:ascii="Arial" w:hAnsi="Arial"/>
          <w:sz w:val="21"/>
          <w:szCs w:val="21"/>
        </w:rPr>
      </w:pPr>
      <w:r>
        <w:rPr>
          <w:rFonts w:ascii="Arial" w:hAnsi="Arial"/>
          <w:b/>
          <w:strike w:val="0"/>
          <w:dstrike w:val="0"/>
          <w:color w:val="000000"/>
          <w:sz w:val="21"/>
          <w:szCs w:val="21"/>
          <w:u w:val="none"/>
        </w:rPr>
        <w:t xml:space="preserve">VALOR MÁXIMO ADMITIDO: </w:t>
      </w:r>
      <w:r>
        <w:rPr>
          <w:rFonts w:ascii="Arial" w:hAnsi="Arial"/>
          <w:b w:val="0"/>
          <w:strike w:val="0"/>
          <w:dstrike w:val="0"/>
          <w:color w:val="000000"/>
          <w:sz w:val="21"/>
          <w:szCs w:val="21"/>
          <w:u w:val="none"/>
        </w:rPr>
        <w:t>R$ 354.114,00 (trezentos e cinquenta e quatro mil cento e quatorze reais).</w:t>
      </w:r>
    </w:p>
    <w:p w14:paraId="65A61CE4">
      <w:pPr>
        <w:pStyle w:val="398"/>
        <w:spacing w:before="0" w:after="0" w:line="360" w:lineRule="auto"/>
        <w:ind w:left="0" w:right="0" w:firstLine="0"/>
        <w:rPr>
          <w:rFonts w:ascii="Arial" w:hAnsi="Arial"/>
          <w:sz w:val="21"/>
          <w:szCs w:val="21"/>
        </w:rPr>
      </w:pPr>
    </w:p>
    <w:p w14:paraId="5B75D801">
      <w:pPr>
        <w:spacing w:before="0" w:after="0" w:line="360" w:lineRule="auto"/>
        <w:ind w:left="0" w:right="0" w:firstLine="0"/>
        <w:jc w:val="both"/>
        <w:rPr>
          <w:rFonts w:ascii="Arial" w:hAnsi="Arial"/>
          <w:sz w:val="21"/>
          <w:szCs w:val="21"/>
        </w:rPr>
      </w:pPr>
      <w:r>
        <w:rPr>
          <w:rFonts w:ascii="Arial" w:hAnsi="Arial" w:cs="Arial"/>
          <w:color w:val="000000"/>
          <w:sz w:val="21"/>
          <w:szCs w:val="21"/>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1E71C671">
      <w:pPr>
        <w:spacing w:before="0" w:after="0" w:line="360" w:lineRule="auto"/>
        <w:ind w:left="0" w:right="0" w:firstLine="0"/>
        <w:jc w:val="both"/>
        <w:rPr>
          <w:rFonts w:ascii="Arial" w:hAnsi="Arial" w:cs="Arial"/>
          <w:color w:val="000000"/>
          <w:sz w:val="21"/>
          <w:szCs w:val="21"/>
        </w:rPr>
      </w:pPr>
    </w:p>
    <w:p w14:paraId="2E3AC48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Formalização de consultas/encaminhamentos:</w:t>
      </w:r>
    </w:p>
    <w:p w14:paraId="0FD6B44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LOCAL: Município de Lindóia do Sul</w:t>
      </w:r>
    </w:p>
    <w:p w14:paraId="1791B770">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ENDEREÇO: </w:t>
      </w:r>
      <w:r>
        <w:rPr>
          <w:rFonts w:ascii="Arial" w:hAnsi="Arial" w:cs="Arial"/>
          <w:sz w:val="21"/>
          <w:szCs w:val="21"/>
        </w:rPr>
        <w:t>Rua Tamandaré, nº 98, Centro, Lindóia do Sul, SC, CEP 89.735-000</w:t>
      </w:r>
    </w:p>
    <w:p w14:paraId="0C668A1B">
      <w:pPr>
        <w:widowControl/>
        <w:suppressAutoHyphens/>
        <w:bidi w:val="0"/>
        <w:spacing w:before="0" w:after="0" w:line="360" w:lineRule="auto"/>
        <w:ind w:left="0" w:right="0" w:firstLine="0"/>
        <w:jc w:val="both"/>
      </w:pPr>
      <w:r>
        <w:rPr>
          <w:rFonts w:ascii="Arial" w:hAnsi="Arial"/>
          <w:sz w:val="21"/>
          <w:szCs w:val="21"/>
        </w:rPr>
        <w:t xml:space="preserve">E-mail: </w:t>
      </w:r>
      <w:r>
        <w:fldChar w:fldCharType="begin"/>
      </w:r>
      <w:r>
        <w:instrText xml:space="preserve"> HYPERLINK "mailto:compras@lindoiadosul.sc.gov.br" \h </w:instrText>
      </w:r>
      <w:r>
        <w:fldChar w:fldCharType="separate"/>
      </w:r>
      <w:r>
        <w:rPr>
          <w:rStyle w:val="19"/>
          <w:rFonts w:ascii="Arial" w:hAnsi="Arial"/>
          <w:sz w:val="21"/>
          <w:szCs w:val="21"/>
        </w:rPr>
        <w:t>compras@lindoiadosul.sc.gov.br</w:t>
      </w:r>
      <w:r>
        <w:rPr>
          <w:rStyle w:val="19"/>
          <w:rFonts w:ascii="Arial" w:hAnsi="Arial"/>
          <w:sz w:val="21"/>
          <w:szCs w:val="21"/>
        </w:rPr>
        <w:fldChar w:fldCharType="end"/>
      </w:r>
      <w:r>
        <w:rPr>
          <w:rFonts w:ascii="Arial" w:hAnsi="Arial"/>
          <w:sz w:val="21"/>
          <w:szCs w:val="21"/>
        </w:rPr>
        <w:t xml:space="preserve"> ou </w:t>
      </w:r>
      <w:r>
        <w:fldChar w:fldCharType="begin"/>
      </w:r>
      <w:r>
        <w:instrText xml:space="preserve"> HYPERLINK "mailto:compras2@lindoiadosul.sc.gov.br" \h </w:instrText>
      </w:r>
      <w:r>
        <w:fldChar w:fldCharType="separate"/>
      </w:r>
      <w:r>
        <w:rPr>
          <w:rStyle w:val="19"/>
          <w:rFonts w:ascii="Arial" w:hAnsi="Arial"/>
          <w:sz w:val="21"/>
          <w:szCs w:val="21"/>
        </w:rPr>
        <w:t>compras2@lindoiadosul.sc.gov.br</w:t>
      </w:r>
      <w:r>
        <w:rPr>
          <w:rStyle w:val="19"/>
          <w:rFonts w:ascii="Arial" w:hAnsi="Arial"/>
          <w:sz w:val="21"/>
          <w:szCs w:val="21"/>
        </w:rPr>
        <w:fldChar w:fldCharType="end"/>
      </w:r>
    </w:p>
    <w:p w14:paraId="7FB2A90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Telefone: 49 34461177 ou 998220842</w:t>
      </w:r>
    </w:p>
    <w:p w14:paraId="5AA7A1CD">
      <w:pPr>
        <w:widowControl/>
        <w:suppressAutoHyphens/>
        <w:bidi w:val="0"/>
        <w:spacing w:before="0" w:after="0" w:line="360" w:lineRule="auto"/>
        <w:ind w:left="0" w:right="0" w:firstLine="0"/>
        <w:jc w:val="both"/>
        <w:rPr>
          <w:rFonts w:ascii="Arial" w:hAnsi="Arial"/>
          <w:sz w:val="21"/>
          <w:szCs w:val="21"/>
        </w:rPr>
      </w:pPr>
    </w:p>
    <w:p w14:paraId="174200BD">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1. DO OBJETO</w:t>
      </w:r>
    </w:p>
    <w:p w14:paraId="03868F22">
      <w:pPr>
        <w:widowControl/>
        <w:suppressAutoHyphens/>
        <w:bidi w:val="0"/>
        <w:spacing w:before="0" w:after="0" w:line="360" w:lineRule="auto"/>
        <w:ind w:left="0" w:right="0" w:firstLine="0"/>
        <w:jc w:val="both"/>
        <w:rPr>
          <w:rFonts w:ascii="Arial" w:hAnsi="Arial"/>
          <w:sz w:val="21"/>
          <w:szCs w:val="21"/>
        </w:rPr>
      </w:pPr>
    </w:p>
    <w:p w14:paraId="625A263D">
      <w:pPr>
        <w:pStyle w:val="398"/>
        <w:spacing w:before="0" w:after="0" w:line="360" w:lineRule="auto"/>
        <w:ind w:left="0" w:right="0" w:firstLine="0"/>
        <w:jc w:val="both"/>
        <w:rPr>
          <w:rFonts w:ascii="Arial" w:hAnsi="Arial"/>
          <w:sz w:val="21"/>
          <w:szCs w:val="21"/>
        </w:rPr>
      </w:pPr>
      <w:r>
        <w:rPr>
          <w:rFonts w:ascii="Arial" w:hAnsi="Arial"/>
          <w:b w:val="0"/>
          <w:bCs w:val="0"/>
          <w:strike w:val="0"/>
          <w:dstrike w:val="0"/>
          <w:color w:val="000000"/>
          <w:sz w:val="21"/>
          <w:szCs w:val="21"/>
          <w:u w:val="none"/>
        </w:rPr>
        <w:t xml:space="preserve">1.1. </w:t>
      </w:r>
      <w:r>
        <w:rPr>
          <w:rFonts w:ascii="Arial" w:hAnsi="Arial" w:eastAsia="Times New Roman" w:cs="Arial"/>
          <w:b w:val="0"/>
          <w:bCs w:val="0"/>
          <w:strike w:val="0"/>
          <w:dstrike w:val="0"/>
          <w:color w:val="000000"/>
          <w:sz w:val="21"/>
          <w:szCs w:val="21"/>
          <w:highlight w:val="white"/>
          <w:u w:val="none"/>
          <w:lang w:eastAsia="pt-BR" w:bidi="hi-IN"/>
        </w:rPr>
        <w:t>A presente licitação tem por objeto a aquisição gasolina comum, de forma parcelada, para o abastecimento da frota da Prefeitura de Lindóia do Sul e também para os veículos da Polícia Militar e Polícia Civil, conforme especificações constantes no Termo de Referência.</w:t>
      </w:r>
    </w:p>
    <w:p w14:paraId="682C5F03">
      <w:pPr>
        <w:pStyle w:val="398"/>
        <w:spacing w:before="0" w:after="0" w:line="360" w:lineRule="auto"/>
        <w:ind w:left="0" w:right="0" w:firstLine="0"/>
        <w:jc w:val="both"/>
        <w:rPr>
          <w:rFonts w:ascii="Arial" w:hAnsi="Arial"/>
          <w:sz w:val="21"/>
          <w:szCs w:val="21"/>
        </w:rPr>
      </w:pPr>
    </w:p>
    <w:p w14:paraId="02DE5652">
      <w:pPr>
        <w:pStyle w:val="398"/>
        <w:spacing w:before="0" w:after="0" w:line="360" w:lineRule="auto"/>
        <w:ind w:left="0" w:right="0" w:firstLine="0"/>
        <w:jc w:val="both"/>
        <w:rPr>
          <w:rFonts w:ascii="Arial" w:hAnsi="Arial"/>
          <w:sz w:val="21"/>
          <w:szCs w:val="21"/>
        </w:rPr>
      </w:pPr>
      <w:r>
        <w:rPr>
          <w:rFonts w:ascii="Arial" w:hAnsi="Arial"/>
          <w:b w:val="0"/>
          <w:bCs w:val="0"/>
          <w:strike w:val="0"/>
          <w:dstrike w:val="0"/>
          <w:color w:val="000000"/>
          <w:sz w:val="21"/>
          <w:szCs w:val="21"/>
          <w:u w:val="none"/>
        </w:rPr>
        <w:t>1.2.</w:t>
      </w:r>
      <w:r>
        <w:rPr>
          <w:rFonts w:ascii="Arial" w:hAnsi="Arial"/>
          <w:b/>
          <w:strike w:val="0"/>
          <w:dstrike w:val="0"/>
          <w:color w:val="000000"/>
          <w:sz w:val="21"/>
          <w:szCs w:val="21"/>
          <w:u w:val="none"/>
        </w:rPr>
        <w:t xml:space="preserve"> </w:t>
      </w:r>
      <w:r>
        <w:rPr>
          <w:rFonts w:ascii="Arial" w:hAnsi="Arial"/>
          <w:b w:val="0"/>
          <w:strike w:val="0"/>
          <w:dstrike w:val="0"/>
          <w:color w:val="000000"/>
          <w:sz w:val="21"/>
          <w:szCs w:val="21"/>
          <w:u w:val="none"/>
        </w:rPr>
        <w:t>As empresas interessadas deverão ter pleno conhecimento dos termos constantes deste Edital e das condições gerais e particulares do objeto da licitação, não podendo invocar qualquer desconhecimento como elemento impeditivo da correta formulação da proposta e do integral cumprimento da contratação.</w:t>
      </w:r>
    </w:p>
    <w:p w14:paraId="0C7B29EA">
      <w:pPr>
        <w:pStyle w:val="398"/>
        <w:spacing w:before="0" w:after="0" w:line="360" w:lineRule="auto"/>
        <w:ind w:left="0" w:right="0" w:firstLine="0"/>
        <w:jc w:val="both"/>
        <w:rPr>
          <w:rFonts w:ascii="Arial" w:hAnsi="Arial"/>
          <w:sz w:val="21"/>
          <w:szCs w:val="21"/>
        </w:rPr>
      </w:pPr>
    </w:p>
    <w:p w14:paraId="08F3EC31">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2. DA PARTICIPAÇÃO E OBTENÇÃO DO EDITAL</w:t>
      </w:r>
    </w:p>
    <w:p w14:paraId="616C3BA9">
      <w:pPr>
        <w:widowControl/>
        <w:suppressAutoHyphens/>
        <w:bidi w:val="0"/>
        <w:spacing w:before="0" w:after="0" w:line="360" w:lineRule="auto"/>
        <w:ind w:left="0" w:right="0" w:firstLine="0"/>
        <w:jc w:val="both"/>
        <w:rPr>
          <w:rFonts w:ascii="Arial" w:hAnsi="Arial"/>
          <w:sz w:val="21"/>
          <w:szCs w:val="21"/>
        </w:rPr>
      </w:pPr>
    </w:p>
    <w:p w14:paraId="4650F71F">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2.1. Qualquer pessoa jurídica que tenha objeto similar a esta contratação poderá participar desta Licitação, desde </w:t>
      </w:r>
      <w:r>
        <w:rPr>
          <w:rFonts w:ascii="Arial" w:hAnsi="Arial" w:eastAsia="Times New Roman" w:cs="Arial"/>
          <w:bCs/>
          <w:color w:val="000000"/>
          <w:kern w:val="0"/>
          <w:sz w:val="21"/>
          <w:szCs w:val="21"/>
          <w:lang w:eastAsia="zh-CN"/>
        </w:rPr>
        <w:t>que atenderem a todas as exigências, inclusive quanto a documentação constante deste Edital e seus anexos, e estiver devidamente cadastrada junto ao Portal de Compras Públicas, no endereço eletrônico citado.</w:t>
      </w:r>
    </w:p>
    <w:p w14:paraId="6992CCFF">
      <w:pPr>
        <w:widowControl/>
        <w:suppressAutoHyphens/>
        <w:bidi w:val="0"/>
        <w:spacing w:before="0" w:after="0" w:line="360" w:lineRule="auto"/>
        <w:ind w:left="0" w:right="0" w:firstLine="0"/>
        <w:jc w:val="both"/>
        <w:rPr>
          <w:rFonts w:ascii="Arial" w:hAnsi="Arial" w:eastAsia="Times New Roman" w:cs="Arial"/>
          <w:bCs/>
          <w:color w:val="000000"/>
          <w:kern w:val="0"/>
          <w:sz w:val="21"/>
          <w:szCs w:val="21"/>
          <w:lang w:eastAsia="zh-CN"/>
        </w:rPr>
      </w:pPr>
    </w:p>
    <w:p w14:paraId="263A1A75">
      <w:pPr>
        <w:widowControl/>
        <w:suppressAutoHyphens/>
        <w:bidi w:val="0"/>
        <w:spacing w:before="0" w:after="0" w:line="360" w:lineRule="auto"/>
        <w:ind w:left="0" w:right="0" w:firstLine="0"/>
        <w:jc w:val="both"/>
      </w:pPr>
      <w:r>
        <w:rPr>
          <w:rFonts w:ascii="Arial" w:hAnsi="Arial"/>
          <w:sz w:val="21"/>
          <w:szCs w:val="21"/>
        </w:rPr>
        <w:t xml:space="preserve">2.2. O presente Edital e possíveis alterações estarão à disposição dos interessados na sede do Município de Lindóia do Sul, no endereço informado no preâmbulo deste edital, na imprensa oficial do Município no endereço </w:t>
      </w:r>
      <w:r>
        <w:fldChar w:fldCharType="begin"/>
      </w:r>
      <w:r>
        <w:instrText xml:space="preserve"> HYPERLINK "https://lindoiadosul.sc.gov.br/licitacoes/" \h </w:instrText>
      </w:r>
      <w:r>
        <w:fldChar w:fldCharType="separate"/>
      </w:r>
      <w:r>
        <w:rPr>
          <w:rStyle w:val="19"/>
          <w:rFonts w:ascii="Arial" w:hAnsi="Arial"/>
          <w:sz w:val="21"/>
          <w:szCs w:val="21"/>
        </w:rPr>
        <w:t>https://lindoiadosul.sc.gov.br/licitacoes/</w:t>
      </w:r>
      <w:r>
        <w:rPr>
          <w:rStyle w:val="19"/>
          <w:rFonts w:ascii="Arial" w:hAnsi="Arial"/>
          <w:sz w:val="21"/>
          <w:szCs w:val="21"/>
        </w:rPr>
        <w:fldChar w:fldCharType="end"/>
      </w:r>
      <w:r>
        <w:rPr>
          <w:rStyle w:val="19"/>
          <w:rFonts w:ascii="Arial" w:hAnsi="Arial"/>
          <w:sz w:val="21"/>
          <w:szCs w:val="21"/>
        </w:rPr>
        <w:t>,</w:t>
      </w:r>
      <w:r>
        <w:rPr>
          <w:rFonts w:ascii="Arial" w:hAnsi="Arial"/>
          <w:sz w:val="21"/>
          <w:szCs w:val="21"/>
        </w:rPr>
        <w:t xml:space="preserve"> na plataforma eletrônica que ocorrerá o pregão </w:t>
      </w:r>
      <w:r>
        <w:fldChar w:fldCharType="begin"/>
      </w:r>
      <w:r>
        <w:instrText xml:space="preserve"> HYPERLINK "http://www.portaldecompraspublicas.com.br/" \h </w:instrText>
      </w:r>
      <w:r>
        <w:fldChar w:fldCharType="separate"/>
      </w:r>
      <w:r>
        <w:rPr>
          <w:rStyle w:val="19"/>
          <w:rFonts w:ascii="Arial" w:hAnsi="Arial" w:cs="Arial"/>
          <w:sz w:val="21"/>
          <w:szCs w:val="21"/>
        </w:rPr>
        <w:t>www.portaldecompraspublicas.com.br</w:t>
      </w:r>
      <w:r>
        <w:rPr>
          <w:rStyle w:val="19"/>
          <w:rFonts w:ascii="Arial" w:hAnsi="Arial" w:cs="Arial"/>
          <w:sz w:val="21"/>
          <w:szCs w:val="21"/>
        </w:rPr>
        <w:fldChar w:fldCharType="end"/>
      </w:r>
      <w:r>
        <w:rPr>
          <w:rStyle w:val="19"/>
          <w:rFonts w:ascii="Arial" w:hAnsi="Arial" w:cs="Arial"/>
          <w:color w:val="auto"/>
          <w:sz w:val="21"/>
          <w:szCs w:val="21"/>
          <w:u w:val="none"/>
        </w:rPr>
        <w:t xml:space="preserve"> e no Portal Nacional de Contratações Públicas.</w:t>
      </w:r>
    </w:p>
    <w:p w14:paraId="545CD630">
      <w:pPr>
        <w:widowControl/>
        <w:suppressAutoHyphens/>
        <w:bidi w:val="0"/>
        <w:spacing w:before="0" w:after="0" w:line="360" w:lineRule="auto"/>
        <w:ind w:left="0" w:right="0" w:firstLine="0"/>
        <w:jc w:val="both"/>
        <w:rPr>
          <w:rFonts w:ascii="Arial" w:hAnsi="Arial" w:cs="Arial"/>
          <w:sz w:val="21"/>
          <w:szCs w:val="21"/>
        </w:rPr>
      </w:pPr>
    </w:p>
    <w:p w14:paraId="285E3762">
      <w:pPr>
        <w:widowControl/>
        <w:suppressAutoHyphens w:val="0"/>
        <w:bidi w:val="0"/>
        <w:spacing w:before="0" w:after="0" w:line="360" w:lineRule="auto"/>
        <w:ind w:left="0" w:right="0" w:firstLine="0"/>
        <w:jc w:val="both"/>
        <w:rPr>
          <w:rFonts w:ascii="Arial" w:hAnsi="Arial" w:cs="Arial"/>
          <w:color w:val="000000"/>
          <w:kern w:val="2"/>
          <w:sz w:val="21"/>
          <w:szCs w:val="21"/>
          <w:lang w:eastAsia="zh-CN"/>
        </w:rPr>
      </w:pPr>
    </w:p>
    <w:p w14:paraId="4E16238C">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3. DO ÓRGÃO CONTRATANTE</w:t>
      </w:r>
    </w:p>
    <w:p w14:paraId="1C537457">
      <w:pPr>
        <w:widowControl/>
        <w:suppressAutoHyphens/>
        <w:bidi w:val="0"/>
        <w:spacing w:before="0" w:after="0" w:line="360" w:lineRule="auto"/>
        <w:ind w:left="0" w:right="0" w:firstLine="0"/>
        <w:jc w:val="both"/>
        <w:rPr>
          <w:rFonts w:ascii="Arial" w:hAnsi="Arial"/>
          <w:sz w:val="21"/>
          <w:szCs w:val="21"/>
        </w:rPr>
      </w:pPr>
    </w:p>
    <w:p w14:paraId="160B586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3.1. A entidade Município de Lindóia do Sul é o Órgão Contratante no presente processo licitatório.</w:t>
      </w:r>
    </w:p>
    <w:p w14:paraId="2C8F6519">
      <w:pPr>
        <w:widowControl/>
        <w:suppressAutoHyphens/>
        <w:bidi w:val="0"/>
        <w:spacing w:before="0" w:after="0" w:line="360" w:lineRule="auto"/>
        <w:ind w:left="0" w:right="0" w:firstLine="0"/>
        <w:jc w:val="both"/>
        <w:rPr>
          <w:rFonts w:ascii="Arial" w:hAnsi="Arial"/>
          <w:sz w:val="21"/>
          <w:szCs w:val="21"/>
        </w:rPr>
      </w:pPr>
    </w:p>
    <w:p w14:paraId="04EDC80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3.2. Caberá ao Órgão Contratante os recebimentos provisório e definitivo do objeto.</w:t>
      </w:r>
    </w:p>
    <w:p w14:paraId="5FF29DEB">
      <w:pPr>
        <w:widowControl/>
        <w:suppressAutoHyphens/>
        <w:bidi w:val="0"/>
        <w:spacing w:before="0" w:after="0" w:line="360" w:lineRule="auto"/>
        <w:ind w:left="0" w:right="0" w:firstLine="0"/>
        <w:jc w:val="both"/>
        <w:rPr>
          <w:rFonts w:ascii="Arial" w:hAnsi="Arial"/>
          <w:sz w:val="21"/>
          <w:szCs w:val="21"/>
        </w:rPr>
      </w:pPr>
    </w:p>
    <w:p w14:paraId="74D7C544">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4. DISPOSIÇÕES PRELIMINARES</w:t>
      </w:r>
    </w:p>
    <w:p w14:paraId="6CF74C11">
      <w:pPr>
        <w:widowControl/>
        <w:suppressAutoHyphens/>
        <w:bidi w:val="0"/>
        <w:spacing w:before="0" w:after="0" w:line="360" w:lineRule="auto"/>
        <w:ind w:left="0" w:right="0" w:firstLine="0"/>
        <w:jc w:val="both"/>
        <w:rPr>
          <w:rFonts w:ascii="Arial" w:hAnsi="Arial"/>
          <w:sz w:val="21"/>
          <w:szCs w:val="21"/>
        </w:rPr>
      </w:pPr>
    </w:p>
    <w:p w14:paraId="771F0979">
      <w:pPr>
        <w:widowControl/>
        <w:suppressAutoHyphens/>
        <w:bidi w:val="0"/>
        <w:spacing w:before="0" w:after="0" w:line="360" w:lineRule="auto"/>
        <w:ind w:left="0" w:right="0" w:firstLine="0"/>
        <w:jc w:val="both"/>
      </w:pPr>
      <w:r>
        <w:rPr>
          <w:rFonts w:ascii="Arial" w:hAnsi="Arial"/>
          <w:sz w:val="21"/>
          <w:szCs w:val="21"/>
        </w:rPr>
        <w:t xml:space="preserve">4.1. O Pregão, na forma Eletrônica, será realizado em sessão pública, por meio da INTERNET, mediante condições de segurança – criptografia e autenticação – em todas as suas fases através do Sistema de Pregão, na Forma Eletrônica (licitações) através do site </w:t>
      </w:r>
      <w:r>
        <w:fldChar w:fldCharType="begin"/>
      </w:r>
      <w:r>
        <w:instrText xml:space="preserve"> HYPERLINK "../../../2022/Edital/PMLDS/PL%2050-2022%20EDITAL%20PREGÃO%20ELETRÔNICO%20motoniveladora/www.portaldecompraspublicas.com.br" \h </w:instrText>
      </w:r>
      <w:r>
        <w:fldChar w:fldCharType="separate"/>
      </w:r>
      <w:r>
        <w:rPr>
          <w:rStyle w:val="19"/>
          <w:rFonts w:ascii="Arial" w:hAnsi="Arial" w:eastAsia="Times New Roman" w:cs="Arial"/>
          <w:bCs/>
          <w:kern w:val="0"/>
          <w:sz w:val="21"/>
          <w:szCs w:val="21"/>
          <w:lang w:eastAsia="zh-CN"/>
        </w:rPr>
        <w:t>www.portaldecompraspublicas.com.br</w:t>
      </w:r>
      <w:r>
        <w:rPr>
          <w:rStyle w:val="19"/>
          <w:rFonts w:ascii="Arial" w:hAnsi="Arial" w:eastAsia="Times New Roman" w:cs="Arial"/>
          <w:bCs/>
          <w:kern w:val="0"/>
          <w:sz w:val="21"/>
          <w:szCs w:val="21"/>
          <w:lang w:eastAsia="zh-CN"/>
        </w:rPr>
        <w:fldChar w:fldCharType="end"/>
      </w:r>
      <w:r>
        <w:rPr>
          <w:rFonts w:ascii="Arial" w:hAnsi="Arial" w:eastAsia="Times New Roman" w:cs="Arial"/>
          <w:bCs/>
          <w:color w:val="000000"/>
          <w:kern w:val="0"/>
          <w:sz w:val="21"/>
          <w:szCs w:val="21"/>
          <w:lang w:eastAsia="zh-CN"/>
        </w:rPr>
        <w:t>.</w:t>
      </w:r>
    </w:p>
    <w:p w14:paraId="72931A5C">
      <w:pPr>
        <w:widowControl/>
        <w:suppressAutoHyphens/>
        <w:bidi w:val="0"/>
        <w:spacing w:before="0" w:after="0" w:line="360" w:lineRule="auto"/>
        <w:ind w:left="0" w:right="0" w:firstLine="0"/>
        <w:jc w:val="both"/>
        <w:rPr>
          <w:rFonts w:ascii="Arial" w:hAnsi="Arial" w:eastAsia="Times New Roman" w:cs="Arial"/>
          <w:bCs/>
          <w:color w:val="000000"/>
          <w:kern w:val="0"/>
          <w:sz w:val="21"/>
          <w:szCs w:val="21"/>
          <w:lang w:eastAsia="zh-CN"/>
        </w:rPr>
      </w:pPr>
    </w:p>
    <w:p w14:paraId="6DEAE6B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4.2. A Sessão eletrônica e os demais Atos Administrativos serão conduzidos pelo Município de Lindóia do Sul, por intermédio de(a) seu(ua) Pregoeiro(a), mediante a inserção e monitoramento de dados gerados ou transferidos para plataforma digital constante da página eletrônica da Portal de Compras Públicas.</w:t>
      </w:r>
    </w:p>
    <w:p w14:paraId="0C844ADD">
      <w:pPr>
        <w:widowControl/>
        <w:suppressAutoHyphens/>
        <w:bidi w:val="0"/>
        <w:spacing w:before="0" w:after="0" w:line="360" w:lineRule="auto"/>
        <w:ind w:left="0" w:right="0" w:firstLine="0"/>
        <w:jc w:val="both"/>
        <w:rPr>
          <w:rFonts w:ascii="Arial" w:hAnsi="Arial"/>
          <w:sz w:val="21"/>
          <w:szCs w:val="21"/>
        </w:rPr>
      </w:pPr>
    </w:p>
    <w:p w14:paraId="27F93612">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5. RECEBIMENTO E ABERTURA DAS PROPOSTAS</w:t>
      </w:r>
    </w:p>
    <w:p w14:paraId="4698618A">
      <w:pPr>
        <w:widowControl/>
        <w:suppressAutoHyphens/>
        <w:bidi w:val="0"/>
        <w:spacing w:before="0" w:after="0" w:line="360" w:lineRule="auto"/>
        <w:ind w:left="0" w:right="0" w:firstLine="0"/>
        <w:jc w:val="both"/>
        <w:rPr>
          <w:rFonts w:ascii="Arial" w:hAnsi="Arial"/>
          <w:sz w:val="21"/>
          <w:szCs w:val="21"/>
        </w:rPr>
      </w:pPr>
    </w:p>
    <w:p w14:paraId="5A65AB8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5.1. O fornecedor deverá observar as datas e os horários limites previstos para envio da proposta e </w:t>
      </w:r>
      <w:r>
        <w:rPr>
          <w:rFonts w:ascii="Arial" w:hAnsi="Arial"/>
          <w:sz w:val="21"/>
          <w:szCs w:val="21"/>
          <w:shd w:val="clear" w:fill="auto"/>
        </w:rPr>
        <w:t>dos documentos de habilitação</w:t>
      </w:r>
      <w:r>
        <w:rPr>
          <w:rFonts w:ascii="Arial" w:hAnsi="Arial"/>
          <w:sz w:val="21"/>
          <w:szCs w:val="21"/>
        </w:rPr>
        <w:t>, atentando também para a data e horário para início da sessão, no Portal de Compras Públicas.</w:t>
      </w:r>
    </w:p>
    <w:p w14:paraId="0EA12DBA">
      <w:pPr>
        <w:widowControl/>
        <w:suppressAutoHyphens/>
        <w:bidi w:val="0"/>
        <w:spacing w:before="0" w:after="0" w:line="360" w:lineRule="auto"/>
        <w:ind w:left="0" w:right="0" w:firstLine="0"/>
        <w:jc w:val="both"/>
        <w:rPr>
          <w:rFonts w:ascii="Arial" w:hAnsi="Arial"/>
          <w:sz w:val="21"/>
          <w:szCs w:val="21"/>
        </w:rPr>
      </w:pPr>
    </w:p>
    <w:p w14:paraId="79041D5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5.2. As propostas deverão ser cadastradas exclusivamente no sistema eletrônico, podendo ser enviadas, substituídas e excluídas até a data e hora previstas para recebimento destas.</w:t>
      </w:r>
    </w:p>
    <w:p w14:paraId="4850CE49">
      <w:pPr>
        <w:widowControl/>
        <w:suppressAutoHyphens/>
        <w:bidi w:val="0"/>
        <w:spacing w:before="0" w:after="0" w:line="360" w:lineRule="auto"/>
        <w:ind w:left="0" w:right="0" w:firstLine="0"/>
        <w:jc w:val="both"/>
        <w:rPr>
          <w:rFonts w:ascii="Arial" w:hAnsi="Arial"/>
          <w:sz w:val="21"/>
          <w:szCs w:val="21"/>
        </w:rPr>
      </w:pPr>
    </w:p>
    <w:p w14:paraId="3F04F6B5">
      <w:pPr>
        <w:spacing w:before="0" w:after="0" w:line="360" w:lineRule="auto"/>
        <w:ind w:left="0" w:right="0" w:firstLine="0"/>
        <w:jc w:val="both"/>
        <w:rPr>
          <w:rFonts w:ascii="Arial" w:hAnsi="Arial"/>
          <w:sz w:val="21"/>
          <w:szCs w:val="21"/>
        </w:rPr>
      </w:pPr>
      <w:r>
        <w:rPr>
          <w:rFonts w:ascii="Arial" w:hAnsi="Arial" w:eastAsia="Times New Roman" w:cs="Arial"/>
          <w:bCs/>
          <w:color w:val="000000"/>
          <w:kern w:val="0"/>
          <w:sz w:val="21"/>
          <w:szCs w:val="21"/>
          <w:lang w:eastAsia="zh-CN"/>
        </w:rPr>
        <w:t xml:space="preserve">5.3. </w:t>
      </w:r>
      <w:r>
        <w:rPr>
          <w:rFonts w:ascii="Arial" w:hAnsi="Arial"/>
          <w:sz w:val="21"/>
          <w:szCs w:val="21"/>
        </w:rPr>
        <w:t>O acompanhamento do Sistema Eletrônico é responsabilidade do Fornecedor para todas as fases do presente Procedimento Administrativo.</w:t>
      </w:r>
    </w:p>
    <w:p w14:paraId="338BB0B6">
      <w:pPr>
        <w:widowControl/>
        <w:suppressAutoHyphens/>
        <w:bidi w:val="0"/>
        <w:spacing w:before="0" w:after="0" w:line="360" w:lineRule="auto"/>
        <w:ind w:left="0" w:right="0" w:firstLine="0"/>
        <w:jc w:val="both"/>
        <w:rPr>
          <w:rFonts w:ascii="Arial" w:hAnsi="Arial"/>
          <w:sz w:val="21"/>
          <w:szCs w:val="21"/>
        </w:rPr>
      </w:pPr>
    </w:p>
    <w:p w14:paraId="147E8A5E">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6. CONDIÇÕES PARA PARTICIPAÇÃO</w:t>
      </w:r>
    </w:p>
    <w:p w14:paraId="047905E3">
      <w:pPr>
        <w:widowControl/>
        <w:suppressAutoHyphens/>
        <w:bidi w:val="0"/>
        <w:spacing w:before="0" w:after="0" w:line="360" w:lineRule="auto"/>
        <w:ind w:left="0" w:right="0" w:firstLine="0"/>
        <w:jc w:val="both"/>
        <w:rPr>
          <w:rFonts w:ascii="Arial" w:hAnsi="Arial"/>
          <w:sz w:val="21"/>
          <w:szCs w:val="21"/>
        </w:rPr>
      </w:pPr>
    </w:p>
    <w:p w14:paraId="11EE405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6.1. 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 Brasil sobre a área de fornecimento.</w:t>
      </w:r>
    </w:p>
    <w:p w14:paraId="474ADF94">
      <w:pPr>
        <w:widowControl/>
        <w:suppressAutoHyphens/>
        <w:bidi w:val="0"/>
        <w:spacing w:before="0" w:after="0" w:line="360" w:lineRule="auto"/>
        <w:ind w:left="0" w:right="0" w:firstLine="0"/>
        <w:jc w:val="both"/>
        <w:rPr>
          <w:rFonts w:ascii="Arial" w:hAnsi="Arial"/>
          <w:sz w:val="21"/>
          <w:szCs w:val="21"/>
        </w:rPr>
      </w:pPr>
    </w:p>
    <w:p w14:paraId="6F2D344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6.2. Poderão participar deste Pregão Eletrônico as empresas que apresentarem toda a documentação por ela exigida para respectivo cadastramento junto ao Portal de Compras Públicas.</w:t>
      </w:r>
    </w:p>
    <w:p w14:paraId="4739CDF8">
      <w:pPr>
        <w:widowControl/>
        <w:suppressAutoHyphens/>
        <w:bidi w:val="0"/>
        <w:spacing w:before="0" w:after="0" w:line="360" w:lineRule="auto"/>
        <w:ind w:left="0" w:right="0" w:firstLine="0"/>
        <w:jc w:val="both"/>
        <w:rPr>
          <w:rFonts w:ascii="Arial" w:hAnsi="Arial"/>
          <w:sz w:val="21"/>
          <w:szCs w:val="21"/>
        </w:rPr>
      </w:pPr>
    </w:p>
    <w:p w14:paraId="7EE3B4E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6.3. Como requisito para participação no pregão, em campo próprio do sistema eletrônico, o licitante deverá manifestar o pleno conhecimento e atendimento às exigências de habilitação previstas no Edital e seus anexos.</w:t>
      </w:r>
    </w:p>
    <w:p w14:paraId="3D2B7376">
      <w:pPr>
        <w:widowControl/>
        <w:suppressAutoHyphens/>
        <w:bidi w:val="0"/>
        <w:spacing w:before="0" w:after="0" w:line="360" w:lineRule="auto"/>
        <w:ind w:left="0" w:right="0" w:firstLine="0"/>
        <w:jc w:val="both"/>
        <w:rPr>
          <w:rFonts w:ascii="Arial" w:hAnsi="Arial"/>
          <w:sz w:val="21"/>
          <w:szCs w:val="21"/>
        </w:rPr>
      </w:pPr>
    </w:p>
    <w:p w14:paraId="23D66B7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6.4. É permitida a participação de empresa em forma de consórcios ou grupos de empresas e deverá observar o disposto no art. 15, da Lei Federal nº 14.133, de 2021, observadas as seguintes normas:</w:t>
      </w:r>
    </w:p>
    <w:p w14:paraId="450B2AC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I – comprovação de compromisso público ou particular de constituição de consórcio, subscrito pelos consorciados;</w:t>
      </w:r>
    </w:p>
    <w:p w14:paraId="1B06C4C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II – indicação da empresa líder do consórcio, que será responsável por sua representação perante a Administração;</w:t>
      </w:r>
    </w:p>
    <w:p w14:paraId="5A25F22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III – admissão, para efeito de habilitação técnica, do somatório dos quantitativos de cada consorciado e, para efeito de habilitação econômico-financeira, do somatório dos valores de cada consorciado, caso exigido;</w:t>
      </w:r>
    </w:p>
    <w:p w14:paraId="5E36DB5F">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IV – impedimento de a empresa consorciada participar, na mesma licitação, de mais de um consórcio ou de forma isolada;</w:t>
      </w:r>
    </w:p>
    <w:p w14:paraId="14628C2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V – responsabilidade solidária dos integrantes pelos atos praticados em consórcio, tanto na fase de licitação quanto na de execução do contrato.</w:t>
      </w:r>
    </w:p>
    <w:p w14:paraId="329C00B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VI – O licitante vencedor é obrigado a promover, antes da celebração do contrato, a constituição e o registro do consórcio, nos termos do compromisso referido no item I acima, no prazo de até 30 (trinta) dias, após a homologação.</w:t>
      </w:r>
    </w:p>
    <w:p w14:paraId="180CABC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VII – A substituição de consorciado deverá ser expressamente autorizada pelo Órgão Gerenciador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neste processo licitatório que originou o contrato, quando exigido.</w:t>
      </w:r>
    </w:p>
    <w:p w14:paraId="0F93EEE8">
      <w:pPr>
        <w:widowControl/>
        <w:suppressAutoHyphens/>
        <w:bidi w:val="0"/>
        <w:spacing w:before="0" w:after="0" w:line="360" w:lineRule="auto"/>
        <w:ind w:left="0" w:right="0" w:firstLine="0"/>
        <w:jc w:val="both"/>
        <w:rPr>
          <w:rFonts w:ascii="Arial" w:hAnsi="Arial"/>
          <w:sz w:val="21"/>
          <w:szCs w:val="21"/>
        </w:rPr>
      </w:pPr>
    </w:p>
    <w:p w14:paraId="555B48F0">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6.5. Não poderá participar da licitação a empresa que estiver:</w:t>
      </w:r>
    </w:p>
    <w:p w14:paraId="7B3FF8F2">
      <w:pPr>
        <w:widowControl/>
        <w:suppressAutoHyphens/>
        <w:bidi w:val="0"/>
        <w:spacing w:before="0" w:after="0" w:line="360" w:lineRule="auto"/>
        <w:ind w:left="0" w:right="0" w:firstLine="0"/>
        <w:jc w:val="both"/>
        <w:rPr>
          <w:rFonts w:ascii="Arial" w:hAnsi="Arial"/>
          <w:sz w:val="21"/>
          <w:szCs w:val="21"/>
        </w:rPr>
      </w:pPr>
    </w:p>
    <w:p w14:paraId="15EA01D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6.5.1. sob falência, dissolução, liquidação ou que tenha sido declarada inidônea pela Administração Pública ou impedida legalmente, ou ainda Suspensa de Participar de Licitação ou empresas controladoras, controladas ou coligadas, nos termos da Lei Federal 6.404, de 15 de dezembro de 1976, concorrendo entre si</w:t>
      </w:r>
      <w:r>
        <w:rPr>
          <w:rFonts w:ascii="Arial" w:hAnsi="Arial" w:eastAsia="Times New Roman" w:cs="Arial"/>
          <w:bCs/>
          <w:color w:val="000000"/>
          <w:kern w:val="0"/>
          <w:sz w:val="21"/>
          <w:szCs w:val="21"/>
          <w:lang w:eastAsia="zh-CN"/>
        </w:rPr>
        <w:t xml:space="preserve"> ou constem:</w:t>
      </w:r>
    </w:p>
    <w:p w14:paraId="67468ADD">
      <w:pPr>
        <w:spacing w:before="0" w:after="0" w:line="360" w:lineRule="auto"/>
        <w:ind w:left="0" w:right="0" w:firstLine="0"/>
        <w:jc w:val="both"/>
        <w:rPr>
          <w:rFonts w:ascii="Arial" w:hAnsi="Arial" w:eastAsia="Times New Roman" w:cs="Arial"/>
          <w:bCs/>
          <w:color w:val="000000"/>
          <w:kern w:val="0"/>
          <w:sz w:val="21"/>
          <w:szCs w:val="21"/>
          <w:lang w:eastAsia="zh-CN"/>
        </w:rPr>
      </w:pPr>
    </w:p>
    <w:p w14:paraId="64D11314">
      <w:pPr>
        <w:spacing w:before="0" w:after="0" w:line="360" w:lineRule="auto"/>
        <w:ind w:left="0" w:right="0" w:firstLine="0"/>
        <w:jc w:val="both"/>
        <w:rPr>
          <w:rFonts w:ascii="Arial" w:hAnsi="Arial"/>
          <w:sz w:val="21"/>
          <w:szCs w:val="21"/>
        </w:rPr>
      </w:pPr>
      <w:r>
        <w:rPr>
          <w:rFonts w:ascii="Arial" w:hAnsi="Arial" w:eastAsia="Times New Roman" w:cs="Arial"/>
          <w:bCs/>
          <w:color w:val="000000"/>
          <w:kern w:val="0"/>
          <w:sz w:val="21"/>
          <w:szCs w:val="21"/>
          <w:lang w:eastAsia="zh-CN"/>
        </w:rPr>
        <w:tab/>
      </w:r>
      <w:r>
        <w:rPr>
          <w:rFonts w:ascii="Arial" w:hAnsi="Arial" w:eastAsia="Times New Roman" w:cs="Arial"/>
          <w:bCs/>
          <w:color w:val="000000"/>
          <w:kern w:val="0"/>
          <w:sz w:val="21"/>
          <w:szCs w:val="21"/>
          <w:lang w:eastAsia="zh-CN"/>
        </w:rPr>
        <w:t>I - no cadastro de empresas inidôneas do Tribunal de Contas da União, do Ministério da Transparência, Fiscalização e Controladoria-Geral da União;</w:t>
      </w:r>
      <w:r>
        <w:rPr>
          <w:rFonts w:ascii="Arial" w:hAnsi="Arial" w:eastAsia="Times New Roman" w:cs="Arial"/>
          <w:bCs/>
          <w:color w:val="000000"/>
          <w:kern w:val="0"/>
          <w:sz w:val="21"/>
          <w:szCs w:val="21"/>
          <w:lang w:eastAsia="zh-CN"/>
        </w:rPr>
        <w:tab/>
      </w:r>
    </w:p>
    <w:p w14:paraId="1A52D3FA">
      <w:pPr>
        <w:spacing w:before="0" w:after="0" w:line="360" w:lineRule="auto"/>
        <w:ind w:left="0" w:right="0" w:firstLine="0"/>
        <w:jc w:val="both"/>
        <w:rPr>
          <w:rFonts w:ascii="Arial" w:hAnsi="Arial"/>
          <w:sz w:val="21"/>
          <w:szCs w:val="21"/>
        </w:rPr>
      </w:pPr>
      <w:r>
        <w:rPr>
          <w:rFonts w:ascii="Arial" w:hAnsi="Arial" w:eastAsia="Times New Roman" w:cs="Arial"/>
          <w:bCs/>
          <w:color w:val="000000"/>
          <w:kern w:val="0"/>
          <w:sz w:val="21"/>
          <w:szCs w:val="21"/>
          <w:lang w:eastAsia="zh-CN"/>
        </w:rPr>
        <w:tab/>
      </w:r>
      <w:r>
        <w:rPr>
          <w:rFonts w:ascii="Arial" w:hAnsi="Arial" w:eastAsia="Times New Roman" w:cs="Arial"/>
          <w:bCs/>
          <w:color w:val="000000"/>
          <w:kern w:val="0"/>
          <w:sz w:val="21"/>
          <w:szCs w:val="21"/>
          <w:lang w:eastAsia="zh-CN"/>
        </w:rPr>
        <w:t>II - no Sistema de Cadastramento Unificado de Fornecedores - SICAF como impedidas ou suspensas;</w:t>
      </w:r>
    </w:p>
    <w:p w14:paraId="0A60512B">
      <w:pPr>
        <w:spacing w:before="0" w:after="0" w:line="360" w:lineRule="auto"/>
        <w:ind w:left="0" w:right="0" w:firstLine="0"/>
        <w:jc w:val="both"/>
        <w:rPr>
          <w:rFonts w:ascii="Arial" w:hAnsi="Arial"/>
          <w:sz w:val="21"/>
          <w:szCs w:val="21"/>
        </w:rPr>
      </w:pPr>
      <w:r>
        <w:rPr>
          <w:rFonts w:ascii="Arial" w:hAnsi="Arial" w:eastAsia="Times New Roman" w:cs="Arial"/>
          <w:bCs/>
          <w:color w:val="000000"/>
          <w:kern w:val="0"/>
          <w:sz w:val="21"/>
          <w:szCs w:val="21"/>
          <w:lang w:eastAsia="zh-CN"/>
        </w:rPr>
        <w:tab/>
      </w:r>
      <w:r>
        <w:rPr>
          <w:rFonts w:ascii="Arial" w:hAnsi="Arial" w:eastAsia="Times New Roman" w:cs="Arial"/>
          <w:bCs/>
          <w:color w:val="000000"/>
          <w:kern w:val="0"/>
          <w:sz w:val="21"/>
          <w:szCs w:val="21"/>
          <w:lang w:eastAsia="zh-CN"/>
        </w:rPr>
        <w:t>III - no Cadastro Nacional de Condenações Civis por Ato de Improbidade Administrativa e Inelegibilidade, supervisionado pelo Conselho Nacional de Justiça.</w:t>
      </w:r>
    </w:p>
    <w:p w14:paraId="483ED424">
      <w:pPr>
        <w:spacing w:before="0" w:after="0" w:line="360" w:lineRule="auto"/>
        <w:ind w:left="0" w:right="0" w:firstLine="0"/>
        <w:jc w:val="both"/>
        <w:rPr>
          <w:rFonts w:ascii="Arial" w:hAnsi="Arial"/>
          <w:sz w:val="21"/>
          <w:szCs w:val="21"/>
        </w:rPr>
      </w:pPr>
      <w:r>
        <w:rPr>
          <w:rFonts w:ascii="Arial" w:hAnsi="Arial" w:eastAsia="Times New Roman" w:cs="Arial"/>
          <w:bCs/>
          <w:color w:val="000000"/>
          <w:kern w:val="0"/>
          <w:sz w:val="21"/>
          <w:szCs w:val="21"/>
          <w:lang w:eastAsia="zh-CN"/>
        </w:rPr>
        <w:tab/>
      </w:r>
      <w:r>
        <w:rPr>
          <w:rFonts w:ascii="Arial" w:hAnsi="Arial" w:eastAsia="Times New Roman" w:cs="Arial"/>
          <w:bCs/>
          <w:color w:val="000000"/>
          <w:kern w:val="0"/>
          <w:sz w:val="21"/>
          <w:szCs w:val="21"/>
          <w:lang w:eastAsia="zh-CN"/>
        </w:rPr>
        <w:t>IV - no Cadastro Nacional das Empresas Inidôneas e Suspensas – CEIS.</w:t>
      </w:r>
    </w:p>
    <w:p w14:paraId="3CF1CD3E">
      <w:pPr>
        <w:spacing w:before="0" w:after="0" w:line="360" w:lineRule="auto"/>
        <w:ind w:left="0" w:right="0" w:firstLine="0"/>
        <w:jc w:val="both"/>
        <w:rPr>
          <w:rFonts w:ascii="Arial" w:hAnsi="Arial" w:cs="Arial"/>
          <w:sz w:val="21"/>
          <w:szCs w:val="21"/>
        </w:rPr>
      </w:pPr>
    </w:p>
    <w:p w14:paraId="19283016">
      <w:pPr>
        <w:spacing w:before="0" w:after="0" w:line="360" w:lineRule="auto"/>
        <w:ind w:left="0" w:right="0" w:firstLine="0"/>
        <w:jc w:val="both"/>
        <w:rPr>
          <w:rFonts w:ascii="Arial" w:hAnsi="Arial"/>
          <w:sz w:val="21"/>
          <w:szCs w:val="21"/>
        </w:rPr>
      </w:pPr>
      <w:r>
        <w:rPr>
          <w:rFonts w:ascii="Arial" w:hAnsi="Arial" w:cs="Arial"/>
          <w:sz w:val="21"/>
          <w:szCs w:val="21"/>
        </w:rPr>
        <w:t>6.5.2. Que esteja cumprindo penalidade que impeça de participar de licitação junto à Administração Pública Municipal.</w:t>
      </w:r>
    </w:p>
    <w:p w14:paraId="1013E88A">
      <w:pPr>
        <w:spacing w:before="0" w:after="0" w:line="360" w:lineRule="auto"/>
        <w:ind w:left="0" w:right="0" w:firstLine="0"/>
        <w:jc w:val="both"/>
        <w:rPr>
          <w:rFonts w:ascii="Arial" w:hAnsi="Arial" w:cs="Arial"/>
          <w:sz w:val="21"/>
          <w:szCs w:val="21"/>
        </w:rPr>
      </w:pPr>
    </w:p>
    <w:p w14:paraId="0E13D2A3">
      <w:pPr>
        <w:spacing w:before="0" w:after="0" w:line="360" w:lineRule="auto"/>
        <w:ind w:left="0" w:right="0" w:firstLine="0"/>
        <w:jc w:val="both"/>
        <w:rPr>
          <w:rFonts w:ascii="Arial" w:hAnsi="Arial"/>
          <w:sz w:val="21"/>
          <w:szCs w:val="21"/>
        </w:rPr>
      </w:pPr>
      <w:r>
        <w:rPr>
          <w:rFonts w:ascii="Arial" w:hAnsi="Arial" w:cs="Arial"/>
          <w:sz w:val="21"/>
          <w:szCs w:val="21"/>
        </w:rPr>
        <w:t>6.5.3. Que possua participação direta ou indireta de sócio, diretor ou responsável técnico que tenha vínculo empregatício com o Município.</w:t>
      </w:r>
    </w:p>
    <w:p w14:paraId="2ABBB903">
      <w:pPr>
        <w:spacing w:before="0" w:after="0" w:line="360" w:lineRule="auto"/>
        <w:ind w:left="0" w:right="0" w:firstLine="0"/>
        <w:jc w:val="both"/>
        <w:rPr>
          <w:rFonts w:ascii="Arial" w:hAnsi="Arial" w:cs="Arial"/>
          <w:sz w:val="21"/>
          <w:szCs w:val="21"/>
        </w:rPr>
      </w:pPr>
    </w:p>
    <w:p w14:paraId="1DA6AEF8">
      <w:pPr>
        <w:spacing w:before="0" w:after="0" w:line="360" w:lineRule="auto"/>
        <w:ind w:left="0" w:right="0" w:firstLine="0"/>
        <w:jc w:val="both"/>
        <w:rPr>
          <w:rFonts w:ascii="Arial" w:hAnsi="Arial"/>
          <w:sz w:val="21"/>
          <w:szCs w:val="21"/>
        </w:rPr>
      </w:pPr>
      <w:r>
        <w:rPr>
          <w:rFonts w:ascii="Arial" w:hAnsi="Arial" w:cs="Arial"/>
          <w:sz w:val="21"/>
          <w:szCs w:val="21"/>
        </w:rPr>
        <w:t xml:space="preserve">6.5.4. </w:t>
      </w:r>
      <w:r>
        <w:rPr>
          <w:rFonts w:ascii="Arial" w:hAnsi="Arial" w:eastAsia="Times New Roman" w:cs="Arial"/>
          <w:b w:val="0"/>
          <w:bCs/>
          <w:color w:val="000000"/>
          <w:kern w:val="0"/>
          <w:sz w:val="21"/>
          <w:szCs w:val="21"/>
          <w:lang w:eastAsia="zh-CN"/>
        </w:rPr>
        <w:t>Que possua em seus quadros social e funcional, servidor público da administração direta ou indireta do Município de Lindóia do Sul, e agente político da esfera municipal de Lindóia do Sul, do Estado de Santa Catarina, e da União.</w:t>
      </w:r>
    </w:p>
    <w:p w14:paraId="134E8BBA">
      <w:pPr>
        <w:spacing w:before="0" w:after="0" w:line="360" w:lineRule="auto"/>
        <w:ind w:left="0" w:right="0" w:firstLine="0"/>
        <w:jc w:val="both"/>
        <w:rPr>
          <w:rFonts w:ascii="Arial" w:hAnsi="Arial" w:eastAsia="Times New Roman" w:cs="Arial"/>
          <w:b w:val="0"/>
          <w:bCs/>
          <w:color w:val="000000"/>
          <w:kern w:val="0"/>
          <w:sz w:val="21"/>
          <w:szCs w:val="21"/>
          <w:lang w:eastAsia="zh-CN"/>
        </w:rPr>
      </w:pPr>
    </w:p>
    <w:p w14:paraId="6954A48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6.6. O licitante deverá ter feito a adesão ao Portal de Compras Públicas, sendo sua a responsabilidade pela tramitação prévia neste sentido.</w:t>
      </w:r>
    </w:p>
    <w:p w14:paraId="368C7464">
      <w:pPr>
        <w:widowControl/>
        <w:suppressAutoHyphens/>
        <w:bidi w:val="0"/>
        <w:spacing w:before="0" w:after="0" w:line="360" w:lineRule="auto"/>
        <w:ind w:left="0" w:right="0" w:firstLine="0"/>
        <w:jc w:val="both"/>
        <w:rPr>
          <w:rFonts w:ascii="Arial" w:hAnsi="Arial"/>
          <w:sz w:val="21"/>
          <w:szCs w:val="21"/>
        </w:rPr>
      </w:pPr>
    </w:p>
    <w:p w14:paraId="20DA3EC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6.7. Não poderá participar da licitação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devendo ser comprovado mediante declaração, podendo ser utilizado o modelo constante deste e</w:t>
      </w:r>
      <w:r>
        <w:rPr>
          <w:rFonts w:ascii="Arial" w:hAnsi="Arial"/>
          <w:sz w:val="21"/>
          <w:szCs w:val="21"/>
          <w:shd w:val="clear" w:fill="FFFFFF"/>
        </w:rPr>
        <w:t>dital (ANEXO IV).</w:t>
      </w:r>
    </w:p>
    <w:p w14:paraId="65302CEC">
      <w:pPr>
        <w:widowControl/>
        <w:suppressAutoHyphens/>
        <w:bidi w:val="0"/>
        <w:spacing w:before="0" w:after="0" w:line="360" w:lineRule="auto"/>
        <w:ind w:left="0" w:right="0" w:firstLine="0"/>
        <w:jc w:val="both"/>
        <w:rPr>
          <w:rFonts w:ascii="Arial" w:hAnsi="Arial"/>
          <w:sz w:val="21"/>
          <w:szCs w:val="21"/>
        </w:rPr>
      </w:pPr>
    </w:p>
    <w:p w14:paraId="11D59D5F">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6.8. 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ou que </w:t>
      </w:r>
      <w:r>
        <w:rPr>
          <w:rFonts w:ascii="Arial" w:hAnsi="Arial" w:eastAsia="Times New Roman" w:cs="Arial"/>
          <w:b w:val="0"/>
          <w:bCs/>
          <w:color w:val="000000"/>
          <w:kern w:val="0"/>
          <w:sz w:val="21"/>
          <w:szCs w:val="21"/>
          <w:lang w:eastAsia="zh-CN"/>
        </w:rPr>
        <w:t>integra em seus quadros social e funcional, servidor público da administração direta ou indireta do Município de Lindóia do Sul, e agente político da esfera municipal de Lindóia do Sul, do Estado de Santa Catarina, e da União, bem como</w:t>
      </w:r>
      <w:r>
        <w:rPr>
          <w:rFonts w:ascii="Arial" w:hAnsi="Arial" w:eastAsia="Times New Roman" w:cs="Arial"/>
          <w:b w:val="0"/>
          <w:bCs/>
          <w:color w:val="000000"/>
          <w:kern w:val="0"/>
          <w:sz w:val="21"/>
          <w:szCs w:val="21"/>
          <w:lang w:eastAsia="pt-BR"/>
        </w:rPr>
        <w:t xml:space="preserve"> se não estiver em conformidade com o que prevê o art. </w:t>
      </w:r>
      <w:r>
        <w:rPr>
          <w:rFonts w:ascii="Arial" w:hAnsi="Arial" w:eastAsia="Times New Roman" w:cs="Arial"/>
          <w:b w:val="0"/>
          <w:bCs/>
          <w:color w:val="000000"/>
          <w:kern w:val="2"/>
          <w:sz w:val="21"/>
          <w:szCs w:val="21"/>
          <w:lang w:eastAsia="zh-CN"/>
        </w:rPr>
        <w:t>54 I “a” da Constituição Federal e art. 43 I “a” e II “a” da Constituição do Estado de Santa Catarina,</w:t>
      </w:r>
      <w:r>
        <w:rPr>
          <w:rFonts w:ascii="Arial" w:hAnsi="Arial"/>
          <w:sz w:val="21"/>
          <w:szCs w:val="21"/>
        </w:rPr>
        <w:t xml:space="preserve"> devendo ser comprovado mediante declaração, expressamente conforme ANEXO V.</w:t>
      </w:r>
    </w:p>
    <w:p w14:paraId="3A621EA6">
      <w:pPr>
        <w:widowControl/>
        <w:suppressAutoHyphens/>
        <w:bidi w:val="0"/>
        <w:spacing w:before="0" w:after="0" w:line="360" w:lineRule="auto"/>
        <w:ind w:left="0" w:right="0" w:firstLine="0"/>
        <w:jc w:val="both"/>
        <w:rPr>
          <w:rFonts w:ascii="Arial" w:hAnsi="Arial"/>
          <w:sz w:val="21"/>
          <w:szCs w:val="21"/>
        </w:rPr>
      </w:pPr>
    </w:p>
    <w:p w14:paraId="637D2624">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7. REGULAMENTO OPERACIONAL DO CERTAME</w:t>
      </w:r>
    </w:p>
    <w:p w14:paraId="39EA4F55">
      <w:pPr>
        <w:widowControl/>
        <w:suppressAutoHyphens/>
        <w:bidi w:val="0"/>
        <w:spacing w:before="0" w:after="0" w:line="360" w:lineRule="auto"/>
        <w:ind w:left="0" w:right="0" w:firstLine="0"/>
        <w:jc w:val="both"/>
        <w:rPr>
          <w:rFonts w:ascii="Arial" w:hAnsi="Arial"/>
          <w:sz w:val="21"/>
          <w:szCs w:val="21"/>
        </w:rPr>
      </w:pPr>
    </w:p>
    <w:p w14:paraId="16CCC636">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7.1. O certame será conduzido pelo Pregoeiro(a), com o auxílio da equipe de apoio, que terá, em especial, as seguintes atribuições:</w:t>
      </w:r>
    </w:p>
    <w:p w14:paraId="6BFD04F6">
      <w:pPr>
        <w:widowControl/>
        <w:suppressAutoHyphens/>
        <w:bidi w:val="0"/>
        <w:spacing w:before="0" w:after="0" w:line="360" w:lineRule="auto"/>
        <w:ind w:left="0" w:right="0" w:firstLine="0"/>
        <w:jc w:val="both"/>
        <w:rPr>
          <w:rFonts w:ascii="Arial" w:hAnsi="Arial"/>
          <w:sz w:val="21"/>
          <w:szCs w:val="21"/>
        </w:rPr>
      </w:pPr>
    </w:p>
    <w:p w14:paraId="085FF64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 coordenar o processo licitatório;</w:t>
      </w:r>
    </w:p>
    <w:p w14:paraId="20225086">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b) receber, examinar e decidir as impugnações e consultas ao Edital, apoiado pelo responsável pela sua elaboração;</w:t>
      </w:r>
    </w:p>
    <w:p w14:paraId="087A767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c) conduzir a sessão pública na internet;</w:t>
      </w:r>
    </w:p>
    <w:p w14:paraId="7F66A24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d) verificar a conformidade da proposta com os requisitos estabelecidos no instrumento convocatório;</w:t>
      </w:r>
    </w:p>
    <w:p w14:paraId="5C57FF6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e) dirigir a etapa de lances;</w:t>
      </w:r>
    </w:p>
    <w:p w14:paraId="1646074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f) verificar e julgar as condições de habilitação;</w:t>
      </w:r>
    </w:p>
    <w:p w14:paraId="1CBE70D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g) 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14:paraId="6D57E09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h) indicar o vencedor do certame;</w:t>
      </w:r>
    </w:p>
    <w:p w14:paraId="48653EC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i) conduzir os trabalhos da equipe de apoio;</w:t>
      </w:r>
    </w:p>
    <w:p w14:paraId="7BB44D5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j) sanear erros ou falhas que não alterem a substância das propostas;</w:t>
      </w:r>
    </w:p>
    <w:p w14:paraId="1473288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k) encaminhar à equipe de apoio os documentos de habilitação, caso verifique a possibilidade de sanear erros ou falhas que não alterem a substância dos documentos e sua validade jurídica; e</w:t>
      </w:r>
    </w:p>
    <w:p w14:paraId="57E0A5D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l) encaminhar o processo devidamente instruído à autoridade superior e propor a adjudicação, homologação e confecções de atas ou contratos administrativos.</w:t>
      </w:r>
    </w:p>
    <w:p w14:paraId="5CC25168">
      <w:pPr>
        <w:widowControl/>
        <w:suppressAutoHyphens/>
        <w:bidi w:val="0"/>
        <w:spacing w:before="0" w:after="0" w:line="360" w:lineRule="auto"/>
        <w:ind w:left="0" w:right="0" w:firstLine="0"/>
        <w:jc w:val="both"/>
        <w:rPr>
          <w:rFonts w:ascii="Arial" w:hAnsi="Arial"/>
          <w:sz w:val="21"/>
          <w:szCs w:val="21"/>
        </w:rPr>
      </w:pPr>
    </w:p>
    <w:p w14:paraId="6880BC5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7.1.1. O pregoeiro poderá solicitar manifestação técnica da assessoria jurídica ou de outros agentes públicos, de setores da entidade, a fim de subsidiar sua decisão.</w:t>
      </w:r>
    </w:p>
    <w:p w14:paraId="5BAEEFDF">
      <w:pPr>
        <w:widowControl/>
        <w:suppressAutoHyphens/>
        <w:bidi w:val="0"/>
        <w:spacing w:before="0" w:after="0" w:line="360" w:lineRule="auto"/>
        <w:ind w:left="0" w:right="0" w:firstLine="0"/>
        <w:jc w:val="both"/>
        <w:rPr>
          <w:rFonts w:ascii="Arial" w:hAnsi="Arial"/>
          <w:sz w:val="21"/>
          <w:szCs w:val="21"/>
        </w:rPr>
      </w:pPr>
    </w:p>
    <w:p w14:paraId="03DF2FEC">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7.2. CREDENCIAMENTO NO SISTEMA ELETRÔNICO</w:t>
      </w:r>
    </w:p>
    <w:p w14:paraId="5D8CBCC1">
      <w:pPr>
        <w:widowControl/>
        <w:suppressAutoHyphens/>
        <w:bidi w:val="0"/>
        <w:spacing w:before="0" w:after="0" w:line="360" w:lineRule="auto"/>
        <w:ind w:left="0" w:right="0" w:firstLine="0"/>
        <w:jc w:val="both"/>
        <w:rPr>
          <w:rFonts w:ascii="Arial" w:hAnsi="Arial"/>
          <w:sz w:val="21"/>
          <w:szCs w:val="21"/>
        </w:rPr>
      </w:pPr>
    </w:p>
    <w:p w14:paraId="5BAD436F">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7.2.1 Para acesso ao sistema eletrônico, os interessados em participar do Pregão Eletrônico deverão dispor de chave de identificação e senha pessoal, ambas intransferíveis e de responsabilidade única do Usuário, obtidas junto ao Portal de Compras Públicas.</w:t>
      </w:r>
    </w:p>
    <w:p w14:paraId="50058FC7">
      <w:pPr>
        <w:widowControl/>
        <w:suppressAutoHyphens/>
        <w:bidi w:val="0"/>
        <w:spacing w:before="0" w:after="0" w:line="360" w:lineRule="auto"/>
        <w:ind w:left="0" w:right="0" w:firstLine="0"/>
        <w:jc w:val="both"/>
        <w:rPr>
          <w:rFonts w:ascii="Arial" w:hAnsi="Arial"/>
          <w:sz w:val="21"/>
          <w:szCs w:val="21"/>
        </w:rPr>
      </w:pPr>
    </w:p>
    <w:p w14:paraId="0322473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7.2.2. A chave de identificação e a senha dos operadores poderão ser utilizadas em qualquer pregão eletrônico, salvo quando canceladas por solicitação do Usuário ou por iniciativa do Portal de Compras Públicas.</w:t>
      </w:r>
    </w:p>
    <w:p w14:paraId="77FBC15B">
      <w:pPr>
        <w:widowControl/>
        <w:suppressAutoHyphens/>
        <w:bidi w:val="0"/>
        <w:spacing w:before="0" w:after="0" w:line="360" w:lineRule="auto"/>
        <w:ind w:left="0" w:right="0" w:firstLine="0"/>
        <w:jc w:val="both"/>
        <w:rPr>
          <w:rFonts w:ascii="Arial" w:hAnsi="Arial"/>
          <w:sz w:val="21"/>
          <w:szCs w:val="21"/>
        </w:rPr>
      </w:pPr>
    </w:p>
    <w:p w14:paraId="5626CDB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7.2.3. É de exclusiva responsabilidade do Usuário o sigilo da senha, bem como seu uso em qualquer transação efetuada diretamente ou por seu representante, não cabendo ao Portal de Compras Públicas ou Município de Lindóia do Sul a responsabilidade por eventuais danos decorrentes de uso indevido da senha, ainda que por terceiros.</w:t>
      </w:r>
    </w:p>
    <w:p w14:paraId="7825DEBB">
      <w:pPr>
        <w:widowControl/>
        <w:suppressAutoHyphens/>
        <w:bidi w:val="0"/>
        <w:spacing w:before="0" w:after="0" w:line="360" w:lineRule="auto"/>
        <w:ind w:left="0" w:right="0" w:firstLine="0"/>
        <w:jc w:val="both"/>
        <w:rPr>
          <w:rFonts w:ascii="Arial" w:hAnsi="Arial"/>
          <w:sz w:val="21"/>
          <w:szCs w:val="21"/>
        </w:rPr>
      </w:pPr>
    </w:p>
    <w:p w14:paraId="529C020F">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7.2.4. O credenciamento do fornecedor e de seu representante legal junto ao sistema eletrônico implica a responsabilidade legal pelos atos praticados, a presunção de capacidade técnica para realização das transações inerentes ao pregão eletrônico, bem como a aceitabilidade no que se refere as regras dos editais eletrônicos que escolher participar.</w:t>
      </w:r>
    </w:p>
    <w:p w14:paraId="753C2BC3">
      <w:pPr>
        <w:widowControl/>
        <w:suppressAutoHyphens/>
        <w:bidi w:val="0"/>
        <w:spacing w:before="0" w:after="0" w:line="360" w:lineRule="auto"/>
        <w:ind w:left="0" w:right="0" w:firstLine="0"/>
        <w:jc w:val="both"/>
        <w:rPr>
          <w:rFonts w:ascii="Arial" w:hAnsi="Arial"/>
          <w:sz w:val="21"/>
          <w:szCs w:val="21"/>
        </w:rPr>
      </w:pPr>
    </w:p>
    <w:p w14:paraId="2E7DB469">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7.3.</w:t>
      </w:r>
      <w:r>
        <w:rPr>
          <w:rFonts w:ascii="Arial" w:hAnsi="Arial"/>
          <w:sz w:val="21"/>
          <w:szCs w:val="21"/>
        </w:rPr>
        <w:t xml:space="preserve"> </w:t>
      </w:r>
      <w:r>
        <w:rPr>
          <w:rFonts w:ascii="Arial" w:hAnsi="Arial"/>
          <w:b/>
          <w:bCs/>
          <w:sz w:val="21"/>
          <w:szCs w:val="21"/>
        </w:rPr>
        <w:t>PARTICIPAÇÃO</w:t>
      </w:r>
    </w:p>
    <w:p w14:paraId="4A23750F">
      <w:pPr>
        <w:widowControl/>
        <w:suppressAutoHyphens/>
        <w:bidi w:val="0"/>
        <w:spacing w:before="0" w:after="0" w:line="360" w:lineRule="auto"/>
        <w:ind w:left="0" w:right="0" w:firstLine="0"/>
        <w:jc w:val="both"/>
        <w:rPr>
          <w:rFonts w:ascii="Arial" w:hAnsi="Arial"/>
          <w:b/>
          <w:bCs/>
          <w:sz w:val="21"/>
          <w:szCs w:val="21"/>
        </w:rPr>
      </w:pPr>
    </w:p>
    <w:p w14:paraId="67E0EEE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7.3.1. A participação no Pregão Eletrônico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14:paraId="55C4388A">
      <w:pPr>
        <w:widowControl/>
        <w:suppressAutoHyphens/>
        <w:bidi w:val="0"/>
        <w:spacing w:before="0" w:after="0" w:line="360" w:lineRule="auto"/>
        <w:ind w:left="0" w:right="0" w:firstLine="0"/>
        <w:jc w:val="both"/>
        <w:rPr>
          <w:rFonts w:ascii="Arial" w:hAnsi="Arial"/>
          <w:sz w:val="21"/>
          <w:szCs w:val="21"/>
        </w:rPr>
      </w:pPr>
    </w:p>
    <w:p w14:paraId="0ADAC32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7.3.2. Caberá ao licitante acompanhar as operações no sistema eletrônico durante a sessão pública do pregão, ficando responsável pelo ônus decorrentes da perda de negócios diante da inobservância de quaisquer mensagens emitidas pelo sistema ou de sua desconexão.</w:t>
      </w:r>
    </w:p>
    <w:p w14:paraId="2F3F142A">
      <w:pPr>
        <w:widowControl/>
        <w:suppressAutoHyphens/>
        <w:bidi w:val="0"/>
        <w:spacing w:before="0" w:after="0" w:line="360" w:lineRule="auto"/>
        <w:ind w:left="0" w:right="0" w:firstLine="0"/>
        <w:jc w:val="both"/>
        <w:rPr>
          <w:rFonts w:ascii="Arial" w:hAnsi="Arial"/>
          <w:sz w:val="21"/>
          <w:szCs w:val="21"/>
        </w:rPr>
      </w:pPr>
    </w:p>
    <w:p w14:paraId="146FBBC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7.3.3. A participação do licitante nesta Licitação implica aceitação de todos os termos deste Edital, e obrigará o proponente vencedor a entrega dos itens nas condições, locais e prazos definidos.</w:t>
      </w:r>
    </w:p>
    <w:p w14:paraId="3907C060">
      <w:pPr>
        <w:widowControl/>
        <w:suppressAutoHyphens/>
        <w:bidi w:val="0"/>
        <w:spacing w:before="0" w:after="0" w:line="360" w:lineRule="auto"/>
        <w:ind w:left="0" w:right="0" w:firstLine="0"/>
        <w:jc w:val="both"/>
        <w:rPr>
          <w:rFonts w:ascii="Arial" w:hAnsi="Arial"/>
          <w:sz w:val="21"/>
          <w:szCs w:val="21"/>
        </w:rPr>
      </w:pPr>
    </w:p>
    <w:p w14:paraId="0989198C">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7.4. PROPOSTA NO SISTEMA ELETRÔNICO</w:t>
      </w:r>
    </w:p>
    <w:p w14:paraId="1B074876">
      <w:pPr>
        <w:widowControl/>
        <w:suppressAutoHyphens/>
        <w:bidi w:val="0"/>
        <w:spacing w:before="0" w:after="0" w:line="360" w:lineRule="auto"/>
        <w:ind w:left="0" w:right="0" w:firstLine="0"/>
        <w:jc w:val="both"/>
        <w:rPr>
          <w:rFonts w:ascii="Arial" w:hAnsi="Arial"/>
          <w:sz w:val="21"/>
          <w:szCs w:val="21"/>
        </w:rPr>
      </w:pPr>
    </w:p>
    <w:p w14:paraId="1A4C00D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7.4.1. 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obrigações.</w:t>
      </w:r>
    </w:p>
    <w:p w14:paraId="49245A55">
      <w:pPr>
        <w:widowControl/>
        <w:suppressAutoHyphens/>
        <w:bidi w:val="0"/>
        <w:spacing w:before="0" w:after="0" w:line="360" w:lineRule="auto"/>
        <w:ind w:left="0" w:right="0" w:firstLine="0"/>
        <w:jc w:val="both"/>
        <w:rPr>
          <w:rFonts w:ascii="Arial" w:hAnsi="Arial"/>
          <w:sz w:val="21"/>
          <w:szCs w:val="21"/>
        </w:rPr>
      </w:pPr>
    </w:p>
    <w:p w14:paraId="57199E6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7.4.2. No preenchimento da proposta eletrônica deverão, obrigatoriamente, ser informadas, no campo próprio, as especificações, marca/modelo, preços unitário e totais de todos os itens ofertados.</w:t>
      </w:r>
    </w:p>
    <w:p w14:paraId="60E5AB33">
      <w:pPr>
        <w:widowControl/>
        <w:suppressAutoHyphens/>
        <w:bidi w:val="0"/>
        <w:spacing w:before="0" w:after="0" w:line="360" w:lineRule="auto"/>
        <w:ind w:left="0" w:right="0" w:firstLine="0"/>
        <w:jc w:val="both"/>
        <w:rPr>
          <w:rFonts w:ascii="Arial" w:hAnsi="Arial"/>
          <w:sz w:val="21"/>
          <w:szCs w:val="21"/>
        </w:rPr>
      </w:pPr>
    </w:p>
    <w:p w14:paraId="3B86606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7.4.2.1. </w:t>
      </w:r>
      <w:r>
        <w:rPr>
          <w:rFonts w:ascii="Arial" w:hAnsi="Arial" w:eastAsia="Times New Roman" w:cs="Arial"/>
          <w:bCs/>
          <w:color w:val="000000"/>
          <w:kern w:val="0"/>
          <w:sz w:val="21"/>
          <w:szCs w:val="21"/>
          <w:shd w:val="clear" w:fill="auto"/>
          <w:lang w:eastAsia="zh-CN"/>
        </w:rPr>
        <w:t xml:space="preserve">O valor máximo final aceitável orçado pelo Município para a aquisição do objeto desta licitação encontra-se </w:t>
      </w:r>
      <w:r>
        <w:rPr>
          <w:rFonts w:ascii="Arial" w:hAnsi="Arial" w:eastAsia="Times New Roman" w:cs="Arial"/>
          <w:bCs/>
          <w:color w:val="000000"/>
          <w:kern w:val="0"/>
          <w:sz w:val="21"/>
          <w:szCs w:val="21"/>
          <w:shd w:val="clear" w:fill="FFFFFF"/>
          <w:lang w:eastAsia="zh-CN"/>
        </w:rPr>
        <w:t>no Anexo “I” de</w:t>
      </w:r>
      <w:r>
        <w:rPr>
          <w:rFonts w:ascii="Arial" w:hAnsi="Arial" w:eastAsia="Times New Roman" w:cs="Arial"/>
          <w:bCs/>
          <w:color w:val="000000"/>
          <w:kern w:val="0"/>
          <w:sz w:val="21"/>
          <w:szCs w:val="21"/>
          <w:shd w:val="clear" w:fill="auto"/>
          <w:lang w:eastAsia="zh-CN"/>
        </w:rPr>
        <w:t>ste Edital.</w:t>
      </w:r>
    </w:p>
    <w:p w14:paraId="34DB384D">
      <w:pPr>
        <w:widowControl/>
        <w:suppressAutoHyphens/>
        <w:bidi w:val="0"/>
        <w:spacing w:before="0" w:after="0" w:line="360" w:lineRule="auto"/>
        <w:ind w:left="0" w:right="0" w:firstLine="0"/>
        <w:jc w:val="both"/>
        <w:rPr>
          <w:rFonts w:ascii="Arial" w:hAnsi="Arial"/>
          <w:sz w:val="21"/>
          <w:szCs w:val="21"/>
        </w:rPr>
      </w:pPr>
    </w:p>
    <w:p w14:paraId="4D0D2F5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7.4.3 O objeto deverá estar total e estritamente dentro das especificações contidas para o Edital e seus anexos.</w:t>
      </w:r>
    </w:p>
    <w:p w14:paraId="35A85C0D">
      <w:pPr>
        <w:widowControl/>
        <w:suppressAutoHyphens/>
        <w:bidi w:val="0"/>
        <w:spacing w:before="0" w:after="0" w:line="360" w:lineRule="auto"/>
        <w:ind w:left="0" w:right="0" w:firstLine="0"/>
        <w:jc w:val="both"/>
        <w:rPr>
          <w:rFonts w:ascii="Arial" w:hAnsi="Arial"/>
          <w:sz w:val="21"/>
          <w:szCs w:val="21"/>
        </w:rPr>
      </w:pPr>
    </w:p>
    <w:p w14:paraId="1587B41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7.4.4. Fica vetada a identificação da empresa em qualquer campo da proposta, tal como timbres, abreviações (relacionadas a empresas), telefones etc., o descumprimento do mesmo acarretará a desclassificação prévia da empresa licitante.</w:t>
      </w:r>
    </w:p>
    <w:p w14:paraId="37C2E293">
      <w:pPr>
        <w:widowControl/>
        <w:suppressAutoHyphens/>
        <w:bidi w:val="0"/>
        <w:spacing w:before="0" w:after="0" w:line="360" w:lineRule="auto"/>
        <w:ind w:left="0" w:right="0" w:firstLine="0"/>
        <w:jc w:val="both"/>
        <w:rPr>
          <w:rFonts w:ascii="Arial" w:hAnsi="Arial"/>
          <w:sz w:val="21"/>
          <w:szCs w:val="21"/>
        </w:rPr>
      </w:pPr>
    </w:p>
    <w:p w14:paraId="4572FCB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7.4.5. O licitante deverá encaminhar proposta, concomitantemente os documentos de habilitação exigidos no Edital, exclusivamente por meio do sistema eletrônico, até a data e horário indicados no preâmbulo deste Edital, quando então encerrar-se-á automaticamente a fase de recebimento de propostas.</w:t>
      </w:r>
    </w:p>
    <w:p w14:paraId="28AC00FA">
      <w:pPr>
        <w:widowControl/>
        <w:suppressAutoHyphens/>
        <w:bidi w:val="0"/>
        <w:spacing w:before="0" w:after="0" w:line="360" w:lineRule="auto"/>
        <w:ind w:left="0" w:right="0" w:firstLine="0"/>
        <w:jc w:val="both"/>
        <w:rPr>
          <w:rFonts w:ascii="Arial" w:hAnsi="Arial"/>
          <w:sz w:val="21"/>
          <w:szCs w:val="21"/>
        </w:rPr>
      </w:pPr>
    </w:p>
    <w:p w14:paraId="014ED72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7.4.6. A licitante deverá declarar, em campo próprio do sistema eletrônico, que cumpre plenamente os requisitos de habilitação, e que sua proposta está em conformidade com as exigências do Edital.</w:t>
      </w:r>
    </w:p>
    <w:p w14:paraId="7F6553D7">
      <w:pPr>
        <w:widowControl/>
        <w:suppressAutoHyphens/>
        <w:bidi w:val="0"/>
        <w:spacing w:before="0" w:after="0" w:line="360" w:lineRule="auto"/>
        <w:ind w:left="0" w:right="0" w:firstLine="0"/>
        <w:jc w:val="both"/>
        <w:rPr>
          <w:rFonts w:ascii="Arial" w:hAnsi="Arial"/>
          <w:sz w:val="21"/>
          <w:szCs w:val="21"/>
        </w:rPr>
      </w:pPr>
    </w:p>
    <w:p w14:paraId="4163211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7.4.7. A licitante enquadrada como microempresa ou empresa de pequeno porte deverá declarar, sob pena de decair seu Direito de Pequena Empresa, em campo próprio do Sistema, que atende aos requisitos do art. 3º da LC nº 123/06, para fazer jus aos benefícios previstos em lei.</w:t>
      </w:r>
    </w:p>
    <w:p w14:paraId="3743BBED">
      <w:pPr>
        <w:widowControl/>
        <w:suppressAutoHyphens/>
        <w:bidi w:val="0"/>
        <w:spacing w:before="0" w:after="0" w:line="360" w:lineRule="auto"/>
        <w:ind w:left="0" w:right="0" w:firstLine="0"/>
        <w:jc w:val="both"/>
        <w:rPr>
          <w:rFonts w:ascii="Arial" w:hAnsi="Arial"/>
          <w:sz w:val="21"/>
          <w:szCs w:val="21"/>
        </w:rPr>
      </w:pPr>
    </w:p>
    <w:p w14:paraId="40270C9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7.4.8 A declaração falsa relativa ao cumprimento dos requisitos de habilitação, à conformidade da proposta ou ao enquadramento como microempresa ou empresa de pequeno porte sujeitará a licitante às sanções previstas neste Edital.</w:t>
      </w:r>
    </w:p>
    <w:p w14:paraId="25AA3D18">
      <w:pPr>
        <w:widowControl/>
        <w:suppressAutoHyphens/>
        <w:bidi w:val="0"/>
        <w:spacing w:before="0" w:after="0" w:line="360" w:lineRule="auto"/>
        <w:ind w:left="0" w:right="0" w:firstLine="0"/>
        <w:jc w:val="both"/>
        <w:rPr>
          <w:rFonts w:ascii="Arial" w:hAnsi="Arial"/>
          <w:sz w:val="21"/>
          <w:szCs w:val="21"/>
        </w:rPr>
      </w:pPr>
    </w:p>
    <w:p w14:paraId="1EDAB9D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7.4.9. As propostas ficarão disponíveis no sistema eletrônico.</w:t>
      </w:r>
    </w:p>
    <w:p w14:paraId="61CF9244">
      <w:pPr>
        <w:widowControl/>
        <w:suppressAutoHyphens/>
        <w:bidi w:val="0"/>
        <w:spacing w:before="0" w:after="0" w:line="360" w:lineRule="auto"/>
        <w:ind w:left="0" w:right="0" w:firstLine="0"/>
        <w:jc w:val="both"/>
        <w:rPr>
          <w:rFonts w:ascii="Arial" w:hAnsi="Arial"/>
          <w:sz w:val="21"/>
          <w:szCs w:val="21"/>
        </w:rPr>
      </w:pPr>
    </w:p>
    <w:p w14:paraId="2ED0A6B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7.4.10 Qualquer elemento que possa identificar a licitante importa desclassificação da proposta, sem prejuízo das sanções previstas nesse Edital e nas demais legislações brasileiras.</w:t>
      </w:r>
    </w:p>
    <w:p w14:paraId="44994F28">
      <w:pPr>
        <w:widowControl/>
        <w:suppressAutoHyphens/>
        <w:bidi w:val="0"/>
        <w:spacing w:before="0" w:after="0" w:line="360" w:lineRule="auto"/>
        <w:ind w:left="0" w:right="0" w:firstLine="0"/>
        <w:jc w:val="both"/>
        <w:rPr>
          <w:rFonts w:ascii="Arial" w:hAnsi="Arial"/>
          <w:sz w:val="21"/>
          <w:szCs w:val="21"/>
        </w:rPr>
      </w:pPr>
    </w:p>
    <w:p w14:paraId="1B08AA80">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7.4.11. Até a data limite para a apresentação da proposta, a licitante poderá retirar ou substituir a proposta e os documentos de habilitação anteriormente encaminhada. Após a data limite, não poderá haver desistência da proposta, salvo aceitação de justificativa pelo Município de Lindóia do Sul, e poderá ocorrer o complemento dos documentos de habilitação e regularidade fiscal após a fase de lances, se for declarado vencedor, no prazo estipulado pelo pregoeiro, não inferior a 02 (duas) horas.</w:t>
      </w:r>
    </w:p>
    <w:p w14:paraId="0CBC04A4">
      <w:pPr>
        <w:widowControl/>
        <w:suppressAutoHyphens/>
        <w:bidi w:val="0"/>
        <w:spacing w:before="0" w:after="0" w:line="360" w:lineRule="auto"/>
        <w:ind w:left="0" w:right="0" w:firstLine="0"/>
        <w:jc w:val="both"/>
        <w:rPr>
          <w:rFonts w:ascii="Arial" w:hAnsi="Arial"/>
          <w:sz w:val="21"/>
          <w:szCs w:val="21"/>
        </w:rPr>
      </w:pPr>
    </w:p>
    <w:p w14:paraId="691AAAC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7.4.12. Os documentos que compõem a proposta e a habilitação do licitante melhor classificado somente serão disponibilizados para avaliação do Pregoeiro e para acesso público após o encerramento do envio de lances.</w:t>
      </w:r>
    </w:p>
    <w:p w14:paraId="512F72C1">
      <w:pPr>
        <w:widowControl/>
        <w:suppressAutoHyphens/>
        <w:bidi w:val="0"/>
        <w:spacing w:before="0" w:after="0" w:line="360" w:lineRule="auto"/>
        <w:ind w:left="0" w:right="0" w:firstLine="0"/>
        <w:jc w:val="both"/>
        <w:rPr>
          <w:rFonts w:ascii="Arial" w:hAnsi="Arial"/>
          <w:sz w:val="21"/>
          <w:szCs w:val="21"/>
        </w:rPr>
      </w:pPr>
    </w:p>
    <w:p w14:paraId="359BD98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7.4.13. O prazo de validade da proposta de preços não poderá ser inferior a 60 (sessenta) dias, contados da abertura das propostas virtuais.</w:t>
      </w:r>
    </w:p>
    <w:p w14:paraId="6CCA8392">
      <w:pPr>
        <w:widowControl/>
        <w:suppressAutoHyphens/>
        <w:bidi w:val="0"/>
        <w:spacing w:before="0" w:after="0" w:line="360" w:lineRule="auto"/>
        <w:ind w:left="0" w:right="0" w:firstLine="0"/>
        <w:jc w:val="both"/>
        <w:rPr>
          <w:rFonts w:ascii="Arial" w:hAnsi="Arial"/>
          <w:sz w:val="21"/>
          <w:szCs w:val="21"/>
        </w:rPr>
      </w:pPr>
    </w:p>
    <w:p w14:paraId="2D14723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7.4.14. Nos preços propostos deverão estar incluídos todos os custos diretos e indiretos necessários à perfeita execução do objeto,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4F0886F3">
      <w:pPr>
        <w:widowControl/>
        <w:suppressAutoHyphens/>
        <w:bidi w:val="0"/>
        <w:spacing w:before="0" w:after="0" w:line="360" w:lineRule="auto"/>
        <w:ind w:left="0" w:right="0" w:firstLine="0"/>
        <w:jc w:val="both"/>
        <w:rPr>
          <w:rFonts w:ascii="Arial" w:hAnsi="Arial"/>
          <w:sz w:val="21"/>
          <w:szCs w:val="21"/>
        </w:rPr>
      </w:pPr>
    </w:p>
    <w:p w14:paraId="3426ACF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7.4.15. Para composição do preço unitário e total do item, os participantes deverão considerar até 02 (dois) dígitos após a vírgula. No fornecimento posterior, a totalização do pedido contabilizado (total da Nota Fiscal) será de dois dígitos após a vírgula. Se houve algum dígito a mais, não importa a quantidade, será desconsiderado.</w:t>
      </w:r>
    </w:p>
    <w:p w14:paraId="381E5E5F">
      <w:pPr>
        <w:widowControl/>
        <w:suppressAutoHyphens/>
        <w:bidi w:val="0"/>
        <w:spacing w:before="0" w:after="0" w:line="360" w:lineRule="auto"/>
        <w:ind w:left="0" w:right="0" w:firstLine="0"/>
        <w:jc w:val="both"/>
        <w:rPr>
          <w:rFonts w:ascii="Arial" w:hAnsi="Arial"/>
          <w:sz w:val="21"/>
          <w:szCs w:val="21"/>
        </w:rPr>
      </w:pPr>
    </w:p>
    <w:p w14:paraId="704AAD3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7.4.16. A apresentação de proposta importa no compromisso, pelo licitante, com o cumprimento dos respectivos métodos de controle de qualidade e da sistemática de certificação de conformidade, existentes atualmente.</w:t>
      </w:r>
    </w:p>
    <w:p w14:paraId="464347EE">
      <w:pPr>
        <w:widowControl/>
        <w:suppressAutoHyphens/>
        <w:bidi w:val="0"/>
        <w:spacing w:before="0" w:after="0" w:line="360" w:lineRule="auto"/>
        <w:ind w:left="0" w:right="0" w:firstLine="0"/>
        <w:jc w:val="both"/>
        <w:rPr>
          <w:rFonts w:ascii="Arial" w:hAnsi="Arial"/>
          <w:sz w:val="21"/>
          <w:szCs w:val="21"/>
        </w:rPr>
      </w:pPr>
    </w:p>
    <w:p w14:paraId="10B8E5C3">
      <w:pPr>
        <w:pStyle w:val="398"/>
        <w:spacing w:before="0" w:after="0" w:line="360" w:lineRule="auto"/>
        <w:ind w:left="0" w:right="0" w:firstLine="0"/>
        <w:jc w:val="both"/>
        <w:rPr>
          <w:rFonts w:ascii="Arial" w:hAnsi="Arial"/>
          <w:sz w:val="21"/>
          <w:szCs w:val="21"/>
        </w:rPr>
      </w:pPr>
      <w:r>
        <w:rPr>
          <w:rFonts w:ascii="Arial" w:hAnsi="Arial"/>
          <w:b w:val="0"/>
          <w:bCs w:val="0"/>
          <w:strike w:val="0"/>
          <w:dstrike w:val="0"/>
          <w:color w:val="000000"/>
          <w:sz w:val="21"/>
          <w:szCs w:val="21"/>
          <w:u w:val="none"/>
        </w:rPr>
        <w:t xml:space="preserve">7.4.17. </w:t>
      </w:r>
      <w:r>
        <w:rPr>
          <w:rFonts w:ascii="Arial" w:hAnsi="Arial"/>
          <w:b w:val="0"/>
          <w:strike w:val="0"/>
          <w:dstrike w:val="0"/>
          <w:color w:val="000000"/>
          <w:sz w:val="21"/>
          <w:szCs w:val="21"/>
          <w:u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32C07788">
      <w:pPr>
        <w:pStyle w:val="398"/>
        <w:spacing w:before="0" w:after="0" w:line="360" w:lineRule="auto"/>
        <w:ind w:left="0" w:right="0" w:firstLine="0"/>
        <w:jc w:val="both"/>
        <w:rPr>
          <w:rFonts w:ascii="Arial" w:hAnsi="Arial"/>
          <w:b w:val="0"/>
          <w:strike w:val="0"/>
          <w:dstrike w:val="0"/>
          <w:color w:val="000000"/>
          <w:sz w:val="21"/>
          <w:szCs w:val="21"/>
          <w:u w:val="none"/>
        </w:rPr>
      </w:pPr>
    </w:p>
    <w:p w14:paraId="2C76194F">
      <w:pPr>
        <w:pStyle w:val="398"/>
        <w:spacing w:before="0" w:after="0" w:line="360" w:lineRule="auto"/>
        <w:ind w:left="0" w:right="0" w:firstLine="0"/>
        <w:jc w:val="both"/>
        <w:rPr>
          <w:rFonts w:ascii="Arial" w:hAnsi="Arial"/>
          <w:sz w:val="21"/>
          <w:szCs w:val="21"/>
        </w:rPr>
      </w:pPr>
      <w:r>
        <w:rPr>
          <w:rFonts w:ascii="Arial" w:hAnsi="Arial"/>
          <w:b w:val="0"/>
          <w:bCs w:val="0"/>
          <w:strike w:val="0"/>
          <w:dstrike w:val="0"/>
          <w:color w:val="000000"/>
          <w:sz w:val="21"/>
          <w:szCs w:val="21"/>
          <w:u w:val="none"/>
        </w:rPr>
        <w:t xml:space="preserve">7.4.18. </w:t>
      </w:r>
      <w:r>
        <w:rPr>
          <w:rFonts w:ascii="Arial" w:hAnsi="Arial"/>
          <w:b w:val="0"/>
          <w:strike w:val="0"/>
          <w:dstrike w:val="0"/>
          <w:color w:val="000000"/>
          <w:sz w:val="21"/>
          <w:szCs w:val="21"/>
          <w:u w:val="none"/>
        </w:rPr>
        <w:t>A apresentação da proposta implica obrigatoriedade do cumprimento das disposições nela contida, em conformidade com o que dispõe o Termo de Referência, assumindo o proponente o compromisso de executar o objeto licitado nos seus termos, bem como, de promover, quando requerido, sua substituição.</w:t>
      </w:r>
    </w:p>
    <w:p w14:paraId="21B12981">
      <w:pPr>
        <w:pStyle w:val="398"/>
        <w:spacing w:before="0" w:after="0" w:line="360" w:lineRule="auto"/>
        <w:ind w:left="0" w:right="0" w:firstLine="0"/>
        <w:rPr>
          <w:rFonts w:ascii="Arial" w:hAnsi="Arial"/>
          <w:b w:val="0"/>
          <w:strike w:val="0"/>
          <w:dstrike w:val="0"/>
          <w:color w:val="000000"/>
          <w:sz w:val="21"/>
          <w:szCs w:val="21"/>
          <w:u w:val="none"/>
        </w:rPr>
      </w:pPr>
    </w:p>
    <w:p w14:paraId="1F5A40E4">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8. ABERTURA DAS PROPOSTAS E FORMULAÇÃO DOS LANCES</w:t>
      </w:r>
    </w:p>
    <w:p w14:paraId="2D3B0C80">
      <w:pPr>
        <w:widowControl/>
        <w:suppressAutoHyphens/>
        <w:bidi w:val="0"/>
        <w:spacing w:before="0" w:after="0" w:line="360" w:lineRule="auto"/>
        <w:ind w:left="0" w:right="0" w:firstLine="0"/>
        <w:jc w:val="both"/>
        <w:rPr>
          <w:rFonts w:ascii="Arial" w:hAnsi="Arial"/>
          <w:sz w:val="21"/>
          <w:szCs w:val="21"/>
        </w:rPr>
      </w:pPr>
    </w:p>
    <w:p w14:paraId="2714CD2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 A partir do horário previsto no Edital e no site www.portaldecompraspublicas.com.br, terá início a sessão pública do pregão, na forma eletrônica, com a divulgação das propostas de preços recebidas, passando o Pregoeiro (a) a avaliar a aceitabilidade das propostas.</w:t>
      </w:r>
    </w:p>
    <w:p w14:paraId="2D6BC922">
      <w:pPr>
        <w:widowControl/>
        <w:suppressAutoHyphens/>
        <w:bidi w:val="0"/>
        <w:spacing w:before="0" w:after="0" w:line="360" w:lineRule="auto"/>
        <w:ind w:left="0" w:right="0" w:firstLine="0"/>
        <w:jc w:val="both"/>
        <w:rPr>
          <w:rFonts w:ascii="Arial" w:hAnsi="Arial"/>
          <w:sz w:val="21"/>
          <w:szCs w:val="21"/>
        </w:rPr>
      </w:pPr>
    </w:p>
    <w:p w14:paraId="5ECC7E8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8.1.1. </w:t>
      </w:r>
      <w:r>
        <w:rPr>
          <w:rFonts w:ascii="Arial" w:hAnsi="Arial" w:eastAsia="Times New Roman" w:cs="Arial"/>
          <w:bCs/>
          <w:color w:val="000000"/>
          <w:kern w:val="0"/>
          <w:sz w:val="21"/>
          <w:szCs w:val="21"/>
          <w:lang w:eastAsia="zh-CN"/>
        </w:rPr>
        <w:t>O acompanhamento da sessão se dará, única e exclusivamente, por meio eletrônico, no sítio informado no preâmbulo deste edital.</w:t>
      </w:r>
    </w:p>
    <w:p w14:paraId="6C26BCDD">
      <w:pPr>
        <w:widowControl/>
        <w:suppressAutoHyphens/>
        <w:bidi w:val="0"/>
        <w:spacing w:before="0" w:after="0" w:line="360" w:lineRule="auto"/>
        <w:ind w:left="0" w:right="0" w:firstLine="0"/>
        <w:jc w:val="both"/>
        <w:rPr>
          <w:rFonts w:ascii="Arial" w:hAnsi="Arial"/>
          <w:sz w:val="21"/>
          <w:szCs w:val="21"/>
        </w:rPr>
      </w:pPr>
    </w:p>
    <w:p w14:paraId="1AECCAC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8.2. Serão verificadas as propostas apresentadas e desclassificadas, motivadamente, aquelas que não estejam em conformidade com os requisitos estabelecidos neste Edital.</w:t>
      </w:r>
    </w:p>
    <w:p w14:paraId="5C5A04B3">
      <w:pPr>
        <w:widowControl/>
        <w:suppressAutoHyphens/>
        <w:bidi w:val="0"/>
        <w:spacing w:before="0" w:after="0" w:line="360" w:lineRule="auto"/>
        <w:ind w:left="0" w:right="0" w:firstLine="0"/>
        <w:jc w:val="both"/>
        <w:rPr>
          <w:rFonts w:ascii="Arial" w:hAnsi="Arial"/>
          <w:sz w:val="21"/>
          <w:szCs w:val="21"/>
        </w:rPr>
      </w:pPr>
    </w:p>
    <w:p w14:paraId="2D7F32C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8.3. Somente as licitantes com propostas classificadas participarão da fase de lances.</w:t>
      </w:r>
    </w:p>
    <w:p w14:paraId="5E37DC78">
      <w:pPr>
        <w:widowControl/>
        <w:suppressAutoHyphens/>
        <w:bidi w:val="0"/>
        <w:spacing w:before="0" w:after="0" w:line="360" w:lineRule="auto"/>
        <w:ind w:left="0" w:right="0" w:firstLine="0"/>
        <w:jc w:val="both"/>
        <w:rPr>
          <w:rFonts w:ascii="Arial" w:hAnsi="Arial"/>
          <w:sz w:val="21"/>
          <w:szCs w:val="21"/>
        </w:rPr>
      </w:pPr>
    </w:p>
    <w:p w14:paraId="7629256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8.4. Todas as propostas classificadas serão consideradas lances na fase de disputas e ordenadas por valor, de forma decrescente.</w:t>
      </w:r>
    </w:p>
    <w:p w14:paraId="3D269CF6">
      <w:pPr>
        <w:widowControl/>
        <w:suppressAutoHyphens/>
        <w:bidi w:val="0"/>
        <w:spacing w:before="0" w:after="0" w:line="360" w:lineRule="auto"/>
        <w:ind w:left="0" w:right="0" w:firstLine="0"/>
        <w:jc w:val="both"/>
        <w:rPr>
          <w:rFonts w:ascii="Arial" w:hAnsi="Arial"/>
          <w:sz w:val="21"/>
          <w:szCs w:val="21"/>
        </w:rPr>
      </w:pPr>
    </w:p>
    <w:p w14:paraId="33B16AD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8.5. Aberta a etapa competitiva, os representantes dos fornecedores deverão estar conectados ao sistema para participar da sessão de lances, </w:t>
      </w:r>
      <w:r>
        <w:rPr>
          <w:rFonts w:ascii="Arial" w:hAnsi="Arial" w:eastAsia="Times New Roman" w:cs="Arial"/>
          <w:bCs/>
          <w:color w:val="000000"/>
          <w:kern w:val="0"/>
          <w:sz w:val="21"/>
          <w:szCs w:val="21"/>
          <w:lang w:eastAsia="zh-CN"/>
        </w:rPr>
        <w:t>exclusivamente por meio do sistema eletrônico</w:t>
      </w:r>
      <w:r>
        <w:rPr>
          <w:rFonts w:ascii="Arial" w:hAnsi="Arial"/>
          <w:sz w:val="21"/>
          <w:szCs w:val="21"/>
        </w:rPr>
        <w:t>. A cada lance ofertado o participante será imediatamente informado de seu recebimento e respectivo horário de registro e valor, mantendo-se em sigilo a identificação de os demais ofertantes.</w:t>
      </w:r>
    </w:p>
    <w:p w14:paraId="6809F632">
      <w:pPr>
        <w:widowControl/>
        <w:suppressAutoHyphens/>
        <w:bidi w:val="0"/>
        <w:spacing w:before="0" w:after="0" w:line="360" w:lineRule="auto"/>
        <w:ind w:left="0" w:right="0" w:firstLine="0"/>
        <w:jc w:val="both"/>
        <w:rPr>
          <w:rFonts w:ascii="Arial" w:hAnsi="Arial"/>
          <w:sz w:val="21"/>
          <w:szCs w:val="21"/>
        </w:rPr>
      </w:pPr>
    </w:p>
    <w:p w14:paraId="45FFB68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8.6. Durante a sessão pública, a comunicação entre o(a) Pregoeiro(a) e as licitantes ocorrerá exclusivamente mediante troca de mensagens, em campo próprio do sistema eletrônico.</w:t>
      </w:r>
    </w:p>
    <w:p w14:paraId="5018F74B">
      <w:pPr>
        <w:widowControl/>
        <w:suppressAutoHyphens/>
        <w:bidi w:val="0"/>
        <w:spacing w:before="0" w:after="0" w:line="360" w:lineRule="auto"/>
        <w:ind w:left="0" w:right="0" w:firstLine="0"/>
        <w:jc w:val="both"/>
        <w:rPr>
          <w:rFonts w:ascii="Arial" w:hAnsi="Arial"/>
          <w:sz w:val="21"/>
          <w:szCs w:val="21"/>
        </w:rPr>
      </w:pPr>
    </w:p>
    <w:p w14:paraId="7D58B986">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8.7. Os itens, caso existentes, poderão ser disponibilizados por grupo, para otimização dos trabalhos do(a) Pregoeiro(a) e da Equipe de Apoio e a disputa de lances poderá se estender para outros dias, se necessário.</w:t>
      </w:r>
    </w:p>
    <w:p w14:paraId="57EAD81C">
      <w:pPr>
        <w:widowControl/>
        <w:suppressAutoHyphens/>
        <w:bidi w:val="0"/>
        <w:spacing w:before="0" w:after="0" w:line="360" w:lineRule="auto"/>
        <w:ind w:left="0" w:right="0" w:firstLine="0"/>
        <w:jc w:val="both"/>
        <w:rPr>
          <w:rFonts w:ascii="Arial" w:hAnsi="Arial"/>
          <w:sz w:val="21"/>
          <w:szCs w:val="21"/>
        </w:rPr>
      </w:pPr>
    </w:p>
    <w:p w14:paraId="7C2E62E2">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8.8. Poderão ser ofertados lances intermediários, na impossibilidade de cobrir o menor preço, desde que seja inferior ao seu último lance ofertado e diferente de qualquer lance válido.</w:t>
      </w:r>
    </w:p>
    <w:p w14:paraId="4FA9A87A">
      <w:pPr>
        <w:widowControl/>
        <w:suppressAutoHyphens/>
        <w:bidi w:val="0"/>
        <w:spacing w:before="0" w:after="0" w:line="360" w:lineRule="auto"/>
        <w:ind w:left="0" w:right="0" w:firstLine="0"/>
        <w:jc w:val="both"/>
        <w:rPr>
          <w:rFonts w:ascii="Arial" w:hAnsi="Arial"/>
          <w:sz w:val="21"/>
          <w:szCs w:val="21"/>
        </w:rPr>
      </w:pPr>
    </w:p>
    <w:p w14:paraId="0A7D261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8.9. Não serão aceitos dois ou mais lances de mesmo valor, prevalecendo aquele que for recebido e registrado em primeiro lugar pelo sistema eletrônico.</w:t>
      </w:r>
    </w:p>
    <w:p w14:paraId="7CC75888">
      <w:pPr>
        <w:widowControl/>
        <w:suppressAutoHyphens/>
        <w:bidi w:val="0"/>
        <w:spacing w:before="0" w:after="0" w:line="360" w:lineRule="auto"/>
        <w:ind w:left="0" w:right="0" w:firstLine="0"/>
        <w:jc w:val="both"/>
        <w:rPr>
          <w:rFonts w:ascii="Arial" w:hAnsi="Arial"/>
          <w:sz w:val="21"/>
          <w:szCs w:val="21"/>
        </w:rPr>
      </w:pPr>
    </w:p>
    <w:p w14:paraId="493E419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8.10. </w:t>
      </w:r>
      <w:r>
        <w:rPr>
          <w:rFonts w:ascii="Arial" w:hAnsi="Arial" w:eastAsia="Times New Roman" w:cs="Arial"/>
          <w:bCs/>
          <w:color w:val="000000"/>
          <w:kern w:val="0"/>
          <w:sz w:val="21"/>
          <w:szCs w:val="21"/>
          <w:lang w:eastAsia="zh-CN"/>
        </w:rPr>
        <w:t>Durante a sessão pública do Pregão Eletrônico, os licitantes serão informados em tempo real, do valor do menor lance registrado, vedada a identificação do seu detentor.</w:t>
      </w:r>
    </w:p>
    <w:p w14:paraId="63A220A3">
      <w:pPr>
        <w:widowControl/>
        <w:suppressAutoHyphens/>
        <w:bidi w:val="0"/>
        <w:spacing w:before="0" w:after="0" w:line="360" w:lineRule="auto"/>
        <w:ind w:left="0" w:right="0" w:firstLine="0"/>
        <w:jc w:val="both"/>
        <w:rPr>
          <w:rFonts w:ascii="Arial" w:hAnsi="Arial"/>
          <w:sz w:val="21"/>
          <w:szCs w:val="21"/>
        </w:rPr>
      </w:pPr>
    </w:p>
    <w:p w14:paraId="667BEED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8.11. No caso de desconexão com o(a) Pregoeiro(a), no decorrer da etapa competitiva do Pregão, na Forma Eletrônica, o sistema eletrônico poderá permanecer acessível às licitantes para a recepção dos lances, retornando o(a) Pregoeiro(a), quando possível, sua atuação no certame, sem prejuízos dos atos realizados.</w:t>
      </w:r>
    </w:p>
    <w:p w14:paraId="6CF24565">
      <w:pPr>
        <w:widowControl/>
        <w:suppressAutoHyphens/>
        <w:bidi w:val="0"/>
        <w:spacing w:before="0" w:after="0" w:line="360" w:lineRule="auto"/>
        <w:ind w:left="0" w:right="0" w:firstLine="0"/>
        <w:jc w:val="both"/>
        <w:rPr>
          <w:rFonts w:ascii="Arial" w:hAnsi="Arial"/>
          <w:sz w:val="21"/>
          <w:szCs w:val="21"/>
        </w:rPr>
      </w:pPr>
    </w:p>
    <w:p w14:paraId="6E4F776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8.11.1. Quando a desconexão persistir por tempo superior a 10 (dez) minutos, a sessão do Pregão, na Forma Eletrônica será suspensa e terá reinício </w:t>
      </w:r>
      <w:r>
        <w:rPr>
          <w:rFonts w:ascii="Arial" w:hAnsi="Arial" w:eastAsia="Times New Roman" w:cs="Arial"/>
          <w:bCs/>
          <w:color w:val="000000"/>
          <w:kern w:val="0"/>
          <w:sz w:val="21"/>
          <w:szCs w:val="21"/>
          <w:lang w:eastAsia="zh-CN"/>
        </w:rPr>
        <w:t>somente decorridas no mínimo vinte e quatro horas após a comunicação do fato aos participantes, no sítio eletrônico utilizado para divulgação,</w:t>
      </w:r>
      <w:r>
        <w:rPr>
          <w:rFonts w:ascii="Arial" w:hAnsi="Arial"/>
          <w:sz w:val="21"/>
          <w:szCs w:val="21"/>
        </w:rPr>
        <w:t xml:space="preserve"> divulgando data e hora da reabertura da sessão.</w:t>
      </w:r>
    </w:p>
    <w:p w14:paraId="5A4EFF81">
      <w:pPr>
        <w:widowControl/>
        <w:suppressAutoHyphens/>
        <w:bidi w:val="0"/>
        <w:spacing w:before="0" w:after="0" w:line="360" w:lineRule="auto"/>
        <w:ind w:left="0" w:right="0" w:firstLine="0"/>
        <w:jc w:val="both"/>
        <w:rPr>
          <w:rFonts w:ascii="Arial" w:hAnsi="Arial"/>
          <w:sz w:val="21"/>
          <w:szCs w:val="21"/>
        </w:rPr>
      </w:pPr>
    </w:p>
    <w:p w14:paraId="6301892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8.12. Será adotado para o envio de lances no pregão eletrônico o modo de disputa “</w:t>
      </w:r>
      <w:r>
        <w:rPr>
          <w:rFonts w:ascii="Arial" w:hAnsi="Arial"/>
          <w:b/>
          <w:bCs/>
          <w:sz w:val="21"/>
          <w:szCs w:val="21"/>
        </w:rPr>
        <w:t>ABERTO</w:t>
      </w:r>
      <w:r>
        <w:rPr>
          <w:rFonts w:ascii="Arial" w:hAnsi="Arial"/>
          <w:sz w:val="21"/>
          <w:szCs w:val="21"/>
        </w:rPr>
        <w:t>”, em que os licitantes apresentarão lances públicos e sucessivos, com prorrogações.</w:t>
      </w:r>
    </w:p>
    <w:p w14:paraId="0024CB7B">
      <w:pPr>
        <w:widowControl/>
        <w:suppressAutoHyphens/>
        <w:bidi w:val="0"/>
        <w:spacing w:before="0" w:after="0" w:line="360" w:lineRule="auto"/>
        <w:ind w:left="0" w:right="0" w:firstLine="0"/>
        <w:jc w:val="both"/>
        <w:rPr>
          <w:rFonts w:ascii="Arial" w:hAnsi="Arial"/>
          <w:sz w:val="21"/>
          <w:szCs w:val="21"/>
        </w:rPr>
      </w:pPr>
    </w:p>
    <w:p w14:paraId="214BC67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8.13. A etapa de lances da sessão pública terá duração de 10 (dez) minutos e, após isso, será prorrogada automaticamente pelo sistema quando houver lance ofertado nos últimos 02 (dois) minutos do período de duração da sessão pública.</w:t>
      </w:r>
    </w:p>
    <w:p w14:paraId="76BE367B">
      <w:pPr>
        <w:widowControl/>
        <w:suppressAutoHyphens/>
        <w:bidi w:val="0"/>
        <w:spacing w:before="0" w:after="0" w:line="360" w:lineRule="auto"/>
        <w:ind w:left="0" w:right="0" w:firstLine="0"/>
        <w:jc w:val="both"/>
        <w:rPr>
          <w:rFonts w:ascii="Arial" w:hAnsi="Arial"/>
          <w:sz w:val="21"/>
          <w:szCs w:val="21"/>
        </w:rPr>
      </w:pPr>
    </w:p>
    <w:p w14:paraId="401D486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8.13.1. A prorrogação automática da etapa de lances, de que trata o item anterior, será de 02 (dois) minutos e ocorrerá sucessivamente sempre que houver lances enviados nesse período de prorrogação, inclusive no caso de lances intermediários.</w:t>
      </w:r>
    </w:p>
    <w:p w14:paraId="3AF44927">
      <w:pPr>
        <w:widowControl/>
        <w:suppressAutoHyphens/>
        <w:bidi w:val="0"/>
        <w:spacing w:before="0" w:after="0" w:line="360" w:lineRule="auto"/>
        <w:ind w:left="0" w:right="0" w:firstLine="0"/>
        <w:jc w:val="both"/>
        <w:rPr>
          <w:rFonts w:ascii="Arial" w:hAnsi="Arial"/>
          <w:sz w:val="21"/>
          <w:szCs w:val="21"/>
        </w:rPr>
      </w:pPr>
    </w:p>
    <w:p w14:paraId="6E8202D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8.14. Não havendo novos lances na forma estabelecida nos itens anteriores, a sessão pública encerrar-se-á automaticamente.</w:t>
      </w:r>
    </w:p>
    <w:p w14:paraId="10BA6A17">
      <w:pPr>
        <w:widowControl/>
        <w:suppressAutoHyphens/>
        <w:bidi w:val="0"/>
        <w:spacing w:before="0" w:after="0" w:line="360" w:lineRule="auto"/>
        <w:ind w:left="0" w:right="0" w:firstLine="0"/>
        <w:jc w:val="both"/>
        <w:rPr>
          <w:rFonts w:ascii="Arial" w:hAnsi="Arial"/>
          <w:sz w:val="21"/>
          <w:szCs w:val="21"/>
        </w:rPr>
      </w:pPr>
    </w:p>
    <w:p w14:paraId="766153F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8.15. Encerrada a fase competitiva sem que haja a prorrogação automática pelo sistema, poderá o(a) Pregoeiro(a), assessorado pela equipe de apoio, justificadamente, admitir o reinício da sessão pública de lances, em prol da consecução do melhor preço.</w:t>
      </w:r>
    </w:p>
    <w:p w14:paraId="5224064B">
      <w:pPr>
        <w:widowControl/>
        <w:suppressAutoHyphens/>
        <w:bidi w:val="0"/>
        <w:spacing w:before="0" w:after="0" w:line="360" w:lineRule="auto"/>
        <w:ind w:left="0" w:right="0" w:firstLine="0"/>
        <w:jc w:val="both"/>
        <w:rPr>
          <w:rFonts w:ascii="Arial" w:hAnsi="Arial"/>
          <w:sz w:val="21"/>
          <w:szCs w:val="21"/>
        </w:rPr>
      </w:pPr>
    </w:p>
    <w:p w14:paraId="75A8CA6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8.16. O sistema informará a proposta de menor preço imediatamente após o encerramento da etapa de lances ou, quando for o caso, após negociação e decisão pelo pregoeiro(a) acerca da aceitação do lance de menor valor.</w:t>
      </w:r>
    </w:p>
    <w:p w14:paraId="18A95A75">
      <w:pPr>
        <w:widowControl/>
        <w:suppressAutoHyphens/>
        <w:bidi w:val="0"/>
        <w:spacing w:before="0" w:after="0" w:line="360" w:lineRule="auto"/>
        <w:ind w:left="0" w:right="0" w:firstLine="0"/>
        <w:jc w:val="both"/>
        <w:rPr>
          <w:rFonts w:ascii="Arial" w:hAnsi="Arial"/>
          <w:sz w:val="21"/>
          <w:szCs w:val="21"/>
        </w:rPr>
      </w:pPr>
    </w:p>
    <w:p w14:paraId="00978C0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8.17. O não cumprimento do envio dos documentos de habilitação exigidos neste Edital no prazo fixado, acarretará as sanções previstas neste Edital, podendo o(a) Pregoeiro(a) convocar a empresa que apresentou a proposta ou o lance subsequente.</w:t>
      </w:r>
    </w:p>
    <w:p w14:paraId="0A7FE7C2">
      <w:pPr>
        <w:widowControl/>
        <w:suppressAutoHyphens/>
        <w:bidi w:val="0"/>
        <w:spacing w:before="0" w:after="0" w:line="360" w:lineRule="auto"/>
        <w:ind w:left="0" w:right="0" w:firstLine="0"/>
        <w:jc w:val="both"/>
        <w:rPr>
          <w:rFonts w:ascii="Arial" w:hAnsi="Arial"/>
          <w:sz w:val="21"/>
          <w:szCs w:val="21"/>
        </w:rPr>
      </w:pPr>
    </w:p>
    <w:p w14:paraId="1DACC2D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8.18. Se a proposta ou o lance de menor valor não for aceitável, ou se o fornecedor desatender às exigências habilitatórias, o Pregoeiro(a) examinará a proposta ou o lance subsequente, verificando a sua compatibilidade e a habilitação do participante, na ordem de classificação, e assim sucessivamente, até a apuração de uma proposta ou lance que atenda o Edital. Também nessa etapa o(a) Pregoeiro(a) poderá negociar com o participante para que seja obtido preço melhor.</w:t>
      </w:r>
    </w:p>
    <w:p w14:paraId="1673485C">
      <w:pPr>
        <w:widowControl/>
        <w:suppressAutoHyphens/>
        <w:bidi w:val="0"/>
        <w:spacing w:before="0" w:after="0" w:line="360" w:lineRule="auto"/>
        <w:ind w:left="0" w:right="0" w:firstLine="0"/>
        <w:jc w:val="both"/>
        <w:rPr>
          <w:rFonts w:ascii="Arial" w:hAnsi="Arial"/>
          <w:sz w:val="21"/>
          <w:szCs w:val="21"/>
        </w:rPr>
      </w:pPr>
    </w:p>
    <w:p w14:paraId="18CEB2D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8.19. Caso não sejam apresentados lances, será verificada a conformidade entre a proposta de menor preço e valor estimado para a contratação.</w:t>
      </w:r>
    </w:p>
    <w:p w14:paraId="3694F09A">
      <w:pPr>
        <w:widowControl/>
        <w:suppressAutoHyphens/>
        <w:bidi w:val="0"/>
        <w:spacing w:before="0" w:after="0" w:line="360" w:lineRule="auto"/>
        <w:ind w:left="0" w:right="0" w:firstLine="0"/>
        <w:jc w:val="both"/>
        <w:rPr>
          <w:rFonts w:ascii="Arial" w:hAnsi="Arial"/>
          <w:sz w:val="21"/>
          <w:szCs w:val="21"/>
        </w:rPr>
      </w:pPr>
    </w:p>
    <w:p w14:paraId="1BFCE7D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8.20. O(A) Pregoeiro(a) poderá convocar o licitante para enviar documento digital complementar, por meio de funcionalidade disponível no sistema, no prazo mínimo de 02 (duas) horas, sob pena de não aceitação da proposta.</w:t>
      </w:r>
    </w:p>
    <w:p w14:paraId="06E47B79">
      <w:pPr>
        <w:widowControl/>
        <w:suppressAutoHyphens/>
        <w:bidi w:val="0"/>
        <w:spacing w:before="0" w:after="0" w:line="360" w:lineRule="auto"/>
        <w:ind w:left="0" w:right="0" w:firstLine="0"/>
        <w:jc w:val="both"/>
        <w:rPr>
          <w:rFonts w:ascii="Arial" w:hAnsi="Arial"/>
          <w:sz w:val="21"/>
          <w:szCs w:val="21"/>
        </w:rPr>
      </w:pPr>
    </w:p>
    <w:p w14:paraId="7B78D8C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8.20.1. O prazo estabelecido poderá ser prorrogado pelo Pregoeiro por solicitação escrita e justificada do licitante, formulada antes de findo o prazo, e formalmente aceita pelo(a) Pregoeiro(a).</w:t>
      </w:r>
    </w:p>
    <w:p w14:paraId="34327B6B">
      <w:pPr>
        <w:widowControl/>
        <w:suppressAutoHyphens/>
        <w:bidi w:val="0"/>
        <w:spacing w:before="0" w:after="0" w:line="360" w:lineRule="auto"/>
        <w:ind w:left="0" w:right="0" w:firstLine="0"/>
        <w:jc w:val="both"/>
        <w:rPr>
          <w:rFonts w:ascii="Arial" w:hAnsi="Arial"/>
          <w:sz w:val="21"/>
          <w:szCs w:val="21"/>
        </w:rPr>
      </w:pPr>
    </w:p>
    <w:p w14:paraId="05696B7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8.20.2. Dentre os documentos passíveis de solicitação pelo(a) Pregoeiro(a), como complementares, destacam-se os que contenham as características dos serviços prestados, além de outras informações pertinentes, a exemplo de catálogos, folhetos ou propostas, encaminhados por meio eletrônico, declarações, certidões e outros documentos exigidos do vencedor, ou, se for o caso, por outro meio e prazo indicados pelo Pregoeiro, sem prejuízo do seu ulterior envio pelo sistema eletrônico, sob pena de não aceitação da proposta.</w:t>
      </w:r>
    </w:p>
    <w:p w14:paraId="153BAA33">
      <w:pPr>
        <w:widowControl/>
        <w:suppressAutoHyphens/>
        <w:bidi w:val="0"/>
        <w:spacing w:before="0" w:after="0" w:line="360" w:lineRule="auto"/>
        <w:ind w:left="0" w:right="0" w:firstLine="0"/>
        <w:jc w:val="both"/>
        <w:rPr>
          <w:rFonts w:ascii="Arial" w:hAnsi="Arial"/>
          <w:sz w:val="21"/>
          <w:szCs w:val="21"/>
        </w:rPr>
      </w:pPr>
    </w:p>
    <w:p w14:paraId="52B105F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8.21. Quando for constatado o empate, serão utilizados os critérios previstos no art. 60, da Lei Federal nº 14.133, de 2021.</w:t>
      </w:r>
    </w:p>
    <w:p w14:paraId="3F444C8E">
      <w:pPr>
        <w:widowControl/>
        <w:suppressAutoHyphens/>
        <w:bidi w:val="0"/>
        <w:spacing w:before="0" w:after="0" w:line="360" w:lineRule="auto"/>
        <w:ind w:left="0" w:right="0" w:firstLine="0"/>
        <w:jc w:val="both"/>
        <w:rPr>
          <w:rFonts w:ascii="Arial" w:hAnsi="Arial"/>
          <w:sz w:val="21"/>
          <w:szCs w:val="21"/>
        </w:rPr>
      </w:pPr>
    </w:p>
    <w:p w14:paraId="2FD2F589">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8.22. Constatando o atendimento das exigências fixadas no Edital e inexistindo interposição de recursos, o objeto será adjudicado ao autor da proposta mais vantajosa que foi habilitada.</w:t>
      </w:r>
    </w:p>
    <w:p w14:paraId="484D825A">
      <w:pPr>
        <w:widowControl/>
        <w:suppressAutoHyphens/>
        <w:bidi w:val="0"/>
        <w:spacing w:before="0" w:after="0" w:line="360" w:lineRule="auto"/>
        <w:ind w:left="0" w:right="0" w:firstLine="0"/>
        <w:jc w:val="both"/>
        <w:rPr>
          <w:rFonts w:ascii="Arial" w:hAnsi="Arial"/>
          <w:sz w:val="21"/>
          <w:szCs w:val="21"/>
        </w:rPr>
      </w:pPr>
    </w:p>
    <w:p w14:paraId="52201B21">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9. PROPOSTA FINAL ESCRITA</w:t>
      </w:r>
    </w:p>
    <w:p w14:paraId="688BDBD8">
      <w:pPr>
        <w:widowControl/>
        <w:suppressAutoHyphens/>
        <w:bidi w:val="0"/>
        <w:spacing w:before="0" w:after="0" w:line="360" w:lineRule="auto"/>
        <w:ind w:left="0" w:right="0" w:firstLine="0"/>
        <w:jc w:val="both"/>
        <w:rPr>
          <w:rFonts w:ascii="Arial" w:hAnsi="Arial"/>
          <w:sz w:val="21"/>
          <w:szCs w:val="21"/>
        </w:rPr>
      </w:pPr>
    </w:p>
    <w:p w14:paraId="31FA37A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9.1. A Empresa vencedora, deverá enviar ao(a) Pregoeiro(a), via sistema, a Proposta de Preços adequada ao último lance ofertado, após a negociação (podendo ser utilizado o modelo constante do ANEXO II), no prazo mínimo de 02 (duas) horas, podendo ser prorrogável por igual período, contado da solicitação do(a) Pregoeiro(a), acompanhada, se for o caso, dos documentos complementares, quando necessários à confirmação daqueles exigidos neste Edital e já apresentados.</w:t>
      </w:r>
    </w:p>
    <w:p w14:paraId="59F67179">
      <w:pPr>
        <w:widowControl/>
        <w:suppressAutoHyphens/>
        <w:bidi w:val="0"/>
        <w:spacing w:before="0" w:after="0" w:line="360" w:lineRule="auto"/>
        <w:ind w:left="0" w:right="0" w:firstLine="0"/>
        <w:jc w:val="both"/>
        <w:rPr>
          <w:rFonts w:ascii="Arial" w:hAnsi="Arial"/>
          <w:sz w:val="21"/>
          <w:szCs w:val="21"/>
        </w:rPr>
      </w:pPr>
    </w:p>
    <w:p w14:paraId="3030927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9.1.1. NA PROPOSTA ESCRITA, VIA SISTEMA, DEVERÁ CONTER:</w:t>
      </w:r>
    </w:p>
    <w:p w14:paraId="3F67563A">
      <w:pPr>
        <w:widowControl/>
        <w:suppressAutoHyphens/>
        <w:bidi w:val="0"/>
        <w:spacing w:before="0" w:after="0" w:line="360" w:lineRule="auto"/>
        <w:ind w:left="0" w:right="0" w:firstLine="0"/>
        <w:jc w:val="both"/>
        <w:rPr>
          <w:rFonts w:ascii="Arial" w:hAnsi="Arial"/>
          <w:sz w:val="21"/>
          <w:szCs w:val="21"/>
        </w:rPr>
      </w:pPr>
    </w:p>
    <w:p w14:paraId="45998F7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 o nome do proponente, endereço, identificação (individual ou social), o nº do CNPJ e da Inscrição Estadual, número de telefone e e-mail;</w:t>
      </w:r>
    </w:p>
    <w:p w14:paraId="7824020D">
      <w:pPr>
        <w:widowControl/>
        <w:suppressAutoHyphens/>
        <w:bidi w:val="0"/>
        <w:spacing w:before="0" w:after="0" w:line="360" w:lineRule="auto"/>
        <w:ind w:left="0" w:right="0" w:firstLine="0"/>
        <w:jc w:val="both"/>
        <w:rPr>
          <w:rFonts w:ascii="Arial" w:hAnsi="Arial"/>
          <w:sz w:val="21"/>
          <w:szCs w:val="21"/>
        </w:rPr>
      </w:pPr>
    </w:p>
    <w:p w14:paraId="06DAFDD2">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b) suas folhas devem estar datadas, assinadas e rubricadas pelo seu representante legal, podendo ser de forma digital, desde que atendidos os requisitos legais;</w:t>
      </w:r>
    </w:p>
    <w:p w14:paraId="078F2BFC">
      <w:pPr>
        <w:widowControl/>
        <w:suppressAutoHyphens/>
        <w:bidi w:val="0"/>
        <w:spacing w:before="0" w:after="0" w:line="360" w:lineRule="auto"/>
        <w:ind w:left="0" w:right="0" w:firstLine="0"/>
        <w:jc w:val="both"/>
        <w:rPr>
          <w:rFonts w:ascii="Arial" w:hAnsi="Arial"/>
          <w:sz w:val="21"/>
          <w:szCs w:val="21"/>
        </w:rPr>
      </w:pPr>
    </w:p>
    <w:p w14:paraId="682CCCA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c) nos preços propostos deverão estar incluídos todos os custos diretos e indiretos necessários à perfeita execução do objeto, como: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42DC646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p>
    <w:p w14:paraId="68042650">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d) conter discriminados em moeda corrente nacional os preços dos itens limitados a 02 (duas) casas decimais para os centavos;</w:t>
      </w:r>
    </w:p>
    <w:p w14:paraId="7B64E922">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p>
    <w:p w14:paraId="5F5979D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e) Valor unitário e valor total com a quantidade estimada e descritivo de cada item.</w:t>
      </w:r>
    </w:p>
    <w:p w14:paraId="1E095097">
      <w:pPr>
        <w:widowControl/>
        <w:suppressAutoHyphens/>
        <w:bidi w:val="0"/>
        <w:spacing w:before="0" w:after="0" w:line="360" w:lineRule="auto"/>
        <w:ind w:left="0" w:right="0" w:firstLine="0"/>
        <w:jc w:val="both"/>
        <w:rPr>
          <w:rFonts w:ascii="Arial" w:hAnsi="Arial"/>
          <w:sz w:val="21"/>
          <w:szCs w:val="21"/>
        </w:rPr>
      </w:pPr>
    </w:p>
    <w:p w14:paraId="121717B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f) O prazo de validade da proposta de preços que não poderá ser inferior a 60 (sessenta) dias, contados da abertura das propostas virtuais;</w:t>
      </w:r>
    </w:p>
    <w:p w14:paraId="4257B220">
      <w:pPr>
        <w:widowControl/>
        <w:suppressAutoHyphens/>
        <w:bidi w:val="0"/>
        <w:spacing w:before="0" w:after="0" w:line="360" w:lineRule="auto"/>
        <w:ind w:left="0" w:right="0" w:firstLine="0"/>
        <w:jc w:val="both"/>
        <w:rPr>
          <w:rFonts w:ascii="Arial" w:hAnsi="Arial"/>
          <w:sz w:val="21"/>
          <w:szCs w:val="21"/>
        </w:rPr>
      </w:pPr>
    </w:p>
    <w:p w14:paraId="65B4B5F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auto"/>
        </w:rPr>
        <w:t>g) conter o prazo de execução conforme edital;</w:t>
      </w:r>
    </w:p>
    <w:p w14:paraId="668BA990">
      <w:pPr>
        <w:widowControl/>
        <w:suppressAutoHyphens/>
        <w:bidi w:val="0"/>
        <w:spacing w:before="0" w:after="0" w:line="360" w:lineRule="auto"/>
        <w:ind w:left="0" w:right="0" w:firstLine="0"/>
        <w:jc w:val="both"/>
        <w:rPr>
          <w:rFonts w:ascii="Arial" w:hAnsi="Arial"/>
          <w:sz w:val="21"/>
          <w:szCs w:val="21"/>
        </w:rPr>
      </w:pPr>
    </w:p>
    <w:p w14:paraId="05E5C8F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auto"/>
        </w:rPr>
        <w:t>h) Dados bancários, dados do representante legal, declaração de domicílio eletrônico e declaração de assinatura por certificação digital.</w:t>
      </w:r>
    </w:p>
    <w:p w14:paraId="611B9715">
      <w:pPr>
        <w:widowControl/>
        <w:suppressAutoHyphens/>
        <w:bidi w:val="0"/>
        <w:spacing w:before="0" w:after="0" w:line="360" w:lineRule="auto"/>
        <w:ind w:left="0" w:right="0" w:firstLine="0"/>
        <w:jc w:val="both"/>
        <w:rPr>
          <w:rFonts w:ascii="Arial" w:hAnsi="Arial"/>
          <w:sz w:val="21"/>
          <w:szCs w:val="21"/>
        </w:rPr>
      </w:pPr>
    </w:p>
    <w:p w14:paraId="04BEC8FF">
      <w:pPr>
        <w:pStyle w:val="398"/>
        <w:spacing w:before="0" w:after="0" w:line="360" w:lineRule="auto"/>
        <w:ind w:left="0" w:right="0" w:firstLine="0"/>
        <w:jc w:val="left"/>
        <w:rPr>
          <w:rFonts w:ascii="Arial" w:hAnsi="Arial"/>
          <w:sz w:val="21"/>
          <w:szCs w:val="21"/>
        </w:rPr>
      </w:pPr>
      <w:r>
        <w:rPr>
          <w:rFonts w:ascii="Arial" w:hAnsi="Arial"/>
          <w:b w:val="0"/>
          <w:bCs w:val="0"/>
          <w:i w:val="0"/>
          <w:strike w:val="0"/>
          <w:dstrike w:val="0"/>
          <w:color w:val="000000"/>
          <w:sz w:val="21"/>
          <w:szCs w:val="21"/>
          <w:u w:val="none"/>
        </w:rPr>
        <w:t>9.1.2. O l</w:t>
      </w:r>
      <w:r>
        <w:rPr>
          <w:rFonts w:ascii="Arial" w:hAnsi="Arial"/>
          <w:b w:val="0"/>
          <w:i w:val="0"/>
          <w:strike w:val="0"/>
          <w:dstrike w:val="0"/>
          <w:color w:val="000000"/>
          <w:sz w:val="21"/>
          <w:szCs w:val="21"/>
          <w:u w:val="none"/>
        </w:rPr>
        <w:t>icitante que convocado, que deixar de enviar a documentação acima exigida será desclassificado e sujeitar-se-á às sanções previstas neste Edital.</w:t>
      </w:r>
    </w:p>
    <w:p w14:paraId="18EE7470">
      <w:pPr>
        <w:pStyle w:val="398"/>
        <w:spacing w:before="0" w:after="0" w:line="360" w:lineRule="auto"/>
        <w:ind w:left="0" w:right="0" w:firstLine="0"/>
        <w:jc w:val="left"/>
        <w:rPr>
          <w:rFonts w:ascii="Arial" w:hAnsi="Arial"/>
          <w:b w:val="0"/>
          <w:i w:val="0"/>
          <w:strike w:val="0"/>
          <w:dstrike w:val="0"/>
          <w:color w:val="000000"/>
          <w:sz w:val="21"/>
          <w:szCs w:val="21"/>
          <w:u w:val="none"/>
        </w:rPr>
      </w:pPr>
    </w:p>
    <w:p w14:paraId="499A0C6E">
      <w:pPr>
        <w:pStyle w:val="398"/>
        <w:spacing w:before="0" w:after="0" w:line="360" w:lineRule="auto"/>
        <w:ind w:left="0" w:right="0" w:firstLine="0"/>
        <w:jc w:val="both"/>
        <w:rPr>
          <w:rFonts w:ascii="Arial" w:hAnsi="Arial"/>
          <w:sz w:val="21"/>
          <w:szCs w:val="21"/>
        </w:rPr>
      </w:pPr>
      <w:r>
        <w:rPr>
          <w:rFonts w:ascii="Arial" w:hAnsi="Arial"/>
          <w:b w:val="0"/>
          <w:bCs w:val="0"/>
          <w:i w:val="0"/>
          <w:strike w:val="0"/>
          <w:dstrike w:val="0"/>
          <w:color w:val="000000"/>
          <w:sz w:val="21"/>
          <w:szCs w:val="21"/>
          <w:u w:val="none"/>
        </w:rPr>
        <w:t>9.2. N</w:t>
      </w:r>
      <w:r>
        <w:rPr>
          <w:rFonts w:ascii="Arial" w:hAnsi="Arial"/>
          <w:b w:val="0"/>
          <w:i w:val="0"/>
          <w:strike w:val="0"/>
          <w:dstrike w:val="0"/>
          <w:color w:val="000000"/>
          <w:sz w:val="21"/>
          <w:szCs w:val="21"/>
          <w:u w:val="none"/>
        </w:rPr>
        <w:t>a omissão dos prazos de execução e validade da proposta, serão considerados os constantes deste edital e na divergência entre o preço unitário e total, prevalecerá o menor preço.</w:t>
      </w:r>
    </w:p>
    <w:p w14:paraId="5F7B242B">
      <w:pPr>
        <w:pStyle w:val="398"/>
        <w:spacing w:before="0" w:after="0" w:line="360" w:lineRule="auto"/>
        <w:ind w:left="0" w:right="0" w:firstLine="0"/>
        <w:rPr>
          <w:rFonts w:ascii="Arial" w:hAnsi="Arial"/>
          <w:b/>
          <w:i w:val="0"/>
          <w:strike w:val="0"/>
          <w:dstrike w:val="0"/>
          <w:color w:val="000000"/>
          <w:sz w:val="21"/>
          <w:szCs w:val="21"/>
          <w:u w:val="none"/>
        </w:rPr>
      </w:pPr>
    </w:p>
    <w:p w14:paraId="0FE698C5">
      <w:pPr>
        <w:pStyle w:val="398"/>
        <w:spacing w:before="0" w:after="0" w:line="360" w:lineRule="auto"/>
        <w:ind w:left="0" w:right="0" w:firstLine="0"/>
        <w:rPr>
          <w:rFonts w:ascii="Arial" w:hAnsi="Arial"/>
          <w:sz w:val="21"/>
          <w:szCs w:val="21"/>
        </w:rPr>
      </w:pPr>
      <w:r>
        <w:rPr>
          <w:rFonts w:ascii="Arial" w:hAnsi="Arial"/>
          <w:b w:val="0"/>
          <w:bCs w:val="0"/>
          <w:i w:val="0"/>
          <w:strike w:val="0"/>
          <w:dstrike w:val="0"/>
          <w:color w:val="000000"/>
          <w:sz w:val="21"/>
          <w:szCs w:val="21"/>
          <w:u w:val="none"/>
        </w:rPr>
        <w:t>9.3. Ca</w:t>
      </w:r>
      <w:r>
        <w:rPr>
          <w:rFonts w:ascii="Arial" w:hAnsi="Arial"/>
          <w:b w:val="0"/>
          <w:i w:val="0"/>
          <w:strike w:val="0"/>
          <w:dstrike w:val="0"/>
          <w:color w:val="000000"/>
          <w:sz w:val="21"/>
          <w:szCs w:val="21"/>
          <w:u w:val="none"/>
        </w:rPr>
        <w:t xml:space="preserve">da licitante pode apresentar apenas uma proposta de preço. </w:t>
      </w:r>
    </w:p>
    <w:p w14:paraId="482CEE32">
      <w:pPr>
        <w:widowControl/>
        <w:suppressAutoHyphens/>
        <w:bidi w:val="0"/>
        <w:spacing w:before="0" w:after="0" w:line="360" w:lineRule="auto"/>
        <w:ind w:left="0" w:right="0" w:firstLine="0"/>
        <w:jc w:val="both"/>
        <w:rPr>
          <w:rFonts w:ascii="Arial" w:hAnsi="Arial"/>
          <w:sz w:val="21"/>
          <w:szCs w:val="21"/>
        </w:rPr>
      </w:pPr>
    </w:p>
    <w:p w14:paraId="790215DE">
      <w:pPr>
        <w:widowControl/>
        <w:suppressAutoHyphens w:val="0"/>
        <w:spacing w:before="0" w:after="0" w:line="360" w:lineRule="auto"/>
        <w:ind w:left="0" w:right="0" w:firstLine="0"/>
        <w:jc w:val="both"/>
        <w:rPr>
          <w:rFonts w:ascii="Arial" w:hAnsi="Arial"/>
          <w:sz w:val="21"/>
          <w:szCs w:val="21"/>
        </w:rPr>
      </w:pPr>
      <w:r>
        <w:rPr>
          <w:rFonts w:ascii="Arial" w:hAnsi="Arial" w:eastAsia="Times New Roman" w:cs="Arial"/>
          <w:color w:val="000000"/>
          <w:kern w:val="0"/>
          <w:sz w:val="21"/>
          <w:szCs w:val="21"/>
          <w:lang w:eastAsia="pt-BR"/>
        </w:rPr>
        <w:t xml:space="preserve">9.4. Para efeito de adjudicação deste Pregão, </w:t>
      </w:r>
      <w:r>
        <w:rPr>
          <w:rFonts w:ascii="Arial" w:hAnsi="Arial" w:eastAsia="Times New Roman" w:cs="Arial"/>
          <w:b/>
          <w:bCs/>
          <w:color w:val="000000"/>
          <w:kern w:val="0"/>
          <w:sz w:val="21"/>
          <w:szCs w:val="21"/>
          <w:lang w:eastAsia="pt-BR"/>
        </w:rPr>
        <w:t>se necessário</w:t>
      </w:r>
      <w:r>
        <w:rPr>
          <w:rFonts w:ascii="Arial" w:hAnsi="Arial" w:eastAsia="Times New Roman" w:cs="Arial"/>
          <w:color w:val="000000"/>
          <w:kern w:val="0"/>
          <w:sz w:val="21"/>
          <w:szCs w:val="21"/>
          <w:lang w:eastAsia="pt-BR"/>
        </w:rPr>
        <w:t>, o Pregoeiro encaminhará o processo à Secretaria Municipal solicitante, a fim de que seja emitido Parecer Técnico referente à proposta vencedora.</w:t>
      </w:r>
    </w:p>
    <w:p w14:paraId="45D3D125">
      <w:pPr>
        <w:widowControl/>
        <w:suppressAutoHyphens w:val="0"/>
        <w:spacing w:before="0" w:after="0" w:line="360" w:lineRule="auto"/>
        <w:ind w:left="0" w:right="0" w:firstLine="0"/>
        <w:jc w:val="both"/>
        <w:rPr>
          <w:rFonts w:ascii="Arial" w:hAnsi="Arial" w:eastAsia="Times New Roman" w:cs="Arial"/>
          <w:color w:val="000000"/>
          <w:kern w:val="0"/>
          <w:sz w:val="21"/>
          <w:szCs w:val="21"/>
          <w:lang w:eastAsia="pt-BR"/>
        </w:rPr>
      </w:pPr>
    </w:p>
    <w:p w14:paraId="4FE1944E">
      <w:pPr>
        <w:widowControl/>
        <w:suppressAutoHyphens w:val="0"/>
        <w:spacing w:before="0" w:after="0" w:line="360" w:lineRule="auto"/>
        <w:ind w:left="0" w:right="0" w:firstLine="0"/>
        <w:jc w:val="both"/>
        <w:rPr>
          <w:rFonts w:ascii="Arial" w:hAnsi="Arial"/>
          <w:sz w:val="21"/>
          <w:szCs w:val="21"/>
        </w:rPr>
      </w:pPr>
      <w:r>
        <w:rPr>
          <w:rFonts w:ascii="Arial" w:hAnsi="Arial" w:eastAsia="Times New Roman" w:cs="Arial"/>
          <w:color w:val="000000"/>
          <w:kern w:val="0"/>
          <w:sz w:val="21"/>
          <w:szCs w:val="21"/>
          <w:lang w:eastAsia="pt-BR"/>
        </w:rPr>
        <w:t>9.5. Ocorrendo a desclassificação da empresa vencedora, os autos serão devolvidos ao Pregoeiro, para que esta realize nova negociação com as demais empresas, obedecendo-se à ordem de classificação, por menor preço por item.</w:t>
      </w:r>
    </w:p>
    <w:p w14:paraId="6E2D7A67">
      <w:pPr>
        <w:widowControl/>
        <w:suppressAutoHyphens w:val="0"/>
        <w:spacing w:before="0" w:after="0" w:line="360" w:lineRule="auto"/>
        <w:ind w:left="0" w:right="0" w:firstLine="0"/>
        <w:jc w:val="both"/>
        <w:rPr>
          <w:rFonts w:ascii="Arial" w:hAnsi="Arial" w:eastAsia="Times New Roman" w:cs="Arial"/>
          <w:b w:val="0"/>
          <w:bCs w:val="0"/>
          <w:color w:val="000000"/>
          <w:kern w:val="0"/>
          <w:sz w:val="21"/>
          <w:szCs w:val="21"/>
          <w:lang w:eastAsia="pt-BR"/>
        </w:rPr>
      </w:pPr>
    </w:p>
    <w:p w14:paraId="1BE829F6">
      <w:pPr>
        <w:widowControl/>
        <w:suppressAutoHyphens w:val="0"/>
        <w:spacing w:before="0" w:after="0" w:line="360" w:lineRule="auto"/>
        <w:ind w:left="0" w:right="0" w:firstLine="0"/>
        <w:jc w:val="both"/>
        <w:rPr>
          <w:rFonts w:ascii="Arial" w:hAnsi="Arial"/>
          <w:sz w:val="21"/>
          <w:szCs w:val="21"/>
        </w:rPr>
      </w:pPr>
      <w:r>
        <w:rPr>
          <w:rFonts w:ascii="Arial" w:hAnsi="Arial" w:eastAsia="Times New Roman" w:cs="Arial"/>
          <w:b w:val="0"/>
          <w:bCs w:val="0"/>
          <w:color w:val="000000"/>
          <w:kern w:val="0"/>
          <w:sz w:val="21"/>
          <w:szCs w:val="21"/>
          <w:lang w:eastAsia="pt-BR"/>
        </w:rPr>
        <w:t>9.6. Somente após tal procedimento, a Autoridade Competente fará a adjudicação à empresa vencedora.</w:t>
      </w:r>
    </w:p>
    <w:p w14:paraId="48611398">
      <w:pPr>
        <w:widowControl/>
        <w:suppressAutoHyphens w:val="0"/>
        <w:spacing w:before="0" w:after="0" w:line="360" w:lineRule="auto"/>
        <w:ind w:left="0" w:right="0" w:firstLine="0"/>
        <w:jc w:val="both"/>
        <w:rPr>
          <w:rFonts w:ascii="Arial" w:hAnsi="Arial" w:eastAsia="Times New Roman" w:cs="Arial"/>
          <w:b w:val="0"/>
          <w:bCs w:val="0"/>
          <w:color w:val="000000"/>
          <w:kern w:val="0"/>
          <w:sz w:val="21"/>
          <w:szCs w:val="21"/>
          <w:lang w:eastAsia="pt-BR"/>
        </w:rPr>
      </w:pPr>
    </w:p>
    <w:p w14:paraId="05CA2BF2">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10. DA HABILITAÇÃO</w:t>
      </w:r>
    </w:p>
    <w:p w14:paraId="13088C89">
      <w:pPr>
        <w:widowControl/>
        <w:suppressAutoHyphens/>
        <w:bidi w:val="0"/>
        <w:spacing w:before="0" w:after="0" w:line="360" w:lineRule="auto"/>
        <w:ind w:left="0" w:right="0" w:firstLine="0"/>
        <w:jc w:val="both"/>
        <w:rPr>
          <w:rFonts w:ascii="Arial" w:hAnsi="Arial"/>
          <w:sz w:val="21"/>
          <w:szCs w:val="21"/>
        </w:rPr>
      </w:pPr>
    </w:p>
    <w:p w14:paraId="1C6CD47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10.1. Toda a documentação de habilitação deverá ser encaminhada com a proposta de preços, na forma prevista neste Edital, em formato digital, exclusivamente por meio do sistema.</w:t>
      </w:r>
    </w:p>
    <w:p w14:paraId="28C8AF19">
      <w:pPr>
        <w:widowControl/>
        <w:suppressAutoHyphens/>
        <w:bidi w:val="0"/>
        <w:spacing w:before="0" w:after="0" w:line="360" w:lineRule="auto"/>
        <w:ind w:left="0" w:right="0" w:firstLine="0"/>
        <w:jc w:val="both"/>
        <w:rPr>
          <w:rFonts w:ascii="Arial" w:hAnsi="Arial"/>
          <w:sz w:val="21"/>
          <w:szCs w:val="21"/>
        </w:rPr>
      </w:pPr>
    </w:p>
    <w:p w14:paraId="5E7E343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10.2. Para habilitação na presente licitação será exigido o encaminhamento via sistema dos seguintes documentos:</w:t>
      </w:r>
    </w:p>
    <w:p w14:paraId="2F2D3030">
      <w:pPr>
        <w:widowControl/>
        <w:suppressAutoHyphens/>
        <w:bidi w:val="0"/>
        <w:spacing w:before="0" w:after="0" w:line="360" w:lineRule="auto"/>
        <w:ind w:left="0" w:right="0" w:firstLine="0"/>
        <w:jc w:val="both"/>
        <w:rPr>
          <w:rFonts w:ascii="Arial" w:hAnsi="Arial"/>
          <w:sz w:val="21"/>
          <w:szCs w:val="21"/>
        </w:rPr>
      </w:pPr>
    </w:p>
    <w:p w14:paraId="167A94F1">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a) Ato constitutivo, estatuto ou contrato social em vigor (de acordo com as exigências do Novo Código Civil), a alteração contratual referente à mudança de razão social, na hipótese de haver a referida mudança, bem como a última alteração, devidamente registrado, em se tratando de sociedades comerciais, e, no caso de sociedade por ações, acompanhado dos documentos de eleição de seus administradores;</w:t>
      </w:r>
    </w:p>
    <w:p w14:paraId="3FE1DD0F">
      <w:pPr>
        <w:widowControl/>
        <w:suppressAutoHyphens/>
        <w:bidi w:val="0"/>
        <w:spacing w:before="0" w:after="0" w:line="360" w:lineRule="auto"/>
        <w:ind w:left="850" w:right="0" w:firstLine="0"/>
        <w:jc w:val="both"/>
        <w:rPr>
          <w:rFonts w:ascii="Arial" w:hAnsi="Arial"/>
          <w:sz w:val="21"/>
          <w:szCs w:val="21"/>
        </w:rPr>
      </w:pPr>
    </w:p>
    <w:p w14:paraId="174FE3C8">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b) 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14:paraId="32ACF99E">
      <w:pPr>
        <w:widowControl/>
        <w:suppressAutoHyphens/>
        <w:bidi w:val="0"/>
        <w:spacing w:before="0" w:after="0" w:line="360" w:lineRule="auto"/>
        <w:ind w:left="850" w:right="0" w:firstLine="0"/>
        <w:jc w:val="both"/>
        <w:rPr>
          <w:rFonts w:ascii="Arial" w:hAnsi="Arial"/>
          <w:sz w:val="21"/>
          <w:szCs w:val="21"/>
        </w:rPr>
      </w:pPr>
    </w:p>
    <w:p w14:paraId="4219176D">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c) Declaração de Cumprimento Pleno dos Requisitos de Habilitação, conforme modelo (ANEXO III). Obs.: Se for Microempresa ou Empresa de Pequeno Porte – EPP com problemas na habilitação, fazer constar tal ressalva e comprovando condição.</w:t>
      </w:r>
    </w:p>
    <w:p w14:paraId="30E8C731">
      <w:pPr>
        <w:widowControl/>
        <w:suppressAutoHyphens/>
        <w:bidi w:val="0"/>
        <w:spacing w:before="0" w:after="0" w:line="360" w:lineRule="auto"/>
        <w:ind w:left="0" w:right="0" w:firstLine="0"/>
        <w:jc w:val="both"/>
        <w:rPr>
          <w:rFonts w:ascii="Arial" w:hAnsi="Arial"/>
          <w:sz w:val="21"/>
          <w:szCs w:val="21"/>
        </w:rPr>
      </w:pPr>
    </w:p>
    <w:p w14:paraId="3D75EC80">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 xml:space="preserve">d) </w:t>
      </w:r>
      <w:r>
        <w:rPr>
          <w:rFonts w:ascii="Arial" w:hAnsi="Arial" w:eastAsia="Times New Roman" w:cs="Arial"/>
          <w:bCs/>
          <w:color w:val="000000"/>
          <w:sz w:val="21"/>
          <w:szCs w:val="21"/>
          <w:lang w:eastAsia="zh-CN"/>
        </w:rPr>
        <w:t>Certidão de enquadramento no Estatuto Nacional da Microempresa e Empresa de Pequeno Porte fornecida pela Junta Comercial da sede do licitante, de acordo com o artigo 8º da Instrução Normativa DRNC n° 103/2007, vigente na data de abertura da licitação indicada no item 1, caso não apresente data de validade estabelecida pelo competente órgão expedidor, será adotada a vigência de 90 (noventa) dias consecutivos, contados a partir da data de sua emissão. As sociedades simples, que não registrarem seus atos na Junta Comercial, deverão apresentar Certidão de Registro Civil de Pessoas Jurídicas, atestando seu enquadramento nas hipóteses do Art. 3° da Lei Complementar 123/2006 (ou outra declaração que comprove tal enquadramento, assinado pelo representante legal da empresa, conforme ao que dispõe o § 2º, art. 13 do Decreto nº 8.538 de 06 de outubro de 2015</w:t>
      </w:r>
      <w:r>
        <w:rPr>
          <w:rFonts w:ascii="Arial" w:hAnsi="Arial"/>
          <w:sz w:val="21"/>
          <w:szCs w:val="21"/>
        </w:rPr>
        <w:t xml:space="preserve"> (podendo ser utilizado modelo ANEXO VI));</w:t>
      </w:r>
    </w:p>
    <w:p w14:paraId="1A4FB12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p>
    <w:p w14:paraId="15C0C49C">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e) Declaração de que não tenham celebrado contratos com a Administração Pública cujos valores somados extrapolem a receita bruta máxima admitida para fins de enquadramento como empresa de pequeno porte (ANEXO VII).</w:t>
      </w:r>
    </w:p>
    <w:p w14:paraId="4CB89AF3">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389486AC">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f) Prova de inscrição no Cadastro Nacional de Pessoa Jurídica – CNPJ;</w:t>
      </w:r>
    </w:p>
    <w:p w14:paraId="2D6317F2">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06693AA3">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g) Prova de Regularidade perante a Fazenda Federal e a Seguridade Social;</w:t>
      </w:r>
    </w:p>
    <w:p w14:paraId="394672BD">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0444B60F">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h) Prova de Regularidade com a Fazenda Estadual, do estado sede do licitante. As empresas sediadas em Estados que façam a divisão entre certidões negativas de débitos inscritos e não inscritos na dívida ativa, para fins de comprovação de regularidade fiscal com a Fazenda Estadual, somente serão consideradas habilitados e regulares aquelas que juntarem ambas as certidões;</w:t>
      </w:r>
    </w:p>
    <w:p w14:paraId="7A6343B7">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12F2DDC0">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i) Prova de Regularidade com a Fazenda Municipal, do domicílio ou sede do licitante;</w:t>
      </w:r>
    </w:p>
    <w:p w14:paraId="6478C5B0">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0335DE38">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j) A inscrição no cadastro de contribuintes estadual e/ou municipal, se houver, relativo ao domicílio ou sede do licitante, pertinente ao seu ramo de atividade e compatível com o objeto contratual;</w:t>
      </w:r>
    </w:p>
    <w:p w14:paraId="7036F7E3">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02D1B160">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k) Prova de Regularidade com o Fundo de Garantia por Tempo de Serviço - FGTS (Certificado de Regularidade do FGTS);</w:t>
      </w:r>
    </w:p>
    <w:p w14:paraId="68067412">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26B1550F">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l) Prova de inexistência de débitos inadimplidos perante a Justiça do Trabalho, mediante a apresentação de Certidão Negativa, nos termos da Lei Federal nº 12.440/11;</w:t>
      </w:r>
    </w:p>
    <w:p w14:paraId="388BD173">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3EB9338E">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m) Certidão(ões) Negativa(s) de Feitos sobre Falência, expedida(s) até 60 (sessenta) dias antes da data limite para apresentação das propostas, a(s) qual(is) deve(m) ser expedida(s) pela Corregedoria ou por órgão correspondente do Estado ou do Distrito Federal, ou do Fórum da Comarca, onde está sediada a empresa.</w:t>
      </w:r>
    </w:p>
    <w:p w14:paraId="4B07C18D">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2C556A97">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n) DECLARAÇÃO que,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 podendo ser utilizado o modelo constante deste edital (ANEXO IV).</w:t>
      </w:r>
    </w:p>
    <w:p w14:paraId="755347E7">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40E346A8">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o) DECLARAÇÃO expressa de que a empresa cumpre o disposto no inciso XXXIII do art. 7º da Constituição Federal, de acordo com o que estabelece o Decreto Federal nº 4.358, de 05/09/2002, conforme modelo constante deste Edital (ANEXO VIII);</w:t>
      </w:r>
    </w:p>
    <w:p w14:paraId="42D1953F">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662C1E0D">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p) DECLARAÇÃO de que cumpre as exigências de reserva de cargos para pessoa com deficiência e para reabilitado da Previdência Social, previstas em lei e em outras normas específicas (ANEXO IX);</w:t>
      </w:r>
    </w:p>
    <w:p w14:paraId="386AA145">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1AF11B98">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q) 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condutas vigentes na data de entrega das propostas, sob pena de desclassificação (ANEXO X);</w:t>
      </w:r>
    </w:p>
    <w:p w14:paraId="4781FCF2">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3472BEB9">
      <w:pPr>
        <w:widowControl/>
        <w:suppressAutoHyphens/>
        <w:bidi w:val="0"/>
        <w:spacing w:before="0" w:after="0" w:line="360" w:lineRule="auto"/>
        <w:ind w:left="850" w:right="0" w:firstLine="0"/>
        <w:jc w:val="both"/>
        <w:rPr>
          <w:rFonts w:ascii="Arial" w:hAnsi="Arial"/>
          <w:sz w:val="21"/>
          <w:szCs w:val="21"/>
        </w:rPr>
      </w:pPr>
      <w:r>
        <w:rPr>
          <w:rFonts w:ascii="Arial" w:hAnsi="Arial"/>
          <w:sz w:val="21"/>
          <w:szCs w:val="21"/>
        </w:rPr>
        <w:t xml:space="preserve">r) </w:t>
      </w:r>
      <w:r>
        <w:rPr>
          <w:rFonts w:ascii="Arial" w:hAnsi="Arial" w:eastAsia="Times New Roman" w:cs="Arial"/>
          <w:b w:val="0"/>
          <w:bCs/>
          <w:color w:val="000000"/>
          <w:sz w:val="21"/>
          <w:szCs w:val="21"/>
          <w:lang w:eastAsia="zh-CN"/>
        </w:rPr>
        <w:t>DECLARAÇÃO de que a empresa interessada tomou conhecimento das especificações e normas pertinentes à execução dos serviços (conforme modelo constante do ANEXO XI), nos termos do art. 67, inciso VI, da Lei Federal n. 14.133/2021;</w:t>
      </w:r>
    </w:p>
    <w:p w14:paraId="448FC0EF">
      <w:pPr>
        <w:widowControl/>
        <w:suppressAutoHyphens/>
        <w:bidi w:val="0"/>
        <w:spacing w:before="0" w:after="0" w:line="360" w:lineRule="auto"/>
        <w:ind w:left="850" w:right="0" w:firstLine="0"/>
        <w:jc w:val="both"/>
        <w:rPr>
          <w:rFonts w:ascii="Arial" w:hAnsi="Arial" w:eastAsia="Times New Roman" w:cs="Arial"/>
          <w:b/>
          <w:bCs/>
          <w:color w:val="000000"/>
          <w:sz w:val="21"/>
          <w:szCs w:val="21"/>
          <w:lang w:val="pt-BR" w:eastAsia="zh-CN" w:bidi="hi-IN"/>
        </w:rPr>
      </w:pPr>
    </w:p>
    <w:p w14:paraId="6B859084">
      <w:pPr>
        <w:widowControl/>
        <w:suppressAutoHyphens/>
        <w:bidi w:val="0"/>
        <w:spacing w:before="0" w:after="0" w:line="360" w:lineRule="auto"/>
        <w:ind w:left="850" w:right="0" w:firstLine="0"/>
        <w:jc w:val="both"/>
        <w:rPr>
          <w:rFonts w:ascii="Arial" w:hAnsi="Arial"/>
          <w:sz w:val="21"/>
          <w:szCs w:val="21"/>
        </w:rPr>
      </w:pPr>
      <w:r>
        <w:rPr>
          <w:rFonts w:ascii="Arial" w:hAnsi="Arial" w:eastAsia="Times New Roman" w:cs="Arial"/>
          <w:b/>
          <w:bCs/>
          <w:color w:val="000000"/>
          <w:sz w:val="21"/>
          <w:szCs w:val="21"/>
          <w:lang w:eastAsia="zh-CN"/>
        </w:rPr>
        <w:t xml:space="preserve">s) DECLARAÇÃO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que não integra em seus quadros social e funcional, servidor público da administração direta ou indireta do Município de Lindóia do Sul, e agente político da esfera municipal de Lindóia do Sul, do Estado de Santa Catarina, e da União. </w:t>
      </w:r>
      <w:r>
        <w:rPr>
          <w:rFonts w:ascii="Arial" w:hAnsi="Arial" w:eastAsia="Times New Roman" w:cs="Arial"/>
          <w:b/>
          <w:bCs/>
          <w:color w:val="000000"/>
          <w:sz w:val="21"/>
          <w:szCs w:val="21"/>
          <w:lang w:eastAsia="pt-BR"/>
        </w:rPr>
        <w:t xml:space="preserve">Portanto, inclusive, a empresa declara que também está em conformidade com o que prevê o art. </w:t>
      </w:r>
      <w:r>
        <w:rPr>
          <w:rFonts w:ascii="Arial" w:hAnsi="Arial" w:eastAsia="Times New Roman" w:cs="Arial"/>
          <w:b/>
          <w:bCs/>
          <w:color w:val="000000"/>
          <w:sz w:val="21"/>
          <w:szCs w:val="21"/>
          <w:lang w:eastAsia="zh-CN"/>
        </w:rPr>
        <w:t>54 I “a” da Constituição Federal e art. 43 I ”a” e II “a” da Constituição do Estado de Santa Catarina.</w:t>
      </w:r>
      <w:r>
        <w:rPr>
          <w:rFonts w:ascii="Arial" w:hAnsi="Arial" w:eastAsia="Times New Roman" w:cs="Arial"/>
          <w:b/>
          <w:bCs/>
          <w:color w:val="000000"/>
          <w:sz w:val="21"/>
          <w:szCs w:val="21"/>
          <w:lang w:eastAsia="pt-BR"/>
        </w:rPr>
        <w:t xml:space="preserve"> </w:t>
      </w:r>
      <w:r>
        <w:rPr>
          <w:rFonts w:ascii="Arial" w:hAnsi="Arial" w:eastAsia="Times New Roman" w:cs="Arial"/>
          <w:b/>
          <w:bCs/>
          <w:color w:val="000000"/>
          <w:sz w:val="21"/>
          <w:szCs w:val="21"/>
          <w:lang w:eastAsia="zh-CN"/>
        </w:rPr>
        <w:t>(</w:t>
      </w:r>
      <w:r>
        <w:rPr>
          <w:rFonts w:ascii="Arial" w:hAnsi="Arial" w:eastAsia="Times New Roman" w:cs="Arial"/>
          <w:b/>
          <w:bCs/>
          <w:color w:val="000000"/>
          <w:sz w:val="21"/>
          <w:szCs w:val="21"/>
          <w:shd w:val="clear" w:fill="FFFF00"/>
          <w:lang w:eastAsia="zh-CN"/>
        </w:rPr>
        <w:t>Deve constar expressamente toda descrição contida nesta alínea,</w:t>
      </w:r>
      <w:r>
        <w:rPr>
          <w:rFonts w:ascii="Arial" w:hAnsi="Arial" w:eastAsia="Times New Roman" w:cs="Arial"/>
          <w:b/>
          <w:bCs/>
          <w:color w:val="000000"/>
          <w:sz w:val="21"/>
          <w:szCs w:val="21"/>
          <w:lang w:eastAsia="zh-CN"/>
        </w:rPr>
        <w:t xml:space="preserve"> conforme ANEXO V).</w:t>
      </w:r>
    </w:p>
    <w:p w14:paraId="6213B6E7">
      <w:pPr>
        <w:widowControl/>
        <w:suppressAutoHyphens/>
        <w:bidi w:val="0"/>
        <w:spacing w:before="0" w:after="0" w:line="360" w:lineRule="auto"/>
        <w:ind w:left="850" w:right="0" w:firstLine="0"/>
        <w:jc w:val="both"/>
        <w:rPr>
          <w:rFonts w:ascii="Arial" w:hAnsi="Arial" w:eastAsia="SimSun" w:cs="Mangal"/>
          <w:color w:val="00000A"/>
          <w:sz w:val="21"/>
          <w:szCs w:val="21"/>
          <w:lang w:val="pt-BR" w:eastAsia="zh-CN" w:bidi="hi-IN"/>
        </w:rPr>
      </w:pPr>
    </w:p>
    <w:p w14:paraId="7D7B28D2">
      <w:pPr>
        <w:widowControl/>
        <w:suppressAutoHyphens/>
        <w:bidi w:val="0"/>
        <w:spacing w:before="0" w:after="0" w:line="360" w:lineRule="auto"/>
        <w:ind w:left="850" w:right="0" w:firstLine="0"/>
        <w:jc w:val="both"/>
        <w:rPr>
          <w:rFonts w:ascii="Arial" w:hAnsi="Arial" w:eastAsia="SimSun" w:cs="Arial"/>
          <w:color w:val="00000A"/>
          <w:sz w:val="21"/>
          <w:szCs w:val="21"/>
          <w:lang w:val="pt-BR" w:eastAsia="zh-CN" w:bidi="hi-IN"/>
        </w:rPr>
      </w:pPr>
    </w:p>
    <w:p w14:paraId="4B289C80">
      <w:pPr>
        <w:widowControl/>
        <w:suppressAutoHyphens/>
        <w:bidi w:val="0"/>
        <w:spacing w:before="0" w:after="0" w:line="360" w:lineRule="auto"/>
        <w:ind w:left="850" w:right="0" w:firstLine="0"/>
        <w:jc w:val="both"/>
        <w:rPr>
          <w:rFonts w:ascii="Arial" w:hAnsi="Arial"/>
          <w:sz w:val="21"/>
          <w:szCs w:val="21"/>
        </w:rPr>
      </w:pPr>
      <w:r>
        <w:rPr>
          <w:rFonts w:ascii="Arial" w:hAnsi="Arial" w:cs="Arial"/>
          <w:sz w:val="21"/>
          <w:szCs w:val="21"/>
          <w:lang w:val="pt-BR"/>
        </w:rPr>
        <w:t xml:space="preserve">u) </w:t>
      </w:r>
      <w:r>
        <w:rPr>
          <w:rFonts w:ascii="Arial" w:hAnsi="Arial"/>
          <w:sz w:val="21"/>
          <w:szCs w:val="21"/>
        </w:rPr>
        <w:t>Certidão de consulta de que não constem:</w:t>
      </w:r>
    </w:p>
    <w:p w14:paraId="08035105">
      <w:pPr>
        <w:widowControl/>
        <w:suppressAutoHyphens/>
        <w:bidi w:val="0"/>
        <w:spacing w:before="0" w:after="0" w:line="360" w:lineRule="auto"/>
        <w:ind w:left="850" w:right="0" w:firstLine="0"/>
        <w:jc w:val="both"/>
        <w:rPr>
          <w:rFonts w:ascii="Arial" w:hAnsi="Arial"/>
          <w:sz w:val="21"/>
          <w:szCs w:val="21"/>
        </w:rPr>
      </w:pPr>
      <w:r>
        <w:rPr>
          <w:rFonts w:ascii="Arial" w:hAnsi="Arial" w:eastAsia="Times New Roman" w:cs="Arial"/>
          <w:bCs/>
          <w:color w:val="000000"/>
          <w:sz w:val="21"/>
          <w:szCs w:val="21"/>
          <w:lang w:eastAsia="zh-CN"/>
        </w:rPr>
        <w:t>u.1) no Sistema de Cadastramento Unificado de Fornecedores - SICAF como impedidas ou suspensas;</w:t>
      </w:r>
    </w:p>
    <w:p w14:paraId="6AA5A3CE">
      <w:pPr>
        <w:widowControl/>
        <w:suppressAutoHyphens/>
        <w:bidi w:val="0"/>
        <w:spacing w:before="0" w:after="0" w:line="360" w:lineRule="auto"/>
        <w:ind w:left="850" w:right="0" w:firstLine="0"/>
        <w:jc w:val="both"/>
      </w:pPr>
      <w:r>
        <w:rPr>
          <w:rFonts w:ascii="Arial" w:hAnsi="Arial" w:eastAsia="Times New Roman" w:cs="Arial"/>
          <w:bCs/>
          <w:color w:val="000000"/>
          <w:sz w:val="21"/>
          <w:szCs w:val="21"/>
          <w:lang w:eastAsia="zh-CN"/>
        </w:rPr>
        <w:t xml:space="preserve">u.2) no cadastro de empresas inidôneas do Tribunal de Contas da União, do Ministério da Transparência, Fiscalização e Controladoria-Geral da União, relativo ao CNPJ e CPF do sócio majoritário, emitida através do endereço </w:t>
      </w:r>
      <w:r>
        <w:fldChar w:fldCharType="begin"/>
      </w:r>
      <w:r>
        <w:instrText xml:space="preserve"> HYPERLINK "https://contas.tcu.gov.br/ords/f?p=704144:3:102385750945059::NO:3,4,6" \h </w:instrText>
      </w:r>
      <w:r>
        <w:fldChar w:fldCharType="separate"/>
      </w:r>
      <w:r>
        <w:rPr>
          <w:rStyle w:val="19"/>
          <w:rFonts w:ascii="Arial" w:hAnsi="Arial" w:eastAsia="Times New Roman" w:cs="Arial"/>
          <w:bCs/>
          <w:color w:val="000000"/>
          <w:sz w:val="21"/>
          <w:szCs w:val="21"/>
          <w:lang w:eastAsia="zh-CN"/>
        </w:rPr>
        <w:t>https://contas.tcu.gov.br/ords/f?p=704144:3:102385750945059::NO:3,4,6</w:t>
      </w:r>
      <w:r>
        <w:rPr>
          <w:rStyle w:val="19"/>
          <w:rFonts w:ascii="Arial" w:hAnsi="Arial" w:eastAsia="Times New Roman" w:cs="Arial"/>
          <w:bCs/>
          <w:color w:val="000000"/>
          <w:sz w:val="21"/>
          <w:szCs w:val="21"/>
          <w:lang w:eastAsia="zh-CN"/>
        </w:rPr>
        <w:fldChar w:fldCharType="end"/>
      </w:r>
      <w:r>
        <w:rPr>
          <w:rFonts w:ascii="Arial" w:hAnsi="Arial" w:eastAsia="Times New Roman" w:cs="Arial"/>
          <w:bCs/>
          <w:color w:val="000000"/>
          <w:sz w:val="21"/>
          <w:szCs w:val="21"/>
          <w:lang w:eastAsia="zh-CN"/>
        </w:rPr>
        <w:t>::;</w:t>
      </w:r>
    </w:p>
    <w:p w14:paraId="05B001A4">
      <w:pPr>
        <w:widowControl/>
        <w:suppressAutoHyphens/>
        <w:bidi w:val="0"/>
        <w:spacing w:before="0" w:after="0" w:line="360" w:lineRule="auto"/>
        <w:ind w:left="850" w:right="0" w:firstLine="0"/>
        <w:jc w:val="both"/>
      </w:pPr>
      <w:r>
        <w:rPr>
          <w:rFonts w:ascii="Arial" w:hAnsi="Arial" w:eastAsia="Times New Roman" w:cs="Arial"/>
          <w:bCs/>
          <w:color w:val="000000"/>
          <w:sz w:val="21"/>
          <w:szCs w:val="21"/>
          <w:lang w:eastAsia="zh-CN"/>
        </w:rPr>
        <w:t xml:space="preserve">u.3) no Cadastro Nacional de Condenações Civis por Ato de Improbidade Administrativa e Inelegibilidade, supervisionado pelo Conselho Nacional de Justiça, relativo ao CNPJ e CPF do sócio majoritário, emitida através do endereço </w:t>
      </w:r>
      <w:r>
        <w:fldChar w:fldCharType="begin"/>
      </w:r>
      <w:r>
        <w:instrText xml:space="preserve"> HYPERLINK "https://www.cnj.jus.br/improbidade_adm/consultar_requerido.php" \h </w:instrText>
      </w:r>
      <w:r>
        <w:fldChar w:fldCharType="separate"/>
      </w:r>
      <w:r>
        <w:rPr>
          <w:rStyle w:val="19"/>
          <w:rFonts w:ascii="Arial" w:hAnsi="Arial" w:eastAsia="Times New Roman" w:cs="Arial"/>
          <w:bCs/>
          <w:color w:val="000000"/>
          <w:sz w:val="21"/>
          <w:szCs w:val="21"/>
          <w:lang w:eastAsia="zh-CN"/>
        </w:rPr>
        <w:t>https://www.cnj.jus.br/improbidade_adm/consultar_requerido.php</w:t>
      </w:r>
      <w:r>
        <w:rPr>
          <w:rStyle w:val="19"/>
          <w:rFonts w:ascii="Arial" w:hAnsi="Arial" w:eastAsia="Times New Roman" w:cs="Arial"/>
          <w:bCs/>
          <w:color w:val="000000"/>
          <w:sz w:val="21"/>
          <w:szCs w:val="21"/>
          <w:lang w:eastAsia="zh-CN"/>
        </w:rPr>
        <w:fldChar w:fldCharType="end"/>
      </w:r>
      <w:r>
        <w:rPr>
          <w:rFonts w:ascii="Arial" w:hAnsi="Arial" w:eastAsia="Times New Roman" w:cs="Arial"/>
          <w:bCs/>
          <w:color w:val="000000"/>
          <w:sz w:val="21"/>
          <w:szCs w:val="21"/>
          <w:lang w:eastAsia="zh-CN"/>
        </w:rPr>
        <w:t>.</w:t>
      </w:r>
    </w:p>
    <w:p w14:paraId="257DC4EA">
      <w:pPr>
        <w:widowControl/>
        <w:suppressAutoHyphens/>
        <w:bidi w:val="0"/>
        <w:spacing w:before="0" w:after="0" w:line="360" w:lineRule="auto"/>
        <w:ind w:left="850" w:right="0" w:firstLine="0"/>
        <w:jc w:val="both"/>
      </w:pPr>
      <w:r>
        <w:rPr>
          <w:rFonts w:ascii="Arial" w:hAnsi="Arial"/>
          <w:sz w:val="21"/>
          <w:szCs w:val="21"/>
        </w:rPr>
        <w:t xml:space="preserve">u.4) </w:t>
      </w:r>
      <w:r>
        <w:rPr>
          <w:rFonts w:ascii="Arial" w:hAnsi="Arial" w:cs="Arial"/>
          <w:sz w:val="21"/>
          <w:szCs w:val="21"/>
        </w:rPr>
        <w:t xml:space="preserve">Relatório de consulta negativa (contendo Razão Social e CNPJ) junto ao Cadastro Nacional das Empresas Inidôneas e Suspensas – CEIS, através do endereço eletrônico </w:t>
      </w:r>
      <w:r>
        <w:fldChar w:fldCharType="begin"/>
      </w:r>
      <w:r>
        <w:instrText xml:space="preserve"> HYPERLINK "https://portaldatransparencia.gov.br/sancoes/consulta?ordenarPor=nomeSancionado&amp;direcao=asc" \h </w:instrText>
      </w:r>
      <w:r>
        <w:fldChar w:fldCharType="separate"/>
      </w:r>
      <w:r>
        <w:rPr>
          <w:rStyle w:val="19"/>
          <w:rFonts w:ascii="Arial" w:hAnsi="Arial" w:cs="Arial"/>
          <w:sz w:val="21"/>
          <w:szCs w:val="21"/>
        </w:rPr>
        <w:t>https://portaldatransparencia.gov.br/sancoes/consulta?ordenarPor=nomeSancionado&amp;direcao=asc</w:t>
      </w:r>
      <w:r>
        <w:rPr>
          <w:rStyle w:val="19"/>
          <w:rFonts w:ascii="Arial" w:hAnsi="Arial" w:cs="Arial"/>
          <w:sz w:val="21"/>
          <w:szCs w:val="21"/>
        </w:rPr>
        <w:fldChar w:fldCharType="end"/>
      </w:r>
      <w:r>
        <w:rPr>
          <w:rFonts w:ascii="Arial" w:hAnsi="Arial" w:cs="Arial"/>
          <w:sz w:val="21"/>
          <w:szCs w:val="21"/>
        </w:rPr>
        <w:t>, emitido nos últimos 10 (dez) dias;</w:t>
      </w:r>
    </w:p>
    <w:p w14:paraId="390FF088">
      <w:pPr>
        <w:widowControl/>
        <w:suppressAutoHyphens/>
        <w:bidi w:val="0"/>
        <w:spacing w:before="0" w:after="0" w:line="360" w:lineRule="auto"/>
        <w:ind w:left="850" w:right="0" w:firstLine="0"/>
        <w:jc w:val="both"/>
        <w:rPr>
          <w:rFonts w:ascii="Arial" w:hAnsi="Arial"/>
          <w:sz w:val="21"/>
          <w:szCs w:val="21"/>
        </w:rPr>
      </w:pPr>
      <w:r>
        <w:rPr>
          <w:rFonts w:ascii="Arial" w:hAnsi="Arial" w:cs="Arial"/>
          <w:sz w:val="21"/>
          <w:szCs w:val="21"/>
        </w:rPr>
        <w:t>u.5) As consultas para o CNPJ do licitante, constante nos itens “u.2”, “u.3” e “u.4”, poderão ser substituídas pela Certidão Consolidada de Pessoa Jurídica, do Tribunal de Contas da União.</w:t>
      </w:r>
    </w:p>
    <w:p w14:paraId="2BD6440D">
      <w:pPr>
        <w:widowControl/>
        <w:suppressAutoHyphens/>
        <w:bidi w:val="0"/>
        <w:spacing w:before="0" w:after="0" w:line="360" w:lineRule="auto"/>
        <w:ind w:left="850" w:right="0" w:firstLine="0"/>
        <w:jc w:val="both"/>
        <w:rPr>
          <w:rFonts w:ascii="Arial" w:hAnsi="Arial"/>
          <w:sz w:val="21"/>
          <w:szCs w:val="21"/>
        </w:rPr>
      </w:pPr>
    </w:p>
    <w:p w14:paraId="0F3D1966">
      <w:pPr>
        <w:widowControl/>
        <w:suppressAutoHyphens/>
        <w:bidi w:val="0"/>
        <w:spacing w:before="0" w:after="0" w:line="360" w:lineRule="auto"/>
        <w:ind w:left="850" w:right="0" w:firstLine="0"/>
        <w:jc w:val="both"/>
        <w:rPr>
          <w:rFonts w:ascii="Arial" w:hAnsi="Arial"/>
          <w:sz w:val="21"/>
          <w:szCs w:val="21"/>
        </w:rPr>
      </w:pPr>
      <w:r>
        <w:rPr>
          <w:rFonts w:ascii="Arial" w:hAnsi="Arial" w:cs="Arial"/>
          <w:sz w:val="21"/>
          <w:szCs w:val="21"/>
        </w:rPr>
        <w:t>v) Alvará de localização/funcionamento relativo ao domicílio ou sede do licitante e pertinente ao seu ramo de atividades;</w:t>
      </w:r>
    </w:p>
    <w:p w14:paraId="3C322FB0">
      <w:pPr>
        <w:widowControl/>
        <w:suppressAutoHyphens/>
        <w:bidi w:val="0"/>
        <w:spacing w:before="0" w:after="0" w:line="360" w:lineRule="auto"/>
        <w:ind w:left="850" w:right="0" w:firstLine="0"/>
        <w:jc w:val="both"/>
        <w:rPr>
          <w:rFonts w:ascii="Arial" w:hAnsi="Arial"/>
          <w:sz w:val="21"/>
          <w:szCs w:val="21"/>
        </w:rPr>
      </w:pPr>
    </w:p>
    <w:p w14:paraId="667C1BF5">
      <w:pPr>
        <w:widowControl/>
        <w:suppressAutoHyphens/>
        <w:bidi w:val="0"/>
        <w:spacing w:before="0" w:after="0" w:line="360" w:lineRule="auto"/>
        <w:ind w:left="850" w:right="0" w:firstLine="0"/>
        <w:jc w:val="both"/>
        <w:rPr>
          <w:rFonts w:ascii="Arial" w:hAnsi="Arial"/>
          <w:sz w:val="21"/>
          <w:szCs w:val="21"/>
        </w:rPr>
      </w:pPr>
      <w:r>
        <w:rPr>
          <w:rFonts w:ascii="Arial" w:hAnsi="Arial" w:cs="Arial"/>
          <w:sz w:val="21"/>
          <w:szCs w:val="21"/>
        </w:rPr>
        <w:t>w) alvará sanitário em vigência.</w:t>
      </w:r>
    </w:p>
    <w:p w14:paraId="7C32B378">
      <w:pPr>
        <w:widowControl/>
        <w:suppressAutoHyphens/>
        <w:bidi w:val="0"/>
        <w:spacing w:before="0" w:after="0" w:line="360" w:lineRule="auto"/>
        <w:ind w:left="850" w:right="0" w:firstLine="0"/>
        <w:jc w:val="both"/>
        <w:rPr>
          <w:rFonts w:ascii="Arial" w:hAnsi="Arial"/>
          <w:i w:val="0"/>
          <w:iCs w:val="0"/>
          <w:sz w:val="21"/>
          <w:szCs w:val="21"/>
        </w:rPr>
      </w:pPr>
    </w:p>
    <w:p w14:paraId="7EDC8AF9">
      <w:pPr>
        <w:pStyle w:val="398"/>
        <w:widowControl/>
        <w:suppressAutoHyphens/>
        <w:bidi w:val="0"/>
        <w:spacing w:before="0" w:after="0" w:line="360" w:lineRule="auto"/>
        <w:ind w:left="907" w:right="0" w:firstLine="0"/>
        <w:jc w:val="both"/>
        <w:rPr>
          <w:rFonts w:ascii="Arial" w:hAnsi="Arial"/>
          <w:i w:val="0"/>
          <w:iCs w:val="0"/>
          <w:sz w:val="21"/>
          <w:szCs w:val="21"/>
          <w:highlight w:val="none"/>
          <w:shd w:val="clear" w:fill="auto"/>
        </w:rPr>
      </w:pPr>
      <w:r>
        <w:rPr>
          <w:rFonts w:ascii="Arial" w:hAnsi="Arial"/>
          <w:i w:val="0"/>
          <w:iCs w:val="0"/>
          <w:color w:val="000000"/>
          <w:sz w:val="21"/>
          <w:szCs w:val="21"/>
          <w:shd w:val="clear" w:fill="auto"/>
        </w:rPr>
        <w:t xml:space="preserve">A </w:t>
      </w:r>
      <w:r>
        <w:rPr>
          <w:rFonts w:ascii="Arial" w:hAnsi="Arial"/>
          <w:i w:val="0"/>
          <w:iCs w:val="0"/>
          <w:color w:val="000000"/>
          <w:sz w:val="21"/>
          <w:szCs w:val="21"/>
          <w:u w:val="single"/>
          <w:shd w:val="clear" w:fill="auto"/>
        </w:rPr>
        <w:t>licitante vencedora</w:t>
      </w:r>
      <w:r>
        <w:rPr>
          <w:rFonts w:ascii="Arial" w:hAnsi="Arial"/>
          <w:i w:val="0"/>
          <w:iCs w:val="0"/>
          <w:color w:val="000000"/>
          <w:sz w:val="21"/>
          <w:szCs w:val="21"/>
          <w:shd w:val="clear" w:fill="auto"/>
        </w:rPr>
        <w:t xml:space="preserve"> deverá apresentar para a assinatura da ata de registro de preços a seguinte documentação:</w:t>
      </w:r>
    </w:p>
    <w:p w14:paraId="33A08F25">
      <w:pPr>
        <w:pStyle w:val="398"/>
        <w:spacing w:before="0" w:after="0" w:line="360" w:lineRule="auto"/>
        <w:ind w:left="0" w:firstLine="0"/>
        <w:rPr>
          <w:rFonts w:ascii="Arial" w:hAnsi="Arial"/>
          <w:i w:val="0"/>
          <w:iCs w:val="0"/>
          <w:strike w:val="0"/>
          <w:dstrike w:val="0"/>
          <w:color w:val="000000"/>
          <w:sz w:val="21"/>
          <w:szCs w:val="21"/>
          <w:highlight w:val="none"/>
          <w:u w:val="none"/>
          <w:shd w:val="clear" w:fill="auto"/>
        </w:rPr>
      </w:pPr>
    </w:p>
    <w:p w14:paraId="0965C107">
      <w:pPr>
        <w:pStyle w:val="398"/>
        <w:widowControl/>
        <w:suppressAutoHyphens/>
        <w:bidi w:val="0"/>
        <w:spacing w:before="5" w:after="160" w:line="360" w:lineRule="auto"/>
        <w:ind w:left="907" w:right="0" w:firstLine="0"/>
        <w:jc w:val="both"/>
        <w:rPr>
          <w:rFonts w:ascii="Arial" w:hAnsi="Arial"/>
          <w:sz w:val="21"/>
          <w:szCs w:val="21"/>
          <w:highlight w:val="none"/>
          <w:shd w:val="clear" w:fill="auto"/>
        </w:rPr>
      </w:pPr>
      <w:r>
        <w:rPr>
          <w:rFonts w:ascii="Arial" w:hAnsi="Arial"/>
          <w:i w:val="0"/>
          <w:iCs w:val="0"/>
          <w:strike w:val="0"/>
          <w:dstrike w:val="0"/>
          <w:color w:val="000000"/>
          <w:sz w:val="21"/>
          <w:szCs w:val="21"/>
          <w:u w:val="none"/>
          <w:shd w:val="clear" w:fill="auto"/>
        </w:rPr>
        <w:t>a)Licença Ambiental de Operação – LAO da proponente participante da licitação</w:t>
      </w:r>
      <w:r>
        <w:rPr>
          <w:rFonts w:ascii="Arial" w:hAnsi="Arial"/>
          <w:i/>
          <w:strike w:val="0"/>
          <w:dstrike w:val="0"/>
          <w:color w:val="000000"/>
          <w:sz w:val="21"/>
          <w:szCs w:val="21"/>
          <w:u w:val="none"/>
          <w:shd w:val="clear" w:fill="auto"/>
        </w:rPr>
        <w:t>.</w:t>
      </w:r>
    </w:p>
    <w:p w14:paraId="59E142A3">
      <w:pPr>
        <w:widowControl/>
        <w:suppressAutoHyphens/>
        <w:bidi w:val="0"/>
        <w:spacing w:before="0" w:after="0" w:line="360" w:lineRule="auto"/>
        <w:ind w:right="0" w:firstLine="0"/>
        <w:jc w:val="both"/>
        <w:rPr>
          <w:rFonts w:ascii="Arial" w:hAnsi="Arial"/>
          <w:color w:val="000000"/>
          <w:sz w:val="21"/>
          <w:szCs w:val="21"/>
        </w:rPr>
      </w:pPr>
    </w:p>
    <w:p w14:paraId="5696F312">
      <w:pPr>
        <w:widowControl/>
        <w:suppressAutoHyphens/>
        <w:bidi w:val="0"/>
        <w:spacing w:before="0" w:after="0" w:line="360" w:lineRule="auto"/>
        <w:ind w:left="0" w:right="0" w:firstLine="0"/>
        <w:jc w:val="both"/>
        <w:rPr>
          <w:rFonts w:ascii="Arial" w:hAnsi="Arial" w:eastAsia="Times New Roman" w:cs="Arial"/>
          <w:b w:val="0"/>
          <w:bCs/>
          <w:color w:val="000000"/>
          <w:kern w:val="0"/>
          <w:sz w:val="21"/>
          <w:szCs w:val="21"/>
          <w:lang w:eastAsia="zh-CN"/>
        </w:rPr>
      </w:pPr>
    </w:p>
    <w:p w14:paraId="0768FCD0">
      <w:pPr>
        <w:pStyle w:val="447"/>
        <w:keepNext w:val="0"/>
        <w:keepLines w:val="0"/>
        <w:pageBreakBefore w:val="0"/>
        <w:widowControl/>
        <w:shd w:val="clear" w:fill="auto"/>
        <w:tabs>
          <w:tab w:val="left" w:pos="2340"/>
          <w:tab w:val="left" w:pos="4464"/>
        </w:tabs>
        <w:suppressAutoHyphens/>
        <w:bidi w:val="0"/>
        <w:spacing w:before="0" w:after="0" w:line="360" w:lineRule="auto"/>
        <w:ind w:left="0" w:right="0" w:firstLine="0"/>
        <w:jc w:val="both"/>
        <w:rPr>
          <w:rFonts w:ascii="Arial" w:hAnsi="Arial"/>
          <w:sz w:val="21"/>
          <w:szCs w:val="21"/>
        </w:rPr>
      </w:pPr>
      <w:r>
        <w:rPr>
          <w:rFonts w:ascii="Arial" w:hAnsi="Arial" w:eastAsia="Arial" w:cs="Arial"/>
          <w:sz w:val="21"/>
          <w:szCs w:val="21"/>
        </w:rPr>
        <w:t xml:space="preserve"> </w:t>
      </w:r>
      <w:r>
        <w:rPr>
          <w:rFonts w:ascii="Arial" w:hAnsi="Arial"/>
          <w:sz w:val="21"/>
          <w:szCs w:val="21"/>
        </w:rPr>
        <w:t>10.2.1. Na hipótese de participação de empresa em recuperação judicial cujo processamento da recuperação judicial tenho sido deferido pelo juiz, a apresentação das certidões negativas (prova de regularidade perante a fazenda federal e a seguridade social; prova de regularidade junto à fazenda estadual; prova de regularidade junto à fazenda municipal; inscrição no cadastro de contribuintes estadual e/ou municipal; prova de regularidade com o FGTS; prova de inexistência de débitos perante a justiça do trabalho) será dispensada mediante o envio de cópia da decisão judicial deferindo o processamento da recuperação judicial e dispensando a apresentação de certidões negativas para o exercício das atividades, nos termos do art. 52, caput, inciso II, da Lei Federal nº 11.101/2005.</w:t>
      </w:r>
    </w:p>
    <w:p w14:paraId="49D804EA">
      <w:pPr>
        <w:widowControl/>
        <w:suppressAutoHyphens/>
        <w:bidi w:val="0"/>
        <w:spacing w:before="0" w:after="0" w:line="360" w:lineRule="auto"/>
        <w:ind w:left="0" w:right="0" w:firstLine="0"/>
        <w:jc w:val="both"/>
        <w:rPr>
          <w:rFonts w:ascii="Arial" w:hAnsi="Arial"/>
          <w:sz w:val="21"/>
          <w:szCs w:val="21"/>
        </w:rPr>
      </w:pPr>
    </w:p>
    <w:p w14:paraId="7BF6977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10.2.2. A dispensa da apresentação de certidões negativas referida acima não exime a empresa em recuperação judicial da obrigação de demonstrar a regularidade relativa ao Sistema de Seguridade Social, por imperativo constitucional expresso no art. 195, § 3º, da Constituição Federal e ressalvado no art. 52, caput, inciso II, da Lei Federal nº 11.101/2005.;</w:t>
      </w:r>
    </w:p>
    <w:p w14:paraId="47710284">
      <w:pPr>
        <w:widowControl/>
        <w:suppressAutoHyphens/>
        <w:bidi w:val="0"/>
        <w:spacing w:before="0" w:after="0" w:line="360" w:lineRule="auto"/>
        <w:ind w:left="0" w:right="0" w:firstLine="0"/>
        <w:jc w:val="both"/>
        <w:rPr>
          <w:rFonts w:ascii="Arial" w:hAnsi="Arial"/>
          <w:sz w:val="21"/>
          <w:szCs w:val="21"/>
        </w:rPr>
      </w:pPr>
    </w:p>
    <w:p w14:paraId="71DFD59F">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10.2.3. As licitantes que, por sua natureza ou por força de lei, estiverem dispensadas da apresentação de determinados documentos de habilitação, deverão apresentar declaração identificando a situação e citando os dispositivos legais pertinentes.</w:t>
      </w:r>
    </w:p>
    <w:p w14:paraId="5F97012B">
      <w:pPr>
        <w:widowControl/>
        <w:suppressAutoHyphens/>
        <w:bidi w:val="0"/>
        <w:spacing w:before="0" w:after="0" w:line="360" w:lineRule="auto"/>
        <w:ind w:left="0" w:right="0" w:firstLine="0"/>
        <w:jc w:val="both"/>
        <w:rPr>
          <w:rFonts w:ascii="Arial" w:hAnsi="Arial"/>
          <w:sz w:val="21"/>
          <w:szCs w:val="21"/>
        </w:rPr>
      </w:pPr>
    </w:p>
    <w:p w14:paraId="58A56A0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10.2.4. Os documentos referidos nos itens “f”, “g”, “h”, “i”, “j”, “k” e “l” poderão ser substituídos ou supridos, no todo ou em parte, por outros meios hábeis a comprovar a regularidade do licitante, inclusive por meio eletrônico.</w:t>
      </w:r>
    </w:p>
    <w:p w14:paraId="7759C63D">
      <w:pPr>
        <w:widowControl/>
        <w:suppressAutoHyphens/>
        <w:bidi w:val="0"/>
        <w:spacing w:before="0" w:after="0" w:line="360" w:lineRule="auto"/>
        <w:ind w:left="0" w:right="0" w:firstLine="0"/>
        <w:jc w:val="both"/>
        <w:rPr>
          <w:rFonts w:ascii="Arial" w:hAnsi="Arial"/>
          <w:sz w:val="21"/>
          <w:szCs w:val="21"/>
        </w:rPr>
      </w:pPr>
    </w:p>
    <w:p w14:paraId="171EE152">
      <w:pPr>
        <w:spacing w:before="0" w:after="0" w:line="360" w:lineRule="auto"/>
        <w:ind w:left="0" w:right="0" w:firstLine="0"/>
        <w:jc w:val="both"/>
        <w:rPr>
          <w:rFonts w:ascii="Arial" w:hAnsi="Arial"/>
          <w:sz w:val="21"/>
          <w:szCs w:val="21"/>
        </w:rPr>
      </w:pPr>
      <w:r>
        <w:rPr>
          <w:rFonts w:ascii="Arial" w:hAnsi="Arial" w:eastAsia="Times New Roman" w:cs="Arial"/>
          <w:bCs/>
          <w:color w:val="000000"/>
          <w:kern w:val="0"/>
          <w:sz w:val="21"/>
          <w:szCs w:val="21"/>
          <w:lang w:eastAsia="zh-CN"/>
        </w:rPr>
        <w:t xml:space="preserve">10.2.5. </w:t>
      </w:r>
      <w:r>
        <w:rPr>
          <w:rFonts w:ascii="Arial" w:hAnsi="Arial" w:cs="Arial"/>
          <w:sz w:val="21"/>
          <w:szCs w:val="21"/>
        </w:rPr>
        <w:t xml:space="preserve">A não apresentação da documentação de Cadastro Nacional das Empresas Inidôneas e Suspensas – CEIS, </w:t>
      </w:r>
      <w:r>
        <w:rPr>
          <w:rFonts w:ascii="Arial" w:hAnsi="Arial" w:eastAsia="Times New Roman" w:cs="Arial"/>
          <w:bCs/>
          <w:color w:val="000000"/>
          <w:kern w:val="0"/>
          <w:sz w:val="21"/>
          <w:szCs w:val="21"/>
          <w:lang w:eastAsia="zh-CN"/>
        </w:rPr>
        <w:t>Cadastro Nacional de Condenações Civis por Ato de Improbidade Administrativa e Inelegibilidade</w:t>
      </w:r>
      <w:r>
        <w:rPr>
          <w:rFonts w:ascii="Arial" w:hAnsi="Arial" w:cs="Arial"/>
          <w:sz w:val="21"/>
          <w:szCs w:val="21"/>
        </w:rPr>
        <w:t xml:space="preserve"> e Certidões Negativa de Licitante Inidôneos e Inabilitados, não acarretará a inabilitação da proponente, podendo esta ser consultada para fins de habilitação, a qualquer tempo pelo(a) Pregoeiro (a) e/ou requeridas à licitante.</w:t>
      </w:r>
    </w:p>
    <w:p w14:paraId="6A5124E1">
      <w:pPr>
        <w:spacing w:before="0" w:after="0" w:line="360" w:lineRule="auto"/>
        <w:ind w:left="0" w:right="0" w:firstLine="0"/>
        <w:jc w:val="both"/>
        <w:rPr>
          <w:rFonts w:ascii="Arial" w:hAnsi="Arial"/>
          <w:sz w:val="21"/>
          <w:szCs w:val="21"/>
        </w:rPr>
      </w:pPr>
    </w:p>
    <w:p w14:paraId="437170DE">
      <w:pPr>
        <w:spacing w:before="0" w:after="0" w:line="360" w:lineRule="auto"/>
        <w:ind w:left="0" w:right="0" w:firstLine="0"/>
        <w:jc w:val="both"/>
        <w:rPr>
          <w:rFonts w:ascii="Arial" w:hAnsi="Arial"/>
          <w:sz w:val="21"/>
          <w:szCs w:val="21"/>
        </w:rPr>
      </w:pPr>
      <w:r>
        <w:rPr>
          <w:rFonts w:ascii="Arial" w:hAnsi="Arial"/>
          <w:sz w:val="21"/>
          <w:szCs w:val="21"/>
        </w:rPr>
        <w:t xml:space="preserve">10.2.6. </w:t>
      </w:r>
      <w:r>
        <w:rPr>
          <w:rFonts w:ascii="Arial" w:hAnsi="Arial" w:cs="Arial"/>
          <w:sz w:val="21"/>
          <w:szCs w:val="21"/>
        </w:rPr>
        <w:t>Caso a empresa enquadre-se em alguma hipótese de inidoneidade e suspensão, será analisado o alcance da mesma, sendo garantido à licitante o os prazos recursais previstos em Lei, em caso de inabilitação.</w:t>
      </w:r>
    </w:p>
    <w:p w14:paraId="4D97EDF4">
      <w:pPr>
        <w:spacing w:before="0" w:after="0" w:line="360" w:lineRule="auto"/>
        <w:ind w:left="0" w:right="0" w:firstLine="0"/>
        <w:jc w:val="both"/>
        <w:rPr>
          <w:rFonts w:ascii="Arial" w:hAnsi="Arial" w:cs="Arial"/>
          <w:sz w:val="21"/>
          <w:szCs w:val="21"/>
        </w:rPr>
      </w:pPr>
    </w:p>
    <w:p w14:paraId="681822B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10.3. As Microempresas e Empresas de Pequeno Porte deverão apresentar os documentos referentes à regularidade fiscal. Todavia,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na forma da Lei Complementar nº 123/06 e 147/14.</w:t>
      </w:r>
    </w:p>
    <w:p w14:paraId="7A078B10">
      <w:pPr>
        <w:widowControl/>
        <w:suppressAutoHyphens/>
        <w:bidi w:val="0"/>
        <w:spacing w:before="0" w:after="0" w:line="360" w:lineRule="auto"/>
        <w:ind w:left="0" w:right="0" w:firstLine="0"/>
        <w:jc w:val="both"/>
        <w:rPr>
          <w:rFonts w:ascii="Arial" w:hAnsi="Arial"/>
          <w:sz w:val="21"/>
          <w:szCs w:val="21"/>
        </w:rPr>
      </w:pPr>
    </w:p>
    <w:p w14:paraId="6D3509B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10.3.1. A não regularização da documentação no prazo previsto acima, implicará decadência do direito à contratação, sem prejuízo das sanções previstas no art. 155 e seguintes da Lei Federal nº 14.133, de 2021, sendo facultado ao Órgão Gerenciador convocar os Fornecedores do Cadastro de Reserva, na ordem de classificação, para a assinatura do contrato, ou revogar a licitação.</w:t>
      </w:r>
    </w:p>
    <w:p w14:paraId="7EB9F554">
      <w:pPr>
        <w:widowControl/>
        <w:suppressAutoHyphens/>
        <w:bidi w:val="0"/>
        <w:spacing w:before="0" w:after="0" w:line="360" w:lineRule="auto"/>
        <w:ind w:left="0" w:right="0" w:firstLine="0"/>
        <w:jc w:val="both"/>
        <w:rPr>
          <w:rFonts w:ascii="Arial" w:hAnsi="Arial"/>
          <w:sz w:val="21"/>
          <w:szCs w:val="21"/>
        </w:rPr>
      </w:pPr>
    </w:p>
    <w:p w14:paraId="6548D2B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10.4. 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14:paraId="1B32FBA8">
      <w:pPr>
        <w:widowControl/>
        <w:suppressAutoHyphens/>
        <w:bidi w:val="0"/>
        <w:spacing w:before="0" w:after="0" w:line="360" w:lineRule="auto"/>
        <w:ind w:left="0" w:right="0" w:firstLine="0"/>
        <w:jc w:val="both"/>
        <w:rPr>
          <w:rFonts w:ascii="Arial" w:hAnsi="Arial"/>
          <w:sz w:val="21"/>
          <w:szCs w:val="21"/>
        </w:rPr>
      </w:pPr>
    </w:p>
    <w:p w14:paraId="04A250C6">
      <w:pPr>
        <w:spacing w:before="0" w:after="0" w:line="360" w:lineRule="auto"/>
        <w:ind w:left="0" w:right="0" w:firstLine="0"/>
        <w:jc w:val="both"/>
        <w:rPr>
          <w:rFonts w:ascii="Arial" w:hAnsi="Arial"/>
          <w:sz w:val="21"/>
          <w:szCs w:val="21"/>
        </w:rPr>
      </w:pPr>
      <w:r>
        <w:rPr>
          <w:rFonts w:ascii="Arial" w:hAnsi="Arial" w:eastAsia="Times New Roman" w:cs="Arial"/>
          <w:bCs/>
          <w:color w:val="000000"/>
          <w:kern w:val="0"/>
          <w:sz w:val="21"/>
          <w:szCs w:val="21"/>
          <w:lang w:eastAsia="zh-CN"/>
        </w:rPr>
        <w:t>10.4.1. Quando as certidões apresentadas não tiverem prazo de validade estabelecido pelo competente órgão expedidor, será adotada a vigência de 90 (noventa) dias consecutivos, contados a partir da data de sua expedição. Não se enquadram nesse dispositivo os documentos que, pela própria natureza, não possuem prazo de validade.</w:t>
      </w:r>
    </w:p>
    <w:p w14:paraId="0872DA94">
      <w:pPr>
        <w:spacing w:before="0" w:after="0" w:line="360" w:lineRule="auto"/>
        <w:ind w:left="0" w:right="0" w:firstLine="0"/>
        <w:jc w:val="both"/>
        <w:rPr>
          <w:rFonts w:ascii="Arial" w:hAnsi="Arial" w:eastAsia="Times New Roman" w:cs="Arial"/>
          <w:bCs/>
          <w:color w:val="000000"/>
          <w:kern w:val="0"/>
          <w:sz w:val="21"/>
          <w:szCs w:val="21"/>
          <w:lang w:eastAsia="zh-CN"/>
        </w:rPr>
      </w:pPr>
    </w:p>
    <w:p w14:paraId="1A97A29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10.5. Em todas as hipóteses referidas neste Edital, não serão aceitos documentos com prazo de validade vencido, bem como não serão aceitos, em nenhuma hipótese, “protocolo” de documento necessário à habilitação.</w:t>
      </w:r>
    </w:p>
    <w:p w14:paraId="5CA960E6">
      <w:pPr>
        <w:widowControl/>
        <w:suppressAutoHyphens/>
        <w:bidi w:val="0"/>
        <w:spacing w:before="0" w:after="0" w:line="360" w:lineRule="auto"/>
        <w:ind w:left="0" w:right="0" w:firstLine="0"/>
        <w:jc w:val="both"/>
        <w:rPr>
          <w:rFonts w:ascii="Arial" w:hAnsi="Arial"/>
          <w:sz w:val="21"/>
          <w:szCs w:val="21"/>
        </w:rPr>
      </w:pPr>
    </w:p>
    <w:p w14:paraId="70EC524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10.6. A documentação referida neste Capítulo poderá ser apresentada em original, por cópia, eletrônico ou por qualquer outro meio expressamente admitido pela Administração.</w:t>
      </w:r>
    </w:p>
    <w:p w14:paraId="20C739B6">
      <w:pPr>
        <w:widowControl/>
        <w:suppressAutoHyphens/>
        <w:bidi w:val="0"/>
        <w:spacing w:before="0" w:after="0" w:line="360" w:lineRule="auto"/>
        <w:ind w:left="0" w:right="0" w:firstLine="0"/>
        <w:jc w:val="both"/>
        <w:rPr>
          <w:rFonts w:ascii="Arial" w:hAnsi="Arial"/>
          <w:sz w:val="21"/>
          <w:szCs w:val="21"/>
        </w:rPr>
      </w:pPr>
    </w:p>
    <w:p w14:paraId="51180106">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10.7. Após a entrega dos documentos para habilitação na forma prevista no edital, inclusive após a complementação, em sendo declarado vencedor, não será permitida a substituição ou a apresentação de novos documentos, salvo em sede de diligência, para:</w:t>
      </w:r>
    </w:p>
    <w:p w14:paraId="3A98B20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a) complementação de informações acerca dos documentos já apresentados pelos licitantes e desde que necessária para apurar fatos existentes à época da abertura do certame;</w:t>
      </w:r>
    </w:p>
    <w:p w14:paraId="12DA45A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b) atualização de documentos cuja validade tenha expirado após a data de recebimento das propostas.</w:t>
      </w:r>
    </w:p>
    <w:p w14:paraId="707BC179">
      <w:pPr>
        <w:widowControl/>
        <w:suppressAutoHyphens/>
        <w:bidi w:val="0"/>
        <w:spacing w:before="0" w:after="0" w:line="360" w:lineRule="auto"/>
        <w:ind w:left="0" w:right="0" w:firstLine="0"/>
        <w:jc w:val="both"/>
        <w:rPr>
          <w:rFonts w:ascii="Arial" w:hAnsi="Arial"/>
          <w:sz w:val="21"/>
          <w:szCs w:val="21"/>
        </w:rPr>
      </w:pPr>
    </w:p>
    <w:p w14:paraId="05AABE5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10.8.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32753D15">
      <w:pPr>
        <w:widowControl/>
        <w:suppressAutoHyphens/>
        <w:bidi w:val="0"/>
        <w:spacing w:before="0" w:after="0" w:line="360" w:lineRule="auto"/>
        <w:ind w:left="0" w:right="0" w:firstLine="0"/>
        <w:jc w:val="both"/>
        <w:rPr>
          <w:rFonts w:ascii="Arial" w:hAnsi="Arial"/>
          <w:sz w:val="21"/>
          <w:szCs w:val="21"/>
        </w:rPr>
      </w:pPr>
    </w:p>
    <w:p w14:paraId="67BCEC1E">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11. DAS OBRIGAÇÕES DA(S) VENCEDORA(S)</w:t>
      </w:r>
    </w:p>
    <w:p w14:paraId="62191EFD">
      <w:pPr>
        <w:widowControl/>
        <w:suppressAutoHyphens/>
        <w:bidi w:val="0"/>
        <w:spacing w:before="0" w:after="0" w:line="360" w:lineRule="auto"/>
        <w:ind w:left="0" w:right="0" w:firstLine="0"/>
        <w:jc w:val="both"/>
        <w:rPr>
          <w:rFonts w:ascii="Arial" w:hAnsi="Arial"/>
          <w:sz w:val="21"/>
          <w:szCs w:val="21"/>
        </w:rPr>
      </w:pPr>
    </w:p>
    <w:p w14:paraId="3AD30CA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11.1.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14:paraId="06B267DF">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a) Executar os serviços conforme este Edital, Termo de Referência e seus Anexos e conforme normas extra-editalícias que sejam pertinentes a sua área;</w:t>
      </w:r>
    </w:p>
    <w:p w14:paraId="22D1870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b) Fornecer o objeto desta licitação, na forma, nos locais, nos prazos e nos preços estipulados na sua proposta;</w:t>
      </w:r>
    </w:p>
    <w:p w14:paraId="3558530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c) Responsabilizar-se por todas as despesas oriundas de suas atividades;</w:t>
      </w:r>
    </w:p>
    <w:p w14:paraId="7C63BCD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14:paraId="17F741EF">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e) Acusar o recebimento da Ordem de Serviço/Solicitação de Fornecimento, bem como de qualquer outra notificação enviada por meio eletrônico, no prazo máximo de 24 (vinte e quatro) horas, ressalvando-se que, se o prazo final deste item recair em final de semana ou feriado, será prorrogado ao próximo dia útil;</w:t>
      </w:r>
    </w:p>
    <w:p w14:paraId="395CEE0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f) Nomear responsável para, durante o período de vigência, representá-lo na execução da Ata/Contrato;</w:t>
      </w:r>
    </w:p>
    <w:p w14:paraId="1330EFA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g) Responsabilizar-se por todo e qualquer dano que, por dolo ou culpa, os seus profissionais causarem ao CONTRATANTE ou a terceiros, sendo descontado no primeiro pagamento subsequente à ocorrência, o valor correspondente ao dano e/ou prejuízo causado;</w:t>
      </w:r>
    </w:p>
    <w:p w14:paraId="70D59AE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h) Comunicar à Administração da CONTRATANTE qualquer anormalidade constatada e prestar os esclarecimentos solicitados;</w:t>
      </w:r>
    </w:p>
    <w:p w14:paraId="4B72711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i) A CONTRATADA ficará obrigada a aceitar nas mesmas condições do edital, os acréscimos ou supressões que se fizerem necessários, até 25% (vinte e cinco por cento) do valor inicial atualizado do Contrato, devendo supressões acima desse limite ser resultantes de acordo entre as partes;</w:t>
      </w:r>
    </w:p>
    <w:p w14:paraId="2925C83F">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j) Responsabilizar-se pelos vícios e danos decorrentes do objeto, de acordo com os artigos 12, 13 e 17 a 27, do Código de Defesa do Consumidor (Lei Federal nº 8.078, de 1990);</w:t>
      </w:r>
    </w:p>
    <w:p w14:paraId="5B8D3686">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k) Outras obrigações previstas no Edital, Termo de Referência, na Ata de Registro de Preços/Contrato e na Lei.</w:t>
      </w:r>
    </w:p>
    <w:p w14:paraId="3784BED6">
      <w:pPr>
        <w:widowControl/>
        <w:suppressAutoHyphens/>
        <w:bidi w:val="0"/>
        <w:spacing w:before="0" w:after="0" w:line="360" w:lineRule="auto"/>
        <w:ind w:left="0" w:right="0" w:firstLine="0"/>
        <w:jc w:val="both"/>
        <w:rPr>
          <w:rFonts w:ascii="Arial" w:hAnsi="Arial"/>
          <w:sz w:val="21"/>
          <w:szCs w:val="21"/>
        </w:rPr>
      </w:pPr>
    </w:p>
    <w:p w14:paraId="1A9FAF4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11.2. São expressamente vedadas à CONTRATADA:</w:t>
      </w:r>
    </w:p>
    <w:p w14:paraId="4AE70D6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a) A veiculação de publicidade acerca da ata de registro de preços/contrato, salvo se houver prévia autorização da CONTRATANTE;</w:t>
      </w:r>
    </w:p>
    <w:p w14:paraId="3953D22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b) A subcontratação para a execução do objeto deste contrato; e</w:t>
      </w:r>
    </w:p>
    <w:p w14:paraId="43082030">
      <w:pPr>
        <w:widowControl/>
        <w:suppressAutoHyphens/>
        <w:bidi w:val="0"/>
        <w:spacing w:before="0" w:after="0" w:line="360" w:lineRule="auto"/>
        <w:ind w:left="0" w:right="0" w:firstLine="0"/>
        <w:jc w:val="both"/>
        <w:rPr>
          <w:rFonts w:ascii="Arial" w:hAnsi="Arial"/>
          <w:sz w:val="21"/>
          <w:szCs w:val="21"/>
        </w:rPr>
      </w:pPr>
    </w:p>
    <w:p w14:paraId="3C4810E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11.3. A CONTRATANTE, além das obrigações estabelecidas no Edital e seus anexos, deve:</w:t>
      </w:r>
    </w:p>
    <w:p w14:paraId="0A3F687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a) Expedir a ordem de serviço/solicitação de fornecimento;</w:t>
      </w:r>
    </w:p>
    <w:p w14:paraId="5483DF7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b) Prestar as informações e os esclarecimentos pertinentes que venham a ser solicitados pelo representante ou preposto da CONTRATADA;</w:t>
      </w:r>
    </w:p>
    <w:p w14:paraId="3E4343C6">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c) Comunicar oficialmente à CONTRATADA quaisquer falhas verificadas no cumprimento do contrato;</w:t>
      </w:r>
    </w:p>
    <w:p w14:paraId="08BC4CE6">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d) Publicar o extrato da ata de registro de preços/contrato e de seus aditivos, se ocorrerem, no Diário Oficial dos Municípios de Santa Catarina, órgão oficial de divulgação dos atos administrativos da CONTRATANTE, veiculado no endereço www.diariomunicipal.sc.gov.br.</w:t>
      </w:r>
    </w:p>
    <w:p w14:paraId="586219B3">
      <w:pPr>
        <w:widowControl/>
        <w:suppressAutoHyphens/>
        <w:bidi w:val="0"/>
        <w:spacing w:before="0" w:after="0" w:line="360" w:lineRule="auto"/>
        <w:ind w:left="0" w:right="0" w:firstLine="0"/>
        <w:jc w:val="both"/>
        <w:rPr>
          <w:rFonts w:ascii="Arial" w:hAnsi="Arial"/>
          <w:sz w:val="21"/>
          <w:szCs w:val="21"/>
        </w:rPr>
      </w:pPr>
    </w:p>
    <w:p w14:paraId="12F8AD24">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12. DOS CRITÉRIOS DE JULGAMENTO E ADJUDICAÇÃO</w:t>
      </w:r>
    </w:p>
    <w:p w14:paraId="0780F21E">
      <w:pPr>
        <w:widowControl/>
        <w:suppressAutoHyphens/>
        <w:bidi w:val="0"/>
        <w:spacing w:before="0" w:after="0" w:line="360" w:lineRule="auto"/>
        <w:ind w:left="0" w:right="0" w:firstLine="0"/>
        <w:jc w:val="both"/>
        <w:rPr>
          <w:rFonts w:ascii="Arial" w:hAnsi="Arial"/>
          <w:sz w:val="21"/>
          <w:szCs w:val="21"/>
        </w:rPr>
      </w:pPr>
    </w:p>
    <w:p w14:paraId="74E81A5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12.1. </w:t>
      </w:r>
      <w:r>
        <w:rPr>
          <w:rFonts w:ascii="Arial" w:hAnsi="Arial" w:eastAsia="Times New Roman" w:cs="Arial"/>
          <w:bCs/>
          <w:color w:val="000000"/>
          <w:kern w:val="0"/>
          <w:sz w:val="21"/>
          <w:szCs w:val="21"/>
          <w:lang w:eastAsia="zh-CN"/>
        </w:rPr>
        <w:t>Para adjudicação será verificada a manutenção das condições de habilitação da licitante vencedora.</w:t>
      </w:r>
    </w:p>
    <w:p w14:paraId="5FA4A50B">
      <w:pPr>
        <w:widowControl/>
        <w:suppressAutoHyphens/>
        <w:bidi w:val="0"/>
        <w:spacing w:before="0" w:after="0" w:line="360" w:lineRule="auto"/>
        <w:ind w:left="0" w:right="0" w:firstLine="0"/>
        <w:jc w:val="both"/>
        <w:rPr>
          <w:rFonts w:ascii="Arial" w:hAnsi="Arial" w:eastAsia="Times New Roman" w:cs="Arial"/>
          <w:bCs/>
          <w:color w:val="000000"/>
          <w:kern w:val="0"/>
          <w:sz w:val="21"/>
          <w:szCs w:val="21"/>
          <w:lang w:eastAsia="zh-CN"/>
        </w:rPr>
      </w:pPr>
    </w:p>
    <w:p w14:paraId="2FB5B662">
      <w:pPr>
        <w:widowControl/>
        <w:suppressAutoHyphens/>
        <w:bidi w:val="0"/>
        <w:spacing w:before="0" w:after="0" w:line="360" w:lineRule="auto"/>
        <w:ind w:left="0" w:right="0" w:firstLine="0"/>
        <w:jc w:val="both"/>
        <w:rPr>
          <w:rFonts w:ascii="Arial" w:hAnsi="Arial"/>
          <w:sz w:val="21"/>
          <w:szCs w:val="21"/>
        </w:rPr>
      </w:pPr>
      <w:r>
        <w:rPr>
          <w:rFonts w:ascii="Arial" w:hAnsi="Arial" w:eastAsia="Times New Roman" w:cs="Arial"/>
          <w:bCs/>
          <w:color w:val="000000"/>
          <w:kern w:val="0"/>
          <w:sz w:val="21"/>
          <w:szCs w:val="21"/>
          <w:lang w:eastAsia="zh-CN"/>
        </w:rPr>
        <w:t>12.2. Será verificado ainda, eventuais impedimentos de licitar e contratar, da licitante vencedora, mediante consultas do constante no item 6.5.1.</w:t>
      </w:r>
    </w:p>
    <w:p w14:paraId="0C991AB9">
      <w:pPr>
        <w:widowControl/>
        <w:suppressAutoHyphens/>
        <w:bidi w:val="0"/>
        <w:spacing w:before="0" w:after="0" w:line="360" w:lineRule="auto"/>
        <w:ind w:left="0" w:right="0" w:firstLine="0"/>
        <w:jc w:val="both"/>
        <w:rPr>
          <w:rFonts w:ascii="Arial" w:hAnsi="Arial"/>
          <w:sz w:val="21"/>
          <w:szCs w:val="21"/>
        </w:rPr>
      </w:pPr>
    </w:p>
    <w:p w14:paraId="6B46994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12.3. A presente Licitação será adjudicada à licitante que apresentar proposta de MAIS VANTAJOSA, JULGAMENTO POR ITEM, conforme mencionado no preâmbulo, desde que atendidas às demais exigências deste Edital.</w:t>
      </w:r>
    </w:p>
    <w:p w14:paraId="600FB3D7">
      <w:pPr>
        <w:widowControl/>
        <w:suppressAutoHyphens/>
        <w:bidi w:val="0"/>
        <w:spacing w:before="0" w:after="0" w:line="360" w:lineRule="auto"/>
        <w:ind w:left="0" w:right="0" w:firstLine="0"/>
        <w:jc w:val="both"/>
        <w:rPr>
          <w:rFonts w:ascii="Arial" w:hAnsi="Arial"/>
          <w:sz w:val="21"/>
          <w:szCs w:val="21"/>
        </w:rPr>
      </w:pPr>
    </w:p>
    <w:p w14:paraId="03C8AFCE">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13. DA IMPUGNAÇÃO DO EDITAL</w:t>
      </w:r>
    </w:p>
    <w:p w14:paraId="4113D9E7">
      <w:pPr>
        <w:widowControl/>
        <w:suppressAutoHyphens/>
        <w:bidi w:val="0"/>
        <w:spacing w:before="0" w:after="0" w:line="360" w:lineRule="auto"/>
        <w:ind w:left="0" w:right="0" w:firstLine="0"/>
        <w:jc w:val="both"/>
        <w:rPr>
          <w:rFonts w:ascii="Arial" w:hAnsi="Arial"/>
          <w:sz w:val="21"/>
          <w:szCs w:val="21"/>
        </w:rPr>
      </w:pPr>
    </w:p>
    <w:p w14:paraId="6875ED7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13.1. Qualquer pessoa é parte legítima para impugnar edital de licitação por irregularidade na aplicação desta Lei ou para solicitar esclarecimento sobre os seus termos, devendo protocolar o pedido até 3 (três) dias úteis antes da data de abertura do certame.</w:t>
      </w:r>
    </w:p>
    <w:p w14:paraId="14ACD8E4">
      <w:pPr>
        <w:widowControl/>
        <w:suppressAutoHyphens/>
        <w:bidi w:val="0"/>
        <w:spacing w:before="0" w:after="0" w:line="360" w:lineRule="auto"/>
        <w:ind w:left="0" w:right="0" w:firstLine="0"/>
        <w:jc w:val="both"/>
        <w:rPr>
          <w:rFonts w:ascii="Arial" w:hAnsi="Arial"/>
          <w:sz w:val="21"/>
          <w:szCs w:val="21"/>
        </w:rPr>
      </w:pPr>
    </w:p>
    <w:p w14:paraId="4D693E0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13.1.1. Serão admitidas as seguintes formas de Impugnação do Edital:</w:t>
      </w:r>
    </w:p>
    <w:p w14:paraId="10523AF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a) Por intermédio de meio eletrônico, exclusivamente, através da PLATAFORMA ELETRÔNICA: www.portaldecompraspublicas.com.br “Acesso Identificado”, sendo aceita até as 23:59h do dia que anteceder os 3 (três) dias úteis inteiros antes da data de abertura do certame; ou</w:t>
      </w:r>
    </w:p>
    <w:p w14:paraId="5555901A">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r>
        <w:rPr>
          <w:rFonts w:ascii="Arial" w:hAnsi="Arial"/>
          <w:sz w:val="21"/>
          <w:szCs w:val="21"/>
        </w:rPr>
        <w:t>b) Através de peça original protocolada em meio físico, junto a Sede do Município de Lindóia do Sul, observando-se o horário de expediente, até as 17:00h do dia que anteceder os 3 (três) dias úteis inteiros da data de abertura do certame, no endereço informado no preâmbulo do edital.</w:t>
      </w:r>
    </w:p>
    <w:p w14:paraId="5B3C34B7">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b/>
      </w:r>
    </w:p>
    <w:p w14:paraId="10A62861">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13.2. A resposta à impugnação ou ao pedido de esclarecimento será divulgada em sítio eletrônico oficial no prazo de até 3 (três) dias úteis, limitado ao último dia útil anterior à data da abertura do certame.</w:t>
      </w:r>
    </w:p>
    <w:p w14:paraId="4B90599B">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107EBFF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13.3. Se procedente e acolhida a Impugnação do Edital, seus vícios serão sanados, reabrindo-se o prazo inicialmente estabelecido, exceto, quando, inquestionavelmente, a alteração não afetar a formulação das propostas.</w:t>
      </w:r>
    </w:p>
    <w:p w14:paraId="21708251">
      <w:pPr>
        <w:widowControl/>
        <w:suppressAutoHyphens/>
        <w:bidi w:val="0"/>
        <w:spacing w:before="0" w:after="0" w:line="360" w:lineRule="auto"/>
        <w:ind w:left="0" w:right="0" w:firstLine="0"/>
        <w:jc w:val="both"/>
        <w:rPr>
          <w:rFonts w:ascii="Arial" w:hAnsi="Arial"/>
          <w:sz w:val="21"/>
          <w:szCs w:val="21"/>
        </w:rPr>
      </w:pPr>
    </w:p>
    <w:p w14:paraId="138A8A2A">
      <w:pPr>
        <w:pStyle w:val="409"/>
        <w:spacing w:before="0" w:after="0" w:line="360" w:lineRule="auto"/>
        <w:ind w:left="0" w:right="0" w:firstLine="0"/>
        <w:jc w:val="both"/>
        <w:rPr>
          <w:rFonts w:ascii="Arial" w:hAnsi="Arial"/>
          <w:sz w:val="21"/>
          <w:szCs w:val="21"/>
        </w:rPr>
      </w:pPr>
      <w:r>
        <w:rPr>
          <w:rFonts w:cs="Arial"/>
          <w:b/>
          <w:bCs/>
          <w:color w:val="000000"/>
          <w:sz w:val="21"/>
          <w:szCs w:val="21"/>
        </w:rPr>
        <w:t>14. DO REGISTRO DE PREÇOS</w:t>
      </w:r>
    </w:p>
    <w:p w14:paraId="4959F7AF">
      <w:pPr>
        <w:pStyle w:val="409"/>
        <w:spacing w:before="0" w:after="0" w:line="360" w:lineRule="auto"/>
        <w:ind w:left="0" w:right="0" w:firstLine="0"/>
        <w:jc w:val="both"/>
        <w:rPr>
          <w:rFonts w:ascii="Arial" w:hAnsi="Arial"/>
          <w:sz w:val="21"/>
          <w:szCs w:val="21"/>
        </w:rPr>
      </w:pPr>
      <w:r>
        <w:rPr>
          <w:rFonts w:eastAsia="Arial" w:cs="Arial"/>
          <w:b/>
          <w:bCs/>
          <w:color w:val="000000"/>
          <w:sz w:val="21"/>
          <w:szCs w:val="21"/>
        </w:rPr>
        <w:t xml:space="preserve"> </w:t>
      </w:r>
    </w:p>
    <w:p w14:paraId="5E0F273F">
      <w:pPr>
        <w:pStyle w:val="409"/>
        <w:spacing w:before="0" w:after="0" w:line="360" w:lineRule="auto"/>
        <w:ind w:left="0" w:right="0" w:firstLine="0"/>
        <w:jc w:val="both"/>
        <w:rPr>
          <w:rFonts w:ascii="Arial" w:hAnsi="Arial"/>
          <w:sz w:val="21"/>
          <w:szCs w:val="21"/>
        </w:rPr>
      </w:pPr>
      <w:r>
        <w:rPr>
          <w:rFonts w:cs="Arial"/>
          <w:bCs/>
          <w:color w:val="000000"/>
          <w:sz w:val="21"/>
          <w:szCs w:val="21"/>
        </w:rPr>
        <w:t>14.1. Após a homologação do resultado da licitação e adjudicação do objeto pela autoridade competente, os vencedores serão convocados, para no prazo máximo de 05 (cinco) dias úteis a contar da convocação, assinar a Ata de Registro de Preços, sob pena das sanções previstas neste Edital.</w:t>
      </w:r>
    </w:p>
    <w:p w14:paraId="59362EA9">
      <w:pPr>
        <w:pStyle w:val="409"/>
        <w:spacing w:before="0" w:after="0" w:line="360" w:lineRule="auto"/>
        <w:ind w:left="0" w:right="0" w:firstLine="0"/>
        <w:jc w:val="both"/>
        <w:rPr>
          <w:rFonts w:ascii="Arial" w:hAnsi="Arial" w:cs="Arial"/>
          <w:bCs/>
          <w:color w:val="000000"/>
          <w:sz w:val="21"/>
          <w:szCs w:val="21"/>
        </w:rPr>
      </w:pPr>
    </w:p>
    <w:p w14:paraId="3E1EA21C">
      <w:pPr>
        <w:pStyle w:val="409"/>
        <w:spacing w:before="0" w:after="0" w:line="360" w:lineRule="auto"/>
        <w:ind w:left="0" w:right="0" w:firstLine="0"/>
        <w:jc w:val="both"/>
        <w:rPr>
          <w:rFonts w:ascii="Arial" w:hAnsi="Arial"/>
          <w:sz w:val="21"/>
          <w:szCs w:val="21"/>
        </w:rPr>
      </w:pPr>
      <w:r>
        <w:rPr>
          <w:rFonts w:cs="Arial"/>
          <w:bCs/>
          <w:color w:val="000000"/>
          <w:sz w:val="21"/>
          <w:szCs w:val="21"/>
        </w:rPr>
        <w:t>14.1.1. O prazo de convocação poderá ser prorrogado 1 (uma) vez, por igual período, mediante solicitação da parte durante seu transcurso, devidamente justificada, e desde que o motivo apresentado seja aceito pela Administração.</w:t>
      </w:r>
    </w:p>
    <w:p w14:paraId="3B29DDBB">
      <w:pPr>
        <w:pStyle w:val="409"/>
        <w:spacing w:before="0" w:after="0" w:line="360" w:lineRule="auto"/>
        <w:ind w:left="0" w:right="0" w:firstLine="0"/>
        <w:jc w:val="both"/>
        <w:rPr>
          <w:rFonts w:ascii="Arial" w:hAnsi="Arial" w:cs="Arial"/>
          <w:bCs/>
          <w:color w:val="000000"/>
          <w:sz w:val="21"/>
          <w:szCs w:val="21"/>
        </w:rPr>
      </w:pPr>
    </w:p>
    <w:p w14:paraId="5FCF2720">
      <w:pPr>
        <w:pStyle w:val="409"/>
        <w:spacing w:before="0" w:after="0" w:line="360" w:lineRule="auto"/>
        <w:ind w:left="0" w:right="0" w:firstLine="0"/>
        <w:jc w:val="both"/>
        <w:rPr>
          <w:rFonts w:ascii="Arial" w:hAnsi="Arial"/>
          <w:sz w:val="21"/>
          <w:szCs w:val="21"/>
        </w:rPr>
      </w:pPr>
      <w:r>
        <w:rPr>
          <w:rFonts w:cs="Arial"/>
          <w:bCs/>
          <w:color w:val="000000"/>
          <w:sz w:val="21"/>
          <w:szCs w:val="21"/>
        </w:rPr>
        <w:t>14.1.2. É facultado à Administração, quando a(s) proponente(s) vencedora(s) não atender(em) à convocação para assinatura da Ata de Registro de Preços, nos termos suprarreferidos, convocar outro licitante, desde que respeitada a ordem de classificação, com vistas à obtenção de preço melhor, mesmo que acima do preço ou inferior ao desconto do adjudicatário, desde que comprovados os requisitos habilitatórios e feita a negociação, para assinar a ata de registro de preços</w:t>
      </w:r>
    </w:p>
    <w:p w14:paraId="53B02CE1">
      <w:pPr>
        <w:pStyle w:val="409"/>
        <w:spacing w:before="0" w:after="0" w:line="360" w:lineRule="auto"/>
        <w:ind w:left="0" w:right="0" w:firstLine="0"/>
        <w:jc w:val="both"/>
        <w:rPr>
          <w:rFonts w:ascii="Arial" w:hAnsi="Arial" w:cs="Arial"/>
          <w:bCs/>
          <w:color w:val="000000"/>
          <w:sz w:val="21"/>
          <w:szCs w:val="21"/>
        </w:rPr>
      </w:pPr>
    </w:p>
    <w:p w14:paraId="4907A215">
      <w:pPr>
        <w:pStyle w:val="409"/>
        <w:spacing w:before="0" w:after="0" w:line="360" w:lineRule="auto"/>
        <w:ind w:left="0" w:right="0" w:firstLine="0"/>
        <w:jc w:val="both"/>
        <w:rPr>
          <w:rFonts w:ascii="Arial" w:hAnsi="Arial"/>
          <w:sz w:val="21"/>
          <w:szCs w:val="21"/>
        </w:rPr>
      </w:pPr>
      <w:r>
        <w:rPr>
          <w:rFonts w:cs="Arial"/>
          <w:bCs/>
          <w:color w:val="000000"/>
          <w:sz w:val="21"/>
          <w:szCs w:val="21"/>
        </w:rPr>
        <w:t>14.1.3. A recusa injustificada do adjudicatário em assinar a Ata de Registro de Preços caracterizará o descumprimento total da obrigação assumida e o sujeitará às penalidades legalmente estabelecidas e à imediata perda da garantia de proposta em favor do município.</w:t>
      </w:r>
    </w:p>
    <w:p w14:paraId="261B3FBC">
      <w:pPr>
        <w:pStyle w:val="409"/>
        <w:spacing w:before="0" w:after="0" w:line="360" w:lineRule="auto"/>
        <w:ind w:left="0" w:right="0" w:firstLine="0"/>
        <w:jc w:val="both"/>
        <w:rPr>
          <w:rFonts w:ascii="Arial" w:hAnsi="Arial" w:cs="Arial"/>
          <w:bCs/>
          <w:color w:val="000000"/>
          <w:sz w:val="21"/>
          <w:szCs w:val="21"/>
        </w:rPr>
      </w:pPr>
    </w:p>
    <w:p w14:paraId="158E595B">
      <w:pPr>
        <w:pStyle w:val="409"/>
        <w:spacing w:before="0" w:after="0" w:line="360" w:lineRule="auto"/>
        <w:ind w:left="0" w:right="0" w:firstLine="0"/>
        <w:jc w:val="both"/>
        <w:rPr>
          <w:rFonts w:ascii="Arial" w:hAnsi="Arial"/>
          <w:sz w:val="21"/>
          <w:szCs w:val="21"/>
        </w:rPr>
      </w:pPr>
      <w:r>
        <w:rPr>
          <w:rFonts w:cs="Arial"/>
          <w:bCs/>
          <w:color w:val="000000"/>
          <w:sz w:val="21"/>
          <w:szCs w:val="21"/>
        </w:rPr>
        <w:t>14.2. Para a assinatura da Ata de Registro de Preços, será considerado o simples fato da empresa vencedora participar do certame licitatório e ter apresentado sua proposta final, para a Comissão, como ato concreto, tendo em vista a realização de Pregão Eletrônico.</w:t>
      </w:r>
    </w:p>
    <w:p w14:paraId="523E34C7">
      <w:pPr>
        <w:pStyle w:val="409"/>
        <w:spacing w:before="0" w:after="0" w:line="360" w:lineRule="auto"/>
        <w:ind w:left="0" w:right="0" w:firstLine="0"/>
        <w:jc w:val="both"/>
        <w:rPr>
          <w:rFonts w:ascii="Arial" w:hAnsi="Arial" w:cs="Arial"/>
          <w:bCs/>
          <w:color w:val="000000"/>
          <w:sz w:val="21"/>
          <w:szCs w:val="21"/>
        </w:rPr>
      </w:pPr>
    </w:p>
    <w:p w14:paraId="2A0C5F09">
      <w:pPr>
        <w:pStyle w:val="409"/>
        <w:spacing w:before="0" w:after="0" w:line="360" w:lineRule="auto"/>
        <w:ind w:left="0" w:right="0" w:firstLine="0"/>
        <w:jc w:val="both"/>
        <w:rPr>
          <w:rFonts w:ascii="Arial" w:hAnsi="Arial"/>
          <w:sz w:val="21"/>
          <w:szCs w:val="21"/>
        </w:rPr>
      </w:pPr>
      <w:r>
        <w:rPr>
          <w:rFonts w:cs="Arial"/>
          <w:bCs/>
          <w:color w:val="000000"/>
          <w:sz w:val="21"/>
          <w:szCs w:val="21"/>
        </w:rPr>
        <w:t xml:space="preserve">14.3. </w:t>
      </w:r>
      <w:r>
        <w:rPr>
          <w:rFonts w:eastAsia="Times New Roman" w:cs="Arial"/>
          <w:bCs/>
          <w:color w:val="000000"/>
          <w:kern w:val="0"/>
          <w:sz w:val="21"/>
          <w:szCs w:val="21"/>
          <w:lang w:eastAsia="zh-CN"/>
        </w:rPr>
        <w:t xml:space="preserve">O prazo de vigência da ata de registro de preços será de 1 (um) ano e poderá ser prorrogado por igual período, desde que comprovado o preço vantajoso, nos termos do art. 84, </w:t>
      </w:r>
      <w:r>
        <w:rPr>
          <w:rFonts w:eastAsia="Times New Roman" w:cs="Arial"/>
          <w:bCs/>
          <w:i/>
          <w:iCs/>
          <w:color w:val="000000"/>
          <w:kern w:val="0"/>
          <w:sz w:val="21"/>
          <w:szCs w:val="21"/>
          <w:lang w:eastAsia="zh-CN"/>
        </w:rPr>
        <w:t>caput</w:t>
      </w:r>
      <w:r>
        <w:rPr>
          <w:rFonts w:eastAsia="Times New Roman" w:cs="Arial"/>
          <w:bCs/>
          <w:color w:val="000000"/>
          <w:kern w:val="0"/>
          <w:sz w:val="21"/>
          <w:szCs w:val="21"/>
          <w:lang w:eastAsia="zh-CN"/>
        </w:rPr>
        <w:t xml:space="preserve">, da Lei Federal n. 14.133/2021. </w:t>
      </w:r>
    </w:p>
    <w:p w14:paraId="50769EB5">
      <w:pPr>
        <w:pStyle w:val="409"/>
        <w:spacing w:before="0" w:after="0" w:line="360" w:lineRule="auto"/>
        <w:ind w:left="0" w:right="0" w:firstLine="0"/>
        <w:jc w:val="both"/>
        <w:rPr>
          <w:rFonts w:ascii="Arial" w:hAnsi="Arial" w:cs="Arial"/>
          <w:bCs/>
          <w:color w:val="000000"/>
          <w:sz w:val="21"/>
          <w:szCs w:val="21"/>
        </w:rPr>
      </w:pPr>
    </w:p>
    <w:p w14:paraId="2D30A024">
      <w:pPr>
        <w:pStyle w:val="409"/>
        <w:spacing w:before="0" w:after="0" w:line="360" w:lineRule="auto"/>
        <w:ind w:left="0" w:right="0" w:firstLine="0"/>
        <w:jc w:val="both"/>
        <w:rPr>
          <w:rFonts w:ascii="Arial" w:hAnsi="Arial"/>
          <w:sz w:val="21"/>
          <w:szCs w:val="21"/>
        </w:rPr>
      </w:pPr>
      <w:r>
        <w:rPr>
          <w:rFonts w:cs="Arial"/>
          <w:bCs/>
          <w:color w:val="000000"/>
          <w:sz w:val="21"/>
          <w:szCs w:val="21"/>
        </w:rPr>
        <w:t>14.3.1.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3CEA6363">
      <w:pPr>
        <w:pStyle w:val="409"/>
        <w:spacing w:before="0" w:after="0" w:line="360" w:lineRule="auto"/>
        <w:ind w:left="0" w:right="0" w:firstLine="0"/>
        <w:jc w:val="both"/>
        <w:rPr>
          <w:rFonts w:ascii="Arial" w:hAnsi="Arial" w:cs="Arial"/>
          <w:bCs/>
          <w:color w:val="000000"/>
          <w:sz w:val="21"/>
          <w:szCs w:val="21"/>
        </w:rPr>
      </w:pPr>
    </w:p>
    <w:p w14:paraId="608F2C91">
      <w:pPr>
        <w:pStyle w:val="409"/>
        <w:spacing w:before="0" w:after="0" w:line="360" w:lineRule="auto"/>
        <w:ind w:left="0" w:right="0" w:firstLine="0"/>
        <w:jc w:val="both"/>
        <w:rPr>
          <w:rFonts w:ascii="Arial" w:hAnsi="Arial"/>
          <w:sz w:val="21"/>
          <w:szCs w:val="21"/>
        </w:rPr>
      </w:pPr>
      <w:r>
        <w:rPr>
          <w:rFonts w:cs="Arial"/>
          <w:bCs/>
          <w:color w:val="000000"/>
          <w:sz w:val="21"/>
          <w:szCs w:val="21"/>
        </w:rPr>
        <w:t>14.4. O fornecedor terá seu registro suspenso ou cancelado, facultada a defesa prévia do interessado, no prazo de 5 (cinco) dias úteis, nos seguintes casos:</w:t>
      </w:r>
    </w:p>
    <w:p w14:paraId="26C6413D">
      <w:pPr>
        <w:pStyle w:val="409"/>
        <w:spacing w:before="0" w:after="0" w:line="360" w:lineRule="auto"/>
        <w:ind w:left="0" w:right="0" w:firstLine="0"/>
        <w:jc w:val="both"/>
        <w:rPr>
          <w:rFonts w:ascii="Arial" w:hAnsi="Arial" w:cs="Arial"/>
          <w:bCs/>
          <w:color w:val="000000"/>
          <w:sz w:val="21"/>
          <w:szCs w:val="21"/>
        </w:rPr>
      </w:pPr>
    </w:p>
    <w:p w14:paraId="08FFA96D">
      <w:pPr>
        <w:pStyle w:val="409"/>
        <w:spacing w:before="0" w:after="0" w:line="360" w:lineRule="auto"/>
        <w:ind w:left="0" w:right="0" w:firstLine="0"/>
        <w:jc w:val="both"/>
        <w:rPr>
          <w:rFonts w:ascii="Arial" w:hAnsi="Arial"/>
          <w:sz w:val="21"/>
          <w:szCs w:val="21"/>
        </w:rPr>
      </w:pPr>
      <w:r>
        <w:rPr>
          <w:rFonts w:cs="Arial"/>
          <w:bCs/>
          <w:color w:val="000000"/>
          <w:sz w:val="21"/>
          <w:szCs w:val="21"/>
        </w:rPr>
        <w:tab/>
      </w:r>
      <w:r>
        <w:rPr>
          <w:rFonts w:cs="Arial"/>
          <w:bCs/>
          <w:color w:val="000000"/>
          <w:sz w:val="21"/>
          <w:szCs w:val="21"/>
        </w:rPr>
        <w:t>I - pela Administração, quando:</w:t>
      </w:r>
    </w:p>
    <w:p w14:paraId="1B06EF52">
      <w:pPr>
        <w:pStyle w:val="409"/>
        <w:spacing w:before="0" w:after="0" w:line="360" w:lineRule="auto"/>
        <w:ind w:left="0" w:right="0" w:firstLine="0"/>
        <w:jc w:val="both"/>
        <w:rPr>
          <w:rFonts w:ascii="Arial" w:hAnsi="Arial" w:cs="Arial"/>
          <w:bCs/>
          <w:color w:val="000000"/>
          <w:sz w:val="21"/>
          <w:szCs w:val="21"/>
        </w:rPr>
      </w:pPr>
    </w:p>
    <w:p w14:paraId="4DC7EE73">
      <w:pPr>
        <w:pStyle w:val="409"/>
        <w:widowControl/>
        <w:suppressAutoHyphens/>
        <w:bidi w:val="0"/>
        <w:spacing w:before="0" w:after="0" w:line="360" w:lineRule="auto"/>
        <w:ind w:left="1020" w:right="0" w:firstLine="0"/>
        <w:jc w:val="both"/>
        <w:rPr>
          <w:rFonts w:ascii="Arial" w:hAnsi="Arial"/>
          <w:sz w:val="21"/>
          <w:szCs w:val="21"/>
        </w:rPr>
      </w:pPr>
      <w:r>
        <w:rPr>
          <w:rFonts w:cs="Arial"/>
          <w:bCs/>
          <w:color w:val="000000"/>
          <w:sz w:val="21"/>
          <w:szCs w:val="21"/>
        </w:rPr>
        <w:t>a) o fornecedor não cumprir as exigências do instrumento convocatório que der origem ao registro de preços;</w:t>
      </w:r>
    </w:p>
    <w:p w14:paraId="4DBB5C47">
      <w:pPr>
        <w:pStyle w:val="409"/>
        <w:widowControl/>
        <w:suppressAutoHyphens/>
        <w:bidi w:val="0"/>
        <w:spacing w:before="0" w:after="0" w:line="360" w:lineRule="auto"/>
        <w:ind w:left="1020" w:right="0" w:firstLine="0"/>
        <w:jc w:val="both"/>
        <w:rPr>
          <w:rFonts w:ascii="Arial" w:hAnsi="Arial"/>
          <w:sz w:val="21"/>
          <w:szCs w:val="21"/>
        </w:rPr>
      </w:pPr>
      <w:r>
        <w:rPr>
          <w:rFonts w:cs="Arial"/>
          <w:bCs/>
          <w:color w:val="000000"/>
          <w:sz w:val="21"/>
          <w:szCs w:val="21"/>
        </w:rPr>
        <w:t>b) o fornecedor recusar-se a assinar a ata ou a formalizar contrato decorrente do registro de preços, ressalvada a hipótese de</w:t>
      </w:r>
    </w:p>
    <w:p w14:paraId="2EF3C948">
      <w:pPr>
        <w:pStyle w:val="409"/>
        <w:widowControl/>
        <w:suppressAutoHyphens/>
        <w:bidi w:val="0"/>
        <w:spacing w:before="0" w:after="0" w:line="360" w:lineRule="auto"/>
        <w:ind w:left="1020" w:right="0" w:firstLine="0"/>
        <w:jc w:val="both"/>
        <w:rPr>
          <w:rFonts w:ascii="Arial" w:hAnsi="Arial"/>
          <w:sz w:val="21"/>
          <w:szCs w:val="21"/>
        </w:rPr>
      </w:pPr>
      <w:r>
        <w:rPr>
          <w:rFonts w:cs="Arial"/>
          <w:bCs/>
          <w:color w:val="000000"/>
          <w:sz w:val="21"/>
          <w:szCs w:val="21"/>
        </w:rPr>
        <w:t>a Administração aceitar sua justificativa;</w:t>
      </w:r>
    </w:p>
    <w:p w14:paraId="55742BB2">
      <w:pPr>
        <w:pStyle w:val="409"/>
        <w:widowControl/>
        <w:suppressAutoHyphens/>
        <w:bidi w:val="0"/>
        <w:spacing w:before="0" w:after="0" w:line="360" w:lineRule="auto"/>
        <w:ind w:left="1020" w:right="0" w:firstLine="0"/>
        <w:jc w:val="both"/>
        <w:rPr>
          <w:rFonts w:ascii="Arial" w:hAnsi="Arial"/>
          <w:sz w:val="21"/>
          <w:szCs w:val="21"/>
        </w:rPr>
      </w:pPr>
      <w:r>
        <w:rPr>
          <w:rFonts w:cs="Arial"/>
          <w:bCs/>
          <w:color w:val="000000"/>
          <w:sz w:val="21"/>
          <w:szCs w:val="21"/>
        </w:rPr>
        <w:t>c) o fornecedor der causa à rescisão de contrato decorrente do registro de preços;</w:t>
      </w:r>
    </w:p>
    <w:p w14:paraId="1D56C2CC">
      <w:pPr>
        <w:pStyle w:val="409"/>
        <w:widowControl/>
        <w:suppressAutoHyphens/>
        <w:bidi w:val="0"/>
        <w:spacing w:before="0" w:after="0" w:line="360" w:lineRule="auto"/>
        <w:ind w:left="1020" w:right="0" w:firstLine="0"/>
        <w:jc w:val="both"/>
        <w:rPr>
          <w:rFonts w:ascii="Arial" w:hAnsi="Arial"/>
          <w:sz w:val="21"/>
          <w:szCs w:val="21"/>
        </w:rPr>
      </w:pPr>
      <w:r>
        <w:rPr>
          <w:rFonts w:cs="Arial"/>
          <w:bCs/>
          <w:color w:val="000000"/>
          <w:sz w:val="21"/>
          <w:szCs w:val="21"/>
        </w:rPr>
        <w:t>d) em qualquer das hipóteses de inexecução total ou parcial do contrato decorrente do registro de preços;</w:t>
      </w:r>
    </w:p>
    <w:p w14:paraId="5C90611C">
      <w:pPr>
        <w:pStyle w:val="409"/>
        <w:widowControl/>
        <w:suppressAutoHyphens/>
        <w:bidi w:val="0"/>
        <w:spacing w:before="0" w:after="0" w:line="360" w:lineRule="auto"/>
        <w:ind w:left="1020" w:right="0" w:firstLine="0"/>
        <w:jc w:val="both"/>
        <w:rPr>
          <w:rFonts w:ascii="Arial" w:hAnsi="Arial"/>
          <w:sz w:val="21"/>
          <w:szCs w:val="21"/>
        </w:rPr>
      </w:pPr>
      <w:r>
        <w:rPr>
          <w:rFonts w:cs="Arial"/>
          <w:bCs/>
          <w:color w:val="000000"/>
          <w:sz w:val="21"/>
          <w:szCs w:val="21"/>
        </w:rPr>
        <w:t>e) os preços registrados se apresentarem superiores aos praticados pelo mercado;</w:t>
      </w:r>
    </w:p>
    <w:p w14:paraId="77F66625">
      <w:pPr>
        <w:pStyle w:val="409"/>
        <w:widowControl/>
        <w:suppressAutoHyphens/>
        <w:bidi w:val="0"/>
        <w:spacing w:before="0" w:after="0" w:line="360" w:lineRule="auto"/>
        <w:ind w:left="1020" w:right="0" w:firstLine="0"/>
        <w:jc w:val="both"/>
        <w:rPr>
          <w:rFonts w:ascii="Arial" w:hAnsi="Arial"/>
          <w:sz w:val="21"/>
          <w:szCs w:val="21"/>
        </w:rPr>
      </w:pPr>
      <w:r>
        <w:rPr>
          <w:rFonts w:cs="Arial"/>
          <w:bCs/>
          <w:color w:val="000000"/>
          <w:sz w:val="21"/>
          <w:szCs w:val="21"/>
        </w:rPr>
        <w:t>f) por razões de interesse público, devidamente fundamentadas.</w:t>
      </w:r>
    </w:p>
    <w:p w14:paraId="7A95496C">
      <w:pPr>
        <w:pStyle w:val="409"/>
        <w:spacing w:before="0" w:after="0" w:line="360" w:lineRule="auto"/>
        <w:ind w:left="0" w:right="0" w:firstLine="0"/>
        <w:jc w:val="both"/>
        <w:rPr>
          <w:rFonts w:ascii="Arial" w:hAnsi="Arial" w:cs="Arial"/>
          <w:bCs/>
          <w:color w:val="000000"/>
          <w:sz w:val="21"/>
          <w:szCs w:val="21"/>
        </w:rPr>
      </w:pPr>
    </w:p>
    <w:p w14:paraId="7393CEA3">
      <w:pPr>
        <w:pStyle w:val="409"/>
        <w:spacing w:before="0" w:after="0" w:line="360" w:lineRule="auto"/>
        <w:ind w:left="0" w:right="0" w:firstLine="0"/>
        <w:jc w:val="both"/>
        <w:rPr>
          <w:rFonts w:ascii="Arial" w:hAnsi="Arial"/>
          <w:sz w:val="21"/>
          <w:szCs w:val="21"/>
        </w:rPr>
      </w:pPr>
      <w:r>
        <w:rPr>
          <w:rFonts w:cs="Arial"/>
          <w:bCs/>
          <w:color w:val="000000"/>
          <w:sz w:val="21"/>
          <w:szCs w:val="21"/>
        </w:rPr>
        <w:tab/>
      </w:r>
      <w:r>
        <w:rPr>
          <w:rFonts w:cs="Arial"/>
          <w:bCs/>
          <w:color w:val="000000"/>
          <w:sz w:val="21"/>
          <w:szCs w:val="21"/>
        </w:rPr>
        <w:t>II - pelo fornecedor quando, mediante solicitação por escrito, comprovar a impossibilidade de cumprir as exigências do instrumento convocatório que deu origem ao registro de preços.</w:t>
      </w:r>
    </w:p>
    <w:p w14:paraId="1CFBC3D8">
      <w:pPr>
        <w:pStyle w:val="409"/>
        <w:spacing w:before="0" w:after="0" w:line="360" w:lineRule="auto"/>
        <w:ind w:left="0" w:right="0" w:firstLine="0"/>
        <w:jc w:val="both"/>
        <w:rPr>
          <w:rFonts w:ascii="Arial" w:hAnsi="Arial" w:cs="Arial"/>
          <w:bCs/>
          <w:color w:val="000000"/>
          <w:sz w:val="21"/>
          <w:szCs w:val="21"/>
        </w:rPr>
      </w:pPr>
    </w:p>
    <w:p w14:paraId="7505DDC9">
      <w:pPr>
        <w:pStyle w:val="409"/>
        <w:spacing w:before="0" w:after="0" w:line="360" w:lineRule="auto"/>
        <w:ind w:left="0" w:right="0" w:firstLine="0"/>
        <w:jc w:val="both"/>
        <w:rPr>
          <w:rFonts w:ascii="Arial" w:hAnsi="Arial"/>
          <w:sz w:val="21"/>
          <w:szCs w:val="21"/>
        </w:rPr>
      </w:pPr>
      <w:r>
        <w:rPr>
          <w:rFonts w:cs="Arial"/>
          <w:bCs/>
          <w:color w:val="000000"/>
          <w:sz w:val="21"/>
          <w:szCs w:val="21"/>
        </w:rPr>
        <w:t>14.4.1. A comunicação do cancelamento da ata de registro de preços, será formalizada através do e-mail indicado na fase de credenciamento do fornecedor.</w:t>
      </w:r>
    </w:p>
    <w:p w14:paraId="104A0E20">
      <w:pPr>
        <w:pStyle w:val="409"/>
        <w:spacing w:before="0" w:after="0" w:line="360" w:lineRule="auto"/>
        <w:ind w:left="0" w:right="0" w:firstLine="0"/>
        <w:jc w:val="both"/>
        <w:rPr>
          <w:rFonts w:ascii="Arial" w:hAnsi="Arial" w:cs="Arial"/>
          <w:bCs/>
          <w:color w:val="000000"/>
          <w:sz w:val="21"/>
          <w:szCs w:val="21"/>
        </w:rPr>
      </w:pPr>
    </w:p>
    <w:p w14:paraId="70972EEB">
      <w:pPr>
        <w:pStyle w:val="409"/>
        <w:spacing w:before="0" w:after="0" w:line="360" w:lineRule="auto"/>
        <w:ind w:left="0" w:right="0" w:firstLine="0"/>
        <w:jc w:val="both"/>
        <w:rPr>
          <w:rFonts w:ascii="Arial" w:hAnsi="Arial"/>
          <w:sz w:val="21"/>
          <w:szCs w:val="21"/>
        </w:rPr>
      </w:pPr>
      <w:r>
        <w:rPr>
          <w:rFonts w:cs="Arial"/>
          <w:bCs/>
          <w:color w:val="000000"/>
          <w:sz w:val="21"/>
          <w:szCs w:val="21"/>
        </w:rPr>
        <w:t>14.4.2. Nos casos de não confirmação do recebimento, será considerada válida a comunicação a partir do 2º dia útil da data de envio.</w:t>
      </w:r>
    </w:p>
    <w:p w14:paraId="122B9591">
      <w:pPr>
        <w:pStyle w:val="409"/>
        <w:spacing w:before="0" w:after="0" w:line="360" w:lineRule="auto"/>
        <w:ind w:left="0" w:right="0" w:firstLine="0"/>
        <w:jc w:val="both"/>
        <w:rPr>
          <w:rFonts w:ascii="Arial" w:hAnsi="Arial" w:cs="Arial"/>
          <w:bCs/>
          <w:color w:val="000000"/>
          <w:sz w:val="21"/>
          <w:szCs w:val="21"/>
        </w:rPr>
      </w:pPr>
    </w:p>
    <w:p w14:paraId="0B6ABFB4">
      <w:pPr>
        <w:pStyle w:val="409"/>
        <w:spacing w:before="0" w:after="0" w:line="360" w:lineRule="auto"/>
        <w:ind w:left="0" w:right="0" w:firstLine="0"/>
        <w:jc w:val="both"/>
        <w:rPr>
          <w:rFonts w:ascii="Arial" w:hAnsi="Arial"/>
          <w:sz w:val="21"/>
          <w:szCs w:val="21"/>
        </w:rPr>
      </w:pPr>
      <w:r>
        <w:rPr>
          <w:rFonts w:cs="Arial"/>
          <w:bCs/>
          <w:color w:val="000000"/>
          <w:sz w:val="21"/>
          <w:szCs w:val="21"/>
        </w:rPr>
        <w:t>14.5. Os preços relacionados na Ata de Registro de Preços poderão sofrer alterações, em decorrência de eventual redução daqueles praticados no mercado, ou de fato que eleve o custo dos bens registrados, desde que devidamente justificados e comprovados.</w:t>
      </w:r>
    </w:p>
    <w:p w14:paraId="305FF6E9">
      <w:pPr>
        <w:pStyle w:val="409"/>
        <w:spacing w:before="0" w:after="0" w:line="360" w:lineRule="auto"/>
        <w:ind w:left="0" w:right="0" w:firstLine="0"/>
        <w:jc w:val="both"/>
        <w:rPr>
          <w:rFonts w:ascii="Arial" w:hAnsi="Arial" w:cs="Arial"/>
          <w:bCs/>
          <w:color w:val="000000"/>
          <w:sz w:val="21"/>
          <w:szCs w:val="21"/>
        </w:rPr>
      </w:pPr>
    </w:p>
    <w:p w14:paraId="1C7F42A0">
      <w:pPr>
        <w:pStyle w:val="409"/>
        <w:spacing w:before="0" w:after="0" w:line="360" w:lineRule="auto"/>
        <w:ind w:left="0" w:right="0" w:firstLine="0"/>
        <w:jc w:val="both"/>
        <w:rPr>
          <w:rFonts w:ascii="Arial" w:hAnsi="Arial"/>
          <w:sz w:val="21"/>
          <w:szCs w:val="21"/>
        </w:rPr>
      </w:pPr>
      <w:r>
        <w:rPr>
          <w:rFonts w:cs="Arial"/>
          <w:b w:val="0"/>
          <w:bCs w:val="0"/>
          <w:color w:val="000000"/>
          <w:sz w:val="21"/>
          <w:szCs w:val="21"/>
        </w:rPr>
        <w:t>14.6. Durante o prazo de validade do Registro de Preços, a Administração Municipal poderá ou não, adquirir a totalidade das quantidades registradas, objeto deste Pregão.</w:t>
      </w:r>
    </w:p>
    <w:p w14:paraId="1B9D00CA">
      <w:pPr>
        <w:pStyle w:val="409"/>
        <w:spacing w:before="0" w:after="0" w:line="360" w:lineRule="auto"/>
        <w:ind w:left="0" w:right="0" w:firstLine="0"/>
        <w:jc w:val="both"/>
        <w:rPr>
          <w:rFonts w:ascii="Arial" w:hAnsi="Arial" w:cs="Arial"/>
          <w:b w:val="0"/>
          <w:bCs w:val="0"/>
          <w:color w:val="000000"/>
          <w:sz w:val="21"/>
          <w:szCs w:val="21"/>
        </w:rPr>
      </w:pPr>
    </w:p>
    <w:p w14:paraId="1E31A736">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 xml:space="preserve">15. </w:t>
      </w:r>
      <w:r>
        <w:rPr>
          <w:rFonts w:ascii="Arial" w:hAnsi="Arial" w:eastAsia="Times New Roman" w:cs="Arial"/>
          <w:b/>
          <w:bCs/>
          <w:color w:val="000000"/>
          <w:kern w:val="0"/>
          <w:sz w:val="21"/>
          <w:szCs w:val="21"/>
          <w:lang w:eastAsia="pt-BR"/>
        </w:rPr>
        <w:t>DO CADASTRO RESERVA</w:t>
      </w:r>
    </w:p>
    <w:p w14:paraId="458DCED6">
      <w:pPr>
        <w:widowControl/>
        <w:suppressAutoHyphens/>
        <w:bidi w:val="0"/>
        <w:spacing w:before="0" w:after="0" w:line="360" w:lineRule="auto"/>
        <w:ind w:left="0" w:right="0" w:firstLine="0"/>
        <w:jc w:val="both"/>
        <w:rPr>
          <w:rFonts w:ascii="Arial" w:hAnsi="Arial" w:eastAsia="Times New Roman" w:cs="Arial"/>
          <w:b/>
          <w:bCs/>
          <w:color w:val="000000"/>
          <w:kern w:val="0"/>
          <w:sz w:val="21"/>
          <w:szCs w:val="21"/>
          <w:lang w:eastAsia="pt-BR"/>
        </w:rPr>
      </w:pPr>
    </w:p>
    <w:p w14:paraId="729E2013">
      <w:pPr>
        <w:widowControl/>
        <w:suppressAutoHyphens w:val="0"/>
        <w:spacing w:before="0" w:after="0" w:line="360" w:lineRule="auto"/>
        <w:ind w:left="0" w:right="0" w:firstLine="0"/>
        <w:jc w:val="both"/>
        <w:rPr>
          <w:rFonts w:ascii="Arial" w:hAnsi="Arial"/>
          <w:sz w:val="21"/>
          <w:szCs w:val="21"/>
        </w:rPr>
      </w:pPr>
      <w:r>
        <w:rPr>
          <w:rFonts w:ascii="Arial" w:hAnsi="Arial" w:eastAsia="Times New Roman" w:cs="Arial"/>
          <w:color w:val="000000"/>
          <w:kern w:val="0"/>
          <w:sz w:val="21"/>
          <w:szCs w:val="21"/>
          <w:lang w:eastAsia="pt-BR"/>
        </w:rPr>
        <w:t>15.1. Após o encerramento da etapa competitiva, os licitantes poderão reduzir seus preços ao valor da proposta do licitante mais bem classificado, mediante a formulação de novo lance no sistema de gerenciamento do referido certame.</w:t>
      </w:r>
    </w:p>
    <w:p w14:paraId="4E182B7F">
      <w:pPr>
        <w:widowControl/>
        <w:suppressAutoHyphens w:val="0"/>
        <w:spacing w:before="0" w:after="0" w:line="360" w:lineRule="auto"/>
        <w:ind w:left="0" w:right="0" w:firstLine="0"/>
        <w:jc w:val="both"/>
        <w:rPr>
          <w:rFonts w:ascii="Arial" w:hAnsi="Arial" w:eastAsia="Times New Roman" w:cs="Arial"/>
          <w:color w:val="000000"/>
          <w:kern w:val="0"/>
          <w:sz w:val="21"/>
          <w:szCs w:val="21"/>
          <w:lang w:eastAsia="pt-BR"/>
        </w:rPr>
      </w:pPr>
    </w:p>
    <w:p w14:paraId="6E3D8E10">
      <w:pPr>
        <w:widowControl/>
        <w:suppressAutoHyphens w:val="0"/>
        <w:spacing w:before="0" w:after="0" w:line="360" w:lineRule="auto"/>
        <w:ind w:left="0" w:right="0" w:firstLine="0"/>
        <w:jc w:val="both"/>
      </w:pPr>
      <w:r>
        <w:rPr>
          <w:rFonts w:ascii="Arial" w:hAnsi="Arial" w:eastAsia="Times New Roman" w:cs="Arial"/>
          <w:color w:val="000000"/>
          <w:kern w:val="0"/>
          <w:sz w:val="21"/>
          <w:szCs w:val="21"/>
          <w:lang w:eastAsia="pt-BR"/>
        </w:rPr>
        <w:t xml:space="preserve">15.1.1. Não havendo no sistema de gerenciamento do certame, campo para registro de lance com valor igual ao do vencedor, visando a formação do cadastro reserva, a licitante interessada deverá, no prazo de 2 (dois) dias após encerrada a sessão, encaminhar proposta visando a formação do cadastro, no e-mail </w:t>
      </w:r>
      <w:r>
        <w:fldChar w:fldCharType="begin"/>
      </w:r>
      <w:r>
        <w:instrText xml:space="preserve"> HYPERLINK "mailto:licita@lindoiadosul.sc.gov.br" \h </w:instrText>
      </w:r>
      <w:r>
        <w:fldChar w:fldCharType="separate"/>
      </w:r>
      <w:r>
        <w:rPr>
          <w:rStyle w:val="19"/>
          <w:rFonts w:ascii="Arial" w:hAnsi="Arial" w:eastAsia="Times New Roman" w:cs="Arial"/>
          <w:color w:val="000000"/>
          <w:kern w:val="0"/>
          <w:sz w:val="21"/>
          <w:szCs w:val="21"/>
          <w:lang w:eastAsia="pt-BR"/>
        </w:rPr>
        <w:t>licita@lindoiadosul.sc.gov.br</w:t>
      </w:r>
      <w:r>
        <w:rPr>
          <w:rStyle w:val="19"/>
          <w:rFonts w:ascii="Arial" w:hAnsi="Arial" w:eastAsia="Times New Roman" w:cs="Arial"/>
          <w:color w:val="000000"/>
          <w:kern w:val="0"/>
          <w:sz w:val="21"/>
          <w:szCs w:val="21"/>
          <w:lang w:eastAsia="pt-BR"/>
        </w:rPr>
        <w:fldChar w:fldCharType="end"/>
      </w:r>
      <w:r>
        <w:rPr>
          <w:rFonts w:ascii="Arial" w:hAnsi="Arial" w:eastAsia="Times New Roman" w:cs="Arial"/>
          <w:color w:val="000000"/>
          <w:kern w:val="0"/>
          <w:sz w:val="21"/>
          <w:szCs w:val="21"/>
          <w:lang w:eastAsia="pt-BR"/>
        </w:rPr>
        <w:t>.</w:t>
      </w:r>
    </w:p>
    <w:p w14:paraId="5AA477A2">
      <w:pPr>
        <w:widowControl/>
        <w:suppressAutoHyphens w:val="0"/>
        <w:spacing w:before="0" w:after="0" w:line="360" w:lineRule="auto"/>
        <w:ind w:left="0" w:right="0" w:firstLine="0"/>
        <w:jc w:val="both"/>
        <w:rPr>
          <w:rFonts w:ascii="Arial" w:hAnsi="Arial" w:eastAsia="Times New Roman" w:cs="Arial"/>
          <w:color w:val="000000"/>
          <w:kern w:val="0"/>
          <w:sz w:val="21"/>
          <w:szCs w:val="21"/>
          <w:lang w:eastAsia="pt-BR"/>
        </w:rPr>
      </w:pPr>
    </w:p>
    <w:p w14:paraId="45A94302">
      <w:pPr>
        <w:widowControl/>
        <w:suppressAutoHyphens w:val="0"/>
        <w:spacing w:before="0" w:after="0" w:line="360" w:lineRule="auto"/>
        <w:ind w:left="0" w:right="0" w:firstLine="0"/>
        <w:jc w:val="both"/>
        <w:rPr>
          <w:rFonts w:ascii="Arial" w:hAnsi="Arial"/>
          <w:sz w:val="21"/>
          <w:szCs w:val="21"/>
        </w:rPr>
      </w:pPr>
      <w:r>
        <w:rPr>
          <w:rFonts w:ascii="Arial" w:hAnsi="Arial" w:eastAsia="Times New Roman" w:cs="Arial"/>
          <w:color w:val="000000"/>
          <w:kern w:val="0"/>
          <w:sz w:val="21"/>
          <w:szCs w:val="21"/>
          <w:lang w:eastAsia="pt-BR"/>
        </w:rPr>
        <w:t>15.1.2. A apresentação de novas propostas na forma deste item não prejudicará o resultado do certame em relação ao licitante melhor classificado.</w:t>
      </w:r>
    </w:p>
    <w:p w14:paraId="49FBFD56">
      <w:pPr>
        <w:widowControl/>
        <w:suppressAutoHyphens w:val="0"/>
        <w:spacing w:before="0" w:after="0" w:line="360" w:lineRule="auto"/>
        <w:ind w:left="0" w:right="0" w:firstLine="0"/>
        <w:jc w:val="both"/>
        <w:rPr>
          <w:rFonts w:ascii="Arial" w:hAnsi="Arial" w:eastAsia="Times New Roman" w:cs="Arial"/>
          <w:color w:val="000000"/>
          <w:kern w:val="0"/>
          <w:sz w:val="21"/>
          <w:szCs w:val="21"/>
          <w:lang w:eastAsia="pt-BR"/>
        </w:rPr>
      </w:pPr>
    </w:p>
    <w:p w14:paraId="13E88FF7">
      <w:pPr>
        <w:widowControl/>
        <w:suppressAutoHyphens w:val="0"/>
        <w:spacing w:before="0" w:after="0" w:line="360" w:lineRule="auto"/>
        <w:ind w:left="0" w:right="0" w:firstLine="0"/>
        <w:jc w:val="both"/>
        <w:rPr>
          <w:rFonts w:ascii="Arial" w:hAnsi="Arial"/>
          <w:sz w:val="21"/>
          <w:szCs w:val="21"/>
        </w:rPr>
      </w:pPr>
      <w:r>
        <w:rPr>
          <w:rFonts w:ascii="Arial" w:hAnsi="Arial" w:eastAsia="Times New Roman" w:cs="Arial"/>
          <w:color w:val="000000"/>
          <w:kern w:val="0"/>
          <w:sz w:val="21"/>
          <w:szCs w:val="21"/>
          <w:lang w:eastAsia="pt-BR"/>
        </w:rPr>
        <w:t>15.2. Havendo um ou mais licitantes que aceitem cotar suas propostas em valor igual ao do licitante vencedor, estes serão classificados segundo a ordem da última proposta individual apresentada durante a fase competitiva.</w:t>
      </w:r>
    </w:p>
    <w:p w14:paraId="4D532603">
      <w:pPr>
        <w:widowControl/>
        <w:suppressAutoHyphens w:val="0"/>
        <w:spacing w:before="0" w:after="0" w:line="360" w:lineRule="auto"/>
        <w:ind w:left="0" w:right="0" w:firstLine="0"/>
        <w:jc w:val="both"/>
        <w:rPr>
          <w:rFonts w:ascii="Arial" w:hAnsi="Arial" w:eastAsia="Times New Roman" w:cs="Arial"/>
          <w:color w:val="000000"/>
          <w:kern w:val="0"/>
          <w:sz w:val="21"/>
          <w:szCs w:val="21"/>
          <w:lang w:eastAsia="pt-BR"/>
        </w:rPr>
      </w:pPr>
    </w:p>
    <w:p w14:paraId="16AE8806">
      <w:pPr>
        <w:widowControl/>
        <w:suppressAutoHyphens w:val="0"/>
        <w:spacing w:before="0" w:after="0" w:line="360" w:lineRule="auto"/>
        <w:ind w:left="0" w:right="0" w:firstLine="0"/>
        <w:jc w:val="both"/>
        <w:rPr>
          <w:rFonts w:ascii="Arial" w:hAnsi="Arial"/>
          <w:sz w:val="21"/>
          <w:szCs w:val="21"/>
        </w:rPr>
      </w:pPr>
      <w:r>
        <w:rPr>
          <w:rFonts w:ascii="Arial" w:hAnsi="Arial" w:eastAsia="Times New Roman" w:cs="Arial"/>
          <w:color w:val="000000"/>
          <w:kern w:val="0"/>
          <w:sz w:val="21"/>
          <w:szCs w:val="21"/>
          <w:lang w:eastAsia="pt-BR"/>
        </w:rPr>
        <w:t>15.3. Esta ordem de classificação dos licitantes registrados deverá ser respeitada nas contratações e somente será utilizada acaso o melhor colocado no certame tenha seu registro cancelado e/ou suspenso.</w:t>
      </w:r>
    </w:p>
    <w:p w14:paraId="68C73170">
      <w:pPr>
        <w:widowControl/>
        <w:suppressAutoHyphens w:val="0"/>
        <w:spacing w:before="0" w:after="0" w:line="360" w:lineRule="auto"/>
        <w:ind w:left="0" w:right="0" w:firstLine="0"/>
        <w:jc w:val="both"/>
        <w:rPr>
          <w:rFonts w:ascii="Arial" w:hAnsi="Arial" w:eastAsia="Times New Roman" w:cs="Arial"/>
          <w:color w:val="000000"/>
          <w:kern w:val="0"/>
          <w:sz w:val="21"/>
          <w:szCs w:val="21"/>
          <w:lang w:eastAsia="pt-BR"/>
        </w:rPr>
      </w:pPr>
    </w:p>
    <w:p w14:paraId="502CBEAE">
      <w:pPr>
        <w:widowControl/>
        <w:suppressAutoHyphens w:val="0"/>
        <w:spacing w:before="0" w:after="0" w:line="360" w:lineRule="auto"/>
        <w:ind w:left="0" w:right="0" w:firstLine="0"/>
        <w:jc w:val="both"/>
        <w:rPr>
          <w:rFonts w:ascii="Arial" w:hAnsi="Arial"/>
          <w:sz w:val="21"/>
          <w:szCs w:val="21"/>
        </w:rPr>
      </w:pPr>
      <w:r>
        <w:rPr>
          <w:rFonts w:ascii="Arial" w:hAnsi="Arial" w:eastAsia="Times New Roman" w:cs="Arial"/>
          <w:color w:val="000000"/>
          <w:kern w:val="0"/>
          <w:sz w:val="21"/>
          <w:szCs w:val="21"/>
          <w:lang w:eastAsia="pt-BR"/>
        </w:rPr>
        <w:t>15.4. O Cadastro Reserva será formalizado em anexo a ata.</w:t>
      </w:r>
    </w:p>
    <w:p w14:paraId="0732BAE5">
      <w:pPr>
        <w:widowControl/>
        <w:suppressAutoHyphens w:val="0"/>
        <w:spacing w:before="0" w:after="0" w:line="360" w:lineRule="auto"/>
        <w:ind w:left="0" w:right="0" w:firstLine="0"/>
        <w:jc w:val="both"/>
        <w:rPr>
          <w:rFonts w:ascii="Arial" w:hAnsi="Arial" w:eastAsia="Times New Roman" w:cs="Arial"/>
          <w:color w:val="000000"/>
          <w:kern w:val="0"/>
          <w:sz w:val="21"/>
          <w:szCs w:val="21"/>
          <w:lang w:eastAsia="pt-BR"/>
        </w:rPr>
      </w:pPr>
    </w:p>
    <w:p w14:paraId="60DE7A95">
      <w:pPr>
        <w:widowControl/>
        <w:suppressAutoHyphens/>
        <w:bidi w:val="0"/>
        <w:spacing w:before="0" w:after="0" w:line="360" w:lineRule="auto"/>
        <w:ind w:left="0" w:right="0" w:firstLine="0"/>
        <w:jc w:val="both"/>
        <w:rPr>
          <w:rFonts w:ascii="Arial" w:hAnsi="Arial"/>
          <w:sz w:val="21"/>
          <w:szCs w:val="21"/>
        </w:rPr>
      </w:pPr>
      <w:r>
        <w:rPr>
          <w:rFonts w:ascii="Arial" w:hAnsi="Arial" w:eastAsia="Times New Roman" w:cs="Arial"/>
          <w:b w:val="0"/>
          <w:bCs w:val="0"/>
          <w:color w:val="000000"/>
          <w:kern w:val="0"/>
          <w:sz w:val="21"/>
          <w:szCs w:val="21"/>
          <w:lang w:eastAsia="pt-BR"/>
        </w:rPr>
        <w:t xml:space="preserve">15.5. Havendo a necessidade de formalização de nova Ata com algum dos fornecedores constantes no cadastro reserva, este será convocado para no prazo de 2 (dois) dias úteis apresentar sua documentação de habilitação, em conformidade com o edital. </w:t>
      </w:r>
    </w:p>
    <w:p w14:paraId="36643B5B">
      <w:pPr>
        <w:widowControl/>
        <w:suppressAutoHyphens/>
        <w:bidi w:val="0"/>
        <w:spacing w:before="0" w:after="0" w:line="360" w:lineRule="auto"/>
        <w:ind w:left="0" w:right="0" w:firstLine="0"/>
        <w:jc w:val="both"/>
        <w:rPr>
          <w:rFonts w:ascii="Arial" w:hAnsi="Arial"/>
          <w:sz w:val="21"/>
          <w:szCs w:val="21"/>
        </w:rPr>
      </w:pPr>
    </w:p>
    <w:p w14:paraId="5CCEE8AD">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16. DOS RECURSOS, RESPONSABILIDADES, PENALIDADES ADMINISTRATIVAS E EXTINÇÃO DO CONTRATO</w:t>
      </w:r>
    </w:p>
    <w:p w14:paraId="079203B9">
      <w:pPr>
        <w:widowControl/>
        <w:suppressAutoHyphens/>
        <w:bidi w:val="0"/>
        <w:spacing w:before="0" w:after="0" w:line="360" w:lineRule="auto"/>
        <w:ind w:left="0" w:right="0" w:firstLine="0"/>
        <w:jc w:val="both"/>
        <w:rPr>
          <w:rFonts w:ascii="Arial" w:hAnsi="Arial"/>
          <w:sz w:val="21"/>
          <w:szCs w:val="21"/>
        </w:rPr>
      </w:pPr>
    </w:p>
    <w:p w14:paraId="7926EB70">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w:t>
      </w:r>
      <w:r>
        <w:rPr>
          <w:rFonts w:ascii="Arial" w:hAnsi="Arial" w:eastAsiaTheme="minorHAnsi"/>
          <w:sz w:val="21"/>
          <w:szCs w:val="21"/>
          <w:shd w:val="clear" w:fill="auto"/>
        </w:rPr>
        <w:t>.1. Dos atos da Administração praticados neste certame cabem:</w:t>
      </w:r>
    </w:p>
    <w:p w14:paraId="16175173">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auto"/>
        </w:rPr>
        <w:tab/>
      </w:r>
      <w:r>
        <w:rPr>
          <w:rFonts w:ascii="Arial" w:hAnsi="Arial" w:eastAsiaTheme="minorHAnsi"/>
          <w:sz w:val="21"/>
          <w:szCs w:val="21"/>
          <w:shd w:val="clear" w:fill="auto"/>
        </w:rPr>
        <w:t>a) recurso, no prazo de 03 (três) dias úteis, contado da data de intimação ou de lavratura da ata, em face de:</w:t>
      </w:r>
    </w:p>
    <w:p w14:paraId="7684FE2F">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auto"/>
        </w:rPr>
        <w:tab/>
      </w:r>
      <w:r>
        <w:rPr>
          <w:rFonts w:ascii="Arial" w:hAnsi="Arial" w:eastAsiaTheme="minorHAnsi"/>
          <w:sz w:val="21"/>
          <w:szCs w:val="21"/>
          <w:shd w:val="clear" w:fill="auto"/>
        </w:rPr>
        <w:t>a.1) julgamento das propostas;</w:t>
      </w:r>
    </w:p>
    <w:p w14:paraId="65B8E0CD">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auto"/>
        </w:rPr>
        <w:tab/>
      </w:r>
      <w:r>
        <w:rPr>
          <w:rFonts w:ascii="Arial" w:hAnsi="Arial" w:eastAsiaTheme="minorHAnsi"/>
          <w:sz w:val="21"/>
          <w:szCs w:val="21"/>
          <w:shd w:val="clear" w:fill="auto"/>
        </w:rPr>
        <w:t>a.2) ato de habilitação ou inabilitação de licitante;</w:t>
      </w:r>
    </w:p>
    <w:p w14:paraId="5CB86797">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auto"/>
        </w:rPr>
        <w:tab/>
      </w:r>
      <w:r>
        <w:rPr>
          <w:rFonts w:ascii="Arial" w:hAnsi="Arial" w:eastAsiaTheme="minorHAnsi"/>
          <w:sz w:val="21"/>
          <w:szCs w:val="21"/>
          <w:shd w:val="clear" w:fill="auto"/>
        </w:rPr>
        <w:t>a.3) anulação ou revogação da licitação;</w:t>
      </w:r>
    </w:p>
    <w:p w14:paraId="28CEBE1A">
      <w:pPr>
        <w:widowControl/>
        <w:suppressAutoHyphens/>
        <w:bidi w:val="0"/>
        <w:spacing w:before="0" w:after="0" w:line="360" w:lineRule="auto"/>
        <w:ind w:left="0" w:right="0" w:firstLine="0"/>
        <w:jc w:val="both"/>
        <w:rPr>
          <w:rFonts w:ascii="Arial" w:hAnsi="Arial"/>
          <w:sz w:val="21"/>
          <w:szCs w:val="21"/>
          <w:highlight w:val="none"/>
          <w:shd w:val="clear" w:fill="auto"/>
        </w:rPr>
      </w:pPr>
    </w:p>
    <w:p w14:paraId="1250DC1E">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auto"/>
        </w:rPr>
        <w:tab/>
      </w:r>
      <w:r>
        <w:rPr>
          <w:rFonts w:ascii="Arial" w:hAnsi="Arial" w:eastAsiaTheme="minorHAnsi"/>
          <w:sz w:val="21"/>
          <w:szCs w:val="21"/>
          <w:shd w:val="clear" w:fill="auto"/>
        </w:rPr>
        <w:t>b) pedido de reconsideração, no p</w:t>
      </w:r>
      <w:r>
        <w:rPr>
          <w:rFonts w:ascii="Arial" w:hAnsi="Arial" w:eastAsiaTheme="minorHAnsi"/>
          <w:sz w:val="21"/>
          <w:szCs w:val="21"/>
          <w:shd w:val="clear" w:fill="FFFFFF"/>
        </w:rPr>
        <w:t>razo de 03 (três) dias úteis, contado da data de intimação, relativamente a ato do qual não caiba recurso hierárquico.</w:t>
      </w:r>
    </w:p>
    <w:p w14:paraId="05154B13">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37B0AD03">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16.1.1. Quanto ao recurso apresentado com base nos itens a.1 e a.2 da alínea “a” do item 16.1, serão observadas as seguintes disposições:</w:t>
      </w:r>
    </w:p>
    <w:p w14:paraId="05B481BF">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ab/>
      </w:r>
      <w:r>
        <w:rPr>
          <w:rFonts w:ascii="Arial" w:hAnsi="Arial" w:eastAsiaTheme="minorHAnsi"/>
          <w:sz w:val="21"/>
          <w:szCs w:val="21"/>
          <w:shd w:val="clear" w:fill="FFFFFF"/>
        </w:rPr>
        <w:t>I – a intenção de recorrer deverá ser manifestada na sessão pública, com início imediato após o término do julgamento das propostas e do ato de habilitação ou inabilitação, sob pena de preclusão;</w:t>
      </w:r>
    </w:p>
    <w:p w14:paraId="1B19E893">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ab/>
      </w:r>
      <w:r>
        <w:rPr>
          <w:rFonts w:ascii="Arial" w:hAnsi="Arial" w:eastAsiaTheme="minorHAnsi"/>
          <w:sz w:val="21"/>
          <w:szCs w:val="21"/>
          <w:shd w:val="clear" w:fill="FFFFFF"/>
        </w:rPr>
        <w:t>II – o prazo para apresentação das razões recursais previsto na alínea “a” do item 16.1 será iniciado na data de intimação ou de lavratura da ata de habilitação ou inabilitação;</w:t>
      </w:r>
    </w:p>
    <w:p w14:paraId="46AE494E">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ab/>
      </w:r>
      <w:r>
        <w:rPr>
          <w:rFonts w:ascii="Arial" w:hAnsi="Arial" w:eastAsiaTheme="minorHAnsi"/>
          <w:sz w:val="21"/>
          <w:szCs w:val="21"/>
          <w:shd w:val="clear" w:fill="FFFFFF"/>
        </w:rPr>
        <w:t>III – a apreciação dar-se-á em fase única.</w:t>
      </w:r>
    </w:p>
    <w:p w14:paraId="5EF714C2">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5C88C6B1">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16.1.2. O recurso de que trata a alínea “a”, do item 16.1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451F407C">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5BD23B42">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16.1.3. O prazo para contrarrazões será o mesmo do recurso e terá início após encerrado o prazo das razões do recurso.</w:t>
      </w:r>
    </w:p>
    <w:p w14:paraId="0B4C8507">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1146DABA">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16.1.4. Será assegurado ao licitante vista dos elementos indispensáveis à defesa de seus interesses.</w:t>
      </w:r>
    </w:p>
    <w:p w14:paraId="6340029A">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25A87A8D">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 xml:space="preserve">16.1.5. O recurso ou Pedido de Reconsideração deverá ser interposto por intermédio de meio eletrônico, exclusivamente, através da PLATAFORMA ELETRÔNICA: www.portaldecompraspublicas.com.br “Acesso Identificado”, sendo aceito até as 23:59h da data limite estipulada pelo pregoeiro(a). </w:t>
      </w:r>
    </w:p>
    <w:p w14:paraId="0230C8D1">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15161CF0">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16.2. O Recurso e o pedido de reconsideração terão efeito suspensivo do ato ou da decisão recorrida até que sobrevenha decisão final da autoridade competente.</w:t>
      </w:r>
    </w:p>
    <w:p w14:paraId="1866DC52">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313D8865">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16.3. Não sendo interpostos recursos, ou sendo interposto em desacordo com o Edital, ou decididos os recursos interpostos o Pregoeiro(a) encaminhará o processo licitatório para a Autoridade Competente para os procedimentos de adjudicação do objeto do certame à(s) empresa(s) declarada(s) vencedora(s) e homologação.</w:t>
      </w:r>
    </w:p>
    <w:p w14:paraId="674396AD">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74892DAE">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16.4. As causas de rescisão contratual estão estabelecidas no artigo 137, de acordo com as disposições do art. 138 e 139, todos da Lei Federal nº 14.133, de 2021.</w:t>
      </w:r>
    </w:p>
    <w:p w14:paraId="4722D794">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4262CBAA">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16.5. O licitante ou o contratado será responsabilizado administrativamente pelas infrações previstas no art. 155 da Lei Federal n. 14.133/2021.</w:t>
      </w:r>
    </w:p>
    <w:p w14:paraId="3BA6DED4">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0B32A9D2">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16.6. O Município de Lindóia do Sul poderá, garantido o contraditório e a ampla defesa, aplicar as seguintes sanções administrativas:</w:t>
      </w:r>
    </w:p>
    <w:p w14:paraId="02F46C0C">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ab/>
      </w:r>
      <w:r>
        <w:rPr>
          <w:rFonts w:ascii="Arial" w:hAnsi="Arial" w:eastAsiaTheme="minorHAnsi"/>
          <w:sz w:val="21"/>
          <w:szCs w:val="21"/>
          <w:shd w:val="clear" w:fill="FFFFFF"/>
        </w:rPr>
        <w:t>I – advertência;</w:t>
      </w:r>
    </w:p>
    <w:p w14:paraId="63AAFD13">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ab/>
      </w:r>
      <w:r>
        <w:rPr>
          <w:rFonts w:ascii="Arial" w:hAnsi="Arial" w:eastAsiaTheme="minorHAnsi"/>
          <w:sz w:val="21"/>
          <w:szCs w:val="21"/>
          <w:shd w:val="clear" w:fill="FFFFFF"/>
        </w:rPr>
        <w:t>II – multa;</w:t>
      </w:r>
    </w:p>
    <w:p w14:paraId="774A9555">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ab/>
      </w:r>
      <w:r>
        <w:rPr>
          <w:rFonts w:ascii="Arial" w:hAnsi="Arial" w:eastAsiaTheme="minorHAnsi"/>
          <w:sz w:val="21"/>
          <w:szCs w:val="21"/>
          <w:shd w:val="clear" w:fill="FFFFFF"/>
        </w:rPr>
        <w:t>III – impedimento de licitar e contratar com Administração Pública direta e indireta do Município de Lindóia do Sul, pelo prazo máximo de 03 (três) anos;</w:t>
      </w:r>
    </w:p>
    <w:p w14:paraId="37024EC8">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ab/>
      </w:r>
      <w:r>
        <w:rPr>
          <w:rFonts w:ascii="Arial" w:hAnsi="Arial" w:eastAsiaTheme="minorHAnsi"/>
          <w:sz w:val="21"/>
          <w:szCs w:val="21"/>
          <w:shd w:val="clear" w:fill="FFFFFF"/>
        </w:rPr>
        <w:t>IV – declaração de inidoneidade para licitar ou contratar no âmbito da Administração Pública direta e indireta de todos os entes federativos, pelo prazo mínimo de 3 (três) anos e máximo de 6 (seis) anos.</w:t>
      </w:r>
    </w:p>
    <w:p w14:paraId="241FF764">
      <w:pPr>
        <w:widowControl/>
        <w:suppressAutoHyphens/>
        <w:bidi w:val="0"/>
        <w:spacing w:before="0" w:after="0" w:line="360" w:lineRule="auto"/>
        <w:ind w:left="0" w:right="0" w:firstLine="0"/>
        <w:jc w:val="both"/>
        <w:rPr>
          <w:rFonts w:ascii="Arial" w:hAnsi="Arial" w:eastAsiaTheme="minorHAnsi"/>
          <w:sz w:val="21"/>
          <w:szCs w:val="21"/>
          <w:shd w:val="clear" w:fill="FFFFFF"/>
        </w:rPr>
      </w:pPr>
    </w:p>
    <w:p w14:paraId="4D77754C">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16.7. Por qualquer das infrações previstas no art. 155 da Lei Federal n. 14.133/2021, poderá ser aplicada ao licitante ou contratado a sanção administrativa de multa compensatória de 20% (vinte inteiros por cento) sobre o valor total do contrato.</w:t>
      </w:r>
    </w:p>
    <w:p w14:paraId="186CB09A">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44210658">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16.8. A recusa injustificada do adjudicatário em assinar a Ata de Registro de Preços/Contrato, no prazo máximo de 5 (cinco) dias úteis da notificação, implicará a aplicação da multa compensatória prevista no item anterior.</w:t>
      </w:r>
    </w:p>
    <w:p w14:paraId="31B48F22">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78E21A90">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16.9. A sanção administrativa de multa moratória será aplicada nos casos de atraso injustificado na execução do contrato, nos termos do art. 162 da Lei Federal n. 14.133/2021, possuindo os seguintes parâmetros:</w:t>
      </w:r>
    </w:p>
    <w:p w14:paraId="087A7DF1">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2535FF98">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ab/>
      </w:r>
      <w:r>
        <w:rPr>
          <w:rFonts w:ascii="Arial" w:hAnsi="Arial" w:eastAsiaTheme="minorHAnsi"/>
          <w:sz w:val="21"/>
          <w:szCs w:val="21"/>
          <w:shd w:val="clear" w:fill="FFFFFF"/>
        </w:rPr>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14:paraId="6A87A3BC">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ab/>
      </w:r>
      <w:r>
        <w:rPr>
          <w:rFonts w:ascii="Arial" w:hAnsi="Arial" w:eastAsiaTheme="minorHAnsi"/>
          <w:sz w:val="21"/>
          <w:szCs w:val="21"/>
          <w:shd w:val="clear" w:fill="FFFFFF"/>
        </w:rPr>
        <w:t>II – transcorridos 30 (trinta) dias do prazo de execução estabelecido na Ata de Registro de Preços/contrato, será considerado extinto a Ata de Registro de Preços/Contrato Administrativo, canceladas as ordens de serviços e aplicada multa de 20% (vinte inteiros por cento) por inexecução total, calculada sobre o valor da Ata de Registro de Preços/contrato.</w:t>
      </w:r>
    </w:p>
    <w:p w14:paraId="643164D1">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0D60384D">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16.10. Dependendo do descumprimento, se gerar algum prejuízo ao Município, poderá ser requerido do Contratado o valor de perdas e danos, após Processo Administrativo de reconhecimento da responsabilidade.</w:t>
      </w:r>
    </w:p>
    <w:p w14:paraId="367E49A4">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1513BE88">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16.11. A sanção administrativa de multa poderá ser aplicada de forma cumulativa com a sanção de advertência, impedimento de licitar e contratar e declaração de inidoneidade para licitar ou contratar.</w:t>
      </w:r>
    </w:p>
    <w:p w14:paraId="7A2DAD7B">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4980EB6D">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16.12. A aplicação das sanções administrativas de impedimento de licitar e contratar e declaração de inidoneidade para licitar e contratar deverão respeitar o trâmite e procedimentos estabelecidos no art. 158 da Lei Federal n. 14.133/2021.</w:t>
      </w:r>
    </w:p>
    <w:p w14:paraId="6C94A98C">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7B269C10">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16.13. As sanções administrativas de impedimento de licitar e contratar e declaração de inidoneidade para licitar e contratar são passíveis de reabilitação, na forma do art. 163 da Lei Federal n. 14.133/2021.</w:t>
      </w:r>
    </w:p>
    <w:p w14:paraId="326433F1">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3E690DED">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14:paraId="0EECC3A1">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56998006">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16.15.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14:paraId="105EEBFA">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1FD7BC4A">
      <w:pPr>
        <w:widowControl/>
        <w:suppressAutoHyphens/>
        <w:bidi w:val="0"/>
        <w:spacing w:before="0" w:after="0" w:line="360" w:lineRule="auto"/>
        <w:ind w:left="0" w:right="0" w:firstLine="0"/>
        <w:jc w:val="both"/>
        <w:rPr>
          <w:rFonts w:ascii="Arial" w:hAnsi="Arial"/>
          <w:sz w:val="21"/>
          <w:szCs w:val="21"/>
        </w:rPr>
      </w:pPr>
      <w:r>
        <w:rPr>
          <w:rFonts w:ascii="Arial" w:hAnsi="Arial" w:eastAsiaTheme="minorHAnsi"/>
          <w:sz w:val="21"/>
          <w:szCs w:val="21"/>
          <w:shd w:val="clear" w:fill="FFFFFF"/>
        </w:rPr>
        <w:t>16.16.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14:paraId="5384767F">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6885F42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16.17.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250B5A25">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5ECD1D27">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shd w:val="clear" w:fill="FFFFFF"/>
        </w:rPr>
        <w:t>17. DAS ALTERAÇÕES</w:t>
      </w:r>
    </w:p>
    <w:p w14:paraId="5CAE1D0D">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3BEEEB98">
      <w:pPr>
        <w:spacing w:before="0" w:after="0" w:line="360" w:lineRule="auto"/>
        <w:ind w:left="0" w:right="0" w:firstLine="0"/>
        <w:jc w:val="both"/>
        <w:rPr>
          <w:rFonts w:ascii="Arial" w:hAnsi="Arial"/>
          <w:sz w:val="21"/>
          <w:szCs w:val="21"/>
        </w:rPr>
      </w:pPr>
      <w:r>
        <w:rPr>
          <w:rFonts w:ascii="Arial" w:hAnsi="Arial"/>
          <w:sz w:val="21"/>
          <w:szCs w:val="21"/>
        </w:rPr>
        <w:t>17.1. A Ata de Registro de Preços poderá sofrer alterações, obedecidas às disposições contidas no Decreto Municipal nº 4.072/2024 ou outro que vier a substituir.</w:t>
      </w:r>
    </w:p>
    <w:p w14:paraId="5D9236BF">
      <w:pPr>
        <w:spacing w:before="0" w:after="0" w:line="360" w:lineRule="auto"/>
        <w:ind w:left="0" w:right="0" w:firstLine="0"/>
        <w:jc w:val="both"/>
        <w:rPr>
          <w:rFonts w:ascii="Arial" w:hAnsi="Arial"/>
          <w:sz w:val="21"/>
          <w:szCs w:val="21"/>
        </w:rPr>
      </w:pPr>
    </w:p>
    <w:p w14:paraId="3EBC1A9C">
      <w:pPr>
        <w:spacing w:before="0" w:after="0" w:line="360" w:lineRule="auto"/>
        <w:ind w:left="0" w:right="0" w:firstLine="0"/>
        <w:jc w:val="both"/>
        <w:rPr>
          <w:rFonts w:ascii="Arial" w:hAnsi="Arial"/>
          <w:sz w:val="21"/>
          <w:szCs w:val="21"/>
        </w:rPr>
      </w:pPr>
      <w:r>
        <w:rPr>
          <w:rFonts w:ascii="Arial" w:hAnsi="Arial"/>
          <w:sz w:val="21"/>
          <w:szCs w:val="21"/>
        </w:rPr>
        <w:t>17.1.1. O preço registrado poderá ser revisto em decorrência de eventual redução daqueles praticados no mercado, ou de fato que eleve o custo dos serviços ou bens registrados, cabendo ao Órgão Gerenciador da Ata de Registro de Preços promover as necessárias negociações junto aos fornecedores.</w:t>
      </w:r>
    </w:p>
    <w:p w14:paraId="4D6508F4">
      <w:pPr>
        <w:spacing w:before="0" w:after="0" w:line="360" w:lineRule="auto"/>
        <w:ind w:left="0" w:right="0" w:firstLine="0"/>
        <w:jc w:val="both"/>
        <w:rPr>
          <w:rFonts w:ascii="Arial" w:hAnsi="Arial"/>
          <w:sz w:val="21"/>
          <w:szCs w:val="21"/>
        </w:rPr>
      </w:pPr>
    </w:p>
    <w:p w14:paraId="49D0758E">
      <w:pPr>
        <w:spacing w:before="0" w:after="0" w:line="360" w:lineRule="auto"/>
        <w:ind w:left="0" w:right="0" w:firstLine="0"/>
        <w:jc w:val="both"/>
        <w:rPr>
          <w:rFonts w:ascii="Arial" w:hAnsi="Arial"/>
          <w:sz w:val="21"/>
          <w:szCs w:val="21"/>
        </w:rPr>
      </w:pPr>
      <w:r>
        <w:rPr>
          <w:rFonts w:ascii="Arial" w:hAnsi="Arial"/>
          <w:sz w:val="21"/>
          <w:szCs w:val="21"/>
        </w:rPr>
        <w:t>17.1.2. Quando o preço inicialmente registrado, por motivo superveniente, tornar-se superior ao preço praticado no mercado o Órgão Gerenciador deverá:</w:t>
      </w:r>
    </w:p>
    <w:p w14:paraId="17383900">
      <w:pPr>
        <w:spacing w:before="0" w:after="0" w:line="360" w:lineRule="auto"/>
        <w:ind w:left="0" w:right="0" w:firstLine="0"/>
        <w:jc w:val="both"/>
        <w:rPr>
          <w:rFonts w:ascii="Arial" w:hAnsi="Arial"/>
          <w:sz w:val="21"/>
          <w:szCs w:val="21"/>
        </w:rPr>
      </w:pPr>
    </w:p>
    <w:p w14:paraId="0292FA28">
      <w:pPr>
        <w:spacing w:before="0" w:after="0" w:line="360" w:lineRule="auto"/>
        <w:ind w:left="0" w:right="0" w:firstLine="0"/>
        <w:jc w:val="both"/>
        <w:rPr>
          <w:rFonts w:ascii="Arial" w:hAnsi="Arial"/>
          <w:sz w:val="21"/>
          <w:szCs w:val="21"/>
        </w:rPr>
      </w:pPr>
      <w:r>
        <w:rPr>
          <w:rFonts w:ascii="Arial" w:hAnsi="Arial"/>
          <w:sz w:val="21"/>
          <w:szCs w:val="21"/>
        </w:rPr>
        <w:t>I – convocar o fornecedor visando a negociação para redução de preços e sua adequação ao praticado pelo mercado;</w:t>
      </w:r>
    </w:p>
    <w:p w14:paraId="21F53487">
      <w:pPr>
        <w:spacing w:before="0" w:after="0" w:line="360" w:lineRule="auto"/>
        <w:ind w:left="0" w:right="0" w:firstLine="0"/>
        <w:jc w:val="both"/>
        <w:rPr>
          <w:rFonts w:ascii="Arial" w:hAnsi="Arial"/>
          <w:sz w:val="21"/>
          <w:szCs w:val="21"/>
        </w:rPr>
      </w:pPr>
      <w:r>
        <w:rPr>
          <w:rFonts w:ascii="Arial" w:hAnsi="Arial"/>
          <w:sz w:val="21"/>
          <w:szCs w:val="21"/>
        </w:rPr>
        <w:t>II – frustrada a negociação, o fornecedor será liberado do compromisso assumido sem aplicação de penalidade; e</w:t>
      </w:r>
    </w:p>
    <w:p w14:paraId="68BA376B">
      <w:pPr>
        <w:spacing w:before="0" w:after="0" w:line="360" w:lineRule="auto"/>
        <w:ind w:left="0" w:right="0" w:firstLine="0"/>
        <w:jc w:val="both"/>
        <w:rPr>
          <w:rFonts w:ascii="Arial" w:hAnsi="Arial"/>
          <w:sz w:val="21"/>
          <w:szCs w:val="21"/>
        </w:rPr>
      </w:pPr>
      <w:r>
        <w:rPr>
          <w:rFonts w:ascii="Arial" w:hAnsi="Arial"/>
          <w:sz w:val="21"/>
          <w:szCs w:val="21"/>
        </w:rPr>
        <w:t>III – convocar os demais fornecedores visando igual oportunidade de negociação.</w:t>
      </w:r>
    </w:p>
    <w:p w14:paraId="0D284C5A">
      <w:pPr>
        <w:spacing w:before="0" w:after="0" w:line="360" w:lineRule="auto"/>
        <w:ind w:left="0" w:right="0" w:firstLine="0"/>
        <w:jc w:val="both"/>
        <w:rPr>
          <w:rFonts w:ascii="Arial" w:hAnsi="Arial"/>
          <w:sz w:val="21"/>
          <w:szCs w:val="21"/>
        </w:rPr>
      </w:pPr>
    </w:p>
    <w:p w14:paraId="6AB5446D">
      <w:pPr>
        <w:spacing w:before="0" w:after="0" w:line="360" w:lineRule="auto"/>
        <w:ind w:left="0" w:right="0" w:firstLine="0"/>
        <w:jc w:val="both"/>
        <w:rPr>
          <w:rFonts w:ascii="Arial" w:hAnsi="Arial"/>
          <w:sz w:val="21"/>
          <w:szCs w:val="21"/>
        </w:rPr>
      </w:pPr>
      <w:r>
        <w:rPr>
          <w:rFonts w:ascii="Arial" w:hAnsi="Arial"/>
          <w:sz w:val="21"/>
          <w:szCs w:val="21"/>
        </w:rPr>
        <w:t>17.1.3. Quando o preço de mercado se tornar superior aos preços registrados e o fornecedor, mediante requerimento devidamente comprovado, não puder cumprir o compromisso, o Órgão Gerenciador poderá:</w:t>
      </w:r>
    </w:p>
    <w:p w14:paraId="45B236C9">
      <w:pPr>
        <w:spacing w:before="0" w:after="0" w:line="360" w:lineRule="auto"/>
        <w:ind w:left="0" w:right="0" w:firstLine="0"/>
        <w:jc w:val="both"/>
        <w:rPr>
          <w:rFonts w:ascii="Arial" w:hAnsi="Arial"/>
          <w:sz w:val="21"/>
          <w:szCs w:val="21"/>
        </w:rPr>
      </w:pPr>
    </w:p>
    <w:p w14:paraId="5536E110">
      <w:pPr>
        <w:spacing w:before="0" w:after="0" w:line="360" w:lineRule="auto"/>
        <w:ind w:left="0" w:right="0" w:firstLine="0"/>
        <w:jc w:val="both"/>
        <w:rPr>
          <w:rFonts w:ascii="Arial" w:hAnsi="Arial"/>
          <w:sz w:val="21"/>
          <w:szCs w:val="21"/>
        </w:rPr>
      </w:pPr>
      <w:r>
        <w:rPr>
          <w:rFonts w:ascii="Arial" w:hAnsi="Arial"/>
          <w:sz w:val="21"/>
          <w:szCs w:val="21"/>
        </w:rPr>
        <w:t>I – liberar o fornecedor do compromisso assumido, caso a comunicação ocorra antes do pedido de fornecimento, e sem aplicação da penalidade se confirmada a veracidade dos motivos e comprovantes apresentados; e</w:t>
      </w:r>
    </w:p>
    <w:p w14:paraId="4DEC307C">
      <w:pPr>
        <w:spacing w:before="0" w:after="0" w:line="360" w:lineRule="auto"/>
        <w:ind w:left="0" w:right="0" w:firstLine="0"/>
        <w:jc w:val="both"/>
        <w:rPr>
          <w:rFonts w:ascii="Arial" w:hAnsi="Arial"/>
          <w:sz w:val="21"/>
          <w:szCs w:val="21"/>
        </w:rPr>
      </w:pPr>
      <w:r>
        <w:rPr>
          <w:rFonts w:ascii="Arial" w:hAnsi="Arial"/>
          <w:sz w:val="21"/>
          <w:szCs w:val="21"/>
        </w:rPr>
        <w:t>II – convocar os demais fornecedores para assegurar igual oportunidade de negociação.</w:t>
      </w:r>
    </w:p>
    <w:p w14:paraId="66D7AEE5">
      <w:pPr>
        <w:spacing w:before="0" w:after="0" w:line="360" w:lineRule="auto"/>
        <w:ind w:left="0" w:right="0" w:firstLine="0"/>
        <w:jc w:val="both"/>
        <w:rPr>
          <w:rFonts w:ascii="Arial" w:hAnsi="Arial"/>
          <w:sz w:val="21"/>
          <w:szCs w:val="21"/>
        </w:rPr>
      </w:pPr>
    </w:p>
    <w:p w14:paraId="2605901D">
      <w:pPr>
        <w:spacing w:before="0" w:after="0" w:line="360" w:lineRule="auto"/>
        <w:ind w:left="0" w:right="0" w:firstLine="0"/>
        <w:jc w:val="both"/>
        <w:rPr>
          <w:rFonts w:ascii="Arial" w:hAnsi="Arial"/>
          <w:sz w:val="21"/>
          <w:szCs w:val="21"/>
        </w:rPr>
      </w:pPr>
      <w:r>
        <w:rPr>
          <w:rFonts w:ascii="Arial" w:hAnsi="Arial"/>
          <w:sz w:val="21"/>
          <w:szCs w:val="21"/>
        </w:rPr>
        <w:t>17.1.4. Não havendo êxito nas negociações, o Órgão Gerenciador deverá proceder à revogação da Ata de Registro de Preços, adotando as medidas cabíveis para obtenção da contratação mais vantajosa.</w:t>
      </w:r>
    </w:p>
    <w:p w14:paraId="3AA4119A">
      <w:pPr>
        <w:spacing w:before="0" w:after="0" w:line="360" w:lineRule="auto"/>
        <w:ind w:left="0" w:right="0" w:firstLine="0"/>
        <w:jc w:val="both"/>
        <w:rPr>
          <w:rFonts w:ascii="Arial" w:hAnsi="Arial"/>
          <w:sz w:val="21"/>
          <w:szCs w:val="21"/>
        </w:rPr>
      </w:pPr>
    </w:p>
    <w:p w14:paraId="1516EEBC">
      <w:pPr>
        <w:spacing w:before="0" w:after="0" w:line="360" w:lineRule="auto"/>
        <w:ind w:left="0" w:right="0" w:firstLine="0"/>
        <w:jc w:val="both"/>
        <w:rPr>
          <w:rFonts w:ascii="Arial" w:hAnsi="Arial"/>
          <w:sz w:val="21"/>
          <w:szCs w:val="21"/>
        </w:rPr>
      </w:pPr>
      <w:r>
        <w:rPr>
          <w:rFonts w:ascii="Arial" w:hAnsi="Arial"/>
          <w:sz w:val="21"/>
          <w:szCs w:val="21"/>
        </w:rPr>
        <w:t xml:space="preserve">17.2. É possível realizar aumento nos quantitativos fixados pela ata de registro de preços, até uma vez a quantidade registrada inicialmente, desde que com aceitação expressa do fornecedor, formalizada mediante apostilamento, quando caracterizadas circunstâncias supervenientes, devidamente demonstradas nos autos do procedimento administrativo em que tramitar a alteração, que indiquem que as estimativas inicialmente previstas </w:t>
      </w:r>
      <w:r>
        <w:rPr>
          <w:rFonts w:ascii="Arial" w:hAnsi="Arial"/>
          <w:sz w:val="21"/>
          <w:szCs w:val="21"/>
          <w:shd w:val="clear" w:fill="FFFFFF"/>
        </w:rPr>
        <w:t>neste edital serão insuficientes para atender a demanda durante o prazo de vigência.</w:t>
      </w:r>
    </w:p>
    <w:p w14:paraId="527FB905">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1DD8622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17.3. O Contrato, caso seja celebrado, poderá sofrer alterações, obedecidas às disposições contidas no art. 124 e seguintes da Lei Federal nº. 14.133/21.</w:t>
      </w:r>
    </w:p>
    <w:p w14:paraId="0D365D9D">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77C1DD1F">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shd w:val="clear" w:fill="FFFFFF"/>
        </w:rPr>
        <w:t>18. DA DOTAÇÃO ORÇAMENTÁRIA</w:t>
      </w:r>
    </w:p>
    <w:p w14:paraId="7436840A">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58D2366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18.1. As despesas decorrentes das aquisições, objeto do presente certame correrão a conta de dotação específica do orçamento, constante no Termo de Referência, Anexo I deste edital.</w:t>
      </w:r>
    </w:p>
    <w:p w14:paraId="250C6638">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0FD74FE8">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shd w:val="clear" w:fill="FFFFFF"/>
        </w:rPr>
        <w:t>19. DO PAGAMENTO</w:t>
      </w:r>
    </w:p>
    <w:p w14:paraId="2B7C8158">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776CD08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19.1. O pagamento pelos serviços prestados, objeto da presente licitação, será feito em favor do(s) licitante(s) vencedor(es), mediante boleto bancário ou transferência bancária em conta-corrente de titularidade do Fornecedor, cujos dados devem ser idênticos ao da sua proposta.</w:t>
      </w:r>
    </w:p>
    <w:p w14:paraId="10360CF0">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10C7EDA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 xml:space="preserve">19.1.1. </w:t>
      </w:r>
      <w:r>
        <w:rPr>
          <w:rFonts w:ascii="Arial" w:hAnsi="Arial" w:eastAsiaTheme="minorHAnsi"/>
          <w:sz w:val="21"/>
          <w:szCs w:val="21"/>
          <w:shd w:val="clear" w:fill="FFFFFF"/>
        </w:rPr>
        <w:t>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14:paraId="09A2ECAD">
      <w:pPr>
        <w:widowControl/>
        <w:suppressAutoHyphens/>
        <w:bidi w:val="0"/>
        <w:spacing w:before="0" w:after="0" w:line="360" w:lineRule="auto"/>
        <w:ind w:left="0" w:right="0" w:firstLine="0"/>
        <w:jc w:val="both"/>
        <w:rPr>
          <w:rFonts w:ascii="Arial" w:hAnsi="Arial" w:eastAsiaTheme="minorHAnsi"/>
          <w:sz w:val="21"/>
          <w:szCs w:val="21"/>
          <w:shd w:val="clear" w:fill="FFFFFF"/>
        </w:rPr>
      </w:pPr>
    </w:p>
    <w:p w14:paraId="0147631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19.1.2. O Município de Lindóia do Sul efetuará o pagamento em até 15 (quinze) dias úteis, após a confirmação da prestação regular das atividades descritas no objeto desta licitação, acompanhado da respectiva Nota Fiscal Eletrônica e arquivo XML e atestada por servidor responsável.</w:t>
      </w:r>
    </w:p>
    <w:p w14:paraId="34191D9A">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0F9BD1B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19.1.3. Caso a licitante não esteja enquadrada no Simples Nacional, deverá enviar a(s) nota(s) fiscal(is) com o devido destaque de Imposto de Renda, conforme exige o Decreto Municipal nº 3.949/2023.</w:t>
      </w:r>
    </w:p>
    <w:p w14:paraId="2091B492">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2A35FB30">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19.2. Será pago a contratada somente o valor das mercadorias/serviços efetivamente entregues/executados de acordo com objeto do Edital, conforme relatório (caso necessário), após aprovação/aceite do Contratante.</w:t>
      </w:r>
    </w:p>
    <w:p w14:paraId="1C789286">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635A593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19.3. O número do CNPJ – Cadastro Nacional de Pessoa Jurídica – constante das notas fiscais deverá ser aquele fornecido na fase de habilitação, exceto no caso de participação de empresas em consórcio ou de solicitação de alteração entre matriz e filiais ou filiais entre si, mediante comprovação do preenchimento dos requisitos de habilitação pelo novo CNPJ.</w:t>
      </w:r>
    </w:p>
    <w:p w14:paraId="1021EDFC">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18A0C80F">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19.4.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14:paraId="7786A4F7">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0CD0242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19.5.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14:paraId="3E149273">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18792A2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shd w:val="clear" w:fill="FFFFFF"/>
        </w:rPr>
        <w:t>19.5.1. Para tanto, com a not</w:t>
      </w:r>
      <w:r>
        <w:rPr>
          <w:rFonts w:ascii="Arial" w:hAnsi="Arial"/>
          <w:sz w:val="21"/>
          <w:szCs w:val="21"/>
        </w:rPr>
        <w: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14:paraId="00C7F2C2">
      <w:pPr>
        <w:widowControl/>
        <w:suppressAutoHyphens/>
        <w:bidi w:val="0"/>
        <w:spacing w:before="0" w:after="0" w:line="360" w:lineRule="auto"/>
        <w:ind w:left="0" w:right="0" w:firstLine="0"/>
        <w:jc w:val="both"/>
        <w:rPr>
          <w:rFonts w:ascii="Arial" w:hAnsi="Arial"/>
          <w:sz w:val="21"/>
          <w:szCs w:val="21"/>
        </w:rPr>
      </w:pPr>
    </w:p>
    <w:p w14:paraId="45B08D9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19.5.2. A não apresentação dos documentos enumerados nas cláusulas acima implicará suspensão do pagamento da nota até a sua apresentação, não incidindo, neste caso, quaisquer acréscimos de valores referentes a juros, multa ou correção monetária.</w:t>
      </w:r>
    </w:p>
    <w:p w14:paraId="7FDC8A99">
      <w:pPr>
        <w:widowControl/>
        <w:suppressAutoHyphens/>
        <w:bidi w:val="0"/>
        <w:spacing w:before="0" w:after="0" w:line="360" w:lineRule="auto"/>
        <w:ind w:left="0" w:right="0" w:firstLine="0"/>
        <w:jc w:val="both"/>
        <w:rPr>
          <w:rFonts w:ascii="Arial" w:hAnsi="Arial"/>
          <w:sz w:val="21"/>
          <w:szCs w:val="21"/>
        </w:rPr>
      </w:pPr>
    </w:p>
    <w:p w14:paraId="249AA0F0">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19.6.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14:paraId="3DFA73FE">
      <w:pPr>
        <w:widowControl/>
        <w:suppressAutoHyphens/>
        <w:bidi w:val="0"/>
        <w:spacing w:before="0" w:after="0" w:line="360" w:lineRule="auto"/>
        <w:ind w:left="0" w:right="0" w:firstLine="0"/>
        <w:jc w:val="both"/>
        <w:rPr>
          <w:rFonts w:ascii="Arial" w:hAnsi="Arial"/>
          <w:sz w:val="21"/>
          <w:szCs w:val="21"/>
        </w:rPr>
      </w:pPr>
    </w:p>
    <w:p w14:paraId="799C4CC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19.7 O pagamento poderá ser sustado pela CONTRATANTE quando os serviços não estiverem de acordo com o estipulado, ou por inadimplemento de qualquer Cláusula Contratual.</w:t>
      </w:r>
    </w:p>
    <w:p w14:paraId="345F203B">
      <w:pPr>
        <w:widowControl/>
        <w:suppressAutoHyphens/>
        <w:bidi w:val="0"/>
        <w:spacing w:before="0" w:after="0" w:line="360" w:lineRule="auto"/>
        <w:ind w:left="0" w:right="0" w:firstLine="0"/>
        <w:jc w:val="both"/>
        <w:rPr>
          <w:rFonts w:ascii="Arial" w:hAnsi="Arial"/>
          <w:sz w:val="21"/>
          <w:szCs w:val="21"/>
        </w:rPr>
      </w:pPr>
    </w:p>
    <w:p w14:paraId="22BABA32">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19.8 Os resultados dos relatórios dos serviços serão lançados em formulários apropriados, de acordo com as normas adotadas pelo Contratante.</w:t>
      </w:r>
    </w:p>
    <w:p w14:paraId="1DF3C049">
      <w:pPr>
        <w:widowControl/>
        <w:suppressAutoHyphens/>
        <w:bidi w:val="0"/>
        <w:spacing w:before="0" w:after="0" w:line="360" w:lineRule="auto"/>
        <w:ind w:left="0" w:right="0" w:firstLine="0"/>
        <w:jc w:val="both"/>
        <w:rPr>
          <w:rFonts w:ascii="Arial" w:hAnsi="Arial"/>
          <w:sz w:val="21"/>
          <w:szCs w:val="21"/>
        </w:rPr>
      </w:pPr>
    </w:p>
    <w:p w14:paraId="307DE044">
      <w:pPr>
        <w:widowControl/>
        <w:suppressAutoHyphens/>
        <w:bidi w:val="0"/>
        <w:spacing w:before="0" w:after="0" w:line="360" w:lineRule="auto"/>
        <w:ind w:left="0" w:right="0" w:firstLine="0"/>
        <w:jc w:val="both"/>
        <w:rPr>
          <w:rFonts w:ascii="Arial" w:hAnsi="Arial"/>
          <w:sz w:val="21"/>
          <w:szCs w:val="21"/>
        </w:rPr>
      </w:pPr>
      <w:r>
        <w:rPr>
          <w:rFonts w:ascii="Arial" w:hAnsi="Arial" w:cs="Arial"/>
          <w:b/>
          <w:bCs/>
          <w:color w:val="000000"/>
          <w:sz w:val="21"/>
          <w:szCs w:val="21"/>
        </w:rPr>
        <w:t>20. DAS ENTREGAS E EXECUÇÃO</w:t>
      </w:r>
    </w:p>
    <w:p w14:paraId="0B080DCA">
      <w:pPr>
        <w:widowControl/>
        <w:suppressAutoHyphens/>
        <w:bidi w:val="0"/>
        <w:spacing w:before="0" w:after="0" w:line="360" w:lineRule="auto"/>
        <w:ind w:left="0" w:right="0" w:firstLine="0"/>
        <w:jc w:val="both"/>
        <w:rPr>
          <w:rFonts w:ascii="Arial" w:hAnsi="Arial" w:cs="Arial"/>
          <w:color w:val="000000"/>
          <w:sz w:val="21"/>
          <w:szCs w:val="21"/>
        </w:rPr>
      </w:pPr>
    </w:p>
    <w:p w14:paraId="1E503A48">
      <w:pPr>
        <w:widowControl/>
        <w:suppressAutoHyphens/>
        <w:bidi w:val="0"/>
        <w:spacing w:before="0" w:after="0" w:line="360" w:lineRule="auto"/>
        <w:ind w:left="0" w:right="0" w:firstLine="0"/>
        <w:jc w:val="both"/>
        <w:rPr>
          <w:rFonts w:ascii="Arial" w:hAnsi="Arial"/>
          <w:sz w:val="21"/>
          <w:szCs w:val="21"/>
        </w:rPr>
      </w:pPr>
      <w:r>
        <w:rPr>
          <w:rFonts w:ascii="Arial" w:hAnsi="Arial" w:cs="Arial"/>
          <w:color w:val="000000"/>
          <w:sz w:val="21"/>
          <w:szCs w:val="21"/>
        </w:rPr>
        <w:t>20.1. A contratação do item, com fornecimento parcelado, será efetuada conforme a necessidade da Secretaria demandante, devendo a detentora executar o objeto de acordo com as especificações contidas no item 6.3  do termo de referência anexo I deste edital.</w:t>
      </w:r>
    </w:p>
    <w:p w14:paraId="076E756C">
      <w:pPr>
        <w:widowControl/>
        <w:suppressAutoHyphens/>
        <w:bidi w:val="0"/>
        <w:spacing w:before="0" w:after="0" w:line="360" w:lineRule="auto"/>
        <w:ind w:left="0" w:right="0" w:firstLine="0"/>
        <w:jc w:val="both"/>
        <w:rPr>
          <w:rFonts w:ascii="Arial" w:hAnsi="Arial" w:cs="Arial"/>
          <w:color w:val="000000"/>
          <w:sz w:val="21"/>
          <w:szCs w:val="21"/>
        </w:rPr>
      </w:pPr>
    </w:p>
    <w:p w14:paraId="79856843">
      <w:pPr>
        <w:widowControl/>
        <w:suppressAutoHyphens/>
        <w:bidi w:val="0"/>
        <w:spacing w:before="0" w:after="0" w:line="360" w:lineRule="auto"/>
        <w:ind w:left="0" w:right="0" w:firstLine="0"/>
        <w:jc w:val="both"/>
        <w:rPr>
          <w:rFonts w:ascii="Arial" w:hAnsi="Arial"/>
          <w:sz w:val="21"/>
          <w:szCs w:val="21"/>
        </w:rPr>
      </w:pPr>
      <w:r>
        <w:rPr>
          <w:rFonts w:ascii="Arial" w:hAnsi="Arial" w:cs="Arial"/>
          <w:color w:val="000000"/>
          <w:sz w:val="21"/>
          <w:szCs w:val="21"/>
        </w:rPr>
        <w:t>20.2. A contratação com os fornecedores registrados será formalizada pelo Órgão Participante por intermédio de Solicitação de fornecimento de compra.</w:t>
      </w:r>
    </w:p>
    <w:p w14:paraId="4ED3E5C3">
      <w:pPr>
        <w:widowControl/>
        <w:suppressAutoHyphens/>
        <w:bidi w:val="0"/>
        <w:spacing w:before="0" w:after="0" w:line="360" w:lineRule="auto"/>
        <w:ind w:left="0" w:right="0" w:firstLine="0"/>
        <w:jc w:val="both"/>
        <w:rPr>
          <w:rFonts w:ascii="Arial" w:hAnsi="Arial" w:cs="Arial"/>
          <w:color w:val="000000"/>
          <w:sz w:val="21"/>
          <w:szCs w:val="21"/>
        </w:rPr>
      </w:pPr>
    </w:p>
    <w:p w14:paraId="04998D01">
      <w:pPr>
        <w:widowControl/>
        <w:suppressAutoHyphens/>
        <w:bidi w:val="0"/>
        <w:spacing w:before="0" w:after="0" w:line="360" w:lineRule="auto"/>
        <w:ind w:left="0" w:right="0" w:firstLine="0"/>
        <w:jc w:val="both"/>
        <w:rPr>
          <w:rFonts w:ascii="Arial" w:hAnsi="Arial"/>
          <w:sz w:val="21"/>
          <w:szCs w:val="21"/>
        </w:rPr>
      </w:pPr>
      <w:r>
        <w:rPr>
          <w:rFonts w:ascii="Arial" w:hAnsi="Arial" w:cs="Arial"/>
          <w:color w:val="000000"/>
          <w:sz w:val="21"/>
          <w:szCs w:val="21"/>
        </w:rPr>
        <w:t>20.3. Os itens contratados deverão ser entregues de segunda a sexta-feira, das 08:00 às 11:30 e das 13:30 às 17:00, eventualmente dependendo do evento a data de entrega poderá ser modificada e determinada pela secretaria solicitante.</w:t>
      </w:r>
    </w:p>
    <w:p w14:paraId="402AA58D">
      <w:pPr>
        <w:widowControl/>
        <w:suppressAutoHyphens/>
        <w:bidi w:val="0"/>
        <w:spacing w:before="0" w:after="0" w:line="360" w:lineRule="auto"/>
        <w:ind w:left="0" w:right="0" w:firstLine="0"/>
        <w:jc w:val="both"/>
        <w:rPr>
          <w:rFonts w:ascii="Arial" w:hAnsi="Arial" w:cs="Arial"/>
          <w:color w:val="000000"/>
          <w:sz w:val="21"/>
          <w:szCs w:val="21"/>
        </w:rPr>
      </w:pPr>
    </w:p>
    <w:p w14:paraId="37A1DCEC">
      <w:pPr>
        <w:widowControl/>
        <w:suppressAutoHyphens/>
        <w:bidi w:val="0"/>
        <w:spacing w:before="0" w:after="0" w:line="360" w:lineRule="auto"/>
        <w:ind w:left="0" w:right="0" w:firstLine="0"/>
        <w:jc w:val="both"/>
        <w:rPr>
          <w:rFonts w:ascii="Arial" w:hAnsi="Arial" w:cs="Arial"/>
          <w:color w:val="000000"/>
          <w:sz w:val="21"/>
          <w:szCs w:val="21"/>
        </w:rPr>
      </w:pPr>
    </w:p>
    <w:p w14:paraId="589BE735">
      <w:pPr>
        <w:widowControl/>
        <w:suppressAutoHyphens/>
        <w:bidi w:val="0"/>
        <w:spacing w:before="0" w:after="0" w:line="360" w:lineRule="auto"/>
        <w:ind w:left="0" w:right="0" w:firstLine="0"/>
        <w:jc w:val="both"/>
        <w:rPr>
          <w:rFonts w:ascii="Arial" w:hAnsi="Arial"/>
          <w:sz w:val="21"/>
          <w:szCs w:val="21"/>
        </w:rPr>
      </w:pPr>
      <w:r>
        <w:rPr>
          <w:rFonts w:ascii="Arial" w:hAnsi="Arial" w:cs="Arial"/>
          <w:color w:val="000000"/>
          <w:sz w:val="21"/>
          <w:szCs w:val="21"/>
        </w:rPr>
        <w:t>20.4. O Fornecedor deverá entregar os itens constantes da autorização no local indicado pelo órgão participante, com a respectiva Nota Fiscal Eletrônica e enviar o arquivo XML para o e-mail indicado nas Solicitações de Fornecimento.</w:t>
      </w:r>
    </w:p>
    <w:p w14:paraId="1D7DB1AB">
      <w:pPr>
        <w:widowControl/>
        <w:suppressAutoHyphens/>
        <w:bidi w:val="0"/>
        <w:spacing w:before="0" w:after="0" w:line="360" w:lineRule="auto"/>
        <w:ind w:left="0" w:right="0" w:firstLine="0"/>
        <w:jc w:val="both"/>
        <w:rPr>
          <w:rFonts w:ascii="Arial" w:hAnsi="Arial" w:cs="Arial"/>
          <w:color w:val="000000"/>
          <w:sz w:val="21"/>
          <w:szCs w:val="21"/>
        </w:rPr>
      </w:pPr>
    </w:p>
    <w:p w14:paraId="08595E0A">
      <w:pPr>
        <w:widowControl/>
        <w:suppressAutoHyphens/>
        <w:bidi w:val="0"/>
        <w:spacing w:before="0" w:after="0" w:line="360" w:lineRule="auto"/>
        <w:ind w:left="0" w:right="0" w:firstLine="0"/>
        <w:jc w:val="both"/>
        <w:rPr>
          <w:rFonts w:ascii="Arial" w:hAnsi="Arial"/>
          <w:sz w:val="21"/>
          <w:szCs w:val="21"/>
        </w:rPr>
      </w:pPr>
      <w:r>
        <w:rPr>
          <w:rFonts w:ascii="Arial" w:hAnsi="Arial" w:cs="Arial"/>
          <w:color w:val="000000"/>
          <w:sz w:val="21"/>
          <w:szCs w:val="21"/>
        </w:rPr>
        <w:t>20.5. Os recebimentos provisórios e definitivos ficarão sob a responsabilidade de cada Órgão Participante.</w:t>
      </w:r>
    </w:p>
    <w:p w14:paraId="0A78D52C">
      <w:pPr>
        <w:widowControl/>
        <w:suppressAutoHyphens/>
        <w:bidi w:val="0"/>
        <w:spacing w:before="0" w:after="0" w:line="360" w:lineRule="auto"/>
        <w:ind w:left="0" w:right="0" w:firstLine="0"/>
        <w:jc w:val="both"/>
        <w:rPr>
          <w:rFonts w:ascii="Arial" w:hAnsi="Arial" w:cs="Arial"/>
          <w:color w:val="000000"/>
          <w:sz w:val="21"/>
          <w:szCs w:val="21"/>
        </w:rPr>
      </w:pPr>
    </w:p>
    <w:p w14:paraId="2D28F3B9">
      <w:pPr>
        <w:widowControl/>
        <w:suppressAutoHyphens/>
        <w:bidi w:val="0"/>
        <w:spacing w:before="0" w:after="0" w:line="360" w:lineRule="auto"/>
        <w:ind w:left="0" w:right="0" w:firstLine="0"/>
        <w:jc w:val="both"/>
        <w:rPr>
          <w:rFonts w:ascii="Arial" w:hAnsi="Arial"/>
          <w:sz w:val="21"/>
          <w:szCs w:val="21"/>
        </w:rPr>
      </w:pPr>
      <w:r>
        <w:rPr>
          <w:rFonts w:ascii="Arial" w:hAnsi="Arial" w:cs="Arial"/>
          <w:color w:val="000000"/>
          <w:sz w:val="21"/>
          <w:szCs w:val="21"/>
        </w:rPr>
        <w:t xml:space="preserve">20.6. Todas as despesas relacionadas com as entregas em cada órgão participante ocorrerão  </w:t>
      </w:r>
      <w:r>
        <w:rPr>
          <w:rFonts w:ascii="Arial" w:hAnsi="Arial"/>
          <w:color w:val="000000"/>
          <w:sz w:val="21"/>
          <w:szCs w:val="21"/>
        </w:rPr>
        <w:t>por conta do fornecedor, sob o qual ficará a total responsabilidade de realizar o transporte adequado e manter em perfeitas condições de armazenamento todos os itens a serem entregues, garantindo a sua total eficiência e q</w:t>
      </w:r>
      <w:r>
        <w:rPr>
          <w:rFonts w:ascii="Arial" w:hAnsi="Arial" w:cs="Arial"/>
          <w:color w:val="000000"/>
          <w:sz w:val="21"/>
          <w:szCs w:val="21"/>
        </w:rPr>
        <w:t>ualidade.</w:t>
      </w:r>
    </w:p>
    <w:p w14:paraId="3CDC866C">
      <w:pPr>
        <w:widowControl/>
        <w:suppressAutoHyphens/>
        <w:bidi w:val="0"/>
        <w:spacing w:before="0" w:after="0" w:line="360" w:lineRule="auto"/>
        <w:ind w:left="0" w:right="0" w:firstLine="0"/>
        <w:jc w:val="both"/>
        <w:rPr>
          <w:rFonts w:ascii="Arial" w:hAnsi="Arial" w:cs="Arial"/>
          <w:color w:val="000000"/>
          <w:sz w:val="21"/>
          <w:szCs w:val="21"/>
        </w:rPr>
      </w:pPr>
    </w:p>
    <w:p w14:paraId="6295298C">
      <w:pPr>
        <w:widowControl/>
        <w:suppressAutoHyphens/>
        <w:bidi w:val="0"/>
        <w:spacing w:before="0" w:after="0" w:line="360" w:lineRule="auto"/>
        <w:ind w:left="0" w:right="0" w:firstLine="0"/>
        <w:jc w:val="both"/>
        <w:rPr>
          <w:rFonts w:ascii="Arial" w:hAnsi="Arial"/>
          <w:sz w:val="21"/>
          <w:szCs w:val="21"/>
        </w:rPr>
      </w:pPr>
      <w:r>
        <w:rPr>
          <w:rFonts w:ascii="Arial" w:hAnsi="Arial" w:cs="Arial"/>
          <w:color w:val="000000"/>
          <w:sz w:val="21"/>
          <w:szCs w:val="21"/>
        </w:rPr>
        <w:t>20.7. Todos os custos relacionados à execução da garantia ou troca de produtos correrão por conta exclusiva do fornecedor, incluídos os custos de transporte, troca de peças/equipamentos, horas técnicas, deslocamento de pessoal.</w:t>
      </w:r>
    </w:p>
    <w:p w14:paraId="144299AC">
      <w:pPr>
        <w:widowControl/>
        <w:suppressAutoHyphens/>
        <w:bidi w:val="0"/>
        <w:spacing w:before="0" w:after="0" w:line="360" w:lineRule="auto"/>
        <w:ind w:left="0" w:right="0" w:firstLine="0"/>
        <w:jc w:val="both"/>
        <w:rPr>
          <w:rFonts w:ascii="Arial" w:hAnsi="Arial" w:cs="Arial"/>
          <w:color w:val="000000"/>
          <w:sz w:val="21"/>
          <w:szCs w:val="21"/>
        </w:rPr>
      </w:pPr>
    </w:p>
    <w:p w14:paraId="20DA84DA">
      <w:pPr>
        <w:widowControl/>
        <w:suppressAutoHyphens/>
        <w:bidi w:val="0"/>
        <w:spacing w:before="0" w:after="0" w:line="360" w:lineRule="auto"/>
        <w:ind w:left="0" w:right="0" w:firstLine="0"/>
        <w:jc w:val="both"/>
        <w:rPr>
          <w:rFonts w:ascii="Arial" w:hAnsi="Arial"/>
          <w:sz w:val="21"/>
          <w:szCs w:val="21"/>
        </w:rPr>
      </w:pPr>
      <w:r>
        <w:rPr>
          <w:rFonts w:ascii="Arial" w:hAnsi="Arial" w:cs="Arial"/>
          <w:b/>
          <w:bCs/>
          <w:color w:val="000000"/>
          <w:sz w:val="21"/>
          <w:szCs w:val="21"/>
        </w:rPr>
        <w:t>21. DA FISCALIZAÇÃO</w:t>
      </w:r>
    </w:p>
    <w:p w14:paraId="753106AD">
      <w:pPr>
        <w:widowControl/>
        <w:suppressAutoHyphens/>
        <w:bidi w:val="0"/>
        <w:spacing w:before="0" w:after="0" w:line="360" w:lineRule="auto"/>
        <w:ind w:left="0" w:right="0" w:firstLine="0"/>
        <w:jc w:val="both"/>
        <w:rPr>
          <w:rFonts w:ascii="Arial" w:hAnsi="Arial" w:cs="Arial"/>
          <w:color w:val="000000"/>
          <w:sz w:val="21"/>
          <w:szCs w:val="21"/>
        </w:rPr>
      </w:pPr>
    </w:p>
    <w:p w14:paraId="5C5632F0">
      <w:pPr>
        <w:widowControl/>
        <w:suppressAutoHyphens/>
        <w:bidi w:val="0"/>
        <w:spacing w:before="0" w:after="0" w:line="360" w:lineRule="auto"/>
        <w:ind w:left="0" w:right="0" w:firstLine="0"/>
        <w:jc w:val="both"/>
        <w:rPr>
          <w:rFonts w:ascii="Arial" w:hAnsi="Arial"/>
          <w:sz w:val="21"/>
          <w:szCs w:val="21"/>
        </w:rPr>
      </w:pPr>
      <w:r>
        <w:rPr>
          <w:rFonts w:ascii="Arial" w:hAnsi="Arial" w:cs="Arial"/>
          <w:color w:val="000000"/>
          <w:sz w:val="21"/>
          <w:szCs w:val="21"/>
        </w:rPr>
        <w:t>21.1. A fiscalização da execução do objeto contratado será realizada pelo Gestor e Fiscal indicados pelas Secretarias envolvidas no momento da elaboração da Ata de registro de preço/contrato.</w:t>
      </w:r>
    </w:p>
    <w:p w14:paraId="6A9C3236">
      <w:pPr>
        <w:widowControl/>
        <w:suppressAutoHyphens/>
        <w:bidi w:val="0"/>
        <w:spacing w:before="0" w:after="0" w:line="360" w:lineRule="auto"/>
        <w:ind w:left="0" w:right="0" w:firstLine="0"/>
        <w:jc w:val="both"/>
        <w:rPr>
          <w:rFonts w:ascii="Arial" w:hAnsi="Arial" w:cs="Arial"/>
          <w:color w:val="000000"/>
          <w:sz w:val="21"/>
          <w:szCs w:val="21"/>
        </w:rPr>
      </w:pPr>
    </w:p>
    <w:p w14:paraId="32E57944">
      <w:pPr>
        <w:tabs>
          <w:tab w:val="left" w:pos="2340"/>
          <w:tab w:val="left" w:pos="4464"/>
        </w:tabs>
        <w:spacing w:before="0" w:after="0" w:line="360" w:lineRule="auto"/>
        <w:ind w:left="0" w:right="0" w:firstLine="0"/>
        <w:jc w:val="both"/>
        <w:rPr>
          <w:rFonts w:ascii="Arial" w:hAnsi="Arial"/>
          <w:sz w:val="21"/>
          <w:szCs w:val="21"/>
        </w:rPr>
      </w:pPr>
      <w:r>
        <w:rPr>
          <w:rFonts w:ascii="Arial" w:hAnsi="Arial" w:cs="Arial"/>
          <w:bCs/>
          <w:sz w:val="21"/>
          <w:szCs w:val="21"/>
        </w:rPr>
        <w:t>21.2. Em conformidade com o art. 117 da Lei Federal n. 14.133/2021, o Município designará fiscal de contrato e representante da administração pública para acompanhamento e fiscalização da execução de Ata de Registro de Preços/Contrato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14:paraId="52B30422">
      <w:pPr>
        <w:tabs>
          <w:tab w:val="left" w:pos="2340"/>
          <w:tab w:val="left" w:pos="4464"/>
        </w:tabs>
        <w:spacing w:before="0" w:after="0" w:line="360" w:lineRule="auto"/>
        <w:ind w:left="0" w:right="0" w:firstLine="0"/>
        <w:jc w:val="both"/>
        <w:rPr>
          <w:rFonts w:ascii="Arial" w:hAnsi="Arial" w:eastAsia="SimSun" w:cs="Mangal"/>
          <w:color w:val="00000A"/>
          <w:sz w:val="21"/>
          <w:szCs w:val="21"/>
          <w:lang w:val="pt-BR" w:eastAsia="zh-CN" w:bidi="hi-IN"/>
        </w:rPr>
      </w:pPr>
    </w:p>
    <w:p w14:paraId="6C6F7B06">
      <w:pPr>
        <w:tabs>
          <w:tab w:val="left" w:pos="2340"/>
          <w:tab w:val="left" w:pos="4464"/>
        </w:tabs>
        <w:spacing w:before="0" w:after="0" w:line="360" w:lineRule="auto"/>
        <w:ind w:left="0" w:right="0" w:firstLine="0"/>
        <w:jc w:val="both"/>
        <w:rPr>
          <w:rFonts w:ascii="Arial" w:hAnsi="Arial"/>
          <w:sz w:val="21"/>
          <w:szCs w:val="21"/>
        </w:rPr>
      </w:pPr>
      <w:r>
        <w:rPr>
          <w:rFonts w:ascii="Arial" w:hAnsi="Arial" w:cs="Arial"/>
          <w:bCs/>
          <w:color w:val="000000"/>
          <w:sz w:val="21"/>
          <w:szCs w:val="21"/>
        </w:rPr>
        <w:t>21.3. Caberá ao gestor da Ata de Registro de Preços/Contrato, com auxílio do Fiscal, constituir relatório final de que trata o art. 174, § 3º, inciso VI, alínea “d”, da Lei Federal n. 14.133/2021 com as informações obtidas durante a execução do contrato, como forma de aprimoramento das atividades da Administração.</w:t>
      </w:r>
    </w:p>
    <w:p w14:paraId="4A86F8CE">
      <w:pPr>
        <w:widowControl/>
        <w:suppressAutoHyphens/>
        <w:bidi w:val="0"/>
        <w:spacing w:before="0" w:after="0" w:line="360" w:lineRule="auto"/>
        <w:ind w:left="0" w:right="0" w:firstLine="0"/>
        <w:jc w:val="both"/>
        <w:rPr>
          <w:rFonts w:ascii="Arial" w:hAnsi="Arial" w:cs="Arial"/>
          <w:color w:val="000000"/>
          <w:sz w:val="21"/>
          <w:szCs w:val="21"/>
        </w:rPr>
      </w:pPr>
    </w:p>
    <w:p w14:paraId="45288791">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22. DAS DISPOSIÇÕES GERAIS</w:t>
      </w:r>
    </w:p>
    <w:p w14:paraId="532F4E51">
      <w:pPr>
        <w:widowControl/>
        <w:suppressAutoHyphens/>
        <w:bidi w:val="0"/>
        <w:spacing w:before="0" w:after="0" w:line="360" w:lineRule="auto"/>
        <w:ind w:left="0" w:right="0" w:firstLine="0"/>
        <w:jc w:val="both"/>
        <w:rPr>
          <w:rFonts w:ascii="Arial" w:hAnsi="Arial"/>
          <w:b/>
          <w:bCs/>
          <w:sz w:val="21"/>
          <w:szCs w:val="21"/>
        </w:rPr>
      </w:pPr>
    </w:p>
    <w:p w14:paraId="58C1E7D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22.1. Caberá ao Município de Lindóia do Sul a prática de todos os atos de controle e administração do sistema.</w:t>
      </w:r>
    </w:p>
    <w:p w14:paraId="47FD2999">
      <w:pPr>
        <w:widowControl/>
        <w:suppressAutoHyphens/>
        <w:bidi w:val="0"/>
        <w:spacing w:before="0" w:after="0" w:line="360" w:lineRule="auto"/>
        <w:ind w:left="0" w:right="0" w:firstLine="0"/>
        <w:jc w:val="both"/>
        <w:rPr>
          <w:rFonts w:ascii="Arial" w:hAnsi="Arial"/>
          <w:sz w:val="21"/>
          <w:szCs w:val="21"/>
        </w:rPr>
      </w:pPr>
    </w:p>
    <w:p w14:paraId="37D9071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22.2. A Empresa vencedora deverá declarar ao Município (ANEXO II) o domicílio eletrônico o qual será destinado ao gerenciamento da Ata de Registro de Preços/Contrato e recebimento das solicitações de fornecimento/ordens de serviços, alerta de avisos, notificações e decisões administrativas.</w:t>
      </w:r>
    </w:p>
    <w:p w14:paraId="70018E0B">
      <w:pPr>
        <w:widowControl/>
        <w:suppressAutoHyphens/>
        <w:bidi w:val="0"/>
        <w:spacing w:before="0" w:after="0" w:line="360" w:lineRule="auto"/>
        <w:ind w:left="0" w:right="0" w:firstLine="0"/>
        <w:jc w:val="both"/>
        <w:rPr>
          <w:rFonts w:ascii="Arial" w:hAnsi="Arial"/>
          <w:sz w:val="21"/>
          <w:szCs w:val="21"/>
        </w:rPr>
      </w:pPr>
    </w:p>
    <w:p w14:paraId="1A2D294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22.3. Nenhuma indenização será devida às licitantes pela elaboração e/ou apresentação de documentação relativa ao presente Edital.</w:t>
      </w:r>
    </w:p>
    <w:p w14:paraId="7361B9BC">
      <w:pPr>
        <w:widowControl/>
        <w:suppressAutoHyphens/>
        <w:bidi w:val="0"/>
        <w:spacing w:before="0" w:after="0" w:line="360" w:lineRule="auto"/>
        <w:ind w:left="0" w:right="0" w:firstLine="0"/>
        <w:jc w:val="both"/>
        <w:rPr>
          <w:rFonts w:ascii="Arial" w:hAnsi="Arial"/>
          <w:sz w:val="21"/>
          <w:szCs w:val="21"/>
        </w:rPr>
      </w:pPr>
    </w:p>
    <w:p w14:paraId="512AF1B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22.4. O resultado desta licitação estará à disposição dos interessados, na sede da Prefeitura Municipal de Lindóia do Sul, logo após sua homologação e disponíveis na plataforma eletrônica do Portal de Compras Públicas e no sítio eletrônico oficial: www.lindoiadosul.sc.gov.br.</w:t>
      </w:r>
    </w:p>
    <w:p w14:paraId="0E6A150C">
      <w:pPr>
        <w:widowControl/>
        <w:suppressAutoHyphens/>
        <w:bidi w:val="0"/>
        <w:spacing w:before="0" w:after="0" w:line="360" w:lineRule="auto"/>
        <w:ind w:left="0" w:right="0" w:firstLine="0"/>
        <w:jc w:val="both"/>
        <w:rPr>
          <w:rFonts w:ascii="Arial" w:hAnsi="Arial"/>
          <w:sz w:val="21"/>
          <w:szCs w:val="21"/>
        </w:rPr>
      </w:pPr>
    </w:p>
    <w:p w14:paraId="7154F41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22.5. Detalhes não citados referentes à prestação dos serviços, mas que a boa técnica leve a presumir a sua necessidade, não deverão ser omitidos, não sendo aceitas justificativas para sua não apresentação.</w:t>
      </w:r>
    </w:p>
    <w:p w14:paraId="1CE75D64">
      <w:pPr>
        <w:widowControl/>
        <w:suppressAutoHyphens/>
        <w:bidi w:val="0"/>
        <w:spacing w:before="0" w:after="0" w:line="360" w:lineRule="auto"/>
        <w:ind w:left="0" w:right="0" w:firstLine="0"/>
        <w:jc w:val="both"/>
        <w:rPr>
          <w:rFonts w:ascii="Arial" w:hAnsi="Arial"/>
          <w:sz w:val="21"/>
          <w:szCs w:val="21"/>
        </w:rPr>
      </w:pPr>
    </w:p>
    <w:p w14:paraId="0ED01414">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22.6. O Município de Lindóia do 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14:paraId="2590D732">
      <w:pPr>
        <w:widowControl/>
        <w:suppressAutoHyphens/>
        <w:bidi w:val="0"/>
        <w:spacing w:before="0" w:after="0" w:line="360" w:lineRule="auto"/>
        <w:ind w:left="0" w:right="0" w:firstLine="0"/>
        <w:jc w:val="both"/>
        <w:rPr>
          <w:rFonts w:ascii="Arial" w:hAnsi="Arial"/>
          <w:sz w:val="21"/>
          <w:szCs w:val="21"/>
        </w:rPr>
      </w:pPr>
    </w:p>
    <w:p w14:paraId="0DF0A07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 xml:space="preserve">22.7. O(a) Pregoeiro(a) e a Equipe de Apoio prestarão os esclarecimentos necessários, devendo ser enviados ao pregoeiro, até três dias anteriores à data fixada para abertura da sessão pública, </w:t>
      </w:r>
      <w:r>
        <w:rPr>
          <w:rFonts w:ascii="Arial" w:hAnsi="Arial"/>
          <w:sz w:val="21"/>
          <w:szCs w:val="21"/>
          <w:shd w:val="clear" w:fill="auto"/>
        </w:rPr>
        <w:t>exclusivamente por meio eletrônico via portal indicado neste Edital.</w:t>
      </w:r>
    </w:p>
    <w:p w14:paraId="274843BB">
      <w:pPr>
        <w:widowControl/>
        <w:suppressAutoHyphens/>
        <w:bidi w:val="0"/>
        <w:spacing w:before="0" w:after="0" w:line="360" w:lineRule="auto"/>
        <w:ind w:left="0" w:right="0" w:firstLine="0"/>
        <w:jc w:val="both"/>
        <w:rPr>
          <w:rFonts w:ascii="Arial" w:hAnsi="Arial"/>
          <w:sz w:val="21"/>
          <w:szCs w:val="21"/>
        </w:rPr>
      </w:pPr>
    </w:p>
    <w:p w14:paraId="59FA0E7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22.7.1. Consultas a respeito de dúvidas ou esclarecimentos solicitadas fora dos parâmetros descritos no item 22.7. (como, por exemplo, através de “e-mail”), não serão respondidas.</w:t>
      </w:r>
    </w:p>
    <w:p w14:paraId="2D5D4B89">
      <w:pPr>
        <w:widowControl/>
        <w:suppressAutoHyphens/>
        <w:bidi w:val="0"/>
        <w:spacing w:before="0" w:after="0" w:line="360" w:lineRule="auto"/>
        <w:ind w:left="0" w:right="0" w:firstLine="0"/>
        <w:jc w:val="both"/>
        <w:rPr>
          <w:rFonts w:ascii="Arial" w:hAnsi="Arial"/>
          <w:sz w:val="21"/>
          <w:szCs w:val="21"/>
        </w:rPr>
      </w:pPr>
    </w:p>
    <w:p w14:paraId="31358F73">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22.8. Não cabe ao Portal de Compras Públicas ou ao Município de Lindóia do Sul, qualquer responsabilidade pelas obrigações assumidas pelo fornecedor com o licitante, em especial com relação à forma e às condições de entrega dos bens ou da prestação de serviços e quanto à quitação financeira da negociação realizada.</w:t>
      </w:r>
    </w:p>
    <w:p w14:paraId="5758FE4A">
      <w:pPr>
        <w:widowControl/>
        <w:suppressAutoHyphens/>
        <w:bidi w:val="0"/>
        <w:spacing w:before="0" w:after="0" w:line="360" w:lineRule="auto"/>
        <w:ind w:left="0" w:right="0" w:firstLine="0"/>
        <w:jc w:val="both"/>
        <w:rPr>
          <w:rFonts w:ascii="Arial" w:hAnsi="Arial"/>
          <w:sz w:val="21"/>
          <w:szCs w:val="21"/>
        </w:rPr>
      </w:pPr>
    </w:p>
    <w:p w14:paraId="4FA980E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22.9. São partes integrantes deste Edital os seguintes ANEXOS:</w:t>
      </w:r>
    </w:p>
    <w:p w14:paraId="7D6DC254">
      <w:pPr>
        <w:widowControl/>
        <w:suppressAutoHyphens/>
        <w:bidi w:val="0"/>
        <w:spacing w:before="0" w:after="0" w:line="360" w:lineRule="auto"/>
        <w:ind w:left="0" w:right="0" w:firstLine="0"/>
        <w:jc w:val="both"/>
        <w:rPr>
          <w:rFonts w:ascii="Arial" w:hAnsi="Arial"/>
          <w:sz w:val="21"/>
          <w:szCs w:val="21"/>
        </w:rPr>
      </w:pPr>
    </w:p>
    <w:p w14:paraId="32DE4B1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 ANEXO I – Termo de Referência;</w:t>
      </w:r>
    </w:p>
    <w:p w14:paraId="4D36CF1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b) ANEXO II – Modelo de Proposta de Preços e dados da proponente;</w:t>
      </w:r>
    </w:p>
    <w:p w14:paraId="7293233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c) ANEXO III – Declaração de Cumprimento Pleno aos Requisitos de Habilitação;</w:t>
      </w:r>
    </w:p>
    <w:p w14:paraId="58D2DAA1">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d) ANEXO IV – Declaração de Ausência de Condenação;</w:t>
      </w:r>
    </w:p>
    <w:p w14:paraId="2B72083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e) ANEXO V – Declaração de Ausência de Vínculo;</w:t>
      </w:r>
    </w:p>
    <w:p w14:paraId="4EAEA256">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f) ANEXO VI – Declaração de Microempresa ou Empresa de Pequeno Porte;</w:t>
      </w:r>
    </w:p>
    <w:p w14:paraId="0FA8A38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g) ANEXO VII – Declaração de Enquadramento Receita Bruta;</w:t>
      </w:r>
    </w:p>
    <w:p w14:paraId="10899385">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h) ANEXO VIII – Declaração de Cumprimento do artigo 7º, inciso XXXIII, da Constituição da República Federativa do Brasil;</w:t>
      </w:r>
    </w:p>
    <w:p w14:paraId="3E60731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i) ANEXO IX – Declaração Reserva de Cargos;</w:t>
      </w:r>
    </w:p>
    <w:p w14:paraId="660163C2">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j) ANEXO X – Declaração de Integralidade de Custos;</w:t>
      </w:r>
    </w:p>
    <w:p w14:paraId="0821B536">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k) ANEXO XI – Comprovação de Conhecimento das Especificações e Normas para a Execução dos Serviços;</w:t>
      </w:r>
    </w:p>
    <w:p w14:paraId="1EB39DE0">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l) ANEXO XII – Ata de Registro de Preços</w:t>
      </w:r>
    </w:p>
    <w:p w14:paraId="15947825">
      <w:pPr>
        <w:widowControl/>
        <w:suppressAutoHyphens/>
        <w:bidi w:val="0"/>
        <w:spacing w:before="0" w:after="0" w:line="360" w:lineRule="auto"/>
        <w:ind w:left="0" w:right="0" w:firstLine="0"/>
        <w:jc w:val="both"/>
        <w:rPr>
          <w:rFonts w:ascii="Arial" w:hAnsi="Arial"/>
          <w:sz w:val="21"/>
          <w:szCs w:val="21"/>
        </w:rPr>
      </w:pPr>
    </w:p>
    <w:p w14:paraId="3349233B">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Lindóia do Sul,  12 de dezembro de 2024.</w:t>
      </w:r>
    </w:p>
    <w:p w14:paraId="271433EA">
      <w:pPr>
        <w:widowControl/>
        <w:suppressAutoHyphens/>
        <w:bidi w:val="0"/>
        <w:spacing w:before="0" w:after="0" w:line="360" w:lineRule="auto"/>
        <w:ind w:left="0" w:right="0" w:firstLine="0"/>
        <w:jc w:val="both"/>
        <w:rPr>
          <w:rFonts w:ascii="Arial" w:hAnsi="Arial"/>
          <w:sz w:val="21"/>
          <w:szCs w:val="21"/>
        </w:rPr>
      </w:pPr>
    </w:p>
    <w:p w14:paraId="5BB06BC1">
      <w:pPr>
        <w:widowControl/>
        <w:suppressAutoHyphens/>
        <w:bidi w:val="0"/>
        <w:spacing w:before="0" w:after="0" w:line="360" w:lineRule="auto"/>
        <w:ind w:left="0" w:right="0" w:firstLine="0"/>
        <w:jc w:val="both"/>
        <w:rPr>
          <w:rFonts w:ascii="Arial" w:hAnsi="Arial"/>
          <w:sz w:val="21"/>
          <w:szCs w:val="21"/>
        </w:rPr>
      </w:pPr>
    </w:p>
    <w:p w14:paraId="31DB1517">
      <w:pPr>
        <w:widowControl/>
        <w:suppressAutoHyphens/>
        <w:bidi w:val="0"/>
        <w:spacing w:before="0" w:after="0" w:line="360" w:lineRule="auto"/>
        <w:ind w:left="0" w:right="0" w:firstLine="0"/>
        <w:jc w:val="both"/>
        <w:rPr>
          <w:rFonts w:ascii="Arial" w:hAnsi="Arial"/>
          <w:sz w:val="21"/>
          <w:szCs w:val="21"/>
        </w:rPr>
      </w:pPr>
    </w:p>
    <w:p w14:paraId="36F94886">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PEDRO ARI PARIZOTTO</w:t>
      </w:r>
    </w:p>
    <w:p w14:paraId="360366BE">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Prefeito Municipal em exercício</w:t>
      </w:r>
      <w:r>
        <w:br w:type="page"/>
      </w:r>
    </w:p>
    <w:p w14:paraId="3395737D">
      <w:pPr>
        <w:widowControl/>
        <w:suppressAutoHyphens/>
        <w:bidi w:val="0"/>
        <w:spacing w:before="0" w:after="0" w:line="360" w:lineRule="auto"/>
        <w:ind w:left="0" w:right="0" w:firstLine="0"/>
        <w:jc w:val="center"/>
      </w:pPr>
      <w:r>
        <w:rPr>
          <w:rFonts w:ascii="Arial" w:hAnsi="Arial"/>
          <w:b/>
          <w:bCs/>
          <w:sz w:val="21"/>
          <w:szCs w:val="21"/>
        </w:rPr>
        <w:t>ANEXO I</w:t>
      </w:r>
    </w:p>
    <w:p w14:paraId="6067E7E0">
      <w:pPr>
        <w:widowControl/>
        <w:suppressAutoHyphens/>
        <w:bidi w:val="0"/>
        <w:spacing w:before="0" w:after="0" w:line="360" w:lineRule="auto"/>
        <w:ind w:left="0" w:right="0" w:firstLine="0"/>
        <w:jc w:val="center"/>
        <w:rPr>
          <w:rFonts w:ascii="Arial" w:hAnsi="Arial"/>
          <w:b/>
          <w:bCs/>
          <w:sz w:val="21"/>
          <w:szCs w:val="21"/>
        </w:rPr>
      </w:pPr>
    </w:p>
    <w:p w14:paraId="62C94EBF">
      <w:pPr>
        <w:widowControl/>
        <w:suppressAutoHyphens/>
        <w:bidi w:val="0"/>
        <w:spacing w:before="0" w:after="0" w:line="360" w:lineRule="auto"/>
        <w:ind w:left="0" w:right="0" w:firstLine="0"/>
        <w:jc w:val="center"/>
      </w:pPr>
      <w:r>
        <w:rPr>
          <w:rFonts w:ascii="Arial" w:hAnsi="Arial"/>
          <w:b/>
          <w:bCs/>
          <w:sz w:val="21"/>
          <w:szCs w:val="21"/>
        </w:rPr>
        <w:t>TERMO DE REFERÊNCIA</w:t>
      </w:r>
    </w:p>
    <w:p w14:paraId="26B3561E">
      <w:pPr>
        <w:widowControl/>
        <w:suppressAutoHyphens/>
        <w:bidi w:val="0"/>
        <w:spacing w:before="0" w:after="0" w:line="360" w:lineRule="auto"/>
        <w:ind w:left="0" w:right="0" w:firstLine="0"/>
        <w:jc w:val="center"/>
        <w:rPr>
          <w:rFonts w:ascii="Arial" w:hAnsi="Arial"/>
        </w:rPr>
      </w:pPr>
    </w:p>
    <w:p w14:paraId="2A705F3E">
      <w:pPr>
        <w:pStyle w:val="3"/>
        <w:widowControl/>
        <w:suppressAutoHyphens/>
        <w:bidi w:val="0"/>
        <w:spacing w:before="0" w:after="0" w:line="300" w:lineRule="auto"/>
        <w:ind w:left="0" w:right="0" w:firstLine="0"/>
        <w:jc w:val="both"/>
      </w:pPr>
      <w:r>
        <w:rPr>
          <w:rFonts w:ascii="Arial" w:hAnsi="Arial"/>
          <w:b/>
          <w:bCs/>
          <w:i w:val="0"/>
          <w:iCs w:val="0"/>
          <w:sz w:val="21"/>
          <w:szCs w:val="21"/>
        </w:rPr>
        <w:t>PROCESSO LICITATÓRIO Nº 144/2024</w:t>
      </w:r>
    </w:p>
    <w:p w14:paraId="2E638CD4">
      <w:pPr>
        <w:pStyle w:val="3"/>
        <w:widowControl/>
        <w:suppressAutoHyphens/>
        <w:bidi w:val="0"/>
        <w:spacing w:before="0" w:after="0" w:line="30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02AD4742">
      <w:pPr>
        <w:widowControl/>
        <w:suppressAutoHyphens/>
        <w:bidi w:val="0"/>
        <w:spacing w:before="0" w:after="0" w:line="300" w:lineRule="auto"/>
        <w:ind w:left="0" w:right="0" w:firstLine="0"/>
        <w:jc w:val="both"/>
        <w:rPr>
          <w:rFonts w:ascii="Arial" w:hAnsi="Arial"/>
          <w:b/>
          <w:bCs/>
          <w:i w:val="0"/>
          <w:iCs w:val="0"/>
          <w:strike w:val="0"/>
          <w:dstrike w:val="0"/>
          <w:color w:val="000000"/>
          <w:sz w:val="21"/>
          <w:szCs w:val="21"/>
          <w:u w:val="none"/>
        </w:rPr>
      </w:pPr>
    </w:p>
    <w:p w14:paraId="286A5878">
      <w:pPr>
        <w:widowControl/>
        <w:suppressAutoHyphens/>
        <w:bidi w:val="0"/>
        <w:spacing w:before="0" w:after="0" w:line="300" w:lineRule="auto"/>
        <w:ind w:left="0" w:right="0" w:firstLine="0"/>
        <w:jc w:val="both"/>
        <w:rPr>
          <w:rFonts w:ascii="Arial" w:hAnsi="Arial"/>
          <w:b/>
          <w:bCs/>
          <w:i w:val="0"/>
          <w:iCs w:val="0"/>
          <w:strike w:val="0"/>
          <w:dstrike w:val="0"/>
          <w:color w:val="000000"/>
          <w:sz w:val="21"/>
          <w:szCs w:val="21"/>
          <w:u w:val="none"/>
        </w:rPr>
      </w:pPr>
    </w:p>
    <w:p w14:paraId="04F415B5">
      <w:pPr>
        <w:widowControl/>
        <w:suppressAutoHyphens/>
        <w:bidi w:val="0"/>
        <w:spacing w:before="0" w:after="0" w:line="300" w:lineRule="auto"/>
        <w:ind w:left="0" w:right="0" w:firstLine="0"/>
        <w:jc w:val="both"/>
        <w:rPr>
          <w:rFonts w:ascii="Arial" w:hAnsi="Arial"/>
          <w:b/>
          <w:bCs/>
          <w:i w:val="0"/>
          <w:iCs w:val="0"/>
          <w:strike w:val="0"/>
          <w:dstrike w:val="0"/>
          <w:color w:val="000000"/>
          <w:sz w:val="21"/>
          <w:szCs w:val="21"/>
          <w:u w:val="none"/>
        </w:rPr>
      </w:pPr>
    </w:p>
    <w:p w14:paraId="099E41A0">
      <w:pPr>
        <w:widowControl/>
        <w:suppressAutoHyphens/>
        <w:bidi w:val="0"/>
        <w:spacing w:before="0" w:after="0" w:line="300" w:lineRule="auto"/>
        <w:ind w:left="0" w:right="0" w:firstLine="0"/>
        <w:jc w:val="both"/>
        <w:rPr>
          <w:rFonts w:ascii="Arial" w:hAnsi="Arial"/>
          <w:b/>
          <w:bCs/>
          <w:i w:val="0"/>
          <w:iCs w:val="0"/>
          <w:strike w:val="0"/>
          <w:dstrike w:val="0"/>
          <w:color w:val="000000"/>
          <w:sz w:val="21"/>
          <w:szCs w:val="21"/>
          <w:u w:val="none"/>
        </w:rPr>
      </w:pPr>
    </w:p>
    <w:p w14:paraId="39B58640">
      <w:pPr>
        <w:widowControl/>
        <w:suppressAutoHyphens/>
        <w:bidi w:val="0"/>
        <w:spacing w:before="0" w:after="0" w:line="300" w:lineRule="auto"/>
        <w:ind w:left="0" w:right="0" w:firstLine="0"/>
        <w:jc w:val="both"/>
        <w:rPr>
          <w:rFonts w:ascii="Arial" w:hAnsi="Arial"/>
          <w:b/>
          <w:bCs/>
          <w:i w:val="0"/>
          <w:iCs w:val="0"/>
          <w:strike w:val="0"/>
          <w:dstrike w:val="0"/>
          <w:color w:val="000000"/>
          <w:sz w:val="21"/>
          <w:szCs w:val="21"/>
          <w:u w:val="none"/>
        </w:rPr>
      </w:pPr>
    </w:p>
    <w:p w14:paraId="6670B973">
      <w:pPr>
        <w:widowControl/>
        <w:suppressAutoHyphens/>
        <w:bidi w:val="0"/>
        <w:spacing w:before="0" w:after="0" w:line="300" w:lineRule="auto"/>
        <w:ind w:left="0" w:right="0" w:firstLine="0"/>
        <w:jc w:val="both"/>
        <w:rPr>
          <w:rFonts w:ascii="Arial" w:hAnsi="Arial"/>
          <w:b/>
          <w:bCs/>
          <w:i w:val="0"/>
          <w:iCs w:val="0"/>
          <w:strike w:val="0"/>
          <w:dstrike w:val="0"/>
          <w:color w:val="000000"/>
          <w:sz w:val="21"/>
          <w:szCs w:val="21"/>
          <w:u w:val="none"/>
        </w:rPr>
      </w:pPr>
    </w:p>
    <w:p w14:paraId="0D2DDB9B">
      <w:pPr>
        <w:tabs>
          <w:tab w:val="left" w:pos="2340"/>
          <w:tab w:val="left" w:pos="4464"/>
        </w:tabs>
        <w:spacing w:line="360" w:lineRule="auto"/>
        <w:jc w:val="center"/>
        <w:rPr>
          <w:rFonts w:ascii="Arial" w:hAnsi="Arial"/>
          <w:sz w:val="24"/>
          <w:szCs w:val="24"/>
        </w:rPr>
      </w:pPr>
      <w:r>
        <w:rPr>
          <w:rFonts w:ascii="Arial" w:hAnsi="Arial"/>
          <w:b/>
          <w:bCs/>
          <w:sz w:val="24"/>
          <w:szCs w:val="24"/>
        </w:rPr>
        <w:t>TERMO DE REFERÊNCIA</w:t>
      </w:r>
    </w:p>
    <w:p w14:paraId="5AFC7BC3">
      <w:pPr>
        <w:tabs>
          <w:tab w:val="left" w:pos="2340"/>
          <w:tab w:val="left" w:pos="4464"/>
        </w:tabs>
        <w:spacing w:line="360" w:lineRule="auto"/>
        <w:jc w:val="center"/>
        <w:rPr>
          <w:rFonts w:ascii="Arial" w:hAnsi="Arial"/>
          <w:b/>
          <w:bCs/>
          <w:sz w:val="24"/>
          <w:szCs w:val="24"/>
        </w:rPr>
      </w:pPr>
    </w:p>
    <w:p w14:paraId="062C88D8">
      <w:pPr>
        <w:tabs>
          <w:tab w:val="left" w:pos="2340"/>
          <w:tab w:val="left" w:pos="4464"/>
        </w:tabs>
        <w:spacing w:line="360" w:lineRule="auto"/>
        <w:jc w:val="center"/>
        <w:rPr>
          <w:rFonts w:ascii="Arial" w:hAnsi="Arial"/>
          <w:b/>
          <w:bCs/>
          <w:sz w:val="24"/>
          <w:szCs w:val="24"/>
        </w:rPr>
      </w:pPr>
    </w:p>
    <w:p w14:paraId="480D9C13">
      <w:pPr>
        <w:spacing w:line="360" w:lineRule="auto"/>
        <w:jc w:val="both"/>
        <w:rPr>
          <w:rFonts w:ascii="Arial" w:hAnsi="Arial"/>
          <w:sz w:val="24"/>
          <w:szCs w:val="24"/>
        </w:rPr>
      </w:pPr>
      <w:r>
        <w:rPr>
          <w:rFonts w:ascii="Arial" w:hAnsi="Arial"/>
          <w:b/>
          <w:bCs/>
          <w:sz w:val="24"/>
          <w:szCs w:val="24"/>
        </w:rPr>
        <w:t>PARA REALIZAÇÃO LICITAÇÃO NA MODALIDADE PREGÃO PARA EVENTUAL CONTRATAÇÃO, COM FORNECIMENTO PARCELADO DE</w:t>
      </w:r>
      <w:r>
        <w:rPr>
          <w:rFonts w:ascii="Arial" w:hAnsi="Arial" w:eastAsia="Times New Roman"/>
          <w:color w:val="000000"/>
          <w:sz w:val="24"/>
          <w:szCs w:val="24"/>
          <w:highlight w:val="white"/>
        </w:rPr>
        <w:t xml:space="preserve"> </w:t>
      </w:r>
      <w:bookmarkStart w:id="0" w:name="_Hlk1791782631"/>
      <w:r>
        <w:rPr>
          <w:rFonts w:ascii="Arial" w:hAnsi="Arial"/>
          <w:b/>
          <w:bCs/>
          <w:sz w:val="24"/>
          <w:szCs w:val="24"/>
        </w:rPr>
        <w:t>GASOLINA COMUM</w:t>
      </w:r>
      <w:bookmarkEnd w:id="0"/>
      <w:r>
        <w:rPr>
          <w:rFonts w:ascii="Arial" w:hAnsi="Arial"/>
          <w:b/>
          <w:bCs/>
          <w:sz w:val="24"/>
          <w:szCs w:val="24"/>
        </w:rPr>
        <w:t xml:space="preserve"> PARA USO DOS ÓRGÃOS E ENTIDADES DO MUNICÍPIO DE LINDÓIA DO SUL.</w:t>
      </w:r>
    </w:p>
    <w:p w14:paraId="6E4D238D">
      <w:pPr>
        <w:spacing w:line="360" w:lineRule="auto"/>
        <w:jc w:val="both"/>
        <w:rPr>
          <w:rFonts w:ascii="Arial" w:hAnsi="Arial"/>
          <w:b/>
          <w:sz w:val="21"/>
          <w:szCs w:val="21"/>
        </w:rPr>
      </w:pPr>
      <w:r>
        <w:br w:type="page"/>
      </w:r>
    </w:p>
    <w:p w14:paraId="193C9498">
      <w:pPr>
        <w:pStyle w:val="402"/>
        <w:numPr>
          <w:ilvl w:val="0"/>
          <w:numId w:val="4"/>
        </w:numPr>
        <w:spacing w:line="360" w:lineRule="auto"/>
        <w:rPr>
          <w:rFonts w:ascii="Arial" w:hAnsi="Arial"/>
          <w:sz w:val="21"/>
          <w:szCs w:val="21"/>
        </w:rPr>
      </w:pPr>
      <w:r>
        <w:rPr>
          <w:rFonts w:ascii="Arial" w:hAnsi="Arial" w:cs="Arial"/>
          <w:b/>
          <w:sz w:val="21"/>
          <w:szCs w:val="21"/>
        </w:rPr>
        <w:t>DISPOSIÇÕES PRELIMINARES</w:t>
      </w:r>
    </w:p>
    <w:p w14:paraId="5901768C">
      <w:pPr>
        <w:tabs>
          <w:tab w:val="left" w:pos="2340"/>
          <w:tab w:val="left" w:pos="4464"/>
        </w:tabs>
        <w:spacing w:line="360" w:lineRule="auto"/>
        <w:ind w:firstLine="709"/>
        <w:jc w:val="both"/>
        <w:rPr>
          <w:rFonts w:ascii="Arial" w:hAnsi="Arial"/>
          <w:sz w:val="21"/>
          <w:szCs w:val="21"/>
        </w:rPr>
      </w:pPr>
      <w:r>
        <w:rPr>
          <w:rFonts w:ascii="Arial" w:hAnsi="Arial"/>
          <w:bCs/>
          <w:sz w:val="21"/>
          <w:szCs w:val="21"/>
        </w:rPr>
        <w:t>A fase preparatória da licitação visa planejar e compatibilizar a contratação com as leis orçamentárias, bem como abordar todas as considerações técnicas, mercadológicas e de gestão que podem interferir na contratação.</w:t>
      </w:r>
    </w:p>
    <w:p w14:paraId="0C654CB0">
      <w:pPr>
        <w:tabs>
          <w:tab w:val="left" w:pos="2340"/>
          <w:tab w:val="left" w:pos="4464"/>
        </w:tabs>
        <w:spacing w:line="360" w:lineRule="auto"/>
        <w:ind w:firstLine="709"/>
        <w:jc w:val="both"/>
        <w:rPr>
          <w:rFonts w:ascii="Arial" w:hAnsi="Arial"/>
          <w:sz w:val="21"/>
          <w:szCs w:val="21"/>
        </w:rPr>
      </w:pPr>
      <w:r>
        <w:rPr>
          <w:rFonts w:ascii="Arial" w:hAnsi="Arial"/>
          <w:bCs/>
          <w:sz w:val="21"/>
          <w:szCs w:val="21"/>
        </w:rPr>
        <w:t>O Termo de Referência (TR) é o documento necessário para a contratação de bens e serviços que, contendo os parâmetros e elementos descritivos constantes no art. 6º, inciso XXIII, e no art. 40, § 1º, ambos da Lei Federal n. 14.133/2021, sintetiza as principais decisões e informações acerca do objeto a ser contratado, a definição da estratégia para a seleção da melhor proposta (com indicação da modalidade eleita, critério de julgamento e modo de disputa), bem como as condições que regerão a futura contratação.</w:t>
      </w:r>
    </w:p>
    <w:p w14:paraId="6C0B31C0">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Assim, o presente Termo de Referência configura-se como parte integrante da instrução do processo licitatório já iniciado para atendimento de demanda das secretarias do município por Gasolina Comum para atendimento da demanda.</w:t>
      </w:r>
    </w:p>
    <w:p w14:paraId="725C961C">
      <w:pPr>
        <w:pStyle w:val="402"/>
        <w:numPr>
          <w:ilvl w:val="0"/>
          <w:numId w:val="4"/>
        </w:numPr>
        <w:spacing w:before="142" w:after="142" w:line="360" w:lineRule="auto"/>
        <w:contextualSpacing/>
        <w:rPr>
          <w:rFonts w:ascii="Arial" w:hAnsi="Arial"/>
          <w:sz w:val="21"/>
          <w:szCs w:val="21"/>
        </w:rPr>
      </w:pPr>
      <w:r>
        <w:rPr>
          <w:rFonts w:ascii="Arial" w:hAnsi="Arial" w:cs="Arial"/>
          <w:b/>
          <w:sz w:val="21"/>
          <w:szCs w:val="21"/>
        </w:rPr>
        <w:t>FUNDAMENTAÇÃO DA CONTRATAÇÃO</w:t>
      </w:r>
    </w:p>
    <w:p w14:paraId="4A79EB41">
      <w:pPr>
        <w:spacing w:before="142" w:after="142" w:line="360" w:lineRule="auto"/>
        <w:jc w:val="both"/>
        <w:rPr>
          <w:rFonts w:ascii="Arial" w:hAnsi="Arial"/>
          <w:sz w:val="21"/>
          <w:szCs w:val="21"/>
        </w:rPr>
      </w:pPr>
      <w:r>
        <w:rPr>
          <w:rFonts w:ascii="Arial" w:hAnsi="Arial"/>
          <w:sz w:val="21"/>
          <w:szCs w:val="21"/>
        </w:rPr>
        <w:tab/>
      </w:r>
      <w:r>
        <w:rPr>
          <w:rFonts w:ascii="Arial" w:hAnsi="Arial" w:eastAsia="Times New Roman"/>
          <w:color w:val="000000"/>
          <w:sz w:val="21"/>
          <w:szCs w:val="21"/>
          <w:highlight w:val="white"/>
        </w:rPr>
        <w:t>Tratando-se de demandas para os diversos órgãos e entidades do município.</w:t>
      </w:r>
    </w:p>
    <w:p w14:paraId="33650ED9">
      <w:pPr>
        <w:spacing w:before="142" w:after="142" w:line="360" w:lineRule="auto"/>
        <w:ind w:firstLine="720"/>
        <w:jc w:val="both"/>
        <w:rPr>
          <w:rFonts w:ascii="Arial" w:hAnsi="Arial"/>
          <w:sz w:val="21"/>
          <w:szCs w:val="21"/>
        </w:rPr>
      </w:pPr>
      <w:r>
        <w:rPr>
          <w:rFonts w:ascii="Arial" w:hAnsi="Arial" w:eastAsia="Times New Roman"/>
          <w:color w:val="000000"/>
          <w:sz w:val="21"/>
          <w:szCs w:val="21"/>
          <w:highlight w:val="white"/>
        </w:rPr>
        <w:t>Dessa maneira, considerando tratar-se não apenas de um processo licitatório individual, mas que atende os órgãos e entidades do município, a necessidade de sua realização decorre da demanda dos itens para abastecimento da frota municipal, polícia militar e polícia civil.</w:t>
      </w:r>
    </w:p>
    <w:p w14:paraId="63C63CE3">
      <w:pPr>
        <w:spacing w:before="142" w:after="142" w:line="360" w:lineRule="auto"/>
        <w:ind w:firstLine="720"/>
        <w:jc w:val="both"/>
        <w:rPr>
          <w:rFonts w:ascii="Arial" w:hAnsi="Arial"/>
          <w:sz w:val="21"/>
          <w:szCs w:val="21"/>
        </w:rPr>
      </w:pPr>
      <w:r>
        <w:rPr>
          <w:rFonts w:ascii="Arial" w:hAnsi="Arial" w:eastAsia="Times New Roman"/>
          <w:color w:val="000000"/>
          <w:sz w:val="21"/>
          <w:szCs w:val="21"/>
          <w:highlight w:val="white"/>
        </w:rPr>
        <w:t>Tendo em vista que a Administração municipal possui uma vasta frota que necessitam de Gasolina Comum para abastecimento da frota.</w:t>
      </w:r>
    </w:p>
    <w:p w14:paraId="5134D2E9">
      <w:pPr>
        <w:pStyle w:val="402"/>
        <w:numPr>
          <w:ilvl w:val="0"/>
          <w:numId w:val="0"/>
        </w:numPr>
        <w:spacing w:before="142" w:after="142" w:line="360" w:lineRule="auto"/>
        <w:ind w:left="0" w:firstLine="0"/>
        <w:contextualSpacing w:val="0"/>
        <w:jc w:val="both"/>
        <w:rPr>
          <w:rFonts w:ascii="Arial" w:hAnsi="Arial"/>
          <w:sz w:val="21"/>
          <w:szCs w:val="21"/>
        </w:rPr>
      </w:pPr>
      <w:r>
        <w:rPr>
          <w:rFonts w:ascii="Arial" w:hAnsi="Arial" w:eastAsia="Times New Roman" w:cs="Arial"/>
          <w:b/>
          <w:bCs/>
          <w:color w:val="000000"/>
          <w:sz w:val="21"/>
          <w:szCs w:val="21"/>
          <w:highlight w:val="white"/>
        </w:rPr>
        <w:t>2.1.</w:t>
      </w:r>
      <w:r>
        <w:rPr>
          <w:rFonts w:ascii="Arial" w:hAnsi="Arial" w:eastAsia="Times New Roman" w:cs="Arial"/>
          <w:b/>
          <w:bCs/>
          <w:color w:val="000000"/>
          <w:sz w:val="21"/>
          <w:szCs w:val="21"/>
          <w:highlight w:val="white"/>
        </w:rPr>
        <w:tab/>
      </w:r>
      <w:r>
        <w:rPr>
          <w:rFonts w:ascii="Arial" w:hAnsi="Arial" w:eastAsia="Times New Roman" w:cs="Arial"/>
          <w:b/>
          <w:bCs/>
          <w:color w:val="000000"/>
          <w:sz w:val="21"/>
          <w:szCs w:val="21"/>
          <w:highlight w:val="white"/>
        </w:rPr>
        <w:t>PROCEDIMENTO A SER REALIZADO PARA AQUISIÇÃO DO OBJETO</w:t>
      </w:r>
    </w:p>
    <w:p w14:paraId="4C433147">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A partir da definição de que a aquisição do objeto supracitado realiza o atendimento da demanda exposta, cumpre analisar as opções sobre o modo pelo qual o município irá disponibilizar a sua contratação aos seus órgãos ou entidades.</w:t>
      </w:r>
    </w:p>
    <w:p w14:paraId="1212FB96">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De início, destaca-se que, nos termos da regulamentação do município, o item a serem licitado será de qualidade comum, não superior à necessária para cumprir as finalidades às quais se destinam, razão pela qual sua aquisição encontra-se autorizada, conforme disposição do art. 20 da Lei Federal n. 14.133/2021.</w:t>
      </w:r>
    </w:p>
    <w:p w14:paraId="5C5EE623">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Descarta-se, sumariamente, a realização de contratação direta pelo município para aquisição dos bens, eis que não enquadrável em qualquer das hipóteses previstas nos arts. 74 e 75 da Lei Federal n. 14.133/2021. Especialmente quanto às hipóteses em que a licitação seria inexigível pela inviabilidade de competição, verificou-se na pesquisa de preços realizada a existência de ampla variedade de fornecedores para os diversos itens que constituirão o objeto deste processo licitatório, viabilizando, assim, a sua competitividade.</w:t>
      </w:r>
    </w:p>
    <w:p w14:paraId="7AD676B9">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A respeito da possibilidade de realização de credenciamento, verifica-se que o presente caso não se subsume a qualquer das situações previstas no caput do art. 79 da Lei Federal n. 14.133/2021, eis que, respectivamente: a) não é vantajosa para a Administração a realização de contratações em condições padronizadas, especialmente quanto ao preço dos itens, em razão do detrimento da economia de escala; b) os bens serão utilizados diretamente pela administração pública, não sendo possível a seleção pelo beneficiário da prestação; e c) não há flutuação constante do valor da prestação e das condições de contratação deste bem.</w:t>
      </w:r>
    </w:p>
    <w:p w14:paraId="0C84C88A">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Assim, não se configurando hipótese de contratação direta, tampouco do procedimento auxiliar de credenciamento, imperioso o cumprimento do dever constitucional de realização de licitação, a qual ocorrerá na modalidade pregão, visto que, nos termos do art. 6º, inciso XLI, e do art. 29, caput, da Lei Federal n. 14.133/2021, configura-se como “modalidade de licitação obrigatória para aquisição de bens e serviços comuns” e deve ser adotado “sempre que o objeto possuir padrões de desempenho e qualidade que possam ser objetivamente definidos pelo edital, por meio de especificações usuais de mercado”, situação evidente no presente cenário em razão do objeto licitado: bem de natureza comum, podendo ser objetivamente definido no edital.</w:t>
      </w:r>
    </w:p>
    <w:p w14:paraId="2CF09794">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Realizando-se a licitação pela modalidade pregão, o art. 6º, inciso XLI, da Lei Federal n. 14.133/2021 dispõe que, discricionariamente, o seu “critério de julgamento poderá ser o de menor preço ou o de maior desconto”, optando-se, no presente caso, pelo critério de menor preço, nos termos do art. 24, parágrafo único, da Lei Federal n. 14.133/2021.</w:t>
      </w:r>
    </w:p>
    <w:p w14:paraId="6E6A368E">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Ocorre que, tratando-se da aquisição, por órgãos e entidades do município, de uma diversidade de itens para atendimento de suas demandas internas, imediatas ou não, as quais podem variar em quantidade no decorrer do tempo, verifica-se que, para a mais adequada satisfação da demanda apresentada, em termos quantitativos e temporais, torna-se imperiosa a utilização do Sistema de Registro de Preços (SRP).</w:t>
      </w:r>
    </w:p>
    <w:p w14:paraId="6D475F77">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O Sistema de Registro de Preços é definido pelo art. 6º, inciso XLV, da Lei Federal n. 14.133/2021 como o “conjunto de procedimentos para realização, mediante contratação direta ou licitação nas modalidades pregão ou concorrência, de registro formal de preços relativos à prestação de serviços, as obras e a aquisição e locação de bens para contratações futuras”. Sua principal vantagem está no fato de que a “existência de preços registrados implicará compromisso de fornecimento nas condições estabelecidas, mas não obrigará a Administração a contratar” (art. 83 da Lei Federal n. 14.133/2021). Com isso, permite-se que a administração adquira os bens conforme a manifestação da demanda durante o prazo de vigência da ata de registro de preços, resultado do processo licitatório, o qual “será de 1 (um) ano e poderá ser prorrogado, por igual período” (art. 84 da Lei Federal n. 14.133/2021), garantindo o fornecimento contínuo de bens para atendimento da demanda, presente e futura, do município.</w:t>
      </w:r>
    </w:p>
    <w:p w14:paraId="470D1D92">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No âmbito de atuação do município, o Sistema de Registro de Preços encontra-se regulamentado pelo Decreto nº 4.072.</w:t>
      </w:r>
    </w:p>
    <w:p w14:paraId="1C889B3F">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Nesse modelo licitatório, existem duas etapas. A primeira, centralizada, é realizada de forma centralizada pelo município, voltada ao planejamento, seleção do fornecedor e, tratando-se de SRP, formalização da ata de registro de preços. A segunda, descentralizada, é voltada na aquisição efetiva dos bens e serviços pelos diversos órgãos e entidades do município, denominados Órgãos Participantes, sob sua gestão e responsabilidade.</w:t>
      </w:r>
    </w:p>
    <w:p w14:paraId="5BEFA7DB">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Ante o exposto, verifica-se que o procedimento licitatório mais adequado e que será realizado para a aquisição do objeto supracitado é a realização de licitação, na modalidade pregão, pelo critério de menor preço e auxiliada pelo sistema de registro de preços, atuando o município como Órgão Gerenciador.</w:t>
      </w:r>
    </w:p>
    <w:p w14:paraId="1A59A680">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Tratando-se de processo licitatório visando o registro de preço dos itens listados, a estimativa total de quantidades para a contratação é definida através da realização do procedimento público de intenção para registro de preços (IRP), previsto no art. 86 da Lei Federal 14.133/2021.</w:t>
      </w:r>
    </w:p>
    <w:p w14:paraId="62F34BFA">
      <w:pPr>
        <w:suppressAutoHyphens w:val="0"/>
        <w:spacing w:beforeAutospacing="1" w:afterAutospacing="1" w:line="360" w:lineRule="auto"/>
        <w:ind w:left="2880" w:firstLine="720"/>
        <w:jc w:val="both"/>
        <w:rPr>
          <w:rFonts w:ascii="Arial" w:hAnsi="Arial"/>
          <w:sz w:val="21"/>
          <w:szCs w:val="21"/>
        </w:rPr>
      </w:pPr>
      <w:r>
        <w:rPr>
          <w:rFonts w:ascii="Arial" w:hAnsi="Arial" w:eastAsia="Times New Roman"/>
          <w:color w:val="000000"/>
          <w:kern w:val="0"/>
          <w:sz w:val="21"/>
          <w:szCs w:val="21"/>
          <w:lang w:eastAsia="pt-BR" w:bidi="ar-SA"/>
        </w:rPr>
        <w:t>Art.86. O órgão ou entidade gerenciadora deverá, na fase preparatória do processo licitatório, para fins de registro de preços, realizar procedimento público de intenção de registro de preços para, nos termos de regulamento, possibilitar, pelo prazo mínimo de 8(oito) dias úteis, a participação de outros órgãos ou entidades na respectiva ata e determinar a estimativa total de quantidades da contratação.</w:t>
      </w:r>
    </w:p>
    <w:p w14:paraId="2612E34D">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Destaca-se que este procedimento se encontra regulamentado no âmbito do município pelo decreto nº 4.072, cito o Art. 118, § 1º: § 1º O procedimento público de intenção de registro de preços poderá ser dispensada, de forma justificada pelo Órgão Gerenciador, quando for o único contratante ou de interesse restrito a órgãos ou entidades específicas da Administração.</w:t>
      </w:r>
    </w:p>
    <w:p w14:paraId="1BB621C1">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No caso desta municipalidade, optou-se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o município a qualidade de outro órgão gerenciador.</w:t>
      </w:r>
    </w:p>
    <w:p w14:paraId="12BA93EC">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Tratando-se de processo licitatório visando o registro de preços dos itens listados, a estimativa total de quantidades para contratação foi definida através da demanda do município.</w:t>
      </w:r>
    </w:p>
    <w:p w14:paraId="362112EE">
      <w:pPr>
        <w:suppressAutoHyphens w:val="0"/>
        <w:spacing w:beforeAutospacing="1" w:afterAutospacing="1" w:line="360" w:lineRule="auto"/>
        <w:ind w:firstLine="709"/>
        <w:jc w:val="both"/>
        <w:rPr>
          <w:rFonts w:ascii="Arial" w:hAnsi="Arial"/>
          <w:sz w:val="21"/>
          <w:szCs w:val="21"/>
        </w:rPr>
      </w:pPr>
      <w:r>
        <w:rPr>
          <w:rFonts w:ascii="Arial" w:hAnsi="Arial" w:eastAsia="Times New Roman"/>
          <w:color w:val="000000"/>
          <w:kern w:val="0"/>
          <w:sz w:val="21"/>
          <w:szCs w:val="21"/>
          <w:lang w:eastAsia="pt-BR" w:bidi="ar-SA"/>
        </w:rPr>
        <w:t>Dessa forma que se encontra plenamente confirmada pelos próprios órgãos a necessidade de contratação apresentada, cujos quantitativos encontram-se discriminados nas páginas seguintes.</w:t>
      </w:r>
    </w:p>
    <w:p w14:paraId="00DE71C0">
      <w:pPr>
        <w:pStyle w:val="402"/>
        <w:numPr>
          <w:ilvl w:val="0"/>
          <w:numId w:val="0"/>
        </w:numPr>
        <w:spacing w:before="142" w:after="142" w:line="360" w:lineRule="auto"/>
        <w:ind w:left="0" w:firstLine="0"/>
        <w:contextualSpacing/>
        <w:jc w:val="both"/>
        <w:rPr>
          <w:rFonts w:ascii="Arial" w:hAnsi="Arial"/>
          <w:sz w:val="21"/>
          <w:szCs w:val="21"/>
        </w:rPr>
      </w:pPr>
      <w:r>
        <w:rPr>
          <w:rFonts w:ascii="Arial" w:hAnsi="Arial" w:cs="Arial"/>
          <w:b/>
          <w:sz w:val="21"/>
          <w:szCs w:val="21"/>
        </w:rPr>
        <w:t>2.2.</w:t>
      </w:r>
      <w:r>
        <w:rPr>
          <w:rFonts w:ascii="Arial" w:hAnsi="Arial" w:cs="Arial"/>
          <w:b/>
          <w:sz w:val="21"/>
          <w:szCs w:val="21"/>
        </w:rPr>
        <w:tab/>
      </w:r>
      <w:r>
        <w:rPr>
          <w:rFonts w:ascii="Arial" w:hAnsi="Arial" w:cs="Arial"/>
          <w:b/>
          <w:sz w:val="21"/>
          <w:szCs w:val="21"/>
        </w:rPr>
        <w:t xml:space="preserve">DISPENSA DE ESTUDO TÉCNICO PRELIMINAR </w:t>
      </w:r>
    </w:p>
    <w:p w14:paraId="3B20244A">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Prevê o art. 47, § 1º, inciso XXXIV no decreto municipal nº 4.072 de 11 de janeiro de 2024:</w:t>
      </w:r>
    </w:p>
    <w:p w14:paraId="4DF0FE16">
      <w:pPr>
        <w:tabs>
          <w:tab w:val="left" w:pos="2340"/>
          <w:tab w:val="left" w:pos="4464"/>
        </w:tabs>
        <w:spacing w:line="360" w:lineRule="auto"/>
        <w:ind w:left="3402" w:firstLine="0"/>
        <w:jc w:val="both"/>
        <w:rPr>
          <w:rFonts w:ascii="Arial" w:hAnsi="Arial"/>
          <w:sz w:val="21"/>
          <w:szCs w:val="21"/>
        </w:rPr>
      </w:pPr>
      <w:r>
        <w:rPr>
          <w:rFonts w:ascii="Arial" w:hAnsi="Arial"/>
          <w:bCs/>
          <w:sz w:val="21"/>
          <w:szCs w:val="21"/>
        </w:rPr>
        <w:t>§ 1º – Dentre outas hipóteses devidamente justificadas nos termos do caput deste artigo, está dispensada a realização do Estudo Técnico Preliminar para as seguintes contratações, dentre outras:</w:t>
      </w:r>
    </w:p>
    <w:p w14:paraId="60C3CA28">
      <w:pPr>
        <w:tabs>
          <w:tab w:val="left" w:pos="2340"/>
          <w:tab w:val="left" w:pos="4464"/>
        </w:tabs>
        <w:spacing w:line="360" w:lineRule="auto"/>
        <w:ind w:left="3402" w:firstLine="0"/>
        <w:jc w:val="both"/>
        <w:rPr>
          <w:rFonts w:ascii="Arial" w:hAnsi="Arial"/>
          <w:sz w:val="21"/>
          <w:szCs w:val="21"/>
        </w:rPr>
      </w:pPr>
      <w:r>
        <w:rPr>
          <w:rFonts w:ascii="Arial" w:hAnsi="Arial"/>
          <w:bCs/>
          <w:sz w:val="21"/>
          <w:szCs w:val="21"/>
        </w:rPr>
        <w:t>[...]</w:t>
      </w:r>
    </w:p>
    <w:p w14:paraId="093D8752">
      <w:pPr>
        <w:tabs>
          <w:tab w:val="left" w:pos="2340"/>
          <w:tab w:val="left" w:pos="4464"/>
        </w:tabs>
        <w:spacing w:line="360" w:lineRule="auto"/>
        <w:ind w:left="3402" w:firstLine="0"/>
        <w:jc w:val="both"/>
        <w:rPr>
          <w:rFonts w:ascii="Arial" w:hAnsi="Arial"/>
          <w:sz w:val="21"/>
          <w:szCs w:val="21"/>
        </w:rPr>
      </w:pPr>
      <w:r>
        <w:rPr>
          <w:rFonts w:ascii="Arial" w:hAnsi="Arial"/>
          <w:bCs/>
          <w:sz w:val="21"/>
          <w:szCs w:val="21"/>
        </w:rPr>
        <w:t>XXXIV – combustíveis, lubrificantes e arla. [...]</w:t>
      </w:r>
    </w:p>
    <w:p w14:paraId="7F32E278">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Nos termos do dispositivo citado, a obrigatoriedade recai somente sobre o documento de formalização de demanda, já devidamente acostado aos autos deste processo. </w:t>
      </w:r>
    </w:p>
    <w:p w14:paraId="51E093FE">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Assim, </w:t>
      </w:r>
      <w:r>
        <w:rPr>
          <w:rFonts w:ascii="Arial" w:hAnsi="Arial"/>
          <w:sz w:val="21"/>
          <w:szCs w:val="21"/>
        </w:rPr>
        <w:t>considerando que o objeto da presente contratação é classificado com um bem de consumo comum, a sua especificação é realizada de modo suficiente neste termo de referência, razão pela qual afasta-se a elaboração de projeto básico e de projeto executivo.</w:t>
      </w:r>
    </w:p>
    <w:p w14:paraId="07D519E2">
      <w:pPr>
        <w:pStyle w:val="402"/>
        <w:numPr>
          <w:ilvl w:val="0"/>
          <w:numId w:val="0"/>
        </w:numPr>
        <w:tabs>
          <w:tab w:val="left" w:pos="2340"/>
          <w:tab w:val="left" w:pos="4464"/>
        </w:tabs>
        <w:spacing w:line="360" w:lineRule="auto"/>
        <w:ind w:left="0" w:firstLine="0"/>
        <w:jc w:val="both"/>
        <w:rPr>
          <w:rFonts w:ascii="Arial" w:hAnsi="Arial"/>
          <w:sz w:val="21"/>
          <w:szCs w:val="21"/>
        </w:rPr>
      </w:pPr>
      <w:r>
        <w:rPr>
          <w:rFonts w:ascii="Arial" w:hAnsi="Arial" w:cs="Arial"/>
          <w:b/>
          <w:sz w:val="21"/>
          <w:szCs w:val="21"/>
        </w:rPr>
        <w:t>2.3.  PROVIDÊNCIAS A SEREM ADOTADAS PELA ADMINISTRAÇÃO E CONTRATAÇÕES CORRELATAS E/OU INTERDEPENDENTES</w:t>
      </w:r>
    </w:p>
    <w:p w14:paraId="556F271D">
      <w:pPr>
        <w:spacing w:before="142" w:after="142" w:line="360" w:lineRule="auto"/>
        <w:ind w:firstLine="709"/>
        <w:jc w:val="both"/>
        <w:rPr>
          <w:rFonts w:ascii="Arial" w:hAnsi="Arial"/>
          <w:sz w:val="21"/>
          <w:szCs w:val="21"/>
        </w:rPr>
      </w:pPr>
      <w:r>
        <w:rPr>
          <w:rFonts w:ascii="Arial" w:hAnsi="Arial" w:eastAsia="Times New Roman"/>
          <w:color w:val="000000"/>
          <w:sz w:val="21"/>
          <w:szCs w:val="21"/>
          <w:lang w:eastAsia="pt-BR"/>
        </w:rPr>
        <w:t>Tendo em vista a natureza da contratação almejada, não se configura necessária a elaboração de cronograma para adequação de ambientes visando o início da prestação dos serviços.</w:t>
      </w:r>
    </w:p>
    <w:p w14:paraId="73223270">
      <w:pPr>
        <w:spacing w:before="142" w:after="142" w:line="360" w:lineRule="auto"/>
        <w:jc w:val="both"/>
        <w:rPr>
          <w:rFonts w:ascii="Arial" w:hAnsi="Arial"/>
          <w:sz w:val="21"/>
          <w:szCs w:val="21"/>
        </w:rPr>
      </w:pPr>
      <w:r>
        <w:rPr>
          <w:rFonts w:ascii="Arial" w:hAnsi="Arial" w:eastAsia="Times New Roman"/>
          <w:bCs/>
          <w:color w:val="000000"/>
          <w:sz w:val="21"/>
          <w:szCs w:val="21"/>
          <w:lang w:eastAsia="pt-BR"/>
        </w:rPr>
        <w:tab/>
      </w:r>
      <w:r>
        <w:rPr>
          <w:rFonts w:ascii="Arial" w:hAnsi="Arial" w:eastAsia="Times New Roman"/>
          <w:bCs/>
          <w:color w:val="000000"/>
          <w:sz w:val="21"/>
          <w:szCs w:val="21"/>
          <w:lang w:eastAsia="pt-BR"/>
        </w:rPr>
        <w:t>Ainda, entende-se que a aquisição em tela não traz à tonas novas peculiaridades que justifiquem a necessidade de capacitação específica para o acompanhamento da prestação dos serviços.</w:t>
      </w:r>
    </w:p>
    <w:p w14:paraId="3F014BE5">
      <w:pPr>
        <w:spacing w:before="142" w:after="142" w:line="360" w:lineRule="auto"/>
        <w:ind w:firstLine="709"/>
        <w:jc w:val="both"/>
        <w:rPr>
          <w:rFonts w:ascii="Arial" w:hAnsi="Arial"/>
          <w:sz w:val="21"/>
          <w:szCs w:val="21"/>
        </w:rPr>
      </w:pPr>
      <w:r>
        <w:rPr>
          <w:rFonts w:ascii="Arial" w:hAnsi="Arial"/>
          <w:bCs/>
          <w:sz w:val="21"/>
          <w:szCs w:val="21"/>
        </w:rPr>
        <w:t>Ainda nos ensinamentos de Marçal Justen Filho, sobre o conteúdo previsto no art. 18, § 1º, inciso XI, da Lei Federal n. 14.133/2021, verifica-se que:</w:t>
      </w:r>
      <w:r>
        <w:rPr>
          <w:rStyle w:val="18"/>
          <w:rFonts w:ascii="Arial" w:hAnsi="Arial"/>
          <w:bCs/>
          <w:sz w:val="21"/>
          <w:szCs w:val="21"/>
        </w:rPr>
        <w:footnoteReference w:id="0"/>
      </w:r>
      <w:r>
        <w:rPr>
          <w:rFonts w:ascii="Arial" w:hAnsi="Arial"/>
          <w:bCs/>
          <w:sz w:val="21"/>
          <w:szCs w:val="21"/>
        </w:rPr>
        <w:t xml:space="preserve"> </w:t>
      </w:r>
    </w:p>
    <w:p w14:paraId="4F93D431">
      <w:pPr>
        <w:spacing w:before="142" w:after="142" w:line="360" w:lineRule="auto"/>
        <w:ind w:left="3402" w:firstLine="0"/>
        <w:jc w:val="both"/>
        <w:rPr>
          <w:rFonts w:ascii="Arial" w:hAnsi="Arial"/>
          <w:sz w:val="21"/>
          <w:szCs w:val="21"/>
        </w:rPr>
      </w:pPr>
      <w:r>
        <w:rPr>
          <w:rFonts w:ascii="Arial" w:hAnsi="Arial"/>
          <w:bCs/>
          <w:sz w:val="21"/>
          <w:szCs w:val="21"/>
        </w:rPr>
        <w:t>As contratações correlatas são aquelas que versam sobre objeto similar ou complementar. As interdependentes são aquelas cuja execução possa afetar ou ser afetada pela contratação examinada. [...] Tais contratações podem ser passadas, contemporâneas ou futuras, sendo pertinente tomar em vista a sua existência ou os seus efeitos para obter o melhor resultado possível no procedimento licitatório a ser realizado.</w:t>
      </w:r>
    </w:p>
    <w:p w14:paraId="611E8D50">
      <w:pPr>
        <w:spacing w:before="142" w:after="142" w:line="360" w:lineRule="auto"/>
        <w:jc w:val="both"/>
        <w:rPr>
          <w:rFonts w:ascii="Arial" w:hAnsi="Arial"/>
          <w:sz w:val="21"/>
          <w:szCs w:val="21"/>
        </w:rPr>
      </w:pPr>
      <w:r>
        <w:rPr>
          <w:rFonts w:ascii="Arial" w:hAnsi="Arial"/>
          <w:sz w:val="21"/>
          <w:szCs w:val="21"/>
        </w:rPr>
        <w:tab/>
      </w:r>
      <w:r>
        <w:rPr>
          <w:rFonts w:ascii="Arial" w:hAnsi="Arial"/>
          <w:sz w:val="21"/>
          <w:szCs w:val="21"/>
        </w:rPr>
        <w:t>Não há que se falar em contratações correlatas e/ou interdependentes no que tange ao presente objeto da contratação.</w:t>
      </w:r>
    </w:p>
    <w:p w14:paraId="7A8FB8E4">
      <w:pPr>
        <w:pStyle w:val="402"/>
        <w:numPr>
          <w:ilvl w:val="0"/>
          <w:numId w:val="0"/>
        </w:numPr>
        <w:spacing w:before="142" w:after="142" w:line="360" w:lineRule="auto"/>
        <w:ind w:left="0" w:firstLine="0"/>
        <w:contextualSpacing/>
        <w:rPr>
          <w:rFonts w:ascii="Arial" w:hAnsi="Arial"/>
          <w:sz w:val="21"/>
          <w:szCs w:val="21"/>
        </w:rPr>
      </w:pPr>
      <w:r>
        <w:rPr>
          <w:rFonts w:ascii="Arial" w:hAnsi="Arial" w:cs="Arial"/>
          <w:b/>
          <w:sz w:val="21"/>
          <w:szCs w:val="21"/>
        </w:rPr>
        <w:t>3.</w:t>
      </w:r>
      <w:r>
        <w:rPr>
          <w:rFonts w:ascii="Arial" w:hAnsi="Arial" w:cs="Arial"/>
          <w:b/>
          <w:sz w:val="21"/>
          <w:szCs w:val="21"/>
        </w:rPr>
        <w:tab/>
      </w:r>
      <w:r>
        <w:rPr>
          <w:rFonts w:ascii="Arial" w:hAnsi="Arial" w:cs="Arial"/>
          <w:b/>
          <w:sz w:val="21"/>
          <w:szCs w:val="21"/>
        </w:rPr>
        <w:t>DEFINIÇÃO DO OBJETO</w:t>
      </w:r>
    </w:p>
    <w:p w14:paraId="544DEBB4">
      <w:pPr>
        <w:pStyle w:val="402"/>
        <w:numPr>
          <w:ilvl w:val="0"/>
          <w:numId w:val="0"/>
        </w:numPr>
        <w:spacing w:before="142" w:after="142" w:line="360" w:lineRule="auto"/>
        <w:ind w:left="0" w:firstLine="0"/>
        <w:contextualSpacing/>
        <w:rPr>
          <w:rFonts w:ascii="Arial" w:hAnsi="Arial"/>
          <w:sz w:val="21"/>
          <w:szCs w:val="21"/>
        </w:rPr>
      </w:pPr>
      <w:r>
        <w:rPr>
          <w:rFonts w:ascii="Arial" w:hAnsi="Arial" w:cs="Arial"/>
          <w:b/>
          <w:sz w:val="21"/>
          <w:szCs w:val="21"/>
        </w:rPr>
        <w:t>3.1.</w:t>
      </w:r>
      <w:r>
        <w:rPr>
          <w:rFonts w:ascii="Arial" w:hAnsi="Arial" w:cs="Arial"/>
          <w:b/>
          <w:sz w:val="21"/>
          <w:szCs w:val="21"/>
        </w:rPr>
        <w:tab/>
      </w:r>
      <w:r>
        <w:rPr>
          <w:rFonts w:ascii="Arial" w:hAnsi="Arial" w:cs="Arial"/>
          <w:b/>
          <w:sz w:val="21"/>
          <w:szCs w:val="21"/>
        </w:rPr>
        <w:t>OBJETO</w:t>
      </w:r>
    </w:p>
    <w:p w14:paraId="015C9FD8">
      <w:pPr>
        <w:pStyle w:val="400"/>
        <w:spacing w:before="142" w:after="142" w:line="360" w:lineRule="auto"/>
        <w:ind w:firstLine="709"/>
        <w:jc w:val="both"/>
        <w:rPr>
          <w:rFonts w:ascii="Arial" w:hAnsi="Arial"/>
          <w:sz w:val="21"/>
          <w:szCs w:val="21"/>
        </w:rPr>
      </w:pPr>
      <w:r>
        <w:rPr>
          <w:rFonts w:ascii="Arial" w:hAnsi="Arial" w:eastAsia="Times New Roman" w:cs="Arial"/>
          <w:color w:val="000000"/>
          <w:sz w:val="21"/>
          <w:szCs w:val="21"/>
          <w:highlight w:val="white"/>
          <w:lang w:bidi="hi-IN"/>
        </w:rPr>
        <w:t>A presente licitação tem por objeto a aquisição gasolina comum, de forma parcelada, para o abastecimento da frota da Prefeitura de Lindóia do Sul e também para os veículos da Polícia Militar e Polícia Civil, conforme especificações constantes neste termo de referência.</w:t>
      </w:r>
    </w:p>
    <w:p w14:paraId="5955D3EF">
      <w:pPr>
        <w:pStyle w:val="400"/>
        <w:spacing w:before="142" w:after="142" w:line="360" w:lineRule="auto"/>
        <w:ind w:firstLine="709"/>
        <w:jc w:val="both"/>
        <w:rPr>
          <w:rFonts w:ascii="Arial" w:hAnsi="Arial"/>
          <w:sz w:val="21"/>
          <w:szCs w:val="21"/>
        </w:rPr>
      </w:pPr>
      <w:r>
        <w:rPr>
          <w:rFonts w:ascii="Arial" w:hAnsi="Arial" w:eastAsia="Times New Roman" w:cs="Arial"/>
          <w:color w:val="000000"/>
          <w:sz w:val="21"/>
          <w:szCs w:val="21"/>
          <w:lang w:bidi="hi-IN"/>
        </w:rPr>
        <w:t>A licitante vencedora da gasolina comum, deverá possuir posto de abastecimento próprio ou conveniado, o qual deverá estar localizado dentro do perímetro urbano do Município de Lindóia do Sul/SC.</w:t>
      </w:r>
    </w:p>
    <w:p w14:paraId="419B280C">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O texto descritivo completo e informações pertinentes do item a ser licitado consta nos autos do processo licitatório em que se insere o presente Termo de Referência e estarão anexas ao Edital, constituindo parte integrante dele.</w:t>
      </w:r>
    </w:p>
    <w:p w14:paraId="79C38922">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O fornecimento do objeto é sob demanda.</w:t>
      </w:r>
    </w:p>
    <w:p w14:paraId="53816CFC">
      <w:pPr>
        <w:pStyle w:val="402"/>
        <w:numPr>
          <w:ilvl w:val="0"/>
          <w:numId w:val="0"/>
        </w:numPr>
        <w:spacing w:before="142" w:after="142" w:line="360" w:lineRule="auto"/>
        <w:ind w:left="0" w:firstLine="0"/>
        <w:contextualSpacing/>
        <w:rPr>
          <w:rFonts w:ascii="Arial" w:hAnsi="Arial"/>
          <w:sz w:val="21"/>
          <w:szCs w:val="21"/>
        </w:rPr>
      </w:pPr>
      <w:r>
        <w:rPr>
          <w:rFonts w:ascii="Arial" w:hAnsi="Arial" w:cs="Arial"/>
          <w:b/>
          <w:sz w:val="21"/>
          <w:szCs w:val="21"/>
        </w:rPr>
        <w:t>3.2.</w:t>
      </w:r>
      <w:r>
        <w:rPr>
          <w:rFonts w:ascii="Arial" w:hAnsi="Arial" w:cs="Arial"/>
          <w:b/>
          <w:sz w:val="21"/>
          <w:szCs w:val="21"/>
        </w:rPr>
        <w:tab/>
      </w:r>
      <w:r>
        <w:rPr>
          <w:rFonts w:ascii="Arial" w:hAnsi="Arial" w:cs="Arial"/>
          <w:b/>
          <w:sz w:val="21"/>
          <w:szCs w:val="21"/>
        </w:rPr>
        <w:t>NATUREZA</w:t>
      </w:r>
    </w:p>
    <w:p w14:paraId="179B57C2">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O item que constituí o objeto do presente processo licitatório é classificado como bem de consumo de natureza comum, de fornecimento contínuo e de qualidade comum.</w:t>
      </w:r>
    </w:p>
    <w:p w14:paraId="32DC7DCA">
      <w:pPr>
        <w:pStyle w:val="402"/>
        <w:numPr>
          <w:ilvl w:val="0"/>
          <w:numId w:val="0"/>
        </w:numPr>
        <w:spacing w:line="360" w:lineRule="auto"/>
        <w:ind w:left="0" w:firstLine="0"/>
        <w:rPr>
          <w:rFonts w:ascii="Arial" w:hAnsi="Arial"/>
          <w:sz w:val="21"/>
          <w:szCs w:val="21"/>
        </w:rPr>
      </w:pPr>
      <w:r>
        <w:rPr>
          <w:rFonts w:ascii="Arial" w:hAnsi="Arial" w:cs="Arial"/>
          <w:b/>
          <w:sz w:val="21"/>
          <w:szCs w:val="21"/>
        </w:rPr>
        <w:t>3.3.</w:t>
      </w:r>
      <w:r>
        <w:rPr>
          <w:rFonts w:ascii="Arial" w:hAnsi="Arial" w:cs="Arial"/>
          <w:b/>
          <w:sz w:val="21"/>
          <w:szCs w:val="21"/>
        </w:rPr>
        <w:tab/>
      </w:r>
      <w:r>
        <w:rPr>
          <w:rFonts w:ascii="Arial" w:hAnsi="Arial" w:cs="Arial"/>
          <w:b/>
          <w:sz w:val="21"/>
          <w:szCs w:val="21"/>
        </w:rPr>
        <w:t>JUSTIFICATIVA PARA O PARCELAMENTO OU NÃO DA CONTRATAÇÃO</w:t>
      </w:r>
    </w:p>
    <w:p w14:paraId="250B6EA9">
      <w:pPr>
        <w:spacing w:line="360" w:lineRule="auto"/>
        <w:ind w:firstLine="709"/>
        <w:jc w:val="both"/>
        <w:rPr>
          <w:rFonts w:ascii="Arial" w:hAnsi="Arial"/>
          <w:sz w:val="21"/>
          <w:szCs w:val="21"/>
        </w:rPr>
      </w:pPr>
      <w:r>
        <w:rPr>
          <w:rFonts w:ascii="Arial" w:hAnsi="Arial"/>
          <w:bCs/>
          <w:sz w:val="21"/>
          <w:szCs w:val="21"/>
        </w:rPr>
        <w:t xml:space="preserve">Nos termos do art. 40, § 2º, da Lei Federal n. 14.133/2021, o parcelamento do objeto mostra-se viável técnica e economicamente na medida em que é composto de itens de natureza divisível, dado que cada item possui aplicação individual, sendo que tanto aquisição quanto a utilização independem dos demais. </w:t>
      </w:r>
    </w:p>
    <w:p w14:paraId="2851B373">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Além do mais, em razão da possibilidade de ser fornecido por empresas distintas e, desse modo, ampliando-se a competição e evitando-se a concentração de mercado, existe a possibilidade de redução dos preços ofertados.</w:t>
      </w:r>
    </w:p>
    <w:p w14:paraId="30002786">
      <w:pPr>
        <w:pStyle w:val="402"/>
        <w:numPr>
          <w:ilvl w:val="0"/>
          <w:numId w:val="0"/>
        </w:numPr>
        <w:spacing w:before="142" w:after="142" w:line="360" w:lineRule="auto"/>
        <w:ind w:left="0" w:firstLine="0"/>
        <w:contextualSpacing/>
        <w:rPr>
          <w:rFonts w:ascii="Arial" w:hAnsi="Arial"/>
          <w:sz w:val="21"/>
          <w:szCs w:val="21"/>
        </w:rPr>
      </w:pPr>
      <w:r>
        <w:rPr>
          <w:rFonts w:ascii="Arial" w:hAnsi="Arial" w:cs="Arial"/>
          <w:b/>
          <w:sz w:val="21"/>
          <w:szCs w:val="21"/>
        </w:rPr>
        <w:t>3.4.</w:t>
      </w:r>
      <w:r>
        <w:rPr>
          <w:rFonts w:ascii="Arial" w:hAnsi="Arial" w:cs="Arial"/>
          <w:b/>
          <w:sz w:val="21"/>
          <w:szCs w:val="21"/>
        </w:rPr>
        <w:tab/>
      </w:r>
      <w:r>
        <w:rPr>
          <w:rFonts w:ascii="Arial" w:hAnsi="Arial" w:cs="Arial"/>
          <w:b/>
          <w:sz w:val="21"/>
          <w:szCs w:val="21"/>
        </w:rPr>
        <w:t>QUANTITATIVOS</w:t>
      </w:r>
    </w:p>
    <w:p w14:paraId="27722CC0">
      <w:pPr>
        <w:tabs>
          <w:tab w:val="left" w:pos="2340"/>
          <w:tab w:val="left" w:pos="4464"/>
        </w:tabs>
        <w:spacing w:before="142" w:after="142" w:line="360" w:lineRule="auto"/>
        <w:ind w:firstLine="709"/>
        <w:jc w:val="both"/>
        <w:rPr>
          <w:rFonts w:ascii="Arial" w:hAnsi="Arial"/>
          <w:sz w:val="21"/>
          <w:szCs w:val="21"/>
        </w:rPr>
      </w:pPr>
      <w:r>
        <w:rPr>
          <w:rFonts w:ascii="Arial" w:hAnsi="Arial"/>
          <w:sz w:val="21"/>
          <w:szCs w:val="21"/>
        </w:rPr>
        <w:t>Os quantitativos foram mensurados conforme demanda dos órgãos ou entidades do município, exposta na tabela abaixo.</w:t>
      </w:r>
    </w:p>
    <w:tbl>
      <w:tblPr>
        <w:tblStyle w:val="12"/>
        <w:tblW w:w="9670" w:type="dxa"/>
        <w:tblInd w:w="69" w:type="dxa"/>
        <w:tblLayout w:type="fixed"/>
        <w:tblCellMar>
          <w:top w:w="0" w:type="dxa"/>
          <w:left w:w="70" w:type="dxa"/>
          <w:bottom w:w="0" w:type="dxa"/>
          <w:right w:w="70" w:type="dxa"/>
        </w:tblCellMar>
      </w:tblPr>
      <w:tblGrid>
        <w:gridCol w:w="849"/>
        <w:gridCol w:w="994"/>
        <w:gridCol w:w="1415"/>
        <w:gridCol w:w="4467"/>
        <w:gridCol w:w="1945"/>
      </w:tblGrid>
      <w:tr w14:paraId="364F91E0">
        <w:tblPrEx>
          <w:tblCellMar>
            <w:top w:w="0" w:type="dxa"/>
            <w:left w:w="70" w:type="dxa"/>
            <w:bottom w:w="0" w:type="dxa"/>
            <w:right w:w="70" w:type="dxa"/>
          </w:tblCellMar>
        </w:tblPrEx>
        <w:trPr>
          <w:trHeight w:val="567" w:hRule="atLeast"/>
        </w:trPr>
        <w:tc>
          <w:tcPr>
            <w:tcW w:w="849" w:type="dxa"/>
            <w:tcBorders>
              <w:top w:val="single" w:color="000000" w:sz="8" w:space="0"/>
              <w:left w:val="single" w:color="000000" w:sz="8" w:space="0"/>
              <w:bottom w:val="single" w:color="000000" w:sz="8" w:space="0"/>
            </w:tcBorders>
            <w:shd w:val="clear" w:color="auto" w:fill="969696"/>
            <w:vAlign w:val="center"/>
          </w:tcPr>
          <w:p w14:paraId="7E26C6EB">
            <w:pPr>
              <w:widowControl w:val="0"/>
              <w:spacing w:before="0" w:after="160" w:line="360" w:lineRule="auto"/>
              <w:jc w:val="center"/>
              <w:textAlignment w:val="top"/>
              <w:rPr>
                <w:rFonts w:ascii="Arial" w:hAnsi="Arial"/>
                <w:sz w:val="21"/>
                <w:szCs w:val="21"/>
              </w:rPr>
            </w:pPr>
            <w:r>
              <w:rPr>
                <w:rFonts w:ascii="Arial" w:hAnsi="Arial" w:eastAsia="Times New Roman"/>
                <w:b/>
                <w:bCs/>
                <w:color w:val="000000"/>
                <w:sz w:val="21"/>
                <w:szCs w:val="21"/>
                <w:lang w:eastAsia="pt-BR"/>
              </w:rPr>
              <w:t>ITEM</w:t>
            </w:r>
          </w:p>
        </w:tc>
        <w:tc>
          <w:tcPr>
            <w:tcW w:w="994" w:type="dxa"/>
            <w:tcBorders>
              <w:top w:val="single" w:color="000000" w:sz="8" w:space="0"/>
              <w:left w:val="single" w:color="000000" w:sz="8" w:space="0"/>
              <w:bottom w:val="single" w:color="000000" w:sz="8" w:space="0"/>
            </w:tcBorders>
            <w:shd w:val="clear" w:color="auto" w:fill="969696"/>
            <w:vAlign w:val="center"/>
          </w:tcPr>
          <w:p w14:paraId="37EF171D">
            <w:pPr>
              <w:widowControl w:val="0"/>
              <w:spacing w:before="0" w:after="160" w:line="360" w:lineRule="auto"/>
              <w:jc w:val="center"/>
              <w:textAlignment w:val="top"/>
              <w:rPr>
                <w:rFonts w:ascii="Arial" w:hAnsi="Arial"/>
                <w:sz w:val="21"/>
                <w:szCs w:val="21"/>
              </w:rPr>
            </w:pPr>
            <w:r>
              <w:rPr>
                <w:rFonts w:ascii="Arial" w:hAnsi="Arial" w:eastAsia="Times New Roman"/>
                <w:b/>
                <w:bCs/>
                <w:color w:val="000000"/>
                <w:sz w:val="21"/>
                <w:szCs w:val="21"/>
                <w:lang w:eastAsia="pt-BR"/>
              </w:rPr>
              <w:t>QTD</w:t>
            </w:r>
          </w:p>
        </w:tc>
        <w:tc>
          <w:tcPr>
            <w:tcW w:w="1415" w:type="dxa"/>
            <w:tcBorders>
              <w:top w:val="single" w:color="000000" w:sz="8" w:space="0"/>
              <w:left w:val="single" w:color="000000" w:sz="8" w:space="0"/>
              <w:bottom w:val="single" w:color="000000" w:sz="8" w:space="0"/>
              <w:right w:val="single" w:color="000000" w:sz="4" w:space="0"/>
            </w:tcBorders>
            <w:shd w:val="clear" w:color="auto" w:fill="969696"/>
            <w:vAlign w:val="center"/>
          </w:tcPr>
          <w:p w14:paraId="03C15E6B">
            <w:pPr>
              <w:widowControl w:val="0"/>
              <w:spacing w:before="0" w:after="160" w:line="360" w:lineRule="auto"/>
              <w:jc w:val="center"/>
              <w:textAlignment w:val="top"/>
              <w:rPr>
                <w:rFonts w:ascii="Arial" w:hAnsi="Arial"/>
                <w:sz w:val="21"/>
                <w:szCs w:val="21"/>
              </w:rPr>
            </w:pPr>
            <w:r>
              <w:rPr>
                <w:rFonts w:ascii="Arial" w:hAnsi="Arial" w:eastAsia="Times New Roman"/>
                <w:b/>
                <w:bCs/>
                <w:color w:val="000000"/>
                <w:sz w:val="21"/>
                <w:szCs w:val="21"/>
                <w:lang w:eastAsia="pt-BR"/>
              </w:rPr>
              <w:t>UNIDADE</w:t>
            </w:r>
          </w:p>
        </w:tc>
        <w:tc>
          <w:tcPr>
            <w:tcW w:w="4467" w:type="dxa"/>
            <w:tcBorders>
              <w:top w:val="single" w:color="000000" w:sz="4" w:space="0"/>
              <w:left w:val="single" w:color="000000" w:sz="4" w:space="0"/>
              <w:bottom w:val="single" w:color="000000" w:sz="4" w:space="0"/>
              <w:right w:val="single" w:color="000000" w:sz="4" w:space="0"/>
            </w:tcBorders>
            <w:shd w:val="clear" w:color="auto" w:fill="969696"/>
            <w:vAlign w:val="center"/>
          </w:tcPr>
          <w:p w14:paraId="7EDB1AB6">
            <w:pPr>
              <w:widowControl w:val="0"/>
              <w:spacing w:before="0" w:after="160" w:line="360" w:lineRule="auto"/>
              <w:jc w:val="center"/>
              <w:textAlignment w:val="top"/>
              <w:rPr>
                <w:rFonts w:ascii="Arial" w:hAnsi="Arial"/>
                <w:sz w:val="21"/>
                <w:szCs w:val="21"/>
              </w:rPr>
            </w:pPr>
            <w:r>
              <w:rPr>
                <w:rFonts w:ascii="Arial" w:hAnsi="Arial" w:eastAsia="Times New Roman"/>
                <w:b/>
                <w:bCs/>
                <w:color w:val="000000"/>
                <w:sz w:val="21"/>
                <w:szCs w:val="21"/>
                <w:lang w:eastAsia="pt-BR"/>
              </w:rPr>
              <w:t>DESCRIÇÃO</w:t>
            </w:r>
          </w:p>
        </w:tc>
        <w:tc>
          <w:tcPr>
            <w:tcW w:w="1945" w:type="dxa"/>
            <w:tcBorders>
              <w:top w:val="single" w:color="000000" w:sz="4" w:space="0"/>
              <w:left w:val="single" w:color="000000" w:sz="4" w:space="0"/>
              <w:bottom w:val="single" w:color="000000" w:sz="4" w:space="0"/>
              <w:right w:val="single" w:color="000000" w:sz="4" w:space="0"/>
            </w:tcBorders>
            <w:shd w:val="clear" w:color="auto" w:fill="969696"/>
            <w:vAlign w:val="center"/>
          </w:tcPr>
          <w:p w14:paraId="01C9EF3F">
            <w:pPr>
              <w:widowControl w:val="0"/>
              <w:spacing w:before="0" w:after="160" w:line="360" w:lineRule="auto"/>
              <w:jc w:val="center"/>
              <w:textAlignment w:val="top"/>
              <w:rPr>
                <w:rFonts w:ascii="Arial" w:hAnsi="Arial"/>
                <w:sz w:val="21"/>
                <w:szCs w:val="21"/>
              </w:rPr>
            </w:pPr>
            <w:r>
              <w:rPr>
                <w:rFonts w:ascii="Arial" w:hAnsi="Arial" w:eastAsia="Times New Roman"/>
                <w:b/>
                <w:bCs/>
                <w:color w:val="000000"/>
                <w:sz w:val="21"/>
                <w:szCs w:val="21"/>
                <w:lang w:eastAsia="pt-BR"/>
              </w:rPr>
              <w:t>DIVISÃO</w:t>
            </w:r>
          </w:p>
        </w:tc>
      </w:tr>
      <w:tr w14:paraId="7411BF01">
        <w:tblPrEx>
          <w:tblCellMar>
            <w:top w:w="0" w:type="dxa"/>
            <w:left w:w="70" w:type="dxa"/>
            <w:bottom w:w="0" w:type="dxa"/>
            <w:right w:w="70" w:type="dxa"/>
          </w:tblCellMar>
        </w:tblPrEx>
        <w:trPr>
          <w:trHeight w:val="567" w:hRule="atLeast"/>
        </w:trPr>
        <w:tc>
          <w:tcPr>
            <w:tcW w:w="849" w:type="dxa"/>
            <w:tcBorders>
              <w:left w:val="single" w:color="000000" w:sz="8" w:space="0"/>
              <w:bottom w:val="single" w:color="000000" w:sz="8" w:space="0"/>
            </w:tcBorders>
          </w:tcPr>
          <w:p w14:paraId="32680D1C">
            <w:pPr>
              <w:widowControl w:val="0"/>
              <w:spacing w:before="0" w:after="160" w:line="360" w:lineRule="auto"/>
              <w:textAlignment w:val="top"/>
              <w:rPr>
                <w:rFonts w:ascii="Arial" w:hAnsi="Arial"/>
                <w:sz w:val="21"/>
                <w:szCs w:val="21"/>
              </w:rPr>
            </w:pPr>
            <w:r>
              <w:rPr>
                <w:rFonts w:ascii="Arial" w:hAnsi="Arial"/>
                <w:sz w:val="21"/>
                <w:szCs w:val="21"/>
              </w:rPr>
              <w:t>01</w:t>
            </w:r>
          </w:p>
        </w:tc>
        <w:tc>
          <w:tcPr>
            <w:tcW w:w="994" w:type="dxa"/>
            <w:tcBorders>
              <w:left w:val="single" w:color="000000" w:sz="8" w:space="0"/>
              <w:bottom w:val="single" w:color="000000" w:sz="8" w:space="0"/>
            </w:tcBorders>
          </w:tcPr>
          <w:p w14:paraId="0A27E9ED">
            <w:pPr>
              <w:widowControl w:val="0"/>
              <w:spacing w:before="0" w:after="160" w:line="360" w:lineRule="auto"/>
              <w:jc w:val="center"/>
              <w:textAlignment w:val="top"/>
              <w:rPr>
                <w:rFonts w:ascii="Arial" w:hAnsi="Arial"/>
                <w:sz w:val="21"/>
                <w:szCs w:val="21"/>
              </w:rPr>
            </w:pPr>
            <w:r>
              <w:rPr>
                <w:rFonts w:ascii="Arial" w:hAnsi="Arial"/>
                <w:sz w:val="21"/>
                <w:szCs w:val="21"/>
              </w:rPr>
              <w:t>57.300</w:t>
            </w:r>
          </w:p>
        </w:tc>
        <w:tc>
          <w:tcPr>
            <w:tcW w:w="1415" w:type="dxa"/>
            <w:tcBorders>
              <w:left w:val="single" w:color="000000" w:sz="8" w:space="0"/>
              <w:bottom w:val="single" w:color="000000" w:sz="8" w:space="0"/>
              <w:right w:val="single" w:color="000000" w:sz="4" w:space="0"/>
            </w:tcBorders>
          </w:tcPr>
          <w:p w14:paraId="1A083A67">
            <w:pPr>
              <w:widowControl w:val="0"/>
              <w:spacing w:before="0" w:after="160" w:line="360" w:lineRule="auto"/>
              <w:jc w:val="center"/>
              <w:textAlignment w:val="top"/>
              <w:rPr>
                <w:rFonts w:ascii="Arial" w:hAnsi="Arial"/>
                <w:sz w:val="21"/>
                <w:szCs w:val="21"/>
              </w:rPr>
            </w:pPr>
            <w:r>
              <w:rPr>
                <w:rFonts w:ascii="Arial" w:hAnsi="Arial" w:eastAsia="Times New Roman"/>
                <w:b/>
                <w:bCs/>
                <w:sz w:val="21"/>
                <w:szCs w:val="21"/>
              </w:rPr>
              <w:t>litros</w:t>
            </w:r>
          </w:p>
        </w:tc>
        <w:tc>
          <w:tcPr>
            <w:tcW w:w="4467" w:type="dxa"/>
            <w:tcBorders>
              <w:top w:val="single" w:color="000000" w:sz="4" w:space="0"/>
              <w:left w:val="single" w:color="000000" w:sz="4" w:space="0"/>
              <w:bottom w:val="single" w:color="000000" w:sz="4" w:space="0"/>
              <w:right w:val="single" w:color="000000" w:sz="4" w:space="0"/>
            </w:tcBorders>
          </w:tcPr>
          <w:p w14:paraId="0BAC80DD">
            <w:pPr>
              <w:widowControl w:val="0"/>
              <w:suppressAutoHyphens w:val="0"/>
              <w:spacing w:before="0" w:after="160" w:line="360" w:lineRule="auto"/>
              <w:jc w:val="both"/>
              <w:textAlignment w:val="top"/>
              <w:rPr>
                <w:rFonts w:ascii="Arial" w:hAnsi="Arial"/>
                <w:sz w:val="21"/>
                <w:szCs w:val="21"/>
              </w:rPr>
            </w:pPr>
            <w:r>
              <w:rPr>
                <w:rFonts w:ascii="Arial" w:hAnsi="Arial"/>
                <w:sz w:val="21"/>
                <w:szCs w:val="21"/>
              </w:rPr>
              <w:t>Gasolina comum</w:t>
            </w:r>
          </w:p>
        </w:tc>
        <w:tc>
          <w:tcPr>
            <w:tcW w:w="1945" w:type="dxa"/>
            <w:tcBorders>
              <w:top w:val="single" w:color="000000" w:sz="4" w:space="0"/>
              <w:left w:val="single" w:color="000000" w:sz="4" w:space="0"/>
              <w:bottom w:val="single" w:color="000000" w:sz="4" w:space="0"/>
              <w:right w:val="single" w:color="000000" w:sz="4" w:space="0"/>
            </w:tcBorders>
            <w:vAlign w:val="center"/>
          </w:tcPr>
          <w:p w14:paraId="5D3E1EAE">
            <w:pPr>
              <w:widowControl w:val="0"/>
              <w:spacing w:line="360" w:lineRule="auto"/>
              <w:jc w:val="center"/>
              <w:textAlignment w:val="top"/>
              <w:rPr>
                <w:rFonts w:ascii="Arial" w:hAnsi="Arial"/>
                <w:sz w:val="21"/>
                <w:szCs w:val="21"/>
              </w:rPr>
            </w:pPr>
            <w:r>
              <w:rPr>
                <w:rFonts w:ascii="Arial" w:hAnsi="Arial"/>
                <w:sz w:val="21"/>
                <w:szCs w:val="21"/>
              </w:rPr>
              <w:t>Agric-7.000</w:t>
            </w:r>
          </w:p>
          <w:p w14:paraId="6742716D">
            <w:pPr>
              <w:widowControl w:val="0"/>
              <w:spacing w:line="360" w:lineRule="auto"/>
              <w:jc w:val="center"/>
              <w:textAlignment w:val="top"/>
              <w:rPr>
                <w:rFonts w:ascii="Arial" w:hAnsi="Arial"/>
                <w:sz w:val="21"/>
                <w:szCs w:val="21"/>
              </w:rPr>
            </w:pPr>
            <w:r>
              <w:rPr>
                <w:rFonts w:ascii="Arial" w:hAnsi="Arial"/>
                <w:sz w:val="21"/>
                <w:szCs w:val="21"/>
              </w:rPr>
              <w:t>Infra-7.000</w:t>
            </w:r>
          </w:p>
          <w:p w14:paraId="0BF5F5DA">
            <w:pPr>
              <w:widowControl w:val="0"/>
              <w:spacing w:line="360" w:lineRule="auto"/>
              <w:jc w:val="center"/>
              <w:textAlignment w:val="top"/>
              <w:rPr>
                <w:rFonts w:ascii="Arial" w:hAnsi="Arial"/>
                <w:sz w:val="21"/>
                <w:szCs w:val="21"/>
              </w:rPr>
            </w:pPr>
            <w:r>
              <w:rPr>
                <w:rFonts w:ascii="Arial" w:hAnsi="Arial"/>
                <w:sz w:val="21"/>
                <w:szCs w:val="21"/>
              </w:rPr>
              <w:t>Ed. Fund.- 5.000</w:t>
            </w:r>
          </w:p>
          <w:p w14:paraId="1A6D083E">
            <w:pPr>
              <w:widowControl w:val="0"/>
              <w:spacing w:line="360" w:lineRule="auto"/>
              <w:jc w:val="center"/>
              <w:textAlignment w:val="top"/>
              <w:rPr>
                <w:rFonts w:ascii="Arial" w:hAnsi="Arial"/>
                <w:sz w:val="21"/>
                <w:szCs w:val="21"/>
              </w:rPr>
            </w:pPr>
            <w:r>
              <w:rPr>
                <w:rFonts w:ascii="Arial" w:hAnsi="Arial"/>
                <w:sz w:val="21"/>
                <w:szCs w:val="21"/>
              </w:rPr>
              <w:t>Saúde-20.000</w:t>
            </w:r>
          </w:p>
          <w:p w14:paraId="21064E70">
            <w:pPr>
              <w:widowControl w:val="0"/>
              <w:spacing w:line="360" w:lineRule="auto"/>
              <w:jc w:val="center"/>
              <w:textAlignment w:val="top"/>
              <w:rPr>
                <w:rFonts w:ascii="Arial" w:hAnsi="Arial"/>
                <w:sz w:val="21"/>
                <w:szCs w:val="21"/>
              </w:rPr>
            </w:pPr>
            <w:r>
              <w:rPr>
                <w:rFonts w:ascii="Arial" w:hAnsi="Arial"/>
                <w:sz w:val="21"/>
                <w:szCs w:val="21"/>
              </w:rPr>
              <w:t>Adm-4.500</w:t>
            </w:r>
          </w:p>
          <w:p w14:paraId="694F2776">
            <w:pPr>
              <w:widowControl w:val="0"/>
              <w:spacing w:line="360" w:lineRule="auto"/>
              <w:jc w:val="center"/>
              <w:textAlignment w:val="top"/>
              <w:rPr>
                <w:rFonts w:ascii="Arial" w:hAnsi="Arial"/>
                <w:sz w:val="21"/>
                <w:szCs w:val="21"/>
              </w:rPr>
            </w:pPr>
            <w:r>
              <w:rPr>
                <w:rFonts w:ascii="Arial" w:hAnsi="Arial"/>
                <w:sz w:val="21"/>
                <w:szCs w:val="21"/>
              </w:rPr>
              <w:t>Urb-3.500</w:t>
            </w:r>
          </w:p>
          <w:p w14:paraId="0A6E44D4">
            <w:pPr>
              <w:widowControl w:val="0"/>
              <w:spacing w:line="360" w:lineRule="auto"/>
              <w:jc w:val="center"/>
              <w:textAlignment w:val="top"/>
              <w:rPr>
                <w:rFonts w:ascii="Arial" w:hAnsi="Arial"/>
                <w:sz w:val="21"/>
                <w:szCs w:val="21"/>
              </w:rPr>
            </w:pPr>
            <w:r>
              <w:rPr>
                <w:rFonts w:ascii="Arial" w:hAnsi="Arial"/>
                <w:sz w:val="21"/>
                <w:szCs w:val="21"/>
              </w:rPr>
              <w:t>Gab-3.000</w:t>
            </w:r>
          </w:p>
          <w:p w14:paraId="5C38DF48">
            <w:pPr>
              <w:widowControl w:val="0"/>
              <w:spacing w:line="360" w:lineRule="auto"/>
              <w:jc w:val="center"/>
              <w:textAlignment w:val="top"/>
              <w:rPr>
                <w:rFonts w:ascii="Arial" w:hAnsi="Arial"/>
                <w:sz w:val="21"/>
                <w:szCs w:val="21"/>
              </w:rPr>
            </w:pPr>
            <w:r>
              <w:rPr>
                <w:rFonts w:ascii="Arial" w:hAnsi="Arial"/>
                <w:sz w:val="21"/>
                <w:szCs w:val="21"/>
              </w:rPr>
              <w:t>Soc-4.000</w:t>
            </w:r>
          </w:p>
          <w:p w14:paraId="58914DFA">
            <w:pPr>
              <w:widowControl w:val="0"/>
              <w:spacing w:line="360" w:lineRule="auto"/>
              <w:jc w:val="center"/>
              <w:textAlignment w:val="top"/>
              <w:rPr>
                <w:rFonts w:ascii="Arial" w:hAnsi="Arial"/>
                <w:sz w:val="21"/>
                <w:szCs w:val="21"/>
              </w:rPr>
            </w:pPr>
            <w:r>
              <w:rPr>
                <w:rFonts w:ascii="Arial" w:hAnsi="Arial"/>
                <w:sz w:val="21"/>
                <w:szCs w:val="21"/>
              </w:rPr>
              <w:t>DME-1500</w:t>
            </w:r>
          </w:p>
          <w:p w14:paraId="49BFAE17">
            <w:pPr>
              <w:widowControl w:val="0"/>
              <w:spacing w:line="360" w:lineRule="auto"/>
              <w:jc w:val="center"/>
              <w:textAlignment w:val="top"/>
              <w:rPr>
                <w:rFonts w:ascii="Arial" w:hAnsi="Arial"/>
                <w:sz w:val="21"/>
                <w:szCs w:val="21"/>
              </w:rPr>
            </w:pPr>
            <w:r>
              <w:rPr>
                <w:rFonts w:ascii="Arial" w:hAnsi="Arial"/>
                <w:sz w:val="21"/>
                <w:szCs w:val="21"/>
              </w:rPr>
              <w:t>CMDA-1.000</w:t>
            </w:r>
          </w:p>
          <w:p w14:paraId="7166CAAE">
            <w:pPr>
              <w:widowControl w:val="0"/>
              <w:spacing w:line="360" w:lineRule="auto"/>
              <w:jc w:val="center"/>
              <w:textAlignment w:val="top"/>
              <w:rPr>
                <w:rFonts w:ascii="Arial" w:hAnsi="Arial"/>
                <w:sz w:val="21"/>
                <w:szCs w:val="21"/>
              </w:rPr>
            </w:pPr>
            <w:r>
              <w:rPr>
                <w:rFonts w:ascii="Arial" w:hAnsi="Arial"/>
                <w:sz w:val="21"/>
                <w:szCs w:val="21"/>
              </w:rPr>
              <w:t>R. Patr-300</w:t>
            </w:r>
          </w:p>
          <w:p w14:paraId="70CAFDF0">
            <w:pPr>
              <w:widowControl w:val="0"/>
              <w:spacing w:line="360" w:lineRule="auto"/>
              <w:jc w:val="center"/>
              <w:textAlignment w:val="top"/>
              <w:rPr>
                <w:rFonts w:ascii="Arial" w:hAnsi="Arial"/>
                <w:sz w:val="21"/>
                <w:szCs w:val="21"/>
              </w:rPr>
            </w:pPr>
            <w:r>
              <w:rPr>
                <w:rFonts w:ascii="Arial" w:hAnsi="Arial"/>
                <w:sz w:val="21"/>
                <w:szCs w:val="21"/>
              </w:rPr>
              <w:t>Militar-300</w:t>
            </w:r>
          </w:p>
          <w:p w14:paraId="258DFA80">
            <w:pPr>
              <w:widowControl w:val="0"/>
              <w:spacing w:before="0" w:after="160" w:line="360" w:lineRule="auto"/>
              <w:jc w:val="center"/>
              <w:textAlignment w:val="top"/>
              <w:rPr>
                <w:rFonts w:ascii="Arial" w:hAnsi="Arial"/>
                <w:sz w:val="21"/>
                <w:szCs w:val="21"/>
              </w:rPr>
            </w:pPr>
            <w:r>
              <w:rPr>
                <w:rFonts w:ascii="Arial" w:hAnsi="Arial"/>
                <w:sz w:val="21"/>
                <w:szCs w:val="21"/>
              </w:rPr>
              <w:t>Civil-200</w:t>
            </w:r>
          </w:p>
        </w:tc>
      </w:tr>
    </w:tbl>
    <w:p w14:paraId="0AA68830">
      <w:pPr>
        <w:tabs>
          <w:tab w:val="left" w:pos="2340"/>
          <w:tab w:val="left" w:pos="4464"/>
        </w:tabs>
        <w:spacing w:line="360" w:lineRule="auto"/>
        <w:jc w:val="both"/>
        <w:rPr>
          <w:rFonts w:ascii="Arial" w:hAnsi="Arial"/>
          <w:sz w:val="21"/>
          <w:szCs w:val="21"/>
        </w:rPr>
      </w:pPr>
      <w:r>
        <w:rPr>
          <w:rFonts w:ascii="Arial" w:hAnsi="Arial"/>
          <w:bCs/>
          <w:sz w:val="21"/>
          <w:szCs w:val="21"/>
        </w:rPr>
        <w:t>*Tratando-se de Sistema de Registro de Preços, os quantitativos acima discriminados não obrigam a contratação pela administração pública, nos termos do art. 83 da Lei Federal n. 14.133/2021.</w:t>
      </w:r>
    </w:p>
    <w:p w14:paraId="4A320F03">
      <w:pPr>
        <w:tabs>
          <w:tab w:val="left" w:pos="2340"/>
          <w:tab w:val="left" w:pos="4464"/>
        </w:tabs>
        <w:spacing w:before="142" w:after="142" w:line="360" w:lineRule="auto"/>
        <w:jc w:val="both"/>
        <w:rPr>
          <w:rFonts w:ascii="Arial" w:hAnsi="Arial"/>
          <w:sz w:val="21"/>
          <w:szCs w:val="21"/>
        </w:rPr>
      </w:pPr>
      <w:r>
        <w:rPr>
          <w:rFonts w:ascii="Arial" w:hAnsi="Arial"/>
          <w:bCs/>
          <w:sz w:val="21"/>
          <w:szCs w:val="21"/>
        </w:rPr>
        <w:t>Conforme regulamentado no Decreto nº 4.072, em seu Art. 117, § 4º é possível aumentar os quantitativos fixados pela Ata de Registro de Preços, até uma vez a quantidade registrada inicialmente, com aceitação expressa do fornecedor, desde que demonstrado que a quantidade é insuficiente para atender a demanda durante o prazo de vigência.</w:t>
      </w:r>
    </w:p>
    <w:p w14:paraId="59BD0BEE">
      <w:pPr>
        <w:pStyle w:val="402"/>
        <w:numPr>
          <w:ilvl w:val="0"/>
          <w:numId w:val="0"/>
        </w:numPr>
        <w:spacing w:before="142" w:after="142" w:line="360" w:lineRule="auto"/>
        <w:ind w:left="0" w:firstLine="0"/>
        <w:contextualSpacing/>
        <w:rPr>
          <w:rFonts w:ascii="Arial" w:hAnsi="Arial"/>
          <w:sz w:val="21"/>
          <w:szCs w:val="21"/>
        </w:rPr>
      </w:pPr>
      <w:r>
        <w:rPr>
          <w:rFonts w:ascii="Arial" w:hAnsi="Arial" w:cs="Arial"/>
          <w:b/>
          <w:sz w:val="21"/>
          <w:szCs w:val="21"/>
        </w:rPr>
        <w:t>3.5.</w:t>
      </w:r>
      <w:r>
        <w:rPr>
          <w:rFonts w:ascii="Arial" w:hAnsi="Arial" w:cs="Arial"/>
          <w:b/>
          <w:sz w:val="21"/>
          <w:szCs w:val="21"/>
        </w:rPr>
        <w:tab/>
      </w:r>
      <w:r>
        <w:rPr>
          <w:rFonts w:ascii="Arial" w:hAnsi="Arial" w:cs="Arial"/>
          <w:b/>
          <w:sz w:val="21"/>
          <w:szCs w:val="21"/>
        </w:rPr>
        <w:t>PRAZO DE VIG</w:t>
      </w:r>
      <w:r>
        <w:rPr>
          <w:rFonts w:ascii="Arial" w:hAnsi="Arial" w:cs="Arial"/>
          <w:b/>
          <w:sz w:val="21"/>
          <w:szCs w:val="21"/>
          <w:shd w:val="clear" w:fill="FFFFFF"/>
        </w:rPr>
        <w:t>ÊNCIA DA ATA DE REGISTRO DE PREÇOS</w:t>
      </w:r>
    </w:p>
    <w:p w14:paraId="16732E56">
      <w:pPr>
        <w:tabs>
          <w:tab w:val="left" w:pos="2340"/>
          <w:tab w:val="left" w:pos="4464"/>
        </w:tabs>
        <w:spacing w:before="142" w:after="142" w:line="360" w:lineRule="auto"/>
        <w:ind w:firstLine="709"/>
        <w:jc w:val="both"/>
        <w:rPr>
          <w:rFonts w:ascii="Arial" w:hAnsi="Arial"/>
          <w:sz w:val="21"/>
          <w:szCs w:val="21"/>
        </w:rPr>
      </w:pPr>
      <w:bookmarkStart w:id="1" w:name="_Hlk181610591"/>
      <w:r>
        <w:rPr>
          <w:rFonts w:ascii="Arial" w:hAnsi="Arial"/>
          <w:sz w:val="21"/>
          <w:szCs w:val="21"/>
        </w:rPr>
        <w:t xml:space="preserve">O prazo de vigência da ata de registro de preços será de 1 (um) ano, a partir da assinatura da ata, e poderá ser prorrogado por igual período, desde que comprovado o preço vantajoso, nos termos do art. 84, </w:t>
      </w:r>
      <w:r>
        <w:rPr>
          <w:rFonts w:ascii="Arial" w:hAnsi="Arial"/>
          <w:i/>
          <w:iCs/>
          <w:sz w:val="21"/>
          <w:szCs w:val="21"/>
        </w:rPr>
        <w:t>caput</w:t>
      </w:r>
      <w:r>
        <w:rPr>
          <w:rFonts w:ascii="Arial" w:hAnsi="Arial"/>
          <w:sz w:val="21"/>
          <w:szCs w:val="21"/>
        </w:rPr>
        <w:t xml:space="preserve">, da Lei Federal n. 14.133/2021. </w:t>
      </w:r>
      <w:bookmarkEnd w:id="1"/>
    </w:p>
    <w:p w14:paraId="12AB165A">
      <w:pPr>
        <w:tabs>
          <w:tab w:val="left" w:pos="2340"/>
          <w:tab w:val="left" w:pos="4464"/>
        </w:tabs>
        <w:spacing w:before="142" w:after="142" w:line="360" w:lineRule="auto"/>
        <w:ind w:firstLine="709"/>
        <w:jc w:val="both"/>
        <w:rPr>
          <w:rFonts w:ascii="Arial" w:hAnsi="Arial"/>
          <w:sz w:val="21"/>
          <w:szCs w:val="21"/>
        </w:rPr>
      </w:pPr>
      <w:r>
        <w:rPr>
          <w:rFonts w:ascii="Arial" w:hAnsi="Arial"/>
          <w:sz w:val="21"/>
          <w:szCs w:val="21"/>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 conforme previsto no decreto regulamentador do município.</w:t>
      </w:r>
    </w:p>
    <w:p w14:paraId="636533A8">
      <w:pPr>
        <w:tabs>
          <w:tab w:val="left" w:pos="2340"/>
          <w:tab w:val="left" w:pos="4464"/>
        </w:tabs>
        <w:spacing w:before="142" w:after="142" w:line="360" w:lineRule="auto"/>
        <w:ind w:firstLine="709"/>
        <w:jc w:val="both"/>
        <w:rPr>
          <w:rFonts w:ascii="Arial" w:hAnsi="Arial"/>
          <w:sz w:val="21"/>
          <w:szCs w:val="21"/>
        </w:rPr>
      </w:pPr>
      <w:r>
        <w:rPr>
          <w:rFonts w:ascii="Arial" w:hAnsi="Arial"/>
          <w:sz w:val="21"/>
          <w:szCs w:val="21"/>
        </w:rPr>
        <w:t>Nos termos do art. 84, parágrafo único, da Lei Federal n. 14.133/2021, o prazo de vigência dos contratos decorrentes do Sistema de Registro de Preços não se confunde com aquele da ata de registro de preços, mas deverá ser assinado durante a vigência da ata e terá sua vigência estabelecida em conformidade com as disposições nela contidas.</w:t>
      </w:r>
    </w:p>
    <w:p w14:paraId="76F5E3A1">
      <w:pPr>
        <w:pStyle w:val="402"/>
        <w:numPr>
          <w:ilvl w:val="0"/>
          <w:numId w:val="0"/>
        </w:numPr>
        <w:spacing w:before="142" w:after="142" w:line="360" w:lineRule="auto"/>
        <w:ind w:left="0" w:firstLine="0"/>
        <w:contextualSpacing/>
        <w:rPr>
          <w:rFonts w:ascii="Arial" w:hAnsi="Arial"/>
          <w:sz w:val="21"/>
          <w:szCs w:val="21"/>
        </w:rPr>
      </w:pPr>
      <w:r>
        <w:rPr>
          <w:rFonts w:ascii="Arial" w:hAnsi="Arial" w:cs="Arial"/>
          <w:b/>
          <w:sz w:val="21"/>
          <w:szCs w:val="21"/>
        </w:rPr>
        <w:t>3.6.</w:t>
      </w:r>
      <w:r>
        <w:rPr>
          <w:rFonts w:ascii="Arial" w:hAnsi="Arial" w:cs="Arial"/>
          <w:b/>
          <w:sz w:val="21"/>
          <w:szCs w:val="21"/>
        </w:rPr>
        <w:tab/>
      </w:r>
      <w:r>
        <w:rPr>
          <w:rFonts w:ascii="Arial" w:hAnsi="Arial" w:cs="Arial"/>
          <w:b/>
          <w:sz w:val="21"/>
          <w:szCs w:val="21"/>
        </w:rPr>
        <w:t>ESPECIFICAÇÃO DOS PRODUTOS</w:t>
      </w:r>
    </w:p>
    <w:p w14:paraId="19A7A70E">
      <w:pPr>
        <w:tabs>
          <w:tab w:val="left" w:pos="2340"/>
          <w:tab w:val="left" w:pos="4464"/>
        </w:tabs>
        <w:spacing w:before="142" w:after="142" w:line="360" w:lineRule="auto"/>
        <w:ind w:firstLine="709"/>
        <w:jc w:val="both"/>
        <w:rPr>
          <w:rFonts w:ascii="Arial" w:hAnsi="Arial"/>
          <w:sz w:val="21"/>
          <w:szCs w:val="21"/>
        </w:rPr>
      </w:pPr>
      <w:r>
        <w:rPr>
          <w:rFonts w:ascii="Arial" w:hAnsi="Arial"/>
          <w:sz w:val="21"/>
          <w:szCs w:val="21"/>
        </w:rPr>
        <w:t>A especificação dos produtos requerida pelo art. 40, § 1º, inciso I, da Lei Federal n. 14.133/2021 está estabelecida nos descritivos dos itens e no presente Termo de Referência, observados requisitos de qualidade, rendimento e durabilidade.</w:t>
      </w:r>
    </w:p>
    <w:p w14:paraId="5A99631A">
      <w:pPr>
        <w:pStyle w:val="402"/>
        <w:numPr>
          <w:ilvl w:val="0"/>
          <w:numId w:val="0"/>
        </w:numPr>
        <w:tabs>
          <w:tab w:val="left" w:pos="2340"/>
          <w:tab w:val="left" w:pos="4464"/>
        </w:tabs>
        <w:spacing w:before="142" w:after="142" w:line="360" w:lineRule="auto"/>
        <w:ind w:left="0" w:firstLine="0"/>
        <w:contextualSpacing/>
        <w:jc w:val="both"/>
        <w:rPr>
          <w:rFonts w:ascii="Arial" w:hAnsi="Arial"/>
          <w:sz w:val="21"/>
          <w:szCs w:val="21"/>
        </w:rPr>
      </w:pPr>
      <w:r>
        <w:rPr>
          <w:rFonts w:ascii="Arial" w:hAnsi="Arial" w:cs="Arial"/>
          <w:b/>
          <w:sz w:val="21"/>
          <w:szCs w:val="21"/>
        </w:rPr>
        <w:t>4.         REQUISITOS DA CONTRATAÇÃO</w:t>
      </w:r>
    </w:p>
    <w:p w14:paraId="22179FC0">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Poderão participar desta licitação todas e quaisquer empresas ou sociedades, regularmente estabelecidas no País – </w:t>
      </w:r>
      <w:bookmarkStart w:id="2" w:name="_Hlk1291563721"/>
      <w:r>
        <w:rPr>
          <w:rFonts w:ascii="Arial" w:hAnsi="Arial"/>
          <w:bCs/>
          <w:sz w:val="21"/>
          <w:szCs w:val="21"/>
        </w:rPr>
        <w:t>inclusive consórcios de empresas, desde que atendidas as disposições do art. 15 da Lei Federal n. 14.133/2021 –, que sejam especializadas e credenciadas no objeto desta licitação e que satisfaçam todas as exigências, especificações e normas previstas nos documentos deste processo licitatório – em especial neste Termo de Referência e no Edital e nos seus anexos – e nos regramentos e normativas existentes no Brasil sobre a área de fornecimento</w:t>
      </w:r>
      <w:bookmarkEnd w:id="2"/>
      <w:r>
        <w:rPr>
          <w:rFonts w:ascii="Arial" w:hAnsi="Arial"/>
          <w:bCs/>
          <w:sz w:val="21"/>
          <w:szCs w:val="21"/>
        </w:rPr>
        <w:t>.</w:t>
      </w:r>
    </w:p>
    <w:p w14:paraId="7E5A444C">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A contratação pressupõe o pleno conhecimento e atendimento às exigências de habilitação e execução do contrato a ser formulado e os requisitos para a contratação constam também do próprio descritivo dos itens a serem licitados e nos descritivos dos itens </w:t>
      </w:r>
      <w:bookmarkStart w:id="3" w:name="_Hlk1321905011"/>
      <w:r>
        <w:rPr>
          <w:rFonts w:ascii="Arial" w:hAnsi="Arial"/>
          <w:bCs/>
          <w:sz w:val="21"/>
          <w:szCs w:val="21"/>
        </w:rPr>
        <w:t>presentes nos autos deste processo licitatório</w:t>
      </w:r>
      <w:bookmarkEnd w:id="3"/>
      <w:r>
        <w:rPr>
          <w:rFonts w:ascii="Arial" w:hAnsi="Arial"/>
          <w:bCs/>
          <w:sz w:val="21"/>
          <w:szCs w:val="21"/>
        </w:rPr>
        <w:t>.</w:t>
      </w:r>
    </w:p>
    <w:p w14:paraId="5AC78833">
      <w:pPr>
        <w:tabs>
          <w:tab w:val="left" w:pos="2340"/>
          <w:tab w:val="left" w:pos="4464"/>
        </w:tabs>
        <w:spacing w:before="142" w:after="142" w:line="360" w:lineRule="auto"/>
        <w:ind w:firstLine="709"/>
        <w:jc w:val="both"/>
        <w:rPr>
          <w:rFonts w:ascii="Arial" w:hAnsi="Arial"/>
          <w:sz w:val="21"/>
          <w:szCs w:val="21"/>
        </w:rPr>
      </w:pPr>
      <w:bookmarkStart w:id="4" w:name="_Hlk1291608961"/>
      <w:r>
        <w:rPr>
          <w:rFonts w:ascii="Arial" w:hAnsi="Arial"/>
          <w:bCs/>
          <w:sz w:val="21"/>
          <w:szCs w:val="21"/>
        </w:rPr>
        <w:t>É necessário manter as condições de habilitação exigidas na licitação e comprovar a regularidade fiscal e trabalhista junto ao Órgão Gerenciador.</w:t>
      </w:r>
      <w:bookmarkEnd w:id="4"/>
    </w:p>
    <w:p w14:paraId="2A2F7E99">
      <w:pPr>
        <w:tabs>
          <w:tab w:val="left" w:pos="2340"/>
          <w:tab w:val="left" w:pos="4464"/>
        </w:tabs>
        <w:spacing w:before="142" w:after="142" w:line="360" w:lineRule="auto"/>
        <w:ind w:firstLine="709"/>
        <w:jc w:val="both"/>
        <w:rPr>
          <w:rFonts w:ascii="Arial" w:hAnsi="Arial"/>
          <w:sz w:val="21"/>
          <w:szCs w:val="21"/>
        </w:rPr>
      </w:pPr>
      <w:bookmarkStart w:id="5" w:name="_Hlk1291611181"/>
      <w:r>
        <w:rPr>
          <w:rFonts w:ascii="Arial" w:hAnsi="Arial"/>
          <w:bCs/>
          <w:sz w:val="21"/>
          <w:szCs w:val="21"/>
        </w:rPr>
        <w:t>A(s) empresa(s) participante(s) deverá(ão) apresentar além dos documentos costumeiros os seguintes:</w:t>
      </w:r>
      <w:bookmarkEnd w:id="5"/>
    </w:p>
    <w:p w14:paraId="7FAAF89C">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a) Alvará de localização/funcionamento relativo ao domicílio ou sede do licitante e pertinente ao seu ramo de atividades; </w:t>
      </w:r>
    </w:p>
    <w:p w14:paraId="47B5CECF">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b) Alvará sanitário em vigência; </w:t>
      </w:r>
    </w:p>
    <w:p w14:paraId="7116034A">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Para assinatura da ata a licitante vencedora deverá apresentar o seguinte documento:</w:t>
      </w:r>
    </w:p>
    <w:p w14:paraId="45ADB353">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a) Licença Ambiental de Operação – LAO da proponente participante da licitação.</w:t>
      </w:r>
    </w:p>
    <w:p w14:paraId="20FDF547">
      <w:pPr>
        <w:tabs>
          <w:tab w:val="left" w:pos="2340"/>
          <w:tab w:val="left" w:pos="4464"/>
        </w:tabs>
        <w:spacing w:before="142" w:after="142" w:line="360" w:lineRule="auto"/>
        <w:ind w:firstLine="0"/>
        <w:jc w:val="both"/>
        <w:rPr>
          <w:rFonts w:ascii="Arial" w:hAnsi="Arial"/>
          <w:sz w:val="21"/>
          <w:szCs w:val="21"/>
        </w:rPr>
      </w:pPr>
      <w:r>
        <w:rPr>
          <w:rFonts w:ascii="Arial" w:hAnsi="Arial"/>
          <w:b/>
          <w:sz w:val="21"/>
          <w:szCs w:val="21"/>
        </w:rPr>
        <w:t>4.1.      ESTIMATIVA DO VALOR DA CONTRATAÇÃO</w:t>
      </w:r>
    </w:p>
    <w:p w14:paraId="7F73A850">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O valor da contratação fora estimado a partir dos quantitativos já expostos no corpo deste Termo de Referência e da pesquisa de preços realizada nos termos do art. 23, </w:t>
      </w:r>
      <w:r>
        <w:rPr>
          <w:rFonts w:ascii="Arial" w:hAnsi="Arial"/>
          <w:bCs/>
          <w:i/>
          <w:iCs/>
          <w:sz w:val="21"/>
          <w:szCs w:val="21"/>
        </w:rPr>
        <w:t>caput</w:t>
      </w:r>
      <w:r>
        <w:rPr>
          <w:rFonts w:ascii="Arial" w:hAnsi="Arial"/>
          <w:bCs/>
          <w:sz w:val="21"/>
          <w:szCs w:val="21"/>
        </w:rPr>
        <w:t xml:space="preserve"> e § 1º, da Lei Federal n. 14.133/2021.</w:t>
      </w:r>
    </w:p>
    <w:tbl>
      <w:tblPr>
        <w:tblStyle w:val="12"/>
        <w:tblW w:w="10048" w:type="dxa"/>
        <w:jc w:val="center"/>
        <w:tblLayout w:type="fixed"/>
        <w:tblCellMar>
          <w:top w:w="55" w:type="dxa"/>
          <w:left w:w="55" w:type="dxa"/>
          <w:bottom w:w="55" w:type="dxa"/>
          <w:right w:w="55" w:type="dxa"/>
        </w:tblCellMar>
      </w:tblPr>
      <w:tblGrid>
        <w:gridCol w:w="565"/>
        <w:gridCol w:w="1415"/>
        <w:gridCol w:w="849"/>
        <w:gridCol w:w="4114"/>
        <w:gridCol w:w="1276"/>
        <w:gridCol w:w="1828"/>
      </w:tblGrid>
      <w:tr w14:paraId="17A479B6">
        <w:tblPrEx>
          <w:tblCellMar>
            <w:top w:w="55" w:type="dxa"/>
            <w:left w:w="55" w:type="dxa"/>
            <w:bottom w:w="55" w:type="dxa"/>
            <w:right w:w="55" w:type="dxa"/>
          </w:tblCellMar>
        </w:tblPrEx>
        <w:trPr>
          <w:jc w:val="center"/>
        </w:trPr>
        <w:tc>
          <w:tcPr>
            <w:tcW w:w="565" w:type="dxa"/>
            <w:tcBorders>
              <w:top w:val="single" w:color="000000" w:sz="4" w:space="0"/>
              <w:left w:val="single" w:color="000000" w:sz="4" w:space="0"/>
              <w:bottom w:val="single" w:color="000000" w:sz="4" w:space="0"/>
            </w:tcBorders>
          </w:tcPr>
          <w:p w14:paraId="08041E6E">
            <w:pPr>
              <w:widowControl w:val="0"/>
              <w:suppressLineNumbers/>
              <w:spacing w:before="0" w:after="160" w:line="360" w:lineRule="auto"/>
              <w:jc w:val="center"/>
              <w:rPr>
                <w:rFonts w:ascii="Arial" w:hAnsi="Arial"/>
                <w:sz w:val="21"/>
                <w:szCs w:val="21"/>
              </w:rPr>
            </w:pPr>
            <w:r>
              <w:rPr>
                <w:rFonts w:ascii="Arial" w:hAnsi="Arial" w:eastAsia="NSimSun"/>
                <w:b/>
                <w:bCs/>
                <w:sz w:val="21"/>
                <w:szCs w:val="21"/>
              </w:rPr>
              <w:t>Item</w:t>
            </w:r>
          </w:p>
        </w:tc>
        <w:tc>
          <w:tcPr>
            <w:tcW w:w="1415" w:type="dxa"/>
            <w:tcBorders>
              <w:top w:val="single" w:color="000000" w:sz="4" w:space="0"/>
              <w:left w:val="single" w:color="000000" w:sz="4" w:space="0"/>
              <w:bottom w:val="single" w:color="000000" w:sz="4" w:space="0"/>
            </w:tcBorders>
          </w:tcPr>
          <w:p w14:paraId="638391C1">
            <w:pPr>
              <w:widowControl w:val="0"/>
              <w:suppressLineNumbers/>
              <w:spacing w:before="0" w:after="160" w:line="360" w:lineRule="auto"/>
              <w:jc w:val="center"/>
              <w:rPr>
                <w:rFonts w:ascii="Arial" w:hAnsi="Arial"/>
                <w:sz w:val="21"/>
                <w:szCs w:val="21"/>
              </w:rPr>
            </w:pPr>
            <w:r>
              <w:rPr>
                <w:rFonts w:ascii="Arial" w:hAnsi="Arial" w:eastAsia="NSimSun"/>
                <w:b/>
                <w:bCs/>
                <w:color w:val="000000"/>
                <w:sz w:val="21"/>
                <w:szCs w:val="21"/>
              </w:rPr>
              <w:t>Quantidade</w:t>
            </w:r>
          </w:p>
        </w:tc>
        <w:tc>
          <w:tcPr>
            <w:tcW w:w="849" w:type="dxa"/>
            <w:tcBorders>
              <w:top w:val="single" w:color="000000" w:sz="4" w:space="0"/>
              <w:left w:val="single" w:color="000000" w:sz="4" w:space="0"/>
              <w:bottom w:val="single" w:color="000000" w:sz="4" w:space="0"/>
            </w:tcBorders>
          </w:tcPr>
          <w:p w14:paraId="28362170">
            <w:pPr>
              <w:widowControl w:val="0"/>
              <w:suppressLineNumbers/>
              <w:spacing w:before="0" w:after="160" w:line="360" w:lineRule="auto"/>
              <w:jc w:val="center"/>
              <w:rPr>
                <w:rFonts w:ascii="Arial" w:hAnsi="Arial"/>
                <w:sz w:val="21"/>
                <w:szCs w:val="21"/>
              </w:rPr>
            </w:pPr>
            <w:r>
              <w:rPr>
                <w:rFonts w:ascii="Arial" w:hAnsi="Arial" w:eastAsia="NSimSun"/>
                <w:b/>
                <w:bCs/>
                <w:color w:val="000000"/>
                <w:sz w:val="21"/>
                <w:szCs w:val="21"/>
              </w:rPr>
              <w:t>Und.</w:t>
            </w:r>
          </w:p>
        </w:tc>
        <w:tc>
          <w:tcPr>
            <w:tcW w:w="4114" w:type="dxa"/>
            <w:tcBorders>
              <w:top w:val="single" w:color="000000" w:sz="4" w:space="0"/>
              <w:left w:val="single" w:color="000000" w:sz="4" w:space="0"/>
              <w:bottom w:val="single" w:color="000000" w:sz="4" w:space="0"/>
            </w:tcBorders>
          </w:tcPr>
          <w:p w14:paraId="62812EE9">
            <w:pPr>
              <w:widowControl w:val="0"/>
              <w:suppressLineNumbers/>
              <w:spacing w:before="0" w:after="160" w:line="360" w:lineRule="auto"/>
              <w:jc w:val="center"/>
              <w:rPr>
                <w:rFonts w:ascii="Arial" w:hAnsi="Arial"/>
                <w:sz w:val="21"/>
                <w:szCs w:val="21"/>
              </w:rPr>
            </w:pPr>
            <w:r>
              <w:rPr>
                <w:rFonts w:ascii="Arial" w:hAnsi="Arial" w:eastAsia="NSimSun"/>
                <w:b/>
                <w:bCs/>
                <w:color w:val="000000"/>
                <w:sz w:val="21"/>
                <w:szCs w:val="21"/>
              </w:rPr>
              <w:t>Descrição do produto</w:t>
            </w:r>
          </w:p>
        </w:tc>
        <w:tc>
          <w:tcPr>
            <w:tcW w:w="1276" w:type="dxa"/>
            <w:tcBorders>
              <w:top w:val="single" w:color="000000" w:sz="4" w:space="0"/>
              <w:left w:val="single" w:color="000000" w:sz="4" w:space="0"/>
              <w:bottom w:val="single" w:color="000000" w:sz="4" w:space="0"/>
            </w:tcBorders>
          </w:tcPr>
          <w:p w14:paraId="6FFC09B4">
            <w:pPr>
              <w:widowControl w:val="0"/>
              <w:suppressLineNumbers/>
              <w:spacing w:before="0" w:after="160" w:line="360" w:lineRule="auto"/>
              <w:jc w:val="center"/>
              <w:rPr>
                <w:rFonts w:ascii="Arial" w:hAnsi="Arial"/>
                <w:sz w:val="21"/>
                <w:szCs w:val="21"/>
              </w:rPr>
            </w:pPr>
            <w:r>
              <w:rPr>
                <w:rFonts w:ascii="Arial" w:hAnsi="Arial" w:eastAsia="NSimSun"/>
                <w:b/>
                <w:bCs/>
                <w:sz w:val="21"/>
                <w:szCs w:val="21"/>
              </w:rPr>
              <w:t>Valor Unitário</w:t>
            </w:r>
          </w:p>
        </w:tc>
        <w:tc>
          <w:tcPr>
            <w:tcW w:w="1828" w:type="dxa"/>
            <w:tcBorders>
              <w:top w:val="single" w:color="000000" w:sz="4" w:space="0"/>
              <w:left w:val="single" w:color="000000" w:sz="4" w:space="0"/>
              <w:bottom w:val="single" w:color="000000" w:sz="4" w:space="0"/>
              <w:right w:val="single" w:color="000000" w:sz="4" w:space="0"/>
            </w:tcBorders>
          </w:tcPr>
          <w:p w14:paraId="2E21EA04">
            <w:pPr>
              <w:widowControl w:val="0"/>
              <w:suppressLineNumbers/>
              <w:spacing w:before="0" w:after="160" w:line="360" w:lineRule="auto"/>
              <w:jc w:val="center"/>
              <w:rPr>
                <w:rFonts w:ascii="Arial" w:hAnsi="Arial"/>
                <w:sz w:val="21"/>
                <w:szCs w:val="21"/>
              </w:rPr>
            </w:pPr>
            <w:r>
              <w:rPr>
                <w:rFonts w:ascii="Arial" w:hAnsi="Arial" w:eastAsia="NSimSun"/>
                <w:b/>
                <w:bCs/>
                <w:sz w:val="21"/>
                <w:szCs w:val="21"/>
              </w:rPr>
              <w:t>Valor Total</w:t>
            </w:r>
          </w:p>
        </w:tc>
      </w:tr>
      <w:tr w14:paraId="64B7478B">
        <w:tblPrEx>
          <w:tblCellMar>
            <w:top w:w="55" w:type="dxa"/>
            <w:left w:w="55" w:type="dxa"/>
            <w:bottom w:w="55" w:type="dxa"/>
            <w:right w:w="55" w:type="dxa"/>
          </w:tblCellMar>
        </w:tblPrEx>
        <w:trPr>
          <w:jc w:val="center"/>
        </w:trPr>
        <w:tc>
          <w:tcPr>
            <w:tcW w:w="565" w:type="dxa"/>
            <w:tcBorders>
              <w:left w:val="single" w:color="000000" w:sz="4" w:space="0"/>
              <w:bottom w:val="single" w:color="000000" w:sz="4" w:space="0"/>
            </w:tcBorders>
          </w:tcPr>
          <w:p w14:paraId="02F86A0D">
            <w:pPr>
              <w:widowControl w:val="0"/>
              <w:suppressAutoHyphens w:val="0"/>
              <w:snapToGrid w:val="0"/>
              <w:spacing w:before="0" w:after="119" w:line="360" w:lineRule="auto"/>
              <w:jc w:val="center"/>
              <w:rPr>
                <w:rFonts w:ascii="Arial" w:hAnsi="Arial"/>
                <w:sz w:val="21"/>
                <w:szCs w:val="21"/>
              </w:rPr>
            </w:pPr>
            <w:r>
              <w:rPr>
                <w:rFonts w:ascii="Arial" w:hAnsi="Arial"/>
                <w:sz w:val="21"/>
                <w:szCs w:val="21"/>
              </w:rPr>
              <w:t>01</w:t>
            </w:r>
          </w:p>
        </w:tc>
        <w:tc>
          <w:tcPr>
            <w:tcW w:w="1415" w:type="dxa"/>
            <w:tcBorders>
              <w:left w:val="single" w:color="000000" w:sz="4" w:space="0"/>
              <w:bottom w:val="single" w:color="000000" w:sz="4" w:space="0"/>
            </w:tcBorders>
          </w:tcPr>
          <w:p w14:paraId="28FF924E">
            <w:pPr>
              <w:widowControl w:val="0"/>
              <w:suppressAutoHyphens w:val="0"/>
              <w:snapToGrid w:val="0"/>
              <w:spacing w:before="0" w:after="160" w:line="360" w:lineRule="auto"/>
              <w:jc w:val="center"/>
              <w:rPr>
                <w:rFonts w:ascii="Arial" w:hAnsi="Arial"/>
                <w:sz w:val="21"/>
                <w:szCs w:val="21"/>
              </w:rPr>
            </w:pPr>
            <w:r>
              <w:rPr>
                <w:rFonts w:ascii="Arial" w:hAnsi="Arial"/>
                <w:sz w:val="21"/>
                <w:szCs w:val="21"/>
              </w:rPr>
              <w:t>57.300</w:t>
            </w:r>
          </w:p>
        </w:tc>
        <w:tc>
          <w:tcPr>
            <w:tcW w:w="849" w:type="dxa"/>
            <w:tcBorders>
              <w:left w:val="single" w:color="000000" w:sz="4" w:space="0"/>
              <w:bottom w:val="single" w:color="000000" w:sz="4" w:space="0"/>
            </w:tcBorders>
          </w:tcPr>
          <w:p w14:paraId="73E3920C">
            <w:pPr>
              <w:widowControl w:val="0"/>
              <w:suppressLineNumbers/>
              <w:snapToGrid w:val="0"/>
              <w:spacing w:before="0" w:after="160" w:line="360" w:lineRule="auto"/>
              <w:jc w:val="center"/>
              <w:rPr>
                <w:rFonts w:ascii="Arial" w:hAnsi="Arial"/>
                <w:sz w:val="21"/>
                <w:szCs w:val="21"/>
              </w:rPr>
            </w:pPr>
            <w:r>
              <w:rPr>
                <w:rFonts w:ascii="Arial" w:hAnsi="Arial" w:eastAsia="Times New Roman"/>
                <w:b/>
                <w:bCs/>
                <w:sz w:val="21"/>
                <w:szCs w:val="21"/>
              </w:rPr>
              <w:t>litros</w:t>
            </w:r>
          </w:p>
        </w:tc>
        <w:tc>
          <w:tcPr>
            <w:tcW w:w="4114" w:type="dxa"/>
            <w:tcBorders>
              <w:left w:val="single" w:color="000000" w:sz="4" w:space="0"/>
              <w:bottom w:val="single" w:color="000000" w:sz="4" w:space="0"/>
            </w:tcBorders>
          </w:tcPr>
          <w:p w14:paraId="6CF7925F">
            <w:pPr>
              <w:widowControl w:val="0"/>
              <w:suppressLineNumbers/>
              <w:suppressAutoHyphens w:val="0"/>
              <w:snapToGrid w:val="0"/>
              <w:spacing w:before="0" w:after="160" w:line="360" w:lineRule="auto"/>
              <w:jc w:val="both"/>
              <w:rPr>
                <w:rFonts w:ascii="Arial" w:hAnsi="Arial"/>
                <w:sz w:val="21"/>
                <w:szCs w:val="21"/>
              </w:rPr>
            </w:pPr>
            <w:r>
              <w:rPr>
                <w:rFonts w:ascii="Arial" w:hAnsi="Arial"/>
                <w:sz w:val="21"/>
                <w:szCs w:val="21"/>
              </w:rPr>
              <w:t>Gasolina comum</w:t>
            </w:r>
          </w:p>
        </w:tc>
        <w:tc>
          <w:tcPr>
            <w:tcW w:w="1276" w:type="dxa"/>
            <w:tcBorders>
              <w:left w:val="single" w:color="000000" w:sz="4" w:space="0"/>
              <w:bottom w:val="single" w:color="000000" w:sz="4" w:space="0"/>
            </w:tcBorders>
          </w:tcPr>
          <w:p w14:paraId="3BCB8179">
            <w:pPr>
              <w:widowControl w:val="0"/>
              <w:spacing w:before="0" w:after="160" w:line="360" w:lineRule="auto"/>
              <w:jc w:val="right"/>
              <w:rPr>
                <w:rFonts w:ascii="Arial" w:hAnsi="Arial"/>
                <w:sz w:val="21"/>
                <w:szCs w:val="21"/>
              </w:rPr>
            </w:pPr>
            <w:r>
              <w:rPr>
                <w:rFonts w:ascii="Arial" w:hAnsi="Arial" w:eastAsia="NSimSun"/>
                <w:sz w:val="21"/>
                <w:szCs w:val="21"/>
              </w:rPr>
              <w:t>6,18</w:t>
            </w:r>
          </w:p>
        </w:tc>
        <w:tc>
          <w:tcPr>
            <w:tcW w:w="1828" w:type="dxa"/>
            <w:tcBorders>
              <w:left w:val="single" w:color="000000" w:sz="4" w:space="0"/>
              <w:bottom w:val="single" w:color="000000" w:sz="4" w:space="0"/>
              <w:right w:val="single" w:color="000000" w:sz="4" w:space="0"/>
            </w:tcBorders>
          </w:tcPr>
          <w:p w14:paraId="3D6E8C2C">
            <w:pPr>
              <w:widowControl w:val="0"/>
              <w:suppressAutoHyphens w:val="0"/>
              <w:spacing w:before="0" w:after="160" w:line="360" w:lineRule="auto"/>
              <w:jc w:val="right"/>
              <w:rPr>
                <w:rFonts w:ascii="Arial" w:hAnsi="Arial"/>
                <w:sz w:val="21"/>
                <w:szCs w:val="21"/>
              </w:rPr>
            </w:pPr>
            <w:r>
              <w:rPr>
                <w:rFonts w:ascii="Arial" w:hAnsi="Arial" w:eastAsia="Calibri"/>
                <w:kern w:val="0"/>
                <w:sz w:val="21"/>
                <w:szCs w:val="21"/>
                <w:lang w:eastAsia="pt-BR"/>
              </w:rPr>
              <w:t>354.114,00</w:t>
            </w:r>
          </w:p>
        </w:tc>
      </w:tr>
      <w:tr w14:paraId="5F7A4FF3">
        <w:tblPrEx>
          <w:tblCellMar>
            <w:top w:w="55" w:type="dxa"/>
            <w:left w:w="55" w:type="dxa"/>
            <w:bottom w:w="55" w:type="dxa"/>
            <w:right w:w="55" w:type="dxa"/>
          </w:tblCellMar>
        </w:tblPrEx>
        <w:trPr>
          <w:jc w:val="center"/>
        </w:trPr>
        <w:tc>
          <w:tcPr>
            <w:tcW w:w="8219" w:type="dxa"/>
            <w:gridSpan w:val="5"/>
            <w:tcBorders>
              <w:left w:val="single" w:color="000000" w:sz="4" w:space="0"/>
              <w:bottom w:val="single" w:color="000000" w:sz="4" w:space="0"/>
            </w:tcBorders>
          </w:tcPr>
          <w:p w14:paraId="1882857B">
            <w:pPr>
              <w:widowControl w:val="0"/>
              <w:suppressAutoHyphens w:val="0"/>
              <w:snapToGrid w:val="0"/>
              <w:spacing w:before="0" w:after="119" w:line="360" w:lineRule="auto"/>
              <w:jc w:val="center"/>
              <w:rPr>
                <w:rFonts w:ascii="Arial" w:hAnsi="Arial"/>
                <w:sz w:val="21"/>
                <w:szCs w:val="21"/>
              </w:rPr>
            </w:pPr>
            <w:r>
              <w:rPr>
                <w:rFonts w:ascii="Arial" w:hAnsi="Arial" w:eastAsia="NSimSun"/>
                <w:b/>
                <w:bCs/>
                <w:sz w:val="21"/>
                <w:szCs w:val="21"/>
              </w:rPr>
              <w:t>TOTAL</w:t>
            </w:r>
          </w:p>
        </w:tc>
        <w:tc>
          <w:tcPr>
            <w:tcW w:w="1828" w:type="dxa"/>
            <w:tcBorders>
              <w:left w:val="single" w:color="000000" w:sz="4" w:space="0"/>
              <w:bottom w:val="single" w:color="000000" w:sz="4" w:space="0"/>
              <w:right w:val="single" w:color="000000" w:sz="4" w:space="0"/>
            </w:tcBorders>
          </w:tcPr>
          <w:p w14:paraId="1B1007AC">
            <w:pPr>
              <w:widowControl w:val="0"/>
              <w:spacing w:before="0" w:after="160" w:line="360" w:lineRule="auto"/>
              <w:jc w:val="right"/>
              <w:rPr>
                <w:rFonts w:ascii="Arial" w:hAnsi="Arial"/>
                <w:sz w:val="21"/>
                <w:szCs w:val="21"/>
              </w:rPr>
            </w:pPr>
            <w:r>
              <w:rPr>
                <w:rFonts w:ascii="Arial" w:hAnsi="Arial" w:eastAsia="NSimSun"/>
                <w:b/>
                <w:bCs/>
                <w:sz w:val="21"/>
                <w:szCs w:val="21"/>
              </w:rPr>
              <w:t>354.114,00</w:t>
            </w:r>
          </w:p>
        </w:tc>
      </w:tr>
    </w:tbl>
    <w:p w14:paraId="33A8DD43">
      <w:pPr>
        <w:spacing w:line="360" w:lineRule="auto"/>
        <w:rPr>
          <w:rFonts w:ascii="Arial" w:hAnsi="Arial"/>
          <w:sz w:val="21"/>
          <w:szCs w:val="21"/>
        </w:rPr>
      </w:pPr>
    </w:p>
    <w:p w14:paraId="31AF5BD7">
      <w:pPr>
        <w:pStyle w:val="402"/>
        <w:numPr>
          <w:ilvl w:val="0"/>
          <w:numId w:val="0"/>
        </w:numPr>
        <w:spacing w:before="142" w:after="142" w:line="360" w:lineRule="auto"/>
        <w:ind w:left="425" w:firstLine="0"/>
        <w:contextualSpacing/>
        <w:rPr>
          <w:rFonts w:ascii="Arial" w:hAnsi="Arial"/>
          <w:sz w:val="21"/>
          <w:szCs w:val="21"/>
        </w:rPr>
      </w:pPr>
      <w:r>
        <w:rPr>
          <w:rFonts w:ascii="Arial" w:hAnsi="Arial" w:cs="Arial"/>
          <w:b/>
          <w:sz w:val="21"/>
          <w:szCs w:val="21"/>
        </w:rPr>
        <w:t>5.</w:t>
      </w:r>
      <w:r>
        <w:rPr>
          <w:rFonts w:ascii="Arial" w:hAnsi="Arial" w:cs="Arial"/>
          <w:b/>
          <w:sz w:val="21"/>
          <w:szCs w:val="21"/>
        </w:rPr>
        <w:tab/>
      </w:r>
      <w:bookmarkStart w:id="6" w:name="_Hlk181610930"/>
      <w:r>
        <w:rPr>
          <w:rFonts w:ascii="Arial" w:hAnsi="Arial" w:cs="Arial"/>
          <w:b/>
          <w:sz w:val="21"/>
          <w:szCs w:val="21"/>
        </w:rPr>
        <w:t>ADEQUAÇÃO ORÇAMENTÁRIA</w:t>
      </w:r>
    </w:p>
    <w:bookmarkEnd w:id="6"/>
    <w:p w14:paraId="294460DB">
      <w:pPr>
        <w:tabs>
          <w:tab w:val="left" w:pos="2340"/>
          <w:tab w:val="left" w:pos="4464"/>
        </w:tabs>
        <w:spacing w:before="142" w:after="142" w:line="360" w:lineRule="auto"/>
        <w:ind w:firstLine="709"/>
        <w:jc w:val="both"/>
        <w:rPr>
          <w:rFonts w:ascii="Arial" w:hAnsi="Arial"/>
          <w:sz w:val="21"/>
          <w:szCs w:val="21"/>
        </w:rPr>
      </w:pPr>
      <w:bookmarkStart w:id="7" w:name="_Hlk181610844"/>
      <w:r>
        <w:rPr>
          <w:rFonts w:ascii="Arial" w:hAnsi="Arial"/>
          <w:bCs/>
          <w:sz w:val="21"/>
          <w:szCs w:val="21"/>
        </w:rPr>
        <w:t xml:space="preserve">As despesas decorrentes das aquisições, objeto do presente certame, correrão à conta de dotação específica dos orçamentos de cada Órgão Participante referente ao exercício de 2025, prevista na LDO e No projeto da LOA 2025, atualmente tramitando no legislativo. </w:t>
      </w:r>
      <w:bookmarkEnd w:id="7"/>
    </w:p>
    <w:p w14:paraId="602636E3">
      <w:pPr>
        <w:suppressAutoHyphens w:val="0"/>
        <w:spacing w:line="360" w:lineRule="auto"/>
        <w:rPr>
          <w:rFonts w:ascii="Arial" w:hAnsi="Arial"/>
          <w:sz w:val="21"/>
          <w:szCs w:val="21"/>
        </w:rPr>
      </w:pPr>
      <w:r>
        <w:rPr>
          <w:rFonts w:ascii="Arial" w:hAnsi="Arial"/>
          <w:bCs/>
          <w:sz w:val="21"/>
          <w:szCs w:val="21"/>
        </w:rPr>
        <w:t>Entidade: PREFEITURA MUNICIPAL DE LINDÓIA DO SUL</w:t>
      </w:r>
    </w:p>
    <w:p w14:paraId="7BA8D408">
      <w:pPr>
        <w:suppressAutoHyphens w:val="0"/>
        <w:spacing w:line="360" w:lineRule="auto"/>
        <w:rPr>
          <w:rFonts w:ascii="Arial" w:hAnsi="Arial"/>
          <w:sz w:val="21"/>
          <w:szCs w:val="21"/>
        </w:rPr>
      </w:pPr>
      <w:r>
        <w:rPr>
          <w:rFonts w:ascii="Arial" w:hAnsi="Arial"/>
          <w:bCs/>
          <w:sz w:val="21"/>
          <w:szCs w:val="21"/>
        </w:rPr>
        <w:t>Órgão/Unidade: 02.001 Gabinete do Prefeito e Vice</w:t>
      </w:r>
    </w:p>
    <w:p w14:paraId="408209B0">
      <w:pPr>
        <w:suppressAutoHyphens w:val="0"/>
        <w:spacing w:line="360" w:lineRule="auto"/>
        <w:rPr>
          <w:rFonts w:ascii="Arial" w:hAnsi="Arial"/>
          <w:sz w:val="21"/>
          <w:szCs w:val="21"/>
        </w:rPr>
      </w:pPr>
      <w:r>
        <w:rPr>
          <w:rFonts w:ascii="Arial" w:hAnsi="Arial"/>
          <w:bCs/>
          <w:sz w:val="21"/>
          <w:szCs w:val="21"/>
        </w:rPr>
        <w:t>Proj/ Ativ.: 2002 Manutenção do Gabinete do Prefeito e Vice</w:t>
      </w:r>
    </w:p>
    <w:p w14:paraId="32B5ECA4">
      <w:pPr>
        <w:suppressAutoHyphens w:val="0"/>
        <w:spacing w:line="360" w:lineRule="auto"/>
        <w:rPr>
          <w:rFonts w:ascii="Arial" w:hAnsi="Arial"/>
          <w:sz w:val="21"/>
          <w:szCs w:val="21"/>
        </w:rPr>
      </w:pPr>
      <w:r>
        <w:rPr>
          <w:rFonts w:ascii="Arial" w:hAnsi="Arial"/>
          <w:bCs/>
          <w:sz w:val="21"/>
          <w:szCs w:val="21"/>
        </w:rPr>
        <w:t>Elemento: 3.3.90.00.00.00.00.00 - Aplicações Diretas</w:t>
      </w:r>
    </w:p>
    <w:p w14:paraId="0919C715">
      <w:pPr>
        <w:suppressAutoHyphens w:val="0"/>
        <w:spacing w:line="360" w:lineRule="auto"/>
        <w:rPr>
          <w:rFonts w:ascii="Arial" w:hAnsi="Arial"/>
          <w:sz w:val="21"/>
          <w:szCs w:val="21"/>
        </w:rPr>
      </w:pPr>
      <w:r>
        <w:rPr>
          <w:rFonts w:ascii="Arial" w:hAnsi="Arial"/>
          <w:bCs/>
          <w:sz w:val="21"/>
          <w:szCs w:val="21"/>
        </w:rPr>
        <w:t>Recurso: 1.500.0000.0104 – Recursos Ordinários</w:t>
      </w:r>
    </w:p>
    <w:p w14:paraId="5A10304E">
      <w:pPr>
        <w:suppressAutoHyphens w:val="0"/>
        <w:spacing w:line="360" w:lineRule="auto"/>
        <w:rPr>
          <w:rFonts w:ascii="Arial" w:hAnsi="Arial"/>
          <w:bCs/>
          <w:sz w:val="21"/>
          <w:szCs w:val="21"/>
        </w:rPr>
      </w:pPr>
    </w:p>
    <w:p w14:paraId="27E3D763">
      <w:pPr>
        <w:suppressAutoHyphens w:val="0"/>
        <w:spacing w:line="360" w:lineRule="auto"/>
        <w:rPr>
          <w:rFonts w:ascii="Arial" w:hAnsi="Arial"/>
          <w:sz w:val="21"/>
          <w:szCs w:val="21"/>
        </w:rPr>
      </w:pPr>
      <w:r>
        <w:rPr>
          <w:rFonts w:ascii="Arial" w:hAnsi="Arial"/>
          <w:bCs/>
          <w:sz w:val="21"/>
          <w:szCs w:val="21"/>
        </w:rPr>
        <w:t>Órgão/Unidade: 03.001 Secretaria Municipal de Administração e Finanças</w:t>
      </w:r>
    </w:p>
    <w:p w14:paraId="6D6B4F6E">
      <w:pPr>
        <w:suppressAutoHyphens w:val="0"/>
        <w:spacing w:line="360" w:lineRule="auto"/>
        <w:rPr>
          <w:rFonts w:ascii="Arial" w:hAnsi="Arial"/>
          <w:sz w:val="21"/>
          <w:szCs w:val="21"/>
        </w:rPr>
      </w:pPr>
      <w:r>
        <w:rPr>
          <w:rFonts w:ascii="Arial" w:hAnsi="Arial"/>
          <w:bCs/>
          <w:sz w:val="21"/>
          <w:szCs w:val="21"/>
        </w:rPr>
        <w:t>Proj/ Ativ.: 2003 – Manutenção da Secretaria de Administra e Finanças</w:t>
      </w:r>
    </w:p>
    <w:p w14:paraId="13FE1507">
      <w:pPr>
        <w:suppressAutoHyphens w:val="0"/>
        <w:spacing w:line="360" w:lineRule="auto"/>
        <w:rPr>
          <w:rFonts w:ascii="Arial" w:hAnsi="Arial"/>
          <w:sz w:val="21"/>
          <w:szCs w:val="21"/>
        </w:rPr>
      </w:pPr>
      <w:r>
        <w:rPr>
          <w:rFonts w:ascii="Arial" w:hAnsi="Arial"/>
          <w:bCs/>
          <w:sz w:val="21"/>
          <w:szCs w:val="21"/>
        </w:rPr>
        <w:t>Elemento: 3.3.90.00.00.00.00.00 - Aplicações Diretas</w:t>
      </w:r>
    </w:p>
    <w:p w14:paraId="2700D34F">
      <w:pPr>
        <w:suppressAutoHyphens w:val="0"/>
        <w:spacing w:line="360" w:lineRule="auto"/>
        <w:rPr>
          <w:rFonts w:ascii="Arial" w:hAnsi="Arial"/>
          <w:sz w:val="21"/>
          <w:szCs w:val="21"/>
        </w:rPr>
      </w:pPr>
      <w:r>
        <w:rPr>
          <w:rFonts w:ascii="Arial" w:hAnsi="Arial"/>
          <w:bCs/>
          <w:sz w:val="21"/>
          <w:szCs w:val="21"/>
        </w:rPr>
        <w:t>Recurso: 1.500.0000.0104 – Recursos Ordinários</w:t>
      </w:r>
    </w:p>
    <w:p w14:paraId="4D56A174">
      <w:pPr>
        <w:suppressAutoHyphens w:val="0"/>
        <w:spacing w:line="360" w:lineRule="auto"/>
        <w:rPr>
          <w:rFonts w:ascii="Arial" w:hAnsi="Arial"/>
          <w:bCs/>
          <w:sz w:val="21"/>
          <w:szCs w:val="21"/>
        </w:rPr>
      </w:pPr>
    </w:p>
    <w:p w14:paraId="33FC7E2C">
      <w:pPr>
        <w:suppressAutoHyphens w:val="0"/>
        <w:spacing w:line="360" w:lineRule="auto"/>
        <w:rPr>
          <w:rFonts w:ascii="Arial" w:hAnsi="Arial"/>
          <w:sz w:val="21"/>
          <w:szCs w:val="21"/>
        </w:rPr>
      </w:pPr>
      <w:r>
        <w:rPr>
          <w:rFonts w:ascii="Arial" w:hAnsi="Arial"/>
          <w:bCs/>
          <w:sz w:val="21"/>
          <w:szCs w:val="21"/>
        </w:rPr>
        <w:t>Órgão/Unidade: 04.001 Secretaria Municipal de Educação Cultura e Turismo/Diretoria de   Educação</w:t>
      </w:r>
    </w:p>
    <w:p w14:paraId="018D7142">
      <w:pPr>
        <w:suppressAutoHyphens w:val="0"/>
        <w:spacing w:line="360" w:lineRule="auto"/>
        <w:rPr>
          <w:rFonts w:ascii="Arial" w:hAnsi="Arial"/>
          <w:sz w:val="21"/>
          <w:szCs w:val="21"/>
        </w:rPr>
      </w:pPr>
      <w:r>
        <w:rPr>
          <w:rFonts w:ascii="Arial" w:hAnsi="Arial"/>
          <w:bCs/>
          <w:sz w:val="21"/>
          <w:szCs w:val="21"/>
        </w:rPr>
        <w:t>Proj/ Ativ.: 2010 – Educação Infantil – Pré-Escolar</w:t>
      </w:r>
    </w:p>
    <w:p w14:paraId="47844B18">
      <w:pPr>
        <w:suppressAutoHyphens w:val="0"/>
        <w:spacing w:line="360" w:lineRule="auto"/>
        <w:rPr>
          <w:rFonts w:ascii="Arial" w:hAnsi="Arial"/>
          <w:sz w:val="21"/>
          <w:szCs w:val="21"/>
        </w:rPr>
      </w:pPr>
      <w:r>
        <w:rPr>
          <w:rFonts w:ascii="Arial" w:hAnsi="Arial"/>
          <w:bCs/>
          <w:sz w:val="21"/>
          <w:szCs w:val="21"/>
        </w:rPr>
        <w:t>Elemento: 3.3.90.00.00.00.00.00 – Aplicações Diretas</w:t>
      </w:r>
    </w:p>
    <w:p w14:paraId="2CCE6AAE">
      <w:pPr>
        <w:suppressAutoHyphens w:val="0"/>
        <w:spacing w:line="360" w:lineRule="auto"/>
        <w:rPr>
          <w:rFonts w:ascii="Arial" w:hAnsi="Arial"/>
          <w:sz w:val="21"/>
          <w:szCs w:val="21"/>
        </w:rPr>
      </w:pPr>
      <w:r>
        <w:rPr>
          <w:rFonts w:ascii="Arial" w:hAnsi="Arial"/>
          <w:bCs/>
          <w:sz w:val="21"/>
          <w:szCs w:val="21"/>
        </w:rPr>
        <w:t xml:space="preserve">Recurso: 1.500.1001.0001 – MDE – Educação </w:t>
      </w:r>
    </w:p>
    <w:p w14:paraId="551FD4C3">
      <w:pPr>
        <w:suppressAutoHyphens w:val="0"/>
        <w:spacing w:line="360" w:lineRule="auto"/>
        <w:rPr>
          <w:rFonts w:ascii="Arial" w:hAnsi="Arial"/>
          <w:sz w:val="21"/>
          <w:szCs w:val="21"/>
        </w:rPr>
      </w:pPr>
      <w:r>
        <w:rPr>
          <w:rFonts w:ascii="Arial" w:hAnsi="Arial"/>
          <w:bCs/>
          <w:sz w:val="21"/>
          <w:szCs w:val="21"/>
        </w:rPr>
        <w:t>Proj/ Ativ.: 2.014 Manutenção do Ensino Fundamental</w:t>
      </w:r>
    </w:p>
    <w:p w14:paraId="55DC2C5D">
      <w:pPr>
        <w:suppressAutoHyphens w:val="0"/>
        <w:spacing w:line="360" w:lineRule="auto"/>
        <w:rPr>
          <w:rFonts w:ascii="Arial" w:hAnsi="Arial"/>
          <w:sz w:val="21"/>
          <w:szCs w:val="21"/>
        </w:rPr>
      </w:pPr>
      <w:r>
        <w:rPr>
          <w:rFonts w:ascii="Arial" w:hAnsi="Arial"/>
          <w:bCs/>
          <w:sz w:val="21"/>
          <w:szCs w:val="21"/>
        </w:rPr>
        <w:t>Elemento: 3.3.90.00.00.00.00.00 – Aplicações Diretas</w:t>
      </w:r>
    </w:p>
    <w:p w14:paraId="2A4529AD">
      <w:pPr>
        <w:suppressAutoHyphens w:val="0"/>
        <w:spacing w:line="360" w:lineRule="auto"/>
        <w:rPr>
          <w:rFonts w:ascii="Arial" w:hAnsi="Arial"/>
          <w:sz w:val="21"/>
          <w:szCs w:val="21"/>
        </w:rPr>
      </w:pPr>
      <w:r>
        <w:rPr>
          <w:rFonts w:ascii="Arial" w:hAnsi="Arial"/>
          <w:bCs/>
          <w:sz w:val="21"/>
          <w:szCs w:val="21"/>
        </w:rPr>
        <w:t xml:space="preserve">Recurso: 1.500.1001.0001 – MDE – Educação </w:t>
      </w:r>
    </w:p>
    <w:p w14:paraId="4EE28FA9">
      <w:pPr>
        <w:suppressAutoHyphens w:val="0"/>
        <w:spacing w:line="360" w:lineRule="auto"/>
        <w:rPr>
          <w:rFonts w:ascii="Arial" w:hAnsi="Arial"/>
          <w:sz w:val="21"/>
          <w:szCs w:val="21"/>
        </w:rPr>
      </w:pPr>
      <w:r>
        <w:rPr>
          <w:rFonts w:ascii="Arial" w:hAnsi="Arial"/>
          <w:bCs/>
          <w:sz w:val="21"/>
          <w:szCs w:val="21"/>
        </w:rPr>
        <w:t xml:space="preserve">Proj/ Ativ.: 2.015 - Manutenção e apoio ensino médio e profissionalizante </w:t>
      </w:r>
    </w:p>
    <w:p w14:paraId="09F9E02C">
      <w:pPr>
        <w:suppressAutoHyphens w:val="0"/>
        <w:spacing w:line="360" w:lineRule="auto"/>
        <w:rPr>
          <w:rFonts w:ascii="Arial" w:hAnsi="Arial"/>
          <w:sz w:val="21"/>
          <w:szCs w:val="21"/>
        </w:rPr>
      </w:pPr>
      <w:r>
        <w:rPr>
          <w:rFonts w:ascii="Arial" w:hAnsi="Arial"/>
          <w:bCs/>
          <w:sz w:val="21"/>
          <w:szCs w:val="21"/>
        </w:rPr>
        <w:t>Elemento: 3.3.90.00.00.00.00.00 – Aplicações Diretas</w:t>
      </w:r>
    </w:p>
    <w:p w14:paraId="2A6AB348">
      <w:pPr>
        <w:suppressAutoHyphens w:val="0"/>
        <w:spacing w:line="360" w:lineRule="auto"/>
        <w:rPr>
          <w:rFonts w:ascii="Arial" w:hAnsi="Arial"/>
          <w:sz w:val="21"/>
          <w:szCs w:val="21"/>
        </w:rPr>
      </w:pPr>
      <w:r>
        <w:rPr>
          <w:rFonts w:ascii="Arial" w:hAnsi="Arial"/>
          <w:bCs/>
          <w:sz w:val="21"/>
          <w:szCs w:val="21"/>
        </w:rPr>
        <w:t>Recurso: 1.500.0000.0104 - Recursos Ordinários</w:t>
      </w:r>
    </w:p>
    <w:p w14:paraId="2FAD01A0">
      <w:pPr>
        <w:suppressAutoHyphens w:val="0"/>
        <w:spacing w:line="360" w:lineRule="auto"/>
        <w:rPr>
          <w:rFonts w:ascii="Arial" w:hAnsi="Arial"/>
          <w:bCs/>
          <w:sz w:val="21"/>
          <w:szCs w:val="21"/>
        </w:rPr>
      </w:pPr>
    </w:p>
    <w:p w14:paraId="637F8A2D">
      <w:pPr>
        <w:suppressAutoHyphens w:val="0"/>
        <w:spacing w:line="360" w:lineRule="auto"/>
        <w:rPr>
          <w:rFonts w:ascii="Arial" w:hAnsi="Arial"/>
          <w:sz w:val="21"/>
          <w:szCs w:val="21"/>
        </w:rPr>
      </w:pPr>
      <w:r>
        <w:rPr>
          <w:rFonts w:ascii="Arial" w:hAnsi="Arial"/>
          <w:bCs/>
          <w:sz w:val="21"/>
          <w:szCs w:val="21"/>
        </w:rPr>
        <w:t>Órgão/Unidade: 15.001 DIRETORIA DE ESPORTES</w:t>
      </w:r>
    </w:p>
    <w:p w14:paraId="4EE233DC">
      <w:pPr>
        <w:suppressAutoHyphens w:val="0"/>
        <w:spacing w:line="360" w:lineRule="auto"/>
        <w:rPr>
          <w:rFonts w:ascii="Arial" w:hAnsi="Arial"/>
          <w:sz w:val="21"/>
          <w:szCs w:val="21"/>
        </w:rPr>
      </w:pPr>
      <w:r>
        <w:rPr>
          <w:rFonts w:ascii="Arial" w:hAnsi="Arial"/>
          <w:bCs/>
          <w:sz w:val="21"/>
          <w:szCs w:val="21"/>
        </w:rPr>
        <w:t>Proj/ Ativ.: 2019 – Manutenção das Atividades Esportivas e Recreativas</w:t>
      </w:r>
    </w:p>
    <w:p w14:paraId="06528D08">
      <w:pPr>
        <w:suppressAutoHyphens w:val="0"/>
        <w:spacing w:line="360" w:lineRule="auto"/>
        <w:rPr>
          <w:rFonts w:ascii="Arial" w:hAnsi="Arial"/>
          <w:sz w:val="21"/>
          <w:szCs w:val="21"/>
        </w:rPr>
      </w:pPr>
      <w:r>
        <w:rPr>
          <w:rFonts w:ascii="Arial" w:hAnsi="Arial"/>
          <w:bCs/>
          <w:sz w:val="21"/>
          <w:szCs w:val="21"/>
        </w:rPr>
        <w:t>Elemento: 3.3.90.00.00.00.00.00 – Aplicações Diretas</w:t>
      </w:r>
    </w:p>
    <w:p w14:paraId="4FCC037F">
      <w:pPr>
        <w:suppressAutoHyphens w:val="0"/>
        <w:spacing w:line="360" w:lineRule="auto"/>
        <w:rPr>
          <w:rFonts w:ascii="Arial" w:hAnsi="Arial"/>
          <w:sz w:val="21"/>
          <w:szCs w:val="21"/>
        </w:rPr>
      </w:pPr>
      <w:r>
        <w:rPr>
          <w:rFonts w:ascii="Arial" w:hAnsi="Arial"/>
          <w:bCs/>
          <w:sz w:val="21"/>
          <w:szCs w:val="21"/>
        </w:rPr>
        <w:t xml:space="preserve">Recurso: 1.500.0000.0104 – Recursos Ordinários </w:t>
      </w:r>
    </w:p>
    <w:p w14:paraId="3390ADC8">
      <w:pPr>
        <w:suppressAutoHyphens w:val="0"/>
        <w:spacing w:line="360" w:lineRule="auto"/>
        <w:rPr>
          <w:rFonts w:ascii="Arial" w:hAnsi="Arial"/>
          <w:bCs/>
          <w:sz w:val="21"/>
          <w:szCs w:val="21"/>
        </w:rPr>
      </w:pPr>
    </w:p>
    <w:p w14:paraId="2C7E7A35">
      <w:pPr>
        <w:suppressAutoHyphens w:val="0"/>
        <w:spacing w:line="360" w:lineRule="auto"/>
        <w:rPr>
          <w:rFonts w:ascii="Arial" w:hAnsi="Arial"/>
          <w:sz w:val="21"/>
          <w:szCs w:val="21"/>
        </w:rPr>
      </w:pPr>
      <w:r>
        <w:rPr>
          <w:rFonts w:ascii="Arial" w:hAnsi="Arial"/>
          <w:bCs/>
          <w:sz w:val="21"/>
          <w:szCs w:val="21"/>
        </w:rPr>
        <w:t>Órgão/Unidade: 05.001 Secretaria Mun. de Assistência Social e Habitação/Diretoria de Ação Social</w:t>
      </w:r>
    </w:p>
    <w:p w14:paraId="4080D60E">
      <w:pPr>
        <w:suppressAutoHyphens w:val="0"/>
        <w:spacing w:line="360" w:lineRule="auto"/>
        <w:rPr>
          <w:rFonts w:ascii="Arial" w:hAnsi="Arial"/>
          <w:sz w:val="21"/>
          <w:szCs w:val="21"/>
        </w:rPr>
      </w:pPr>
      <w:r>
        <w:rPr>
          <w:rFonts w:ascii="Arial" w:hAnsi="Arial"/>
          <w:bCs/>
          <w:sz w:val="21"/>
          <w:szCs w:val="21"/>
        </w:rPr>
        <w:t>Proj/ Ativ.: 2021 – Apoio Administrativo – FMAS</w:t>
      </w:r>
    </w:p>
    <w:p w14:paraId="396D8513">
      <w:pPr>
        <w:suppressAutoHyphens w:val="0"/>
        <w:spacing w:line="360" w:lineRule="auto"/>
        <w:rPr>
          <w:rFonts w:ascii="Arial" w:hAnsi="Arial"/>
          <w:sz w:val="21"/>
          <w:szCs w:val="21"/>
        </w:rPr>
      </w:pPr>
      <w:r>
        <w:rPr>
          <w:rFonts w:ascii="Arial" w:hAnsi="Arial"/>
          <w:bCs/>
          <w:sz w:val="21"/>
          <w:szCs w:val="21"/>
        </w:rPr>
        <w:t>Elemento: 3.3.90.00.00.00.00.00 – Aplicações Diretas</w:t>
      </w:r>
    </w:p>
    <w:p w14:paraId="0FB42173">
      <w:pPr>
        <w:suppressAutoHyphens w:val="0"/>
        <w:spacing w:line="360" w:lineRule="auto"/>
        <w:rPr>
          <w:rFonts w:ascii="Arial" w:hAnsi="Arial"/>
          <w:sz w:val="21"/>
          <w:szCs w:val="21"/>
        </w:rPr>
      </w:pPr>
      <w:r>
        <w:rPr>
          <w:rFonts w:ascii="Arial" w:hAnsi="Arial"/>
          <w:bCs/>
          <w:sz w:val="21"/>
          <w:szCs w:val="21"/>
        </w:rPr>
        <w:t xml:space="preserve">Recurso: 1.500.0000.0104 – Recursos Ordinários </w:t>
      </w:r>
    </w:p>
    <w:p w14:paraId="29C9CB7C">
      <w:pPr>
        <w:suppressAutoHyphens w:val="0"/>
        <w:spacing w:line="360" w:lineRule="auto"/>
        <w:rPr>
          <w:rFonts w:ascii="Arial" w:hAnsi="Arial"/>
          <w:bCs/>
          <w:sz w:val="21"/>
          <w:szCs w:val="21"/>
        </w:rPr>
      </w:pPr>
    </w:p>
    <w:p w14:paraId="25A3DAFC">
      <w:pPr>
        <w:suppressAutoHyphens w:val="0"/>
        <w:spacing w:line="360" w:lineRule="auto"/>
        <w:rPr>
          <w:rFonts w:ascii="Arial" w:hAnsi="Arial"/>
          <w:sz w:val="21"/>
          <w:szCs w:val="21"/>
        </w:rPr>
      </w:pPr>
      <w:r>
        <w:rPr>
          <w:rFonts w:ascii="Arial" w:hAnsi="Arial"/>
          <w:bCs/>
          <w:sz w:val="21"/>
          <w:szCs w:val="21"/>
        </w:rPr>
        <w:t>Órgão/Unidade: 05.002 Secretaria Mun. de Assistência Social e Habitação/Fundo Municipal de Assistência Social</w:t>
      </w:r>
    </w:p>
    <w:p w14:paraId="4DEA9899">
      <w:pPr>
        <w:suppressAutoHyphens w:val="0"/>
        <w:spacing w:line="360" w:lineRule="auto"/>
        <w:rPr>
          <w:rFonts w:ascii="Arial" w:hAnsi="Arial"/>
          <w:sz w:val="21"/>
          <w:szCs w:val="21"/>
        </w:rPr>
      </w:pPr>
      <w:r>
        <w:rPr>
          <w:rFonts w:ascii="Arial" w:hAnsi="Arial"/>
          <w:bCs/>
          <w:sz w:val="21"/>
          <w:szCs w:val="21"/>
        </w:rPr>
        <w:t>Proj/ Ativ.: 2024 – Manutenção da Oferta da Proteção Social Básica</w:t>
      </w:r>
    </w:p>
    <w:p w14:paraId="5E71790D">
      <w:pPr>
        <w:suppressAutoHyphens w:val="0"/>
        <w:spacing w:line="360" w:lineRule="auto"/>
        <w:rPr>
          <w:rFonts w:ascii="Arial" w:hAnsi="Arial"/>
          <w:sz w:val="21"/>
          <w:szCs w:val="21"/>
        </w:rPr>
      </w:pPr>
      <w:r>
        <w:rPr>
          <w:rFonts w:ascii="Arial" w:hAnsi="Arial"/>
          <w:bCs/>
          <w:sz w:val="21"/>
          <w:szCs w:val="21"/>
        </w:rPr>
        <w:t>Elemento: 3.3.90.00.00.00.00.00 – Aplicações Diretas</w:t>
      </w:r>
    </w:p>
    <w:p w14:paraId="1D88226E">
      <w:pPr>
        <w:suppressAutoHyphens w:val="0"/>
        <w:spacing w:line="360" w:lineRule="auto"/>
        <w:rPr>
          <w:rFonts w:ascii="Arial" w:hAnsi="Arial"/>
          <w:sz w:val="21"/>
          <w:szCs w:val="21"/>
        </w:rPr>
      </w:pPr>
      <w:r>
        <w:rPr>
          <w:rFonts w:ascii="Arial" w:hAnsi="Arial"/>
          <w:bCs/>
          <w:sz w:val="21"/>
          <w:szCs w:val="21"/>
        </w:rPr>
        <w:t xml:space="preserve">Recurso: 1.500.0000.0104 – Recursos Ordinários </w:t>
      </w:r>
    </w:p>
    <w:p w14:paraId="6436E0E6">
      <w:pPr>
        <w:suppressAutoHyphens w:val="0"/>
        <w:spacing w:line="360" w:lineRule="auto"/>
        <w:rPr>
          <w:rFonts w:ascii="Arial" w:hAnsi="Arial"/>
          <w:sz w:val="21"/>
          <w:szCs w:val="21"/>
        </w:rPr>
      </w:pPr>
    </w:p>
    <w:p w14:paraId="34FE9B62">
      <w:pPr>
        <w:suppressAutoHyphens w:val="0"/>
        <w:spacing w:line="360" w:lineRule="auto"/>
        <w:rPr>
          <w:rFonts w:ascii="Arial" w:hAnsi="Arial"/>
          <w:bCs/>
          <w:sz w:val="21"/>
          <w:szCs w:val="21"/>
        </w:rPr>
      </w:pPr>
    </w:p>
    <w:p w14:paraId="62004745">
      <w:pPr>
        <w:suppressAutoHyphens w:val="0"/>
        <w:spacing w:line="360" w:lineRule="auto"/>
        <w:rPr>
          <w:rFonts w:ascii="Arial" w:hAnsi="Arial"/>
          <w:sz w:val="21"/>
          <w:szCs w:val="21"/>
        </w:rPr>
      </w:pPr>
      <w:r>
        <w:rPr>
          <w:rFonts w:ascii="Arial" w:hAnsi="Arial"/>
          <w:bCs/>
          <w:sz w:val="21"/>
          <w:szCs w:val="21"/>
        </w:rPr>
        <w:t>Órgão/Unidade: 06.001 Secretaria Mun. de Infraestrutura e Transportes/Diretoria de Urbanismo</w:t>
      </w:r>
    </w:p>
    <w:p w14:paraId="4174E6D9">
      <w:pPr>
        <w:suppressAutoHyphens w:val="0"/>
        <w:spacing w:line="360" w:lineRule="auto"/>
        <w:rPr>
          <w:rFonts w:ascii="Arial" w:hAnsi="Arial"/>
          <w:sz w:val="21"/>
          <w:szCs w:val="21"/>
        </w:rPr>
      </w:pPr>
      <w:r>
        <w:rPr>
          <w:rFonts w:ascii="Arial" w:hAnsi="Arial"/>
          <w:bCs/>
          <w:sz w:val="21"/>
          <w:szCs w:val="21"/>
        </w:rPr>
        <w:t>Proj/ Ativ.: 2006 – Diretoria de Urbanismo</w:t>
      </w:r>
    </w:p>
    <w:p w14:paraId="337AE4FE">
      <w:pPr>
        <w:suppressAutoHyphens w:val="0"/>
        <w:spacing w:line="360" w:lineRule="auto"/>
        <w:rPr>
          <w:rFonts w:ascii="Arial" w:hAnsi="Arial"/>
          <w:sz w:val="21"/>
          <w:szCs w:val="21"/>
        </w:rPr>
      </w:pPr>
      <w:r>
        <w:rPr>
          <w:rFonts w:ascii="Arial" w:hAnsi="Arial"/>
          <w:bCs/>
          <w:sz w:val="21"/>
          <w:szCs w:val="21"/>
        </w:rPr>
        <w:t>Elemento: 3.3.90.00.00.00.00.00 – Aplicações Diretas</w:t>
      </w:r>
    </w:p>
    <w:p w14:paraId="0CA6B383">
      <w:pPr>
        <w:suppressAutoHyphens w:val="0"/>
        <w:spacing w:line="360" w:lineRule="auto"/>
        <w:rPr>
          <w:rFonts w:ascii="Arial" w:hAnsi="Arial"/>
          <w:sz w:val="21"/>
          <w:szCs w:val="21"/>
        </w:rPr>
      </w:pPr>
      <w:r>
        <w:rPr>
          <w:rFonts w:ascii="Arial" w:hAnsi="Arial"/>
          <w:bCs/>
          <w:sz w:val="21"/>
          <w:szCs w:val="21"/>
        </w:rPr>
        <w:t xml:space="preserve">Recurso: 1.500.0000.0104 – Recursos Ordinários </w:t>
      </w:r>
    </w:p>
    <w:p w14:paraId="33D6A981">
      <w:pPr>
        <w:suppressAutoHyphens w:val="0"/>
        <w:spacing w:line="360" w:lineRule="auto"/>
        <w:rPr>
          <w:rFonts w:ascii="Arial" w:hAnsi="Arial"/>
          <w:bCs/>
          <w:sz w:val="21"/>
          <w:szCs w:val="21"/>
        </w:rPr>
      </w:pPr>
    </w:p>
    <w:p w14:paraId="12F6FB3E">
      <w:pPr>
        <w:suppressAutoHyphens w:val="0"/>
        <w:spacing w:line="360" w:lineRule="auto"/>
        <w:rPr>
          <w:rFonts w:ascii="Arial" w:hAnsi="Arial"/>
          <w:sz w:val="21"/>
          <w:szCs w:val="21"/>
        </w:rPr>
      </w:pPr>
      <w:r>
        <w:rPr>
          <w:rFonts w:ascii="Arial" w:hAnsi="Arial"/>
          <w:bCs/>
          <w:sz w:val="21"/>
          <w:szCs w:val="21"/>
        </w:rPr>
        <w:t>Órgão/Unidade: 06.002 Secretaria Mun. de Infraestrutura e Transportes/Diretoria de Infra Estrutura e Transporte</w:t>
      </w:r>
    </w:p>
    <w:p w14:paraId="27C72122">
      <w:pPr>
        <w:suppressAutoHyphens w:val="0"/>
        <w:spacing w:line="360" w:lineRule="auto"/>
        <w:rPr>
          <w:rFonts w:ascii="Arial" w:hAnsi="Arial"/>
          <w:sz w:val="21"/>
          <w:szCs w:val="21"/>
        </w:rPr>
      </w:pPr>
      <w:r>
        <w:rPr>
          <w:rFonts w:ascii="Arial" w:hAnsi="Arial"/>
          <w:bCs/>
          <w:sz w:val="21"/>
          <w:szCs w:val="21"/>
        </w:rPr>
        <w:t>Proj/ Ativ.: 2007 – Diretoria de Infraestrutura</w:t>
      </w:r>
    </w:p>
    <w:p w14:paraId="5FC6315D">
      <w:pPr>
        <w:suppressAutoHyphens w:val="0"/>
        <w:spacing w:line="360" w:lineRule="auto"/>
        <w:rPr>
          <w:rFonts w:ascii="Arial" w:hAnsi="Arial"/>
          <w:sz w:val="21"/>
          <w:szCs w:val="21"/>
        </w:rPr>
      </w:pPr>
      <w:r>
        <w:rPr>
          <w:rFonts w:ascii="Arial" w:hAnsi="Arial"/>
          <w:bCs/>
          <w:sz w:val="21"/>
          <w:szCs w:val="21"/>
        </w:rPr>
        <w:t>Elemento: 3.3.90.00.00.00.00.00 – Aplicações Diretas</w:t>
      </w:r>
    </w:p>
    <w:p w14:paraId="58075FBF">
      <w:pPr>
        <w:suppressAutoHyphens w:val="0"/>
        <w:spacing w:line="360" w:lineRule="auto"/>
        <w:rPr>
          <w:rFonts w:ascii="Arial" w:hAnsi="Arial"/>
          <w:sz w:val="21"/>
          <w:szCs w:val="21"/>
        </w:rPr>
      </w:pPr>
      <w:r>
        <w:rPr>
          <w:rFonts w:ascii="Arial" w:hAnsi="Arial"/>
          <w:bCs/>
          <w:sz w:val="21"/>
          <w:szCs w:val="21"/>
        </w:rPr>
        <w:t xml:space="preserve">Recurso: 1.500.0000.0104 – Recursos Ordinários </w:t>
      </w:r>
    </w:p>
    <w:p w14:paraId="3EB2A5CF">
      <w:pPr>
        <w:suppressAutoHyphens w:val="0"/>
        <w:spacing w:line="360" w:lineRule="auto"/>
        <w:rPr>
          <w:rFonts w:ascii="Arial" w:hAnsi="Arial"/>
          <w:sz w:val="21"/>
          <w:szCs w:val="21"/>
        </w:rPr>
      </w:pPr>
    </w:p>
    <w:p w14:paraId="19739DF4">
      <w:pPr>
        <w:suppressAutoHyphens w:val="0"/>
        <w:spacing w:line="360" w:lineRule="auto"/>
        <w:rPr>
          <w:rFonts w:ascii="Arial" w:hAnsi="Arial"/>
          <w:bCs/>
          <w:sz w:val="21"/>
          <w:szCs w:val="21"/>
        </w:rPr>
      </w:pPr>
    </w:p>
    <w:p w14:paraId="1ADCEDE4">
      <w:pPr>
        <w:suppressAutoHyphens w:val="0"/>
        <w:spacing w:line="360" w:lineRule="auto"/>
        <w:rPr>
          <w:rFonts w:ascii="Arial" w:hAnsi="Arial"/>
          <w:sz w:val="21"/>
          <w:szCs w:val="21"/>
        </w:rPr>
      </w:pPr>
      <w:r>
        <w:rPr>
          <w:rFonts w:ascii="Arial" w:hAnsi="Arial"/>
          <w:bCs/>
          <w:sz w:val="21"/>
          <w:szCs w:val="21"/>
        </w:rPr>
        <w:t>Órgão/Unidade: 07.002 Secretaria Municipal de Agricultura e Ambiente/Fundo Municipal de Desenvolvimento Rural</w:t>
      </w:r>
    </w:p>
    <w:p w14:paraId="3920E89B">
      <w:pPr>
        <w:suppressAutoHyphens w:val="0"/>
        <w:spacing w:line="360" w:lineRule="auto"/>
        <w:rPr>
          <w:rFonts w:ascii="Arial" w:hAnsi="Arial"/>
          <w:sz w:val="21"/>
          <w:szCs w:val="21"/>
        </w:rPr>
      </w:pPr>
      <w:r>
        <w:rPr>
          <w:rFonts w:ascii="Arial" w:hAnsi="Arial"/>
          <w:bCs/>
          <w:sz w:val="21"/>
          <w:szCs w:val="21"/>
        </w:rPr>
        <w:t>Proj/ Ativ.: 2030 – Apoio Administrativo – FUNDERURAL</w:t>
      </w:r>
    </w:p>
    <w:p w14:paraId="5AFA5A73">
      <w:pPr>
        <w:suppressAutoHyphens w:val="0"/>
        <w:spacing w:line="360" w:lineRule="auto"/>
        <w:rPr>
          <w:rFonts w:ascii="Arial" w:hAnsi="Arial"/>
          <w:sz w:val="21"/>
          <w:szCs w:val="21"/>
        </w:rPr>
      </w:pPr>
      <w:r>
        <w:rPr>
          <w:rFonts w:ascii="Arial" w:hAnsi="Arial"/>
          <w:bCs/>
          <w:sz w:val="21"/>
          <w:szCs w:val="21"/>
        </w:rPr>
        <w:t>Elemento: 3.3.90.00.00.00.00.00 – Aplicações Diretas</w:t>
      </w:r>
    </w:p>
    <w:p w14:paraId="3564A09A">
      <w:pPr>
        <w:suppressAutoHyphens w:val="0"/>
        <w:spacing w:line="360" w:lineRule="auto"/>
        <w:rPr>
          <w:rFonts w:ascii="Arial" w:hAnsi="Arial"/>
          <w:sz w:val="21"/>
          <w:szCs w:val="21"/>
        </w:rPr>
      </w:pPr>
      <w:r>
        <w:rPr>
          <w:rFonts w:ascii="Arial" w:hAnsi="Arial"/>
          <w:bCs/>
          <w:sz w:val="21"/>
          <w:szCs w:val="21"/>
        </w:rPr>
        <w:t>Recurso: 1.500.0000.0104 – Recursos Ordinários</w:t>
      </w:r>
    </w:p>
    <w:p w14:paraId="1EDB083B">
      <w:pPr>
        <w:suppressAutoHyphens w:val="0"/>
        <w:spacing w:line="360" w:lineRule="auto"/>
        <w:rPr>
          <w:rFonts w:ascii="Arial" w:hAnsi="Arial"/>
          <w:bCs/>
          <w:sz w:val="21"/>
          <w:szCs w:val="21"/>
        </w:rPr>
      </w:pPr>
    </w:p>
    <w:p w14:paraId="2F5DF8AA">
      <w:pPr>
        <w:suppressAutoHyphens w:val="0"/>
        <w:spacing w:line="360" w:lineRule="auto"/>
        <w:rPr>
          <w:rFonts w:ascii="Arial" w:hAnsi="Arial"/>
          <w:sz w:val="21"/>
          <w:szCs w:val="21"/>
        </w:rPr>
      </w:pPr>
      <w:r>
        <w:rPr>
          <w:rFonts w:ascii="Arial" w:hAnsi="Arial"/>
          <w:bCs/>
          <w:sz w:val="21"/>
          <w:szCs w:val="21"/>
        </w:rPr>
        <w:t>Órgão/Unidade: 80.001 Serviços de Utilidade Pública/Serviços de Utilidade Pública</w:t>
      </w:r>
    </w:p>
    <w:p w14:paraId="472F255F">
      <w:pPr>
        <w:suppressAutoHyphens w:val="0"/>
        <w:spacing w:line="360" w:lineRule="auto"/>
        <w:rPr>
          <w:rFonts w:ascii="Arial" w:hAnsi="Arial"/>
          <w:sz w:val="21"/>
          <w:szCs w:val="21"/>
        </w:rPr>
      </w:pPr>
      <w:r>
        <w:rPr>
          <w:rFonts w:ascii="Arial" w:hAnsi="Arial"/>
          <w:bCs/>
          <w:sz w:val="21"/>
          <w:szCs w:val="21"/>
        </w:rPr>
        <w:t>Proj/ Ativ.: 2043 – Manutenção do CMDCA e do Conselheiros Tutelares</w:t>
      </w:r>
    </w:p>
    <w:p w14:paraId="49856CAA">
      <w:pPr>
        <w:suppressAutoHyphens w:val="0"/>
        <w:spacing w:line="360" w:lineRule="auto"/>
        <w:rPr>
          <w:rFonts w:ascii="Arial" w:hAnsi="Arial"/>
          <w:sz w:val="21"/>
          <w:szCs w:val="21"/>
        </w:rPr>
      </w:pPr>
      <w:r>
        <w:rPr>
          <w:rFonts w:ascii="Arial" w:hAnsi="Arial"/>
          <w:bCs/>
          <w:sz w:val="21"/>
          <w:szCs w:val="21"/>
        </w:rPr>
        <w:t>Elemento: 3.3.90.00.00.00.00.00 – Aplicações Diretas</w:t>
      </w:r>
    </w:p>
    <w:p w14:paraId="1CFBB9A1">
      <w:pPr>
        <w:suppressAutoHyphens w:val="0"/>
        <w:spacing w:line="360" w:lineRule="auto"/>
        <w:rPr>
          <w:rFonts w:ascii="Arial" w:hAnsi="Arial"/>
          <w:sz w:val="21"/>
          <w:szCs w:val="21"/>
        </w:rPr>
      </w:pPr>
      <w:r>
        <w:rPr>
          <w:rFonts w:ascii="Arial" w:hAnsi="Arial"/>
          <w:bCs/>
          <w:sz w:val="21"/>
          <w:szCs w:val="21"/>
        </w:rPr>
        <w:t>Recurso: 1.500.0000.0104 – Recursos Ordinários</w:t>
      </w:r>
    </w:p>
    <w:p w14:paraId="7E3B730B">
      <w:pPr>
        <w:suppressAutoHyphens w:val="0"/>
        <w:spacing w:line="360" w:lineRule="auto"/>
        <w:rPr>
          <w:rFonts w:ascii="Arial" w:hAnsi="Arial"/>
          <w:sz w:val="21"/>
          <w:szCs w:val="21"/>
        </w:rPr>
      </w:pPr>
      <w:r>
        <w:rPr>
          <w:rFonts w:ascii="Arial" w:hAnsi="Arial"/>
          <w:bCs/>
          <w:sz w:val="21"/>
          <w:szCs w:val="21"/>
        </w:rPr>
        <w:t>Proj/ Ativ.: 2044 – Segurança Pública</w:t>
      </w:r>
    </w:p>
    <w:p w14:paraId="5F97EC5A">
      <w:pPr>
        <w:suppressAutoHyphens w:val="0"/>
        <w:spacing w:line="360" w:lineRule="auto"/>
        <w:rPr>
          <w:rFonts w:ascii="Arial" w:hAnsi="Arial"/>
          <w:sz w:val="21"/>
          <w:szCs w:val="21"/>
        </w:rPr>
      </w:pPr>
      <w:r>
        <w:rPr>
          <w:rFonts w:ascii="Arial" w:hAnsi="Arial"/>
          <w:bCs/>
          <w:sz w:val="21"/>
          <w:szCs w:val="21"/>
        </w:rPr>
        <w:t>Elemento: 3.3.90.00.00.00.00.00 – Aplicações Diretas</w:t>
      </w:r>
    </w:p>
    <w:p w14:paraId="3A622A8B">
      <w:pPr>
        <w:suppressAutoHyphens w:val="0"/>
        <w:spacing w:line="360" w:lineRule="auto"/>
        <w:rPr>
          <w:rFonts w:ascii="Arial" w:hAnsi="Arial"/>
          <w:sz w:val="21"/>
          <w:szCs w:val="21"/>
        </w:rPr>
      </w:pPr>
      <w:r>
        <w:rPr>
          <w:rFonts w:ascii="Arial" w:hAnsi="Arial"/>
          <w:bCs/>
          <w:sz w:val="21"/>
          <w:szCs w:val="21"/>
        </w:rPr>
        <w:t xml:space="preserve">Recurso: 1.500.0000.0655 – Convênio Rádio Patrulha </w:t>
      </w:r>
    </w:p>
    <w:p w14:paraId="22E6E797">
      <w:pPr>
        <w:suppressAutoHyphens w:val="0"/>
        <w:spacing w:line="360" w:lineRule="auto"/>
        <w:rPr>
          <w:rFonts w:ascii="Arial" w:hAnsi="Arial"/>
          <w:sz w:val="21"/>
          <w:szCs w:val="21"/>
        </w:rPr>
      </w:pPr>
      <w:r>
        <w:rPr>
          <w:rFonts w:ascii="Arial" w:hAnsi="Arial"/>
          <w:bCs/>
          <w:sz w:val="21"/>
          <w:szCs w:val="21"/>
        </w:rPr>
        <w:t>Elemento: 3.3.90.00.00.00.00.00 – Aplicações Diretas</w:t>
      </w:r>
    </w:p>
    <w:p w14:paraId="666784FE">
      <w:pPr>
        <w:suppressAutoHyphens w:val="0"/>
        <w:spacing w:line="360" w:lineRule="auto"/>
        <w:rPr>
          <w:rFonts w:ascii="Arial" w:hAnsi="Arial"/>
          <w:sz w:val="21"/>
          <w:szCs w:val="21"/>
        </w:rPr>
      </w:pPr>
      <w:r>
        <w:rPr>
          <w:rFonts w:ascii="Arial" w:hAnsi="Arial"/>
          <w:bCs/>
          <w:sz w:val="21"/>
          <w:szCs w:val="21"/>
        </w:rPr>
        <w:t>Recurso: 1.752.7004.0054 – Convênio de Trânsito – Militar</w:t>
      </w:r>
    </w:p>
    <w:p w14:paraId="122072EE">
      <w:pPr>
        <w:suppressAutoHyphens w:val="0"/>
        <w:spacing w:line="360" w:lineRule="auto"/>
        <w:rPr>
          <w:rFonts w:ascii="Arial" w:hAnsi="Arial"/>
          <w:sz w:val="21"/>
          <w:szCs w:val="21"/>
        </w:rPr>
      </w:pPr>
      <w:r>
        <w:rPr>
          <w:rFonts w:ascii="Arial" w:hAnsi="Arial"/>
          <w:bCs/>
          <w:sz w:val="21"/>
          <w:szCs w:val="21"/>
        </w:rPr>
        <w:t>Elemento: 3.3.90.00.00.00.00.00 – Aplicações Diretas</w:t>
      </w:r>
    </w:p>
    <w:p w14:paraId="0C3FA24E">
      <w:pPr>
        <w:suppressAutoHyphens w:val="0"/>
        <w:spacing w:line="360" w:lineRule="auto"/>
        <w:rPr>
          <w:rFonts w:ascii="Arial" w:hAnsi="Arial"/>
          <w:sz w:val="21"/>
          <w:szCs w:val="21"/>
        </w:rPr>
      </w:pPr>
      <w:r>
        <w:rPr>
          <w:rFonts w:ascii="Arial" w:hAnsi="Arial"/>
          <w:bCs/>
          <w:sz w:val="21"/>
          <w:szCs w:val="21"/>
        </w:rPr>
        <w:t>Recurso: 1.752.7005.0055 – Convênio de Trânsito – Civil</w:t>
      </w:r>
    </w:p>
    <w:p w14:paraId="49BF12F1">
      <w:pPr>
        <w:suppressAutoHyphens w:val="0"/>
        <w:spacing w:line="360" w:lineRule="auto"/>
        <w:rPr>
          <w:rFonts w:ascii="Arial" w:hAnsi="Arial"/>
          <w:bCs/>
          <w:sz w:val="21"/>
          <w:szCs w:val="21"/>
        </w:rPr>
      </w:pPr>
    </w:p>
    <w:p w14:paraId="185C4DEA">
      <w:pPr>
        <w:suppressAutoHyphens w:val="0"/>
        <w:spacing w:line="360" w:lineRule="auto"/>
        <w:rPr>
          <w:rFonts w:ascii="Arial" w:hAnsi="Arial"/>
          <w:sz w:val="21"/>
          <w:szCs w:val="21"/>
        </w:rPr>
      </w:pPr>
      <w:r>
        <w:rPr>
          <w:rFonts w:ascii="Arial" w:hAnsi="Arial"/>
          <w:bCs/>
          <w:sz w:val="21"/>
          <w:szCs w:val="21"/>
        </w:rPr>
        <w:t>Entidade: FUNDO MUNICIPAL DE SAÚDE DE LINDÓIA DO SUL</w:t>
      </w:r>
    </w:p>
    <w:p w14:paraId="181E9052">
      <w:pPr>
        <w:suppressAutoHyphens w:val="0"/>
        <w:spacing w:line="360" w:lineRule="auto"/>
        <w:rPr>
          <w:rFonts w:ascii="Arial" w:hAnsi="Arial"/>
          <w:sz w:val="21"/>
          <w:szCs w:val="21"/>
        </w:rPr>
      </w:pPr>
      <w:r>
        <w:rPr>
          <w:rFonts w:ascii="Arial" w:hAnsi="Arial"/>
          <w:bCs/>
          <w:sz w:val="21"/>
          <w:szCs w:val="21"/>
        </w:rPr>
        <w:t>Órgão/Unidade: 10.001 Fundo Municipal de Saúde Lindóia do Sul</w:t>
      </w:r>
    </w:p>
    <w:p w14:paraId="5FE6FE37">
      <w:pPr>
        <w:suppressAutoHyphens w:val="0"/>
        <w:spacing w:line="360" w:lineRule="auto"/>
        <w:rPr>
          <w:rFonts w:ascii="Arial" w:hAnsi="Arial"/>
          <w:sz w:val="21"/>
          <w:szCs w:val="21"/>
        </w:rPr>
      </w:pPr>
      <w:r>
        <w:rPr>
          <w:rFonts w:ascii="Arial" w:hAnsi="Arial"/>
          <w:bCs/>
          <w:sz w:val="21"/>
          <w:szCs w:val="21"/>
        </w:rPr>
        <w:t>Proj/ Ativ.: 2028 – Manutenção das Atividades da Saúde Pública</w:t>
      </w:r>
    </w:p>
    <w:p w14:paraId="1A62A305">
      <w:pPr>
        <w:suppressAutoHyphens w:val="0"/>
        <w:spacing w:line="360" w:lineRule="auto"/>
        <w:rPr>
          <w:rFonts w:ascii="Arial" w:hAnsi="Arial"/>
          <w:sz w:val="21"/>
          <w:szCs w:val="21"/>
        </w:rPr>
      </w:pPr>
      <w:r>
        <w:rPr>
          <w:rFonts w:ascii="Arial" w:hAnsi="Arial"/>
          <w:bCs/>
          <w:sz w:val="21"/>
          <w:szCs w:val="21"/>
        </w:rPr>
        <w:t>Elemento: 3.3.90.00.00.00.00.00 – Aplicações Diretas</w:t>
      </w:r>
    </w:p>
    <w:p w14:paraId="16E4F5C7">
      <w:pPr>
        <w:suppressAutoHyphens w:val="0"/>
        <w:spacing w:line="360" w:lineRule="auto"/>
        <w:rPr>
          <w:rFonts w:ascii="Arial" w:hAnsi="Arial"/>
          <w:sz w:val="21"/>
          <w:szCs w:val="21"/>
        </w:rPr>
      </w:pPr>
      <w:r>
        <w:rPr>
          <w:rFonts w:ascii="Arial" w:hAnsi="Arial"/>
          <w:bCs/>
          <w:sz w:val="21"/>
          <w:szCs w:val="21"/>
        </w:rPr>
        <w:t xml:space="preserve">Recurso: 1.500.1002.0002 – Receita de Impostos e Transf. De Impostos – Saúde </w:t>
      </w:r>
    </w:p>
    <w:p w14:paraId="3085C7EB">
      <w:pPr>
        <w:suppressAutoHyphens w:val="0"/>
        <w:spacing w:line="360" w:lineRule="auto"/>
        <w:rPr>
          <w:rFonts w:ascii="Arial" w:hAnsi="Arial"/>
          <w:bCs/>
          <w:sz w:val="21"/>
          <w:szCs w:val="21"/>
        </w:rPr>
      </w:pPr>
    </w:p>
    <w:p w14:paraId="2D380348">
      <w:pPr>
        <w:suppressAutoHyphens w:val="0"/>
        <w:spacing w:line="360" w:lineRule="auto"/>
        <w:rPr>
          <w:rFonts w:ascii="Arial" w:hAnsi="Arial"/>
          <w:sz w:val="21"/>
          <w:szCs w:val="21"/>
        </w:rPr>
      </w:pPr>
      <w:r>
        <w:rPr>
          <w:rFonts w:ascii="Arial" w:hAnsi="Arial"/>
          <w:bCs/>
          <w:sz w:val="21"/>
          <w:szCs w:val="21"/>
        </w:rPr>
        <w:t>Proj/ Ativ.: 2025 Operacionalização das Estratégias Saúde da Família - ESF</w:t>
      </w:r>
    </w:p>
    <w:p w14:paraId="0265D39F">
      <w:pPr>
        <w:suppressAutoHyphens w:val="0"/>
        <w:spacing w:line="360" w:lineRule="auto"/>
        <w:rPr>
          <w:rFonts w:ascii="Arial" w:hAnsi="Arial"/>
          <w:sz w:val="21"/>
          <w:szCs w:val="21"/>
        </w:rPr>
      </w:pPr>
      <w:r>
        <w:rPr>
          <w:rFonts w:ascii="Arial" w:hAnsi="Arial"/>
          <w:bCs/>
          <w:sz w:val="21"/>
          <w:szCs w:val="21"/>
        </w:rPr>
        <w:t>Elemento: 3.3.90.00.00.00.00.00 – Aplicações Diretas</w:t>
      </w:r>
    </w:p>
    <w:p w14:paraId="5B6B68E1">
      <w:pPr>
        <w:suppressAutoHyphens w:val="0"/>
        <w:spacing w:line="360" w:lineRule="auto"/>
        <w:rPr>
          <w:rFonts w:ascii="Arial" w:hAnsi="Arial"/>
          <w:sz w:val="21"/>
          <w:szCs w:val="21"/>
        </w:rPr>
      </w:pPr>
      <w:r>
        <w:rPr>
          <w:rFonts w:ascii="Arial" w:hAnsi="Arial"/>
          <w:bCs/>
          <w:sz w:val="21"/>
          <w:szCs w:val="21"/>
        </w:rPr>
        <w:t xml:space="preserve">Recurso: 1.500.1002.0002 – Receita de Impostos e Transf. De Impostos – Saúde </w:t>
      </w:r>
    </w:p>
    <w:p w14:paraId="420DC267">
      <w:pPr>
        <w:suppressAutoHyphens w:val="0"/>
        <w:spacing w:line="360" w:lineRule="auto"/>
        <w:rPr>
          <w:rFonts w:ascii="Arial" w:hAnsi="Arial"/>
          <w:sz w:val="21"/>
          <w:szCs w:val="21"/>
        </w:rPr>
      </w:pPr>
      <w:r>
        <w:rPr>
          <w:rFonts w:ascii="Arial" w:hAnsi="Arial"/>
          <w:bCs/>
          <w:sz w:val="21"/>
          <w:szCs w:val="21"/>
        </w:rPr>
        <w:t>Elemento: 3.3.90.00.00.00.00.00 – Aplicações Diretas</w:t>
      </w:r>
    </w:p>
    <w:p w14:paraId="7A65F643">
      <w:pPr>
        <w:suppressAutoHyphens w:val="0"/>
        <w:spacing w:line="360" w:lineRule="auto"/>
        <w:rPr>
          <w:rFonts w:ascii="Arial" w:hAnsi="Arial"/>
          <w:sz w:val="21"/>
          <w:szCs w:val="21"/>
        </w:rPr>
      </w:pPr>
      <w:r>
        <w:rPr>
          <w:rFonts w:ascii="Arial" w:hAnsi="Arial"/>
          <w:bCs/>
          <w:sz w:val="21"/>
          <w:szCs w:val="21"/>
        </w:rPr>
        <w:t xml:space="preserve">Recurso: 1.600.0000.0332 – Serviços Pub.Saúde/CUSTEIO </w:t>
      </w:r>
    </w:p>
    <w:p w14:paraId="501F8E83">
      <w:pPr>
        <w:suppressAutoHyphens w:val="0"/>
        <w:spacing w:line="360" w:lineRule="auto"/>
        <w:rPr>
          <w:rFonts w:ascii="Arial" w:hAnsi="Arial"/>
          <w:bCs/>
          <w:sz w:val="21"/>
          <w:szCs w:val="21"/>
        </w:rPr>
      </w:pPr>
    </w:p>
    <w:p w14:paraId="1692DCFA">
      <w:pPr>
        <w:suppressAutoHyphens w:val="0"/>
        <w:spacing w:line="360" w:lineRule="auto"/>
        <w:rPr>
          <w:rFonts w:ascii="Arial" w:hAnsi="Arial"/>
          <w:sz w:val="21"/>
          <w:szCs w:val="21"/>
        </w:rPr>
      </w:pPr>
      <w:r>
        <w:rPr>
          <w:rFonts w:ascii="Arial" w:hAnsi="Arial"/>
          <w:bCs/>
          <w:sz w:val="21"/>
          <w:szCs w:val="21"/>
        </w:rPr>
        <w:t>Proj/ Ativ.: 2039 – Serviços de Vigilância Sanitária em Saúde</w:t>
      </w:r>
    </w:p>
    <w:p w14:paraId="0C4AE124">
      <w:pPr>
        <w:suppressAutoHyphens w:val="0"/>
        <w:spacing w:line="360" w:lineRule="auto"/>
        <w:rPr>
          <w:rFonts w:ascii="Arial" w:hAnsi="Arial"/>
          <w:sz w:val="21"/>
          <w:szCs w:val="21"/>
        </w:rPr>
      </w:pPr>
      <w:r>
        <w:rPr>
          <w:rFonts w:ascii="Arial" w:hAnsi="Arial"/>
          <w:bCs/>
          <w:sz w:val="21"/>
          <w:szCs w:val="21"/>
        </w:rPr>
        <w:t>Elemento: 3.3.90.00.00.00.00.00 – Aplicações Diretas</w:t>
      </w:r>
    </w:p>
    <w:p w14:paraId="6EBF0C8E">
      <w:pPr>
        <w:suppressAutoHyphens w:val="0"/>
        <w:spacing w:line="360" w:lineRule="auto"/>
        <w:rPr>
          <w:rFonts w:ascii="Arial" w:hAnsi="Arial"/>
          <w:sz w:val="21"/>
          <w:szCs w:val="21"/>
        </w:rPr>
      </w:pPr>
      <w:r>
        <w:rPr>
          <w:rFonts w:ascii="Arial" w:hAnsi="Arial"/>
          <w:bCs/>
          <w:sz w:val="21"/>
          <w:szCs w:val="21"/>
        </w:rPr>
        <w:t>Recurso: 1.500.1002.0002 – Receita de Impostos e Transf. De Impostos – Saúde</w:t>
      </w:r>
    </w:p>
    <w:p w14:paraId="1B9E8D6A">
      <w:pPr>
        <w:suppressAutoHyphens w:val="0"/>
        <w:spacing w:line="360" w:lineRule="auto"/>
        <w:rPr>
          <w:rFonts w:ascii="Arial" w:hAnsi="Arial"/>
          <w:sz w:val="21"/>
          <w:szCs w:val="21"/>
        </w:rPr>
      </w:pPr>
      <w:r>
        <w:rPr>
          <w:rFonts w:ascii="Arial" w:hAnsi="Arial"/>
          <w:bCs/>
          <w:sz w:val="21"/>
          <w:szCs w:val="21"/>
        </w:rPr>
        <w:t>Elemento: 3.3.90.00.00.00.00.00 – Aplicações Diretas</w:t>
      </w:r>
    </w:p>
    <w:p w14:paraId="25E9D31D">
      <w:pPr>
        <w:suppressAutoHyphens w:val="0"/>
        <w:spacing w:line="360" w:lineRule="auto"/>
        <w:rPr>
          <w:rFonts w:ascii="Arial" w:hAnsi="Arial"/>
          <w:sz w:val="21"/>
          <w:szCs w:val="21"/>
        </w:rPr>
      </w:pPr>
      <w:r>
        <w:rPr>
          <w:rFonts w:ascii="Arial" w:hAnsi="Arial"/>
          <w:bCs/>
          <w:sz w:val="21"/>
          <w:szCs w:val="21"/>
        </w:rPr>
        <w:t>Recurso: 1.600.0000.0332 – Serviços Pub.Saúde/CUSTEIO</w:t>
      </w:r>
    </w:p>
    <w:p w14:paraId="68A7A4A3">
      <w:pPr>
        <w:suppressAutoHyphens w:val="0"/>
        <w:spacing w:line="360" w:lineRule="auto"/>
        <w:rPr>
          <w:rFonts w:ascii="Arial" w:hAnsi="Arial" w:eastAsia="Times New Roman"/>
          <w:color w:val="000000"/>
          <w:kern w:val="0"/>
          <w:sz w:val="21"/>
          <w:szCs w:val="21"/>
          <w:lang w:eastAsia="pt-BR"/>
        </w:rPr>
      </w:pPr>
    </w:p>
    <w:p w14:paraId="1F9734D5">
      <w:pPr>
        <w:suppressAutoHyphens w:val="0"/>
        <w:spacing w:line="360" w:lineRule="auto"/>
        <w:rPr>
          <w:rFonts w:ascii="Arial" w:hAnsi="Arial"/>
          <w:sz w:val="21"/>
          <w:szCs w:val="21"/>
        </w:rPr>
      </w:pPr>
      <w:r>
        <w:rPr>
          <w:rFonts w:ascii="Arial" w:hAnsi="Arial" w:eastAsia="Times New Roman"/>
          <w:color w:val="000000"/>
          <w:kern w:val="0"/>
          <w:sz w:val="21"/>
          <w:szCs w:val="21"/>
          <w:lang w:eastAsia="pt-BR"/>
        </w:rPr>
        <w:t>Para o(s) exercício(s) seguinte(s), serão utilizadas as dotações que estiverem vigentes na data das contratações.</w:t>
      </w:r>
    </w:p>
    <w:p w14:paraId="75D38AA6">
      <w:pPr>
        <w:suppressAutoHyphens w:val="0"/>
        <w:spacing w:line="360" w:lineRule="auto"/>
        <w:rPr>
          <w:rFonts w:ascii="Arial" w:hAnsi="Arial" w:eastAsia="Times New Roman"/>
          <w:color w:val="000000"/>
          <w:kern w:val="0"/>
          <w:sz w:val="21"/>
          <w:szCs w:val="21"/>
          <w:highlight w:val="yellow"/>
          <w:lang w:eastAsia="pt-BR"/>
        </w:rPr>
      </w:pPr>
    </w:p>
    <w:p w14:paraId="1D54F7EF">
      <w:pPr>
        <w:pStyle w:val="402"/>
        <w:numPr>
          <w:ilvl w:val="0"/>
          <w:numId w:val="0"/>
        </w:numPr>
        <w:spacing w:before="142" w:after="142" w:line="360" w:lineRule="auto"/>
        <w:ind w:left="0" w:firstLine="0"/>
        <w:contextualSpacing/>
        <w:rPr>
          <w:rFonts w:ascii="Arial" w:hAnsi="Arial"/>
          <w:sz w:val="21"/>
          <w:szCs w:val="21"/>
        </w:rPr>
      </w:pPr>
      <w:r>
        <w:rPr>
          <w:rFonts w:ascii="Arial" w:hAnsi="Arial" w:cs="Arial"/>
          <w:b/>
          <w:sz w:val="21"/>
          <w:szCs w:val="21"/>
        </w:rPr>
        <w:t>6.</w:t>
      </w:r>
      <w:r>
        <w:rPr>
          <w:rFonts w:ascii="Arial" w:hAnsi="Arial" w:cs="Arial"/>
          <w:b/>
          <w:sz w:val="21"/>
          <w:szCs w:val="21"/>
        </w:rPr>
        <w:tab/>
      </w:r>
      <w:r>
        <w:rPr>
          <w:rFonts w:ascii="Arial" w:hAnsi="Arial" w:cs="Arial"/>
          <w:b/>
          <w:sz w:val="21"/>
          <w:szCs w:val="21"/>
        </w:rPr>
        <w:t>FORMA E CRITÉRIOS DE SELEÇÃO DO FORNECEDOR</w:t>
      </w:r>
    </w:p>
    <w:p w14:paraId="20FB31FE">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Através da licitação a ser realizada na modalidade pregão, na forma eletrônica, e auxiliada pelo Sistema de Registro de Preços, devidamente regulamentado pelo decreto municipal, será selecionado como fornecedor que apresentar proposta de MENOR PREÇO, JULGAMENTO POR ITEM, não podendo o valor unitário de cada item ser superior ao seu valor de referência, modo de disputa ABERTO, nos termos do art. 6º, inciso XLI, e do art. 34, ambos da Lei Federal n. 14.133/2021, desde que atendidas às exigências e disposições dos descritivos, deste Termo de Referência e do Edital a ser publicado.</w:t>
      </w:r>
    </w:p>
    <w:p w14:paraId="7FFB96FC">
      <w:pPr>
        <w:pStyle w:val="402"/>
        <w:numPr>
          <w:ilvl w:val="0"/>
          <w:numId w:val="0"/>
        </w:numPr>
        <w:tabs>
          <w:tab w:val="left" w:pos="2340"/>
          <w:tab w:val="left" w:pos="4464"/>
        </w:tabs>
        <w:spacing w:before="142" w:after="142" w:line="360" w:lineRule="auto"/>
        <w:ind w:left="0" w:firstLine="0"/>
        <w:contextualSpacing/>
        <w:jc w:val="both"/>
        <w:rPr>
          <w:rFonts w:ascii="Arial" w:hAnsi="Arial"/>
          <w:sz w:val="21"/>
          <w:szCs w:val="21"/>
        </w:rPr>
      </w:pPr>
      <w:r>
        <w:rPr>
          <w:rFonts w:ascii="Arial" w:hAnsi="Arial" w:cs="Arial"/>
          <w:b/>
          <w:bCs/>
          <w:sz w:val="21"/>
          <w:szCs w:val="21"/>
        </w:rPr>
        <w:t>6.1.      EXIGÊNCIA DE AMOSTRAS</w:t>
      </w:r>
    </w:p>
    <w:p w14:paraId="6998F57A">
      <w:pPr>
        <w:tabs>
          <w:tab w:val="left" w:pos="2340"/>
          <w:tab w:val="left" w:pos="4464"/>
        </w:tabs>
        <w:spacing w:before="142" w:after="142" w:line="360" w:lineRule="auto"/>
        <w:ind w:firstLine="709"/>
        <w:jc w:val="both"/>
        <w:rPr>
          <w:rFonts w:ascii="Arial" w:hAnsi="Arial"/>
          <w:sz w:val="21"/>
          <w:szCs w:val="21"/>
        </w:rPr>
      </w:pPr>
      <w:r>
        <w:rPr>
          <w:rFonts w:ascii="Arial" w:hAnsi="Arial"/>
          <w:sz w:val="21"/>
          <w:szCs w:val="21"/>
        </w:rPr>
        <w:t>Não se aplica.</w:t>
      </w:r>
    </w:p>
    <w:p w14:paraId="0DB48952">
      <w:pPr>
        <w:spacing w:before="142" w:after="142" w:line="360" w:lineRule="auto"/>
        <w:jc w:val="both"/>
        <w:rPr>
          <w:rFonts w:ascii="Arial" w:hAnsi="Arial"/>
          <w:sz w:val="21"/>
          <w:szCs w:val="21"/>
        </w:rPr>
      </w:pPr>
      <w:r>
        <w:rPr>
          <w:rFonts w:ascii="Arial" w:hAnsi="Arial" w:eastAsia="Lucida Sans Unicode"/>
          <w:color w:val="000000"/>
          <w:sz w:val="21"/>
          <w:szCs w:val="21"/>
          <w:lang w:eastAsia="pt-BR"/>
        </w:rPr>
        <w:t xml:space="preserve">6.2. </w:t>
      </w:r>
      <w:r>
        <w:rPr>
          <w:rFonts w:ascii="Arial" w:hAnsi="Arial" w:eastAsia="Lucida Sans Unicode"/>
          <w:color w:val="000000"/>
          <w:sz w:val="21"/>
          <w:szCs w:val="21"/>
          <w:lang w:eastAsia="pt-BR"/>
        </w:rPr>
        <w:tab/>
      </w:r>
      <w:r>
        <w:rPr>
          <w:rFonts w:ascii="Arial" w:hAnsi="Arial"/>
          <w:b/>
          <w:sz w:val="21"/>
          <w:szCs w:val="21"/>
        </w:rPr>
        <w:t>MODELO DE EXECUÇÃO DO OBJETO</w:t>
      </w:r>
    </w:p>
    <w:p w14:paraId="6B455FA4">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Conforme disposto no </w:t>
      </w:r>
      <w:r>
        <w:rPr>
          <w:rFonts w:ascii="Arial" w:hAnsi="Arial"/>
          <w:sz w:val="21"/>
          <w:szCs w:val="21"/>
        </w:rPr>
        <w:t>art. 84, parágrafo único, da Lei Federal n. 14.133/2021</w:t>
      </w:r>
      <w:r>
        <w:rPr>
          <w:rFonts w:ascii="Arial" w:hAnsi="Arial"/>
          <w:bCs/>
          <w:sz w:val="21"/>
          <w:szCs w:val="21"/>
        </w:rPr>
        <w:t xml:space="preserve">, o contrato decorrente do Sistema de Registro de Preços deverá ser assinado no prazo de vigência da ata de registro de preços </w:t>
      </w:r>
      <w:r>
        <w:rPr>
          <w:rFonts w:ascii="Arial" w:hAnsi="Arial"/>
          <w:sz w:val="21"/>
          <w:szCs w:val="21"/>
        </w:rPr>
        <w:t>e terá sua vigência estabelecida em conformidade com as disposições nela contidas.</w:t>
      </w:r>
    </w:p>
    <w:p w14:paraId="77374D27">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A contratação do item, com fornecimento parcelado, será efetuada conforme a necessidade de cada Órgão Participante, não lhe sendo gerado, pela existência de preços registrados, a obrigação de contratar, nos termos do art. 83 da Lei Federal n. 14.133/2021. </w:t>
      </w:r>
    </w:p>
    <w:p w14:paraId="483CC93C">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A contratação com os fornecedores registrados será formalizada pelo Órgão Participante por intermédio de emissão de nota de empenho de despesa e autorização de fornecimento de compra.</w:t>
      </w:r>
    </w:p>
    <w:p w14:paraId="42D0C7A1">
      <w:pPr>
        <w:tabs>
          <w:tab w:val="left" w:pos="2340"/>
          <w:tab w:val="left" w:pos="4464"/>
        </w:tabs>
        <w:spacing w:before="142" w:after="142" w:line="360" w:lineRule="auto"/>
        <w:ind w:firstLine="709"/>
        <w:jc w:val="both"/>
        <w:rPr>
          <w:rFonts w:ascii="Arial" w:hAnsi="Arial"/>
          <w:sz w:val="21"/>
          <w:szCs w:val="21"/>
        </w:rPr>
      </w:pPr>
    </w:p>
    <w:p w14:paraId="176C3756">
      <w:pPr>
        <w:tabs>
          <w:tab w:val="left" w:pos="2340"/>
          <w:tab w:val="left" w:pos="4464"/>
        </w:tabs>
        <w:spacing w:line="360" w:lineRule="auto"/>
        <w:ind w:left="142" w:firstLine="0"/>
        <w:jc w:val="both"/>
        <w:rPr>
          <w:rFonts w:ascii="Arial" w:hAnsi="Arial"/>
          <w:sz w:val="21"/>
          <w:szCs w:val="21"/>
        </w:rPr>
      </w:pPr>
      <w:r>
        <w:rPr>
          <w:rFonts w:ascii="Arial" w:hAnsi="Arial"/>
          <w:b/>
          <w:bCs/>
          <w:sz w:val="21"/>
          <w:szCs w:val="21"/>
        </w:rPr>
        <w:t>6.3.</w:t>
      </w:r>
      <w:r>
        <w:rPr>
          <w:rFonts w:ascii="Arial" w:hAnsi="Arial"/>
          <w:bCs/>
          <w:sz w:val="21"/>
          <w:szCs w:val="21"/>
        </w:rPr>
        <w:t xml:space="preserve">    </w:t>
      </w:r>
      <w:r>
        <w:rPr>
          <w:rFonts w:ascii="Arial" w:hAnsi="Arial"/>
          <w:b/>
          <w:sz w:val="21"/>
          <w:szCs w:val="21"/>
        </w:rPr>
        <w:t>ENTREGA DO OBJETO</w:t>
      </w:r>
    </w:p>
    <w:p w14:paraId="06DB34C0">
      <w:pPr>
        <w:pStyle w:val="402"/>
        <w:numPr>
          <w:ilvl w:val="0"/>
          <w:numId w:val="0"/>
        </w:numPr>
        <w:suppressAutoHyphens w:val="0"/>
        <w:spacing w:before="0" w:afterAutospacing="1" w:line="360" w:lineRule="auto"/>
        <w:ind w:left="0" w:firstLine="0"/>
        <w:contextualSpacing w:val="0"/>
        <w:jc w:val="both"/>
        <w:rPr>
          <w:rFonts w:ascii="Arial" w:hAnsi="Arial"/>
          <w:sz w:val="21"/>
          <w:szCs w:val="21"/>
        </w:rPr>
      </w:pPr>
      <w:r>
        <w:rPr>
          <w:rFonts w:ascii="Arial" w:hAnsi="Arial" w:eastAsia="Times New Roman" w:cs="Arial"/>
          <w:color w:val="000000"/>
          <w:kern w:val="0"/>
          <w:sz w:val="21"/>
          <w:szCs w:val="21"/>
          <w:lang w:eastAsia="pt-BR" w:bidi="ar-SA"/>
        </w:rPr>
        <w:t xml:space="preserve">            A gasolina comum deverá ser efetuado conforme a necessidade do Município de Lindóia do Sul, em bomba própria ou conveniada a qual deverá estar localizada no perímetro urbano do Município, mediante apresentação de Ordem de Abastecimento fornecida pelo responsável do Setor de Controle de veículos.</w:t>
      </w:r>
    </w:p>
    <w:p w14:paraId="5683B8CD">
      <w:pPr>
        <w:pStyle w:val="402"/>
        <w:numPr>
          <w:ilvl w:val="0"/>
          <w:numId w:val="0"/>
        </w:numPr>
        <w:suppressAutoHyphens w:val="0"/>
        <w:spacing w:beforeAutospacing="1" w:afterAutospacing="1" w:line="360" w:lineRule="auto"/>
        <w:ind w:left="0" w:firstLine="0"/>
        <w:contextualSpacing/>
        <w:jc w:val="both"/>
        <w:rPr>
          <w:rFonts w:ascii="Arial" w:hAnsi="Arial"/>
          <w:sz w:val="21"/>
          <w:szCs w:val="21"/>
        </w:rPr>
      </w:pPr>
      <w:r>
        <w:rPr>
          <w:rFonts w:ascii="Arial" w:hAnsi="Arial" w:eastAsia="Times New Roman" w:cs="Arial"/>
          <w:b/>
          <w:color w:val="000000"/>
          <w:kern w:val="0"/>
          <w:sz w:val="21"/>
          <w:szCs w:val="21"/>
          <w:lang w:eastAsia="pt-BR" w:bidi="ar-SA"/>
        </w:rPr>
        <w:t>7.</w:t>
      </w:r>
      <w:r>
        <w:rPr>
          <w:rFonts w:ascii="Arial" w:hAnsi="Arial" w:eastAsia="Times New Roman" w:cs="Arial"/>
          <w:b/>
          <w:color w:val="000000"/>
          <w:kern w:val="0"/>
          <w:sz w:val="21"/>
          <w:szCs w:val="21"/>
          <w:lang w:eastAsia="pt-BR" w:bidi="ar-SA"/>
        </w:rPr>
        <w:tab/>
      </w:r>
      <w:r>
        <w:rPr>
          <w:rFonts w:ascii="Arial" w:hAnsi="Arial" w:cs="Arial"/>
          <w:b/>
          <w:sz w:val="21"/>
          <w:szCs w:val="21"/>
        </w:rPr>
        <w:t>MODELO DE GESTÃO DO CONTRATO</w:t>
      </w:r>
    </w:p>
    <w:p w14:paraId="2A0C8165">
      <w:pPr>
        <w:tabs>
          <w:tab w:val="left" w:pos="2340"/>
          <w:tab w:val="left" w:pos="4464"/>
        </w:tabs>
        <w:spacing w:line="360" w:lineRule="auto"/>
        <w:ind w:firstLine="709"/>
        <w:jc w:val="both"/>
        <w:rPr>
          <w:rFonts w:ascii="Arial" w:hAnsi="Arial"/>
          <w:sz w:val="21"/>
          <w:szCs w:val="21"/>
        </w:rPr>
      </w:pPr>
      <w:r>
        <w:rPr>
          <w:rFonts w:ascii="Arial" w:hAnsi="Arial"/>
          <w:bCs/>
          <w:sz w:val="21"/>
          <w:szCs w:val="21"/>
        </w:rPr>
        <w:t xml:space="preserve">A contratação decorrente do Sistema de Registro de Preços realizado pelo município é de total autonomia e responsabilidade do Órgão Participante o momento e a justificativa da contratação, observados a disponibilidade orçamentária e o prazo de vigência da ata, de acordo com a sua necessidade, sem qualquer interferência do Órgão Gerenciador na decisão de contratação. </w:t>
      </w:r>
    </w:p>
    <w:p w14:paraId="26463FA1">
      <w:pPr>
        <w:tabs>
          <w:tab w:val="left" w:pos="2340"/>
          <w:tab w:val="left" w:pos="4464"/>
        </w:tabs>
        <w:spacing w:line="360" w:lineRule="auto"/>
        <w:ind w:firstLine="709"/>
        <w:jc w:val="both"/>
        <w:rPr>
          <w:rFonts w:ascii="Arial" w:hAnsi="Arial"/>
          <w:sz w:val="21"/>
          <w:szCs w:val="21"/>
        </w:rPr>
      </w:pPr>
      <w:r>
        <w:rPr>
          <w:rFonts w:ascii="Arial" w:hAnsi="Arial"/>
          <w:bCs/>
          <w:sz w:val="21"/>
          <w:szCs w:val="21"/>
        </w:rPr>
        <w:t xml:space="preserve">Em conformidade com o art. 117 da Lei Federal n. 14.133/2021, o Órgão Participante deverá designar fiscal de contrato e representante da administração pública para acompanhamento e fiscalização da execução dos contratos celebrados entre este Órgão Participante e os fornecedores contratados na licitação, conforme requisitos estabelecidos no art. 7º do referido diploma legal. A vinculação do fiscal e representante da administração pública será associada na emissão da Solicitação de Fornecimento e será consignada na Autorização de Fornecimento com a sua respectiva ciência. </w:t>
      </w:r>
    </w:p>
    <w:p w14:paraId="40D723D4">
      <w:pPr>
        <w:tabs>
          <w:tab w:val="left" w:pos="2340"/>
          <w:tab w:val="left" w:pos="4464"/>
        </w:tabs>
        <w:spacing w:line="360" w:lineRule="auto"/>
        <w:ind w:firstLine="709"/>
        <w:jc w:val="both"/>
        <w:rPr>
          <w:rFonts w:ascii="Arial" w:hAnsi="Arial"/>
          <w:sz w:val="21"/>
          <w:szCs w:val="21"/>
        </w:rPr>
      </w:pPr>
      <w:r>
        <w:rPr>
          <w:rFonts w:ascii="Arial" w:hAnsi="Arial"/>
          <w:bCs/>
          <w:sz w:val="21"/>
          <w:szCs w:val="21"/>
        </w:rPr>
        <w:t>Caberá ao gestor do contrato constituir relatório final de que trata o art. 174, § 3º, inciso VI, alínea “d”, da Lei Federal n. 14.133/2021 com as informações obtidas durante a execução do contrato, como forma de aprimoramento das atividades da Administração.</w:t>
      </w:r>
    </w:p>
    <w:p w14:paraId="685128CC">
      <w:pPr>
        <w:pStyle w:val="402"/>
        <w:numPr>
          <w:ilvl w:val="0"/>
          <w:numId w:val="0"/>
        </w:numPr>
        <w:spacing w:before="142" w:after="142" w:line="360" w:lineRule="auto"/>
        <w:ind w:left="0" w:firstLine="0"/>
        <w:contextualSpacing/>
        <w:rPr>
          <w:rFonts w:ascii="Arial" w:hAnsi="Arial"/>
          <w:sz w:val="21"/>
          <w:szCs w:val="21"/>
        </w:rPr>
      </w:pPr>
      <w:r>
        <w:rPr>
          <w:rFonts w:ascii="Arial" w:hAnsi="Arial" w:cs="Arial"/>
          <w:b/>
          <w:sz w:val="21"/>
          <w:szCs w:val="21"/>
        </w:rPr>
        <w:t>8.</w:t>
      </w:r>
      <w:r>
        <w:rPr>
          <w:rFonts w:ascii="Arial" w:hAnsi="Arial" w:cs="Arial"/>
          <w:b/>
          <w:sz w:val="21"/>
          <w:szCs w:val="21"/>
        </w:rPr>
        <w:tab/>
      </w:r>
      <w:r>
        <w:rPr>
          <w:rFonts w:ascii="Arial" w:hAnsi="Arial" w:cs="Arial"/>
          <w:b/>
          <w:sz w:val="21"/>
          <w:szCs w:val="21"/>
        </w:rPr>
        <w:t>CRITÉRIOS DE MEDIÇÃO E PAGAMENTO</w:t>
      </w:r>
    </w:p>
    <w:p w14:paraId="7D6F74DD">
      <w:pPr>
        <w:pStyle w:val="402"/>
        <w:numPr>
          <w:ilvl w:val="0"/>
          <w:numId w:val="0"/>
        </w:numPr>
        <w:spacing w:before="142" w:after="142" w:line="360" w:lineRule="auto"/>
        <w:ind w:left="0" w:firstLine="0"/>
        <w:contextualSpacing/>
        <w:rPr>
          <w:rFonts w:ascii="Arial" w:hAnsi="Arial"/>
          <w:sz w:val="21"/>
          <w:szCs w:val="21"/>
        </w:rPr>
      </w:pPr>
      <w:r>
        <w:rPr>
          <w:rFonts w:ascii="Arial" w:hAnsi="Arial" w:cs="Arial"/>
          <w:b/>
          <w:sz w:val="21"/>
          <w:szCs w:val="21"/>
        </w:rPr>
        <w:t>8.1.</w:t>
      </w:r>
      <w:r>
        <w:rPr>
          <w:rFonts w:ascii="Arial" w:hAnsi="Arial" w:cs="Arial"/>
          <w:b/>
          <w:sz w:val="21"/>
          <w:szCs w:val="21"/>
        </w:rPr>
        <w:tab/>
      </w:r>
      <w:r>
        <w:rPr>
          <w:rFonts w:ascii="Arial" w:hAnsi="Arial" w:cs="Arial"/>
          <w:b/>
          <w:sz w:val="21"/>
          <w:szCs w:val="21"/>
        </w:rPr>
        <w:t>CRITÉRIOS DE MEDIÇÃO</w:t>
      </w:r>
    </w:p>
    <w:p w14:paraId="37E71423">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Por se tratar de simples aquisição de bem comum e de entrega imediata, inexistem critérios de medição a serem fixados.</w:t>
      </w:r>
    </w:p>
    <w:p w14:paraId="6ACE0CF3">
      <w:pPr>
        <w:pStyle w:val="402"/>
        <w:numPr>
          <w:ilvl w:val="0"/>
          <w:numId w:val="0"/>
        </w:numPr>
        <w:spacing w:before="142" w:after="142" w:line="360" w:lineRule="auto"/>
        <w:ind w:left="0" w:firstLine="0"/>
        <w:contextualSpacing/>
        <w:rPr>
          <w:rFonts w:ascii="Arial" w:hAnsi="Arial"/>
          <w:sz w:val="21"/>
          <w:szCs w:val="21"/>
        </w:rPr>
      </w:pPr>
      <w:r>
        <w:rPr>
          <w:rFonts w:ascii="Arial" w:hAnsi="Arial" w:cs="Arial"/>
          <w:b/>
          <w:sz w:val="21"/>
          <w:szCs w:val="21"/>
        </w:rPr>
        <w:t>8.2.</w:t>
      </w:r>
      <w:r>
        <w:rPr>
          <w:rFonts w:ascii="Arial" w:hAnsi="Arial" w:cs="Arial"/>
          <w:b/>
          <w:sz w:val="21"/>
          <w:szCs w:val="21"/>
        </w:rPr>
        <w:tab/>
      </w:r>
      <w:r>
        <w:rPr>
          <w:rFonts w:ascii="Arial" w:hAnsi="Arial" w:cs="Arial"/>
          <w:b/>
          <w:sz w:val="21"/>
          <w:szCs w:val="21"/>
        </w:rPr>
        <w:t>CRITÉRIOS DE PAGAMENTO</w:t>
      </w:r>
    </w:p>
    <w:p w14:paraId="5A830580">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O pagamento pelas aquisições, objeto da presente licitação, será feito pelo Órgão Participante em favor do licitante vencedor mediante boleto ou </w:t>
      </w:r>
      <w:r>
        <w:rPr>
          <w:rFonts w:ascii="Arial" w:hAnsi="Arial"/>
          <w:sz w:val="21"/>
          <w:szCs w:val="21"/>
        </w:rPr>
        <w:t>transferência bancária (TED, DOC, depósito) em conta corrente de titularidade do fornecedor</w:t>
      </w:r>
      <w:r>
        <w:rPr>
          <w:rFonts w:ascii="Arial" w:hAnsi="Arial"/>
          <w:bCs/>
          <w:sz w:val="21"/>
          <w:szCs w:val="21"/>
        </w:rPr>
        <w:t xml:space="preserve">. </w:t>
      </w:r>
    </w:p>
    <w:p w14:paraId="51D043C5">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O Órgão Participante efetuará o pagamento em até 15 dias após a data de recebimento do objeto desta licitação acompanhado da respectiva Nota Fiscal Eletrônica e arquivo XML. </w:t>
      </w:r>
    </w:p>
    <w:p w14:paraId="7E7C4588">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 xml:space="preserve">O número do CNPJ - Cadastro Nacional de Pessoa Jurídica - constante das notas fiscais deverá ser aquele fornecido na fase de habilitação, exceto no caso de participação de empresas em consórcio. </w:t>
      </w:r>
    </w:p>
    <w:p w14:paraId="1E8B7E37">
      <w:pPr>
        <w:tabs>
          <w:tab w:val="left" w:pos="2340"/>
          <w:tab w:val="left" w:pos="4464"/>
        </w:tabs>
        <w:spacing w:before="142" w:after="142" w:line="360" w:lineRule="auto"/>
        <w:ind w:firstLine="709"/>
        <w:jc w:val="both"/>
        <w:rPr>
          <w:rFonts w:ascii="Arial" w:hAnsi="Arial"/>
          <w:sz w:val="21"/>
          <w:szCs w:val="21"/>
        </w:rPr>
      </w:pPr>
      <w:r>
        <w:rPr>
          <w:rFonts w:ascii="Arial" w:hAnsi="Arial"/>
          <w:bCs/>
          <w:sz w:val="21"/>
          <w:szCs w:val="21"/>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p>
    <w:p w14:paraId="43ADDE1F">
      <w:pPr>
        <w:tabs>
          <w:tab w:val="left" w:pos="2340"/>
          <w:tab w:val="left" w:pos="4464"/>
        </w:tabs>
        <w:spacing w:before="142" w:after="142" w:line="360" w:lineRule="auto"/>
        <w:jc w:val="both"/>
        <w:rPr>
          <w:rFonts w:ascii="Arial" w:hAnsi="Arial"/>
          <w:bCs/>
          <w:sz w:val="21"/>
          <w:szCs w:val="21"/>
        </w:rPr>
      </w:pPr>
    </w:p>
    <w:p w14:paraId="588666E2">
      <w:pPr>
        <w:tabs>
          <w:tab w:val="left" w:pos="2340"/>
          <w:tab w:val="left" w:pos="4464"/>
        </w:tabs>
        <w:spacing w:line="360" w:lineRule="auto"/>
        <w:ind w:firstLine="709"/>
        <w:jc w:val="left"/>
        <w:rPr>
          <w:rFonts w:ascii="Arial" w:hAnsi="Arial"/>
          <w:sz w:val="21"/>
          <w:szCs w:val="21"/>
        </w:rPr>
      </w:pPr>
      <w:r>
        <w:rPr>
          <w:rFonts w:ascii="Arial" w:hAnsi="Arial"/>
          <w:bCs/>
          <w:sz w:val="21"/>
          <w:szCs w:val="21"/>
        </w:rPr>
        <w:t>Lindóia do Sul, 09 de dezembro de 2024.</w:t>
      </w:r>
    </w:p>
    <w:p w14:paraId="78F4E6CF">
      <w:pPr>
        <w:tabs>
          <w:tab w:val="left" w:pos="2340"/>
          <w:tab w:val="left" w:pos="4464"/>
        </w:tabs>
        <w:spacing w:line="360" w:lineRule="auto"/>
        <w:ind w:firstLine="709"/>
        <w:jc w:val="left"/>
        <w:rPr>
          <w:rFonts w:ascii="Arial" w:hAnsi="Arial"/>
          <w:sz w:val="21"/>
          <w:szCs w:val="21"/>
        </w:rPr>
      </w:pPr>
    </w:p>
    <w:p w14:paraId="1ABA3D52">
      <w:pPr>
        <w:tabs>
          <w:tab w:val="left" w:pos="2340"/>
          <w:tab w:val="left" w:pos="4464"/>
        </w:tabs>
        <w:spacing w:line="360" w:lineRule="auto"/>
        <w:ind w:firstLine="0"/>
        <w:jc w:val="left"/>
        <w:rPr>
          <w:rFonts w:ascii="Arial" w:hAnsi="Arial"/>
          <w:bCs/>
          <w:sz w:val="21"/>
          <w:szCs w:val="21"/>
          <w:lang w:eastAsia="ar-SA"/>
        </w:rPr>
      </w:pPr>
    </w:p>
    <w:p w14:paraId="2D11764D">
      <w:pPr>
        <w:spacing w:before="0" w:after="0" w:line="360" w:lineRule="auto"/>
        <w:ind w:firstLine="709"/>
        <w:contextualSpacing/>
        <w:jc w:val="both"/>
        <w:rPr>
          <w:rFonts w:ascii="Arial" w:hAnsi="Arial"/>
          <w:bCs/>
          <w:sz w:val="21"/>
          <w:szCs w:val="21"/>
          <w:lang w:eastAsia="ar-SA"/>
        </w:rPr>
      </w:pPr>
    </w:p>
    <w:p w14:paraId="6A16D15E">
      <w:pPr>
        <w:spacing w:before="0" w:after="0" w:line="360" w:lineRule="auto"/>
        <w:contextualSpacing/>
        <w:jc w:val="center"/>
        <w:rPr>
          <w:rFonts w:ascii="Arial" w:hAnsi="Arial"/>
          <w:sz w:val="21"/>
          <w:szCs w:val="21"/>
        </w:rPr>
      </w:pPr>
      <w:r>
        <w:rPr>
          <w:rFonts w:ascii="Arial" w:hAnsi="Arial"/>
          <w:b/>
          <w:sz w:val="21"/>
          <w:szCs w:val="21"/>
          <w:lang w:eastAsia="ar-SA"/>
        </w:rPr>
        <w:t>Giovana Andreza de Oliveira</w:t>
      </w:r>
    </w:p>
    <w:p w14:paraId="60EC9535">
      <w:pPr>
        <w:spacing w:before="0" w:after="0" w:line="360" w:lineRule="auto"/>
        <w:contextualSpacing/>
        <w:jc w:val="center"/>
        <w:rPr>
          <w:rFonts w:ascii="Arial" w:hAnsi="Arial"/>
          <w:sz w:val="21"/>
          <w:szCs w:val="21"/>
        </w:rPr>
      </w:pPr>
      <w:r>
        <w:rPr>
          <w:rFonts w:ascii="Arial" w:hAnsi="Arial"/>
          <w:b/>
          <w:sz w:val="21"/>
          <w:szCs w:val="21"/>
          <w:lang w:eastAsia="ar-SA"/>
        </w:rPr>
        <w:t>Assistente administrativo</w:t>
      </w:r>
    </w:p>
    <w:p w14:paraId="3CC72C21">
      <w:pPr>
        <w:tabs>
          <w:tab w:val="left" w:pos="5396"/>
          <w:tab w:val="left" w:pos="5538"/>
        </w:tabs>
        <w:spacing w:line="360" w:lineRule="auto"/>
        <w:jc w:val="center"/>
        <w:rPr>
          <w:rFonts w:ascii="Arial" w:hAnsi="Arial" w:eastAsia="Times New Roman"/>
          <w:b/>
          <w:bCs/>
          <w:sz w:val="21"/>
          <w:szCs w:val="21"/>
        </w:rPr>
      </w:pPr>
    </w:p>
    <w:p w14:paraId="1E87B8E8">
      <w:pPr>
        <w:spacing w:line="360" w:lineRule="auto"/>
        <w:jc w:val="center"/>
        <w:rPr>
          <w:rFonts w:ascii="Arial" w:hAnsi="Arial"/>
          <w:sz w:val="21"/>
          <w:szCs w:val="21"/>
        </w:rPr>
      </w:pPr>
      <w:r>
        <w:rPr>
          <w:rFonts w:ascii="Arial" w:hAnsi="Arial" w:cs="Calibri"/>
          <w:sz w:val="21"/>
          <w:szCs w:val="21"/>
        </w:rPr>
        <w:t>Documento original eletrônico assinado digitalmente nos termos do Artigo 10 da Medida Provisória nº 2.200-2/2001 e Lei Federal nº 14.063/2020.</w:t>
      </w:r>
    </w:p>
    <w:p w14:paraId="366476D4">
      <w:pPr>
        <w:tabs>
          <w:tab w:val="left" w:pos="5396"/>
          <w:tab w:val="left" w:pos="5538"/>
        </w:tabs>
        <w:spacing w:line="360" w:lineRule="auto"/>
        <w:jc w:val="center"/>
        <w:rPr>
          <w:rFonts w:ascii="Arial" w:hAnsi="Arial"/>
          <w:sz w:val="21"/>
          <w:szCs w:val="21"/>
        </w:rPr>
      </w:pPr>
    </w:p>
    <w:p w14:paraId="4A22F22F">
      <w:pPr>
        <w:tabs>
          <w:tab w:val="left" w:pos="2340"/>
          <w:tab w:val="left" w:pos="4464"/>
        </w:tabs>
        <w:spacing w:line="360" w:lineRule="auto"/>
        <w:jc w:val="center"/>
        <w:rPr>
          <w:b/>
          <w:bCs/>
        </w:rPr>
      </w:pPr>
    </w:p>
    <w:p w14:paraId="403D4BFF">
      <w:pPr>
        <w:tabs>
          <w:tab w:val="left" w:pos="2340"/>
          <w:tab w:val="left" w:pos="4464"/>
        </w:tabs>
        <w:spacing w:line="360" w:lineRule="auto"/>
        <w:jc w:val="center"/>
        <w:rPr>
          <w:b/>
          <w:bCs/>
        </w:rPr>
      </w:pPr>
    </w:p>
    <w:p w14:paraId="5FC3EF45">
      <w:pPr>
        <w:tabs>
          <w:tab w:val="left" w:pos="2340"/>
          <w:tab w:val="left" w:pos="4464"/>
        </w:tabs>
        <w:spacing w:line="360" w:lineRule="auto"/>
        <w:jc w:val="center"/>
        <w:rPr>
          <w:b/>
          <w:bCs/>
        </w:rPr>
      </w:pPr>
    </w:p>
    <w:p w14:paraId="05B77233">
      <w:pPr>
        <w:tabs>
          <w:tab w:val="left" w:pos="2340"/>
          <w:tab w:val="left" w:pos="4464"/>
        </w:tabs>
        <w:spacing w:line="360" w:lineRule="auto"/>
        <w:jc w:val="center"/>
        <w:rPr>
          <w:b/>
          <w:bCs/>
        </w:rPr>
      </w:pPr>
    </w:p>
    <w:p w14:paraId="7BCCF498">
      <w:pPr>
        <w:spacing w:line="360" w:lineRule="auto"/>
        <w:jc w:val="center"/>
        <w:rPr>
          <w:rFonts w:ascii="Calibri" w:hAnsi="Calibri" w:cs="Calibri"/>
          <w:sz w:val="20"/>
          <w:szCs w:val="20"/>
        </w:rPr>
      </w:pPr>
    </w:p>
    <w:p w14:paraId="528BBDA6">
      <w:pPr>
        <w:pStyle w:val="454"/>
        <w:spacing w:before="0" w:after="0" w:line="360" w:lineRule="auto"/>
        <w:ind w:left="0" w:right="0" w:firstLine="0"/>
        <w:jc w:val="center"/>
        <w:rPr>
          <w:rFonts w:ascii="Arial" w:hAnsi="Arial"/>
        </w:rPr>
      </w:pPr>
    </w:p>
    <w:p w14:paraId="7E164260">
      <w:pPr>
        <w:pStyle w:val="454"/>
        <w:spacing w:before="0" w:after="0" w:line="360" w:lineRule="auto"/>
        <w:ind w:left="0" w:right="0" w:firstLine="0"/>
        <w:jc w:val="center"/>
        <w:rPr>
          <w:rFonts w:ascii="Arial" w:hAnsi="Arial"/>
        </w:rPr>
      </w:pPr>
    </w:p>
    <w:p w14:paraId="2D19F798">
      <w:pPr>
        <w:pStyle w:val="454"/>
        <w:spacing w:before="0" w:after="0" w:line="360" w:lineRule="auto"/>
        <w:ind w:left="0" w:right="0" w:firstLine="0"/>
        <w:jc w:val="center"/>
        <w:rPr>
          <w:rFonts w:ascii="Arial" w:hAnsi="Arial"/>
        </w:rPr>
      </w:pPr>
    </w:p>
    <w:p w14:paraId="59A4D786">
      <w:pPr>
        <w:pStyle w:val="454"/>
        <w:spacing w:before="0" w:after="0" w:line="360" w:lineRule="auto"/>
        <w:ind w:left="0" w:right="0" w:firstLine="0"/>
        <w:jc w:val="center"/>
        <w:rPr>
          <w:rFonts w:ascii="Arial" w:hAnsi="Arial"/>
        </w:rPr>
      </w:pPr>
    </w:p>
    <w:p w14:paraId="4FB76A4C">
      <w:pPr>
        <w:pStyle w:val="454"/>
        <w:spacing w:before="0" w:after="0" w:line="360" w:lineRule="auto"/>
        <w:ind w:left="0" w:right="0" w:firstLine="0"/>
        <w:jc w:val="center"/>
        <w:rPr>
          <w:rFonts w:ascii="Arial" w:hAnsi="Arial"/>
        </w:rPr>
      </w:pPr>
    </w:p>
    <w:p w14:paraId="0A0660F2">
      <w:pPr>
        <w:pStyle w:val="454"/>
        <w:spacing w:before="0" w:after="0" w:line="360" w:lineRule="auto"/>
        <w:ind w:left="0" w:right="0" w:firstLine="0"/>
        <w:jc w:val="center"/>
        <w:rPr>
          <w:rFonts w:ascii="Arial" w:hAnsi="Arial"/>
        </w:rPr>
      </w:pPr>
    </w:p>
    <w:p w14:paraId="02EA04D7">
      <w:pPr>
        <w:pStyle w:val="454"/>
        <w:spacing w:before="0" w:after="0" w:line="360" w:lineRule="auto"/>
        <w:ind w:left="0" w:right="0" w:firstLine="0"/>
        <w:jc w:val="center"/>
        <w:rPr>
          <w:rFonts w:ascii="Arial" w:hAnsi="Arial"/>
        </w:rPr>
      </w:pPr>
    </w:p>
    <w:p w14:paraId="76AB3239">
      <w:pPr>
        <w:pStyle w:val="454"/>
        <w:spacing w:before="0" w:after="0" w:line="360" w:lineRule="auto"/>
        <w:ind w:left="0" w:right="0" w:firstLine="0"/>
        <w:jc w:val="center"/>
        <w:rPr>
          <w:rFonts w:ascii="Arial" w:hAnsi="Arial"/>
        </w:rPr>
      </w:pPr>
    </w:p>
    <w:p w14:paraId="6BE97E15">
      <w:pPr>
        <w:pStyle w:val="454"/>
        <w:spacing w:before="0" w:after="0" w:line="360" w:lineRule="auto"/>
        <w:ind w:left="0" w:right="0" w:firstLine="0"/>
        <w:jc w:val="center"/>
        <w:rPr>
          <w:rFonts w:ascii="Arial" w:hAnsi="Arial"/>
        </w:rPr>
      </w:pPr>
    </w:p>
    <w:p w14:paraId="4121774A">
      <w:pPr>
        <w:pStyle w:val="454"/>
        <w:spacing w:before="0" w:after="0" w:line="360" w:lineRule="auto"/>
        <w:ind w:left="0" w:right="0" w:firstLine="0"/>
        <w:jc w:val="center"/>
        <w:rPr>
          <w:rFonts w:ascii="Arial" w:hAnsi="Arial"/>
        </w:rPr>
      </w:pPr>
    </w:p>
    <w:p w14:paraId="50376EF8">
      <w:pPr>
        <w:pStyle w:val="454"/>
        <w:spacing w:before="0" w:after="0" w:line="360" w:lineRule="auto"/>
        <w:ind w:left="0" w:right="0" w:firstLine="0"/>
        <w:jc w:val="center"/>
        <w:rPr>
          <w:rFonts w:ascii="Arial" w:hAnsi="Arial"/>
        </w:rPr>
      </w:pPr>
    </w:p>
    <w:p w14:paraId="07DDB6E6">
      <w:pPr>
        <w:pStyle w:val="454"/>
        <w:spacing w:before="0" w:after="0" w:line="360" w:lineRule="auto"/>
        <w:ind w:left="0" w:right="0" w:firstLine="0"/>
        <w:jc w:val="center"/>
        <w:rPr>
          <w:rFonts w:ascii="Arial" w:hAnsi="Arial"/>
        </w:rPr>
      </w:pPr>
    </w:p>
    <w:p w14:paraId="4B31436D">
      <w:pPr>
        <w:pStyle w:val="454"/>
        <w:spacing w:before="0" w:after="0" w:line="360" w:lineRule="auto"/>
        <w:ind w:left="0" w:right="0" w:firstLine="0"/>
        <w:jc w:val="center"/>
        <w:rPr>
          <w:rFonts w:ascii="Arial" w:hAnsi="Arial"/>
        </w:rPr>
      </w:pPr>
    </w:p>
    <w:p w14:paraId="5D4294DC">
      <w:pPr>
        <w:pStyle w:val="454"/>
        <w:spacing w:before="0" w:after="0" w:line="360" w:lineRule="auto"/>
        <w:ind w:left="0" w:right="0" w:firstLine="0"/>
        <w:jc w:val="center"/>
        <w:rPr>
          <w:rFonts w:ascii="Arial" w:hAnsi="Arial"/>
        </w:rPr>
      </w:pPr>
    </w:p>
    <w:p w14:paraId="489D57F0">
      <w:pPr>
        <w:pStyle w:val="454"/>
        <w:spacing w:before="0" w:after="0" w:line="360" w:lineRule="auto"/>
        <w:ind w:left="0" w:right="0" w:firstLine="0"/>
        <w:jc w:val="center"/>
        <w:rPr>
          <w:rFonts w:ascii="Arial" w:hAnsi="Arial"/>
        </w:rPr>
      </w:pPr>
    </w:p>
    <w:p w14:paraId="5F922B76">
      <w:pPr>
        <w:pStyle w:val="454"/>
        <w:spacing w:before="0" w:after="0" w:line="360" w:lineRule="auto"/>
        <w:ind w:left="0" w:right="0" w:firstLine="0"/>
        <w:jc w:val="center"/>
        <w:rPr>
          <w:rFonts w:ascii="Arial" w:hAnsi="Arial"/>
        </w:rPr>
      </w:pPr>
    </w:p>
    <w:p w14:paraId="6162F54D">
      <w:pPr>
        <w:pStyle w:val="454"/>
        <w:spacing w:before="0" w:after="0" w:line="360" w:lineRule="auto"/>
        <w:ind w:left="0" w:right="0" w:firstLine="0"/>
        <w:jc w:val="center"/>
        <w:rPr>
          <w:rFonts w:ascii="Arial" w:hAnsi="Arial"/>
        </w:rPr>
      </w:pPr>
    </w:p>
    <w:p w14:paraId="6263ADF2">
      <w:pPr>
        <w:widowControl/>
        <w:suppressAutoHyphens/>
        <w:bidi w:val="0"/>
        <w:spacing w:before="0" w:after="0" w:line="360" w:lineRule="auto"/>
        <w:ind w:left="0" w:right="0" w:firstLine="0"/>
        <w:jc w:val="center"/>
      </w:pPr>
      <w:r>
        <w:rPr>
          <w:rFonts w:ascii="Arial" w:hAnsi="Arial"/>
          <w:b/>
          <w:bCs/>
          <w:sz w:val="21"/>
          <w:szCs w:val="21"/>
        </w:rPr>
        <w:t>ANEXO II</w:t>
      </w:r>
    </w:p>
    <w:p w14:paraId="4EEAD1DE">
      <w:pPr>
        <w:widowControl/>
        <w:suppressAutoHyphens/>
        <w:bidi w:val="0"/>
        <w:spacing w:before="0" w:after="0" w:line="360" w:lineRule="auto"/>
        <w:ind w:left="0" w:right="0" w:firstLine="0"/>
        <w:jc w:val="center"/>
        <w:rPr>
          <w:rFonts w:ascii="Arial" w:hAnsi="Arial"/>
          <w:b/>
          <w:bCs/>
          <w:sz w:val="21"/>
          <w:szCs w:val="21"/>
        </w:rPr>
      </w:pPr>
    </w:p>
    <w:p w14:paraId="4F624CCF">
      <w:pPr>
        <w:widowControl/>
        <w:suppressAutoHyphens/>
        <w:bidi w:val="0"/>
        <w:spacing w:before="0" w:after="0" w:line="360" w:lineRule="auto"/>
        <w:ind w:left="0" w:right="0" w:firstLine="0"/>
        <w:jc w:val="center"/>
      </w:pPr>
      <w:r>
        <w:rPr>
          <w:rFonts w:ascii="Arial" w:hAnsi="Arial"/>
          <w:b/>
          <w:bCs/>
          <w:sz w:val="21"/>
          <w:szCs w:val="21"/>
        </w:rPr>
        <w:t>MODELO DE PROPOSTA DE PREÇOS E DADOS DA PROPONENTE</w:t>
      </w:r>
    </w:p>
    <w:p w14:paraId="005FCD0D">
      <w:pPr>
        <w:widowControl/>
        <w:suppressAutoHyphens/>
        <w:bidi w:val="0"/>
        <w:spacing w:before="0" w:after="0" w:line="360" w:lineRule="auto"/>
        <w:ind w:left="0" w:right="0" w:firstLine="0"/>
        <w:jc w:val="both"/>
        <w:rPr>
          <w:rFonts w:ascii="Arial" w:hAnsi="Arial" w:eastAsia="SimSun" w:cs="Mangal"/>
          <w:b/>
          <w:bCs/>
          <w:color w:val="00000A"/>
          <w:sz w:val="21"/>
          <w:szCs w:val="21"/>
          <w:lang w:val="pt-BR" w:eastAsia="zh-CN" w:bidi="hi-IN"/>
        </w:rPr>
      </w:pPr>
    </w:p>
    <w:p w14:paraId="5CAD3FED">
      <w:pPr>
        <w:pStyle w:val="3"/>
        <w:widowControl/>
        <w:suppressAutoHyphens/>
        <w:bidi w:val="0"/>
        <w:spacing w:before="0" w:after="0" w:line="300" w:lineRule="auto"/>
        <w:ind w:left="0" w:right="0" w:firstLine="0"/>
        <w:jc w:val="both"/>
      </w:pPr>
      <w:r>
        <w:rPr>
          <w:rFonts w:ascii="Arial" w:hAnsi="Arial"/>
          <w:b/>
          <w:bCs/>
          <w:i w:val="0"/>
          <w:iCs w:val="0"/>
          <w:sz w:val="21"/>
          <w:szCs w:val="21"/>
        </w:rPr>
        <w:t>PROCESSO LICITATÓRIO Nº 144/2024</w:t>
      </w:r>
    </w:p>
    <w:p w14:paraId="7B8C2814">
      <w:pPr>
        <w:pStyle w:val="3"/>
        <w:widowControl/>
        <w:suppressAutoHyphens/>
        <w:bidi w:val="0"/>
        <w:spacing w:before="0" w:after="0" w:line="30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01699596">
      <w:pPr>
        <w:widowControl/>
        <w:suppressAutoHyphens/>
        <w:bidi w:val="0"/>
        <w:spacing w:before="0" w:after="0" w:line="360" w:lineRule="auto"/>
        <w:ind w:left="0" w:right="0" w:firstLine="0"/>
        <w:jc w:val="both"/>
        <w:rPr>
          <w:rFonts w:ascii="Arial" w:hAnsi="Arial" w:eastAsia="SimSun" w:cs="Mangal"/>
          <w:b/>
          <w:bCs/>
          <w:color w:val="00000A"/>
          <w:sz w:val="21"/>
          <w:szCs w:val="21"/>
          <w:lang w:val="pt-BR" w:eastAsia="zh-CN" w:bidi="hi-IN"/>
        </w:rPr>
      </w:pPr>
    </w:p>
    <w:p w14:paraId="3FCC5F1E">
      <w:pPr>
        <w:widowControl/>
        <w:suppressAutoHyphens/>
        <w:bidi w:val="0"/>
        <w:spacing w:before="0" w:after="0" w:line="360" w:lineRule="auto"/>
        <w:ind w:left="0" w:right="0" w:firstLine="0"/>
        <w:jc w:val="both"/>
      </w:pPr>
      <w:r>
        <w:rPr>
          <w:rFonts w:ascii="Arial" w:hAnsi="Arial"/>
          <w:sz w:val="21"/>
          <w:szCs w:val="21"/>
        </w:rPr>
        <w:t>Apresentamos nossa proposta para aquisição do objeto da presente Licitação Pregão, na Forma Eletrônica acatando todas as estipulações consignadas no respectivo Edital e seus anexos.</w:t>
      </w:r>
    </w:p>
    <w:p w14:paraId="321383B8">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29D66228">
      <w:pPr>
        <w:widowControl/>
        <w:suppressAutoHyphens/>
        <w:bidi w:val="0"/>
        <w:spacing w:before="0" w:after="0" w:line="360" w:lineRule="auto"/>
        <w:ind w:left="0" w:right="0" w:firstLine="0"/>
        <w:jc w:val="both"/>
      </w:pPr>
      <w:r>
        <w:rPr>
          <w:rFonts w:ascii="Arial" w:hAnsi="Arial"/>
          <w:b/>
          <w:bCs/>
          <w:sz w:val="21"/>
          <w:szCs w:val="21"/>
        </w:rPr>
        <w:t>1 – IDENTIFICAÇÃO DO CONCORRENTE</w:t>
      </w:r>
    </w:p>
    <w:p w14:paraId="5CEA821B">
      <w:pPr>
        <w:widowControl/>
        <w:suppressAutoHyphens/>
        <w:bidi w:val="0"/>
        <w:spacing w:before="0" w:after="0" w:line="360" w:lineRule="auto"/>
        <w:ind w:left="0" w:right="0" w:firstLine="0"/>
        <w:jc w:val="both"/>
      </w:pPr>
      <w:r>
        <w:rPr>
          <w:rFonts w:ascii="Arial" w:hAnsi="Arial"/>
          <w:sz w:val="21"/>
          <w:szCs w:val="21"/>
        </w:rPr>
        <w:t xml:space="preserve">RAZÃO SOCIAL: </w:t>
      </w:r>
    </w:p>
    <w:p w14:paraId="417BDDB2">
      <w:pPr>
        <w:widowControl/>
        <w:suppressAutoHyphens/>
        <w:bidi w:val="0"/>
        <w:spacing w:before="0" w:after="0" w:line="360" w:lineRule="auto"/>
        <w:ind w:left="0" w:right="0" w:firstLine="0"/>
        <w:jc w:val="both"/>
      </w:pPr>
      <w:r>
        <w:rPr>
          <w:rFonts w:ascii="Arial" w:hAnsi="Arial"/>
          <w:sz w:val="21"/>
          <w:szCs w:val="21"/>
        </w:rPr>
        <w:t xml:space="preserve">CNPJ: </w:t>
      </w:r>
    </w:p>
    <w:p w14:paraId="4CD15E2F">
      <w:pPr>
        <w:widowControl/>
        <w:suppressAutoHyphens/>
        <w:bidi w:val="0"/>
        <w:spacing w:before="0" w:after="0" w:line="360" w:lineRule="auto"/>
        <w:ind w:left="0" w:right="0" w:firstLine="0"/>
        <w:jc w:val="both"/>
      </w:pPr>
      <w:r>
        <w:rPr>
          <w:rFonts w:ascii="Arial" w:hAnsi="Arial"/>
          <w:sz w:val="21"/>
          <w:szCs w:val="21"/>
        </w:rPr>
        <w:t xml:space="preserve">INSCRIÇÃO ESTADUAL e/ou MUNICIPAL: </w:t>
      </w:r>
    </w:p>
    <w:p w14:paraId="65AE06EA">
      <w:pPr>
        <w:widowControl/>
        <w:suppressAutoHyphens/>
        <w:bidi w:val="0"/>
        <w:spacing w:before="0" w:after="0" w:line="360" w:lineRule="auto"/>
        <w:ind w:left="0" w:right="0" w:firstLine="0"/>
        <w:jc w:val="both"/>
      </w:pPr>
      <w:r>
        <w:rPr>
          <w:rFonts w:ascii="Arial" w:hAnsi="Arial"/>
          <w:sz w:val="21"/>
          <w:szCs w:val="21"/>
        </w:rPr>
        <w:t xml:space="preserve">REPRESENTANTE: </w:t>
      </w:r>
    </w:p>
    <w:p w14:paraId="3C0D1CAC">
      <w:pPr>
        <w:widowControl/>
        <w:suppressAutoHyphens/>
        <w:bidi w:val="0"/>
        <w:spacing w:before="0" w:after="0" w:line="360" w:lineRule="auto"/>
        <w:ind w:left="0" w:right="0" w:firstLine="0"/>
        <w:jc w:val="both"/>
      </w:pPr>
      <w:r>
        <w:rPr>
          <w:rFonts w:ascii="Arial" w:hAnsi="Arial"/>
          <w:sz w:val="21"/>
          <w:szCs w:val="21"/>
        </w:rPr>
        <w:t xml:space="preserve">CARGO: </w:t>
      </w:r>
    </w:p>
    <w:p w14:paraId="7780B6C7">
      <w:pPr>
        <w:widowControl/>
        <w:suppressAutoHyphens/>
        <w:bidi w:val="0"/>
        <w:spacing w:before="0" w:after="0" w:line="360" w:lineRule="auto"/>
        <w:ind w:left="0" w:right="0" w:firstLine="0"/>
        <w:jc w:val="both"/>
      </w:pPr>
      <w:r>
        <w:rPr>
          <w:rFonts w:ascii="Arial" w:hAnsi="Arial"/>
          <w:sz w:val="21"/>
          <w:szCs w:val="21"/>
        </w:rPr>
        <w:t>CARTEIRA DE IDENTIDADE:</w:t>
      </w:r>
      <w:r>
        <w:rPr>
          <w:rFonts w:ascii="Arial" w:hAnsi="Arial"/>
          <w:sz w:val="21"/>
          <w:szCs w:val="21"/>
        </w:rPr>
        <w:tab/>
      </w:r>
      <w:r>
        <w:rPr>
          <w:rFonts w:ascii="Arial" w:hAnsi="Arial"/>
          <w:sz w:val="21"/>
          <w:szCs w:val="21"/>
        </w:rPr>
        <w:tab/>
      </w:r>
      <w:r>
        <w:rPr>
          <w:rFonts w:ascii="Arial" w:hAnsi="Arial"/>
          <w:sz w:val="21"/>
          <w:szCs w:val="21"/>
        </w:rPr>
        <w:tab/>
      </w:r>
      <w:r>
        <w:rPr>
          <w:rFonts w:ascii="Arial" w:hAnsi="Arial"/>
          <w:sz w:val="21"/>
          <w:szCs w:val="21"/>
        </w:rPr>
        <w:tab/>
      </w:r>
      <w:r>
        <w:rPr>
          <w:rFonts w:ascii="Arial" w:hAnsi="Arial"/>
          <w:sz w:val="21"/>
          <w:szCs w:val="21"/>
        </w:rPr>
        <w:t xml:space="preserve"> CPF: </w:t>
      </w:r>
    </w:p>
    <w:p w14:paraId="05AA37CD">
      <w:pPr>
        <w:widowControl/>
        <w:suppressAutoHyphens/>
        <w:bidi w:val="0"/>
        <w:spacing w:before="0" w:after="0" w:line="360" w:lineRule="auto"/>
        <w:ind w:left="0" w:right="0" w:firstLine="0"/>
        <w:jc w:val="both"/>
      </w:pPr>
      <w:r>
        <w:rPr>
          <w:rFonts w:ascii="Arial" w:hAnsi="Arial"/>
          <w:sz w:val="21"/>
          <w:szCs w:val="21"/>
        </w:rPr>
        <w:t xml:space="preserve">ENDEREÇO: </w:t>
      </w:r>
    </w:p>
    <w:p w14:paraId="6E43E637">
      <w:pPr>
        <w:widowControl/>
        <w:suppressAutoHyphens/>
        <w:bidi w:val="0"/>
        <w:spacing w:before="0" w:after="0" w:line="360" w:lineRule="auto"/>
        <w:ind w:left="0" w:right="0" w:firstLine="0"/>
        <w:jc w:val="both"/>
      </w:pPr>
      <w:r>
        <w:rPr>
          <w:rFonts w:ascii="Arial" w:hAnsi="Arial"/>
          <w:sz w:val="21"/>
          <w:szCs w:val="21"/>
        </w:rPr>
        <w:t xml:space="preserve">TELEFONE: </w:t>
      </w:r>
    </w:p>
    <w:p w14:paraId="54ADA16A">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71C12E07">
      <w:pPr>
        <w:widowControl/>
        <w:suppressAutoHyphens/>
        <w:bidi w:val="0"/>
        <w:spacing w:before="0" w:after="0" w:line="360" w:lineRule="auto"/>
        <w:ind w:left="0" w:right="0" w:firstLine="0"/>
        <w:jc w:val="both"/>
      </w:pPr>
      <w:r>
        <w:rPr>
          <w:rFonts w:ascii="Arial" w:hAnsi="Arial"/>
          <w:b/>
          <w:bCs/>
          <w:sz w:val="21"/>
          <w:szCs w:val="21"/>
        </w:rPr>
        <w:t>2 – PREÇO</w:t>
      </w:r>
    </w:p>
    <w:p w14:paraId="78F92A41">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tbl>
      <w:tblPr>
        <w:tblStyle w:val="12"/>
        <w:tblW w:w="9135" w:type="dxa"/>
        <w:tblInd w:w="122" w:type="dxa"/>
        <w:tblLayout w:type="fixed"/>
        <w:tblCellMar>
          <w:top w:w="0" w:type="dxa"/>
          <w:left w:w="98" w:type="dxa"/>
          <w:bottom w:w="0" w:type="dxa"/>
          <w:right w:w="108" w:type="dxa"/>
        </w:tblCellMar>
      </w:tblPr>
      <w:tblGrid>
        <w:gridCol w:w="1467"/>
        <w:gridCol w:w="856"/>
        <w:gridCol w:w="735"/>
        <w:gridCol w:w="1140"/>
        <w:gridCol w:w="2488"/>
        <w:gridCol w:w="1086"/>
        <w:gridCol w:w="1362"/>
      </w:tblGrid>
      <w:tr w14:paraId="698D7AD3">
        <w:tblPrEx>
          <w:tblCellMar>
            <w:top w:w="0" w:type="dxa"/>
            <w:left w:w="98" w:type="dxa"/>
            <w:bottom w:w="0" w:type="dxa"/>
            <w:right w:w="108" w:type="dxa"/>
          </w:tblCellMar>
        </w:tblPrEx>
        <w:tc>
          <w:tcPr>
            <w:tcW w:w="1467" w:type="dxa"/>
            <w:tcBorders>
              <w:top w:val="single" w:color="000001" w:sz="4" w:space="0"/>
              <w:left w:val="single" w:color="000001" w:sz="4" w:space="0"/>
              <w:bottom w:val="single" w:color="000001" w:sz="4" w:space="0"/>
              <w:right w:val="single" w:color="000001" w:sz="4" w:space="0"/>
            </w:tcBorders>
            <w:shd w:val="clear" w:color="auto" w:fill="auto"/>
          </w:tcPr>
          <w:p w14:paraId="329AF3DE">
            <w:pPr>
              <w:widowControl w:val="0"/>
              <w:spacing w:before="0" w:after="57" w:line="360" w:lineRule="auto"/>
              <w:jc w:val="center"/>
            </w:pPr>
            <w:r>
              <w:rPr>
                <w:rFonts w:ascii="Arial" w:hAnsi="Arial" w:cs="Arial"/>
                <w:b/>
                <w:color w:val="000000"/>
                <w:sz w:val="21"/>
                <w:szCs w:val="21"/>
              </w:rPr>
              <w:t>Item</w:t>
            </w:r>
          </w:p>
        </w:tc>
        <w:tc>
          <w:tcPr>
            <w:tcW w:w="856" w:type="dxa"/>
            <w:tcBorders>
              <w:top w:val="single" w:color="000001" w:sz="4" w:space="0"/>
              <w:left w:val="single" w:color="000001" w:sz="4" w:space="0"/>
              <w:bottom w:val="single" w:color="000001" w:sz="4" w:space="0"/>
              <w:right w:val="single" w:color="000001" w:sz="4" w:space="0"/>
            </w:tcBorders>
            <w:shd w:val="clear" w:color="auto" w:fill="auto"/>
          </w:tcPr>
          <w:p w14:paraId="374737B3">
            <w:pPr>
              <w:widowControl w:val="0"/>
              <w:spacing w:before="0" w:after="57" w:line="360" w:lineRule="auto"/>
              <w:jc w:val="center"/>
            </w:pPr>
            <w:r>
              <w:rPr>
                <w:rFonts w:ascii="Arial" w:hAnsi="Arial" w:cs="Arial"/>
                <w:b/>
                <w:color w:val="000000"/>
                <w:sz w:val="21"/>
                <w:szCs w:val="21"/>
              </w:rPr>
              <w:t>Quant</w:t>
            </w:r>
          </w:p>
        </w:tc>
        <w:tc>
          <w:tcPr>
            <w:tcW w:w="735" w:type="dxa"/>
            <w:tcBorders>
              <w:top w:val="single" w:color="000001" w:sz="4" w:space="0"/>
              <w:left w:val="single" w:color="000001" w:sz="4" w:space="0"/>
              <w:bottom w:val="single" w:color="000001" w:sz="4" w:space="0"/>
              <w:right w:val="single" w:color="000001" w:sz="4" w:space="0"/>
            </w:tcBorders>
            <w:shd w:val="clear" w:color="auto" w:fill="auto"/>
          </w:tcPr>
          <w:p w14:paraId="1AAD8D20">
            <w:pPr>
              <w:widowControl w:val="0"/>
              <w:spacing w:before="0" w:after="57" w:line="360" w:lineRule="auto"/>
              <w:jc w:val="center"/>
            </w:pPr>
            <w:r>
              <w:rPr>
                <w:rFonts w:ascii="Arial" w:hAnsi="Arial" w:cs="Arial"/>
                <w:b/>
                <w:color w:val="000000"/>
                <w:sz w:val="21"/>
                <w:szCs w:val="21"/>
              </w:rPr>
              <w:t>Unid</w:t>
            </w:r>
          </w:p>
        </w:tc>
        <w:tc>
          <w:tcPr>
            <w:tcW w:w="1140" w:type="dxa"/>
            <w:tcBorders>
              <w:top w:val="single" w:color="000001" w:sz="4" w:space="0"/>
              <w:left w:val="single" w:color="000001" w:sz="4" w:space="0"/>
              <w:bottom w:val="single" w:color="000001" w:sz="4" w:space="0"/>
              <w:right w:val="single" w:color="000001" w:sz="4" w:space="0"/>
            </w:tcBorders>
            <w:shd w:val="clear" w:color="auto" w:fill="auto"/>
          </w:tcPr>
          <w:p w14:paraId="3972EBA6">
            <w:pPr>
              <w:widowControl w:val="0"/>
              <w:spacing w:before="0" w:after="57" w:line="360" w:lineRule="auto"/>
              <w:jc w:val="center"/>
            </w:pPr>
            <w:r>
              <w:rPr>
                <w:rFonts w:ascii="Arial" w:hAnsi="Arial" w:cs="Arial"/>
                <w:b/>
                <w:color w:val="000000"/>
                <w:sz w:val="21"/>
                <w:szCs w:val="21"/>
              </w:rPr>
              <w:t>Marca</w:t>
            </w:r>
          </w:p>
        </w:tc>
        <w:tc>
          <w:tcPr>
            <w:tcW w:w="2488" w:type="dxa"/>
            <w:tcBorders>
              <w:top w:val="single" w:color="000001" w:sz="4" w:space="0"/>
              <w:left w:val="single" w:color="000001" w:sz="4" w:space="0"/>
              <w:bottom w:val="single" w:color="000001" w:sz="4" w:space="0"/>
              <w:right w:val="single" w:color="000001" w:sz="4" w:space="0"/>
            </w:tcBorders>
            <w:shd w:val="clear" w:color="auto" w:fill="auto"/>
          </w:tcPr>
          <w:p w14:paraId="092F90F1">
            <w:pPr>
              <w:widowControl w:val="0"/>
              <w:spacing w:before="0" w:after="57" w:line="360" w:lineRule="auto"/>
              <w:jc w:val="center"/>
            </w:pPr>
            <w:r>
              <w:rPr>
                <w:rFonts w:ascii="Arial" w:hAnsi="Arial" w:cs="Arial"/>
                <w:b/>
                <w:color w:val="000000"/>
                <w:sz w:val="21"/>
                <w:szCs w:val="21"/>
              </w:rPr>
              <w:t>Descrição</w:t>
            </w:r>
          </w:p>
        </w:tc>
        <w:tc>
          <w:tcPr>
            <w:tcW w:w="1086" w:type="dxa"/>
            <w:tcBorders>
              <w:top w:val="single" w:color="000001" w:sz="4" w:space="0"/>
              <w:left w:val="single" w:color="000001" w:sz="4" w:space="0"/>
              <w:bottom w:val="single" w:color="000001" w:sz="4" w:space="0"/>
              <w:right w:val="single" w:color="000001" w:sz="4" w:space="0"/>
            </w:tcBorders>
            <w:shd w:val="clear" w:color="auto" w:fill="auto"/>
          </w:tcPr>
          <w:p w14:paraId="35AA211F">
            <w:pPr>
              <w:widowControl w:val="0"/>
              <w:spacing w:before="0" w:after="57" w:line="360" w:lineRule="auto"/>
              <w:jc w:val="center"/>
            </w:pPr>
            <w:r>
              <w:rPr>
                <w:rFonts w:ascii="Arial" w:hAnsi="Arial" w:cs="Arial"/>
                <w:b/>
                <w:color w:val="000000"/>
                <w:sz w:val="21"/>
                <w:szCs w:val="21"/>
              </w:rPr>
              <w:t>Vl. Unit</w:t>
            </w:r>
          </w:p>
        </w:tc>
        <w:tc>
          <w:tcPr>
            <w:tcW w:w="1362" w:type="dxa"/>
            <w:tcBorders>
              <w:top w:val="single" w:color="000001" w:sz="4" w:space="0"/>
              <w:left w:val="single" w:color="000001" w:sz="4" w:space="0"/>
              <w:bottom w:val="single" w:color="000001" w:sz="4" w:space="0"/>
              <w:right w:val="single" w:color="000001" w:sz="4" w:space="0"/>
            </w:tcBorders>
            <w:shd w:val="clear" w:color="auto" w:fill="auto"/>
          </w:tcPr>
          <w:p w14:paraId="3B01E1CA">
            <w:pPr>
              <w:widowControl w:val="0"/>
              <w:spacing w:before="0" w:after="57" w:line="360" w:lineRule="auto"/>
              <w:jc w:val="center"/>
            </w:pPr>
            <w:r>
              <w:rPr>
                <w:rFonts w:ascii="Arial" w:hAnsi="Arial" w:cs="Arial"/>
                <w:b/>
                <w:color w:val="000000"/>
                <w:sz w:val="21"/>
                <w:szCs w:val="21"/>
              </w:rPr>
              <w:t>Vl. Total</w:t>
            </w:r>
          </w:p>
        </w:tc>
      </w:tr>
      <w:tr w14:paraId="4C036F86">
        <w:tblPrEx>
          <w:tblCellMar>
            <w:top w:w="0" w:type="dxa"/>
            <w:left w:w="98" w:type="dxa"/>
            <w:bottom w:w="0" w:type="dxa"/>
            <w:right w:w="108" w:type="dxa"/>
          </w:tblCellMar>
        </w:tblPrEx>
        <w:tc>
          <w:tcPr>
            <w:tcW w:w="1467" w:type="dxa"/>
            <w:tcBorders>
              <w:top w:val="single" w:color="000001" w:sz="4" w:space="0"/>
              <w:left w:val="single" w:color="000001" w:sz="4" w:space="0"/>
              <w:bottom w:val="single" w:color="000001" w:sz="4" w:space="0"/>
              <w:right w:val="single" w:color="000001" w:sz="4" w:space="0"/>
            </w:tcBorders>
            <w:shd w:val="clear" w:color="auto" w:fill="auto"/>
          </w:tcPr>
          <w:p w14:paraId="600FEEEA">
            <w:pPr>
              <w:widowControl w:val="0"/>
              <w:spacing w:before="0" w:after="57" w:line="360" w:lineRule="auto"/>
              <w:jc w:val="center"/>
              <w:rPr>
                <w:rFonts w:ascii="Arial" w:hAnsi="Arial" w:eastAsia="SimSun" w:cs="Arial"/>
                <w:b/>
                <w:color w:val="000000"/>
                <w:sz w:val="21"/>
                <w:szCs w:val="21"/>
                <w:lang w:val="pt-BR" w:eastAsia="zh-CN" w:bidi="hi-IN"/>
              </w:rPr>
            </w:pPr>
          </w:p>
        </w:tc>
        <w:tc>
          <w:tcPr>
            <w:tcW w:w="856" w:type="dxa"/>
            <w:tcBorders>
              <w:top w:val="single" w:color="000001" w:sz="4" w:space="0"/>
              <w:left w:val="single" w:color="000001" w:sz="4" w:space="0"/>
              <w:bottom w:val="single" w:color="000001" w:sz="4" w:space="0"/>
              <w:right w:val="single" w:color="000001" w:sz="4" w:space="0"/>
            </w:tcBorders>
            <w:shd w:val="clear" w:color="auto" w:fill="auto"/>
          </w:tcPr>
          <w:p w14:paraId="15077F29">
            <w:pPr>
              <w:widowControl w:val="0"/>
              <w:spacing w:before="0" w:after="57" w:line="360" w:lineRule="auto"/>
              <w:jc w:val="center"/>
              <w:rPr>
                <w:rFonts w:ascii="Arial" w:hAnsi="Arial" w:eastAsia="SimSun" w:cs="Arial"/>
                <w:b/>
                <w:color w:val="000000"/>
                <w:sz w:val="21"/>
                <w:szCs w:val="21"/>
                <w:lang w:val="pt-BR" w:eastAsia="zh-CN" w:bidi="hi-IN"/>
              </w:rPr>
            </w:pPr>
          </w:p>
        </w:tc>
        <w:tc>
          <w:tcPr>
            <w:tcW w:w="735" w:type="dxa"/>
            <w:tcBorders>
              <w:top w:val="single" w:color="000001" w:sz="4" w:space="0"/>
              <w:left w:val="single" w:color="000001" w:sz="4" w:space="0"/>
              <w:bottom w:val="single" w:color="000001" w:sz="4" w:space="0"/>
              <w:right w:val="single" w:color="000001" w:sz="4" w:space="0"/>
            </w:tcBorders>
            <w:shd w:val="clear" w:color="auto" w:fill="auto"/>
          </w:tcPr>
          <w:p w14:paraId="56C95287">
            <w:pPr>
              <w:widowControl w:val="0"/>
              <w:spacing w:before="0" w:after="57" w:line="360" w:lineRule="auto"/>
              <w:jc w:val="center"/>
              <w:rPr>
                <w:rFonts w:ascii="Arial" w:hAnsi="Arial" w:eastAsia="SimSun" w:cs="Arial"/>
                <w:b/>
                <w:color w:val="000000"/>
                <w:sz w:val="21"/>
                <w:szCs w:val="21"/>
                <w:lang w:val="pt-BR" w:eastAsia="zh-CN" w:bidi="hi-IN"/>
              </w:rPr>
            </w:pPr>
          </w:p>
        </w:tc>
        <w:tc>
          <w:tcPr>
            <w:tcW w:w="1140" w:type="dxa"/>
            <w:tcBorders>
              <w:top w:val="single" w:color="000001" w:sz="4" w:space="0"/>
              <w:left w:val="single" w:color="000001" w:sz="4" w:space="0"/>
              <w:bottom w:val="single" w:color="000001" w:sz="4" w:space="0"/>
              <w:right w:val="single" w:color="000001" w:sz="4" w:space="0"/>
            </w:tcBorders>
            <w:shd w:val="clear" w:color="auto" w:fill="auto"/>
          </w:tcPr>
          <w:p w14:paraId="7DCB37D5">
            <w:pPr>
              <w:widowControl w:val="0"/>
              <w:spacing w:before="0" w:after="57" w:line="360" w:lineRule="auto"/>
              <w:jc w:val="center"/>
              <w:rPr>
                <w:rFonts w:ascii="Arial" w:hAnsi="Arial" w:eastAsia="SimSun" w:cs="Arial"/>
                <w:b/>
                <w:color w:val="000000"/>
                <w:sz w:val="21"/>
                <w:szCs w:val="21"/>
                <w:lang w:val="pt-BR" w:eastAsia="zh-CN" w:bidi="hi-IN"/>
              </w:rPr>
            </w:pPr>
          </w:p>
        </w:tc>
        <w:tc>
          <w:tcPr>
            <w:tcW w:w="2488" w:type="dxa"/>
            <w:tcBorders>
              <w:top w:val="single" w:color="000001" w:sz="4" w:space="0"/>
              <w:left w:val="single" w:color="000001" w:sz="4" w:space="0"/>
              <w:bottom w:val="single" w:color="000001" w:sz="4" w:space="0"/>
              <w:right w:val="single" w:color="000001" w:sz="4" w:space="0"/>
            </w:tcBorders>
            <w:shd w:val="clear" w:color="auto" w:fill="auto"/>
          </w:tcPr>
          <w:p w14:paraId="4EBF34ED">
            <w:pPr>
              <w:widowControl w:val="0"/>
              <w:spacing w:before="0" w:after="57" w:line="360" w:lineRule="auto"/>
              <w:jc w:val="both"/>
              <w:rPr>
                <w:rFonts w:ascii="Arial" w:hAnsi="Arial" w:eastAsia="SimSun" w:cs="Arial"/>
                <w:b/>
                <w:color w:val="000000"/>
                <w:sz w:val="21"/>
                <w:szCs w:val="21"/>
                <w:lang w:val="pt-BR" w:eastAsia="zh-CN" w:bidi="hi-IN"/>
              </w:rPr>
            </w:pPr>
          </w:p>
        </w:tc>
        <w:tc>
          <w:tcPr>
            <w:tcW w:w="1086" w:type="dxa"/>
            <w:tcBorders>
              <w:top w:val="single" w:color="000001" w:sz="4" w:space="0"/>
              <w:left w:val="single" w:color="000001" w:sz="4" w:space="0"/>
              <w:bottom w:val="single" w:color="000001" w:sz="4" w:space="0"/>
              <w:right w:val="single" w:color="000001" w:sz="4" w:space="0"/>
            </w:tcBorders>
            <w:shd w:val="clear" w:color="auto" w:fill="auto"/>
          </w:tcPr>
          <w:p w14:paraId="30F02B32">
            <w:pPr>
              <w:widowControl w:val="0"/>
              <w:spacing w:before="0" w:after="57" w:line="360" w:lineRule="auto"/>
              <w:jc w:val="right"/>
              <w:rPr>
                <w:rFonts w:ascii="Arial" w:hAnsi="Arial" w:eastAsia="SimSun" w:cs="Arial"/>
                <w:b/>
                <w:color w:val="000000"/>
                <w:sz w:val="21"/>
                <w:szCs w:val="21"/>
                <w:lang w:val="pt-BR" w:eastAsia="zh-CN" w:bidi="hi-IN"/>
              </w:rPr>
            </w:pPr>
          </w:p>
        </w:tc>
        <w:tc>
          <w:tcPr>
            <w:tcW w:w="1362" w:type="dxa"/>
            <w:tcBorders>
              <w:top w:val="single" w:color="000001" w:sz="4" w:space="0"/>
              <w:left w:val="single" w:color="000001" w:sz="4" w:space="0"/>
              <w:bottom w:val="single" w:color="000001" w:sz="4" w:space="0"/>
              <w:right w:val="single" w:color="000001" w:sz="4" w:space="0"/>
            </w:tcBorders>
            <w:shd w:val="clear" w:color="auto" w:fill="auto"/>
          </w:tcPr>
          <w:p w14:paraId="005CF8BB">
            <w:pPr>
              <w:widowControl w:val="0"/>
              <w:spacing w:before="0" w:after="57" w:line="360" w:lineRule="auto"/>
              <w:jc w:val="right"/>
              <w:rPr>
                <w:rFonts w:ascii="Arial" w:hAnsi="Arial" w:eastAsia="SimSun" w:cs="Arial"/>
                <w:b/>
                <w:color w:val="000000"/>
                <w:sz w:val="21"/>
                <w:szCs w:val="21"/>
                <w:lang w:val="pt-BR" w:eastAsia="zh-CN" w:bidi="hi-IN"/>
              </w:rPr>
            </w:pPr>
          </w:p>
        </w:tc>
      </w:tr>
      <w:tr w14:paraId="2AAB2B8A">
        <w:tblPrEx>
          <w:tblCellMar>
            <w:top w:w="0" w:type="dxa"/>
            <w:left w:w="98" w:type="dxa"/>
            <w:bottom w:w="0" w:type="dxa"/>
            <w:right w:w="108" w:type="dxa"/>
          </w:tblCellMar>
        </w:tblPrEx>
        <w:tc>
          <w:tcPr>
            <w:tcW w:w="1467" w:type="dxa"/>
            <w:tcBorders>
              <w:top w:val="single" w:color="000001" w:sz="4" w:space="0"/>
              <w:left w:val="single" w:color="000001" w:sz="4" w:space="0"/>
              <w:bottom w:val="single" w:color="000001" w:sz="4" w:space="0"/>
              <w:right w:val="single" w:color="000001" w:sz="4" w:space="0"/>
            </w:tcBorders>
            <w:shd w:val="clear" w:color="auto" w:fill="auto"/>
          </w:tcPr>
          <w:p w14:paraId="13AD722E">
            <w:pPr>
              <w:widowControl w:val="0"/>
              <w:spacing w:before="0" w:after="57" w:line="360" w:lineRule="auto"/>
              <w:jc w:val="center"/>
              <w:rPr>
                <w:rFonts w:ascii="Arial" w:hAnsi="Arial" w:eastAsia="SimSun" w:cs="Arial"/>
                <w:b/>
                <w:color w:val="000000"/>
                <w:sz w:val="21"/>
                <w:szCs w:val="21"/>
                <w:lang w:val="pt-BR" w:eastAsia="zh-CN" w:bidi="hi-IN"/>
              </w:rPr>
            </w:pPr>
          </w:p>
        </w:tc>
        <w:tc>
          <w:tcPr>
            <w:tcW w:w="856" w:type="dxa"/>
            <w:tcBorders>
              <w:top w:val="single" w:color="000001" w:sz="4" w:space="0"/>
              <w:left w:val="single" w:color="000001" w:sz="4" w:space="0"/>
              <w:bottom w:val="single" w:color="000001" w:sz="4" w:space="0"/>
              <w:right w:val="single" w:color="000001" w:sz="4" w:space="0"/>
            </w:tcBorders>
            <w:shd w:val="clear" w:color="auto" w:fill="auto"/>
          </w:tcPr>
          <w:p w14:paraId="6EF4B76D">
            <w:pPr>
              <w:widowControl w:val="0"/>
              <w:spacing w:before="0" w:after="57" w:line="360" w:lineRule="auto"/>
              <w:jc w:val="center"/>
              <w:rPr>
                <w:rFonts w:ascii="Arial" w:hAnsi="Arial" w:eastAsia="SimSun" w:cs="Arial"/>
                <w:b/>
                <w:color w:val="000000"/>
                <w:sz w:val="21"/>
                <w:szCs w:val="21"/>
                <w:lang w:val="pt-BR" w:eastAsia="zh-CN" w:bidi="hi-IN"/>
              </w:rPr>
            </w:pPr>
          </w:p>
        </w:tc>
        <w:tc>
          <w:tcPr>
            <w:tcW w:w="735" w:type="dxa"/>
            <w:tcBorders>
              <w:top w:val="single" w:color="000001" w:sz="4" w:space="0"/>
              <w:left w:val="single" w:color="000001" w:sz="4" w:space="0"/>
              <w:bottom w:val="single" w:color="000001" w:sz="4" w:space="0"/>
              <w:right w:val="single" w:color="000001" w:sz="4" w:space="0"/>
            </w:tcBorders>
            <w:shd w:val="clear" w:color="auto" w:fill="auto"/>
          </w:tcPr>
          <w:p w14:paraId="256743FE">
            <w:pPr>
              <w:widowControl w:val="0"/>
              <w:spacing w:before="0" w:after="57" w:line="360" w:lineRule="auto"/>
              <w:jc w:val="center"/>
              <w:rPr>
                <w:rFonts w:ascii="Arial" w:hAnsi="Arial" w:eastAsia="SimSun" w:cs="Arial"/>
                <w:b/>
                <w:color w:val="000000"/>
                <w:sz w:val="21"/>
                <w:szCs w:val="21"/>
                <w:lang w:val="pt-BR" w:eastAsia="zh-CN" w:bidi="hi-IN"/>
              </w:rPr>
            </w:pPr>
          </w:p>
        </w:tc>
        <w:tc>
          <w:tcPr>
            <w:tcW w:w="1140" w:type="dxa"/>
            <w:tcBorders>
              <w:top w:val="single" w:color="000001" w:sz="4" w:space="0"/>
              <w:left w:val="single" w:color="000001" w:sz="4" w:space="0"/>
              <w:bottom w:val="single" w:color="000001" w:sz="4" w:space="0"/>
              <w:right w:val="single" w:color="000001" w:sz="4" w:space="0"/>
            </w:tcBorders>
            <w:shd w:val="clear" w:color="auto" w:fill="auto"/>
          </w:tcPr>
          <w:p w14:paraId="7AE8A9B7">
            <w:pPr>
              <w:widowControl w:val="0"/>
              <w:spacing w:before="0" w:after="57" w:line="360" w:lineRule="auto"/>
              <w:jc w:val="center"/>
              <w:rPr>
                <w:rFonts w:ascii="Arial" w:hAnsi="Arial" w:eastAsia="SimSun" w:cs="Arial"/>
                <w:b/>
                <w:color w:val="000000"/>
                <w:sz w:val="21"/>
                <w:szCs w:val="21"/>
                <w:lang w:val="pt-BR" w:eastAsia="zh-CN" w:bidi="hi-IN"/>
              </w:rPr>
            </w:pPr>
          </w:p>
        </w:tc>
        <w:tc>
          <w:tcPr>
            <w:tcW w:w="2488" w:type="dxa"/>
            <w:tcBorders>
              <w:top w:val="single" w:color="000001" w:sz="4" w:space="0"/>
              <w:left w:val="single" w:color="000001" w:sz="4" w:space="0"/>
              <w:bottom w:val="single" w:color="000001" w:sz="4" w:space="0"/>
              <w:right w:val="single" w:color="000001" w:sz="4" w:space="0"/>
            </w:tcBorders>
            <w:shd w:val="clear" w:color="auto" w:fill="auto"/>
          </w:tcPr>
          <w:p w14:paraId="263BA0EC">
            <w:pPr>
              <w:widowControl w:val="0"/>
              <w:spacing w:before="0" w:after="57" w:line="360" w:lineRule="auto"/>
              <w:jc w:val="both"/>
              <w:rPr>
                <w:rFonts w:ascii="Arial" w:hAnsi="Arial" w:eastAsia="SimSun" w:cs="Arial"/>
                <w:b/>
                <w:color w:val="000000"/>
                <w:sz w:val="21"/>
                <w:szCs w:val="21"/>
                <w:lang w:val="pt-BR" w:eastAsia="zh-CN" w:bidi="hi-IN"/>
              </w:rPr>
            </w:pPr>
          </w:p>
        </w:tc>
        <w:tc>
          <w:tcPr>
            <w:tcW w:w="1086" w:type="dxa"/>
            <w:tcBorders>
              <w:top w:val="single" w:color="000001" w:sz="4" w:space="0"/>
              <w:left w:val="single" w:color="000001" w:sz="4" w:space="0"/>
              <w:bottom w:val="single" w:color="000001" w:sz="4" w:space="0"/>
              <w:right w:val="single" w:color="000001" w:sz="4" w:space="0"/>
            </w:tcBorders>
            <w:shd w:val="clear" w:color="auto" w:fill="auto"/>
          </w:tcPr>
          <w:p w14:paraId="411C5BDB">
            <w:pPr>
              <w:widowControl w:val="0"/>
              <w:spacing w:before="0" w:after="57" w:line="360" w:lineRule="auto"/>
              <w:jc w:val="right"/>
              <w:rPr>
                <w:rFonts w:ascii="Arial" w:hAnsi="Arial" w:eastAsia="SimSun" w:cs="Arial"/>
                <w:b/>
                <w:color w:val="000000"/>
                <w:sz w:val="21"/>
                <w:szCs w:val="21"/>
                <w:lang w:val="pt-BR" w:eastAsia="zh-CN" w:bidi="hi-IN"/>
              </w:rPr>
            </w:pPr>
          </w:p>
        </w:tc>
        <w:tc>
          <w:tcPr>
            <w:tcW w:w="1362" w:type="dxa"/>
            <w:tcBorders>
              <w:top w:val="single" w:color="000001" w:sz="4" w:space="0"/>
              <w:left w:val="single" w:color="000001" w:sz="4" w:space="0"/>
              <w:bottom w:val="single" w:color="000001" w:sz="4" w:space="0"/>
              <w:right w:val="single" w:color="000001" w:sz="4" w:space="0"/>
            </w:tcBorders>
            <w:shd w:val="clear" w:color="auto" w:fill="auto"/>
          </w:tcPr>
          <w:p w14:paraId="46769E66">
            <w:pPr>
              <w:widowControl w:val="0"/>
              <w:spacing w:before="0" w:after="57" w:line="360" w:lineRule="auto"/>
              <w:jc w:val="right"/>
              <w:rPr>
                <w:rFonts w:ascii="Arial" w:hAnsi="Arial" w:eastAsia="SimSun" w:cs="Arial"/>
                <w:b/>
                <w:color w:val="000000"/>
                <w:sz w:val="21"/>
                <w:szCs w:val="21"/>
                <w:lang w:val="pt-BR" w:eastAsia="zh-CN" w:bidi="hi-IN"/>
              </w:rPr>
            </w:pPr>
          </w:p>
        </w:tc>
      </w:tr>
      <w:tr w14:paraId="15AB5910">
        <w:tblPrEx>
          <w:tblCellMar>
            <w:top w:w="0" w:type="dxa"/>
            <w:left w:w="98" w:type="dxa"/>
            <w:bottom w:w="0" w:type="dxa"/>
            <w:right w:w="108" w:type="dxa"/>
          </w:tblCellMar>
        </w:tblPrEx>
        <w:tc>
          <w:tcPr>
            <w:tcW w:w="7772" w:type="dxa"/>
            <w:gridSpan w:val="6"/>
            <w:tcBorders>
              <w:top w:val="single" w:color="000001" w:sz="4" w:space="0"/>
              <w:left w:val="single" w:color="000001" w:sz="4" w:space="0"/>
              <w:bottom w:val="single" w:color="000001" w:sz="4" w:space="0"/>
              <w:right w:val="single" w:color="000001" w:sz="4" w:space="0"/>
            </w:tcBorders>
            <w:shd w:val="clear" w:color="auto" w:fill="auto"/>
          </w:tcPr>
          <w:p w14:paraId="1785D3A1">
            <w:pPr>
              <w:widowControl w:val="0"/>
              <w:spacing w:before="0" w:after="57" w:line="360" w:lineRule="auto"/>
              <w:jc w:val="right"/>
            </w:pPr>
            <w:r>
              <w:rPr>
                <w:rFonts w:ascii="Arial" w:hAnsi="Arial" w:cs="Arial"/>
                <w:b/>
                <w:color w:val="000000"/>
                <w:sz w:val="21"/>
                <w:szCs w:val="21"/>
              </w:rPr>
              <w:t>TOTAL DA PROPOSTA</w:t>
            </w:r>
          </w:p>
        </w:tc>
        <w:tc>
          <w:tcPr>
            <w:tcW w:w="1362" w:type="dxa"/>
            <w:tcBorders>
              <w:top w:val="single" w:color="000001" w:sz="4" w:space="0"/>
              <w:left w:val="single" w:color="000001" w:sz="4" w:space="0"/>
              <w:bottom w:val="single" w:color="000001" w:sz="4" w:space="0"/>
              <w:right w:val="single" w:color="000001" w:sz="4" w:space="0"/>
            </w:tcBorders>
            <w:shd w:val="clear" w:color="auto" w:fill="auto"/>
          </w:tcPr>
          <w:p w14:paraId="66E94F6F">
            <w:pPr>
              <w:widowControl w:val="0"/>
              <w:spacing w:before="0" w:after="57" w:line="360" w:lineRule="auto"/>
              <w:jc w:val="right"/>
              <w:rPr>
                <w:rFonts w:ascii="Arial" w:hAnsi="Arial" w:eastAsia="SimSun" w:cs="Arial"/>
                <w:b/>
                <w:color w:val="000000"/>
                <w:sz w:val="21"/>
                <w:szCs w:val="21"/>
                <w:lang w:val="pt-BR" w:eastAsia="zh-CN" w:bidi="hi-IN"/>
              </w:rPr>
            </w:pPr>
          </w:p>
        </w:tc>
      </w:tr>
    </w:tbl>
    <w:p w14:paraId="741170B9">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59299758">
      <w:pPr>
        <w:widowControl/>
        <w:suppressAutoHyphens/>
        <w:bidi w:val="0"/>
        <w:spacing w:before="0" w:after="0" w:line="360" w:lineRule="auto"/>
        <w:ind w:left="0" w:right="0" w:firstLine="0"/>
        <w:jc w:val="both"/>
      </w:pPr>
      <w:r>
        <w:rPr>
          <w:rFonts w:ascii="Arial" w:hAnsi="Arial"/>
          <w:sz w:val="21"/>
          <w:szCs w:val="21"/>
        </w:rPr>
        <w:t>VALOR TOTAL R$</w:t>
      </w:r>
      <w:r>
        <w:rPr>
          <w:rFonts w:ascii="Arial" w:hAnsi="Arial"/>
          <w:sz w:val="21"/>
          <w:szCs w:val="21"/>
        </w:rPr>
        <w:tab/>
      </w:r>
      <w:r>
        <w:rPr>
          <w:rFonts w:ascii="Arial" w:hAnsi="Arial"/>
          <w:sz w:val="21"/>
          <w:szCs w:val="21"/>
        </w:rPr>
        <w:t>0,00 (por extenso).</w:t>
      </w:r>
    </w:p>
    <w:p w14:paraId="27995C0B">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46A41371">
      <w:pPr>
        <w:widowControl/>
        <w:suppressAutoHyphens/>
        <w:bidi w:val="0"/>
        <w:spacing w:before="0" w:after="0" w:line="360" w:lineRule="auto"/>
        <w:ind w:left="0" w:right="0" w:firstLine="0"/>
        <w:jc w:val="both"/>
      </w:pPr>
      <w:r>
        <w:rPr>
          <w:rFonts w:ascii="Arial" w:hAnsi="Arial"/>
          <w:b w:val="0"/>
          <w:bCs w:val="0"/>
          <w:sz w:val="21"/>
          <w:szCs w:val="21"/>
        </w:rPr>
        <w:t>Declaro que nos preços acima cotados estão incluídos todos os custos diretos e indiretos necessários à perfeita execução do objeto, encargos sociais e inclusive as despesas com materiais e/ou equipamentos,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58B05620">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5B9C4229">
      <w:pPr>
        <w:widowControl/>
        <w:suppressAutoHyphens/>
        <w:bidi w:val="0"/>
        <w:spacing w:before="0" w:after="0" w:line="360" w:lineRule="auto"/>
        <w:ind w:left="0" w:right="0" w:firstLine="0"/>
        <w:jc w:val="both"/>
      </w:pPr>
      <w:r>
        <w:rPr>
          <w:rFonts w:ascii="Arial" w:hAnsi="Arial"/>
          <w:b/>
          <w:bCs/>
          <w:sz w:val="21"/>
          <w:szCs w:val="21"/>
        </w:rPr>
        <w:t>3 – DADOS BANCÁRIOS DA EMPRESA</w:t>
      </w:r>
    </w:p>
    <w:p w14:paraId="7534B46B">
      <w:pPr>
        <w:widowControl/>
        <w:suppressAutoHyphens/>
        <w:bidi w:val="0"/>
        <w:spacing w:before="0" w:after="0" w:line="360" w:lineRule="auto"/>
        <w:ind w:left="0" w:right="0" w:firstLine="0"/>
        <w:jc w:val="both"/>
      </w:pPr>
      <w:r>
        <w:rPr>
          <w:rFonts w:ascii="Arial" w:hAnsi="Arial"/>
          <w:sz w:val="21"/>
          <w:szCs w:val="21"/>
        </w:rPr>
        <w:t>NOME DO BANCO:</w:t>
      </w:r>
    </w:p>
    <w:p w14:paraId="3C5F30D0">
      <w:pPr>
        <w:widowControl/>
        <w:suppressAutoHyphens/>
        <w:bidi w:val="0"/>
        <w:spacing w:before="0" w:after="0" w:line="360" w:lineRule="auto"/>
        <w:ind w:left="0" w:right="0" w:firstLine="0"/>
        <w:jc w:val="both"/>
      </w:pPr>
      <w:r>
        <w:rPr>
          <w:rFonts w:ascii="Arial" w:hAnsi="Arial"/>
          <w:sz w:val="21"/>
          <w:szCs w:val="21"/>
        </w:rPr>
        <w:t>CIDADE:</w:t>
      </w:r>
    </w:p>
    <w:p w14:paraId="7C041380">
      <w:pPr>
        <w:widowControl/>
        <w:suppressAutoHyphens/>
        <w:bidi w:val="0"/>
        <w:spacing w:before="0" w:after="0" w:line="360" w:lineRule="auto"/>
        <w:ind w:left="0" w:right="0" w:firstLine="0"/>
        <w:jc w:val="both"/>
      </w:pPr>
      <w:r>
        <w:rPr>
          <w:rFonts w:ascii="Arial" w:hAnsi="Arial"/>
          <w:sz w:val="21"/>
          <w:szCs w:val="21"/>
        </w:rPr>
        <w:t>Nº DA AGÊNCIA:</w:t>
      </w:r>
    </w:p>
    <w:p w14:paraId="226C214F">
      <w:pPr>
        <w:widowControl/>
        <w:suppressAutoHyphens/>
        <w:bidi w:val="0"/>
        <w:spacing w:before="0" w:after="0" w:line="360" w:lineRule="auto"/>
        <w:ind w:left="0" w:right="0" w:firstLine="0"/>
        <w:jc w:val="both"/>
      </w:pPr>
      <w:r>
        <w:rPr>
          <w:rFonts w:ascii="Arial" w:hAnsi="Arial"/>
          <w:sz w:val="21"/>
          <w:szCs w:val="21"/>
        </w:rPr>
        <w:t>Nº DA CONTA CORRENTE:</w:t>
      </w:r>
    </w:p>
    <w:p w14:paraId="0759F8B2">
      <w:pPr>
        <w:widowControl/>
        <w:suppressAutoHyphens/>
        <w:bidi w:val="0"/>
        <w:spacing w:before="0" w:after="0" w:line="360" w:lineRule="auto"/>
        <w:ind w:left="0" w:right="0" w:firstLine="0"/>
        <w:jc w:val="both"/>
      </w:pPr>
      <w:r>
        <w:rPr>
          <w:rFonts w:ascii="Arial" w:hAnsi="Arial"/>
          <w:sz w:val="21"/>
          <w:szCs w:val="21"/>
        </w:rPr>
        <w:t>NOME DA CONTA CORRENTE (em nome da empresa):</w:t>
      </w:r>
    </w:p>
    <w:p w14:paraId="5AFB6FE2">
      <w:pPr>
        <w:widowControl/>
        <w:suppressAutoHyphens/>
        <w:bidi w:val="0"/>
        <w:spacing w:before="0" w:after="0" w:line="360" w:lineRule="auto"/>
        <w:ind w:left="0" w:right="0" w:firstLine="0"/>
        <w:jc w:val="both"/>
      </w:pPr>
      <w:r>
        <w:rPr>
          <w:rFonts w:ascii="Arial" w:hAnsi="Arial"/>
          <w:sz w:val="21"/>
          <w:szCs w:val="21"/>
        </w:rPr>
        <w:t>CHAVE PIX:</w:t>
      </w:r>
    </w:p>
    <w:p w14:paraId="7C15D913">
      <w:pPr>
        <w:widowControl/>
        <w:suppressAutoHyphens/>
        <w:bidi w:val="0"/>
        <w:spacing w:before="0" w:after="0" w:line="360" w:lineRule="auto"/>
        <w:ind w:left="0" w:right="0" w:firstLine="0"/>
        <w:jc w:val="both"/>
        <w:rPr>
          <w:rFonts w:ascii="Arial" w:hAnsi="Arial"/>
          <w:sz w:val="21"/>
          <w:szCs w:val="21"/>
        </w:rPr>
      </w:pPr>
    </w:p>
    <w:p w14:paraId="1F0706F1">
      <w:pPr>
        <w:widowControl/>
        <w:suppressAutoHyphens/>
        <w:bidi w:val="0"/>
        <w:spacing w:before="0" w:after="0" w:line="360" w:lineRule="auto"/>
        <w:ind w:left="0" w:right="0" w:firstLine="0"/>
        <w:jc w:val="both"/>
      </w:pPr>
      <w:r>
        <w:rPr>
          <w:rFonts w:ascii="Arial" w:hAnsi="Arial"/>
          <w:b/>
          <w:bCs/>
          <w:sz w:val="21"/>
          <w:szCs w:val="21"/>
        </w:rPr>
        <w:t>4 – DADOS DO REPRESENTANTE LEGAL RESPONSÁVEL PELA ASSINATURA DOCUMENTOS</w:t>
      </w:r>
    </w:p>
    <w:p w14:paraId="14EB59F8">
      <w:pPr>
        <w:widowControl/>
        <w:suppressAutoHyphens/>
        <w:bidi w:val="0"/>
        <w:spacing w:before="0" w:after="0" w:line="360" w:lineRule="auto"/>
        <w:ind w:left="0" w:right="0" w:firstLine="0"/>
        <w:jc w:val="both"/>
      </w:pPr>
      <w:r>
        <w:rPr>
          <w:rFonts w:ascii="Arial" w:hAnsi="Arial"/>
          <w:sz w:val="21"/>
          <w:szCs w:val="21"/>
        </w:rPr>
        <w:t>NOME COMPLETO:</w:t>
      </w:r>
    </w:p>
    <w:p w14:paraId="5B60CD8A">
      <w:pPr>
        <w:widowControl/>
        <w:suppressAutoHyphens/>
        <w:bidi w:val="0"/>
        <w:spacing w:before="0" w:after="0" w:line="360" w:lineRule="auto"/>
        <w:ind w:left="0" w:right="0" w:firstLine="0"/>
        <w:jc w:val="both"/>
      </w:pPr>
      <w:r>
        <w:rPr>
          <w:rFonts w:ascii="Arial" w:hAnsi="Arial"/>
          <w:sz w:val="21"/>
          <w:szCs w:val="21"/>
        </w:rPr>
        <w:t>CARGO OU FUNÇÃO:</w:t>
      </w:r>
    </w:p>
    <w:p w14:paraId="2DB0486F">
      <w:pPr>
        <w:widowControl/>
        <w:suppressAutoHyphens/>
        <w:bidi w:val="0"/>
        <w:spacing w:before="0" w:after="0" w:line="360" w:lineRule="auto"/>
        <w:ind w:left="0" w:right="0" w:firstLine="0"/>
        <w:jc w:val="both"/>
      </w:pPr>
      <w:r>
        <w:rPr>
          <w:rFonts w:ascii="Arial" w:hAnsi="Arial"/>
          <w:sz w:val="21"/>
          <w:szCs w:val="21"/>
        </w:rPr>
        <w:t>IDENTIDADE Nº:</w:t>
      </w:r>
    </w:p>
    <w:p w14:paraId="2D29407B">
      <w:pPr>
        <w:widowControl/>
        <w:suppressAutoHyphens/>
        <w:bidi w:val="0"/>
        <w:spacing w:before="0" w:after="0" w:line="360" w:lineRule="auto"/>
        <w:ind w:left="0" w:right="0" w:firstLine="0"/>
        <w:jc w:val="both"/>
      </w:pPr>
      <w:r>
        <w:rPr>
          <w:rFonts w:ascii="Arial" w:hAnsi="Arial"/>
          <w:sz w:val="21"/>
          <w:szCs w:val="21"/>
        </w:rPr>
        <w:t>CPF/MF Nº:</w:t>
      </w:r>
    </w:p>
    <w:p w14:paraId="20A6D7CC">
      <w:pPr>
        <w:widowControl/>
        <w:suppressAutoHyphens/>
        <w:bidi w:val="0"/>
        <w:spacing w:before="0" w:after="0" w:line="360" w:lineRule="auto"/>
        <w:ind w:left="0" w:right="0" w:firstLine="0"/>
        <w:jc w:val="both"/>
      </w:pPr>
      <w:r>
        <w:rPr>
          <w:rFonts w:ascii="Arial" w:hAnsi="Arial"/>
          <w:sz w:val="21"/>
          <w:szCs w:val="21"/>
        </w:rPr>
        <w:t>TELEFONE PARA CONTATO:</w:t>
      </w:r>
    </w:p>
    <w:p w14:paraId="1D693951">
      <w:pPr>
        <w:widowControl/>
        <w:suppressAutoHyphens/>
        <w:bidi w:val="0"/>
        <w:spacing w:before="0" w:after="0" w:line="360" w:lineRule="auto"/>
        <w:ind w:left="0" w:right="0" w:firstLine="0"/>
        <w:jc w:val="both"/>
        <w:rPr>
          <w:rFonts w:ascii="Arial" w:hAnsi="Arial"/>
          <w:sz w:val="21"/>
          <w:szCs w:val="21"/>
        </w:rPr>
      </w:pPr>
    </w:p>
    <w:p w14:paraId="0F3CA10C">
      <w:pPr>
        <w:widowControl/>
        <w:suppressAutoHyphens/>
        <w:bidi w:val="0"/>
        <w:spacing w:before="0" w:after="0" w:line="360" w:lineRule="auto"/>
        <w:ind w:left="0" w:right="0" w:firstLine="0"/>
        <w:jc w:val="both"/>
      </w:pPr>
      <w:r>
        <w:rPr>
          <w:rFonts w:ascii="Arial" w:hAnsi="Arial"/>
          <w:b/>
          <w:bCs/>
          <w:sz w:val="21"/>
          <w:szCs w:val="21"/>
        </w:rPr>
        <w:t>5 – DECLARAÇÃO DE DOMICÍLIO ELETRÔNICO DA EMPRESA</w:t>
      </w:r>
    </w:p>
    <w:p w14:paraId="47299E6C">
      <w:pPr>
        <w:widowControl/>
        <w:suppressAutoHyphens/>
        <w:bidi w:val="0"/>
        <w:spacing w:before="0" w:after="0" w:line="360" w:lineRule="auto"/>
        <w:ind w:left="0" w:right="0" w:firstLine="0"/>
        <w:jc w:val="both"/>
      </w:pPr>
      <w:r>
        <w:rPr>
          <w:rFonts w:ascii="Arial" w:hAnsi="Arial"/>
          <w:sz w:val="21"/>
          <w:szCs w:val="21"/>
        </w:rPr>
        <w:t>Declaramos que o Domicílio Eletrônico da Empresa para o recebimento de autorizações de fornecimento, alerta de avisos, notificações e decisões administrativas, é:</w:t>
      </w:r>
    </w:p>
    <w:p w14:paraId="354BA759">
      <w:pPr>
        <w:widowControl/>
        <w:suppressAutoHyphens/>
        <w:bidi w:val="0"/>
        <w:spacing w:before="0" w:after="0" w:line="360" w:lineRule="auto"/>
        <w:ind w:left="0" w:right="0" w:firstLine="0"/>
        <w:jc w:val="both"/>
        <w:rPr>
          <w:rFonts w:ascii="Arial" w:hAnsi="Arial"/>
          <w:sz w:val="21"/>
          <w:szCs w:val="21"/>
        </w:rPr>
      </w:pPr>
    </w:p>
    <w:p w14:paraId="1E4D09ED">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E-MAIL:</w:t>
      </w:r>
    </w:p>
    <w:p w14:paraId="05796869">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Obs.: Informar preferencialmente apenas um e-mail como domicílio eletrônico da empresa. Poderá ser informado mais de um e-mail, porém somente será(ão) utilizado(s) se o Município não conseguir contato com o e-mail preferencial (primeiro informado).</w:t>
      </w:r>
    </w:p>
    <w:p w14:paraId="0D120429">
      <w:pPr>
        <w:widowControl/>
        <w:suppressAutoHyphens/>
        <w:bidi w:val="0"/>
        <w:spacing w:before="0" w:after="0" w:line="360" w:lineRule="auto"/>
        <w:ind w:left="0" w:right="0" w:firstLine="0"/>
        <w:jc w:val="both"/>
        <w:rPr>
          <w:rFonts w:ascii="Arial" w:hAnsi="Arial"/>
          <w:sz w:val="21"/>
          <w:szCs w:val="21"/>
        </w:rPr>
      </w:pPr>
    </w:p>
    <w:p w14:paraId="007BF3AD">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6 – DECLARAÇÃO DE ASSINATURA POR CERTIFICAÇÃO DIGITAL</w:t>
      </w:r>
    </w:p>
    <w:p w14:paraId="78727FB0">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Declaramos estar ciente que o representante legal indicado neste documento será o signatário do “Contrato”, o qual deverá assinar o documento, que poderá ser eletrônico em formato “PDF”, por certificação digital, caso assim solicitado, bem como somente serão autorizados os pagamentos em contas cujo CNPJ de titularidade seja idêntico àquele da habilitação e proposta vinculada, na licitação, salvo em caso de participação em consórcios de empresa.</w:t>
      </w:r>
    </w:p>
    <w:p w14:paraId="22AACFA4">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752C774F">
      <w:pPr>
        <w:widowControl/>
        <w:suppressAutoHyphens/>
        <w:bidi w:val="0"/>
        <w:spacing w:before="0" w:after="0" w:line="360" w:lineRule="auto"/>
        <w:ind w:left="0" w:right="0" w:firstLine="0"/>
        <w:jc w:val="both"/>
        <w:rPr>
          <w:rFonts w:ascii="Arial" w:hAnsi="Arial"/>
          <w:sz w:val="21"/>
          <w:szCs w:val="21"/>
        </w:rPr>
      </w:pPr>
      <w:r>
        <w:rPr>
          <w:rFonts w:ascii="Arial" w:hAnsi="Arial"/>
          <w:b/>
          <w:bCs/>
          <w:sz w:val="21"/>
          <w:szCs w:val="21"/>
        </w:rPr>
        <w:t>7 – CONDIÇÕES GERAIS</w:t>
      </w:r>
    </w:p>
    <w:p w14:paraId="0D240A18">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A proponente declara conhecer os termos do instrumento convocatório que rege a presente Licitação.</w:t>
      </w:r>
    </w:p>
    <w:p w14:paraId="35B0BBF0">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7CF0DB6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PRAZO DE EXECUÇÃO: 60 (sessenta) dias da assinatura do contrato.</w:t>
      </w:r>
    </w:p>
    <w:p w14:paraId="7E5ECE2E">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4B6FC9CC">
      <w:pPr>
        <w:widowControl/>
        <w:suppressAutoHyphens/>
        <w:bidi w:val="0"/>
        <w:spacing w:before="0" w:after="0" w:line="360" w:lineRule="auto"/>
        <w:ind w:left="0" w:right="0" w:firstLine="0"/>
        <w:jc w:val="both"/>
        <w:rPr>
          <w:rFonts w:ascii="Arial" w:hAnsi="Arial"/>
          <w:sz w:val="21"/>
          <w:szCs w:val="21"/>
        </w:rPr>
      </w:pPr>
      <w:r>
        <w:rPr>
          <w:rFonts w:ascii="Arial" w:hAnsi="Arial"/>
          <w:sz w:val="21"/>
          <w:szCs w:val="21"/>
        </w:rPr>
        <w:t>VALIDADE DA PROPOSTA: De no mínimo, 60 (sessenta) dias contados a partir da data da sessão pública do Pregão.</w:t>
      </w:r>
    </w:p>
    <w:p w14:paraId="62489134">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57C86D0C">
      <w:pPr>
        <w:widowControl/>
        <w:suppressAutoHyphens/>
        <w:bidi w:val="0"/>
        <w:spacing w:before="0" w:after="0" w:line="360" w:lineRule="auto"/>
        <w:ind w:left="0" w:right="0" w:firstLine="0"/>
        <w:jc w:val="both"/>
        <w:rPr>
          <w:rFonts w:ascii="Arial" w:hAnsi="Arial"/>
          <w:sz w:val="21"/>
          <w:szCs w:val="21"/>
        </w:rPr>
      </w:pPr>
      <w:r>
        <w:rPr>
          <w:rFonts w:ascii="Arial" w:hAnsi="Arial"/>
          <w:b w:val="0"/>
          <w:bCs w:val="0"/>
          <w:sz w:val="21"/>
          <w:szCs w:val="21"/>
        </w:rPr>
        <w:t>PRAZO DE VIGÊNCIA DO CONTRAT</w:t>
      </w:r>
      <w:r>
        <w:rPr>
          <w:rFonts w:ascii="Arial" w:hAnsi="Arial"/>
          <w:b w:val="0"/>
          <w:bCs w:val="0"/>
          <w:color w:val="000000"/>
          <w:sz w:val="21"/>
          <w:szCs w:val="21"/>
          <w:shd w:val="clear" w:fill="FFFFFF"/>
        </w:rPr>
        <w:t>O:</w:t>
      </w:r>
      <w:r>
        <w:rPr>
          <w:rFonts w:ascii="Arial" w:hAnsi="Arial"/>
          <w:b w:val="0"/>
          <w:bCs w:val="0"/>
          <w:color w:val="000000"/>
          <w:position w:val="0"/>
          <w:sz w:val="21"/>
          <w:szCs w:val="21"/>
          <w:shd w:val="clear" w:fill="FFFFFF"/>
          <w:vertAlign w:val="baseline"/>
        </w:rPr>
        <w:t xml:space="preserve"> 12 (doze) meses a partir da publicação no PNCP.</w:t>
      </w:r>
    </w:p>
    <w:p w14:paraId="68F1E2E0">
      <w:pPr>
        <w:widowControl/>
        <w:suppressAutoHyphens/>
        <w:bidi w:val="0"/>
        <w:spacing w:before="0" w:after="0" w:line="360" w:lineRule="auto"/>
        <w:ind w:left="0" w:right="0" w:firstLine="0"/>
        <w:jc w:val="center"/>
        <w:rPr>
          <w:rFonts w:ascii="Arial" w:hAnsi="Arial"/>
          <w:b/>
          <w:bCs/>
          <w:sz w:val="21"/>
          <w:szCs w:val="21"/>
        </w:rPr>
      </w:pPr>
    </w:p>
    <w:p w14:paraId="513A05C9">
      <w:pPr>
        <w:widowControl/>
        <w:suppressAutoHyphens/>
        <w:bidi w:val="0"/>
        <w:spacing w:before="0" w:after="0" w:line="360" w:lineRule="auto"/>
        <w:ind w:left="0" w:right="0" w:firstLine="0"/>
        <w:jc w:val="both"/>
        <w:rPr>
          <w:rFonts w:ascii="Arial" w:hAnsi="Arial"/>
          <w:b/>
          <w:bCs/>
          <w:sz w:val="21"/>
          <w:szCs w:val="21"/>
        </w:rPr>
      </w:pPr>
    </w:p>
    <w:p w14:paraId="3DB3DF17">
      <w:pPr>
        <w:widowControl/>
        <w:suppressAutoHyphens/>
        <w:bidi w:val="0"/>
        <w:spacing w:before="0" w:after="0" w:line="360" w:lineRule="auto"/>
        <w:ind w:left="0" w:right="0" w:firstLine="0"/>
        <w:jc w:val="both"/>
        <w:rPr>
          <w:rFonts w:ascii="Arial" w:hAnsi="Arial"/>
          <w:sz w:val="21"/>
          <w:szCs w:val="21"/>
        </w:rPr>
      </w:pPr>
    </w:p>
    <w:p w14:paraId="1DDD27D9">
      <w:pPr>
        <w:suppressAutoHyphens w:val="0"/>
        <w:spacing w:before="0" w:after="0" w:line="360" w:lineRule="auto"/>
        <w:ind w:left="0" w:right="0" w:firstLine="0"/>
        <w:jc w:val="both"/>
        <w:rPr>
          <w:rFonts w:ascii="Arial" w:hAnsi="Arial"/>
          <w:sz w:val="21"/>
          <w:szCs w:val="21"/>
        </w:rPr>
      </w:pPr>
      <w:r>
        <w:rPr>
          <w:rFonts w:ascii="Arial" w:hAnsi="Arial" w:eastAsia="Times New Roman" w:cs="Arial"/>
          <w:color w:val="000000"/>
          <w:kern w:val="2"/>
          <w:sz w:val="21"/>
          <w:szCs w:val="21"/>
          <w:lang w:eastAsia="zh-CN"/>
        </w:rPr>
        <w:t>Local, ______ de ____________________ de 2024.</w:t>
      </w:r>
    </w:p>
    <w:p w14:paraId="7B2040DF">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31DDE35F">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024782CF">
      <w:pPr>
        <w:suppressAutoHyphens w:val="0"/>
        <w:spacing w:before="0" w:after="0" w:line="360" w:lineRule="auto"/>
        <w:ind w:left="0" w:right="0" w:firstLine="0"/>
        <w:jc w:val="both"/>
        <w:rPr>
          <w:rFonts w:ascii="Arial" w:hAnsi="Arial"/>
          <w:sz w:val="21"/>
          <w:szCs w:val="21"/>
        </w:rPr>
      </w:pPr>
      <w:r>
        <w:rPr>
          <w:rFonts w:ascii="Arial" w:hAnsi="Arial" w:eastAsia="Times New Roman" w:cs="Arial"/>
          <w:color w:val="000000"/>
          <w:kern w:val="2"/>
          <w:sz w:val="21"/>
          <w:szCs w:val="21"/>
          <w:lang w:eastAsia="zh-CN"/>
        </w:rPr>
        <w:t>(nome e assinatura do responsável legal)</w:t>
      </w:r>
    </w:p>
    <w:p w14:paraId="69EF0932">
      <w:pPr>
        <w:suppressAutoHyphens w:val="0"/>
        <w:spacing w:before="0" w:after="0" w:line="360" w:lineRule="auto"/>
        <w:ind w:left="0" w:right="0" w:firstLine="0"/>
        <w:jc w:val="both"/>
        <w:rPr>
          <w:rFonts w:ascii="Arial" w:hAnsi="Arial"/>
          <w:sz w:val="21"/>
          <w:szCs w:val="21"/>
        </w:rPr>
      </w:pPr>
      <w:r>
        <w:rPr>
          <w:rFonts w:ascii="Arial" w:hAnsi="Arial" w:eastAsia="Times New Roman" w:cs="Arial"/>
          <w:color w:val="000000"/>
          <w:kern w:val="2"/>
          <w:sz w:val="21"/>
          <w:szCs w:val="21"/>
          <w:lang w:eastAsia="zh-CN"/>
        </w:rPr>
        <w:t>(número do CPF)</w:t>
      </w:r>
      <w:r>
        <w:br w:type="page"/>
      </w:r>
    </w:p>
    <w:p w14:paraId="697BB4C7">
      <w:pPr>
        <w:widowControl/>
        <w:suppressAutoHyphens/>
        <w:bidi w:val="0"/>
        <w:spacing w:before="0" w:after="0" w:line="360" w:lineRule="auto"/>
        <w:ind w:left="0" w:right="0" w:firstLine="0"/>
        <w:jc w:val="center"/>
        <w:rPr>
          <w:rFonts w:ascii="Arial" w:hAnsi="Arial"/>
          <w:sz w:val="21"/>
          <w:szCs w:val="21"/>
        </w:rPr>
      </w:pPr>
      <w:r>
        <w:rPr>
          <w:rFonts w:ascii="Arial" w:hAnsi="Arial"/>
          <w:b/>
          <w:bCs/>
          <w:sz w:val="21"/>
          <w:szCs w:val="21"/>
        </w:rPr>
        <w:t>ANEXO III</w:t>
      </w:r>
    </w:p>
    <w:p w14:paraId="19D4F2FB">
      <w:pPr>
        <w:widowControl/>
        <w:suppressAutoHyphens/>
        <w:bidi w:val="0"/>
        <w:spacing w:before="0" w:after="0" w:line="360" w:lineRule="auto"/>
        <w:ind w:left="0" w:right="0" w:firstLine="0"/>
        <w:jc w:val="center"/>
        <w:rPr>
          <w:rFonts w:ascii="Arial" w:hAnsi="Arial"/>
          <w:b/>
          <w:bCs/>
          <w:sz w:val="21"/>
          <w:szCs w:val="21"/>
        </w:rPr>
      </w:pPr>
    </w:p>
    <w:p w14:paraId="19F522FA">
      <w:pPr>
        <w:widowControl/>
        <w:suppressAutoHyphens/>
        <w:bidi w:val="0"/>
        <w:spacing w:before="0" w:after="0" w:line="360" w:lineRule="auto"/>
        <w:ind w:left="0" w:right="0" w:firstLine="0"/>
        <w:jc w:val="center"/>
        <w:rPr>
          <w:rFonts w:ascii="Arial" w:hAnsi="Arial"/>
          <w:b/>
          <w:bCs/>
          <w:sz w:val="21"/>
          <w:szCs w:val="21"/>
        </w:rPr>
      </w:pPr>
    </w:p>
    <w:p w14:paraId="4424C5E2">
      <w:pPr>
        <w:widowControl/>
        <w:suppressAutoHyphens/>
        <w:bidi w:val="0"/>
        <w:spacing w:before="0" w:after="0" w:line="360" w:lineRule="auto"/>
        <w:ind w:left="0" w:right="0" w:firstLine="0"/>
        <w:jc w:val="center"/>
        <w:rPr>
          <w:rFonts w:ascii="Arial" w:hAnsi="Arial"/>
          <w:sz w:val="21"/>
          <w:szCs w:val="21"/>
        </w:rPr>
      </w:pPr>
      <w:r>
        <w:rPr>
          <w:rFonts w:ascii="Arial" w:hAnsi="Arial"/>
          <w:b/>
          <w:bCs/>
          <w:sz w:val="21"/>
          <w:szCs w:val="21"/>
        </w:rPr>
        <w:t>DECLARAÇÃO DE CUMPRIMENTO PLENO DOS REQUISITOS DE HABILITAÇÃO</w:t>
      </w:r>
    </w:p>
    <w:p w14:paraId="4A345BF0">
      <w:pPr>
        <w:widowControl/>
        <w:suppressAutoHyphens/>
        <w:bidi w:val="0"/>
        <w:spacing w:before="0" w:after="0" w:line="360" w:lineRule="auto"/>
        <w:ind w:left="0" w:right="0" w:firstLine="0"/>
        <w:jc w:val="both"/>
        <w:rPr>
          <w:rFonts w:ascii="Arial" w:hAnsi="Arial"/>
          <w:sz w:val="21"/>
          <w:szCs w:val="21"/>
        </w:rPr>
      </w:pPr>
    </w:p>
    <w:p w14:paraId="421409E1">
      <w:pPr>
        <w:widowControl/>
        <w:suppressAutoHyphens/>
        <w:bidi w:val="0"/>
        <w:spacing w:before="0" w:after="0" w:line="360" w:lineRule="auto"/>
        <w:ind w:left="0" w:right="0" w:firstLine="0"/>
        <w:jc w:val="both"/>
        <w:rPr>
          <w:rFonts w:ascii="Arial" w:hAnsi="Arial"/>
          <w:b/>
          <w:bCs/>
          <w:sz w:val="21"/>
          <w:szCs w:val="21"/>
        </w:rPr>
      </w:pPr>
    </w:p>
    <w:p w14:paraId="089BAB57">
      <w:pPr>
        <w:pStyle w:val="3"/>
        <w:widowControl/>
        <w:suppressAutoHyphens/>
        <w:bidi w:val="0"/>
        <w:spacing w:before="0" w:after="0" w:line="300" w:lineRule="auto"/>
        <w:ind w:left="0" w:right="0" w:firstLine="0"/>
        <w:jc w:val="both"/>
        <w:rPr>
          <w:rFonts w:ascii="Arial" w:hAnsi="Arial"/>
          <w:sz w:val="21"/>
          <w:szCs w:val="21"/>
        </w:rPr>
      </w:pPr>
      <w:r>
        <w:rPr>
          <w:rFonts w:ascii="Arial" w:hAnsi="Arial"/>
          <w:b/>
          <w:bCs/>
          <w:i w:val="0"/>
          <w:iCs w:val="0"/>
          <w:sz w:val="21"/>
          <w:szCs w:val="21"/>
        </w:rPr>
        <w:t>PROCESSO LICITATÓRIO Nº 144/2024</w:t>
      </w:r>
    </w:p>
    <w:p w14:paraId="46CAA9DA">
      <w:pPr>
        <w:pStyle w:val="3"/>
        <w:widowControl/>
        <w:suppressAutoHyphens/>
        <w:bidi w:val="0"/>
        <w:spacing w:before="0" w:after="0" w:line="30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25AD7D1E">
      <w:pPr>
        <w:widowControl/>
        <w:suppressAutoHyphens/>
        <w:bidi w:val="0"/>
        <w:spacing w:before="0" w:after="0" w:line="360" w:lineRule="auto"/>
        <w:ind w:left="0" w:right="0" w:firstLine="0"/>
        <w:jc w:val="both"/>
        <w:rPr>
          <w:rFonts w:ascii="Arial" w:hAnsi="Arial"/>
          <w:sz w:val="21"/>
          <w:szCs w:val="21"/>
        </w:rPr>
      </w:pPr>
    </w:p>
    <w:p w14:paraId="4F2B261B">
      <w:pPr>
        <w:widowControl/>
        <w:suppressAutoHyphens/>
        <w:bidi w:val="0"/>
        <w:spacing w:before="0" w:after="0" w:line="360" w:lineRule="auto"/>
        <w:ind w:left="0" w:right="0" w:firstLine="0"/>
        <w:jc w:val="both"/>
        <w:rPr>
          <w:rFonts w:ascii="Arial" w:hAnsi="Arial"/>
          <w:sz w:val="21"/>
          <w:szCs w:val="21"/>
        </w:rPr>
      </w:pPr>
    </w:p>
    <w:p w14:paraId="7678C5CA">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w:t>
      </w:r>
      <w:r>
        <w:rPr>
          <w:rFonts w:ascii="Arial" w:hAnsi="Arial"/>
          <w:color w:val="C9211E"/>
          <w:sz w:val="21"/>
          <w:szCs w:val="21"/>
        </w:rPr>
        <w:t>RAZÃO SOCIAL DA EMPRESA</w:t>
      </w:r>
      <w:r>
        <w:rPr>
          <w:rFonts w:ascii="Arial" w:hAnsi="Arial"/>
          <w:sz w:val="21"/>
          <w:szCs w:val="21"/>
        </w:rPr>
        <w:t>)</w:t>
      </w:r>
      <w:r>
        <w:rPr>
          <w:rFonts w:ascii="Arial" w:hAnsi="Arial"/>
          <w:sz w:val="21"/>
          <w:szCs w:val="21"/>
        </w:rPr>
        <w:tab/>
      </w:r>
      <w:r>
        <w:rPr>
          <w:rFonts w:ascii="Arial" w:hAnsi="Arial"/>
          <w:sz w:val="21"/>
          <w:szCs w:val="21"/>
        </w:rPr>
        <w:t>CNPJ nº</w:t>
      </w:r>
      <w:r>
        <w:rPr>
          <w:rFonts w:ascii="Arial" w:hAnsi="Arial"/>
          <w:sz w:val="21"/>
          <w:szCs w:val="21"/>
        </w:rPr>
        <w:tab/>
      </w:r>
      <w:r>
        <w:rPr>
          <w:rFonts w:ascii="Arial" w:hAnsi="Arial"/>
          <w:sz w:val="21"/>
          <w:szCs w:val="21"/>
        </w:rPr>
        <w:t>, sediada em (E</w:t>
      </w:r>
      <w:r>
        <w:rPr>
          <w:rFonts w:ascii="Arial" w:hAnsi="Arial"/>
          <w:color w:val="C9211E"/>
          <w:sz w:val="21"/>
          <w:szCs w:val="21"/>
        </w:rPr>
        <w:t>NDEREÇO COMERCIAL</w:t>
      </w:r>
      <w:r>
        <w:rPr>
          <w:rFonts w:ascii="Arial" w:hAnsi="Arial"/>
          <w:sz w:val="21"/>
          <w:szCs w:val="21"/>
        </w:rPr>
        <w:t>)</w:t>
      </w:r>
      <w:r>
        <w:rPr>
          <w:rFonts w:ascii="Arial" w:hAnsi="Arial"/>
          <w:sz w:val="21"/>
          <w:szCs w:val="21"/>
        </w:rPr>
        <w:tab/>
      </w:r>
      <w:r>
        <w:rPr>
          <w:rFonts w:ascii="Arial" w:hAnsi="Arial"/>
          <w:sz w:val="21"/>
          <w:szCs w:val="21"/>
        </w:rPr>
        <w:t>, declara, sob as penas da Lei Federal nº 14.133, de 2021, que cumpre plenamente os requisitos para sua habilitação no presente processo licitatório.</w:t>
      </w:r>
    </w:p>
    <w:p w14:paraId="3B3E7D2B">
      <w:pPr>
        <w:widowControl/>
        <w:suppressAutoHyphens/>
        <w:bidi w:val="0"/>
        <w:spacing w:before="0" w:after="0" w:line="360" w:lineRule="auto"/>
        <w:ind w:left="0" w:right="0" w:firstLine="0"/>
        <w:jc w:val="both"/>
        <w:rPr>
          <w:rFonts w:ascii="Arial" w:hAnsi="Arial"/>
          <w:sz w:val="21"/>
          <w:szCs w:val="21"/>
        </w:rPr>
      </w:pPr>
    </w:p>
    <w:p w14:paraId="00127568">
      <w:pPr>
        <w:widowControl/>
        <w:suppressAutoHyphens/>
        <w:bidi w:val="0"/>
        <w:spacing w:before="0" w:after="0" w:line="360" w:lineRule="auto"/>
        <w:ind w:left="0" w:right="0" w:firstLine="0"/>
        <w:jc w:val="both"/>
        <w:rPr>
          <w:rFonts w:ascii="Arial" w:hAnsi="Arial"/>
          <w:sz w:val="21"/>
          <w:szCs w:val="21"/>
        </w:rPr>
      </w:pPr>
    </w:p>
    <w:p w14:paraId="649D3472">
      <w:pPr>
        <w:widowControl/>
        <w:suppressAutoHyphens/>
        <w:bidi w:val="0"/>
        <w:spacing w:before="0" w:after="0" w:line="360" w:lineRule="auto"/>
        <w:ind w:left="0" w:right="0" w:firstLine="0"/>
        <w:jc w:val="both"/>
      </w:pPr>
      <w:r>
        <w:rPr>
          <w:rFonts w:ascii="Arial" w:hAnsi="Arial"/>
          <w:sz w:val="21"/>
          <w:szCs w:val="21"/>
        </w:rPr>
        <w:t xml:space="preserve">OBS – </w:t>
      </w:r>
      <w:r>
        <w:rPr>
          <w:rFonts w:ascii="Arial" w:hAnsi="Arial"/>
          <w:color w:val="C9211E"/>
          <w:sz w:val="21"/>
          <w:szCs w:val="21"/>
        </w:rPr>
        <w:t>Se for Microempresa ou Empresa de Pequeno Porte – EPP com problemas na habilitação, fazer constar tal ressalva.</w:t>
      </w:r>
    </w:p>
    <w:p w14:paraId="30505CBB">
      <w:pPr>
        <w:widowControl/>
        <w:suppressAutoHyphens/>
        <w:bidi w:val="0"/>
        <w:spacing w:before="0" w:after="0" w:line="360" w:lineRule="auto"/>
        <w:ind w:left="0" w:right="0" w:firstLine="0"/>
        <w:jc w:val="both"/>
        <w:rPr>
          <w:rFonts w:ascii="Arial" w:hAnsi="Arial"/>
          <w:sz w:val="21"/>
          <w:szCs w:val="21"/>
        </w:rPr>
      </w:pPr>
    </w:p>
    <w:p w14:paraId="06F02E99">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sz w:val="21"/>
          <w:szCs w:val="21"/>
        </w:rPr>
        <w:tab/>
      </w:r>
    </w:p>
    <w:p w14:paraId="7EFF7185">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Local, ______ de ____________________ de 2024.</w:t>
      </w:r>
    </w:p>
    <w:p w14:paraId="3050CB6A">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5DDD09CF">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15685E98">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44855794">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7DA4E3DD">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(número do CPF)</w:t>
      </w:r>
      <w:r>
        <w:br w:type="page"/>
      </w:r>
    </w:p>
    <w:p w14:paraId="1B097C47">
      <w:pPr>
        <w:widowControl/>
        <w:suppressAutoHyphens/>
        <w:bidi w:val="0"/>
        <w:spacing w:before="0" w:after="0" w:line="360" w:lineRule="auto"/>
        <w:ind w:left="0" w:right="0" w:firstLine="0"/>
        <w:jc w:val="center"/>
      </w:pPr>
      <w:r>
        <w:rPr>
          <w:rFonts w:ascii="Arial" w:hAnsi="Arial"/>
          <w:b/>
          <w:bCs/>
          <w:sz w:val="21"/>
          <w:szCs w:val="21"/>
        </w:rPr>
        <w:t>ANEXO IV</w:t>
      </w:r>
    </w:p>
    <w:p w14:paraId="070177D2">
      <w:pPr>
        <w:widowControl/>
        <w:suppressAutoHyphens/>
        <w:bidi w:val="0"/>
        <w:spacing w:before="0" w:after="0" w:line="360" w:lineRule="auto"/>
        <w:ind w:left="0" w:right="0" w:firstLine="0"/>
        <w:jc w:val="center"/>
        <w:rPr>
          <w:rFonts w:ascii="Arial" w:hAnsi="Arial"/>
          <w:b/>
          <w:bCs/>
          <w:sz w:val="21"/>
          <w:szCs w:val="21"/>
        </w:rPr>
      </w:pPr>
    </w:p>
    <w:p w14:paraId="5C33D873">
      <w:pPr>
        <w:widowControl/>
        <w:suppressAutoHyphens/>
        <w:bidi w:val="0"/>
        <w:spacing w:before="0" w:after="0" w:line="360" w:lineRule="auto"/>
        <w:ind w:left="0" w:right="0" w:firstLine="0"/>
        <w:jc w:val="center"/>
        <w:rPr>
          <w:rFonts w:ascii="Arial" w:hAnsi="Arial"/>
          <w:b/>
          <w:bCs/>
          <w:sz w:val="21"/>
          <w:szCs w:val="21"/>
        </w:rPr>
      </w:pPr>
    </w:p>
    <w:p w14:paraId="0AFB532A">
      <w:pPr>
        <w:widowControl/>
        <w:suppressAutoHyphens/>
        <w:bidi w:val="0"/>
        <w:spacing w:before="0" w:after="0" w:line="360" w:lineRule="auto"/>
        <w:ind w:left="0" w:right="0" w:firstLine="0"/>
        <w:jc w:val="center"/>
      </w:pPr>
      <w:r>
        <w:rPr>
          <w:rFonts w:ascii="Arial" w:hAnsi="Arial"/>
          <w:b/>
          <w:bCs/>
          <w:sz w:val="21"/>
          <w:szCs w:val="21"/>
        </w:rPr>
        <w:t>DECLARAÇÃO DE AUSÊNCIA DE CONDENAÇÃO</w:t>
      </w:r>
    </w:p>
    <w:p w14:paraId="12F22FE8">
      <w:pPr>
        <w:widowControl/>
        <w:suppressAutoHyphens/>
        <w:bidi w:val="0"/>
        <w:spacing w:before="0" w:after="0" w:line="360" w:lineRule="auto"/>
        <w:ind w:left="0" w:right="0" w:firstLine="0"/>
        <w:jc w:val="both"/>
        <w:rPr>
          <w:rFonts w:ascii="Arial" w:hAnsi="Arial"/>
          <w:sz w:val="21"/>
          <w:szCs w:val="21"/>
        </w:rPr>
      </w:pPr>
    </w:p>
    <w:p w14:paraId="71417310">
      <w:pPr>
        <w:widowControl/>
        <w:suppressAutoHyphens/>
        <w:bidi w:val="0"/>
        <w:spacing w:before="0" w:after="0" w:line="360" w:lineRule="auto"/>
        <w:ind w:left="0" w:right="0" w:firstLine="0"/>
        <w:jc w:val="both"/>
        <w:rPr>
          <w:rFonts w:ascii="Arial" w:hAnsi="Arial"/>
          <w:b/>
          <w:bCs/>
          <w:sz w:val="21"/>
          <w:szCs w:val="21"/>
        </w:rPr>
      </w:pPr>
    </w:p>
    <w:p w14:paraId="124092CE">
      <w:pPr>
        <w:pStyle w:val="3"/>
        <w:widowControl/>
        <w:suppressAutoHyphens/>
        <w:bidi w:val="0"/>
        <w:spacing w:before="0" w:after="0" w:line="360" w:lineRule="auto"/>
        <w:ind w:left="0" w:right="0" w:firstLine="0"/>
        <w:jc w:val="both"/>
      </w:pPr>
      <w:r>
        <w:rPr>
          <w:rFonts w:ascii="Arial" w:hAnsi="Arial"/>
          <w:b/>
          <w:bCs/>
          <w:i w:val="0"/>
          <w:iCs w:val="0"/>
          <w:sz w:val="21"/>
          <w:szCs w:val="21"/>
        </w:rPr>
        <w:t>PROCESSO LICITATÓRIO Nº 144/2024</w:t>
      </w:r>
    </w:p>
    <w:p w14:paraId="7819B70C">
      <w:pPr>
        <w:pStyle w:val="3"/>
        <w:widowControl/>
        <w:suppressAutoHyphens/>
        <w:bidi w:val="0"/>
        <w:spacing w:before="0" w:after="0" w:line="36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2B7C5E99">
      <w:pPr>
        <w:widowControl/>
        <w:suppressAutoHyphens/>
        <w:bidi w:val="0"/>
        <w:spacing w:before="0" w:after="0" w:line="360" w:lineRule="auto"/>
        <w:ind w:left="0" w:right="0" w:firstLine="0"/>
        <w:jc w:val="both"/>
        <w:rPr>
          <w:rFonts w:ascii="Arial" w:hAnsi="Arial"/>
          <w:sz w:val="21"/>
          <w:szCs w:val="21"/>
        </w:rPr>
      </w:pPr>
    </w:p>
    <w:p w14:paraId="7F6E073E">
      <w:pPr>
        <w:widowControl/>
        <w:suppressAutoHyphens/>
        <w:bidi w:val="0"/>
        <w:spacing w:before="0" w:after="0" w:line="360" w:lineRule="auto"/>
        <w:ind w:left="0" w:right="0" w:firstLine="0"/>
        <w:jc w:val="both"/>
        <w:rPr>
          <w:rFonts w:ascii="Arial" w:hAnsi="Arial"/>
          <w:sz w:val="21"/>
          <w:szCs w:val="21"/>
        </w:rPr>
      </w:pPr>
    </w:p>
    <w:p w14:paraId="006987C5">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w:t>
      </w:r>
      <w:r>
        <w:rPr>
          <w:rFonts w:ascii="Arial" w:hAnsi="Arial"/>
          <w:color w:val="C9211E"/>
          <w:sz w:val="21"/>
          <w:szCs w:val="21"/>
        </w:rPr>
        <w:t>RAZÃO SOCIAL DA EMPRESA</w:t>
      </w:r>
      <w:r>
        <w:rPr>
          <w:rFonts w:ascii="Arial" w:hAnsi="Arial"/>
          <w:sz w:val="21"/>
          <w:szCs w:val="21"/>
        </w:rPr>
        <w:t>)</w:t>
      </w:r>
      <w:r>
        <w:rPr>
          <w:rFonts w:ascii="Arial" w:hAnsi="Arial"/>
          <w:sz w:val="21"/>
          <w:szCs w:val="21"/>
        </w:rPr>
        <w:tab/>
      </w:r>
      <w:r>
        <w:rPr>
          <w:rFonts w:ascii="Arial" w:hAnsi="Arial"/>
          <w:sz w:val="21"/>
          <w:szCs w:val="21"/>
        </w:rPr>
        <w:t>CNPJ nº</w:t>
      </w:r>
      <w:r>
        <w:rPr>
          <w:rFonts w:ascii="Arial" w:hAnsi="Arial"/>
          <w:sz w:val="21"/>
          <w:szCs w:val="21"/>
        </w:rPr>
        <w:tab/>
      </w:r>
      <w:r>
        <w:rPr>
          <w:rFonts w:ascii="Arial" w:hAnsi="Arial"/>
          <w:sz w:val="21"/>
          <w:szCs w:val="21"/>
        </w:rPr>
        <w:t>, sediada em (</w:t>
      </w:r>
      <w:r>
        <w:rPr>
          <w:rFonts w:ascii="Arial" w:hAnsi="Arial"/>
          <w:color w:val="C9211E"/>
          <w:sz w:val="21"/>
          <w:szCs w:val="21"/>
        </w:rPr>
        <w:t>ENDEREÇO COMERCIAL</w:t>
      </w:r>
      <w:r>
        <w:rPr>
          <w:rFonts w:ascii="Arial" w:hAnsi="Arial"/>
          <w:sz w:val="21"/>
          <w:szCs w:val="21"/>
        </w:rPr>
        <w:t>)</w:t>
      </w:r>
      <w:r>
        <w:rPr>
          <w:rFonts w:ascii="Arial" w:hAnsi="Arial"/>
          <w:sz w:val="21"/>
          <w:szCs w:val="21"/>
        </w:rPr>
        <w:tab/>
      </w:r>
      <w:r>
        <w:rPr>
          <w:rFonts w:ascii="Arial" w:hAnsi="Arial"/>
          <w:sz w:val="21"/>
          <w:szCs w:val="21"/>
        </w:rPr>
        <w:t>,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D4488C9">
      <w:pPr>
        <w:widowControl/>
        <w:suppressAutoHyphens/>
        <w:bidi w:val="0"/>
        <w:spacing w:before="0" w:after="0" w:line="360" w:lineRule="auto"/>
        <w:ind w:left="0" w:right="0" w:firstLine="0"/>
        <w:jc w:val="both"/>
        <w:rPr>
          <w:rFonts w:ascii="Arial" w:hAnsi="Arial"/>
          <w:sz w:val="21"/>
          <w:szCs w:val="21"/>
        </w:rPr>
      </w:pPr>
    </w:p>
    <w:p w14:paraId="64C850BC">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sz w:val="21"/>
          <w:szCs w:val="21"/>
        </w:rPr>
        <w:tab/>
      </w:r>
      <w:r>
        <w:rPr>
          <w:rFonts w:ascii="Arial" w:hAnsi="Arial" w:eastAsia="Times New Roman" w:cs="Arial"/>
          <w:color w:val="000000"/>
          <w:kern w:val="2"/>
          <w:sz w:val="21"/>
          <w:szCs w:val="21"/>
          <w:lang w:eastAsia="zh-CN"/>
        </w:rPr>
        <w:t>Local, ______ de ____________________ de 2024.</w:t>
      </w:r>
    </w:p>
    <w:p w14:paraId="175EF374">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3120A470">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5E6D3B61">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001807C3">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428598B5">
      <w:pPr>
        <w:widowControl/>
        <w:suppressAutoHyphens/>
        <w:bidi w:val="0"/>
        <w:spacing w:before="0" w:after="0" w:line="360" w:lineRule="auto"/>
        <w:ind w:left="0" w:right="0" w:firstLine="0"/>
        <w:jc w:val="both"/>
      </w:pPr>
      <w:r>
        <w:rPr>
          <w:rFonts w:ascii="Arial" w:hAnsi="Arial" w:eastAsia="Times New Roman" w:cs="Arial"/>
          <w:color w:val="000000"/>
          <w:kern w:val="2"/>
          <w:sz w:val="21"/>
          <w:szCs w:val="21"/>
          <w:lang w:eastAsia="zh-CN"/>
        </w:rPr>
        <w:t>(número do CPF)</w:t>
      </w:r>
      <w:r>
        <w:br w:type="page"/>
      </w:r>
    </w:p>
    <w:p w14:paraId="77882C53">
      <w:pPr>
        <w:widowControl/>
        <w:suppressAutoHyphens/>
        <w:bidi w:val="0"/>
        <w:spacing w:before="0" w:after="0" w:line="360" w:lineRule="auto"/>
        <w:ind w:left="0" w:right="0" w:firstLine="0"/>
        <w:jc w:val="center"/>
      </w:pPr>
      <w:r>
        <w:rPr>
          <w:rFonts w:ascii="Arial" w:hAnsi="Arial"/>
          <w:b/>
          <w:bCs/>
          <w:sz w:val="21"/>
          <w:szCs w:val="21"/>
        </w:rPr>
        <w:t>ANEXO V</w:t>
      </w:r>
    </w:p>
    <w:p w14:paraId="45B7C006">
      <w:pPr>
        <w:widowControl/>
        <w:suppressAutoHyphens/>
        <w:bidi w:val="0"/>
        <w:spacing w:before="0" w:after="0" w:line="360" w:lineRule="auto"/>
        <w:ind w:left="0" w:right="0" w:firstLine="0"/>
        <w:jc w:val="center"/>
        <w:rPr>
          <w:rFonts w:ascii="Arial" w:hAnsi="Arial"/>
          <w:b/>
          <w:bCs/>
          <w:sz w:val="21"/>
          <w:szCs w:val="21"/>
        </w:rPr>
      </w:pPr>
    </w:p>
    <w:p w14:paraId="6E337009">
      <w:pPr>
        <w:widowControl/>
        <w:suppressAutoHyphens/>
        <w:bidi w:val="0"/>
        <w:spacing w:before="0" w:after="0" w:line="360" w:lineRule="auto"/>
        <w:ind w:left="0" w:right="0" w:firstLine="0"/>
        <w:jc w:val="center"/>
        <w:rPr>
          <w:rFonts w:ascii="Arial" w:hAnsi="Arial"/>
          <w:b/>
          <w:bCs/>
          <w:sz w:val="21"/>
          <w:szCs w:val="21"/>
        </w:rPr>
      </w:pPr>
    </w:p>
    <w:p w14:paraId="01E20773">
      <w:pPr>
        <w:widowControl/>
        <w:suppressAutoHyphens/>
        <w:bidi w:val="0"/>
        <w:spacing w:before="0" w:after="0" w:line="360" w:lineRule="auto"/>
        <w:ind w:left="0" w:right="0" w:firstLine="0"/>
        <w:jc w:val="center"/>
        <w:rPr>
          <w:rFonts w:ascii="Arial" w:hAnsi="Arial"/>
          <w:b/>
          <w:bCs/>
          <w:sz w:val="21"/>
          <w:szCs w:val="21"/>
        </w:rPr>
      </w:pPr>
    </w:p>
    <w:p w14:paraId="69B20076">
      <w:pPr>
        <w:widowControl/>
        <w:suppressAutoHyphens/>
        <w:bidi w:val="0"/>
        <w:spacing w:before="0" w:after="0" w:line="360" w:lineRule="auto"/>
        <w:ind w:left="0" w:right="0" w:firstLine="0"/>
        <w:jc w:val="center"/>
      </w:pPr>
      <w:r>
        <w:rPr>
          <w:rFonts w:ascii="Arial" w:hAnsi="Arial"/>
          <w:b/>
          <w:bCs/>
          <w:sz w:val="21"/>
          <w:szCs w:val="21"/>
        </w:rPr>
        <w:t>DECLARAÇÃO DE AUSÊNCIA DE VÍNCULO SOCIAL E FUNCIONAL</w:t>
      </w:r>
    </w:p>
    <w:p w14:paraId="607B8CAB">
      <w:pPr>
        <w:widowControl/>
        <w:suppressAutoHyphens/>
        <w:bidi w:val="0"/>
        <w:spacing w:before="0" w:after="0" w:line="360" w:lineRule="auto"/>
        <w:ind w:left="0" w:right="0" w:firstLine="0"/>
        <w:jc w:val="both"/>
        <w:rPr>
          <w:rFonts w:ascii="Arial" w:hAnsi="Arial"/>
          <w:sz w:val="21"/>
          <w:szCs w:val="21"/>
        </w:rPr>
      </w:pPr>
    </w:p>
    <w:p w14:paraId="5B540EB0">
      <w:pPr>
        <w:widowControl/>
        <w:suppressAutoHyphens/>
        <w:bidi w:val="0"/>
        <w:spacing w:before="0" w:after="0" w:line="360" w:lineRule="auto"/>
        <w:ind w:left="0" w:right="0" w:firstLine="0"/>
        <w:jc w:val="both"/>
        <w:rPr>
          <w:rFonts w:ascii="Arial" w:hAnsi="Arial"/>
          <w:b/>
          <w:bCs/>
          <w:sz w:val="21"/>
          <w:szCs w:val="21"/>
        </w:rPr>
      </w:pPr>
    </w:p>
    <w:p w14:paraId="59FF15CB">
      <w:pPr>
        <w:pStyle w:val="3"/>
        <w:widowControl/>
        <w:suppressAutoHyphens/>
        <w:bidi w:val="0"/>
        <w:spacing w:before="0" w:after="0" w:line="360" w:lineRule="auto"/>
        <w:ind w:left="0" w:right="0" w:firstLine="0"/>
        <w:jc w:val="both"/>
      </w:pPr>
      <w:r>
        <w:rPr>
          <w:rFonts w:ascii="Arial" w:hAnsi="Arial"/>
          <w:b/>
          <w:bCs/>
          <w:i w:val="0"/>
          <w:iCs w:val="0"/>
          <w:sz w:val="21"/>
          <w:szCs w:val="21"/>
        </w:rPr>
        <w:t>PROCESSO LICITATÓRIO Nº 144/2024</w:t>
      </w:r>
    </w:p>
    <w:p w14:paraId="537C9878">
      <w:pPr>
        <w:pStyle w:val="3"/>
        <w:widowControl/>
        <w:suppressAutoHyphens/>
        <w:bidi w:val="0"/>
        <w:spacing w:before="0" w:after="0" w:line="36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4DADD860">
      <w:pPr>
        <w:widowControl/>
        <w:suppressAutoHyphens/>
        <w:bidi w:val="0"/>
        <w:spacing w:before="0" w:after="0" w:line="360" w:lineRule="auto"/>
        <w:ind w:left="0" w:right="0" w:firstLine="0"/>
        <w:jc w:val="both"/>
        <w:rPr>
          <w:rFonts w:ascii="Arial" w:hAnsi="Arial"/>
          <w:sz w:val="21"/>
          <w:szCs w:val="21"/>
        </w:rPr>
      </w:pPr>
    </w:p>
    <w:p w14:paraId="412A0C8E">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w:t>
      </w:r>
      <w:r>
        <w:rPr>
          <w:rFonts w:ascii="Arial" w:hAnsi="Arial"/>
          <w:color w:val="C9211E"/>
          <w:sz w:val="21"/>
          <w:szCs w:val="21"/>
        </w:rPr>
        <w:t>RAZÃO SOCIAL DA EMPRESA</w:t>
      </w:r>
      <w:r>
        <w:rPr>
          <w:rFonts w:ascii="Arial" w:hAnsi="Arial"/>
          <w:sz w:val="21"/>
          <w:szCs w:val="21"/>
        </w:rPr>
        <w:t>)</w:t>
      </w:r>
      <w:r>
        <w:rPr>
          <w:rFonts w:ascii="Arial" w:hAnsi="Arial"/>
          <w:sz w:val="21"/>
          <w:szCs w:val="21"/>
        </w:rPr>
        <w:tab/>
      </w:r>
      <w:r>
        <w:rPr>
          <w:rFonts w:ascii="Arial" w:hAnsi="Arial"/>
          <w:sz w:val="21"/>
          <w:szCs w:val="21"/>
        </w:rPr>
        <w:t>CNPJ nº ____________, sediada em (</w:t>
      </w:r>
      <w:r>
        <w:rPr>
          <w:rFonts w:ascii="Arial" w:hAnsi="Arial"/>
          <w:color w:val="C9211E"/>
          <w:sz w:val="21"/>
          <w:szCs w:val="21"/>
        </w:rPr>
        <w:t>ENDEREÇO COMERCIAL</w:t>
      </w:r>
      <w:r>
        <w:rPr>
          <w:rFonts w:ascii="Arial" w:hAnsi="Arial"/>
          <w:sz w:val="21"/>
          <w:szCs w:val="21"/>
        </w:rPr>
        <w:t>)</w:t>
      </w:r>
      <w:r>
        <w:rPr>
          <w:rFonts w:ascii="Arial" w:hAnsi="Arial"/>
          <w:sz w:val="21"/>
          <w:szCs w:val="21"/>
        </w:rPr>
        <w:tab/>
      </w:r>
      <w:r>
        <w:rPr>
          <w:rFonts w:ascii="Arial" w:hAnsi="Arial"/>
          <w:sz w:val="21"/>
          <w:szCs w:val="21"/>
        </w:rPr>
        <w:t>através de seu representante legal, Sr(a). _________________, declara, sob as penas da Lei Federal nº 14.133, 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bem como declara</w:t>
      </w:r>
      <w:r>
        <w:rPr>
          <w:rFonts w:ascii="Arial" w:hAnsi="Arial" w:eastAsia="Times New Roman" w:cs="Arial"/>
          <w:kern w:val="0"/>
          <w:sz w:val="21"/>
          <w:szCs w:val="21"/>
          <w:lang w:eastAsia="pt-BR"/>
        </w:rPr>
        <w:t xml:space="preserve"> sob as penas da lei </w:t>
      </w:r>
      <w:r>
        <w:rPr>
          <w:rFonts w:ascii="Arial" w:hAnsi="Arial" w:eastAsia="Times New Roman" w:cs="Arial"/>
          <w:bCs/>
          <w:kern w:val="0"/>
          <w:sz w:val="21"/>
          <w:szCs w:val="21"/>
          <w:lang w:eastAsia="pt-BR"/>
        </w:rPr>
        <w:t>que não integra em seus quadros social e funcional, servidor público da administração direta ou indireta do Município de Lindóia do Sul, e agente político da esfera municipal de Lindóia do Sul, do Estado de Santa Catarina, e da União.</w:t>
      </w:r>
    </w:p>
    <w:p w14:paraId="71E7E78D">
      <w:pPr>
        <w:widowControl/>
        <w:suppressAutoHyphens/>
        <w:bidi w:val="0"/>
        <w:spacing w:before="0" w:after="0" w:line="360" w:lineRule="auto"/>
        <w:ind w:left="0" w:right="0" w:firstLine="0"/>
        <w:jc w:val="both"/>
      </w:pPr>
      <w:r>
        <w:rPr>
          <w:rFonts w:ascii="Arial" w:hAnsi="Arial" w:eastAsia="Arial" w:cs="Arial"/>
          <w:b w:val="0"/>
          <w:bCs w:val="0"/>
          <w:kern w:val="0"/>
          <w:sz w:val="21"/>
          <w:szCs w:val="21"/>
          <w:lang w:eastAsia="pt-BR"/>
        </w:rPr>
        <w:tab/>
      </w:r>
      <w:r>
        <w:rPr>
          <w:rFonts w:ascii="Arial" w:hAnsi="Arial" w:eastAsia="Times New Roman" w:cs="Arial"/>
          <w:b w:val="0"/>
          <w:bCs w:val="0"/>
          <w:kern w:val="0"/>
          <w:sz w:val="21"/>
          <w:szCs w:val="21"/>
          <w:lang w:eastAsia="pt-BR"/>
        </w:rPr>
        <w:t xml:space="preserve">Portanto, inclusive, a empresa declara que também está em conformidade com o que prevê o art. </w:t>
      </w:r>
      <w:r>
        <w:rPr>
          <w:rFonts w:ascii="Arial" w:hAnsi="Arial" w:cs="Arial"/>
          <w:b w:val="0"/>
          <w:bCs w:val="0"/>
          <w:kern w:val="2"/>
          <w:sz w:val="21"/>
          <w:szCs w:val="21"/>
          <w:lang w:eastAsia="zh-CN"/>
        </w:rPr>
        <w:t>54 I “a” da Constituição Federal e art. 43 I ”a” e II “a” da Constituição do Estado de Santa Catarina.</w:t>
      </w:r>
      <w:r>
        <w:rPr>
          <w:rFonts w:ascii="Arial" w:hAnsi="Arial" w:eastAsia="Times New Roman" w:cs="Arial"/>
          <w:b w:val="0"/>
          <w:bCs w:val="0"/>
          <w:kern w:val="0"/>
          <w:sz w:val="21"/>
          <w:szCs w:val="21"/>
          <w:lang w:eastAsia="pt-BR"/>
        </w:rPr>
        <w:t xml:space="preserve"> </w:t>
      </w:r>
    </w:p>
    <w:p w14:paraId="61D86AA1">
      <w:pPr>
        <w:widowControl/>
        <w:suppressAutoHyphens/>
        <w:bidi w:val="0"/>
        <w:spacing w:before="0" w:after="0" w:line="360" w:lineRule="auto"/>
        <w:ind w:left="0" w:right="0" w:firstLine="0"/>
        <w:jc w:val="both"/>
        <w:rPr>
          <w:rFonts w:ascii="Arial" w:hAnsi="Arial"/>
          <w:sz w:val="21"/>
          <w:szCs w:val="21"/>
        </w:rPr>
      </w:pPr>
    </w:p>
    <w:p w14:paraId="67B8A9DF">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sz w:val="21"/>
          <w:szCs w:val="21"/>
        </w:rPr>
        <w:tab/>
      </w:r>
      <w:r>
        <w:rPr>
          <w:rFonts w:ascii="Arial" w:hAnsi="Arial" w:eastAsia="Times New Roman" w:cs="Arial"/>
          <w:color w:val="000000"/>
          <w:kern w:val="2"/>
          <w:sz w:val="21"/>
          <w:szCs w:val="21"/>
          <w:lang w:eastAsia="zh-CN"/>
        </w:rPr>
        <w:t>Local, ______ de ____________________ de 2024.</w:t>
      </w:r>
    </w:p>
    <w:p w14:paraId="4955C3CC">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51F022CB">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58672DA2">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26ED3AE3">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0ACD641E">
      <w:pPr>
        <w:widowControl/>
        <w:suppressAutoHyphens/>
        <w:bidi w:val="0"/>
        <w:spacing w:before="0" w:after="0" w:line="360" w:lineRule="auto"/>
        <w:ind w:left="0" w:right="0" w:firstLine="0"/>
        <w:jc w:val="both"/>
      </w:pPr>
      <w:r>
        <w:rPr>
          <w:rFonts w:ascii="Arial" w:hAnsi="Arial" w:eastAsia="Times New Roman" w:cs="Arial"/>
          <w:color w:val="000000"/>
          <w:kern w:val="2"/>
          <w:sz w:val="21"/>
          <w:szCs w:val="21"/>
          <w:lang w:eastAsia="zh-CN"/>
        </w:rPr>
        <w:t>(número do CPF)</w:t>
      </w:r>
      <w:r>
        <w:br w:type="page"/>
      </w:r>
    </w:p>
    <w:p w14:paraId="7CDCA430">
      <w:pPr>
        <w:widowControl/>
        <w:suppressAutoHyphens/>
        <w:bidi w:val="0"/>
        <w:spacing w:before="0" w:after="0" w:line="360" w:lineRule="auto"/>
        <w:ind w:left="0" w:right="0" w:firstLine="0"/>
        <w:jc w:val="center"/>
      </w:pPr>
      <w:r>
        <w:rPr>
          <w:rFonts w:ascii="Arial" w:hAnsi="Arial"/>
          <w:b/>
          <w:bCs/>
          <w:sz w:val="21"/>
          <w:szCs w:val="21"/>
        </w:rPr>
        <w:t>ANEXO VI</w:t>
      </w:r>
    </w:p>
    <w:p w14:paraId="71D2EA16">
      <w:pPr>
        <w:widowControl/>
        <w:suppressAutoHyphens/>
        <w:bidi w:val="0"/>
        <w:spacing w:before="0" w:after="0" w:line="360" w:lineRule="auto"/>
        <w:ind w:left="0" w:right="0" w:firstLine="0"/>
        <w:jc w:val="center"/>
        <w:rPr>
          <w:rFonts w:ascii="Arial" w:hAnsi="Arial"/>
          <w:b/>
          <w:bCs/>
          <w:sz w:val="21"/>
          <w:szCs w:val="21"/>
        </w:rPr>
      </w:pPr>
    </w:p>
    <w:p w14:paraId="7F964FEE">
      <w:pPr>
        <w:widowControl/>
        <w:suppressAutoHyphens/>
        <w:bidi w:val="0"/>
        <w:spacing w:before="0" w:after="0" w:line="360" w:lineRule="auto"/>
        <w:ind w:left="0" w:right="0" w:firstLine="0"/>
        <w:jc w:val="center"/>
        <w:rPr>
          <w:rFonts w:ascii="Arial" w:hAnsi="Arial"/>
          <w:b/>
          <w:bCs/>
          <w:sz w:val="21"/>
          <w:szCs w:val="21"/>
        </w:rPr>
      </w:pPr>
    </w:p>
    <w:p w14:paraId="0AE12FDA">
      <w:pPr>
        <w:widowControl/>
        <w:suppressAutoHyphens/>
        <w:bidi w:val="0"/>
        <w:spacing w:before="0" w:after="0" w:line="360" w:lineRule="auto"/>
        <w:ind w:left="0" w:right="0" w:firstLine="0"/>
        <w:jc w:val="center"/>
      </w:pPr>
      <w:r>
        <w:rPr>
          <w:rFonts w:ascii="Arial" w:hAnsi="Arial"/>
          <w:b/>
          <w:bCs/>
          <w:sz w:val="21"/>
          <w:szCs w:val="21"/>
        </w:rPr>
        <w:t>DECLARAÇÃO DE MICROEMPRESAS E EMPRESAS DE PEQUENO PORTE</w:t>
      </w:r>
    </w:p>
    <w:p w14:paraId="1A2D37EE">
      <w:pPr>
        <w:widowControl/>
        <w:suppressAutoHyphens/>
        <w:bidi w:val="0"/>
        <w:spacing w:before="0" w:after="0" w:line="360" w:lineRule="auto"/>
        <w:ind w:left="0" w:right="0" w:firstLine="0"/>
        <w:jc w:val="both"/>
        <w:rPr>
          <w:rFonts w:ascii="Arial" w:hAnsi="Arial"/>
          <w:sz w:val="21"/>
          <w:szCs w:val="21"/>
        </w:rPr>
      </w:pPr>
    </w:p>
    <w:p w14:paraId="3DF8957A">
      <w:pPr>
        <w:widowControl/>
        <w:suppressAutoHyphens/>
        <w:bidi w:val="0"/>
        <w:spacing w:before="0" w:after="0" w:line="360" w:lineRule="auto"/>
        <w:ind w:left="0" w:right="0" w:firstLine="0"/>
        <w:jc w:val="both"/>
        <w:rPr>
          <w:rFonts w:ascii="Arial" w:hAnsi="Arial"/>
          <w:sz w:val="21"/>
          <w:szCs w:val="21"/>
        </w:rPr>
      </w:pPr>
    </w:p>
    <w:p w14:paraId="7C0B25CD">
      <w:pPr>
        <w:widowControl/>
        <w:suppressAutoHyphens/>
        <w:bidi w:val="0"/>
        <w:spacing w:before="0" w:after="0" w:line="360" w:lineRule="auto"/>
        <w:ind w:left="0" w:right="0" w:firstLine="0"/>
        <w:jc w:val="both"/>
        <w:rPr>
          <w:rFonts w:ascii="Arial" w:hAnsi="Arial"/>
          <w:b/>
          <w:bCs/>
          <w:sz w:val="21"/>
          <w:szCs w:val="21"/>
        </w:rPr>
      </w:pPr>
    </w:p>
    <w:p w14:paraId="119068C8">
      <w:pPr>
        <w:pStyle w:val="3"/>
        <w:widowControl/>
        <w:suppressAutoHyphens/>
        <w:bidi w:val="0"/>
        <w:spacing w:before="0" w:after="0" w:line="360" w:lineRule="auto"/>
        <w:ind w:left="0" w:right="0" w:firstLine="0"/>
        <w:jc w:val="both"/>
      </w:pPr>
      <w:r>
        <w:rPr>
          <w:rFonts w:ascii="Arial" w:hAnsi="Arial"/>
          <w:b/>
          <w:bCs/>
          <w:i w:val="0"/>
          <w:iCs w:val="0"/>
          <w:sz w:val="21"/>
          <w:szCs w:val="21"/>
        </w:rPr>
        <w:t>PROCESSO LICITATÓRIO Nº 144/2024</w:t>
      </w:r>
    </w:p>
    <w:p w14:paraId="0182839D">
      <w:pPr>
        <w:pStyle w:val="3"/>
        <w:widowControl/>
        <w:suppressAutoHyphens/>
        <w:bidi w:val="0"/>
        <w:spacing w:before="0" w:after="0" w:line="36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02E42687">
      <w:pPr>
        <w:widowControl/>
        <w:suppressAutoHyphens/>
        <w:bidi w:val="0"/>
        <w:spacing w:before="0" w:after="0" w:line="360" w:lineRule="auto"/>
        <w:ind w:left="0" w:right="0" w:firstLine="0"/>
        <w:jc w:val="both"/>
        <w:rPr>
          <w:rFonts w:ascii="Arial" w:hAnsi="Arial"/>
          <w:sz w:val="21"/>
          <w:szCs w:val="21"/>
        </w:rPr>
      </w:pPr>
    </w:p>
    <w:p w14:paraId="3E3A7198">
      <w:pPr>
        <w:widowControl/>
        <w:suppressAutoHyphens/>
        <w:bidi w:val="0"/>
        <w:spacing w:before="0" w:after="0" w:line="360" w:lineRule="auto"/>
        <w:ind w:left="0" w:right="0" w:firstLine="0"/>
        <w:jc w:val="both"/>
        <w:rPr>
          <w:rFonts w:ascii="Arial" w:hAnsi="Arial"/>
          <w:sz w:val="21"/>
          <w:szCs w:val="21"/>
        </w:rPr>
      </w:pPr>
    </w:p>
    <w:p w14:paraId="74022C33">
      <w:pPr>
        <w:widowControl/>
        <w:suppressAutoHyphens/>
        <w:bidi w:val="0"/>
        <w:spacing w:before="0" w:after="0" w:line="360" w:lineRule="auto"/>
        <w:ind w:left="0" w:right="0" w:firstLine="0"/>
        <w:jc w:val="both"/>
      </w:pPr>
      <w:r>
        <w:rPr>
          <w:rFonts w:ascii="Arial" w:hAnsi="Arial"/>
          <w:sz w:val="21"/>
          <w:szCs w:val="21"/>
        </w:rPr>
        <w:t>A empresa</w:t>
      </w:r>
      <w:r>
        <w:rPr>
          <w:rFonts w:ascii="Arial" w:hAnsi="Arial"/>
          <w:sz w:val="21"/>
          <w:szCs w:val="21"/>
        </w:rPr>
        <w:tab/>
      </w:r>
      <w:r>
        <w:rPr>
          <w:rFonts w:ascii="Arial" w:hAnsi="Arial"/>
          <w:sz w:val="21"/>
          <w:szCs w:val="21"/>
        </w:rPr>
        <w:tab/>
      </w:r>
      <w:r>
        <w:rPr>
          <w:rFonts w:ascii="Arial" w:hAnsi="Arial"/>
          <w:sz w:val="21"/>
          <w:szCs w:val="21"/>
        </w:rPr>
        <w:t>, inscrita no CNPJ sob o nº</w:t>
      </w:r>
      <w:r>
        <w:rPr>
          <w:rFonts w:ascii="Arial" w:hAnsi="Arial"/>
          <w:sz w:val="21"/>
          <w:szCs w:val="21"/>
        </w:rPr>
        <w:tab/>
      </w:r>
      <w:r>
        <w:rPr>
          <w:rFonts w:ascii="Arial" w:hAnsi="Arial"/>
          <w:sz w:val="21"/>
          <w:szCs w:val="21"/>
        </w:rPr>
        <w:tab/>
      </w:r>
      <w:r>
        <w:rPr>
          <w:rFonts w:ascii="Arial" w:hAnsi="Arial"/>
          <w:sz w:val="21"/>
          <w:szCs w:val="21"/>
        </w:rPr>
        <w:t>, por intermédio de seu representante legal, o(a) Sr.(a.) ou procurado</w:t>
      </w:r>
      <w:r>
        <w:rPr>
          <w:rFonts w:ascii="Arial" w:hAnsi="Arial"/>
          <w:sz w:val="21"/>
          <w:szCs w:val="21"/>
        </w:rPr>
        <w:tab/>
      </w:r>
      <w:r>
        <w:rPr>
          <w:rFonts w:ascii="Arial" w:hAnsi="Arial"/>
          <w:sz w:val="21"/>
          <w:szCs w:val="21"/>
        </w:rPr>
        <w:tab/>
      </w:r>
      <w:r>
        <w:rPr>
          <w:rFonts w:ascii="Arial" w:hAnsi="Arial"/>
          <w:sz w:val="21"/>
          <w:szCs w:val="21"/>
        </w:rPr>
        <w:t>, portador(a) da Carteira de Identidade nº</w:t>
      </w:r>
      <w:r>
        <w:rPr>
          <w:rFonts w:ascii="Arial" w:hAnsi="Arial"/>
          <w:sz w:val="21"/>
          <w:szCs w:val="21"/>
        </w:rPr>
        <w:tab/>
      </w:r>
      <w:r>
        <w:rPr>
          <w:rFonts w:ascii="Arial" w:hAnsi="Arial"/>
          <w:sz w:val="21"/>
          <w:szCs w:val="21"/>
        </w:rPr>
        <w:t>, do CPF nº</w:t>
      </w:r>
      <w:r>
        <w:rPr>
          <w:rFonts w:ascii="Arial" w:hAnsi="Arial"/>
          <w:sz w:val="21"/>
          <w:szCs w:val="21"/>
        </w:rPr>
        <w:tab/>
      </w:r>
      <w:r>
        <w:rPr>
          <w:rFonts w:ascii="Arial" w:hAnsi="Arial"/>
          <w:sz w:val="21"/>
          <w:szCs w:val="21"/>
        </w:rPr>
        <w:tab/>
      </w:r>
      <w:r>
        <w:rPr>
          <w:rFonts w:ascii="Arial" w:hAnsi="Arial"/>
          <w:sz w:val="21"/>
          <w:szCs w:val="21"/>
        </w:rPr>
        <w:t>, DECLARA, sob as penas elencadas na Lei Federal n° 14.133, de 2021, que em conformidade com o previsto no art. 3° da Lei Complementar n° 123, de 15 de dezembro de 2006, ter a receita bruta equivalente a uma</w:t>
      </w:r>
      <w:r>
        <w:rPr>
          <w:rFonts w:ascii="Arial" w:hAnsi="Arial"/>
          <w:sz w:val="21"/>
          <w:szCs w:val="21"/>
        </w:rPr>
        <w:tab/>
      </w:r>
      <w:r>
        <w:rPr>
          <w:rFonts w:ascii="Arial" w:hAnsi="Arial"/>
          <w:sz w:val="21"/>
          <w:szCs w:val="21"/>
        </w:rPr>
        <w:tab/>
      </w:r>
      <w:r>
        <w:rPr>
          <w:rFonts w:ascii="Arial" w:hAnsi="Arial"/>
          <w:sz w:val="21"/>
          <w:szCs w:val="21"/>
        </w:rPr>
        <w:tab/>
      </w:r>
      <w:r>
        <w:rPr>
          <w:rFonts w:ascii="Arial" w:hAnsi="Arial"/>
          <w:sz w:val="21"/>
          <w:szCs w:val="21"/>
        </w:rPr>
        <w:t>(microempresa ou empresa de pequeno porte). Declara ainda que não há nenhum dos impedimentos previstos no § 4°, art. 3° da LC 123/06.</w:t>
      </w:r>
    </w:p>
    <w:p w14:paraId="339D4C1C">
      <w:pPr>
        <w:widowControl/>
        <w:suppressAutoHyphens/>
        <w:bidi w:val="0"/>
        <w:spacing w:before="0" w:after="0" w:line="360" w:lineRule="auto"/>
        <w:ind w:left="0" w:right="0" w:firstLine="0"/>
        <w:jc w:val="both"/>
        <w:rPr>
          <w:rFonts w:ascii="Arial" w:hAnsi="Arial"/>
          <w:sz w:val="21"/>
          <w:szCs w:val="21"/>
        </w:rPr>
      </w:pPr>
    </w:p>
    <w:p w14:paraId="3FDD4C0A">
      <w:pPr>
        <w:widowControl/>
        <w:suppressAutoHyphens/>
        <w:bidi w:val="0"/>
        <w:spacing w:before="0" w:after="0" w:line="360" w:lineRule="auto"/>
        <w:ind w:left="0" w:right="0" w:firstLine="0"/>
        <w:jc w:val="both"/>
        <w:rPr>
          <w:rFonts w:ascii="Arial" w:hAnsi="Arial"/>
          <w:sz w:val="21"/>
          <w:szCs w:val="21"/>
        </w:rPr>
      </w:pPr>
    </w:p>
    <w:p w14:paraId="24783ABE">
      <w:pPr>
        <w:widowControl/>
        <w:suppressAutoHyphens/>
        <w:bidi w:val="0"/>
        <w:spacing w:before="0" w:after="0" w:line="360" w:lineRule="auto"/>
        <w:ind w:left="0" w:right="0" w:firstLine="0"/>
        <w:jc w:val="both"/>
        <w:rPr>
          <w:rFonts w:ascii="Arial" w:hAnsi="Arial"/>
          <w:sz w:val="21"/>
          <w:szCs w:val="21"/>
        </w:rPr>
      </w:pPr>
    </w:p>
    <w:p w14:paraId="694E8180">
      <w:pPr>
        <w:widowControl/>
        <w:suppressAutoHyphens/>
        <w:bidi w:val="0"/>
        <w:spacing w:before="0" w:after="0" w:line="360" w:lineRule="auto"/>
        <w:ind w:left="0" w:right="0" w:firstLine="0"/>
        <w:jc w:val="both"/>
        <w:rPr>
          <w:rFonts w:ascii="Arial" w:hAnsi="Arial"/>
          <w:sz w:val="21"/>
          <w:szCs w:val="21"/>
        </w:rPr>
      </w:pPr>
    </w:p>
    <w:p w14:paraId="7FF87F3A">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Local, ______ de ____________________ de 2024.</w:t>
      </w:r>
    </w:p>
    <w:p w14:paraId="1A3E045C">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72424B65">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74DEDA68">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59FFB08F">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415FAB0F">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(número do CPF)</w:t>
      </w:r>
      <w:r>
        <w:br w:type="page"/>
      </w:r>
    </w:p>
    <w:p w14:paraId="29766744">
      <w:pPr>
        <w:widowControl/>
        <w:suppressAutoHyphens/>
        <w:bidi w:val="0"/>
        <w:spacing w:before="0" w:after="0" w:line="360" w:lineRule="auto"/>
        <w:ind w:left="0" w:right="0" w:firstLine="0"/>
        <w:jc w:val="center"/>
      </w:pPr>
      <w:r>
        <w:rPr>
          <w:rFonts w:ascii="Arial" w:hAnsi="Arial"/>
          <w:b/>
          <w:bCs/>
          <w:sz w:val="21"/>
          <w:szCs w:val="21"/>
        </w:rPr>
        <w:t>ANEXO VII</w:t>
      </w:r>
    </w:p>
    <w:p w14:paraId="58D48AAF">
      <w:pPr>
        <w:widowControl/>
        <w:suppressAutoHyphens/>
        <w:bidi w:val="0"/>
        <w:spacing w:before="0" w:after="0" w:line="360" w:lineRule="auto"/>
        <w:ind w:left="0" w:right="0" w:firstLine="0"/>
        <w:jc w:val="center"/>
        <w:rPr>
          <w:rFonts w:ascii="Arial" w:hAnsi="Arial"/>
          <w:b/>
          <w:bCs/>
          <w:sz w:val="21"/>
          <w:szCs w:val="21"/>
        </w:rPr>
      </w:pPr>
    </w:p>
    <w:p w14:paraId="29211FCA">
      <w:pPr>
        <w:widowControl/>
        <w:suppressAutoHyphens/>
        <w:bidi w:val="0"/>
        <w:spacing w:before="0" w:after="0" w:line="360" w:lineRule="auto"/>
        <w:ind w:left="0" w:right="0" w:firstLine="0"/>
        <w:jc w:val="center"/>
        <w:rPr>
          <w:rFonts w:ascii="Arial" w:hAnsi="Arial"/>
          <w:b/>
          <w:bCs/>
          <w:sz w:val="21"/>
          <w:szCs w:val="21"/>
        </w:rPr>
      </w:pPr>
    </w:p>
    <w:p w14:paraId="19A4256E">
      <w:pPr>
        <w:widowControl/>
        <w:suppressAutoHyphens/>
        <w:bidi w:val="0"/>
        <w:spacing w:before="0" w:after="0" w:line="360" w:lineRule="auto"/>
        <w:ind w:left="0" w:right="0" w:firstLine="0"/>
        <w:jc w:val="center"/>
      </w:pPr>
      <w:r>
        <w:rPr>
          <w:rFonts w:ascii="Arial" w:hAnsi="Arial"/>
          <w:b/>
          <w:bCs/>
          <w:sz w:val="21"/>
          <w:szCs w:val="21"/>
        </w:rPr>
        <w:t>DECLARAÇÃO DE ENQUADRAMENTO DE RECEITA BRUTA PARA FINS DE BENEFÍCIO PREVISTO NA LEI COMPLEMENTAR FEDERAL 123/2006</w:t>
      </w:r>
    </w:p>
    <w:p w14:paraId="225F0B2E">
      <w:pPr>
        <w:widowControl/>
        <w:suppressAutoHyphens/>
        <w:bidi w:val="0"/>
        <w:spacing w:before="0" w:after="0" w:line="360" w:lineRule="auto"/>
        <w:ind w:left="0" w:right="0" w:firstLine="0"/>
        <w:jc w:val="both"/>
        <w:rPr>
          <w:rFonts w:ascii="Arial" w:hAnsi="Arial"/>
          <w:sz w:val="21"/>
          <w:szCs w:val="21"/>
        </w:rPr>
      </w:pPr>
    </w:p>
    <w:p w14:paraId="076486AF">
      <w:pPr>
        <w:widowControl/>
        <w:suppressAutoHyphens/>
        <w:bidi w:val="0"/>
        <w:spacing w:before="0" w:after="0" w:line="360" w:lineRule="auto"/>
        <w:ind w:left="0" w:right="0" w:firstLine="0"/>
        <w:jc w:val="both"/>
        <w:rPr>
          <w:rFonts w:ascii="Arial" w:hAnsi="Arial"/>
          <w:sz w:val="21"/>
          <w:szCs w:val="21"/>
        </w:rPr>
      </w:pPr>
    </w:p>
    <w:p w14:paraId="620CBDD7">
      <w:pPr>
        <w:widowControl/>
        <w:suppressAutoHyphens/>
        <w:bidi w:val="0"/>
        <w:spacing w:before="0" w:after="0" w:line="360" w:lineRule="auto"/>
        <w:ind w:left="0" w:right="0" w:firstLine="0"/>
        <w:jc w:val="both"/>
        <w:rPr>
          <w:rFonts w:ascii="Arial" w:hAnsi="Arial"/>
          <w:b/>
          <w:bCs/>
          <w:sz w:val="21"/>
          <w:szCs w:val="21"/>
        </w:rPr>
      </w:pPr>
    </w:p>
    <w:p w14:paraId="512FCAAC">
      <w:pPr>
        <w:pStyle w:val="3"/>
        <w:widowControl/>
        <w:suppressAutoHyphens/>
        <w:bidi w:val="0"/>
        <w:spacing w:before="0" w:after="0" w:line="360" w:lineRule="auto"/>
        <w:ind w:left="0" w:right="0" w:firstLine="0"/>
        <w:jc w:val="both"/>
      </w:pPr>
      <w:r>
        <w:rPr>
          <w:rFonts w:ascii="Arial" w:hAnsi="Arial"/>
          <w:b/>
          <w:bCs/>
          <w:i w:val="0"/>
          <w:iCs w:val="0"/>
          <w:sz w:val="21"/>
          <w:szCs w:val="21"/>
        </w:rPr>
        <w:t>PROCESSO LICITATÓRIO Nº 144/2024</w:t>
      </w:r>
    </w:p>
    <w:p w14:paraId="220338D3">
      <w:pPr>
        <w:pStyle w:val="3"/>
        <w:widowControl/>
        <w:suppressAutoHyphens/>
        <w:bidi w:val="0"/>
        <w:spacing w:before="0" w:after="0" w:line="36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0AE69AB9">
      <w:pPr>
        <w:widowControl/>
        <w:suppressAutoHyphens/>
        <w:bidi w:val="0"/>
        <w:spacing w:before="0" w:after="0" w:line="360" w:lineRule="auto"/>
        <w:ind w:left="0" w:right="0" w:firstLine="0"/>
        <w:jc w:val="both"/>
        <w:rPr>
          <w:rFonts w:ascii="Arial" w:hAnsi="Arial"/>
          <w:b/>
          <w:bCs/>
          <w:sz w:val="21"/>
          <w:szCs w:val="21"/>
        </w:rPr>
      </w:pPr>
    </w:p>
    <w:p w14:paraId="5F50B0BF">
      <w:pPr>
        <w:widowControl/>
        <w:suppressAutoHyphens/>
        <w:bidi w:val="0"/>
        <w:spacing w:before="0" w:after="0" w:line="360" w:lineRule="auto"/>
        <w:ind w:left="0" w:right="0" w:firstLine="0"/>
        <w:jc w:val="both"/>
        <w:rPr>
          <w:rFonts w:ascii="Arial" w:hAnsi="Arial"/>
          <w:sz w:val="21"/>
          <w:szCs w:val="21"/>
        </w:rPr>
      </w:pPr>
    </w:p>
    <w:p w14:paraId="541E81C9">
      <w:pPr>
        <w:widowControl/>
        <w:suppressAutoHyphens/>
        <w:bidi w:val="0"/>
        <w:spacing w:before="0" w:after="0" w:line="360" w:lineRule="auto"/>
        <w:ind w:left="0" w:right="0" w:firstLine="0"/>
        <w:jc w:val="both"/>
      </w:pPr>
      <w:r>
        <w:rPr>
          <w:rFonts w:ascii="Arial" w:hAnsi="Arial"/>
          <w:sz w:val="21"/>
          <w:szCs w:val="21"/>
        </w:rPr>
        <w:t>A empresa</w:t>
      </w:r>
      <w:r>
        <w:rPr>
          <w:rFonts w:ascii="Arial" w:hAnsi="Arial"/>
          <w:sz w:val="21"/>
          <w:szCs w:val="21"/>
        </w:rPr>
        <w:tab/>
      </w:r>
      <w:r>
        <w:rPr>
          <w:rFonts w:ascii="Arial" w:hAnsi="Arial"/>
          <w:sz w:val="21"/>
          <w:szCs w:val="21"/>
        </w:rPr>
        <w:tab/>
      </w:r>
      <w:r>
        <w:rPr>
          <w:rFonts w:ascii="Arial" w:hAnsi="Arial"/>
          <w:sz w:val="21"/>
          <w:szCs w:val="21"/>
        </w:rPr>
        <w:t>, inscrita no CNPJ sob o nº</w:t>
      </w:r>
      <w:r>
        <w:rPr>
          <w:rFonts w:ascii="Arial" w:hAnsi="Arial"/>
          <w:sz w:val="21"/>
          <w:szCs w:val="21"/>
        </w:rPr>
        <w:tab/>
      </w:r>
      <w:r>
        <w:rPr>
          <w:rFonts w:ascii="Arial" w:hAnsi="Arial"/>
          <w:sz w:val="21"/>
          <w:szCs w:val="21"/>
        </w:rPr>
        <w:tab/>
      </w:r>
      <w:r>
        <w:rPr>
          <w:rFonts w:ascii="Arial" w:hAnsi="Arial"/>
          <w:sz w:val="21"/>
          <w:szCs w:val="21"/>
        </w:rPr>
        <w:t>, por intermédio de seu representante legal, o(a) Sr.(a.) ou procurador</w:t>
      </w:r>
      <w:r>
        <w:rPr>
          <w:rFonts w:ascii="Arial" w:hAnsi="Arial"/>
          <w:sz w:val="21"/>
          <w:szCs w:val="21"/>
        </w:rPr>
        <w:tab/>
      </w:r>
      <w:r>
        <w:rPr>
          <w:rFonts w:ascii="Arial" w:hAnsi="Arial"/>
          <w:sz w:val="21"/>
          <w:szCs w:val="21"/>
        </w:rPr>
        <w:tab/>
      </w:r>
      <w:r>
        <w:rPr>
          <w:rFonts w:ascii="Arial" w:hAnsi="Arial"/>
          <w:sz w:val="21"/>
          <w:szCs w:val="21"/>
        </w:rPr>
        <w:t>, portador(a) da Carteira de Identidade nº</w:t>
      </w:r>
      <w:r>
        <w:rPr>
          <w:rFonts w:ascii="Arial" w:hAnsi="Arial"/>
          <w:sz w:val="21"/>
          <w:szCs w:val="21"/>
        </w:rPr>
        <w:tab/>
      </w:r>
      <w:r>
        <w:rPr>
          <w:rFonts w:ascii="Arial" w:hAnsi="Arial"/>
          <w:sz w:val="21"/>
          <w:szCs w:val="21"/>
        </w:rPr>
        <w:t>, do CPF nº</w:t>
      </w:r>
      <w:r>
        <w:rPr>
          <w:rFonts w:ascii="Arial" w:hAnsi="Arial"/>
          <w:sz w:val="21"/>
          <w:szCs w:val="21"/>
        </w:rPr>
        <w:tab/>
      </w:r>
      <w:r>
        <w:rPr>
          <w:rFonts w:ascii="Arial" w:hAnsi="Arial"/>
          <w:sz w:val="21"/>
          <w:szCs w:val="21"/>
        </w:rPr>
        <w:tab/>
      </w:r>
      <w:r>
        <w:rPr>
          <w:rFonts w:ascii="Arial" w:hAnsi="Arial"/>
          <w:sz w:val="21"/>
          <w:szCs w:val="21"/>
        </w:rPr>
        <w:t>, DECLARA, sob as penas elencadas na Lei Federal n° 14.133, de 2021, que não celebrou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14:paraId="7DB95CA6">
      <w:pPr>
        <w:widowControl/>
        <w:suppressAutoHyphens/>
        <w:bidi w:val="0"/>
        <w:spacing w:before="0" w:after="0" w:line="360" w:lineRule="auto"/>
        <w:ind w:left="0" w:right="0" w:firstLine="0"/>
        <w:jc w:val="both"/>
        <w:rPr>
          <w:rFonts w:ascii="Arial" w:hAnsi="Arial"/>
          <w:sz w:val="21"/>
          <w:szCs w:val="21"/>
        </w:rPr>
      </w:pPr>
    </w:p>
    <w:p w14:paraId="0F7B1DB8">
      <w:pPr>
        <w:widowControl/>
        <w:suppressAutoHyphens/>
        <w:bidi w:val="0"/>
        <w:spacing w:before="0" w:after="0" w:line="360" w:lineRule="auto"/>
        <w:ind w:left="0" w:right="0" w:firstLine="0"/>
        <w:jc w:val="both"/>
        <w:rPr>
          <w:rFonts w:ascii="Arial" w:hAnsi="Arial"/>
          <w:sz w:val="21"/>
          <w:szCs w:val="21"/>
        </w:rPr>
      </w:pPr>
    </w:p>
    <w:p w14:paraId="7D7167DF">
      <w:pPr>
        <w:widowControl/>
        <w:suppressAutoHyphens/>
        <w:bidi w:val="0"/>
        <w:spacing w:before="0" w:after="0" w:line="360" w:lineRule="auto"/>
        <w:ind w:left="0" w:right="0" w:firstLine="0"/>
        <w:jc w:val="both"/>
        <w:rPr>
          <w:rFonts w:ascii="Arial" w:hAnsi="Arial"/>
          <w:sz w:val="21"/>
          <w:szCs w:val="21"/>
        </w:rPr>
      </w:pPr>
    </w:p>
    <w:p w14:paraId="46D42711">
      <w:pPr>
        <w:widowControl/>
        <w:suppressAutoHyphens/>
        <w:bidi w:val="0"/>
        <w:spacing w:before="0" w:after="0" w:line="360" w:lineRule="auto"/>
        <w:ind w:left="0" w:right="0" w:firstLine="0"/>
        <w:jc w:val="both"/>
        <w:rPr>
          <w:rFonts w:ascii="Arial" w:hAnsi="Arial"/>
          <w:sz w:val="21"/>
          <w:szCs w:val="21"/>
        </w:rPr>
      </w:pPr>
    </w:p>
    <w:p w14:paraId="3730027F">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Local, ______ de ____________________ de 2024.</w:t>
      </w:r>
    </w:p>
    <w:p w14:paraId="3C9C0ECD">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36910EAF">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0CE0310B">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73C73A63">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00F7F7F6">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(número do CPF)</w:t>
      </w:r>
      <w:r>
        <w:br w:type="page"/>
      </w:r>
    </w:p>
    <w:p w14:paraId="4805AF14">
      <w:pPr>
        <w:widowControl/>
        <w:suppressAutoHyphens/>
        <w:bidi w:val="0"/>
        <w:spacing w:before="0" w:after="0" w:line="360" w:lineRule="auto"/>
        <w:ind w:left="0" w:right="0" w:firstLine="0"/>
        <w:jc w:val="center"/>
      </w:pPr>
      <w:r>
        <w:rPr>
          <w:rFonts w:ascii="Arial" w:hAnsi="Arial"/>
          <w:b/>
          <w:bCs/>
          <w:sz w:val="21"/>
          <w:szCs w:val="21"/>
        </w:rPr>
        <w:t>ANEXO VIII</w:t>
      </w:r>
    </w:p>
    <w:p w14:paraId="497FCBFC">
      <w:pPr>
        <w:widowControl/>
        <w:suppressAutoHyphens/>
        <w:bidi w:val="0"/>
        <w:spacing w:before="0" w:after="0" w:line="360" w:lineRule="auto"/>
        <w:ind w:left="0" w:right="0" w:firstLine="0"/>
        <w:jc w:val="center"/>
        <w:rPr>
          <w:rFonts w:ascii="Arial" w:hAnsi="Arial"/>
          <w:b/>
          <w:bCs/>
          <w:sz w:val="21"/>
          <w:szCs w:val="21"/>
        </w:rPr>
      </w:pPr>
    </w:p>
    <w:p w14:paraId="1054C767">
      <w:pPr>
        <w:widowControl/>
        <w:suppressAutoHyphens/>
        <w:bidi w:val="0"/>
        <w:spacing w:before="0" w:after="0" w:line="360" w:lineRule="auto"/>
        <w:ind w:left="0" w:right="0" w:firstLine="0"/>
        <w:jc w:val="center"/>
      </w:pPr>
      <w:r>
        <w:rPr>
          <w:rFonts w:ascii="Arial" w:hAnsi="Arial"/>
          <w:b/>
          <w:bCs/>
          <w:sz w:val="21"/>
          <w:szCs w:val="21"/>
        </w:rPr>
        <w:t>DECLARAÇÃO DE CUMPRIMENTO DO ARTIGO 7º, INCISO XXXIII, DA CONSTITUIÇÃO DA REPÚBLICA FEDERATIVA DO BRASIL</w:t>
      </w:r>
    </w:p>
    <w:p w14:paraId="04E0DEFE">
      <w:pPr>
        <w:widowControl/>
        <w:suppressAutoHyphens/>
        <w:bidi w:val="0"/>
        <w:spacing w:before="0" w:after="0" w:line="360" w:lineRule="auto"/>
        <w:ind w:left="0" w:right="0" w:firstLine="0"/>
        <w:jc w:val="both"/>
        <w:rPr>
          <w:rFonts w:ascii="Arial" w:hAnsi="Arial"/>
          <w:sz w:val="21"/>
          <w:szCs w:val="21"/>
        </w:rPr>
      </w:pPr>
    </w:p>
    <w:p w14:paraId="6DD0F985">
      <w:pPr>
        <w:widowControl/>
        <w:suppressAutoHyphens/>
        <w:bidi w:val="0"/>
        <w:spacing w:before="0" w:after="0" w:line="360" w:lineRule="auto"/>
        <w:ind w:left="0" w:right="0" w:firstLine="0"/>
        <w:jc w:val="both"/>
        <w:rPr>
          <w:rFonts w:ascii="Arial" w:hAnsi="Arial"/>
          <w:sz w:val="21"/>
          <w:szCs w:val="21"/>
        </w:rPr>
      </w:pPr>
    </w:p>
    <w:p w14:paraId="5712B9D9">
      <w:pPr>
        <w:pStyle w:val="3"/>
        <w:widowControl/>
        <w:suppressAutoHyphens/>
        <w:bidi w:val="0"/>
        <w:spacing w:before="0" w:after="0" w:line="360" w:lineRule="auto"/>
        <w:ind w:left="0" w:right="0" w:firstLine="0"/>
        <w:jc w:val="both"/>
      </w:pPr>
      <w:r>
        <w:rPr>
          <w:rFonts w:ascii="Arial" w:hAnsi="Arial"/>
          <w:b/>
          <w:bCs/>
          <w:i w:val="0"/>
          <w:iCs w:val="0"/>
          <w:sz w:val="21"/>
          <w:szCs w:val="21"/>
        </w:rPr>
        <w:t>PROCESSO LICITATÓRIO Nº 144/2024</w:t>
      </w:r>
    </w:p>
    <w:p w14:paraId="0D772274">
      <w:pPr>
        <w:pStyle w:val="3"/>
        <w:widowControl/>
        <w:suppressAutoHyphens/>
        <w:bidi w:val="0"/>
        <w:spacing w:before="0" w:after="0" w:line="36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08C6A546">
      <w:pPr>
        <w:widowControl/>
        <w:suppressAutoHyphens/>
        <w:bidi w:val="0"/>
        <w:spacing w:before="0" w:after="0" w:line="360" w:lineRule="auto"/>
        <w:ind w:left="0" w:right="0" w:firstLine="0"/>
        <w:jc w:val="both"/>
        <w:rPr>
          <w:rFonts w:ascii="Arial" w:hAnsi="Arial"/>
          <w:b/>
          <w:bCs/>
          <w:sz w:val="21"/>
          <w:szCs w:val="21"/>
        </w:rPr>
      </w:pPr>
    </w:p>
    <w:p w14:paraId="23EBD531">
      <w:pPr>
        <w:widowControl/>
        <w:suppressAutoHyphens/>
        <w:bidi w:val="0"/>
        <w:spacing w:before="0" w:after="0" w:line="360" w:lineRule="auto"/>
        <w:ind w:left="0" w:right="0" w:firstLine="0"/>
        <w:jc w:val="both"/>
        <w:rPr>
          <w:rFonts w:ascii="Arial" w:hAnsi="Arial"/>
          <w:sz w:val="21"/>
          <w:szCs w:val="21"/>
        </w:rPr>
      </w:pPr>
    </w:p>
    <w:p w14:paraId="0C6887B1">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Nome da Empresa</w:t>
      </w:r>
      <w:r>
        <w:rPr>
          <w:rFonts w:ascii="Arial" w:hAnsi="Arial"/>
          <w:sz w:val="21"/>
          <w:szCs w:val="21"/>
        </w:rPr>
        <w:tab/>
      </w:r>
      <w:r>
        <w:rPr>
          <w:rFonts w:ascii="Arial" w:hAnsi="Arial"/>
          <w:sz w:val="21"/>
          <w:szCs w:val="21"/>
        </w:rPr>
        <w:t>, inscrito no CNPJ n°</w:t>
      </w:r>
      <w:r>
        <w:rPr>
          <w:rFonts w:ascii="Arial" w:hAnsi="Arial"/>
          <w:sz w:val="21"/>
          <w:szCs w:val="21"/>
        </w:rPr>
        <w:tab/>
      </w:r>
      <w:r>
        <w:rPr>
          <w:rFonts w:ascii="Arial" w:hAnsi="Arial"/>
          <w:sz w:val="21"/>
          <w:szCs w:val="21"/>
        </w:rPr>
        <w:t>, por intermédio de seu representante    legal o(a) Sr(a).</w:t>
      </w:r>
      <w:r>
        <w:rPr>
          <w:rFonts w:ascii="Arial" w:hAnsi="Arial"/>
          <w:sz w:val="21"/>
          <w:szCs w:val="21"/>
        </w:rPr>
        <w:tab/>
      </w:r>
      <w:r>
        <w:rPr>
          <w:rFonts w:ascii="Arial" w:hAnsi="Arial"/>
          <w:sz w:val="21"/>
          <w:szCs w:val="21"/>
        </w:rPr>
        <w:tab/>
      </w:r>
      <w:r>
        <w:rPr>
          <w:rFonts w:ascii="Arial" w:hAnsi="Arial"/>
          <w:sz w:val="21"/>
          <w:szCs w:val="21"/>
        </w:rPr>
        <w:t>, portador(a) da Carteira de Identidade nº</w:t>
      </w:r>
      <w:r>
        <w:rPr>
          <w:rFonts w:ascii="Arial" w:hAnsi="Arial"/>
          <w:sz w:val="21"/>
          <w:szCs w:val="21"/>
        </w:rPr>
        <w:tab/>
      </w:r>
      <w:r>
        <w:rPr>
          <w:rFonts w:ascii="Arial" w:hAnsi="Arial"/>
          <w:sz w:val="21"/>
          <w:szCs w:val="21"/>
        </w:rPr>
        <w:t>e do CPF nº</w:t>
      </w:r>
      <w:r>
        <w:rPr>
          <w:rFonts w:ascii="Arial" w:hAnsi="Arial"/>
          <w:sz w:val="21"/>
          <w:szCs w:val="21"/>
        </w:rPr>
        <w:tab/>
      </w:r>
      <w:r>
        <w:rPr>
          <w:rFonts w:ascii="Arial" w:hAnsi="Arial"/>
          <w:sz w:val="21"/>
          <w:szCs w:val="21"/>
        </w:rPr>
        <w:tab/>
      </w:r>
      <w:r>
        <w:rPr>
          <w:rFonts w:ascii="Arial" w:hAnsi="Arial"/>
          <w:sz w:val="21"/>
          <w:szCs w:val="21"/>
        </w:rPr>
        <w:tab/>
      </w:r>
      <w:r>
        <w:rPr>
          <w:rFonts w:ascii="Arial" w:hAnsi="Arial"/>
          <w:sz w:val="21"/>
          <w:szCs w:val="21"/>
        </w:rPr>
        <w:t>, DECLARA, para fins do disposto no inciso V do artigo 68, da Lei Federal nº 14.133, de 2021, que não emprega menor de dezoito anos em trabalho noturno, perigoso ou insalubre, e não emprega menor de dezesseis anos (art. 7º, inciso XXXIII, da Constituição Federal).</w:t>
      </w:r>
    </w:p>
    <w:p w14:paraId="3D088C59">
      <w:pPr>
        <w:widowControl/>
        <w:suppressAutoHyphens/>
        <w:bidi w:val="0"/>
        <w:spacing w:before="0" w:after="0" w:line="360" w:lineRule="auto"/>
        <w:ind w:left="0" w:right="0" w:firstLine="0"/>
        <w:jc w:val="both"/>
      </w:pPr>
      <w:r>
        <w:rPr>
          <w:rFonts w:ascii="Arial" w:hAnsi="Arial"/>
          <w:sz w:val="21"/>
          <w:szCs w:val="21"/>
        </w:rPr>
        <w:t>Ressalva: emprega menor, a partir de quatorze anos, na condição de aprendiz (   ).</w:t>
      </w:r>
    </w:p>
    <w:p w14:paraId="25CE7149">
      <w:pPr>
        <w:widowControl/>
        <w:suppressAutoHyphens/>
        <w:bidi w:val="0"/>
        <w:spacing w:before="0" w:after="0" w:line="360" w:lineRule="auto"/>
        <w:ind w:left="0" w:right="0" w:firstLine="0"/>
        <w:jc w:val="both"/>
      </w:pPr>
      <w:r>
        <w:rPr>
          <w:rFonts w:ascii="Arial" w:hAnsi="Arial"/>
          <w:sz w:val="21"/>
          <w:szCs w:val="21"/>
        </w:rPr>
        <w:t>(Observação: em caso afirmativo, assinalar a ressalva acima)</w:t>
      </w:r>
    </w:p>
    <w:p w14:paraId="190C6CC8">
      <w:pPr>
        <w:widowControl/>
        <w:suppressAutoHyphens/>
        <w:bidi w:val="0"/>
        <w:spacing w:before="0" w:after="0" w:line="360" w:lineRule="auto"/>
        <w:ind w:left="0" w:right="0" w:firstLine="0"/>
        <w:jc w:val="both"/>
        <w:rPr>
          <w:rFonts w:ascii="Arial" w:hAnsi="Arial"/>
          <w:sz w:val="21"/>
          <w:szCs w:val="21"/>
        </w:rPr>
      </w:pPr>
    </w:p>
    <w:p w14:paraId="62A6454B">
      <w:pPr>
        <w:widowControl/>
        <w:suppressAutoHyphens/>
        <w:bidi w:val="0"/>
        <w:spacing w:before="0" w:after="0" w:line="360" w:lineRule="auto"/>
        <w:ind w:left="0" w:right="0" w:firstLine="0"/>
        <w:jc w:val="both"/>
      </w:pPr>
      <w:r>
        <w:rPr>
          <w:rFonts w:ascii="Arial" w:hAnsi="Arial"/>
          <w:sz w:val="21"/>
          <w:szCs w:val="21"/>
        </w:rPr>
        <w:t xml:space="preserve"> </w:t>
      </w:r>
    </w:p>
    <w:p w14:paraId="1489E3DF">
      <w:pPr>
        <w:widowControl/>
        <w:suppressAutoHyphens/>
        <w:bidi w:val="0"/>
        <w:spacing w:before="0" w:after="0" w:line="360" w:lineRule="auto"/>
        <w:ind w:left="0" w:right="0" w:firstLine="0"/>
        <w:jc w:val="both"/>
      </w:pPr>
      <w:r>
        <w:rPr>
          <w:rFonts w:ascii="Arial" w:hAnsi="Arial"/>
          <w:sz w:val="21"/>
          <w:szCs w:val="21"/>
        </w:rPr>
        <w:tab/>
      </w:r>
      <w:r>
        <w:rPr>
          <w:rFonts w:ascii="Arial" w:hAnsi="Arial" w:eastAsia="Times New Roman" w:cs="Arial"/>
          <w:color w:val="000000"/>
          <w:kern w:val="2"/>
          <w:sz w:val="21"/>
          <w:szCs w:val="21"/>
          <w:lang w:eastAsia="zh-CN"/>
        </w:rPr>
        <w:t>Local, ______ de ____________________ de 2024.</w:t>
      </w:r>
    </w:p>
    <w:p w14:paraId="629ACF40">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5619DF22">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4519A00D">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08759790">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4855A814">
      <w:pPr>
        <w:widowControl/>
        <w:suppressAutoHyphens/>
        <w:bidi w:val="0"/>
        <w:spacing w:before="0" w:after="0" w:line="360" w:lineRule="auto"/>
        <w:ind w:left="0" w:right="0" w:firstLine="0"/>
        <w:jc w:val="both"/>
      </w:pPr>
      <w:r>
        <w:rPr>
          <w:rFonts w:ascii="Arial" w:hAnsi="Arial" w:eastAsia="Times New Roman" w:cs="Arial"/>
          <w:color w:val="000000"/>
          <w:kern w:val="2"/>
          <w:sz w:val="21"/>
          <w:szCs w:val="21"/>
          <w:lang w:eastAsia="zh-CN"/>
        </w:rPr>
        <w:t>(número do CPF)</w:t>
      </w:r>
      <w:r>
        <w:br w:type="page"/>
      </w:r>
    </w:p>
    <w:p w14:paraId="5DEFCA2E">
      <w:pPr>
        <w:widowControl/>
        <w:suppressAutoHyphens/>
        <w:bidi w:val="0"/>
        <w:spacing w:before="0" w:after="0" w:line="360" w:lineRule="auto"/>
        <w:ind w:left="0" w:right="0" w:firstLine="0"/>
        <w:jc w:val="center"/>
      </w:pPr>
      <w:r>
        <w:rPr>
          <w:rFonts w:ascii="Arial" w:hAnsi="Arial"/>
          <w:b/>
          <w:bCs/>
          <w:sz w:val="21"/>
          <w:szCs w:val="21"/>
        </w:rPr>
        <w:t>ANEXO IX</w:t>
      </w:r>
    </w:p>
    <w:p w14:paraId="3D3B0F2B">
      <w:pPr>
        <w:widowControl/>
        <w:suppressAutoHyphens/>
        <w:bidi w:val="0"/>
        <w:spacing w:before="0" w:after="0" w:line="360" w:lineRule="auto"/>
        <w:ind w:left="0" w:right="0" w:firstLine="0"/>
        <w:jc w:val="center"/>
        <w:rPr>
          <w:rFonts w:ascii="Arial" w:hAnsi="Arial"/>
          <w:b/>
          <w:bCs/>
          <w:sz w:val="21"/>
          <w:szCs w:val="21"/>
        </w:rPr>
      </w:pPr>
    </w:p>
    <w:p w14:paraId="7AA873B3">
      <w:pPr>
        <w:widowControl/>
        <w:suppressAutoHyphens/>
        <w:bidi w:val="0"/>
        <w:spacing w:before="0" w:after="0" w:line="360" w:lineRule="auto"/>
        <w:ind w:left="0" w:right="0" w:firstLine="0"/>
        <w:jc w:val="center"/>
        <w:rPr>
          <w:rFonts w:ascii="Arial" w:hAnsi="Arial"/>
          <w:b/>
          <w:bCs/>
          <w:sz w:val="21"/>
          <w:szCs w:val="21"/>
        </w:rPr>
      </w:pPr>
    </w:p>
    <w:p w14:paraId="56F1C563">
      <w:pPr>
        <w:widowControl/>
        <w:suppressAutoHyphens/>
        <w:bidi w:val="0"/>
        <w:spacing w:before="0" w:after="0" w:line="360" w:lineRule="auto"/>
        <w:ind w:left="0" w:right="0" w:firstLine="0"/>
        <w:jc w:val="center"/>
        <w:rPr>
          <w:rFonts w:ascii="Arial" w:hAnsi="Arial"/>
          <w:b/>
          <w:bCs/>
          <w:sz w:val="21"/>
          <w:szCs w:val="21"/>
        </w:rPr>
      </w:pPr>
    </w:p>
    <w:p w14:paraId="4DB14E19">
      <w:pPr>
        <w:widowControl/>
        <w:suppressAutoHyphens/>
        <w:bidi w:val="0"/>
        <w:spacing w:before="0" w:after="0" w:line="360" w:lineRule="auto"/>
        <w:ind w:left="0" w:right="0" w:firstLine="0"/>
        <w:jc w:val="center"/>
      </w:pPr>
      <w:r>
        <w:rPr>
          <w:rFonts w:ascii="Arial" w:hAnsi="Arial"/>
          <w:b/>
          <w:bCs/>
          <w:sz w:val="21"/>
          <w:szCs w:val="21"/>
        </w:rPr>
        <w:t>DECLARAÇÃO DE RESERVA DE CARGOS</w:t>
      </w:r>
    </w:p>
    <w:p w14:paraId="4EA67213">
      <w:pPr>
        <w:widowControl/>
        <w:suppressAutoHyphens/>
        <w:bidi w:val="0"/>
        <w:spacing w:before="0" w:after="0" w:line="360" w:lineRule="auto"/>
        <w:ind w:left="0" w:right="0" w:firstLine="0"/>
        <w:jc w:val="both"/>
        <w:rPr>
          <w:rFonts w:ascii="Arial" w:hAnsi="Arial"/>
          <w:sz w:val="21"/>
          <w:szCs w:val="21"/>
        </w:rPr>
      </w:pPr>
    </w:p>
    <w:p w14:paraId="650A920F">
      <w:pPr>
        <w:widowControl/>
        <w:suppressAutoHyphens/>
        <w:bidi w:val="0"/>
        <w:spacing w:before="0" w:after="0" w:line="360" w:lineRule="auto"/>
        <w:ind w:left="0" w:right="0" w:firstLine="0"/>
        <w:jc w:val="both"/>
        <w:rPr>
          <w:rFonts w:ascii="Arial" w:hAnsi="Arial"/>
          <w:b/>
          <w:bCs/>
          <w:sz w:val="21"/>
          <w:szCs w:val="21"/>
        </w:rPr>
      </w:pPr>
    </w:p>
    <w:p w14:paraId="2D3F3749">
      <w:pPr>
        <w:pStyle w:val="3"/>
        <w:widowControl/>
        <w:suppressAutoHyphens/>
        <w:bidi w:val="0"/>
        <w:spacing w:before="0" w:after="0" w:line="360" w:lineRule="auto"/>
        <w:ind w:left="0" w:right="0" w:firstLine="0"/>
        <w:jc w:val="both"/>
      </w:pPr>
      <w:r>
        <w:rPr>
          <w:rFonts w:ascii="Arial" w:hAnsi="Arial"/>
          <w:b/>
          <w:bCs/>
          <w:i w:val="0"/>
          <w:iCs w:val="0"/>
          <w:sz w:val="21"/>
          <w:szCs w:val="21"/>
        </w:rPr>
        <w:t>PROCESSO LICITATÓRIO Nº 144/2024</w:t>
      </w:r>
    </w:p>
    <w:p w14:paraId="4D44D501">
      <w:pPr>
        <w:pStyle w:val="3"/>
        <w:widowControl/>
        <w:suppressAutoHyphens/>
        <w:bidi w:val="0"/>
        <w:spacing w:before="0" w:after="0" w:line="36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1DF34B50">
      <w:pPr>
        <w:widowControl/>
        <w:suppressAutoHyphens/>
        <w:bidi w:val="0"/>
        <w:spacing w:before="0" w:after="0" w:line="360" w:lineRule="auto"/>
        <w:ind w:left="0" w:right="0" w:firstLine="0"/>
        <w:jc w:val="both"/>
        <w:rPr>
          <w:rFonts w:ascii="Arial" w:hAnsi="Arial"/>
          <w:sz w:val="21"/>
          <w:szCs w:val="21"/>
        </w:rPr>
      </w:pPr>
    </w:p>
    <w:p w14:paraId="7E3C8383">
      <w:pPr>
        <w:widowControl/>
        <w:suppressAutoHyphens/>
        <w:bidi w:val="0"/>
        <w:spacing w:before="0" w:after="0" w:line="360" w:lineRule="auto"/>
        <w:ind w:left="0" w:right="0" w:firstLine="0"/>
        <w:jc w:val="both"/>
        <w:rPr>
          <w:rFonts w:ascii="Arial" w:hAnsi="Arial"/>
          <w:sz w:val="21"/>
          <w:szCs w:val="21"/>
        </w:rPr>
      </w:pPr>
    </w:p>
    <w:p w14:paraId="4BE5B50F">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w:t>
      </w:r>
      <w:r>
        <w:rPr>
          <w:rFonts w:ascii="Arial" w:hAnsi="Arial"/>
          <w:color w:val="C9211E"/>
          <w:sz w:val="21"/>
          <w:szCs w:val="21"/>
        </w:rPr>
        <w:t>RAZÃO SOCIAL DA EMPRESA</w:t>
      </w:r>
      <w:r>
        <w:rPr>
          <w:rFonts w:ascii="Arial" w:hAnsi="Arial"/>
          <w:sz w:val="21"/>
          <w:szCs w:val="21"/>
        </w:rPr>
        <w:t>)</w:t>
      </w:r>
      <w:r>
        <w:rPr>
          <w:rFonts w:ascii="Arial" w:hAnsi="Arial"/>
          <w:sz w:val="21"/>
          <w:szCs w:val="21"/>
        </w:rPr>
        <w:tab/>
      </w:r>
      <w:r>
        <w:rPr>
          <w:rFonts w:ascii="Arial" w:hAnsi="Arial"/>
          <w:sz w:val="21"/>
          <w:szCs w:val="21"/>
        </w:rPr>
        <w:t>CNPJ nº</w:t>
      </w:r>
      <w:r>
        <w:rPr>
          <w:rFonts w:ascii="Arial" w:hAnsi="Arial"/>
          <w:sz w:val="21"/>
          <w:szCs w:val="21"/>
        </w:rPr>
        <w:tab/>
      </w:r>
      <w:r>
        <w:rPr>
          <w:rFonts w:ascii="Arial" w:hAnsi="Arial"/>
          <w:sz w:val="21"/>
          <w:szCs w:val="21"/>
        </w:rPr>
        <w:t>, sediada em (</w:t>
      </w:r>
      <w:r>
        <w:rPr>
          <w:rFonts w:ascii="Arial" w:hAnsi="Arial"/>
          <w:color w:val="C9211E"/>
          <w:sz w:val="21"/>
          <w:szCs w:val="21"/>
        </w:rPr>
        <w:t>ENDEREÇO COMERCIAL</w:t>
      </w:r>
      <w:r>
        <w:rPr>
          <w:rFonts w:ascii="Arial" w:hAnsi="Arial"/>
          <w:sz w:val="21"/>
          <w:szCs w:val="21"/>
        </w:rPr>
        <w:t>), declara, sob as penas da Lei Federal nº 14.133, de 2021, que cumpre as exigências de reserva de cargos para pessoa com deficiência e para reabilitado da Previdência Social, previstas em lei e em outras normas específicas.</w:t>
      </w:r>
    </w:p>
    <w:p w14:paraId="1AC1389C">
      <w:pPr>
        <w:widowControl/>
        <w:suppressAutoHyphens/>
        <w:bidi w:val="0"/>
        <w:spacing w:before="0" w:after="0" w:line="360" w:lineRule="auto"/>
        <w:ind w:left="0" w:right="0" w:firstLine="0"/>
        <w:jc w:val="both"/>
        <w:rPr>
          <w:rFonts w:ascii="Arial" w:hAnsi="Arial"/>
          <w:sz w:val="21"/>
          <w:szCs w:val="21"/>
        </w:rPr>
      </w:pPr>
    </w:p>
    <w:p w14:paraId="0CCF0A0A">
      <w:pPr>
        <w:widowControl/>
        <w:suppressAutoHyphens/>
        <w:bidi w:val="0"/>
        <w:spacing w:before="0" w:after="0" w:line="360" w:lineRule="auto"/>
        <w:ind w:left="0" w:right="0" w:firstLine="0"/>
        <w:jc w:val="both"/>
      </w:pPr>
      <w:r>
        <w:rPr>
          <w:rFonts w:ascii="Arial" w:hAnsi="Arial"/>
          <w:sz w:val="21"/>
          <w:szCs w:val="21"/>
        </w:rPr>
        <w:t xml:space="preserve">Observação: </w:t>
      </w:r>
      <w:r>
        <w:rPr>
          <w:rFonts w:ascii="Arial" w:hAnsi="Arial"/>
          <w:sz w:val="21"/>
          <w:szCs w:val="21"/>
          <w:shd w:val="clear" w:fill="FFFF00"/>
        </w:rPr>
        <w:t>Os licitantes que, por sua natureza ou por força de lei, estiverem dispensados do cumprimento da reserva de cargos descrito nesta declaração, deverão apresentar declaração identificando a situação e citando os dispositivos legais pertinentes.</w:t>
      </w:r>
    </w:p>
    <w:p w14:paraId="1100E13E">
      <w:pPr>
        <w:widowControl/>
        <w:suppressAutoHyphens/>
        <w:bidi w:val="0"/>
        <w:spacing w:before="0" w:after="0" w:line="360" w:lineRule="auto"/>
        <w:ind w:left="0" w:right="0" w:firstLine="0"/>
        <w:jc w:val="both"/>
        <w:rPr>
          <w:rFonts w:ascii="Arial" w:hAnsi="Arial"/>
          <w:sz w:val="21"/>
          <w:szCs w:val="21"/>
        </w:rPr>
      </w:pPr>
    </w:p>
    <w:p w14:paraId="70127AB7">
      <w:pPr>
        <w:widowControl/>
        <w:suppressAutoHyphens/>
        <w:bidi w:val="0"/>
        <w:spacing w:before="0" w:after="0" w:line="360" w:lineRule="auto"/>
        <w:ind w:left="0" w:right="0" w:firstLine="0"/>
        <w:jc w:val="both"/>
        <w:rPr>
          <w:rFonts w:ascii="Arial" w:hAnsi="Arial"/>
          <w:sz w:val="21"/>
          <w:szCs w:val="21"/>
        </w:rPr>
      </w:pPr>
    </w:p>
    <w:p w14:paraId="3AEA27D0">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eastAsia="Times New Roman" w:cs="Arial"/>
          <w:color w:val="000000"/>
          <w:kern w:val="2"/>
          <w:sz w:val="21"/>
          <w:szCs w:val="21"/>
          <w:lang w:eastAsia="zh-CN"/>
        </w:rPr>
        <w:t>Local, ______ de ____________________ de 2024.</w:t>
      </w:r>
    </w:p>
    <w:p w14:paraId="6BE42FAE">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59BA1687">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1AAC07B3">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7676088B">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3F72F827">
      <w:pPr>
        <w:widowControl/>
        <w:suppressAutoHyphens/>
        <w:bidi w:val="0"/>
        <w:spacing w:before="0" w:after="0" w:line="360" w:lineRule="auto"/>
        <w:ind w:left="0" w:right="0" w:firstLine="0"/>
        <w:jc w:val="both"/>
      </w:pPr>
      <w:r>
        <w:rPr>
          <w:rFonts w:ascii="Arial" w:hAnsi="Arial" w:eastAsia="Times New Roman" w:cs="Arial"/>
          <w:color w:val="000000"/>
          <w:kern w:val="2"/>
          <w:sz w:val="21"/>
          <w:szCs w:val="21"/>
          <w:lang w:eastAsia="zh-CN"/>
        </w:rPr>
        <w:t>(número do CPF)</w:t>
      </w:r>
      <w:r>
        <w:br w:type="page"/>
      </w:r>
    </w:p>
    <w:p w14:paraId="066EBE2A">
      <w:pPr>
        <w:widowControl/>
        <w:suppressAutoHyphens/>
        <w:bidi w:val="0"/>
        <w:spacing w:before="0" w:after="0" w:line="360" w:lineRule="auto"/>
        <w:ind w:left="0" w:right="0" w:firstLine="0"/>
        <w:jc w:val="center"/>
      </w:pPr>
      <w:r>
        <w:rPr>
          <w:rFonts w:ascii="Arial" w:hAnsi="Arial"/>
          <w:b/>
          <w:bCs/>
          <w:sz w:val="21"/>
          <w:szCs w:val="21"/>
        </w:rPr>
        <w:t>ANEXO X</w:t>
      </w:r>
    </w:p>
    <w:p w14:paraId="0D600888">
      <w:pPr>
        <w:widowControl/>
        <w:suppressAutoHyphens/>
        <w:bidi w:val="0"/>
        <w:spacing w:before="0" w:after="0" w:line="360" w:lineRule="auto"/>
        <w:ind w:left="0" w:right="0" w:firstLine="0"/>
        <w:jc w:val="center"/>
        <w:rPr>
          <w:rFonts w:ascii="Arial" w:hAnsi="Arial"/>
          <w:b/>
          <w:bCs/>
          <w:sz w:val="21"/>
          <w:szCs w:val="21"/>
        </w:rPr>
      </w:pPr>
    </w:p>
    <w:p w14:paraId="4BEF4E71">
      <w:pPr>
        <w:widowControl/>
        <w:suppressAutoHyphens/>
        <w:bidi w:val="0"/>
        <w:spacing w:before="0" w:after="0" w:line="360" w:lineRule="auto"/>
        <w:ind w:left="0" w:right="0" w:firstLine="0"/>
        <w:jc w:val="center"/>
        <w:rPr>
          <w:rFonts w:ascii="Arial" w:hAnsi="Arial"/>
          <w:b/>
          <w:bCs/>
          <w:sz w:val="21"/>
          <w:szCs w:val="21"/>
        </w:rPr>
      </w:pPr>
    </w:p>
    <w:p w14:paraId="51E8B71A">
      <w:pPr>
        <w:widowControl/>
        <w:suppressAutoHyphens/>
        <w:bidi w:val="0"/>
        <w:spacing w:before="0" w:after="0" w:line="360" w:lineRule="auto"/>
        <w:ind w:left="0" w:right="0" w:firstLine="0"/>
        <w:jc w:val="center"/>
        <w:rPr>
          <w:rFonts w:ascii="Arial" w:hAnsi="Arial"/>
          <w:b/>
          <w:bCs/>
          <w:sz w:val="21"/>
          <w:szCs w:val="21"/>
        </w:rPr>
      </w:pPr>
    </w:p>
    <w:p w14:paraId="63C46261">
      <w:pPr>
        <w:widowControl/>
        <w:suppressAutoHyphens/>
        <w:bidi w:val="0"/>
        <w:spacing w:before="0" w:after="0" w:line="360" w:lineRule="auto"/>
        <w:ind w:left="0" w:right="0" w:firstLine="0"/>
        <w:jc w:val="center"/>
      </w:pPr>
      <w:r>
        <w:rPr>
          <w:rFonts w:ascii="Arial" w:hAnsi="Arial"/>
          <w:b/>
          <w:bCs/>
          <w:sz w:val="21"/>
          <w:szCs w:val="21"/>
        </w:rPr>
        <w:t>DECLARAÇÃO DE INTEGRALIDADE DE CUSTOS</w:t>
      </w:r>
    </w:p>
    <w:p w14:paraId="29928EC2">
      <w:pPr>
        <w:widowControl/>
        <w:suppressAutoHyphens/>
        <w:bidi w:val="0"/>
        <w:spacing w:before="0" w:after="0" w:line="360" w:lineRule="auto"/>
        <w:ind w:left="0" w:right="0" w:firstLine="0"/>
        <w:jc w:val="both"/>
        <w:rPr>
          <w:rFonts w:ascii="Arial" w:hAnsi="Arial"/>
          <w:sz w:val="21"/>
          <w:szCs w:val="21"/>
        </w:rPr>
      </w:pPr>
    </w:p>
    <w:p w14:paraId="6F0BDADE">
      <w:pPr>
        <w:widowControl/>
        <w:suppressAutoHyphens/>
        <w:bidi w:val="0"/>
        <w:spacing w:before="0" w:after="0" w:line="360" w:lineRule="auto"/>
        <w:ind w:left="0" w:right="0" w:firstLine="0"/>
        <w:jc w:val="both"/>
        <w:rPr>
          <w:rFonts w:ascii="Arial" w:hAnsi="Arial"/>
          <w:b/>
          <w:bCs/>
          <w:sz w:val="21"/>
          <w:szCs w:val="21"/>
        </w:rPr>
      </w:pPr>
    </w:p>
    <w:p w14:paraId="6AB34E74">
      <w:pPr>
        <w:pStyle w:val="3"/>
        <w:widowControl/>
        <w:suppressAutoHyphens/>
        <w:bidi w:val="0"/>
        <w:spacing w:before="0" w:after="0" w:line="360" w:lineRule="auto"/>
        <w:ind w:left="0" w:right="0" w:firstLine="0"/>
        <w:jc w:val="both"/>
      </w:pPr>
      <w:r>
        <w:rPr>
          <w:rFonts w:ascii="Arial" w:hAnsi="Arial"/>
          <w:b/>
          <w:bCs/>
          <w:i w:val="0"/>
          <w:iCs w:val="0"/>
          <w:sz w:val="21"/>
          <w:szCs w:val="21"/>
        </w:rPr>
        <w:t>PROCESSO LICITATÓRIO Nº 144/2024</w:t>
      </w:r>
    </w:p>
    <w:p w14:paraId="6EEEBC75">
      <w:pPr>
        <w:pStyle w:val="3"/>
        <w:widowControl/>
        <w:suppressAutoHyphens/>
        <w:bidi w:val="0"/>
        <w:spacing w:before="0" w:after="0" w:line="36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6274D98F">
      <w:pPr>
        <w:widowControl/>
        <w:suppressAutoHyphens/>
        <w:bidi w:val="0"/>
        <w:spacing w:before="0" w:after="0" w:line="360" w:lineRule="auto"/>
        <w:ind w:left="0" w:right="0" w:firstLine="0"/>
        <w:jc w:val="both"/>
        <w:rPr>
          <w:rFonts w:ascii="Arial" w:hAnsi="Arial"/>
          <w:sz w:val="21"/>
          <w:szCs w:val="21"/>
        </w:rPr>
      </w:pPr>
    </w:p>
    <w:p w14:paraId="1330C727">
      <w:pPr>
        <w:widowControl/>
        <w:suppressAutoHyphens/>
        <w:bidi w:val="0"/>
        <w:spacing w:before="0" w:after="0" w:line="360" w:lineRule="auto"/>
        <w:ind w:left="0" w:right="0" w:firstLine="0"/>
        <w:jc w:val="both"/>
        <w:rPr>
          <w:rFonts w:ascii="Arial" w:hAnsi="Arial"/>
          <w:sz w:val="21"/>
          <w:szCs w:val="21"/>
        </w:rPr>
      </w:pPr>
    </w:p>
    <w:p w14:paraId="34FCC78C">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sz w:val="21"/>
          <w:szCs w:val="21"/>
        </w:rPr>
        <w:tab/>
      </w:r>
      <w:r>
        <w:rPr>
          <w:rFonts w:ascii="Arial" w:hAnsi="Arial"/>
          <w:sz w:val="21"/>
          <w:szCs w:val="21"/>
        </w:rPr>
        <w:t>(</w:t>
      </w:r>
      <w:r>
        <w:rPr>
          <w:rFonts w:ascii="Arial" w:hAnsi="Arial"/>
          <w:color w:val="C9211E"/>
          <w:sz w:val="21"/>
          <w:szCs w:val="21"/>
        </w:rPr>
        <w:t>RAZÃO SOCIAL DA EMPRESA</w:t>
      </w:r>
      <w:r>
        <w:rPr>
          <w:rFonts w:ascii="Arial" w:hAnsi="Arial"/>
          <w:sz w:val="21"/>
          <w:szCs w:val="21"/>
        </w:rPr>
        <w:t>)</w:t>
      </w:r>
      <w:r>
        <w:rPr>
          <w:rFonts w:ascii="Arial" w:hAnsi="Arial"/>
          <w:sz w:val="21"/>
          <w:szCs w:val="21"/>
        </w:rPr>
        <w:tab/>
      </w:r>
      <w:r>
        <w:rPr>
          <w:rFonts w:ascii="Arial" w:hAnsi="Arial"/>
          <w:sz w:val="21"/>
          <w:szCs w:val="21"/>
        </w:rPr>
        <w:t>CNPJ nº</w:t>
      </w:r>
      <w:r>
        <w:rPr>
          <w:rFonts w:ascii="Arial" w:hAnsi="Arial"/>
          <w:sz w:val="21"/>
          <w:szCs w:val="21"/>
        </w:rPr>
        <w:tab/>
      </w:r>
      <w:r>
        <w:rPr>
          <w:rFonts w:ascii="Arial" w:hAnsi="Arial"/>
          <w:sz w:val="21"/>
          <w:szCs w:val="21"/>
        </w:rPr>
        <w:t>, sediada em (</w:t>
      </w:r>
      <w:r>
        <w:rPr>
          <w:rFonts w:ascii="Arial" w:hAnsi="Arial"/>
          <w:color w:val="C9211E"/>
          <w:sz w:val="21"/>
          <w:szCs w:val="21"/>
        </w:rPr>
        <w:t>ENDEREÇO COMERCIAL</w:t>
      </w:r>
      <w:r>
        <w:rPr>
          <w:rFonts w:ascii="Arial" w:hAnsi="Arial"/>
          <w:sz w:val="21"/>
          <w:szCs w:val="21"/>
        </w:rPr>
        <w:t>)</w:t>
      </w:r>
      <w:r>
        <w:rPr>
          <w:rFonts w:ascii="Arial" w:hAnsi="Arial"/>
          <w:sz w:val="21"/>
          <w:szCs w:val="21"/>
        </w:rPr>
        <w:tab/>
      </w:r>
      <w:r>
        <w:rPr>
          <w:rFonts w:ascii="Arial" w:hAnsi="Arial"/>
          <w:sz w:val="21"/>
          <w:szCs w:val="21"/>
        </w:rPr>
        <w:t>, 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14:paraId="13F08B8F">
      <w:pPr>
        <w:widowControl/>
        <w:suppressAutoHyphens/>
        <w:bidi w:val="0"/>
        <w:spacing w:before="0" w:after="0" w:line="360" w:lineRule="auto"/>
        <w:ind w:left="0" w:right="0" w:firstLine="0"/>
        <w:jc w:val="both"/>
        <w:rPr>
          <w:rFonts w:ascii="Arial" w:hAnsi="Arial"/>
          <w:sz w:val="21"/>
          <w:szCs w:val="21"/>
        </w:rPr>
      </w:pPr>
    </w:p>
    <w:p w14:paraId="21ABEA20">
      <w:pPr>
        <w:widowControl/>
        <w:suppressAutoHyphens/>
        <w:bidi w:val="0"/>
        <w:spacing w:before="0" w:after="0" w:line="360" w:lineRule="auto"/>
        <w:ind w:left="0" w:right="0" w:firstLine="0"/>
        <w:jc w:val="both"/>
        <w:rPr>
          <w:rFonts w:ascii="Arial" w:hAnsi="Arial"/>
          <w:sz w:val="21"/>
          <w:szCs w:val="21"/>
        </w:rPr>
      </w:pPr>
    </w:p>
    <w:p w14:paraId="45EABD12">
      <w:pPr>
        <w:widowControl/>
        <w:suppressAutoHyphens/>
        <w:bidi w:val="0"/>
        <w:spacing w:before="0" w:after="0" w:line="360" w:lineRule="auto"/>
        <w:ind w:left="0" w:right="0" w:firstLine="0"/>
        <w:jc w:val="both"/>
      </w:pPr>
      <w:r>
        <w:rPr>
          <w:rFonts w:ascii="Arial" w:hAnsi="Arial"/>
          <w:sz w:val="21"/>
          <w:szCs w:val="21"/>
        </w:rPr>
        <w:t xml:space="preserve"> </w:t>
      </w:r>
      <w:r>
        <w:rPr>
          <w:rFonts w:ascii="Arial" w:hAnsi="Arial"/>
          <w:sz w:val="21"/>
          <w:szCs w:val="21"/>
        </w:rPr>
        <w:tab/>
      </w:r>
      <w:r>
        <w:rPr>
          <w:rFonts w:ascii="Arial" w:hAnsi="Arial" w:eastAsia="Times New Roman" w:cs="Arial"/>
          <w:color w:val="000000"/>
          <w:kern w:val="2"/>
          <w:sz w:val="21"/>
          <w:szCs w:val="21"/>
          <w:lang w:eastAsia="zh-CN"/>
        </w:rPr>
        <w:t>Local, ______ de ____________________ de 2024.</w:t>
      </w:r>
    </w:p>
    <w:p w14:paraId="523A3A22">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3FDFDF8B">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16CE237B">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39215682">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52635B8D">
      <w:pPr>
        <w:widowControl/>
        <w:suppressAutoHyphens/>
        <w:bidi w:val="0"/>
        <w:spacing w:before="0" w:after="0" w:line="360" w:lineRule="auto"/>
        <w:ind w:left="0" w:right="0" w:firstLine="0"/>
        <w:jc w:val="both"/>
      </w:pPr>
      <w:r>
        <w:rPr>
          <w:rFonts w:ascii="Arial" w:hAnsi="Arial" w:eastAsia="Times New Roman" w:cs="Arial"/>
          <w:color w:val="000000"/>
          <w:kern w:val="2"/>
          <w:sz w:val="21"/>
          <w:szCs w:val="21"/>
          <w:lang w:eastAsia="zh-CN"/>
        </w:rPr>
        <w:t>(número do CPF)</w:t>
      </w:r>
      <w:r>
        <w:br w:type="page"/>
      </w:r>
    </w:p>
    <w:p w14:paraId="4B32C14D">
      <w:pPr>
        <w:widowControl/>
        <w:suppressAutoHyphens/>
        <w:bidi w:val="0"/>
        <w:spacing w:before="0" w:after="0" w:line="360" w:lineRule="auto"/>
        <w:ind w:left="0" w:right="0" w:firstLine="0"/>
        <w:jc w:val="center"/>
      </w:pPr>
      <w:r>
        <w:rPr>
          <w:rFonts w:ascii="Arial" w:hAnsi="Arial"/>
          <w:b/>
          <w:bCs/>
          <w:sz w:val="21"/>
          <w:szCs w:val="21"/>
        </w:rPr>
        <w:t>ANEXO XI</w:t>
      </w:r>
    </w:p>
    <w:p w14:paraId="29C275D3">
      <w:pPr>
        <w:widowControl/>
        <w:suppressAutoHyphens/>
        <w:bidi w:val="0"/>
        <w:spacing w:before="0" w:after="0" w:line="360" w:lineRule="auto"/>
        <w:ind w:left="0" w:right="0" w:firstLine="0"/>
        <w:jc w:val="center"/>
        <w:rPr>
          <w:rFonts w:ascii="Arial" w:hAnsi="Arial"/>
          <w:b/>
          <w:bCs/>
          <w:sz w:val="21"/>
          <w:szCs w:val="21"/>
        </w:rPr>
      </w:pPr>
    </w:p>
    <w:p w14:paraId="657A3F08">
      <w:pPr>
        <w:widowControl/>
        <w:suppressAutoHyphens/>
        <w:bidi w:val="0"/>
        <w:spacing w:before="0" w:after="0" w:line="360" w:lineRule="auto"/>
        <w:ind w:left="0" w:right="0" w:firstLine="0"/>
        <w:jc w:val="center"/>
        <w:rPr>
          <w:rFonts w:ascii="Arial" w:hAnsi="Arial"/>
          <w:b/>
          <w:bCs/>
          <w:sz w:val="21"/>
          <w:szCs w:val="21"/>
        </w:rPr>
      </w:pPr>
    </w:p>
    <w:p w14:paraId="1393E4B3">
      <w:pPr>
        <w:widowControl/>
        <w:suppressAutoHyphens/>
        <w:bidi w:val="0"/>
        <w:spacing w:before="0" w:after="0" w:line="360" w:lineRule="auto"/>
        <w:ind w:left="0" w:right="0" w:firstLine="0"/>
        <w:jc w:val="center"/>
      </w:pPr>
      <w:r>
        <w:rPr>
          <w:rFonts w:ascii="Arial" w:hAnsi="Arial"/>
          <w:b/>
          <w:bCs/>
          <w:sz w:val="21"/>
          <w:szCs w:val="21"/>
        </w:rPr>
        <w:t>MODELO DE DECLARAÇÃO DE CONHECIMENTO DAS ESPECIFICAÇÕES E NORMAS PERTINENTES À EXECUÇÃO DOS SERVIÇOS</w:t>
      </w:r>
    </w:p>
    <w:p w14:paraId="337A2BF3">
      <w:pPr>
        <w:widowControl/>
        <w:suppressAutoHyphens/>
        <w:bidi w:val="0"/>
        <w:spacing w:before="0" w:after="0" w:line="360" w:lineRule="auto"/>
        <w:ind w:left="0" w:right="0" w:firstLine="0"/>
        <w:jc w:val="both"/>
        <w:rPr>
          <w:rFonts w:ascii="Arial" w:hAnsi="Arial"/>
          <w:sz w:val="21"/>
          <w:szCs w:val="21"/>
        </w:rPr>
      </w:pPr>
    </w:p>
    <w:p w14:paraId="57E3B1BD">
      <w:pPr>
        <w:widowControl/>
        <w:suppressAutoHyphens/>
        <w:bidi w:val="0"/>
        <w:spacing w:before="0" w:after="0" w:line="360" w:lineRule="auto"/>
        <w:ind w:left="0" w:right="0" w:firstLine="0"/>
        <w:jc w:val="both"/>
        <w:rPr>
          <w:rFonts w:ascii="Arial" w:hAnsi="Arial"/>
          <w:sz w:val="21"/>
          <w:szCs w:val="21"/>
        </w:rPr>
      </w:pPr>
    </w:p>
    <w:p w14:paraId="0B3913B4">
      <w:pPr>
        <w:pStyle w:val="3"/>
        <w:widowControl/>
        <w:suppressAutoHyphens/>
        <w:bidi w:val="0"/>
        <w:spacing w:before="0" w:after="0" w:line="360" w:lineRule="auto"/>
        <w:ind w:left="0" w:right="0" w:firstLine="0"/>
        <w:jc w:val="both"/>
      </w:pPr>
      <w:r>
        <w:rPr>
          <w:rFonts w:ascii="Arial" w:hAnsi="Arial"/>
          <w:b/>
          <w:bCs/>
          <w:i w:val="0"/>
          <w:iCs w:val="0"/>
          <w:sz w:val="21"/>
          <w:szCs w:val="21"/>
        </w:rPr>
        <w:t>PROCESSO LICITATÓRIO Nº 144/2024</w:t>
      </w:r>
    </w:p>
    <w:p w14:paraId="625992DB">
      <w:pPr>
        <w:pStyle w:val="3"/>
        <w:widowControl/>
        <w:suppressAutoHyphens/>
        <w:bidi w:val="0"/>
        <w:spacing w:before="0" w:after="0" w:line="36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6A91AA4F">
      <w:pPr>
        <w:widowControl/>
        <w:suppressAutoHyphens/>
        <w:bidi w:val="0"/>
        <w:spacing w:before="0" w:after="0" w:line="360" w:lineRule="auto"/>
        <w:ind w:left="0" w:right="0" w:firstLine="0"/>
        <w:jc w:val="both"/>
        <w:rPr>
          <w:rFonts w:ascii="Arial" w:hAnsi="Arial"/>
          <w:sz w:val="21"/>
          <w:szCs w:val="21"/>
        </w:rPr>
      </w:pPr>
    </w:p>
    <w:p w14:paraId="2F9EA22F">
      <w:pPr>
        <w:widowControl/>
        <w:suppressAutoHyphens/>
        <w:bidi w:val="0"/>
        <w:spacing w:before="0" w:after="0" w:line="360" w:lineRule="auto"/>
        <w:ind w:left="0" w:right="0" w:firstLine="0"/>
        <w:jc w:val="center"/>
      </w:pPr>
      <w:r>
        <w:rPr>
          <w:rFonts w:ascii="Arial" w:hAnsi="Arial"/>
          <w:b/>
          <w:bCs/>
          <w:sz w:val="21"/>
          <w:szCs w:val="21"/>
        </w:rPr>
        <w:t>DECLARAÇÃO</w:t>
      </w:r>
    </w:p>
    <w:p w14:paraId="5983588C">
      <w:pPr>
        <w:widowControl/>
        <w:suppressAutoHyphens/>
        <w:bidi w:val="0"/>
        <w:spacing w:before="0" w:after="0" w:line="360" w:lineRule="auto"/>
        <w:ind w:left="0" w:right="0" w:firstLine="0"/>
        <w:jc w:val="both"/>
        <w:rPr>
          <w:rFonts w:ascii="Arial" w:hAnsi="Arial"/>
          <w:sz w:val="21"/>
          <w:szCs w:val="21"/>
        </w:rPr>
      </w:pPr>
    </w:p>
    <w:p w14:paraId="36619518">
      <w:pPr>
        <w:widowControl/>
        <w:suppressAutoHyphens/>
        <w:bidi w:val="0"/>
        <w:spacing w:before="0" w:after="0" w:line="360" w:lineRule="auto"/>
        <w:ind w:left="0" w:right="0" w:firstLine="0"/>
        <w:jc w:val="both"/>
        <w:rPr>
          <w:rFonts w:ascii="Arial" w:hAnsi="Arial"/>
          <w:sz w:val="21"/>
          <w:szCs w:val="21"/>
        </w:rPr>
      </w:pPr>
    </w:p>
    <w:p w14:paraId="1724E3DC">
      <w:pPr>
        <w:widowControl/>
        <w:suppressAutoHyphens/>
        <w:bidi w:val="0"/>
        <w:spacing w:before="0" w:after="0" w:line="360" w:lineRule="auto"/>
        <w:ind w:left="0" w:right="0" w:firstLine="0"/>
        <w:jc w:val="both"/>
      </w:pPr>
      <w:r>
        <w:rPr>
          <w:rFonts w:ascii="Arial" w:hAnsi="Arial"/>
          <w:sz w:val="21"/>
          <w:szCs w:val="21"/>
        </w:rPr>
        <w:t>Declaro, para os devidos fins da Licitação referente ao Pregão, na forma Eletrônica – Edital nº ___/2024, que a empresa</w:t>
      </w:r>
      <w:r>
        <w:rPr>
          <w:rFonts w:ascii="Arial" w:hAnsi="Arial"/>
          <w:sz w:val="21"/>
          <w:szCs w:val="21"/>
        </w:rPr>
        <w:tab/>
      </w:r>
      <w:r>
        <w:rPr>
          <w:rFonts w:ascii="Arial" w:hAnsi="Arial"/>
          <w:sz w:val="21"/>
          <w:szCs w:val="21"/>
        </w:rPr>
        <w:t>_________________, tomou conhecimento de todas as normas, especificações e informações necessárias e obrigatórias para a perfeita consecução do objeto do Edital supra, nos termos do art. 67, VI, da Lei Federal nº 14.133, de 2021.</w:t>
      </w:r>
    </w:p>
    <w:p w14:paraId="28C4B123">
      <w:pPr>
        <w:widowControl/>
        <w:suppressAutoHyphens/>
        <w:bidi w:val="0"/>
        <w:spacing w:before="0" w:after="0" w:line="360" w:lineRule="auto"/>
        <w:ind w:left="0" w:right="0" w:firstLine="0"/>
        <w:jc w:val="both"/>
        <w:rPr>
          <w:rFonts w:ascii="Arial" w:hAnsi="Arial"/>
          <w:sz w:val="21"/>
          <w:szCs w:val="21"/>
        </w:rPr>
      </w:pPr>
    </w:p>
    <w:p w14:paraId="3498957A">
      <w:pPr>
        <w:widowControl/>
        <w:suppressAutoHyphens/>
        <w:bidi w:val="0"/>
        <w:spacing w:before="0" w:after="0" w:line="360" w:lineRule="auto"/>
        <w:ind w:left="0" w:right="0" w:firstLine="0"/>
        <w:jc w:val="both"/>
        <w:rPr>
          <w:rFonts w:ascii="Arial" w:hAnsi="Arial"/>
          <w:sz w:val="21"/>
          <w:szCs w:val="21"/>
        </w:rPr>
      </w:pPr>
    </w:p>
    <w:p w14:paraId="685D81B5">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Local, ______ de ____________________ de 2024.</w:t>
      </w:r>
    </w:p>
    <w:p w14:paraId="4D245384">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3B081CAF">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177777E1">
      <w:pPr>
        <w:suppressAutoHyphens w:val="0"/>
        <w:spacing w:before="0" w:after="0" w:line="360" w:lineRule="auto"/>
        <w:ind w:left="0" w:right="0" w:firstLine="0"/>
        <w:jc w:val="both"/>
        <w:rPr>
          <w:rFonts w:ascii="Arial" w:hAnsi="Arial" w:eastAsia="Times New Roman" w:cs="Arial"/>
          <w:color w:val="000000"/>
          <w:kern w:val="2"/>
          <w:sz w:val="21"/>
          <w:szCs w:val="21"/>
          <w:lang w:eastAsia="zh-CN"/>
        </w:rPr>
      </w:pPr>
    </w:p>
    <w:p w14:paraId="38BB6150">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(nome e assinatura do responsável legal)</w:t>
      </w:r>
    </w:p>
    <w:p w14:paraId="045251CF">
      <w:pPr>
        <w:suppressAutoHyphens w:val="0"/>
        <w:spacing w:before="0" w:after="0" w:line="360" w:lineRule="auto"/>
        <w:ind w:left="0" w:right="0" w:firstLine="0"/>
        <w:jc w:val="both"/>
      </w:pPr>
      <w:r>
        <w:rPr>
          <w:rFonts w:ascii="Arial" w:hAnsi="Arial" w:eastAsia="Times New Roman" w:cs="Arial"/>
          <w:color w:val="000000"/>
          <w:kern w:val="2"/>
          <w:sz w:val="21"/>
          <w:szCs w:val="21"/>
          <w:lang w:eastAsia="zh-CN"/>
        </w:rPr>
        <w:t>(número do CPF)</w:t>
      </w:r>
      <w:r>
        <w:br w:type="page"/>
      </w:r>
    </w:p>
    <w:p w14:paraId="33FB3EEF">
      <w:pPr>
        <w:widowControl/>
        <w:suppressAutoHyphens/>
        <w:bidi w:val="0"/>
        <w:spacing w:before="0" w:after="0" w:line="360" w:lineRule="auto"/>
        <w:ind w:left="0" w:right="0" w:firstLine="0"/>
        <w:jc w:val="center"/>
      </w:pPr>
      <w:r>
        <w:rPr>
          <w:rFonts w:ascii="Arial" w:hAnsi="Arial"/>
          <w:b/>
          <w:bCs/>
          <w:sz w:val="21"/>
          <w:szCs w:val="21"/>
        </w:rPr>
        <w:t>ANEXO XII</w:t>
      </w:r>
    </w:p>
    <w:p w14:paraId="2BB3A11E">
      <w:pPr>
        <w:widowControl/>
        <w:suppressAutoHyphens/>
        <w:bidi w:val="0"/>
        <w:spacing w:before="0" w:after="0" w:line="360" w:lineRule="auto"/>
        <w:ind w:left="0" w:right="0" w:firstLine="0"/>
        <w:jc w:val="center"/>
        <w:rPr>
          <w:rFonts w:ascii="Arial" w:hAnsi="Arial"/>
          <w:b/>
          <w:bCs/>
          <w:sz w:val="21"/>
          <w:szCs w:val="21"/>
        </w:rPr>
      </w:pPr>
    </w:p>
    <w:p w14:paraId="1800F552">
      <w:pPr>
        <w:pStyle w:val="3"/>
        <w:widowControl/>
        <w:suppressAutoHyphens/>
        <w:bidi w:val="0"/>
        <w:spacing w:before="0" w:after="0" w:line="360" w:lineRule="auto"/>
        <w:ind w:left="0" w:right="0" w:firstLine="0"/>
        <w:jc w:val="both"/>
      </w:pPr>
      <w:r>
        <w:rPr>
          <w:rFonts w:ascii="Arial" w:hAnsi="Arial"/>
          <w:b/>
          <w:bCs/>
          <w:i w:val="0"/>
          <w:iCs w:val="0"/>
          <w:sz w:val="21"/>
          <w:szCs w:val="21"/>
        </w:rPr>
        <w:t>PROCESSO LICITATÓRIO Nº 144/2024</w:t>
      </w:r>
    </w:p>
    <w:p w14:paraId="3E11E836">
      <w:pPr>
        <w:pStyle w:val="3"/>
        <w:widowControl/>
        <w:suppressAutoHyphens/>
        <w:bidi w:val="0"/>
        <w:spacing w:before="0" w:after="0" w:line="360" w:lineRule="auto"/>
        <w:ind w:left="0" w:right="0" w:firstLine="0"/>
        <w:jc w:val="both"/>
      </w:pPr>
      <w:r>
        <w:rPr>
          <w:rFonts w:ascii="Arial" w:hAnsi="Arial"/>
          <w:b/>
          <w:bCs/>
          <w:i w:val="0"/>
          <w:iCs w:val="0"/>
          <w:strike w:val="0"/>
          <w:dstrike w:val="0"/>
          <w:color w:val="000000"/>
          <w:sz w:val="21"/>
          <w:szCs w:val="21"/>
          <w:u w:val="none"/>
        </w:rPr>
        <w:t>EDITAL DE PREGÃO ELETRÔNICO Nº 23/2024</w:t>
      </w:r>
    </w:p>
    <w:p w14:paraId="3DB4A018">
      <w:pPr>
        <w:spacing w:before="0" w:after="0" w:line="360" w:lineRule="auto"/>
        <w:ind w:left="0" w:right="0" w:firstLine="0"/>
        <w:jc w:val="center"/>
        <w:rPr>
          <w:rFonts w:ascii="Arial" w:hAnsi="Arial" w:cs="Arial"/>
          <w:b/>
          <w:bCs/>
          <w:color w:val="000000"/>
          <w:kern w:val="2"/>
          <w:sz w:val="21"/>
          <w:szCs w:val="21"/>
          <w:lang w:eastAsia="zh-CN"/>
        </w:rPr>
      </w:pPr>
    </w:p>
    <w:p w14:paraId="4F6E6CA7">
      <w:pPr>
        <w:spacing w:before="0" w:after="0" w:line="360" w:lineRule="auto"/>
        <w:ind w:left="0" w:right="0" w:firstLine="0"/>
        <w:jc w:val="left"/>
      </w:pPr>
      <w:r>
        <w:rPr>
          <w:rFonts w:ascii="Arial" w:hAnsi="Arial" w:cs="Arial"/>
          <w:b/>
          <w:bCs/>
          <w:color w:val="000000"/>
          <w:kern w:val="2"/>
          <w:sz w:val="21"/>
          <w:szCs w:val="21"/>
          <w:lang w:eastAsia="zh-CN"/>
        </w:rPr>
        <w:t>ATA DE REGISTRO DE PREÇOS Nº __/2024</w:t>
      </w:r>
    </w:p>
    <w:p w14:paraId="07CDD141">
      <w:pPr>
        <w:spacing w:before="0" w:after="0" w:line="360" w:lineRule="auto"/>
        <w:ind w:left="0" w:right="0" w:firstLine="0"/>
        <w:jc w:val="both"/>
        <w:rPr>
          <w:rFonts w:ascii="Arial" w:hAnsi="Arial" w:cs="Arial"/>
          <w:b/>
          <w:bCs/>
          <w:color w:val="000000"/>
          <w:kern w:val="2"/>
          <w:sz w:val="21"/>
          <w:szCs w:val="21"/>
          <w:lang w:eastAsia="zh-CN"/>
        </w:rPr>
      </w:pPr>
    </w:p>
    <w:p w14:paraId="1DA9B30A">
      <w:pPr>
        <w:widowControl/>
        <w:suppressAutoHyphens w:val="0"/>
        <w:spacing w:before="0" w:after="0" w:line="360" w:lineRule="auto"/>
        <w:ind w:left="0" w:right="0" w:firstLine="0"/>
        <w:jc w:val="both"/>
      </w:pPr>
      <w:r>
        <w:rPr>
          <w:rFonts w:ascii="Arial" w:hAnsi="Arial" w:cs="Arial"/>
          <w:b w:val="0"/>
          <w:bCs w:val="0"/>
          <w:kern w:val="2"/>
          <w:sz w:val="21"/>
          <w:szCs w:val="21"/>
          <w:lang w:eastAsia="zh-CN"/>
        </w:rPr>
        <w:t xml:space="preserve">O </w:t>
      </w:r>
      <w:r>
        <w:rPr>
          <w:rFonts w:ascii="Arial" w:hAnsi="Arial" w:cs="Arial"/>
          <w:b/>
          <w:bCs/>
          <w:kern w:val="2"/>
          <w:sz w:val="21"/>
          <w:szCs w:val="21"/>
          <w:lang w:eastAsia="zh-CN"/>
        </w:rPr>
        <w:t>Município de Lindóia do Sul</w:t>
      </w:r>
      <w:r>
        <w:rPr>
          <w:rFonts w:ascii="Arial" w:hAnsi="Arial" w:cs="Arial"/>
          <w:b w:val="0"/>
          <w:bCs w:val="0"/>
          <w:kern w:val="2"/>
          <w:sz w:val="21"/>
          <w:szCs w:val="21"/>
          <w:lang w:eastAsia="zh-CN"/>
        </w:rPr>
        <w:t xml:space="preserve"> - SC, localizada na Rua Tamandaré, 98, Centro, neste ato representado pelo Prefeito Municipal em exercício, Sr. </w:t>
      </w:r>
      <w:r>
        <w:rPr>
          <w:rFonts w:ascii="Arial" w:hAnsi="Arial" w:cs="Arial"/>
          <w:b/>
          <w:bCs/>
          <w:kern w:val="2"/>
          <w:sz w:val="21"/>
          <w:szCs w:val="21"/>
          <w:lang w:eastAsia="zh-CN"/>
        </w:rPr>
        <w:t>Pedro Ari Parizotto</w:t>
      </w:r>
      <w:r>
        <w:rPr>
          <w:rFonts w:ascii="Arial" w:hAnsi="Arial" w:cs="Arial"/>
          <w:b w:val="0"/>
          <w:bCs w:val="0"/>
          <w:color w:val="000000"/>
          <w:kern w:val="2"/>
          <w:sz w:val="21"/>
          <w:szCs w:val="21"/>
          <w:lang w:eastAsia="zh-CN"/>
        </w:rPr>
        <w:t xml:space="preserve">, e a empresa ____________________, inscrita no CNPJ nº ____________________, localizada _______________________, no município de _____________________________, nesta Ata representada pelo seu ____________, Sr. __________________, portador do CPF n° ______________ nos termos da Lei Federal n. 14.133/2021, das demais normas legais aplicáveis, em face da classificação das propostas apresentadas no PREGÃO ELETRÔNICO nº 19/2024, Ata de julgamento de Preços e homologada pela autoridade competente, RESOLVEM registrar os preços para possível </w:t>
      </w:r>
      <w:r>
        <w:rPr>
          <w:rFonts w:ascii="Arial" w:hAnsi="Arial" w:cs="Arial"/>
          <w:b w:val="0"/>
          <w:bCs w:val="0"/>
          <w:color w:val="000000"/>
          <w:sz w:val="21"/>
          <w:szCs w:val="21"/>
        </w:rPr>
        <w:t>aquisição conforme a necessidade de gasolina comum</w:t>
      </w:r>
      <w:r>
        <w:rPr>
          <w:rFonts w:ascii="Arial" w:hAnsi="Arial" w:eastAsia="Times New Roman" w:cs="Arial"/>
          <w:b w:val="0"/>
          <w:bCs w:val="0"/>
          <w:color w:val="000000"/>
          <w:sz w:val="21"/>
          <w:szCs w:val="21"/>
        </w:rPr>
        <w:t>,</w:t>
      </w:r>
      <w:r>
        <w:rPr>
          <w:rFonts w:ascii="Arial" w:hAnsi="Arial" w:cs="Arial"/>
          <w:b w:val="0"/>
          <w:bCs w:val="0"/>
          <w:color w:val="000000"/>
          <w:sz w:val="21"/>
          <w:szCs w:val="21"/>
        </w:rPr>
        <w:t xml:space="preserve"> </w:t>
      </w:r>
      <w:r>
        <w:rPr>
          <w:rFonts w:ascii="Arial" w:hAnsi="Arial" w:eastAsia="Times New Roman" w:cs="Arial"/>
          <w:b w:val="0"/>
          <w:bCs w:val="0"/>
          <w:color w:val="000000"/>
          <w:kern w:val="0"/>
          <w:sz w:val="21"/>
          <w:szCs w:val="21"/>
          <w:lang w:eastAsia="zh-CN"/>
        </w:rPr>
        <w:t>conforme especificações constantes do ANEXO “I” do Edital</w:t>
      </w:r>
      <w:r>
        <w:rPr>
          <w:rFonts w:ascii="Arial" w:hAnsi="Arial" w:cs="Arial"/>
          <w:b w:val="0"/>
          <w:bCs w:val="0"/>
          <w:color w:val="000000"/>
          <w:kern w:val="2"/>
          <w:sz w:val="21"/>
          <w:szCs w:val="21"/>
          <w:lang w:eastAsia="zh-CN"/>
        </w:rPr>
        <w:t>, objeto do PREGÃO ELETRÔNICO acima citado, que passa a fazer parte desta, nos seguintes termos:</w:t>
      </w:r>
    </w:p>
    <w:p w14:paraId="434CB5B1">
      <w:pPr>
        <w:widowControl/>
        <w:suppressAutoHyphens w:val="0"/>
        <w:spacing w:before="0" w:after="0" w:line="360" w:lineRule="auto"/>
        <w:ind w:left="0" w:right="0" w:firstLine="0"/>
        <w:jc w:val="both"/>
        <w:rPr>
          <w:rFonts w:ascii="Arial" w:hAnsi="Arial" w:cs="Arial"/>
          <w:color w:val="000000"/>
          <w:kern w:val="2"/>
          <w:sz w:val="21"/>
          <w:szCs w:val="21"/>
          <w:lang w:eastAsia="zh-CN"/>
        </w:rPr>
      </w:pPr>
    </w:p>
    <w:p w14:paraId="2CE6C2A9">
      <w:pPr>
        <w:widowControl/>
        <w:suppressAutoHyphens w:val="0"/>
        <w:spacing w:before="0" w:after="0" w:line="360" w:lineRule="auto"/>
        <w:ind w:left="0" w:right="0" w:firstLine="0"/>
        <w:jc w:val="both"/>
      </w:pPr>
      <w:r>
        <w:rPr>
          <w:rFonts w:ascii="Arial" w:hAnsi="Arial" w:cs="Arial"/>
          <w:b/>
          <w:bCs/>
          <w:color w:val="000000"/>
          <w:kern w:val="2"/>
          <w:sz w:val="21"/>
          <w:szCs w:val="21"/>
          <w:lang w:eastAsia="zh-CN"/>
        </w:rPr>
        <w:t>CLÁUSULA PRIMEIRA – DO OBJETO</w:t>
      </w:r>
    </w:p>
    <w:p w14:paraId="4B212D3A">
      <w:pPr>
        <w:tabs>
          <w:tab w:val="left" w:pos="2340"/>
          <w:tab w:val="left" w:pos="4464"/>
        </w:tabs>
        <w:spacing w:before="0" w:after="0" w:line="360" w:lineRule="auto"/>
        <w:ind w:left="0" w:right="0" w:firstLine="0"/>
        <w:jc w:val="both"/>
        <w:rPr>
          <w:rFonts w:ascii="Arial" w:hAnsi="Arial" w:cs="Arial"/>
          <w:bCs/>
          <w:color w:val="000000"/>
          <w:kern w:val="2"/>
          <w:sz w:val="21"/>
          <w:szCs w:val="21"/>
          <w:lang w:eastAsia="zh-CN"/>
        </w:rPr>
      </w:pPr>
    </w:p>
    <w:p w14:paraId="7A242B58">
      <w:pPr>
        <w:tabs>
          <w:tab w:val="left" w:pos="2340"/>
          <w:tab w:val="left" w:pos="4464"/>
        </w:tabs>
        <w:spacing w:before="0" w:after="0" w:line="360" w:lineRule="auto"/>
        <w:ind w:left="0" w:right="0" w:firstLine="0"/>
        <w:jc w:val="both"/>
      </w:pPr>
      <w:r>
        <w:rPr>
          <w:rFonts w:ascii="Arial" w:hAnsi="Arial" w:cs="Arial"/>
          <w:bCs/>
          <w:color w:val="000000"/>
          <w:kern w:val="2"/>
          <w:sz w:val="21"/>
          <w:szCs w:val="21"/>
          <w:lang w:eastAsia="zh-CN"/>
        </w:rPr>
        <w:t>1.1. A presente Ata tem por objeto o REGISTRO DE PREÇOS para aquisição de gasolina comum, de acordo com os quantitativos estimados e durante o prazo de vigência da Ata de Registro de Preços.</w:t>
      </w:r>
    </w:p>
    <w:p w14:paraId="413FA773">
      <w:pPr>
        <w:tabs>
          <w:tab w:val="left" w:pos="2340"/>
          <w:tab w:val="left" w:pos="4464"/>
        </w:tabs>
        <w:spacing w:before="0" w:after="0" w:line="360" w:lineRule="auto"/>
        <w:ind w:left="0" w:right="0" w:firstLine="0"/>
        <w:jc w:val="both"/>
        <w:rPr>
          <w:rFonts w:ascii="Arial" w:hAnsi="Arial" w:cs="Arial"/>
          <w:bCs/>
          <w:color w:val="000000"/>
          <w:kern w:val="2"/>
          <w:sz w:val="21"/>
          <w:szCs w:val="21"/>
          <w:lang w:eastAsia="zh-CN"/>
        </w:rPr>
      </w:pPr>
    </w:p>
    <w:p w14:paraId="0B22CE97">
      <w:pPr>
        <w:tabs>
          <w:tab w:val="left" w:pos="2340"/>
          <w:tab w:val="left" w:pos="4464"/>
        </w:tabs>
        <w:spacing w:before="0" w:after="0" w:line="360" w:lineRule="auto"/>
        <w:ind w:left="0" w:right="0" w:firstLine="0"/>
        <w:jc w:val="both"/>
      </w:pPr>
      <w:r>
        <w:rPr>
          <w:rFonts w:ascii="Arial" w:hAnsi="Arial" w:cs="Arial"/>
          <w:bCs/>
          <w:color w:val="000000"/>
          <w:kern w:val="2"/>
          <w:sz w:val="21"/>
          <w:szCs w:val="21"/>
          <w:lang w:eastAsia="zh-CN"/>
        </w:rPr>
        <w:t>1.2. As quantidades estimadas para a presente Ata são as descritas na tabela abaixo:</w:t>
      </w:r>
    </w:p>
    <w:p w14:paraId="797FDA7D">
      <w:pPr>
        <w:tabs>
          <w:tab w:val="left" w:pos="2340"/>
          <w:tab w:val="left" w:pos="4464"/>
        </w:tabs>
        <w:spacing w:before="0" w:after="0" w:line="360" w:lineRule="auto"/>
        <w:ind w:left="0" w:right="0" w:firstLine="0"/>
        <w:jc w:val="both"/>
        <w:rPr>
          <w:rFonts w:ascii="Arial" w:hAnsi="Arial" w:eastAsia="SimSun" w:cs="Mangal"/>
          <w:color w:val="00000A"/>
          <w:sz w:val="21"/>
          <w:szCs w:val="21"/>
          <w:lang w:val="pt-BR" w:eastAsia="zh-CN" w:bidi="hi-IN"/>
        </w:rPr>
      </w:pPr>
    </w:p>
    <w:tbl>
      <w:tblPr>
        <w:tblStyle w:val="12"/>
        <w:tblW w:w="9135" w:type="dxa"/>
        <w:tblInd w:w="122" w:type="dxa"/>
        <w:tblLayout w:type="fixed"/>
        <w:tblCellMar>
          <w:top w:w="0" w:type="dxa"/>
          <w:left w:w="98" w:type="dxa"/>
          <w:bottom w:w="0" w:type="dxa"/>
          <w:right w:w="108" w:type="dxa"/>
        </w:tblCellMar>
      </w:tblPr>
      <w:tblGrid>
        <w:gridCol w:w="840"/>
        <w:gridCol w:w="913"/>
        <w:gridCol w:w="842"/>
        <w:gridCol w:w="1080"/>
        <w:gridCol w:w="3011"/>
        <w:gridCol w:w="1086"/>
        <w:gridCol w:w="1362"/>
      </w:tblGrid>
      <w:tr w14:paraId="6C6BF3A3">
        <w:tblPrEx>
          <w:tblCellMar>
            <w:top w:w="0" w:type="dxa"/>
            <w:left w:w="98" w:type="dxa"/>
            <w:bottom w:w="0" w:type="dxa"/>
            <w:right w:w="108" w:type="dxa"/>
          </w:tblCellMar>
        </w:tblPrEx>
        <w:tc>
          <w:tcPr>
            <w:tcW w:w="840" w:type="dxa"/>
            <w:tcBorders>
              <w:top w:val="single" w:color="000001" w:sz="4" w:space="0"/>
              <w:left w:val="single" w:color="000001" w:sz="4" w:space="0"/>
              <w:bottom w:val="single" w:color="000001" w:sz="4" w:space="0"/>
              <w:right w:val="single" w:color="000001" w:sz="4" w:space="0"/>
            </w:tcBorders>
            <w:shd w:val="clear" w:color="auto" w:fill="auto"/>
          </w:tcPr>
          <w:p w14:paraId="5BC650BC">
            <w:pPr>
              <w:widowControl w:val="0"/>
              <w:spacing w:before="0" w:after="57" w:line="360" w:lineRule="auto"/>
              <w:jc w:val="center"/>
            </w:pPr>
            <w:r>
              <w:rPr>
                <w:rFonts w:ascii="Arial" w:hAnsi="Arial" w:cs="Arial"/>
                <w:b/>
                <w:color w:val="000000"/>
                <w:sz w:val="21"/>
                <w:szCs w:val="21"/>
              </w:rPr>
              <w:t>Item</w:t>
            </w:r>
          </w:p>
        </w:tc>
        <w:tc>
          <w:tcPr>
            <w:tcW w:w="913" w:type="dxa"/>
            <w:tcBorders>
              <w:top w:val="single" w:color="000001" w:sz="4" w:space="0"/>
              <w:left w:val="single" w:color="000001" w:sz="4" w:space="0"/>
              <w:bottom w:val="single" w:color="000001" w:sz="4" w:space="0"/>
              <w:right w:val="single" w:color="000001" w:sz="4" w:space="0"/>
            </w:tcBorders>
            <w:shd w:val="clear" w:color="auto" w:fill="auto"/>
          </w:tcPr>
          <w:p w14:paraId="77A48AF6">
            <w:pPr>
              <w:widowControl w:val="0"/>
              <w:spacing w:before="0" w:after="57" w:line="360" w:lineRule="auto"/>
              <w:jc w:val="center"/>
            </w:pPr>
            <w:r>
              <w:rPr>
                <w:rFonts w:ascii="Arial" w:hAnsi="Arial" w:cs="Arial"/>
                <w:b/>
                <w:color w:val="000000"/>
                <w:sz w:val="21"/>
                <w:szCs w:val="21"/>
              </w:rPr>
              <w:t>Quant</w:t>
            </w:r>
          </w:p>
        </w:tc>
        <w:tc>
          <w:tcPr>
            <w:tcW w:w="842" w:type="dxa"/>
            <w:tcBorders>
              <w:top w:val="single" w:color="000001" w:sz="4" w:space="0"/>
              <w:left w:val="single" w:color="000001" w:sz="4" w:space="0"/>
              <w:bottom w:val="single" w:color="000001" w:sz="4" w:space="0"/>
              <w:right w:val="single" w:color="000001" w:sz="4" w:space="0"/>
            </w:tcBorders>
            <w:shd w:val="clear" w:color="auto" w:fill="auto"/>
          </w:tcPr>
          <w:p w14:paraId="3DAA8ECC">
            <w:pPr>
              <w:widowControl w:val="0"/>
              <w:spacing w:before="0" w:after="57" w:line="360" w:lineRule="auto"/>
              <w:jc w:val="center"/>
            </w:pPr>
            <w:r>
              <w:rPr>
                <w:rFonts w:ascii="Arial" w:hAnsi="Arial" w:cs="Arial"/>
                <w:b/>
                <w:color w:val="000000"/>
                <w:sz w:val="21"/>
                <w:szCs w:val="21"/>
              </w:rPr>
              <w:t>Unid</w:t>
            </w:r>
          </w:p>
        </w:tc>
        <w:tc>
          <w:tcPr>
            <w:tcW w:w="1080" w:type="dxa"/>
            <w:tcBorders>
              <w:top w:val="single" w:color="000001" w:sz="4" w:space="0"/>
              <w:left w:val="single" w:color="000001" w:sz="4" w:space="0"/>
              <w:bottom w:val="single" w:color="000001" w:sz="4" w:space="0"/>
              <w:right w:val="single" w:color="000001" w:sz="4" w:space="0"/>
            </w:tcBorders>
            <w:shd w:val="clear" w:color="auto" w:fill="auto"/>
          </w:tcPr>
          <w:p w14:paraId="5F065E4E">
            <w:pPr>
              <w:widowControl w:val="0"/>
              <w:spacing w:before="0" w:after="57" w:line="360" w:lineRule="auto"/>
              <w:jc w:val="center"/>
            </w:pPr>
            <w:r>
              <w:rPr>
                <w:rFonts w:ascii="Arial" w:hAnsi="Arial" w:cs="Arial"/>
                <w:b/>
                <w:color w:val="000000"/>
                <w:sz w:val="21"/>
                <w:szCs w:val="21"/>
              </w:rPr>
              <w:t>Marca</w:t>
            </w:r>
          </w:p>
        </w:tc>
        <w:tc>
          <w:tcPr>
            <w:tcW w:w="3011" w:type="dxa"/>
            <w:tcBorders>
              <w:top w:val="single" w:color="000001" w:sz="4" w:space="0"/>
              <w:left w:val="single" w:color="000001" w:sz="4" w:space="0"/>
              <w:bottom w:val="single" w:color="000001" w:sz="4" w:space="0"/>
              <w:right w:val="single" w:color="000001" w:sz="4" w:space="0"/>
            </w:tcBorders>
            <w:shd w:val="clear" w:color="auto" w:fill="auto"/>
          </w:tcPr>
          <w:p w14:paraId="02CEA35F">
            <w:pPr>
              <w:widowControl w:val="0"/>
              <w:spacing w:before="0" w:after="57" w:line="360" w:lineRule="auto"/>
              <w:jc w:val="center"/>
            </w:pPr>
            <w:r>
              <w:rPr>
                <w:rFonts w:ascii="Arial" w:hAnsi="Arial" w:cs="Arial"/>
                <w:b/>
                <w:color w:val="000000"/>
                <w:sz w:val="21"/>
                <w:szCs w:val="21"/>
              </w:rPr>
              <w:t>Descrição</w:t>
            </w:r>
          </w:p>
        </w:tc>
        <w:tc>
          <w:tcPr>
            <w:tcW w:w="1086" w:type="dxa"/>
            <w:tcBorders>
              <w:top w:val="single" w:color="000001" w:sz="4" w:space="0"/>
              <w:left w:val="single" w:color="000001" w:sz="4" w:space="0"/>
              <w:bottom w:val="single" w:color="000001" w:sz="4" w:space="0"/>
              <w:right w:val="single" w:color="000001" w:sz="4" w:space="0"/>
            </w:tcBorders>
            <w:shd w:val="clear" w:color="auto" w:fill="auto"/>
          </w:tcPr>
          <w:p w14:paraId="16CB7892">
            <w:pPr>
              <w:widowControl w:val="0"/>
              <w:spacing w:before="0" w:after="57" w:line="360" w:lineRule="auto"/>
              <w:jc w:val="center"/>
            </w:pPr>
            <w:r>
              <w:rPr>
                <w:rFonts w:ascii="Arial" w:hAnsi="Arial" w:cs="Arial"/>
                <w:b/>
                <w:color w:val="000000"/>
                <w:sz w:val="21"/>
                <w:szCs w:val="21"/>
              </w:rPr>
              <w:t>Vl. Unit</w:t>
            </w:r>
          </w:p>
        </w:tc>
        <w:tc>
          <w:tcPr>
            <w:tcW w:w="1362" w:type="dxa"/>
            <w:tcBorders>
              <w:top w:val="single" w:color="000001" w:sz="4" w:space="0"/>
              <w:left w:val="single" w:color="000001" w:sz="4" w:space="0"/>
              <w:bottom w:val="single" w:color="000001" w:sz="4" w:space="0"/>
              <w:right w:val="single" w:color="000001" w:sz="4" w:space="0"/>
            </w:tcBorders>
            <w:shd w:val="clear" w:color="auto" w:fill="auto"/>
          </w:tcPr>
          <w:p w14:paraId="29046BA9">
            <w:pPr>
              <w:widowControl w:val="0"/>
              <w:spacing w:before="0" w:after="57" w:line="360" w:lineRule="auto"/>
              <w:jc w:val="center"/>
            </w:pPr>
            <w:r>
              <w:rPr>
                <w:rFonts w:ascii="Arial" w:hAnsi="Arial" w:cs="Arial"/>
                <w:b/>
                <w:color w:val="000000"/>
                <w:sz w:val="21"/>
                <w:szCs w:val="21"/>
              </w:rPr>
              <w:t>Vl. Total</w:t>
            </w:r>
          </w:p>
        </w:tc>
      </w:tr>
      <w:tr w14:paraId="4DC27D60">
        <w:tblPrEx>
          <w:tblCellMar>
            <w:top w:w="0" w:type="dxa"/>
            <w:left w:w="98" w:type="dxa"/>
            <w:bottom w:w="0" w:type="dxa"/>
            <w:right w:w="108" w:type="dxa"/>
          </w:tblCellMar>
        </w:tblPrEx>
        <w:tc>
          <w:tcPr>
            <w:tcW w:w="840" w:type="dxa"/>
            <w:tcBorders>
              <w:top w:val="single" w:color="000001" w:sz="4" w:space="0"/>
              <w:left w:val="single" w:color="000001" w:sz="4" w:space="0"/>
              <w:bottom w:val="single" w:color="000001" w:sz="4" w:space="0"/>
              <w:right w:val="single" w:color="000001" w:sz="4" w:space="0"/>
            </w:tcBorders>
            <w:shd w:val="clear" w:color="auto" w:fill="auto"/>
          </w:tcPr>
          <w:p w14:paraId="771FB528">
            <w:pPr>
              <w:widowControl w:val="0"/>
              <w:spacing w:before="0" w:after="57" w:line="360" w:lineRule="auto"/>
              <w:jc w:val="center"/>
              <w:rPr>
                <w:rFonts w:ascii="Arial" w:hAnsi="Arial" w:eastAsia="SimSun" w:cs="Arial"/>
                <w:b/>
                <w:color w:val="000000"/>
                <w:sz w:val="21"/>
                <w:szCs w:val="21"/>
                <w:lang w:val="pt-BR" w:eastAsia="zh-CN" w:bidi="hi-IN"/>
              </w:rPr>
            </w:pPr>
          </w:p>
        </w:tc>
        <w:tc>
          <w:tcPr>
            <w:tcW w:w="913" w:type="dxa"/>
            <w:tcBorders>
              <w:top w:val="single" w:color="000001" w:sz="4" w:space="0"/>
              <w:left w:val="single" w:color="000001" w:sz="4" w:space="0"/>
              <w:bottom w:val="single" w:color="000001" w:sz="4" w:space="0"/>
              <w:right w:val="single" w:color="000001" w:sz="4" w:space="0"/>
            </w:tcBorders>
            <w:shd w:val="clear" w:color="auto" w:fill="auto"/>
          </w:tcPr>
          <w:p w14:paraId="53AFD789">
            <w:pPr>
              <w:widowControl w:val="0"/>
              <w:spacing w:before="0" w:after="57" w:line="360" w:lineRule="auto"/>
              <w:jc w:val="center"/>
              <w:rPr>
                <w:rFonts w:ascii="Arial" w:hAnsi="Arial" w:eastAsia="SimSun" w:cs="Arial"/>
                <w:b/>
                <w:color w:val="000000"/>
                <w:sz w:val="21"/>
                <w:szCs w:val="21"/>
                <w:lang w:val="pt-BR" w:eastAsia="zh-CN" w:bidi="hi-IN"/>
              </w:rPr>
            </w:pPr>
          </w:p>
        </w:tc>
        <w:tc>
          <w:tcPr>
            <w:tcW w:w="842" w:type="dxa"/>
            <w:tcBorders>
              <w:top w:val="single" w:color="000001" w:sz="4" w:space="0"/>
              <w:left w:val="single" w:color="000001" w:sz="4" w:space="0"/>
              <w:bottom w:val="single" w:color="000001" w:sz="4" w:space="0"/>
              <w:right w:val="single" w:color="000001" w:sz="4" w:space="0"/>
            </w:tcBorders>
            <w:shd w:val="clear" w:color="auto" w:fill="auto"/>
          </w:tcPr>
          <w:p w14:paraId="6D20D663">
            <w:pPr>
              <w:widowControl w:val="0"/>
              <w:spacing w:before="0" w:after="57" w:line="360" w:lineRule="auto"/>
              <w:jc w:val="center"/>
              <w:rPr>
                <w:rFonts w:ascii="Arial" w:hAnsi="Arial" w:eastAsia="SimSun" w:cs="Arial"/>
                <w:b/>
                <w:color w:val="000000"/>
                <w:sz w:val="21"/>
                <w:szCs w:val="21"/>
                <w:lang w:val="pt-BR" w:eastAsia="zh-CN" w:bidi="hi-IN"/>
              </w:rPr>
            </w:pPr>
          </w:p>
        </w:tc>
        <w:tc>
          <w:tcPr>
            <w:tcW w:w="1080" w:type="dxa"/>
            <w:tcBorders>
              <w:top w:val="single" w:color="000001" w:sz="4" w:space="0"/>
              <w:left w:val="single" w:color="000001" w:sz="4" w:space="0"/>
              <w:bottom w:val="single" w:color="000001" w:sz="4" w:space="0"/>
              <w:right w:val="single" w:color="000001" w:sz="4" w:space="0"/>
            </w:tcBorders>
            <w:shd w:val="clear" w:color="auto" w:fill="auto"/>
          </w:tcPr>
          <w:p w14:paraId="5ADAA5E7">
            <w:pPr>
              <w:widowControl w:val="0"/>
              <w:spacing w:before="0" w:after="57" w:line="360" w:lineRule="auto"/>
              <w:jc w:val="center"/>
              <w:rPr>
                <w:rFonts w:ascii="Arial" w:hAnsi="Arial" w:eastAsia="SimSun" w:cs="Arial"/>
                <w:b/>
                <w:color w:val="000000"/>
                <w:sz w:val="21"/>
                <w:szCs w:val="21"/>
                <w:lang w:val="pt-BR" w:eastAsia="zh-CN" w:bidi="hi-IN"/>
              </w:rPr>
            </w:pPr>
          </w:p>
        </w:tc>
        <w:tc>
          <w:tcPr>
            <w:tcW w:w="3011" w:type="dxa"/>
            <w:tcBorders>
              <w:top w:val="single" w:color="000001" w:sz="4" w:space="0"/>
              <w:left w:val="single" w:color="000001" w:sz="4" w:space="0"/>
              <w:bottom w:val="single" w:color="000001" w:sz="4" w:space="0"/>
              <w:right w:val="single" w:color="000001" w:sz="4" w:space="0"/>
            </w:tcBorders>
            <w:shd w:val="clear" w:color="auto" w:fill="auto"/>
          </w:tcPr>
          <w:p w14:paraId="7320E27D">
            <w:pPr>
              <w:widowControl w:val="0"/>
              <w:spacing w:before="0" w:after="57" w:line="360" w:lineRule="auto"/>
              <w:jc w:val="both"/>
              <w:rPr>
                <w:rFonts w:ascii="Arial" w:hAnsi="Arial" w:eastAsia="SimSun" w:cs="Arial"/>
                <w:b/>
                <w:color w:val="000000"/>
                <w:sz w:val="21"/>
                <w:szCs w:val="21"/>
                <w:lang w:val="pt-BR" w:eastAsia="zh-CN" w:bidi="hi-IN"/>
              </w:rPr>
            </w:pPr>
          </w:p>
        </w:tc>
        <w:tc>
          <w:tcPr>
            <w:tcW w:w="1086" w:type="dxa"/>
            <w:tcBorders>
              <w:top w:val="single" w:color="000001" w:sz="4" w:space="0"/>
              <w:left w:val="single" w:color="000001" w:sz="4" w:space="0"/>
              <w:bottom w:val="single" w:color="000001" w:sz="4" w:space="0"/>
              <w:right w:val="single" w:color="000001" w:sz="4" w:space="0"/>
            </w:tcBorders>
            <w:shd w:val="clear" w:color="auto" w:fill="auto"/>
          </w:tcPr>
          <w:p w14:paraId="4F1ADDB2">
            <w:pPr>
              <w:widowControl w:val="0"/>
              <w:spacing w:before="0" w:after="57" w:line="360" w:lineRule="auto"/>
              <w:jc w:val="right"/>
              <w:rPr>
                <w:rFonts w:ascii="Arial" w:hAnsi="Arial" w:eastAsia="SimSun" w:cs="Arial"/>
                <w:b/>
                <w:color w:val="000000"/>
                <w:sz w:val="21"/>
                <w:szCs w:val="21"/>
                <w:lang w:val="pt-BR" w:eastAsia="zh-CN" w:bidi="hi-IN"/>
              </w:rPr>
            </w:pPr>
          </w:p>
        </w:tc>
        <w:tc>
          <w:tcPr>
            <w:tcW w:w="1362" w:type="dxa"/>
            <w:tcBorders>
              <w:top w:val="single" w:color="000001" w:sz="4" w:space="0"/>
              <w:left w:val="single" w:color="000001" w:sz="4" w:space="0"/>
              <w:bottom w:val="single" w:color="000001" w:sz="4" w:space="0"/>
              <w:right w:val="single" w:color="000001" w:sz="4" w:space="0"/>
            </w:tcBorders>
            <w:shd w:val="clear" w:color="auto" w:fill="auto"/>
          </w:tcPr>
          <w:p w14:paraId="410B029A">
            <w:pPr>
              <w:widowControl w:val="0"/>
              <w:spacing w:before="0" w:after="57" w:line="360" w:lineRule="auto"/>
              <w:jc w:val="right"/>
              <w:rPr>
                <w:rFonts w:ascii="Arial" w:hAnsi="Arial" w:eastAsia="SimSun" w:cs="Arial"/>
                <w:b/>
                <w:color w:val="000000"/>
                <w:sz w:val="21"/>
                <w:szCs w:val="21"/>
                <w:lang w:val="pt-BR" w:eastAsia="zh-CN" w:bidi="hi-IN"/>
              </w:rPr>
            </w:pPr>
          </w:p>
        </w:tc>
      </w:tr>
      <w:tr w14:paraId="430A2749">
        <w:tblPrEx>
          <w:tblCellMar>
            <w:top w:w="0" w:type="dxa"/>
            <w:left w:w="98" w:type="dxa"/>
            <w:bottom w:w="0" w:type="dxa"/>
            <w:right w:w="108" w:type="dxa"/>
          </w:tblCellMar>
        </w:tblPrEx>
        <w:tc>
          <w:tcPr>
            <w:tcW w:w="840" w:type="dxa"/>
            <w:tcBorders>
              <w:top w:val="single" w:color="000001" w:sz="4" w:space="0"/>
              <w:left w:val="single" w:color="000001" w:sz="4" w:space="0"/>
              <w:bottom w:val="single" w:color="000001" w:sz="4" w:space="0"/>
              <w:right w:val="single" w:color="000001" w:sz="4" w:space="0"/>
            </w:tcBorders>
            <w:shd w:val="clear" w:color="auto" w:fill="auto"/>
          </w:tcPr>
          <w:p w14:paraId="31BEA492">
            <w:pPr>
              <w:widowControl w:val="0"/>
              <w:spacing w:before="0" w:after="57" w:line="360" w:lineRule="auto"/>
              <w:jc w:val="center"/>
              <w:rPr>
                <w:rFonts w:ascii="Arial" w:hAnsi="Arial" w:eastAsia="SimSun" w:cs="Arial"/>
                <w:b/>
                <w:color w:val="000000"/>
                <w:sz w:val="21"/>
                <w:szCs w:val="21"/>
                <w:lang w:val="pt-BR" w:eastAsia="zh-CN" w:bidi="hi-IN"/>
              </w:rPr>
            </w:pPr>
          </w:p>
        </w:tc>
        <w:tc>
          <w:tcPr>
            <w:tcW w:w="913" w:type="dxa"/>
            <w:tcBorders>
              <w:top w:val="single" w:color="000001" w:sz="4" w:space="0"/>
              <w:left w:val="single" w:color="000001" w:sz="4" w:space="0"/>
              <w:bottom w:val="single" w:color="000001" w:sz="4" w:space="0"/>
              <w:right w:val="single" w:color="000001" w:sz="4" w:space="0"/>
            </w:tcBorders>
            <w:shd w:val="clear" w:color="auto" w:fill="auto"/>
          </w:tcPr>
          <w:p w14:paraId="5D74C694">
            <w:pPr>
              <w:widowControl w:val="0"/>
              <w:spacing w:before="0" w:after="57" w:line="360" w:lineRule="auto"/>
              <w:jc w:val="center"/>
              <w:rPr>
                <w:rFonts w:ascii="Arial" w:hAnsi="Arial" w:eastAsia="SimSun" w:cs="Arial"/>
                <w:b/>
                <w:color w:val="000000"/>
                <w:sz w:val="21"/>
                <w:szCs w:val="21"/>
                <w:lang w:val="pt-BR" w:eastAsia="zh-CN" w:bidi="hi-IN"/>
              </w:rPr>
            </w:pPr>
          </w:p>
        </w:tc>
        <w:tc>
          <w:tcPr>
            <w:tcW w:w="842" w:type="dxa"/>
            <w:tcBorders>
              <w:top w:val="single" w:color="000001" w:sz="4" w:space="0"/>
              <w:left w:val="single" w:color="000001" w:sz="4" w:space="0"/>
              <w:bottom w:val="single" w:color="000001" w:sz="4" w:space="0"/>
              <w:right w:val="single" w:color="000001" w:sz="4" w:space="0"/>
            </w:tcBorders>
            <w:shd w:val="clear" w:color="auto" w:fill="auto"/>
          </w:tcPr>
          <w:p w14:paraId="777CE994">
            <w:pPr>
              <w:widowControl w:val="0"/>
              <w:spacing w:before="0" w:after="57" w:line="360" w:lineRule="auto"/>
              <w:jc w:val="center"/>
              <w:rPr>
                <w:rFonts w:ascii="Arial" w:hAnsi="Arial" w:eastAsia="SimSun" w:cs="Arial"/>
                <w:b/>
                <w:color w:val="000000"/>
                <w:sz w:val="21"/>
                <w:szCs w:val="21"/>
                <w:lang w:val="pt-BR" w:eastAsia="zh-CN" w:bidi="hi-IN"/>
              </w:rPr>
            </w:pPr>
          </w:p>
        </w:tc>
        <w:tc>
          <w:tcPr>
            <w:tcW w:w="1080" w:type="dxa"/>
            <w:tcBorders>
              <w:top w:val="single" w:color="000001" w:sz="4" w:space="0"/>
              <w:left w:val="single" w:color="000001" w:sz="4" w:space="0"/>
              <w:bottom w:val="single" w:color="000001" w:sz="4" w:space="0"/>
              <w:right w:val="single" w:color="000001" w:sz="4" w:space="0"/>
            </w:tcBorders>
            <w:shd w:val="clear" w:color="auto" w:fill="auto"/>
          </w:tcPr>
          <w:p w14:paraId="02169F91">
            <w:pPr>
              <w:widowControl w:val="0"/>
              <w:spacing w:before="0" w:after="57" w:line="360" w:lineRule="auto"/>
              <w:jc w:val="center"/>
              <w:rPr>
                <w:rFonts w:ascii="Arial" w:hAnsi="Arial" w:eastAsia="SimSun" w:cs="Arial"/>
                <w:b/>
                <w:color w:val="000000"/>
                <w:sz w:val="21"/>
                <w:szCs w:val="21"/>
                <w:lang w:val="pt-BR" w:eastAsia="zh-CN" w:bidi="hi-IN"/>
              </w:rPr>
            </w:pPr>
          </w:p>
        </w:tc>
        <w:tc>
          <w:tcPr>
            <w:tcW w:w="3011" w:type="dxa"/>
            <w:tcBorders>
              <w:top w:val="single" w:color="000001" w:sz="4" w:space="0"/>
              <w:left w:val="single" w:color="000001" w:sz="4" w:space="0"/>
              <w:bottom w:val="single" w:color="000001" w:sz="4" w:space="0"/>
              <w:right w:val="single" w:color="000001" w:sz="4" w:space="0"/>
            </w:tcBorders>
            <w:shd w:val="clear" w:color="auto" w:fill="auto"/>
          </w:tcPr>
          <w:p w14:paraId="71008B71">
            <w:pPr>
              <w:widowControl w:val="0"/>
              <w:spacing w:before="0" w:after="57" w:line="360" w:lineRule="auto"/>
              <w:jc w:val="both"/>
              <w:rPr>
                <w:rFonts w:ascii="Arial" w:hAnsi="Arial" w:eastAsia="SimSun" w:cs="Arial"/>
                <w:b/>
                <w:color w:val="000000"/>
                <w:sz w:val="21"/>
                <w:szCs w:val="21"/>
                <w:lang w:val="pt-BR" w:eastAsia="zh-CN" w:bidi="hi-IN"/>
              </w:rPr>
            </w:pPr>
          </w:p>
        </w:tc>
        <w:tc>
          <w:tcPr>
            <w:tcW w:w="1086" w:type="dxa"/>
            <w:tcBorders>
              <w:top w:val="single" w:color="000001" w:sz="4" w:space="0"/>
              <w:left w:val="single" w:color="000001" w:sz="4" w:space="0"/>
              <w:bottom w:val="single" w:color="000001" w:sz="4" w:space="0"/>
              <w:right w:val="single" w:color="000001" w:sz="4" w:space="0"/>
            </w:tcBorders>
            <w:shd w:val="clear" w:color="auto" w:fill="auto"/>
          </w:tcPr>
          <w:p w14:paraId="027D6377">
            <w:pPr>
              <w:widowControl w:val="0"/>
              <w:spacing w:before="0" w:after="57" w:line="360" w:lineRule="auto"/>
              <w:jc w:val="right"/>
              <w:rPr>
                <w:rFonts w:ascii="Arial" w:hAnsi="Arial" w:eastAsia="SimSun" w:cs="Arial"/>
                <w:b/>
                <w:color w:val="000000"/>
                <w:sz w:val="21"/>
                <w:szCs w:val="21"/>
                <w:lang w:val="pt-BR" w:eastAsia="zh-CN" w:bidi="hi-IN"/>
              </w:rPr>
            </w:pPr>
          </w:p>
        </w:tc>
        <w:tc>
          <w:tcPr>
            <w:tcW w:w="1362" w:type="dxa"/>
            <w:tcBorders>
              <w:top w:val="single" w:color="000001" w:sz="4" w:space="0"/>
              <w:left w:val="single" w:color="000001" w:sz="4" w:space="0"/>
              <w:bottom w:val="single" w:color="000001" w:sz="4" w:space="0"/>
              <w:right w:val="single" w:color="000001" w:sz="4" w:space="0"/>
            </w:tcBorders>
            <w:shd w:val="clear" w:color="auto" w:fill="auto"/>
          </w:tcPr>
          <w:p w14:paraId="042277E9">
            <w:pPr>
              <w:widowControl w:val="0"/>
              <w:spacing w:before="0" w:after="57" w:line="360" w:lineRule="auto"/>
              <w:jc w:val="right"/>
              <w:rPr>
                <w:rFonts w:ascii="Arial" w:hAnsi="Arial" w:eastAsia="SimSun" w:cs="Arial"/>
                <w:b/>
                <w:color w:val="000000"/>
                <w:sz w:val="21"/>
                <w:szCs w:val="21"/>
                <w:lang w:val="pt-BR" w:eastAsia="zh-CN" w:bidi="hi-IN"/>
              </w:rPr>
            </w:pPr>
          </w:p>
        </w:tc>
      </w:tr>
      <w:tr w14:paraId="5A51F910">
        <w:tblPrEx>
          <w:tblCellMar>
            <w:top w:w="0" w:type="dxa"/>
            <w:left w:w="98" w:type="dxa"/>
            <w:bottom w:w="0" w:type="dxa"/>
            <w:right w:w="108" w:type="dxa"/>
          </w:tblCellMar>
        </w:tblPrEx>
        <w:tc>
          <w:tcPr>
            <w:tcW w:w="7772" w:type="dxa"/>
            <w:gridSpan w:val="6"/>
            <w:tcBorders>
              <w:top w:val="single" w:color="000001" w:sz="4" w:space="0"/>
              <w:left w:val="single" w:color="000001" w:sz="4" w:space="0"/>
              <w:bottom w:val="single" w:color="000001" w:sz="4" w:space="0"/>
              <w:right w:val="single" w:color="000001" w:sz="4" w:space="0"/>
            </w:tcBorders>
            <w:shd w:val="clear" w:color="auto" w:fill="auto"/>
          </w:tcPr>
          <w:p w14:paraId="2E18C59D">
            <w:pPr>
              <w:widowControl w:val="0"/>
              <w:spacing w:before="0" w:after="57" w:line="360" w:lineRule="auto"/>
              <w:jc w:val="right"/>
            </w:pPr>
            <w:r>
              <w:rPr>
                <w:rFonts w:ascii="Arial" w:hAnsi="Arial" w:cs="Arial"/>
                <w:b/>
                <w:color w:val="000000"/>
                <w:sz w:val="21"/>
                <w:szCs w:val="21"/>
              </w:rPr>
              <w:t>TOTAL DA PROPOSTA</w:t>
            </w:r>
          </w:p>
        </w:tc>
        <w:tc>
          <w:tcPr>
            <w:tcW w:w="1362" w:type="dxa"/>
            <w:tcBorders>
              <w:top w:val="single" w:color="000001" w:sz="4" w:space="0"/>
              <w:left w:val="single" w:color="000001" w:sz="4" w:space="0"/>
              <w:bottom w:val="single" w:color="000001" w:sz="4" w:space="0"/>
              <w:right w:val="single" w:color="000001" w:sz="4" w:space="0"/>
            </w:tcBorders>
            <w:shd w:val="clear" w:color="auto" w:fill="auto"/>
          </w:tcPr>
          <w:p w14:paraId="09A7DDD1">
            <w:pPr>
              <w:widowControl w:val="0"/>
              <w:spacing w:before="0" w:after="57" w:line="360" w:lineRule="auto"/>
              <w:jc w:val="right"/>
              <w:rPr>
                <w:rFonts w:ascii="Arial" w:hAnsi="Arial" w:eastAsia="SimSun" w:cs="Arial"/>
                <w:b/>
                <w:color w:val="000000"/>
                <w:sz w:val="21"/>
                <w:szCs w:val="21"/>
                <w:lang w:val="pt-BR" w:eastAsia="zh-CN" w:bidi="hi-IN"/>
              </w:rPr>
            </w:pPr>
          </w:p>
        </w:tc>
      </w:tr>
    </w:tbl>
    <w:p w14:paraId="691352B5">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6BFFA0BE">
      <w:pPr>
        <w:spacing w:before="0" w:after="0" w:line="360" w:lineRule="auto"/>
        <w:ind w:left="0" w:right="0" w:firstLine="0"/>
        <w:jc w:val="both"/>
      </w:pPr>
      <w:r>
        <w:rPr>
          <w:rFonts w:ascii="Arial" w:hAnsi="Arial" w:cs="Arial"/>
          <w:b/>
          <w:bCs/>
          <w:color w:val="000000"/>
          <w:sz w:val="21"/>
          <w:szCs w:val="21"/>
          <w:lang w:eastAsia="zh-CN"/>
        </w:rPr>
        <w:t>CLÁUSULA SEGUNDA – DA VALIDADE DA ATA</w:t>
      </w:r>
    </w:p>
    <w:p w14:paraId="6CD0C1F7">
      <w:pPr>
        <w:spacing w:before="0" w:after="0" w:line="360" w:lineRule="auto"/>
        <w:ind w:left="0" w:right="0" w:firstLine="0"/>
        <w:jc w:val="both"/>
        <w:rPr>
          <w:rFonts w:ascii="Arial" w:hAnsi="Arial" w:cs="Arial"/>
          <w:b/>
          <w:bCs/>
          <w:color w:val="000000"/>
          <w:sz w:val="21"/>
          <w:szCs w:val="21"/>
          <w:lang w:eastAsia="zh-CN"/>
        </w:rPr>
      </w:pPr>
    </w:p>
    <w:p w14:paraId="0D48570C">
      <w:pPr>
        <w:spacing w:before="0" w:after="0" w:line="360" w:lineRule="auto"/>
        <w:ind w:left="0" w:right="0" w:firstLine="0"/>
        <w:jc w:val="both"/>
      </w:pPr>
      <w:r>
        <w:rPr>
          <w:rFonts w:ascii="Arial" w:hAnsi="Arial" w:cs="Arial"/>
          <w:bCs/>
          <w:color w:val="000000"/>
          <w:sz w:val="21"/>
          <w:szCs w:val="21"/>
          <w:lang w:eastAsia="zh-CN"/>
        </w:rPr>
        <w:t xml:space="preserve">2.1. </w:t>
      </w:r>
      <w:r>
        <w:rPr>
          <w:rFonts w:eastAsia="Times New Roman" w:cs="Arial"/>
          <w:bCs/>
          <w:color w:val="000000"/>
          <w:kern w:val="0"/>
          <w:sz w:val="21"/>
          <w:szCs w:val="21"/>
          <w:lang w:eastAsia="zh-CN"/>
        </w:rPr>
        <w:t xml:space="preserve">O prazo de vigência da ata de registro de preços será de 1 (um) ano e poderá ser prorrogado por igual período, desde que comprovado o preço vantajoso, nos termos do art. 84, </w:t>
      </w:r>
      <w:r>
        <w:rPr>
          <w:rFonts w:eastAsia="Times New Roman" w:cs="Arial"/>
          <w:bCs/>
          <w:i/>
          <w:iCs/>
          <w:color w:val="000000"/>
          <w:kern w:val="0"/>
          <w:sz w:val="21"/>
          <w:szCs w:val="21"/>
          <w:lang w:eastAsia="zh-CN"/>
        </w:rPr>
        <w:t>caput</w:t>
      </w:r>
      <w:r>
        <w:rPr>
          <w:rFonts w:eastAsia="Times New Roman" w:cs="Arial"/>
          <w:bCs/>
          <w:color w:val="000000"/>
          <w:kern w:val="0"/>
          <w:sz w:val="21"/>
          <w:szCs w:val="21"/>
          <w:lang w:eastAsia="zh-CN"/>
        </w:rPr>
        <w:t xml:space="preserve">, da Lei Federal n. 14.133/2021. </w:t>
      </w:r>
    </w:p>
    <w:p w14:paraId="253514EE">
      <w:pPr>
        <w:pStyle w:val="409"/>
        <w:spacing w:before="0" w:after="0" w:line="360" w:lineRule="auto"/>
        <w:ind w:left="0" w:right="0" w:firstLine="0"/>
        <w:jc w:val="both"/>
        <w:rPr>
          <w:rFonts w:cs="Arial"/>
          <w:bCs/>
          <w:color w:val="000000"/>
          <w:sz w:val="21"/>
          <w:szCs w:val="21"/>
        </w:rPr>
      </w:pPr>
    </w:p>
    <w:p w14:paraId="27D258E9">
      <w:pPr>
        <w:pStyle w:val="409"/>
        <w:spacing w:before="0" w:after="0" w:line="360" w:lineRule="auto"/>
        <w:ind w:left="0" w:right="0" w:firstLine="0"/>
        <w:jc w:val="both"/>
      </w:pPr>
      <w:r>
        <w:rPr>
          <w:rFonts w:cs="Arial"/>
          <w:bCs/>
          <w:color w:val="000000"/>
          <w:sz w:val="21"/>
          <w:szCs w:val="21"/>
          <w:lang w:eastAsia="zh-CN"/>
        </w:rPr>
        <w:t>2.1.1.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427887E6">
      <w:pPr>
        <w:spacing w:before="0" w:after="0" w:line="360" w:lineRule="auto"/>
        <w:ind w:left="0" w:right="0" w:firstLine="0"/>
        <w:jc w:val="both"/>
        <w:rPr>
          <w:rFonts w:ascii="Arial" w:hAnsi="Arial" w:cs="Arial"/>
          <w:color w:val="000000"/>
          <w:sz w:val="21"/>
          <w:szCs w:val="21"/>
          <w:lang w:eastAsia="zh-CN"/>
        </w:rPr>
      </w:pPr>
    </w:p>
    <w:p w14:paraId="44DEAF47">
      <w:pPr>
        <w:spacing w:before="0" w:after="0" w:line="360" w:lineRule="auto"/>
        <w:ind w:left="0" w:right="0" w:firstLine="0"/>
        <w:jc w:val="both"/>
      </w:pPr>
      <w:r>
        <w:rPr>
          <w:rFonts w:ascii="Arial" w:hAnsi="Arial" w:cs="Arial"/>
          <w:color w:val="000000"/>
          <w:sz w:val="21"/>
          <w:szCs w:val="21"/>
          <w:lang w:eastAsia="zh-CN"/>
        </w:rPr>
        <w:t>2.2. Durante o prazo de validade desta Ata de Registro de Preços, a Administração Municipal de Lindóia do Sul não será obrigada a firmar as contratações que dela poderão advir, facultando-se-lhe a realização de licitação específica para a aquisição pretendida, sendo assegurado ao(s) beneficiário(s) do registro preferência de fornecimento em igualdade de condições.</w:t>
      </w:r>
    </w:p>
    <w:p w14:paraId="2492C038">
      <w:pPr>
        <w:spacing w:before="0" w:after="0" w:line="360" w:lineRule="auto"/>
        <w:ind w:left="0" w:right="0" w:firstLine="0"/>
        <w:jc w:val="both"/>
        <w:rPr>
          <w:rFonts w:ascii="Arial" w:hAnsi="Arial" w:cs="Arial"/>
          <w:color w:val="000000"/>
          <w:sz w:val="21"/>
          <w:szCs w:val="21"/>
          <w:lang w:eastAsia="zh-CN"/>
        </w:rPr>
      </w:pPr>
    </w:p>
    <w:p w14:paraId="39728449">
      <w:pPr>
        <w:spacing w:before="0" w:after="0" w:line="360" w:lineRule="auto"/>
        <w:ind w:left="0" w:right="0" w:firstLine="0"/>
        <w:jc w:val="both"/>
      </w:pPr>
      <w:r>
        <w:rPr>
          <w:rFonts w:ascii="Arial" w:hAnsi="Arial" w:cs="Arial"/>
          <w:color w:val="000000"/>
          <w:sz w:val="21"/>
          <w:szCs w:val="21"/>
          <w:lang w:eastAsia="zh-CN"/>
        </w:rPr>
        <w:t>2.3. Os preços, durante a vigência da Ata, serão fixos e irreajustáveis, exceto nas hipóteses devidamente comprovadas, de ocorrência de situação prevista no art. 122 do Decreto Municipal nº 4.072/2024 ou de redução dos preços praticados no mercado.</w:t>
      </w:r>
    </w:p>
    <w:p w14:paraId="14FDDE2C">
      <w:pPr>
        <w:spacing w:before="0" w:after="0" w:line="360" w:lineRule="auto"/>
        <w:ind w:left="0" w:right="0" w:firstLine="0"/>
        <w:jc w:val="both"/>
        <w:rPr>
          <w:rFonts w:ascii="Arial" w:hAnsi="Arial" w:cs="Arial"/>
          <w:color w:val="000000"/>
          <w:sz w:val="21"/>
          <w:szCs w:val="21"/>
          <w:lang w:eastAsia="zh-CN"/>
        </w:rPr>
      </w:pPr>
    </w:p>
    <w:p w14:paraId="0378CE30">
      <w:pPr>
        <w:spacing w:before="0" w:after="0" w:line="360" w:lineRule="auto"/>
        <w:ind w:left="0" w:right="0" w:firstLine="0"/>
        <w:jc w:val="both"/>
      </w:pPr>
      <w:r>
        <w:rPr>
          <w:rFonts w:ascii="Arial" w:hAnsi="Arial" w:cs="Arial"/>
          <w:b/>
          <w:color w:val="000000"/>
          <w:sz w:val="21"/>
          <w:szCs w:val="21"/>
        </w:rPr>
        <w:t>CLÁUSULA TERCEIRA – DO PRAZO, FORMA DE RECEBIMENTO E LOCAL DE ENTREGA DO OBJETO</w:t>
      </w:r>
    </w:p>
    <w:p w14:paraId="7CEEF979">
      <w:pPr>
        <w:spacing w:before="0" w:after="0" w:line="360" w:lineRule="auto"/>
        <w:ind w:left="0" w:right="0" w:firstLine="0"/>
        <w:jc w:val="both"/>
        <w:rPr>
          <w:rFonts w:ascii="Arial" w:hAnsi="Arial"/>
          <w:sz w:val="21"/>
          <w:szCs w:val="21"/>
        </w:rPr>
      </w:pPr>
    </w:p>
    <w:p w14:paraId="47EF373A">
      <w:pPr>
        <w:pStyle w:val="398"/>
        <w:spacing w:before="0" w:after="279" w:line="360" w:lineRule="auto"/>
        <w:ind w:left="0" w:firstLine="0"/>
        <w:jc w:val="both"/>
      </w:pPr>
      <w:r>
        <w:rPr>
          <w:rFonts w:ascii="Arial" w:hAnsi="Arial"/>
          <w:b w:val="0"/>
          <w:sz w:val="21"/>
          <w:szCs w:val="21"/>
        </w:rPr>
        <w:t>3.1. O fornecimento de gasolina comum deverá ser efetuado conforme a necessidade do município de Lindóia do Sul, em bomba própria ou conveniada a qual deverá estar localizada no perímetro urbano do município, mediante apresentação de Ordem de Abastecimento fornecida pelo responsável do Setor de Controle de veículos.</w:t>
      </w:r>
    </w:p>
    <w:p w14:paraId="27C113B0">
      <w:pPr>
        <w:pStyle w:val="398"/>
        <w:spacing w:before="0" w:after="0" w:line="360" w:lineRule="auto"/>
        <w:ind w:left="0" w:firstLine="0"/>
        <w:jc w:val="both"/>
        <w:rPr>
          <w:rFonts w:ascii="Arial" w:hAnsi="Arial"/>
          <w:sz w:val="21"/>
          <w:szCs w:val="21"/>
        </w:rPr>
      </w:pPr>
    </w:p>
    <w:p w14:paraId="47E3025E">
      <w:pPr>
        <w:pStyle w:val="398"/>
        <w:spacing w:before="0" w:after="284" w:line="360" w:lineRule="auto"/>
        <w:ind w:left="0" w:firstLine="0"/>
        <w:jc w:val="both"/>
      </w:pPr>
      <w:r>
        <w:rPr>
          <w:rFonts w:ascii="Arial" w:hAnsi="Arial"/>
          <w:sz w:val="21"/>
          <w:szCs w:val="21"/>
        </w:rPr>
        <w:t>3.2. Todas as despesas relacionadas com as entregas em cada órgão participante ocorrerão por conta do fornecedor, sob o qual ficará a total responsabilidade de realizar o transporte adequado e manter em perfeitas condições de armazenamento todos os itens a serem entregues, garantindo a sua total eficiência e qualidade.</w:t>
      </w:r>
    </w:p>
    <w:p w14:paraId="1A1B6BFB">
      <w:pPr>
        <w:numPr>
          <w:ilvl w:val="0"/>
          <w:numId w:val="0"/>
        </w:numPr>
        <w:tabs>
          <w:tab w:val="left" w:pos="142"/>
        </w:tabs>
        <w:spacing w:before="0" w:after="0" w:line="360" w:lineRule="auto"/>
        <w:ind w:left="0" w:right="0" w:firstLine="0"/>
        <w:jc w:val="both"/>
        <w:rPr>
          <w:rFonts w:ascii="Arial" w:hAnsi="Arial" w:cs="Arial"/>
          <w:kern w:val="2"/>
          <w:sz w:val="21"/>
          <w:szCs w:val="21"/>
        </w:rPr>
      </w:pPr>
    </w:p>
    <w:p w14:paraId="5F8801E5">
      <w:pPr>
        <w:numPr>
          <w:ilvl w:val="0"/>
          <w:numId w:val="0"/>
        </w:numPr>
        <w:tabs>
          <w:tab w:val="left" w:pos="142"/>
        </w:tabs>
        <w:spacing w:before="0" w:after="0" w:line="360" w:lineRule="auto"/>
        <w:ind w:left="0" w:right="0" w:firstLine="0"/>
        <w:jc w:val="both"/>
      </w:pPr>
      <w:r>
        <w:rPr>
          <w:rFonts w:ascii="Arial" w:hAnsi="Arial" w:cs="Arial"/>
          <w:kern w:val="2"/>
          <w:sz w:val="21"/>
          <w:szCs w:val="21"/>
        </w:rPr>
        <w:t>3.3. Todos os custos com o objeto, frete, deslocamento, serão de responsabilidade exclusiva da licitante, sob o qual ficará a total responsabilidade de realizar o transporte adequado e manter em perfeitas condições de armazenamento todos os itens a serem entregues, garantindo a sua total eficiência e qualidade.</w:t>
      </w:r>
    </w:p>
    <w:p w14:paraId="0E1927A6">
      <w:pPr>
        <w:numPr>
          <w:ilvl w:val="0"/>
          <w:numId w:val="0"/>
        </w:numPr>
        <w:tabs>
          <w:tab w:val="left" w:pos="142"/>
        </w:tabs>
        <w:spacing w:before="0" w:after="0" w:line="360" w:lineRule="auto"/>
        <w:ind w:left="0" w:right="0" w:firstLine="0"/>
        <w:jc w:val="both"/>
        <w:rPr>
          <w:rFonts w:ascii="Arial" w:hAnsi="Arial" w:cs="Arial"/>
          <w:kern w:val="2"/>
          <w:sz w:val="21"/>
          <w:szCs w:val="21"/>
        </w:rPr>
      </w:pPr>
    </w:p>
    <w:p w14:paraId="1B628E45">
      <w:pPr>
        <w:numPr>
          <w:ilvl w:val="0"/>
          <w:numId w:val="0"/>
        </w:numPr>
        <w:tabs>
          <w:tab w:val="left" w:pos="142"/>
        </w:tabs>
        <w:spacing w:before="0" w:after="0" w:line="360" w:lineRule="auto"/>
        <w:ind w:left="0" w:right="0" w:firstLine="0"/>
        <w:jc w:val="both"/>
      </w:pPr>
      <w:r>
        <w:rPr>
          <w:rFonts w:ascii="Arial" w:hAnsi="Arial" w:eastAsia="Times New Roman" w:cs="Arial"/>
          <w:color w:val="000000"/>
          <w:kern w:val="0"/>
          <w:sz w:val="21"/>
          <w:szCs w:val="21"/>
          <w:lang w:eastAsia="pt-BR"/>
        </w:rPr>
        <w:t xml:space="preserve">3.4. O ato de recebimento não implica a aceitação do produto; </w:t>
      </w:r>
    </w:p>
    <w:p w14:paraId="4C07490B">
      <w:pPr>
        <w:numPr>
          <w:ilvl w:val="0"/>
          <w:numId w:val="5"/>
        </w:numPr>
        <w:tabs>
          <w:tab w:val="left" w:pos="142"/>
        </w:tabs>
        <w:spacing w:before="0" w:after="0" w:line="360" w:lineRule="auto"/>
        <w:ind w:left="0" w:right="0" w:firstLine="0"/>
        <w:jc w:val="both"/>
        <w:rPr>
          <w:rFonts w:ascii="Arial" w:hAnsi="Arial" w:cs="Arial"/>
          <w:kern w:val="2"/>
          <w:sz w:val="21"/>
          <w:szCs w:val="21"/>
        </w:rPr>
      </w:pPr>
    </w:p>
    <w:p w14:paraId="3FC4ABE7">
      <w:pPr>
        <w:spacing w:before="0" w:after="0" w:line="360" w:lineRule="auto"/>
        <w:ind w:left="0" w:right="0" w:firstLine="0"/>
        <w:jc w:val="both"/>
      </w:pPr>
      <w:r>
        <w:rPr>
          <w:rFonts w:ascii="Arial" w:hAnsi="Arial" w:cs="Arial"/>
          <w:b/>
          <w:color w:val="000000"/>
          <w:sz w:val="21"/>
          <w:szCs w:val="21"/>
        </w:rPr>
        <w:t>CLÁUSULA QUARTA – DAS PENALIDADES</w:t>
      </w:r>
    </w:p>
    <w:p w14:paraId="5860AE7F">
      <w:pPr>
        <w:spacing w:before="0" w:after="0" w:line="360" w:lineRule="auto"/>
        <w:ind w:left="0" w:right="0" w:firstLine="0"/>
        <w:jc w:val="both"/>
        <w:rPr>
          <w:rFonts w:ascii="Arial" w:hAnsi="Arial" w:cs="Arial"/>
          <w:b/>
          <w:color w:val="000000"/>
          <w:sz w:val="21"/>
          <w:szCs w:val="21"/>
        </w:rPr>
      </w:pPr>
    </w:p>
    <w:p w14:paraId="59E3D0AD">
      <w:pPr>
        <w:spacing w:before="0" w:after="0" w:line="360" w:lineRule="auto"/>
        <w:ind w:left="0" w:right="0" w:firstLine="0"/>
        <w:jc w:val="both"/>
      </w:pPr>
      <w:r>
        <w:rPr>
          <w:rFonts w:ascii="Arial" w:hAnsi="Arial" w:cs="Arial"/>
          <w:color w:val="000000"/>
          <w:sz w:val="21"/>
          <w:szCs w:val="21"/>
        </w:rPr>
        <w:t xml:space="preserve">4.1. </w:t>
      </w:r>
      <w:r>
        <w:rPr>
          <w:rFonts w:ascii="Arial" w:hAnsi="Arial" w:cs="Arial" w:eastAsiaTheme="minorHAnsi"/>
          <w:color w:val="000000"/>
          <w:sz w:val="21"/>
          <w:szCs w:val="21"/>
          <w:shd w:val="clear" w:fill="FFFFFF"/>
        </w:rPr>
        <w:t>As causas de rescisão contratual estão estabelecidas no artigo 137, de acordo com as disposições do art. 138 e 139, todos da Lei Federal nº 14.133, de 2021.</w:t>
      </w:r>
    </w:p>
    <w:p w14:paraId="0FCB0689">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5005EDBF">
      <w:pPr>
        <w:widowControl/>
        <w:suppressAutoHyphens/>
        <w:bidi w:val="0"/>
        <w:spacing w:before="0" w:after="0" w:line="360" w:lineRule="auto"/>
        <w:ind w:left="0" w:right="0" w:firstLine="0"/>
        <w:jc w:val="both"/>
      </w:pPr>
      <w:r>
        <w:rPr>
          <w:rFonts w:ascii="Arial" w:hAnsi="Arial" w:eastAsiaTheme="minorHAnsi"/>
          <w:sz w:val="21"/>
          <w:szCs w:val="21"/>
          <w:shd w:val="clear" w:fill="FFFFFF"/>
        </w:rPr>
        <w:t>4.2. O licitante ou o contratado será responsabilizado administrativamente pelas infrações previstas no art. 155 da Lei Federal n. 14.133/2021.</w:t>
      </w:r>
    </w:p>
    <w:p w14:paraId="440F9829">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59B2ED5E">
      <w:pPr>
        <w:widowControl/>
        <w:suppressAutoHyphens/>
        <w:bidi w:val="0"/>
        <w:spacing w:before="0" w:after="0" w:line="360" w:lineRule="auto"/>
        <w:ind w:left="0" w:right="0" w:firstLine="0"/>
        <w:jc w:val="both"/>
      </w:pPr>
      <w:r>
        <w:rPr>
          <w:rFonts w:ascii="Arial" w:hAnsi="Arial" w:eastAsiaTheme="minorHAnsi"/>
          <w:sz w:val="21"/>
          <w:szCs w:val="21"/>
          <w:shd w:val="clear" w:fill="FFFFFF"/>
        </w:rPr>
        <w:t>4.3. O Município de Lindóia do Sul poderá, garantido o contraditório e a ampla defesa, aplicar as seguintes sanções administrativas:</w:t>
      </w:r>
    </w:p>
    <w:p w14:paraId="525C4662">
      <w:pPr>
        <w:widowControl/>
        <w:suppressAutoHyphens/>
        <w:bidi w:val="0"/>
        <w:spacing w:before="0" w:after="0" w:line="360"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 – advertência;</w:t>
      </w:r>
    </w:p>
    <w:p w14:paraId="1B5E002B">
      <w:pPr>
        <w:widowControl/>
        <w:suppressAutoHyphens/>
        <w:bidi w:val="0"/>
        <w:spacing w:before="0" w:after="0" w:line="360"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II – multa;</w:t>
      </w:r>
    </w:p>
    <w:p w14:paraId="552E1BB5">
      <w:pPr>
        <w:widowControl/>
        <w:suppressAutoHyphens/>
        <w:bidi w:val="0"/>
        <w:spacing w:before="0" w:after="0" w:line="360"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III – impedimento de licitar e contratar com Administração Pública direta e indireta do Município de Lindóia do Sul, pelo prazo máximo de 03 (três) anos;</w:t>
      </w:r>
    </w:p>
    <w:p w14:paraId="07128776">
      <w:pPr>
        <w:widowControl/>
        <w:suppressAutoHyphens/>
        <w:bidi w:val="0"/>
        <w:spacing w:before="0" w:after="0" w:line="360"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IV – declaração de inidoneidade para licitar ou contratar no âmbito da Administração Pública direta e indireta de todos os entes federativos, pelo prazo mínimo de 3 (três) anos e máximo de 6 (seis) anos.</w:t>
      </w:r>
    </w:p>
    <w:p w14:paraId="12B9EB7B">
      <w:pPr>
        <w:widowControl/>
        <w:suppressAutoHyphens/>
        <w:bidi w:val="0"/>
        <w:spacing w:before="0" w:after="0" w:line="360" w:lineRule="auto"/>
        <w:ind w:left="0" w:right="0" w:firstLine="0"/>
        <w:jc w:val="both"/>
        <w:rPr>
          <w:rFonts w:ascii="Arial" w:hAnsi="Arial" w:eastAsiaTheme="minorHAnsi"/>
          <w:sz w:val="21"/>
          <w:szCs w:val="21"/>
          <w:shd w:val="clear" w:fill="FFFFFF"/>
        </w:rPr>
      </w:pPr>
    </w:p>
    <w:p w14:paraId="549D485A">
      <w:pPr>
        <w:widowControl/>
        <w:suppressAutoHyphens/>
        <w:bidi w:val="0"/>
        <w:spacing w:before="0" w:after="0" w:line="360" w:lineRule="auto"/>
        <w:ind w:left="0" w:right="0" w:firstLine="0"/>
        <w:jc w:val="both"/>
      </w:pPr>
      <w:r>
        <w:rPr>
          <w:rFonts w:ascii="Arial" w:hAnsi="Arial" w:eastAsiaTheme="minorHAnsi"/>
          <w:sz w:val="21"/>
          <w:szCs w:val="21"/>
          <w:shd w:val="clear" w:fill="FFFFFF"/>
        </w:rPr>
        <w:t>4.4. Por qualquer das infrações previstas no art. 155 da Lei Federal n. 14.133/2021, poderá ser aplicada ao licitante ou contratado a sanção administrativa de multa compensatória de 20% (vinte inteiros por cento) sobre o valor total do contrato.</w:t>
      </w:r>
    </w:p>
    <w:p w14:paraId="5008B30D">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0B8B253B">
      <w:pPr>
        <w:widowControl/>
        <w:suppressAutoHyphens/>
        <w:bidi w:val="0"/>
        <w:spacing w:before="0" w:after="0" w:line="360" w:lineRule="auto"/>
        <w:ind w:left="0" w:right="0" w:firstLine="0"/>
        <w:jc w:val="both"/>
      </w:pPr>
      <w:r>
        <w:rPr>
          <w:rFonts w:ascii="Arial" w:hAnsi="Arial" w:eastAsiaTheme="minorHAnsi"/>
          <w:sz w:val="21"/>
          <w:szCs w:val="21"/>
          <w:shd w:val="clear" w:fill="FFFFFF"/>
        </w:rPr>
        <w:t>4.5. A recusa injustificada do adjudicatário em assinar a Ata de Registro de Preços/Contrato, no prazo máximo de 5 (cinco) dias úteis da notificação, implicará a aplicação da multa compensatória prevista no item anterior.</w:t>
      </w:r>
    </w:p>
    <w:p w14:paraId="4D6A6DB7">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2A9070DF">
      <w:pPr>
        <w:widowControl/>
        <w:suppressAutoHyphens/>
        <w:bidi w:val="0"/>
        <w:spacing w:before="0" w:after="0" w:line="360" w:lineRule="auto"/>
        <w:ind w:left="0" w:right="0" w:firstLine="0"/>
        <w:jc w:val="both"/>
      </w:pPr>
      <w:r>
        <w:rPr>
          <w:rFonts w:ascii="Arial" w:hAnsi="Arial" w:eastAsiaTheme="minorHAnsi"/>
          <w:sz w:val="21"/>
          <w:szCs w:val="21"/>
          <w:shd w:val="clear" w:fill="FFFFFF"/>
        </w:rPr>
        <w:t>4.6. A sanção administrativa de multa moratória será aplicada nos casos de atraso injustificado na execução do contrato, nos termos do art. 162 da Lei Federal n. 14.133/2021, possuindo os seguintes parâmetros:</w:t>
      </w:r>
    </w:p>
    <w:p w14:paraId="70551BBA">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6AB5EA28">
      <w:pPr>
        <w:widowControl/>
        <w:suppressAutoHyphens/>
        <w:bidi w:val="0"/>
        <w:spacing w:before="0" w:after="0" w:line="360"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14:paraId="38902708">
      <w:pPr>
        <w:widowControl/>
        <w:suppressAutoHyphens/>
        <w:bidi w:val="0"/>
        <w:spacing w:before="0" w:after="0" w:line="360" w:lineRule="auto"/>
        <w:ind w:left="0" w:right="0" w:firstLine="0"/>
        <w:jc w:val="both"/>
      </w:pPr>
      <w:r>
        <w:rPr>
          <w:rFonts w:ascii="Arial" w:hAnsi="Arial" w:eastAsiaTheme="minorHAnsi"/>
          <w:sz w:val="21"/>
          <w:szCs w:val="21"/>
          <w:shd w:val="clear" w:fill="FFFFFF"/>
        </w:rPr>
        <w:tab/>
      </w:r>
      <w:r>
        <w:rPr>
          <w:rFonts w:ascii="Arial" w:hAnsi="Arial" w:eastAsiaTheme="minorHAnsi"/>
          <w:sz w:val="21"/>
          <w:szCs w:val="21"/>
          <w:shd w:val="clear" w:fill="FFFFFF"/>
        </w:rPr>
        <w:t>II – transcorridos 30 (trinta) dias do prazo de execução estabelecido na Ata de Registro de Preços/contrato, será considerado extinto a Ata de Registro de Preços/Contrato Administrativo, canceladas as ordens de serviços e aplicada multa de 20% (vinte inteiros por cento) por inexecução total, calculada sobre o valor da Ata de Registro de Preços/contrato.</w:t>
      </w:r>
    </w:p>
    <w:p w14:paraId="5F3BE6F6">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0AB48219">
      <w:pPr>
        <w:widowControl/>
        <w:suppressAutoHyphens/>
        <w:bidi w:val="0"/>
        <w:spacing w:before="0" w:after="0" w:line="360" w:lineRule="auto"/>
        <w:ind w:left="0" w:right="0" w:firstLine="0"/>
        <w:jc w:val="both"/>
      </w:pPr>
      <w:r>
        <w:rPr>
          <w:rFonts w:ascii="Arial" w:hAnsi="Arial" w:eastAsiaTheme="minorHAnsi"/>
          <w:sz w:val="21"/>
          <w:szCs w:val="21"/>
          <w:shd w:val="clear" w:fill="FFFFFF"/>
        </w:rPr>
        <w:t>4.7. Dependendo do descumprimento, se gerar algum prejuízo ao Município, poderá ser requerido do Contratado o valor de perdas e danos, após Processo Administrativo de reconhecimento da responsabilidade.</w:t>
      </w:r>
    </w:p>
    <w:p w14:paraId="1F927921">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1708F3D8">
      <w:pPr>
        <w:widowControl/>
        <w:suppressAutoHyphens/>
        <w:bidi w:val="0"/>
        <w:spacing w:before="0" w:after="0" w:line="360" w:lineRule="auto"/>
        <w:ind w:left="0" w:right="0" w:firstLine="0"/>
        <w:jc w:val="both"/>
      </w:pPr>
      <w:r>
        <w:rPr>
          <w:rFonts w:ascii="Arial" w:hAnsi="Arial" w:eastAsiaTheme="minorHAnsi"/>
          <w:sz w:val="21"/>
          <w:szCs w:val="21"/>
          <w:shd w:val="clear" w:fill="FFFFFF"/>
        </w:rPr>
        <w:t>4.8. A sanção administrativa de multa poderá ser aplicada de forma cumulativa com a sanção de advertência, impedimento de licitar e contratar e declaração de inidoneidade para licitar ou contratar.</w:t>
      </w:r>
    </w:p>
    <w:p w14:paraId="72D9C21C">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5E85FBBD">
      <w:pPr>
        <w:widowControl/>
        <w:suppressAutoHyphens/>
        <w:bidi w:val="0"/>
        <w:spacing w:before="0" w:after="0" w:line="360" w:lineRule="auto"/>
        <w:ind w:left="0" w:right="0" w:firstLine="0"/>
        <w:jc w:val="both"/>
      </w:pPr>
      <w:r>
        <w:rPr>
          <w:rFonts w:ascii="Arial" w:hAnsi="Arial" w:eastAsiaTheme="minorHAnsi"/>
          <w:sz w:val="21"/>
          <w:szCs w:val="21"/>
          <w:shd w:val="clear" w:fill="FFFFFF"/>
        </w:rPr>
        <w:t>4.9. A aplicação das sanções administrativas de impedimento de licitar e contratar e declaração de inidoneidade para licitar e contratar deverão respeitar o trâmite e procedimentos estabelecidos no art. 158 da Lei Federal n. 14.133/2021.</w:t>
      </w:r>
    </w:p>
    <w:p w14:paraId="249DABE7">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2124F002">
      <w:pPr>
        <w:widowControl/>
        <w:suppressAutoHyphens/>
        <w:bidi w:val="0"/>
        <w:spacing w:before="0" w:after="0" w:line="360" w:lineRule="auto"/>
        <w:ind w:left="0" w:right="0" w:firstLine="0"/>
        <w:jc w:val="both"/>
      </w:pPr>
      <w:r>
        <w:rPr>
          <w:rFonts w:ascii="Arial" w:hAnsi="Arial" w:eastAsiaTheme="minorHAnsi"/>
          <w:sz w:val="21"/>
          <w:szCs w:val="21"/>
          <w:shd w:val="clear" w:fill="FFFFFF"/>
        </w:rPr>
        <w:t>4.10. As sanções administrativas de impedimento de licitar e contratar e declaração de inidoneidade para licitar e contratar são passíveis de reabilitação, na forma do art. 163 da Lei Federal n. 14.133/2021.</w:t>
      </w:r>
    </w:p>
    <w:p w14:paraId="060C33F8">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597EFF68">
      <w:pPr>
        <w:widowControl/>
        <w:suppressAutoHyphens/>
        <w:bidi w:val="0"/>
        <w:spacing w:before="0" w:after="0" w:line="360" w:lineRule="auto"/>
        <w:ind w:left="0" w:right="0" w:firstLine="0"/>
        <w:jc w:val="both"/>
      </w:pPr>
      <w:r>
        <w:rPr>
          <w:rFonts w:ascii="Arial" w:hAnsi="Arial" w:eastAsiaTheme="minorHAnsi"/>
          <w:sz w:val="21"/>
          <w:szCs w:val="21"/>
          <w:shd w:val="clear" w:fill="FFFFFF"/>
        </w:rPr>
        <w:t>4.11.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14:paraId="10B10921">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69A7D090">
      <w:pPr>
        <w:widowControl/>
        <w:suppressAutoHyphens/>
        <w:bidi w:val="0"/>
        <w:spacing w:before="0" w:after="0" w:line="360" w:lineRule="auto"/>
        <w:ind w:left="0" w:right="0" w:firstLine="0"/>
        <w:jc w:val="both"/>
      </w:pPr>
      <w:r>
        <w:rPr>
          <w:rFonts w:ascii="Arial" w:hAnsi="Arial" w:eastAsiaTheme="minorHAnsi"/>
          <w:sz w:val="21"/>
          <w:szCs w:val="21"/>
          <w:shd w:val="clear" w:fill="FFFFFF"/>
        </w:rPr>
        <w:t>4.12.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14:paraId="7642F848">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79517B9E">
      <w:pPr>
        <w:widowControl/>
        <w:suppressAutoHyphens/>
        <w:bidi w:val="0"/>
        <w:spacing w:before="0" w:after="0" w:line="360" w:lineRule="auto"/>
        <w:ind w:left="0" w:right="0" w:firstLine="0"/>
        <w:jc w:val="both"/>
      </w:pPr>
      <w:r>
        <w:rPr>
          <w:rFonts w:ascii="Arial" w:hAnsi="Arial" w:eastAsiaTheme="minorHAnsi"/>
          <w:sz w:val="21"/>
          <w:szCs w:val="21"/>
          <w:shd w:val="clear" w:fill="FFFFFF"/>
        </w:rPr>
        <w:t>4.13.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14:paraId="16D219C0">
      <w:pPr>
        <w:widowControl/>
        <w:suppressAutoHyphens/>
        <w:bidi w:val="0"/>
        <w:spacing w:before="0" w:after="0" w:line="360" w:lineRule="auto"/>
        <w:ind w:left="0" w:right="0" w:firstLine="0"/>
        <w:jc w:val="both"/>
        <w:rPr>
          <w:rFonts w:ascii="Arial" w:hAnsi="Arial"/>
          <w:sz w:val="21"/>
          <w:szCs w:val="21"/>
          <w:highlight w:val="none"/>
          <w:shd w:val="clear" w:fill="FFFFFF"/>
        </w:rPr>
      </w:pPr>
    </w:p>
    <w:p w14:paraId="6038A119">
      <w:pPr>
        <w:spacing w:before="0" w:after="0" w:line="360" w:lineRule="auto"/>
        <w:ind w:left="0" w:right="0" w:firstLine="0"/>
        <w:jc w:val="both"/>
      </w:pPr>
      <w:r>
        <w:rPr>
          <w:rFonts w:ascii="Arial" w:hAnsi="Arial" w:cs="Arial"/>
          <w:color w:val="000000"/>
          <w:sz w:val="21"/>
          <w:szCs w:val="21"/>
          <w:shd w:val="clear" w:fill="FFFFFF"/>
        </w:rPr>
        <w:t>4.14.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0168FB26">
      <w:pPr>
        <w:spacing w:before="0" w:after="0" w:line="360" w:lineRule="auto"/>
        <w:ind w:left="0" w:right="0" w:firstLine="0"/>
        <w:jc w:val="both"/>
        <w:rPr>
          <w:rFonts w:ascii="Arial" w:hAnsi="Arial" w:cs="Arial"/>
          <w:color w:val="000000"/>
          <w:sz w:val="21"/>
          <w:szCs w:val="21"/>
          <w:shd w:val="clear" w:fill="FFFFFF"/>
        </w:rPr>
      </w:pPr>
    </w:p>
    <w:p w14:paraId="56554E31">
      <w:pPr>
        <w:spacing w:before="0" w:after="0" w:line="360" w:lineRule="auto"/>
        <w:ind w:left="0" w:right="0" w:firstLine="0"/>
        <w:jc w:val="both"/>
        <w:rPr>
          <w:rFonts w:ascii="Arial" w:hAnsi="Arial" w:cs="Arial"/>
          <w:color w:val="000000"/>
          <w:sz w:val="21"/>
          <w:szCs w:val="21"/>
          <w:shd w:val="clear" w:fill="FFFFFF"/>
        </w:rPr>
      </w:pPr>
    </w:p>
    <w:p w14:paraId="516E4C1C">
      <w:pPr>
        <w:spacing w:before="0" w:after="0" w:line="360" w:lineRule="auto"/>
        <w:ind w:left="0" w:right="0" w:firstLine="0"/>
        <w:jc w:val="both"/>
      </w:pPr>
      <w:r>
        <w:rPr>
          <w:rFonts w:ascii="Arial" w:hAnsi="Arial" w:cs="Arial"/>
          <w:b/>
          <w:bCs/>
          <w:color w:val="000000"/>
          <w:sz w:val="21"/>
          <w:szCs w:val="21"/>
          <w:lang w:eastAsia="zh-CN"/>
        </w:rPr>
        <w:t>CLÁUSULA QUINTA – DO CANCELAMENTO</w:t>
      </w:r>
    </w:p>
    <w:p w14:paraId="1BFEBDDE">
      <w:pPr>
        <w:spacing w:before="0" w:after="0" w:line="360" w:lineRule="auto"/>
        <w:ind w:left="0" w:right="0" w:firstLine="0"/>
        <w:jc w:val="both"/>
        <w:rPr>
          <w:rFonts w:cs="Arial"/>
          <w:bCs/>
          <w:color w:val="000000"/>
          <w:sz w:val="21"/>
          <w:szCs w:val="21"/>
        </w:rPr>
      </w:pPr>
    </w:p>
    <w:p w14:paraId="68F957CB">
      <w:pPr>
        <w:spacing w:before="0" w:after="0" w:line="360" w:lineRule="auto"/>
        <w:ind w:left="0" w:right="0" w:firstLine="0"/>
        <w:jc w:val="both"/>
      </w:pPr>
      <w:r>
        <w:rPr>
          <w:rFonts w:cs="Arial"/>
          <w:bCs/>
          <w:color w:val="000000"/>
          <w:sz w:val="21"/>
          <w:szCs w:val="21"/>
        </w:rPr>
        <w:t>5.1. O fornecedor terá seu registro suspenso ou cancelado, facultada a defesa prévia do interessado, no prazo de 5 (cinco) dias úteis, nos seguintes casos:</w:t>
      </w:r>
    </w:p>
    <w:p w14:paraId="56D4372C">
      <w:pPr>
        <w:pStyle w:val="409"/>
        <w:spacing w:before="0" w:after="0" w:line="360" w:lineRule="auto"/>
        <w:ind w:left="0" w:right="0" w:firstLine="0"/>
        <w:jc w:val="both"/>
        <w:rPr>
          <w:rFonts w:cs="Arial"/>
          <w:bCs/>
          <w:color w:val="000000"/>
          <w:sz w:val="21"/>
          <w:szCs w:val="21"/>
        </w:rPr>
      </w:pPr>
    </w:p>
    <w:p w14:paraId="0C8778B6">
      <w:pPr>
        <w:pStyle w:val="409"/>
        <w:spacing w:before="0" w:after="0" w:line="360" w:lineRule="auto"/>
        <w:ind w:left="0" w:right="0" w:firstLine="0"/>
        <w:jc w:val="both"/>
      </w:pPr>
      <w:r>
        <w:rPr>
          <w:rFonts w:cs="Arial"/>
          <w:bCs/>
          <w:color w:val="000000"/>
          <w:sz w:val="21"/>
          <w:szCs w:val="21"/>
        </w:rPr>
        <w:tab/>
      </w:r>
      <w:r>
        <w:rPr>
          <w:rFonts w:cs="Arial"/>
          <w:bCs/>
          <w:color w:val="000000"/>
          <w:sz w:val="21"/>
          <w:szCs w:val="21"/>
        </w:rPr>
        <w:t>I - pela Administração, quando:</w:t>
      </w:r>
    </w:p>
    <w:p w14:paraId="4581AB1F">
      <w:pPr>
        <w:pStyle w:val="409"/>
        <w:spacing w:before="0" w:after="0" w:line="360" w:lineRule="auto"/>
        <w:ind w:left="0" w:right="0" w:firstLine="0"/>
        <w:jc w:val="both"/>
        <w:rPr>
          <w:rFonts w:cs="Arial"/>
          <w:bCs/>
          <w:color w:val="000000"/>
          <w:sz w:val="21"/>
          <w:szCs w:val="21"/>
        </w:rPr>
      </w:pPr>
    </w:p>
    <w:p w14:paraId="6F7BD587">
      <w:pPr>
        <w:pStyle w:val="409"/>
        <w:widowControl/>
        <w:suppressAutoHyphens/>
        <w:bidi w:val="0"/>
        <w:spacing w:before="0" w:after="0" w:line="360" w:lineRule="auto"/>
        <w:ind w:left="1020" w:right="0" w:firstLine="0"/>
        <w:jc w:val="both"/>
      </w:pPr>
      <w:r>
        <w:rPr>
          <w:rFonts w:cs="Arial"/>
          <w:bCs/>
          <w:color w:val="000000"/>
          <w:sz w:val="21"/>
          <w:szCs w:val="21"/>
        </w:rPr>
        <w:t>a) o fornecedor não cumprir as exigências do instrumento convocatório que der origem ao registro de preços;</w:t>
      </w:r>
    </w:p>
    <w:p w14:paraId="2C34ED10">
      <w:pPr>
        <w:pStyle w:val="409"/>
        <w:widowControl/>
        <w:suppressAutoHyphens/>
        <w:bidi w:val="0"/>
        <w:spacing w:before="0" w:after="0" w:line="360" w:lineRule="auto"/>
        <w:ind w:left="1020" w:right="0" w:firstLine="0"/>
        <w:jc w:val="both"/>
      </w:pPr>
      <w:r>
        <w:rPr>
          <w:rFonts w:cs="Arial"/>
          <w:bCs/>
          <w:color w:val="000000"/>
          <w:sz w:val="21"/>
          <w:szCs w:val="21"/>
        </w:rPr>
        <w:t>b) o fornecedor recusar-se a assinar a ata ou a formalizar contrato decorrente do registro de preços, ressalvada a hipótese de</w:t>
      </w:r>
    </w:p>
    <w:p w14:paraId="7AF88171">
      <w:pPr>
        <w:pStyle w:val="409"/>
        <w:widowControl/>
        <w:suppressAutoHyphens/>
        <w:bidi w:val="0"/>
        <w:spacing w:before="0" w:after="0" w:line="360" w:lineRule="auto"/>
        <w:ind w:left="1020" w:right="0" w:firstLine="0"/>
        <w:jc w:val="both"/>
      </w:pPr>
      <w:r>
        <w:rPr>
          <w:rFonts w:cs="Arial"/>
          <w:bCs/>
          <w:color w:val="000000"/>
          <w:sz w:val="21"/>
          <w:szCs w:val="21"/>
        </w:rPr>
        <w:t>a Administração aceitar sua justificativa;</w:t>
      </w:r>
    </w:p>
    <w:p w14:paraId="705FF7F7">
      <w:pPr>
        <w:pStyle w:val="409"/>
        <w:widowControl/>
        <w:suppressAutoHyphens/>
        <w:bidi w:val="0"/>
        <w:spacing w:before="0" w:after="0" w:line="360" w:lineRule="auto"/>
        <w:ind w:left="1020" w:right="0" w:firstLine="0"/>
        <w:jc w:val="both"/>
      </w:pPr>
      <w:r>
        <w:rPr>
          <w:rFonts w:cs="Arial"/>
          <w:bCs/>
          <w:color w:val="000000"/>
          <w:sz w:val="21"/>
          <w:szCs w:val="21"/>
        </w:rPr>
        <w:t>c) o fornecedor der causa à rescisão de contrato decorrente do registro de preços;</w:t>
      </w:r>
    </w:p>
    <w:p w14:paraId="3E4BA29D">
      <w:pPr>
        <w:pStyle w:val="409"/>
        <w:widowControl/>
        <w:suppressAutoHyphens/>
        <w:bidi w:val="0"/>
        <w:spacing w:before="0" w:after="0" w:line="360" w:lineRule="auto"/>
        <w:ind w:left="1020" w:right="0" w:firstLine="0"/>
        <w:jc w:val="both"/>
      </w:pPr>
      <w:r>
        <w:rPr>
          <w:rFonts w:cs="Arial"/>
          <w:bCs/>
          <w:color w:val="000000"/>
          <w:sz w:val="21"/>
          <w:szCs w:val="21"/>
        </w:rPr>
        <w:t>d) em qualquer das hipóteses de inexecução total ou parcial do contrato decorrente do registro de preços;</w:t>
      </w:r>
    </w:p>
    <w:p w14:paraId="5C82F81F">
      <w:pPr>
        <w:pStyle w:val="409"/>
        <w:widowControl/>
        <w:suppressAutoHyphens/>
        <w:bidi w:val="0"/>
        <w:spacing w:before="0" w:after="0" w:line="360" w:lineRule="auto"/>
        <w:ind w:left="1020" w:right="0" w:firstLine="0"/>
        <w:jc w:val="both"/>
      </w:pPr>
      <w:r>
        <w:rPr>
          <w:rFonts w:cs="Arial"/>
          <w:bCs/>
          <w:color w:val="000000"/>
          <w:sz w:val="21"/>
          <w:szCs w:val="21"/>
        </w:rPr>
        <w:t>e) os preços registrados se apresentarem superiores aos praticados pelo mercado;</w:t>
      </w:r>
    </w:p>
    <w:p w14:paraId="4060DA7C">
      <w:pPr>
        <w:pStyle w:val="409"/>
        <w:widowControl/>
        <w:suppressAutoHyphens/>
        <w:bidi w:val="0"/>
        <w:spacing w:before="0" w:after="0" w:line="360" w:lineRule="auto"/>
        <w:ind w:left="1020" w:right="0" w:firstLine="0"/>
        <w:jc w:val="both"/>
      </w:pPr>
      <w:r>
        <w:rPr>
          <w:rFonts w:cs="Arial"/>
          <w:bCs/>
          <w:color w:val="000000"/>
          <w:sz w:val="21"/>
          <w:szCs w:val="21"/>
        </w:rPr>
        <w:t>f) por razões de interesse público, devidamente fundamentadas.</w:t>
      </w:r>
    </w:p>
    <w:p w14:paraId="56A15A51">
      <w:pPr>
        <w:pStyle w:val="409"/>
        <w:spacing w:before="0" w:after="0" w:line="360" w:lineRule="auto"/>
        <w:ind w:left="0" w:right="0" w:firstLine="0"/>
        <w:jc w:val="both"/>
        <w:rPr>
          <w:rFonts w:cs="Arial"/>
          <w:bCs/>
          <w:color w:val="000000"/>
          <w:sz w:val="21"/>
          <w:szCs w:val="21"/>
        </w:rPr>
      </w:pPr>
    </w:p>
    <w:p w14:paraId="73203115">
      <w:pPr>
        <w:pStyle w:val="409"/>
        <w:spacing w:before="0" w:after="0" w:line="360" w:lineRule="auto"/>
        <w:ind w:left="0" w:right="0" w:firstLine="0"/>
        <w:jc w:val="both"/>
      </w:pPr>
      <w:r>
        <w:rPr>
          <w:rFonts w:cs="Arial"/>
          <w:bCs/>
          <w:color w:val="000000"/>
          <w:sz w:val="21"/>
          <w:szCs w:val="21"/>
        </w:rPr>
        <w:tab/>
      </w:r>
      <w:r>
        <w:rPr>
          <w:rFonts w:cs="Arial"/>
          <w:bCs/>
          <w:color w:val="000000"/>
          <w:sz w:val="21"/>
          <w:szCs w:val="21"/>
        </w:rPr>
        <w:t>II - pelo fornecedor quando, mediante solicitação por escrito, comprovar a impossibilidade de cumprir as exigências do instrumento convocatório que deu origem ao registro de preços.</w:t>
      </w:r>
    </w:p>
    <w:p w14:paraId="740F625E">
      <w:pPr>
        <w:pStyle w:val="409"/>
        <w:spacing w:before="0" w:after="0" w:line="360" w:lineRule="auto"/>
        <w:ind w:left="0" w:right="0" w:firstLine="0"/>
        <w:jc w:val="both"/>
        <w:rPr>
          <w:rFonts w:cs="Arial"/>
          <w:bCs/>
          <w:color w:val="000000"/>
        </w:rPr>
      </w:pPr>
    </w:p>
    <w:p w14:paraId="10C7BBD3">
      <w:pPr>
        <w:pStyle w:val="409"/>
        <w:spacing w:before="0" w:after="0" w:line="360" w:lineRule="auto"/>
        <w:ind w:left="0" w:right="0" w:firstLine="0"/>
        <w:jc w:val="both"/>
      </w:pPr>
      <w:r>
        <w:rPr>
          <w:rFonts w:cs="Arial"/>
          <w:bCs/>
          <w:color w:val="000000"/>
          <w:sz w:val="21"/>
          <w:szCs w:val="21"/>
        </w:rPr>
        <w:t>5.1.1. A comunicação do cancelamento da ata de registro de preços, será formalizada através do e-mail indicado na fase de credenciamento do fornecedor.</w:t>
      </w:r>
    </w:p>
    <w:p w14:paraId="782BEEB5">
      <w:pPr>
        <w:pStyle w:val="409"/>
        <w:spacing w:before="0" w:after="0" w:line="360" w:lineRule="auto"/>
        <w:ind w:left="0" w:right="0" w:firstLine="0"/>
        <w:jc w:val="both"/>
        <w:rPr>
          <w:rFonts w:cs="Arial"/>
          <w:bCs/>
          <w:color w:val="000000"/>
        </w:rPr>
      </w:pPr>
    </w:p>
    <w:p w14:paraId="32CAA03F">
      <w:pPr>
        <w:pStyle w:val="409"/>
        <w:spacing w:before="0" w:after="0" w:line="360" w:lineRule="auto"/>
        <w:ind w:left="0" w:right="0" w:firstLine="0"/>
        <w:jc w:val="both"/>
      </w:pPr>
      <w:r>
        <w:rPr>
          <w:rFonts w:cs="Arial"/>
          <w:bCs/>
          <w:sz w:val="21"/>
          <w:szCs w:val="21"/>
        </w:rPr>
        <w:t>5.1.2. Nos casos de não confirmação do recebimento, será considerada válida a comunicação a partir do 2º dia útil da data de envio.</w:t>
      </w:r>
    </w:p>
    <w:p w14:paraId="6CCD777A">
      <w:pPr>
        <w:spacing w:before="0" w:after="0" w:line="360" w:lineRule="auto"/>
        <w:ind w:left="0" w:right="0" w:firstLine="0"/>
        <w:jc w:val="both"/>
        <w:rPr>
          <w:rFonts w:ascii="Arial" w:hAnsi="Arial" w:cs="Arial"/>
          <w:color w:val="000000"/>
          <w:sz w:val="21"/>
          <w:szCs w:val="21"/>
          <w:lang w:eastAsia="zh-CN"/>
        </w:rPr>
      </w:pPr>
    </w:p>
    <w:p w14:paraId="2850B01C">
      <w:pPr>
        <w:spacing w:before="0" w:after="0" w:line="360" w:lineRule="auto"/>
        <w:ind w:left="0" w:right="0" w:firstLine="0"/>
        <w:jc w:val="both"/>
      </w:pPr>
      <w:r>
        <w:rPr>
          <w:rFonts w:ascii="Arial" w:hAnsi="Arial" w:eastAsia="Times New Roman" w:cs="Arial"/>
          <w:b/>
          <w:bCs/>
          <w:sz w:val="21"/>
          <w:szCs w:val="21"/>
        </w:rPr>
        <w:t>CLÁUSULA SEXTA – DA FISCALIZAÇÃO DA ATA DE REGISTRO DE PREÇOS</w:t>
      </w:r>
    </w:p>
    <w:p w14:paraId="2C84B1A5">
      <w:pPr>
        <w:spacing w:before="0" w:after="0" w:line="360" w:lineRule="auto"/>
        <w:ind w:left="0" w:right="0" w:firstLine="0"/>
        <w:jc w:val="both"/>
        <w:rPr>
          <w:rFonts w:ascii="Arial" w:hAnsi="Arial" w:cs="Arial"/>
          <w:sz w:val="21"/>
          <w:szCs w:val="21"/>
        </w:rPr>
      </w:pPr>
    </w:p>
    <w:p w14:paraId="35C77CD7">
      <w:pPr>
        <w:spacing w:before="0" w:after="0" w:line="360" w:lineRule="auto"/>
        <w:ind w:left="0" w:right="0" w:firstLine="0"/>
        <w:jc w:val="both"/>
      </w:pPr>
      <w:r>
        <w:rPr>
          <w:rFonts w:ascii="Arial" w:hAnsi="Arial" w:eastAsia="Times New Roman" w:cs="Arial"/>
          <w:sz w:val="21"/>
          <w:szCs w:val="21"/>
        </w:rPr>
        <w:t xml:space="preserve">6.1 </w:t>
      </w:r>
      <w:r>
        <w:rPr>
          <w:rFonts w:ascii="Arial" w:hAnsi="Arial" w:eastAsia="Times New Roman" w:cs="Arial"/>
          <w:color w:val="000000"/>
          <w:sz w:val="21"/>
          <w:szCs w:val="21"/>
        </w:rPr>
        <w:t>A fiscalização da execução do objeto contratado será realizada pelo Gestor e Fiscal indicados pelas Secretarias envolvidas no momento da elaboração da Ata de registro de preço/contrato.</w:t>
      </w:r>
    </w:p>
    <w:p w14:paraId="1E4099BF">
      <w:pPr>
        <w:widowControl/>
        <w:suppressAutoHyphens/>
        <w:bidi w:val="0"/>
        <w:spacing w:before="0" w:after="0" w:line="360" w:lineRule="auto"/>
        <w:ind w:left="0" w:right="0" w:firstLine="0"/>
        <w:jc w:val="both"/>
        <w:rPr>
          <w:rFonts w:ascii="Arial" w:hAnsi="Arial" w:cs="Arial"/>
          <w:color w:val="000000"/>
          <w:sz w:val="21"/>
          <w:szCs w:val="21"/>
        </w:rPr>
      </w:pPr>
    </w:p>
    <w:p w14:paraId="5B5CADFA">
      <w:pPr>
        <w:tabs>
          <w:tab w:val="left" w:pos="2340"/>
          <w:tab w:val="left" w:pos="4464"/>
        </w:tabs>
        <w:spacing w:before="0" w:after="0" w:line="360" w:lineRule="auto"/>
        <w:ind w:left="0" w:right="0" w:firstLine="0"/>
        <w:jc w:val="both"/>
      </w:pPr>
      <w:r>
        <w:rPr>
          <w:rFonts w:ascii="Arial" w:hAnsi="Arial" w:cs="Arial"/>
          <w:bCs/>
          <w:sz w:val="21"/>
          <w:szCs w:val="21"/>
        </w:rPr>
        <w:t>6.2. Em conformidade com o art. 117 da Lei Federal n. 14.133/2021, o Município designará fiscal de contrato e representante da administração pública para acompanhamento e fiscalização da execução de Ata de Registro de Preços/Contrato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14:paraId="6B42CC0D">
      <w:pPr>
        <w:tabs>
          <w:tab w:val="left" w:pos="2340"/>
          <w:tab w:val="left" w:pos="4464"/>
        </w:tabs>
        <w:spacing w:before="0" w:after="0" w:line="360" w:lineRule="auto"/>
        <w:ind w:left="0" w:right="0" w:firstLine="0"/>
        <w:jc w:val="both"/>
        <w:rPr>
          <w:rFonts w:ascii="Liberation Serif" w:hAnsi="Liberation Serif" w:eastAsia="SimSun" w:cs="Mangal"/>
          <w:color w:val="00000A"/>
          <w:sz w:val="24"/>
          <w:szCs w:val="24"/>
          <w:lang w:val="pt-BR" w:eastAsia="zh-CN" w:bidi="hi-IN"/>
        </w:rPr>
      </w:pPr>
    </w:p>
    <w:p w14:paraId="457FB83A">
      <w:pPr>
        <w:spacing w:before="0" w:after="0" w:line="360" w:lineRule="auto"/>
        <w:ind w:left="0" w:right="0" w:firstLine="0"/>
        <w:jc w:val="both"/>
      </w:pPr>
      <w:r>
        <w:rPr>
          <w:rFonts w:ascii="Arial" w:hAnsi="Arial" w:eastAsia="Times New Roman" w:cs="Arial"/>
          <w:bCs/>
          <w:color w:val="000000"/>
          <w:sz w:val="21"/>
          <w:szCs w:val="21"/>
        </w:rPr>
        <w:t>6.3. Caberá ao gestor da Ata de Registro de Preços/Contrato, com auxílio do Fiscal, constituir relatório final de que trata o art. 174, § 3º, inciso VI, alínea “d”, da Lei Federal n. 14.133/2021 com as informações obtidas durante a execução do contrato, como forma de aprimoramento das atividades da Administração.</w:t>
      </w:r>
    </w:p>
    <w:p w14:paraId="2B1C5F65">
      <w:pPr>
        <w:spacing w:before="0" w:after="0" w:line="360" w:lineRule="auto"/>
        <w:ind w:left="0" w:right="0" w:firstLine="0"/>
        <w:jc w:val="both"/>
        <w:rPr>
          <w:rFonts w:ascii="Arial" w:hAnsi="Arial" w:cs="Arial"/>
          <w:color w:val="000000"/>
          <w:sz w:val="21"/>
          <w:szCs w:val="21"/>
          <w:lang w:eastAsia="zh-CN"/>
        </w:rPr>
      </w:pPr>
    </w:p>
    <w:p w14:paraId="3DFCAC7C">
      <w:pPr>
        <w:spacing w:before="0" w:after="0" w:line="360" w:lineRule="auto"/>
        <w:ind w:left="0" w:right="0" w:firstLine="0"/>
        <w:jc w:val="both"/>
      </w:pPr>
      <w:r>
        <w:rPr>
          <w:rFonts w:ascii="Arial" w:hAnsi="Arial" w:cs="Arial"/>
          <w:b/>
          <w:bCs/>
          <w:color w:val="000000"/>
          <w:sz w:val="21"/>
          <w:szCs w:val="21"/>
          <w:lang w:eastAsia="zh-CN"/>
        </w:rPr>
        <w:t xml:space="preserve">CLÁUSULA SÉTIMA – </w:t>
      </w:r>
      <w:r>
        <w:rPr>
          <w:rFonts w:ascii="Arial" w:hAnsi="Arial"/>
          <w:b/>
          <w:sz w:val="21"/>
          <w:szCs w:val="21"/>
        </w:rPr>
        <w:t>DA VINCULAÇÃO AO PROCESSO LICITATÓRIO</w:t>
      </w:r>
    </w:p>
    <w:p w14:paraId="2B840D7E">
      <w:pPr>
        <w:spacing w:before="0" w:after="0" w:line="360" w:lineRule="auto"/>
        <w:jc w:val="left"/>
        <w:rPr>
          <w:rFonts w:ascii="Arial" w:hAnsi="Arial"/>
          <w:sz w:val="21"/>
          <w:szCs w:val="21"/>
        </w:rPr>
      </w:pPr>
    </w:p>
    <w:p w14:paraId="6E51DE86">
      <w:pPr>
        <w:spacing w:before="0" w:after="0" w:line="360" w:lineRule="auto"/>
        <w:jc w:val="both"/>
      </w:pPr>
      <w:r>
        <w:rPr>
          <w:rFonts w:ascii="Arial" w:hAnsi="Arial"/>
          <w:sz w:val="21"/>
          <w:szCs w:val="21"/>
        </w:rPr>
        <w:t>7.1. A presente Ata de Registro de Preços está vinculada ao Processo Licitatório Nº 144/2024, Pregão Eletrônico nº 23/2024.</w:t>
      </w:r>
    </w:p>
    <w:p w14:paraId="3E87EF2D">
      <w:pPr>
        <w:spacing w:before="0" w:after="0" w:line="360" w:lineRule="auto"/>
        <w:jc w:val="both"/>
        <w:rPr>
          <w:rFonts w:ascii="Arial" w:hAnsi="Arial"/>
          <w:sz w:val="21"/>
          <w:szCs w:val="21"/>
        </w:rPr>
      </w:pPr>
    </w:p>
    <w:p w14:paraId="17676891">
      <w:pPr>
        <w:widowControl/>
        <w:suppressAutoHyphens/>
        <w:bidi w:val="0"/>
        <w:spacing w:before="0" w:after="0" w:line="360" w:lineRule="auto"/>
        <w:ind w:left="0" w:right="0" w:firstLine="0"/>
        <w:jc w:val="both"/>
      </w:pPr>
      <w:r>
        <w:rPr>
          <w:rFonts w:ascii="Arial" w:hAnsi="Arial"/>
          <w:b/>
          <w:bCs/>
          <w:sz w:val="21"/>
          <w:szCs w:val="21"/>
        </w:rPr>
        <w:t>CLÁUSULA OITAVA – DA PROTEÇÃO DE DADOS</w:t>
      </w:r>
    </w:p>
    <w:p w14:paraId="4FB53C13">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28772ECD">
      <w:pPr>
        <w:widowControl/>
        <w:suppressAutoHyphens/>
        <w:bidi w:val="0"/>
        <w:spacing w:before="0" w:after="0" w:line="360" w:lineRule="auto"/>
        <w:ind w:left="0" w:right="0" w:firstLine="0"/>
        <w:jc w:val="both"/>
      </w:pPr>
      <w:r>
        <w:rPr>
          <w:rFonts w:ascii="Arial" w:hAnsi="Arial"/>
          <w:sz w:val="21"/>
          <w:szCs w:val="21"/>
        </w:rPr>
        <w:t>8.1.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14:paraId="152FE8F1">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1ADADDA5">
      <w:pPr>
        <w:widowControl/>
        <w:suppressAutoHyphens/>
        <w:bidi w:val="0"/>
        <w:spacing w:before="0" w:after="0" w:line="360" w:lineRule="auto"/>
        <w:ind w:left="0" w:right="0" w:firstLine="0"/>
        <w:jc w:val="both"/>
      </w:pPr>
      <w:r>
        <w:rPr>
          <w:rFonts w:ascii="Arial" w:hAnsi="Arial"/>
          <w:sz w:val="21"/>
          <w:szCs w:val="21"/>
        </w:rPr>
        <w:t>8.2.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14:paraId="7170D24B">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1CDD68BA">
      <w:pPr>
        <w:widowControl/>
        <w:suppressAutoHyphens/>
        <w:bidi w:val="0"/>
        <w:spacing w:before="0" w:after="0" w:line="360" w:lineRule="auto"/>
        <w:ind w:left="0" w:right="0" w:firstLine="0"/>
        <w:jc w:val="both"/>
      </w:pPr>
      <w:r>
        <w:rPr>
          <w:rFonts w:ascii="Arial" w:hAnsi="Arial"/>
          <w:sz w:val="21"/>
          <w:szCs w:val="21"/>
        </w:rPr>
        <w:t>8.3. Considerando o caráter público desta contratação, o compartilhamento de dados observará ao disposto no Capítulo IV da LGPD.</w:t>
      </w:r>
    </w:p>
    <w:p w14:paraId="51BED4A6">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226C4997">
      <w:pPr>
        <w:widowControl/>
        <w:suppressAutoHyphens/>
        <w:bidi w:val="0"/>
        <w:spacing w:before="0" w:after="0" w:line="360" w:lineRule="auto"/>
        <w:ind w:left="0" w:right="0" w:firstLine="0"/>
        <w:jc w:val="both"/>
      </w:pPr>
      <w:r>
        <w:rPr>
          <w:rFonts w:ascii="Arial" w:hAnsi="Arial"/>
          <w:sz w:val="21"/>
          <w:szCs w:val="21"/>
        </w:rPr>
        <w:t>8.4.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7E7B1C37">
      <w:pPr>
        <w:widowControl/>
        <w:suppressAutoHyphens/>
        <w:bidi w:val="0"/>
        <w:spacing w:before="0" w:after="0" w:line="360" w:lineRule="auto"/>
        <w:ind w:left="0" w:right="0" w:firstLine="0"/>
        <w:jc w:val="both"/>
        <w:rPr>
          <w:rFonts w:ascii="Arial" w:hAnsi="Arial"/>
          <w:sz w:val="21"/>
          <w:szCs w:val="21"/>
        </w:rPr>
      </w:pPr>
    </w:p>
    <w:p w14:paraId="09E58F42">
      <w:pPr>
        <w:widowControl/>
        <w:suppressAutoHyphens/>
        <w:bidi w:val="0"/>
        <w:spacing w:before="0" w:after="0" w:line="360" w:lineRule="auto"/>
        <w:ind w:left="0" w:right="0" w:firstLine="0"/>
        <w:jc w:val="both"/>
      </w:pPr>
      <w:r>
        <w:rPr>
          <w:rFonts w:ascii="Arial" w:hAnsi="Arial"/>
          <w:b/>
          <w:bCs/>
          <w:sz w:val="21"/>
          <w:szCs w:val="21"/>
        </w:rPr>
        <w:t>CLÁUSULA NONA - ANTICORRUPÇÃO</w:t>
      </w:r>
    </w:p>
    <w:p w14:paraId="0BA5216C">
      <w:pPr>
        <w:widowControl/>
        <w:suppressAutoHyphens/>
        <w:bidi w:val="0"/>
        <w:spacing w:before="0" w:after="0" w:line="360" w:lineRule="auto"/>
        <w:ind w:left="0" w:right="0" w:firstLine="0"/>
        <w:jc w:val="both"/>
        <w:rPr>
          <w:rFonts w:ascii="Arial" w:hAnsi="Arial" w:eastAsia="SimSun" w:cs="Mangal"/>
          <w:color w:val="00000A"/>
          <w:sz w:val="21"/>
          <w:szCs w:val="21"/>
          <w:lang w:val="pt-BR" w:eastAsia="zh-CN" w:bidi="hi-IN"/>
        </w:rPr>
      </w:pPr>
    </w:p>
    <w:p w14:paraId="66D26453">
      <w:pPr>
        <w:widowControl/>
        <w:suppressAutoHyphens/>
        <w:bidi w:val="0"/>
        <w:spacing w:before="0" w:after="0" w:line="360" w:lineRule="auto"/>
        <w:ind w:left="0" w:right="0" w:firstLine="0"/>
        <w:jc w:val="both"/>
      </w:pPr>
      <w:r>
        <w:rPr>
          <w:rFonts w:ascii="Arial" w:hAnsi="Arial"/>
          <w:sz w:val="21"/>
          <w:szCs w:val="21"/>
        </w:rPr>
        <w:t>9.1.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7561CB4">
      <w:pPr>
        <w:spacing w:before="0" w:after="0" w:line="360" w:lineRule="auto"/>
        <w:jc w:val="both"/>
        <w:rPr>
          <w:rFonts w:ascii="Arial" w:hAnsi="Arial"/>
          <w:sz w:val="21"/>
          <w:szCs w:val="21"/>
        </w:rPr>
      </w:pPr>
    </w:p>
    <w:p w14:paraId="03D00913">
      <w:pPr>
        <w:spacing w:before="0" w:after="0" w:line="360" w:lineRule="auto"/>
        <w:ind w:left="0" w:right="0" w:firstLine="0"/>
        <w:jc w:val="both"/>
      </w:pPr>
      <w:r>
        <w:rPr>
          <w:rFonts w:ascii="Arial" w:hAnsi="Arial" w:cs="Arial"/>
          <w:b/>
          <w:bCs/>
          <w:color w:val="000000"/>
          <w:sz w:val="21"/>
          <w:szCs w:val="21"/>
          <w:lang w:eastAsia="zh-CN"/>
        </w:rPr>
        <w:t>CLÁUSULA DÉCIMA - DAS DISPOSIÇÕES FINAIS E DO FORO</w:t>
      </w:r>
    </w:p>
    <w:p w14:paraId="3ED1A5B9">
      <w:pPr>
        <w:spacing w:before="0" w:after="0" w:line="360" w:lineRule="auto"/>
        <w:ind w:left="0" w:right="0" w:firstLine="0"/>
        <w:jc w:val="both"/>
        <w:rPr>
          <w:rFonts w:ascii="Arial" w:hAnsi="Arial" w:cs="Arial"/>
          <w:bCs/>
          <w:color w:val="000000"/>
          <w:sz w:val="21"/>
          <w:szCs w:val="21"/>
          <w:lang w:eastAsia="zh-CN"/>
        </w:rPr>
      </w:pPr>
    </w:p>
    <w:p w14:paraId="1E4D94B7">
      <w:pPr>
        <w:spacing w:before="0" w:after="0" w:line="360" w:lineRule="auto"/>
        <w:ind w:left="0" w:right="0" w:firstLine="0"/>
        <w:jc w:val="both"/>
      </w:pPr>
      <w:r>
        <w:rPr>
          <w:rFonts w:ascii="Arial" w:hAnsi="Arial" w:cs="Arial"/>
          <w:bCs/>
          <w:color w:val="000000"/>
          <w:sz w:val="21"/>
          <w:szCs w:val="21"/>
          <w:lang w:eastAsia="zh-CN"/>
        </w:rPr>
        <w:t>10.1. A empresa acima descrita passará a ser denominada detentora da Ata de Registro de Preços após a assinatura desta.</w:t>
      </w:r>
    </w:p>
    <w:p w14:paraId="59127216">
      <w:pPr>
        <w:spacing w:before="0" w:after="0" w:line="360" w:lineRule="auto"/>
        <w:ind w:left="0" w:right="0" w:firstLine="0"/>
        <w:jc w:val="both"/>
        <w:rPr>
          <w:rFonts w:ascii="Arial" w:hAnsi="Arial" w:cs="Arial"/>
          <w:bCs/>
          <w:color w:val="000000"/>
          <w:sz w:val="21"/>
          <w:szCs w:val="21"/>
          <w:lang w:eastAsia="zh-CN"/>
        </w:rPr>
      </w:pPr>
    </w:p>
    <w:p w14:paraId="70D57C1B">
      <w:pPr>
        <w:spacing w:before="0" w:after="0" w:line="360" w:lineRule="auto"/>
        <w:ind w:left="0" w:right="0" w:firstLine="0"/>
        <w:jc w:val="both"/>
      </w:pPr>
      <w:r>
        <w:rPr>
          <w:rFonts w:ascii="Arial" w:hAnsi="Arial" w:cs="Arial"/>
          <w:bCs/>
          <w:color w:val="000000"/>
          <w:sz w:val="21"/>
          <w:szCs w:val="21"/>
          <w:lang w:eastAsia="zh-CN"/>
        </w:rPr>
        <w:t>10.2. Os casos omissos serão resolvidos de acordo com a Lei Federal nº 14.133/2021, Decreto Municipal nº 4.072/2024 e demais normas aplicáveis.</w:t>
      </w:r>
    </w:p>
    <w:p w14:paraId="0438F8EE">
      <w:pPr>
        <w:spacing w:before="0" w:after="0" w:line="360" w:lineRule="auto"/>
        <w:ind w:left="0" w:right="0" w:firstLine="0"/>
        <w:jc w:val="both"/>
        <w:rPr>
          <w:rFonts w:ascii="Arial" w:hAnsi="Arial" w:cs="Arial"/>
          <w:bCs/>
          <w:color w:val="000000"/>
          <w:sz w:val="21"/>
          <w:szCs w:val="21"/>
          <w:lang w:eastAsia="zh-CN"/>
        </w:rPr>
      </w:pPr>
    </w:p>
    <w:p w14:paraId="39DF4475">
      <w:pPr>
        <w:spacing w:before="0" w:after="0" w:line="360" w:lineRule="auto"/>
        <w:ind w:left="0" w:right="0" w:firstLine="0"/>
        <w:jc w:val="both"/>
      </w:pPr>
      <w:r>
        <w:rPr>
          <w:rFonts w:ascii="Arial" w:hAnsi="Arial" w:cs="Arial"/>
          <w:color w:val="000000"/>
          <w:sz w:val="21"/>
          <w:szCs w:val="21"/>
          <w:lang w:eastAsia="zh-CN"/>
        </w:rPr>
        <w:t>10.3. Fica eleito o Foro da Comarca de Ipumirim - SC para dirimir quaisquer questões decorrentes da utilização da presente ata.</w:t>
      </w:r>
    </w:p>
    <w:p w14:paraId="1F08261B">
      <w:pPr>
        <w:spacing w:before="0" w:after="0" w:line="360" w:lineRule="auto"/>
        <w:ind w:left="0" w:right="0" w:firstLine="0"/>
        <w:jc w:val="both"/>
        <w:rPr>
          <w:rFonts w:cs="Arial"/>
          <w:bCs/>
          <w:kern w:val="2"/>
        </w:rPr>
      </w:pPr>
    </w:p>
    <w:p w14:paraId="5F5365E2">
      <w:pPr>
        <w:spacing w:before="0" w:after="0" w:line="360" w:lineRule="auto"/>
        <w:ind w:left="0" w:right="0" w:firstLine="0"/>
        <w:jc w:val="both"/>
      </w:pPr>
      <w:r>
        <w:rPr>
          <w:rFonts w:ascii="Arial" w:hAnsi="Arial" w:cs="Arial"/>
          <w:bCs/>
          <w:color w:val="000000"/>
          <w:kern w:val="2"/>
          <w:sz w:val="21"/>
          <w:szCs w:val="21"/>
          <w:lang w:eastAsia="zh-CN"/>
        </w:rPr>
        <w:t>Lindóia do Sul, SC ______ de xxxxx de 2024.</w:t>
      </w:r>
    </w:p>
    <w:p w14:paraId="5FD58287">
      <w:pPr>
        <w:spacing w:before="0" w:after="0" w:line="360" w:lineRule="auto"/>
        <w:ind w:left="0" w:right="0" w:firstLine="0"/>
        <w:jc w:val="both"/>
        <w:rPr>
          <w:rFonts w:ascii="Arial" w:hAnsi="Arial" w:cs="Arial"/>
          <w:color w:val="000000"/>
          <w:sz w:val="21"/>
          <w:szCs w:val="21"/>
          <w:lang w:eastAsia="zh-CN"/>
        </w:rPr>
      </w:pPr>
    </w:p>
    <w:p w14:paraId="24CFA4D0">
      <w:pPr>
        <w:spacing w:before="0" w:after="0" w:line="360" w:lineRule="auto"/>
        <w:ind w:left="0" w:right="0" w:firstLine="0"/>
        <w:jc w:val="both"/>
        <w:rPr>
          <w:rFonts w:ascii="Arial" w:hAnsi="Arial" w:cs="Arial"/>
          <w:color w:val="000000"/>
          <w:sz w:val="21"/>
          <w:szCs w:val="21"/>
          <w:lang w:eastAsia="zh-CN"/>
        </w:rPr>
      </w:pPr>
    </w:p>
    <w:p w14:paraId="4C8738B0">
      <w:pPr>
        <w:spacing w:before="0" w:after="0" w:line="360" w:lineRule="auto"/>
        <w:ind w:left="0" w:right="0" w:firstLine="0"/>
        <w:jc w:val="both"/>
        <w:rPr>
          <w:rFonts w:cs="Arial"/>
          <w:bCs/>
          <w:kern w:val="2"/>
        </w:rPr>
      </w:pPr>
    </w:p>
    <w:p w14:paraId="0BCAE0D3">
      <w:pPr>
        <w:spacing w:before="0" w:after="0" w:line="360" w:lineRule="auto"/>
        <w:ind w:left="0" w:right="0" w:firstLine="0"/>
        <w:jc w:val="both"/>
      </w:pPr>
      <w:r>
        <w:rPr>
          <w:rFonts w:ascii="Arial" w:hAnsi="Arial" w:cs="Arial"/>
          <w:b/>
          <w:bCs/>
          <w:color w:val="000000"/>
          <w:kern w:val="2"/>
          <w:sz w:val="21"/>
          <w:szCs w:val="21"/>
          <w:lang w:eastAsia="zh-CN"/>
        </w:rPr>
        <w:t>Pedro Ari Parizotto</w:t>
      </w:r>
      <w:r>
        <w:rPr>
          <w:rFonts w:ascii="Arial" w:hAnsi="Arial" w:cs="Arial"/>
          <w:b/>
          <w:bCs/>
          <w:color w:val="000000"/>
          <w:kern w:val="2"/>
          <w:sz w:val="21"/>
          <w:szCs w:val="21"/>
          <w:lang w:eastAsia="zh-CN"/>
        </w:rPr>
        <w:tab/>
      </w:r>
      <w:r>
        <w:rPr>
          <w:rFonts w:ascii="Arial" w:hAnsi="Arial" w:cs="Arial"/>
          <w:b/>
          <w:bCs/>
          <w:color w:val="000000"/>
          <w:kern w:val="2"/>
          <w:sz w:val="21"/>
          <w:szCs w:val="21"/>
          <w:lang w:eastAsia="zh-CN"/>
        </w:rPr>
        <w:tab/>
      </w:r>
      <w:r>
        <w:rPr>
          <w:rFonts w:ascii="Arial" w:hAnsi="Arial" w:cs="Arial"/>
          <w:b/>
          <w:bCs/>
          <w:color w:val="000000"/>
          <w:kern w:val="2"/>
          <w:sz w:val="21"/>
          <w:szCs w:val="21"/>
          <w:lang w:eastAsia="zh-CN"/>
        </w:rPr>
        <w:tab/>
      </w:r>
      <w:r>
        <w:rPr>
          <w:rFonts w:ascii="Arial" w:hAnsi="Arial" w:cs="Arial"/>
          <w:b/>
          <w:bCs/>
          <w:color w:val="000000"/>
          <w:kern w:val="2"/>
          <w:sz w:val="21"/>
          <w:szCs w:val="21"/>
          <w:lang w:eastAsia="zh-CN"/>
        </w:rPr>
        <w:tab/>
      </w:r>
    </w:p>
    <w:p w14:paraId="4E16347D">
      <w:pPr>
        <w:spacing w:before="0" w:after="0" w:line="360" w:lineRule="auto"/>
        <w:ind w:left="0" w:right="0" w:firstLine="0"/>
        <w:jc w:val="both"/>
      </w:pPr>
      <w:r>
        <w:rPr>
          <w:rFonts w:ascii="Arial" w:hAnsi="Arial" w:cs="Arial"/>
          <w:bCs/>
          <w:color w:val="000000"/>
          <w:kern w:val="2"/>
          <w:sz w:val="21"/>
          <w:szCs w:val="21"/>
          <w:lang w:eastAsia="zh-CN"/>
        </w:rPr>
        <w:t>Prefeito Municipal em exercício</w:t>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Detentor da Ata</w:t>
      </w:r>
    </w:p>
    <w:p w14:paraId="2DA2834E">
      <w:pPr>
        <w:spacing w:before="0" w:after="0" w:line="360" w:lineRule="auto"/>
        <w:ind w:left="0" w:right="0" w:firstLine="0"/>
        <w:jc w:val="both"/>
        <w:rPr>
          <w:rFonts w:cs="Arial"/>
          <w:bCs/>
          <w:kern w:val="2"/>
        </w:rPr>
      </w:pPr>
    </w:p>
    <w:p w14:paraId="26B53340">
      <w:pPr>
        <w:spacing w:before="0" w:after="0" w:line="360" w:lineRule="auto"/>
        <w:ind w:left="0" w:right="0" w:firstLine="0"/>
        <w:jc w:val="both"/>
      </w:pPr>
      <w:r>
        <w:rPr>
          <w:rFonts w:ascii="Arial" w:hAnsi="Arial" w:cs="Arial"/>
          <w:bCs/>
          <w:color w:val="000000"/>
          <w:kern w:val="2"/>
          <w:sz w:val="21"/>
          <w:szCs w:val="21"/>
          <w:lang w:eastAsia="zh-CN"/>
        </w:rPr>
        <w:t>Testemunhas:</w:t>
      </w:r>
    </w:p>
    <w:p w14:paraId="0C392D24">
      <w:pPr>
        <w:spacing w:before="0" w:after="0" w:line="360" w:lineRule="auto"/>
        <w:ind w:left="0" w:right="0" w:firstLine="0"/>
        <w:jc w:val="both"/>
        <w:rPr>
          <w:rFonts w:ascii="Arial" w:hAnsi="Arial" w:cs="Arial"/>
          <w:color w:val="000000"/>
          <w:sz w:val="21"/>
          <w:szCs w:val="21"/>
          <w:lang w:eastAsia="zh-CN"/>
        </w:rPr>
      </w:pPr>
    </w:p>
    <w:p w14:paraId="542C2951">
      <w:pPr>
        <w:spacing w:before="0" w:after="0" w:line="360" w:lineRule="auto"/>
        <w:ind w:left="0" w:right="0" w:firstLine="0"/>
        <w:jc w:val="both"/>
      </w:pPr>
      <w:r>
        <w:rPr>
          <w:rFonts w:ascii="Arial" w:hAnsi="Arial" w:cs="Arial"/>
          <w:bCs/>
          <w:color w:val="000000"/>
          <w:kern w:val="2"/>
          <w:sz w:val="21"/>
          <w:szCs w:val="21"/>
          <w:lang w:eastAsia="zh-CN"/>
        </w:rPr>
        <w:t>Nome:</w:t>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Nome:</w:t>
      </w:r>
    </w:p>
    <w:p w14:paraId="46328C9F">
      <w:pPr>
        <w:spacing w:before="0" w:after="0" w:line="360" w:lineRule="auto"/>
        <w:ind w:left="0" w:right="0" w:firstLine="0"/>
        <w:jc w:val="both"/>
      </w:pPr>
      <w:bookmarkStart w:id="8" w:name="_Hlk166662798"/>
      <w:bookmarkStart w:id="9" w:name="_Hlk129186259"/>
      <w:bookmarkStart w:id="10" w:name="_Hlk129160896"/>
      <w:bookmarkStart w:id="11" w:name="_Hlk132190501"/>
      <w:bookmarkStart w:id="12" w:name="_Hlk1038461171"/>
      <w:bookmarkStart w:id="13" w:name="_Hlk179178263"/>
      <w:bookmarkStart w:id="14" w:name="_Hlk1291563724"/>
      <w:bookmarkStart w:id="15" w:name="_Hlk1038461172"/>
      <w:bookmarkStart w:id="16" w:name="_Hlk129161118"/>
      <w:bookmarkStart w:id="17" w:name="_Hlk166661777"/>
      <w:bookmarkStart w:id="18" w:name="_Hlk1291862591"/>
      <w:bookmarkStart w:id="19" w:name="_Hlk103846117"/>
      <w:bookmarkStart w:id="20" w:name="_Hlk129156372"/>
      <w:bookmarkStart w:id="21" w:name="_Hlk1321905014"/>
      <w:bookmarkStart w:id="22" w:name="_Hlk166662625"/>
      <w:bookmarkStart w:id="23" w:name="_Hlk1291608964"/>
      <w:r>
        <w:rPr>
          <w:rFonts w:ascii="Arial" w:hAnsi="Arial" w:cs="Arial"/>
          <w:bCs/>
          <w:color w:val="000000"/>
          <w:kern w:val="2"/>
          <w:sz w:val="21"/>
          <w:szCs w:val="21"/>
          <w:lang w:eastAsia="zh-CN"/>
        </w:rPr>
        <w:t>CPF:</w:t>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ab/>
      </w:r>
      <w:r>
        <w:rPr>
          <w:rFonts w:ascii="Arial" w:hAnsi="Arial" w:cs="Arial"/>
          <w:bCs/>
          <w:color w:val="000000"/>
          <w:kern w:val="2"/>
          <w:sz w:val="21"/>
          <w:szCs w:val="21"/>
          <w:lang w:eastAsia="zh-CN"/>
        </w:rPr>
        <w:t>CPF:</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sectPr>
      <w:headerReference r:id="rId7" w:type="first"/>
      <w:footerReference r:id="rId10" w:type="first"/>
      <w:headerReference r:id="rId5" w:type="default"/>
      <w:footerReference r:id="rId8" w:type="default"/>
      <w:headerReference r:id="rId6" w:type="even"/>
      <w:footerReference r:id="rId9" w:type="even"/>
      <w:footnotePr>
        <w:numFmt w:val="decimal"/>
      </w:footnotePr>
      <w:pgSz w:w="11906" w:h="16838"/>
      <w:pgMar w:top="2154" w:right="1080" w:bottom="1418" w:left="1701" w:header="425" w:footer="0" w:gutter="0"/>
      <w:pgNumType w:fmt="decimal"/>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roman"/>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roman"/>
    <w:pitch w:val="default"/>
    <w:sig w:usb0="E00006FF" w:usb1="0000FCFF" w:usb2="00000001" w:usb3="00000000" w:csb0="6000019F" w:csb1="DFD70000"/>
  </w:font>
  <w:font w:name="Wingdings">
    <w:panose1 w:val="05000000000000000000"/>
    <w:charset w:val="00"/>
    <w:family w:val="roman"/>
    <w:pitch w:val="default"/>
    <w:sig w:usb0="00000000" w:usb1="00000000" w:usb2="00000000" w:usb3="00000000" w:csb0="80000000" w:csb1="00000000"/>
  </w:font>
  <w:font w:name="Arial Unicode MS">
    <w:altName w:val="Arial"/>
    <w:panose1 w:val="00000000000000000000"/>
    <w:charset w:val="00"/>
    <w:family w:val="roman"/>
    <w:pitch w:val="default"/>
    <w:sig w:usb0="00000000" w:usb1="00000000" w:usb2="00000000" w:usb3="00000000" w:csb0="00000000" w:csb1="00000000"/>
  </w:font>
  <w:font w:name="Times">
    <w:altName w:val="Times New Roman"/>
    <w:panose1 w:val="00000000000000000000"/>
    <w:charset w:val="00"/>
    <w:family w:val="roman"/>
    <w:pitch w:val="default"/>
    <w:sig w:usb0="00000000" w:usb1="00000000" w:usb2="00000000" w:usb3="00000000" w:csb0="00000000" w:csb1="00000000"/>
  </w:font>
  <w:font w:name="Microsoft YaHei Light">
    <w:panose1 w:val="020B0502040204020203"/>
    <w:charset w:val="86"/>
    <w:family w:val="auto"/>
    <w:pitch w:val="default"/>
    <w:sig w:usb0="80000287" w:usb1="2ACF0010" w:usb2="00000016" w:usb3="00000000" w:csb0="0004001F" w:csb1="00000000"/>
  </w:font>
  <w:font w:name="Segoe UI">
    <w:panose1 w:val="020B0502040204020203"/>
    <w:charset w:val="00"/>
    <w:family w:val="roman"/>
    <w:pitch w:val="default"/>
    <w:sig w:usb0="E4002EFF" w:usb1="C000E47F" w:usb2="00000009" w:usb3="00000000" w:csb0="200001FF"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Mangal">
    <w:altName w:val="Liberation Mono"/>
    <w:panose1 w:val="00000000000000000000"/>
    <w:charset w:val="00"/>
    <w:family w:val="auto"/>
    <w:pitch w:val="default"/>
    <w:sig w:usb0="00000000" w:usb1="00000000" w:usb2="00000000" w:usb3="00000000" w:csb0="00000000" w:csb1="00000000"/>
  </w:font>
  <w:font w:name="Lucida Sans">
    <w:panose1 w:val="020B0602030504020204"/>
    <w:charset w:val="00"/>
    <w:family w:val="auto"/>
    <w:pitch w:val="default"/>
    <w:sig w:usb0="00000003" w:usb1="00000000" w:usb2="00000000" w:usb3="00000000" w:csb0="20000001" w:csb1="00000000"/>
  </w:font>
  <w:font w:name="Verdana">
    <w:panose1 w:val="020B0604030504040204"/>
    <w:charset w:val="00"/>
    <w:family w:val="roman"/>
    <w:pitch w:val="default"/>
    <w:sig w:usb0="A00006FF" w:usb1="4000205B" w:usb2="00000010" w:usb3="00000000" w:csb0="2000019F" w:csb1="00000000"/>
  </w:font>
  <w:font w:name="Liberation Serif">
    <w:panose1 w:val="02020603050405020304"/>
    <w:charset w:val="00"/>
    <w:family w:val="roman"/>
    <w:pitch w:val="default"/>
    <w:sig w:usb0="E0000AFF" w:usb1="500078FF" w:usb2="00000021" w:usb3="00000000" w:csb0="600001BF" w:csb1="DFF70000"/>
  </w:font>
  <w:font w:name="Andale Sans UI">
    <w:altName w:val="Liberation Mono"/>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Liberation Serif;Times New Roma">
    <w:altName w:val="Liberation Mono"/>
    <w:panose1 w:val="00000000000000000000"/>
    <w:charset w:val="00"/>
    <w:family w:val="auto"/>
    <w:pitch w:val="default"/>
    <w:sig w:usb0="00000000" w:usb1="00000000" w:usb2="00000000" w:usb3="00000000" w:csb0="00000000" w:csb1="00000000"/>
  </w:font>
  <w:font w:name="等线 Light">
    <w:altName w:val="Liberation Mono"/>
    <w:panose1 w:val="00000000000000000000"/>
    <w:charset w:val="00"/>
    <w:family w:val="auto"/>
    <w:pitch w:val="default"/>
    <w:sig w:usb0="00000000" w:usb1="00000000" w:usb2="00000000" w:usb3="00000000" w:csb0="00000000" w:csb1="00000000"/>
  </w:font>
  <w:font w:name="NSimSun">
    <w:panose1 w:val="02010609030101010101"/>
    <w:charset w:val="86"/>
    <w:family w:val="auto"/>
    <w:pitch w:val="default"/>
    <w:sig w:usb0="00000203" w:usb1="288F0000" w:usb2="00000006" w:usb3="00000000" w:csb0="00040001" w:csb1="0000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F2C8F">
    <w:pPr>
      <w:pStyle w:val="39"/>
      <w:ind w:left="-1418" w:hanging="283"/>
    </w:pPr>
    <w:r>
      <w:drawing>
        <wp:inline distT="0" distB="0" distL="0" distR="0">
          <wp:extent cx="7128510" cy="1226820"/>
          <wp:effectExtent l="0" t="0" r="0" b="0"/>
          <wp:docPr id="7"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1"/>
                  <pic:cNvPicPr>
                    <a:picLocks noChangeAspect="1" noChangeArrowheads="1"/>
                  </pic:cNvPicPr>
                </pic:nvPicPr>
                <pic:blipFill>
                  <a:blip r:embed="rId1"/>
                  <a:srcRect l="-32" t="-153" r="-32" b="-153"/>
                  <a:stretch>
                    <a:fillRect/>
                  </a:stretch>
                </pic:blipFill>
                <pic:spPr>
                  <a:xfrm>
                    <a:off x="0" y="0"/>
                    <a:ext cx="7128510" cy="1226820"/>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6C168">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16A63">
    <w:pPr>
      <w:pStyle w:val="39"/>
      <w:ind w:left="-1418" w:hanging="283"/>
    </w:pPr>
    <w:r>
      <w:drawing>
        <wp:inline distT="0" distB="0" distL="0" distR="0">
          <wp:extent cx="7128510" cy="1226820"/>
          <wp:effectExtent l="0" t="0" r="0" b="0"/>
          <wp:docPr id="8"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1"/>
                  <pic:cNvPicPr>
                    <a:picLocks noChangeAspect="1" noChangeArrowheads="1"/>
                  </pic:cNvPicPr>
                </pic:nvPicPr>
                <pic:blipFill>
                  <a:blip r:embed="rId1"/>
                  <a:srcRect l="-32" t="-153" r="-32" b="-153"/>
                  <a:stretch>
                    <a:fillRect/>
                  </a:stretch>
                </pic:blipFill>
                <pic:spPr>
                  <a:xfrm>
                    <a:off x="0" y="0"/>
                    <a:ext cx="7128510" cy="122682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59" w:lineRule="auto"/>
      </w:pPr>
      <w:r>
        <w:separator/>
      </w:r>
    </w:p>
  </w:footnote>
  <w:footnote w:type="continuationSeparator" w:id="3">
    <w:p>
      <w:pPr>
        <w:spacing w:before="0" w:after="0" w:line="259" w:lineRule="auto"/>
      </w:pPr>
      <w:r>
        <w:continuationSeparator/>
      </w:r>
    </w:p>
  </w:footnote>
  <w:footnote w:id="0">
    <w:p w14:paraId="253F6EB7">
      <w:pPr>
        <w:pStyle w:val="47"/>
        <w:suppressLineNumbers/>
        <w:spacing w:before="0" w:after="160"/>
        <w:ind w:left="340" w:right="0" w:hanging="340"/>
      </w:pPr>
      <w:r>
        <w:rPr>
          <w:rStyle w:val="370"/>
        </w:rPr>
        <w:footnoteRef/>
      </w:r>
      <w:r>
        <w:rPr>
          <w:sz w:val="18"/>
          <w:szCs w:val="18"/>
        </w:rPr>
        <w:tab/>
      </w:r>
      <w:r>
        <w:rPr>
          <w:sz w:val="18"/>
          <w:szCs w:val="18"/>
        </w:rPr>
        <w:t xml:space="preserve"> JUSTEN FILHO, Marçal. Comentários à Lei de Licitações e Contratações Administrativas: Lei 14.133/2021. São Paulo: Thomson Reuters Brasil, 2021. p. 356.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8B40A">
    <w:pPr>
      <w:pStyle w:val="37"/>
      <w:ind w:left="-993" w:firstLine="0"/>
    </w:pPr>
    <w:r>
      <w:drawing>
        <wp:anchor distT="0" distB="0" distL="0" distR="0" simplePos="0" relativeHeight="251660288" behindDoc="1" locked="0" layoutInCell="0" allowOverlap="1">
          <wp:simplePos x="0" y="0"/>
          <wp:positionH relativeFrom="column">
            <wp:posOffset>0</wp:posOffset>
          </wp:positionH>
          <wp:positionV relativeFrom="paragraph">
            <wp:posOffset>635</wp:posOffset>
          </wp:positionV>
          <wp:extent cx="635" cy="635"/>
          <wp:effectExtent l="0" t="0" r="0" b="0"/>
          <wp:wrapSquare wrapText="bothSides"/>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tretch>
                    <a:fillRect/>
                  </a:stretch>
                </pic:blipFill>
                <pic:spPr>
                  <a:xfrm>
                    <a:off x="0" y="0"/>
                    <a:ext cx="635" cy="635"/>
                  </a:xfrm>
                  <a:prstGeom prst="rect">
                    <a:avLst/>
                  </a:prstGeom>
                </pic:spPr>
              </pic:pic>
            </a:graphicData>
          </a:graphic>
        </wp:anchor>
      </w:drawing>
    </w:r>
    <w:r>
      <w:drawing>
        <wp:inline distT="0" distB="0" distL="0" distR="0">
          <wp:extent cx="6678930" cy="1132205"/>
          <wp:effectExtent l="0" t="0" r="0" b="0"/>
          <wp:docPr id="4"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pic:cNvPicPr>
                    <a:picLocks noChangeAspect="1" noChangeArrowheads="1"/>
                  </pic:cNvPicPr>
                </pic:nvPicPr>
                <pic:blipFill>
                  <a:blip r:embed="rId1"/>
                  <a:srcRect l="-33" t="-200" r="-33" b="-200"/>
                  <a:stretch>
                    <a:fillRect/>
                  </a:stretch>
                </pic:blipFill>
                <pic:spPr>
                  <a:xfrm>
                    <a:off x="0" y="0"/>
                    <a:ext cx="6678930" cy="113220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5696F">
    <w:pPr>
      <w:pStyle w:val="37"/>
    </w:pPr>
    <w:r>
      <w:drawing>
        <wp:anchor distT="0" distB="0" distL="0" distR="0" simplePos="0" relativeHeight="251659264" behindDoc="1" locked="0" layoutInCell="1" allowOverlap="1">
          <wp:simplePos x="0" y="0"/>
          <wp:positionH relativeFrom="margin">
            <wp:align>center</wp:align>
          </wp:positionH>
          <wp:positionV relativeFrom="margin">
            <wp:align>center</wp:align>
          </wp:positionV>
          <wp:extent cx="7182485" cy="8892540"/>
          <wp:effectExtent l="0" t="0" r="0" b="0"/>
          <wp:wrapNone/>
          <wp:docPr id="2" name="WordPictureWatermark5698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56988954"/>
                  <pic:cNvPicPr>
                    <a:picLocks noChangeAspect="1" noChangeArrowheads="1"/>
                  </pic:cNvPicPr>
                </pic:nvPicPr>
                <pic:blipFill>
                  <a:blip r:embed="rId1"/>
                  <a:stretch>
                    <a:fillRect/>
                  </a:stretch>
                </pic:blipFill>
                <pic:spPr>
                  <a:xfrm>
                    <a:off x="0" y="0"/>
                    <a:ext cx="7182485" cy="889254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04069">
    <w:pPr>
      <w:pStyle w:val="37"/>
      <w:ind w:left="-993" w:firstLine="0"/>
    </w:pPr>
    <w:r>
      <w:drawing>
        <wp:anchor distT="0" distB="0" distL="0" distR="0" simplePos="0" relativeHeight="251660288" behindDoc="1" locked="0" layoutInCell="0" allowOverlap="1">
          <wp:simplePos x="0" y="0"/>
          <wp:positionH relativeFrom="column">
            <wp:posOffset>0</wp:posOffset>
          </wp:positionH>
          <wp:positionV relativeFrom="paragraph">
            <wp:posOffset>635</wp:posOffset>
          </wp:positionV>
          <wp:extent cx="635" cy="635"/>
          <wp:effectExtent l="0" t="0" r="0" b="0"/>
          <wp:wrapSquare wrapText="bothSides"/>
          <wp:docPr id="5"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2"/>
                  <pic:cNvPicPr>
                    <a:picLocks noChangeAspect="1" noChangeArrowheads="1"/>
                  </pic:cNvPicPr>
                </pic:nvPicPr>
                <pic:blipFill>
                  <a:blip r:embed="rId1"/>
                  <a:stretch>
                    <a:fillRect/>
                  </a:stretch>
                </pic:blipFill>
                <pic:spPr>
                  <a:xfrm>
                    <a:off x="0" y="0"/>
                    <a:ext cx="635" cy="635"/>
                  </a:xfrm>
                  <a:prstGeom prst="rect">
                    <a:avLst/>
                  </a:prstGeom>
                </pic:spPr>
              </pic:pic>
            </a:graphicData>
          </a:graphic>
        </wp:anchor>
      </w:drawing>
    </w:r>
    <w:r>
      <w:drawing>
        <wp:inline distT="0" distB="0" distL="0" distR="0">
          <wp:extent cx="6678930" cy="1132205"/>
          <wp:effectExtent l="0" t="0" r="0" b="0"/>
          <wp:docPr id="6"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pic:cNvPicPr>
                    <a:picLocks noChangeAspect="1" noChangeArrowheads="1"/>
                  </pic:cNvPicPr>
                </pic:nvPicPr>
                <pic:blipFill>
                  <a:blip r:embed="rId1"/>
                  <a:srcRect l="-33" t="-200" r="-33" b="-200"/>
                  <a:stretch>
                    <a:fillRect/>
                  </a:stretch>
                </pic:blipFill>
                <pic:spPr>
                  <a:xfrm>
                    <a:off x="0" y="0"/>
                    <a:ext cx="6678930" cy="113220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BF205925"/>
    <w:multiLevelType w:val="multilevel"/>
    <w:tmpl w:val="BF205925"/>
    <w:lvl w:ilvl="0" w:tentative="0">
      <w:start w:val="1"/>
      <w:numFmt w:val="decimal"/>
      <w:pStyle w:val="442"/>
      <w:lvlText w:val="%1."/>
      <w:lvlJc w:val="right"/>
      <w:pPr>
        <w:tabs>
          <w:tab w:val="left" w:pos="0"/>
        </w:tabs>
        <w:ind w:left="425" w:hanging="141"/>
      </w:pPr>
      <w:rPr>
        <w:rFonts w:ascii="Calibri" w:hAnsi="Calibri" w:cs="Calibri"/>
        <w:b w:val="0"/>
        <w:bCs/>
        <w:color w:val="auto"/>
        <w:sz w:val="20"/>
        <w:szCs w:val="20"/>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2">
    <w:nsid w:val="CF092B84"/>
    <w:multiLevelType w:val="multilevel"/>
    <w:tmpl w:val="CF092B84"/>
    <w:lvl w:ilvl="0" w:tentative="0">
      <w:start w:val="1"/>
      <w:numFmt w:val="decimal"/>
      <w:pStyle w:val="433"/>
      <w:lvlText w:val="ANEXO %1"/>
      <w:lvlJc w:val="left"/>
      <w:pPr>
        <w:tabs>
          <w:tab w:val="left" w:pos="0"/>
        </w:tabs>
        <w:ind w:left="720" w:hanging="360"/>
      </w:pPr>
      <w:rPr>
        <w:rFonts w:ascii="Calibri" w:hAnsi="Calibri" w:cs="Calibri"/>
        <w:b w:val="0"/>
        <w:bCs/>
        <w:color w:val="auto"/>
        <w:sz w:val="48"/>
        <w:szCs w:val="48"/>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
    <w:nsid w:val="0053208E"/>
    <w:multiLevelType w:val="multilevel"/>
    <w:tmpl w:val="0053208E"/>
    <w:lvl w:ilvl="0" w:tentative="0">
      <w:start w:val="1"/>
      <w:numFmt w:val="bullet"/>
      <w:pStyle w:val="48"/>
      <w:lvlText w:val=""/>
      <w:lvlJc w:val="left"/>
      <w:pPr>
        <w:tabs>
          <w:tab w:val="left" w:pos="360"/>
        </w:tabs>
        <w:ind w:left="360" w:hanging="360"/>
      </w:pPr>
      <w:rPr>
        <w:rFonts w:hint="default" w:ascii="Symbol" w:hAnsi="Symbol" w:cs="Symbol"/>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4">
    <w:nsid w:val="59ADCABA"/>
    <w:multiLevelType w:val="multilevel"/>
    <w:tmpl w:val="59ADCABA"/>
    <w:lvl w:ilvl="0" w:tentative="0">
      <w:start w:val="1"/>
      <w:numFmt w:val="bullet"/>
      <w:pStyle w:val="441"/>
      <w:lvlText w:val=""/>
      <w:lvlJc w:val="left"/>
      <w:pPr>
        <w:tabs>
          <w:tab w:val="left" w:pos="0"/>
        </w:tabs>
        <w:ind w:left="720" w:hanging="360"/>
      </w:pPr>
      <w:rPr>
        <w:rFonts w:hint="default" w:ascii="Wingdings" w:hAnsi="Wingdings" w:cs="Wingdings"/>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autoHyphenation/>
  <w:footnotePr>
    <w:footnote w:id="2"/>
    <w:footnote w:id="3"/>
  </w:footnotePr>
  <w:endnotePr>
    <w:endnote w:id="0"/>
    <w:endnote w:id="1"/>
  </w:endnotePr>
  <w:compat>
    <w:compatSetting w:name="compatibilityMode" w:uri="http://schemas.microsoft.com/office/word" w:val="12"/>
  </w:compat>
  <w:rsids>
    <w:rsidRoot w:val="00000000"/>
    <w:rsid w:val="39116CFC"/>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ahoma" w:hAnsi="Tahoma" w:eastAsiaTheme="minorHAnsi" w:cs="Tahoma"/>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9"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0" w:name="annotation text"/>
    <w:lsdException w:uiPriority="99" w:semiHidden="0" w:name="header"/>
    <w:lsdException w:uiPriority="0" w:semiHidden="0" w:name="footer"/>
    <w:lsdException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qFormat="1" w:unhideWhenUsed="0" w:uiPriority="0" w:name="annotation reference"/>
    <w:lsdException w:uiPriority="99" w:name="line number"/>
    <w:lsdException w:qFormat="1" w:unhideWhenUsed="0" w:uiPriority="0" w:semiHidden="0" w:name="page number"/>
    <w:lsdException w:unhideWhenUsed="0" w:uiPriority="0" w:semiHidden="0" w:name="endnote reference"/>
    <w:lsdException w:qFormat="1" w:uiPriority="99" w:name="endnote text"/>
    <w:lsdException w:uiPriority="99" w:name="table of authorities"/>
    <w:lsdException w:uiPriority="99" w:name="macro"/>
    <w:lsdException w:uiPriority="99" w:name="toa heading"/>
    <w:lsdException w:unhideWhenUsed="0" w:uiPriority="0" w:semiHidden="0" w:name="List"/>
    <w:lsdException w:qFormat="1" w:unhideWhenUsed="0" w:uiPriority="0" w:semiHidden="0" w:name="List Bullet"/>
    <w:lsdException w:qFormat="1" w:uiPriority="99" w:semiHidden="0" w:name="List Number"/>
    <w:lsdException w:uiPriority="99" w:name="List 2"/>
    <w:lsdException w:uiPriority="99" w:name="List 3"/>
    <w:lsdException w:uiPriority="99" w:name="List 4"/>
    <w:lsdException w:uiPriority="99" w:name="List 5"/>
    <w:lsdException w:uiPriority="99" w:name="List Bullet 2"/>
    <w:lsdException w:qFormat="1" w:uiPriority="99" w:semiHidden="0" w:name="List Bullet 3"/>
    <w:lsdException w:qFormat="1" w:uiPriority="99" w:semiHidden="0" w:name="List Bullet 4"/>
    <w:lsdException w:qFormat="1" w:uiPriority="99"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5" w:semiHidden="0" w:name="Medium List 1"/>
    <w:lsdException w:unhideWhenUsed="0" w:uiPriority="60" w:semiHidden="0" w:name="Light Shading Accent 1"/>
    <w:lsdException w:unhideWhenUsed="0" w:uiPriority="61" w:semiHidden="0" w:name="Light List Accent 1"/>
    <w:lsdException w:qFormat="1" w:unhideWhenUsed="0" w:uiPriority="34" w:semiHidden="0" w:name="List Paragraph"/>
    <w:lsdException w:qFormat="1" w:unhideWhenUsed="0" w:uiPriority="29" w:semiHidden="0" w:name="Quote"/>
    <w:lsdException w:unhideWhenUsed="0" w:uiPriority="60" w:semiHidden="0" w:name="Light Shading Accent 5"/>
    <w:lsdException w:unhideWhenUsed="0" w:uiPriority="65" w:semiHidden="0" w:name="Medium List 1 Accent 6"/>
  </w:latentStyles>
  <w:style w:type="paragraph" w:default="1" w:styleId="1">
    <w:name w:val="Normal"/>
    <w:qFormat/>
    <w:uiPriority w:val="0"/>
    <w:pPr>
      <w:widowControl/>
      <w:suppressAutoHyphens/>
      <w:bidi w:val="0"/>
      <w:spacing w:before="0" w:after="160" w:line="259" w:lineRule="auto"/>
      <w:jc w:val="left"/>
    </w:pPr>
    <w:rPr>
      <w:rFonts w:ascii="Tahoma" w:hAnsi="Tahoma" w:cs="Tahoma" w:eastAsiaTheme="minorHAnsi"/>
      <w:color w:val="auto"/>
      <w:kern w:val="0"/>
      <w:sz w:val="22"/>
      <w:szCs w:val="22"/>
      <w:lang w:val="pt-BR" w:eastAsia="en-US" w:bidi="ar-SA"/>
    </w:rPr>
  </w:style>
  <w:style w:type="paragraph" w:styleId="2">
    <w:name w:val="heading 1"/>
    <w:basedOn w:val="1"/>
    <w:next w:val="1"/>
    <w:qFormat/>
    <w:uiPriority w:val="0"/>
    <w:pPr>
      <w:keepNext/>
      <w:spacing w:before="240" w:after="60" w:line="240" w:lineRule="auto"/>
      <w:outlineLvl w:val="0"/>
    </w:pPr>
    <w:rPr>
      <w:rFonts w:ascii="Arial" w:hAnsi="Arial" w:eastAsia="Times New Roman" w:cs="Arial"/>
      <w:b/>
      <w:bCs/>
      <w:kern w:val="2"/>
      <w:sz w:val="32"/>
      <w:szCs w:val="32"/>
      <w:lang w:eastAsia="pt-BR"/>
    </w:rPr>
  </w:style>
  <w:style w:type="paragraph" w:styleId="3">
    <w:name w:val="heading 2"/>
    <w:basedOn w:val="1"/>
    <w:next w:val="1"/>
    <w:unhideWhenUsed/>
    <w:qFormat/>
    <w:uiPriority w:val="0"/>
    <w:pPr>
      <w:keepNext/>
      <w:spacing w:before="240" w:after="60" w:line="240" w:lineRule="auto"/>
      <w:outlineLvl w:val="1"/>
    </w:pPr>
    <w:rPr>
      <w:rFonts w:ascii="Cambria" w:hAnsi="Cambria" w:eastAsia="Times New Roman" w:cs="Times New Roman"/>
      <w:b/>
      <w:bCs/>
      <w:i/>
      <w:iCs/>
      <w:sz w:val="28"/>
      <w:szCs w:val="28"/>
      <w:lang w:val="zh-CN" w:eastAsia="zh-CN"/>
    </w:rPr>
  </w:style>
  <w:style w:type="paragraph" w:styleId="4">
    <w:name w:val="heading 3"/>
    <w:basedOn w:val="1"/>
    <w:next w:val="1"/>
    <w:qFormat/>
    <w:uiPriority w:val="0"/>
    <w:pPr>
      <w:keepNext/>
      <w:suppressAutoHyphens/>
      <w:spacing w:before="240" w:after="60" w:line="240" w:lineRule="auto"/>
      <w:outlineLvl w:val="2"/>
    </w:pPr>
    <w:rPr>
      <w:rFonts w:ascii="Arial" w:hAnsi="Arial" w:eastAsia="Times New Roman" w:cs="Times New Roman"/>
      <w:b/>
      <w:bCs/>
      <w:sz w:val="26"/>
      <w:szCs w:val="26"/>
      <w:lang w:val="zh-CN" w:eastAsia="ar-SA"/>
    </w:rPr>
  </w:style>
  <w:style w:type="paragraph" w:styleId="5">
    <w:name w:val="heading 4"/>
    <w:basedOn w:val="1"/>
    <w:next w:val="1"/>
    <w:qFormat/>
    <w:uiPriority w:val="0"/>
    <w:pPr>
      <w:keepNext/>
      <w:suppressAutoHyphens/>
      <w:spacing w:before="240" w:after="60" w:line="240" w:lineRule="auto"/>
      <w:outlineLvl w:val="3"/>
    </w:pPr>
    <w:rPr>
      <w:rFonts w:ascii="Times New Roman" w:hAnsi="Times New Roman" w:eastAsia="Times New Roman" w:cs="Times New Roman"/>
      <w:b/>
      <w:bCs/>
      <w:sz w:val="28"/>
      <w:szCs w:val="28"/>
      <w:lang w:val="zh-CN" w:eastAsia="ar-SA"/>
    </w:rPr>
  </w:style>
  <w:style w:type="paragraph" w:styleId="6">
    <w:name w:val="heading 5"/>
    <w:basedOn w:val="1"/>
    <w:next w:val="1"/>
    <w:qFormat/>
    <w:uiPriority w:val="0"/>
    <w:pPr>
      <w:spacing w:before="240" w:after="60" w:line="240" w:lineRule="auto"/>
      <w:outlineLvl w:val="4"/>
    </w:pPr>
    <w:rPr>
      <w:rFonts w:ascii="Times New Roman" w:hAnsi="Times New Roman" w:eastAsia="Times New Roman" w:cs="Times New Roman"/>
      <w:b/>
      <w:bCs/>
      <w:i/>
      <w:iCs/>
      <w:sz w:val="26"/>
      <w:szCs w:val="26"/>
      <w:lang w:val="zh-CN" w:eastAsia="zh-CN"/>
    </w:rPr>
  </w:style>
  <w:style w:type="paragraph" w:styleId="7">
    <w:name w:val="heading 6"/>
    <w:basedOn w:val="1"/>
    <w:next w:val="1"/>
    <w:qFormat/>
    <w:uiPriority w:val="0"/>
    <w:pPr>
      <w:spacing w:before="240" w:after="60" w:line="240" w:lineRule="auto"/>
      <w:outlineLvl w:val="5"/>
    </w:pPr>
    <w:rPr>
      <w:rFonts w:ascii="Times New Roman" w:hAnsi="Times New Roman" w:eastAsia="Times New Roman" w:cs="Times New Roman"/>
      <w:b/>
      <w:bCs/>
      <w:lang w:val="zh-CN" w:eastAsia="zh-CN"/>
    </w:rPr>
  </w:style>
  <w:style w:type="paragraph" w:styleId="8">
    <w:name w:val="heading 7"/>
    <w:basedOn w:val="1"/>
    <w:next w:val="1"/>
    <w:qFormat/>
    <w:uiPriority w:val="0"/>
    <w:pPr>
      <w:keepNext/>
      <w:spacing w:before="0" w:after="0" w:line="240" w:lineRule="auto"/>
      <w:jc w:val="center"/>
      <w:outlineLvl w:val="6"/>
    </w:pPr>
    <w:rPr>
      <w:rFonts w:ascii="Arial" w:hAnsi="Arial" w:eastAsia="Times New Roman" w:cs="Arial"/>
      <w:b/>
      <w:sz w:val="28"/>
      <w:szCs w:val="20"/>
      <w:lang w:eastAsia="pt-BR"/>
    </w:rPr>
  </w:style>
  <w:style w:type="paragraph" w:styleId="9">
    <w:name w:val="heading 8"/>
    <w:basedOn w:val="1"/>
    <w:next w:val="1"/>
    <w:qFormat/>
    <w:uiPriority w:val="9"/>
    <w:pPr>
      <w:keepNext/>
      <w:tabs>
        <w:tab w:val="left" w:pos="0"/>
      </w:tabs>
      <w:suppressAutoHyphens/>
      <w:snapToGrid w:val="0"/>
      <w:spacing w:before="0" w:after="0" w:line="240" w:lineRule="auto"/>
      <w:jc w:val="center"/>
      <w:outlineLvl w:val="7"/>
    </w:pPr>
    <w:rPr>
      <w:rFonts w:ascii="Arial" w:hAnsi="Arial" w:eastAsia="Times New Roman" w:cs="Times New Roman"/>
      <w:color w:val="000000"/>
      <w:sz w:val="28"/>
      <w:szCs w:val="20"/>
      <w:lang w:val="zh-CN" w:eastAsia="ar-SA"/>
    </w:rPr>
  </w:style>
  <w:style w:type="paragraph" w:styleId="10">
    <w:name w:val="heading 9"/>
    <w:basedOn w:val="1"/>
    <w:next w:val="1"/>
    <w:qFormat/>
    <w:uiPriority w:val="0"/>
    <w:pPr>
      <w:spacing w:before="240" w:after="60" w:line="240" w:lineRule="auto"/>
      <w:outlineLvl w:val="8"/>
    </w:pPr>
    <w:rPr>
      <w:rFonts w:ascii="Arial" w:hAnsi="Arial" w:eastAsia="Times New Roman" w:cs="Arial"/>
      <w:lang w:eastAsia="pt-BR"/>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ndnote reference"/>
    <w:uiPriority w:val="0"/>
    <w:rPr>
      <w:vertAlign w:val="superscript"/>
    </w:rPr>
  </w:style>
  <w:style w:type="character" w:styleId="14">
    <w:name w:val="Strong"/>
    <w:qFormat/>
    <w:uiPriority w:val="0"/>
    <w:rPr>
      <w:b/>
      <w:bCs/>
    </w:rPr>
  </w:style>
  <w:style w:type="character" w:styleId="15">
    <w:name w:val="annotation reference"/>
    <w:semiHidden/>
    <w:qFormat/>
    <w:uiPriority w:val="0"/>
    <w:rPr>
      <w:sz w:val="16"/>
      <w:szCs w:val="16"/>
    </w:rPr>
  </w:style>
  <w:style w:type="character" w:styleId="16">
    <w:name w:val="FollowedHyperlink"/>
    <w:uiPriority w:val="0"/>
    <w:rPr>
      <w:color w:val="800080"/>
      <w:u w:val="single"/>
    </w:rPr>
  </w:style>
  <w:style w:type="character" w:styleId="17">
    <w:name w:val="Emphasis"/>
    <w:qFormat/>
    <w:uiPriority w:val="0"/>
    <w:rPr>
      <w:b/>
      <w:bCs/>
    </w:rPr>
  </w:style>
  <w:style w:type="character" w:styleId="18">
    <w:name w:val="footnote reference"/>
    <w:uiPriority w:val="0"/>
    <w:rPr>
      <w:vertAlign w:val="superscript"/>
    </w:rPr>
  </w:style>
  <w:style w:type="character" w:styleId="19">
    <w:name w:val="Hyperlink"/>
    <w:uiPriority w:val="0"/>
    <w:rPr>
      <w:color w:val="0000FF"/>
      <w:u w:val="single"/>
    </w:rPr>
  </w:style>
  <w:style w:type="character" w:styleId="20">
    <w:name w:val="page number"/>
    <w:basedOn w:val="11"/>
    <w:qFormat/>
    <w:uiPriority w:val="0"/>
  </w:style>
  <w:style w:type="paragraph" w:styleId="21">
    <w:name w:val="toc 2"/>
    <w:basedOn w:val="1"/>
    <w:next w:val="1"/>
    <w:autoRedefine/>
    <w:unhideWhenUsed/>
    <w:qFormat/>
    <w:uiPriority w:val="39"/>
    <w:pPr>
      <w:spacing w:before="0" w:after="100"/>
      <w:ind w:left="220" w:firstLine="0"/>
    </w:pPr>
  </w:style>
  <w:style w:type="paragraph" w:styleId="22">
    <w:name w:val="List"/>
    <w:basedOn w:val="23"/>
    <w:uiPriority w:val="0"/>
    <w:pPr>
      <w:suppressAutoHyphens/>
    </w:pPr>
    <w:rPr>
      <w:rFonts w:cs="Lucida Sans"/>
      <w:lang w:val="pt-BR" w:eastAsia="zh-CN"/>
    </w:rPr>
  </w:style>
  <w:style w:type="paragraph" w:styleId="23">
    <w:name w:val="Body Text"/>
    <w:basedOn w:val="1"/>
    <w:link w:val="63"/>
    <w:uiPriority w:val="0"/>
    <w:pPr>
      <w:spacing w:before="0" w:after="0" w:line="240" w:lineRule="auto"/>
    </w:pPr>
    <w:rPr>
      <w:rFonts w:eastAsia="Times New Roman" w:cs="Times New Roman"/>
      <w:lang w:val="zh-CN" w:eastAsia="zh-CN"/>
    </w:rPr>
  </w:style>
  <w:style w:type="paragraph" w:styleId="24">
    <w:name w:val="annotation text"/>
    <w:basedOn w:val="1"/>
    <w:link w:val="70"/>
    <w:semiHidden/>
    <w:qFormat/>
    <w:uiPriority w:val="0"/>
    <w:pPr>
      <w:spacing w:before="0" w:after="0" w:line="240" w:lineRule="auto"/>
    </w:pPr>
    <w:rPr>
      <w:rFonts w:ascii="Times New Roman" w:hAnsi="Times New Roman" w:eastAsia="Times New Roman" w:cs="Times New Roman"/>
      <w:sz w:val="20"/>
      <w:szCs w:val="20"/>
      <w:lang w:eastAsia="pt-BR"/>
    </w:rPr>
  </w:style>
  <w:style w:type="paragraph" w:styleId="25">
    <w:name w:val="Body Text Indent 2"/>
    <w:basedOn w:val="1"/>
    <w:link w:val="66"/>
    <w:qFormat/>
    <w:uiPriority w:val="0"/>
    <w:pPr>
      <w:spacing w:before="0" w:after="120" w:line="480" w:lineRule="auto"/>
      <w:ind w:left="283" w:firstLine="0"/>
    </w:pPr>
    <w:rPr>
      <w:rFonts w:ascii="Times New Roman" w:hAnsi="Times New Roman" w:eastAsia="Times New Roman" w:cs="Times New Roman"/>
      <w:sz w:val="24"/>
      <w:szCs w:val="24"/>
      <w:lang w:eastAsia="pt-BR"/>
    </w:rPr>
  </w:style>
  <w:style w:type="paragraph" w:styleId="26">
    <w:name w:val="Title"/>
    <w:basedOn w:val="1"/>
    <w:next w:val="23"/>
    <w:link w:val="65"/>
    <w:qFormat/>
    <w:uiPriority w:val="0"/>
    <w:pPr>
      <w:keepNext/>
      <w:suppressAutoHyphens/>
      <w:spacing w:before="240" w:after="120" w:line="240" w:lineRule="auto"/>
    </w:pPr>
    <w:rPr>
      <w:rFonts w:ascii="Arial" w:hAnsi="Arial" w:eastAsia="Tahoma" w:cs="Times New Roman"/>
      <w:sz w:val="28"/>
      <w:szCs w:val="28"/>
      <w:lang w:val="zh-CN" w:eastAsia="ar-SA"/>
    </w:rPr>
  </w:style>
  <w:style w:type="paragraph" w:styleId="27">
    <w:name w:val="List Bullet 5"/>
    <w:basedOn w:val="1"/>
    <w:unhideWhenUsed/>
    <w:qFormat/>
    <w:uiPriority w:val="99"/>
    <w:pPr>
      <w:spacing w:before="240" w:after="120" w:line="240" w:lineRule="auto"/>
      <w:ind w:left="1132" w:hanging="283"/>
      <w:contextualSpacing/>
    </w:pPr>
    <w:rPr>
      <w:rFonts w:ascii="Calibri" w:hAnsi="Calibri" w:eastAsia="Arial Unicode MS" w:cs="Calibri"/>
      <w:color w:val="000000" w:themeColor="text1"/>
      <w:sz w:val="20"/>
      <w:lang w:eastAsia="pt-BR"/>
    </w:rPr>
  </w:style>
  <w:style w:type="paragraph" w:styleId="28">
    <w:name w:val="endnote text"/>
    <w:basedOn w:val="1"/>
    <w:link w:val="333"/>
    <w:semiHidden/>
    <w:unhideWhenUsed/>
    <w:qFormat/>
    <w:uiPriority w:val="99"/>
    <w:pPr>
      <w:spacing w:before="0" w:after="0" w:line="240" w:lineRule="auto"/>
    </w:pPr>
    <w:rPr>
      <w:rFonts w:ascii="Calibri" w:hAnsi="Calibri" w:eastAsia="Calibri" w:cs="Times New Roman"/>
      <w:sz w:val="20"/>
      <w:szCs w:val="20"/>
    </w:rPr>
  </w:style>
  <w:style w:type="paragraph" w:styleId="29">
    <w:name w:val="List Bullet 3"/>
    <w:basedOn w:val="1"/>
    <w:unhideWhenUsed/>
    <w:qFormat/>
    <w:uiPriority w:val="99"/>
    <w:pPr>
      <w:spacing w:before="240" w:after="120" w:line="240" w:lineRule="auto"/>
      <w:ind w:left="566" w:hanging="283"/>
      <w:contextualSpacing/>
    </w:pPr>
    <w:rPr>
      <w:rFonts w:ascii="Calibri" w:hAnsi="Calibri" w:eastAsia="Arial Unicode MS" w:cs="Calibri"/>
      <w:color w:val="000000" w:themeColor="text1"/>
      <w:sz w:val="20"/>
      <w:lang w:eastAsia="pt-BR"/>
    </w:rPr>
  </w:style>
  <w:style w:type="paragraph" w:styleId="30">
    <w:name w:val="Normal (Web)"/>
    <w:basedOn w:val="1"/>
    <w:qFormat/>
    <w:uiPriority w:val="99"/>
    <w:pPr>
      <w:spacing w:beforeAutospacing="1" w:afterAutospacing="1" w:line="240" w:lineRule="auto"/>
    </w:pPr>
    <w:rPr>
      <w:rFonts w:ascii="Times New Roman" w:hAnsi="Times New Roman" w:eastAsia="Times New Roman" w:cs="Times New Roman"/>
      <w:sz w:val="24"/>
      <w:szCs w:val="24"/>
      <w:lang w:eastAsia="pt-BR"/>
    </w:rPr>
  </w:style>
  <w:style w:type="paragraph" w:styleId="31">
    <w:name w:val="Plain Text"/>
    <w:basedOn w:val="1"/>
    <w:link w:val="68"/>
    <w:qFormat/>
    <w:uiPriority w:val="0"/>
    <w:pPr>
      <w:spacing w:before="0" w:after="0" w:line="240" w:lineRule="auto"/>
    </w:pPr>
    <w:rPr>
      <w:rFonts w:ascii="Courier New" w:hAnsi="Courier New" w:eastAsia="Times New Roman" w:cs="Times New Roman"/>
      <w:sz w:val="20"/>
      <w:szCs w:val="20"/>
      <w:lang w:eastAsia="pt-BR"/>
    </w:rPr>
  </w:style>
  <w:style w:type="paragraph" w:styleId="32">
    <w:name w:val="Body Text 3"/>
    <w:basedOn w:val="1"/>
    <w:link w:val="64"/>
    <w:qFormat/>
    <w:uiPriority w:val="0"/>
    <w:pPr>
      <w:spacing w:before="0" w:after="120" w:line="240" w:lineRule="auto"/>
    </w:pPr>
    <w:rPr>
      <w:rFonts w:ascii="Times New Roman" w:hAnsi="Times New Roman" w:eastAsia="Times New Roman" w:cs="Times New Roman"/>
      <w:sz w:val="16"/>
      <w:szCs w:val="16"/>
      <w:lang w:eastAsia="pt-BR"/>
    </w:rPr>
  </w:style>
  <w:style w:type="paragraph" w:styleId="33">
    <w:name w:val="HTML Preformatted"/>
    <w:basedOn w:val="1"/>
    <w:link w:val="77"/>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color w:val="29387B"/>
      <w:sz w:val="18"/>
      <w:szCs w:val="18"/>
    </w:rPr>
  </w:style>
  <w:style w:type="paragraph" w:styleId="34">
    <w:name w:val="index heading"/>
    <w:basedOn w:val="35"/>
    <w:uiPriority w:val="0"/>
  </w:style>
  <w:style w:type="paragraph" w:customStyle="1" w:styleId="35">
    <w:name w:val="Título11"/>
    <w:basedOn w:val="1"/>
    <w:next w:val="23"/>
    <w:qFormat/>
    <w:uiPriority w:val="0"/>
    <w:pPr>
      <w:keepNext/>
      <w:spacing w:before="240" w:after="120"/>
    </w:pPr>
    <w:rPr>
      <w:rFonts w:ascii="Liberation Sans" w:hAnsi="Liberation Sans" w:eastAsia="Microsoft YaHei" w:cs="Mangal"/>
      <w:sz w:val="28"/>
      <w:szCs w:val="28"/>
    </w:rPr>
  </w:style>
  <w:style w:type="paragraph" w:styleId="36">
    <w:name w:val="Body Text 2"/>
    <w:basedOn w:val="1"/>
    <w:link w:val="79"/>
    <w:qFormat/>
    <w:uiPriority w:val="0"/>
    <w:pPr>
      <w:spacing w:before="0" w:after="0" w:line="240" w:lineRule="auto"/>
    </w:pPr>
    <w:rPr>
      <w:bCs/>
      <w:sz w:val="24"/>
    </w:rPr>
  </w:style>
  <w:style w:type="paragraph" w:styleId="37">
    <w:name w:val="header"/>
    <w:basedOn w:val="1"/>
    <w:link w:val="53"/>
    <w:unhideWhenUsed/>
    <w:uiPriority w:val="99"/>
    <w:pPr>
      <w:tabs>
        <w:tab w:val="center" w:pos="4252"/>
        <w:tab w:val="right" w:pos="8504"/>
      </w:tabs>
      <w:spacing w:before="0" w:after="0" w:line="240" w:lineRule="auto"/>
    </w:pPr>
  </w:style>
  <w:style w:type="paragraph" w:styleId="38">
    <w:name w:val="annotation subject"/>
    <w:basedOn w:val="24"/>
    <w:next w:val="24"/>
    <w:link w:val="71"/>
    <w:qFormat/>
    <w:uiPriority w:val="0"/>
    <w:rPr>
      <w:b/>
      <w:bCs/>
    </w:rPr>
  </w:style>
  <w:style w:type="paragraph" w:styleId="39">
    <w:name w:val="footer"/>
    <w:basedOn w:val="1"/>
    <w:link w:val="54"/>
    <w:unhideWhenUsed/>
    <w:uiPriority w:val="0"/>
    <w:pPr>
      <w:tabs>
        <w:tab w:val="center" w:pos="4252"/>
        <w:tab w:val="right" w:pos="8504"/>
      </w:tabs>
      <w:spacing w:before="0" w:after="0" w:line="240" w:lineRule="auto"/>
    </w:pPr>
  </w:style>
  <w:style w:type="paragraph" w:styleId="40">
    <w:name w:val="Document Map"/>
    <w:basedOn w:val="1"/>
    <w:link w:val="91"/>
    <w:qFormat/>
    <w:uiPriority w:val="0"/>
    <w:pPr>
      <w:spacing w:before="0" w:after="0" w:line="240" w:lineRule="auto"/>
    </w:pPr>
    <w:rPr>
      <w:rFonts w:eastAsia="Times New Roman" w:cs="Times New Roman"/>
      <w:sz w:val="16"/>
      <w:szCs w:val="16"/>
      <w:lang w:val="zh-CN" w:eastAsia="zh-CN"/>
    </w:rPr>
  </w:style>
  <w:style w:type="paragraph" w:styleId="41">
    <w:name w:val="caption"/>
    <w:basedOn w:val="1"/>
    <w:qFormat/>
    <w:uiPriority w:val="0"/>
    <w:pPr>
      <w:pBdr>
        <w:top w:val="single" w:color="000000" w:sz="6" w:space="1"/>
        <w:left w:val="single" w:color="000000" w:sz="6" w:space="1"/>
        <w:bottom w:val="single" w:color="000000" w:sz="6" w:space="1"/>
        <w:right w:val="single" w:color="000000" w:sz="6" w:space="1"/>
      </w:pBdr>
      <w:spacing w:before="0" w:after="0" w:line="240" w:lineRule="auto"/>
      <w:jc w:val="both"/>
    </w:pPr>
    <w:rPr>
      <w:rFonts w:ascii="Arial" w:hAnsi="Arial" w:eastAsia="Times New Roman" w:cs="Arial"/>
      <w:sz w:val="24"/>
      <w:szCs w:val="20"/>
      <w:lang w:eastAsia="pt-BR"/>
    </w:rPr>
  </w:style>
  <w:style w:type="paragraph" w:styleId="42">
    <w:name w:val="Body Text Indent 3"/>
    <w:basedOn w:val="1"/>
    <w:link w:val="67"/>
    <w:qFormat/>
    <w:uiPriority w:val="0"/>
    <w:pPr>
      <w:spacing w:before="0" w:after="120" w:line="240" w:lineRule="auto"/>
      <w:ind w:left="283" w:firstLine="0"/>
    </w:pPr>
    <w:rPr>
      <w:rFonts w:ascii="Times New Roman" w:hAnsi="Times New Roman" w:eastAsia="Times New Roman" w:cs="Times New Roman"/>
      <w:sz w:val="16"/>
      <w:szCs w:val="16"/>
      <w:lang w:eastAsia="pt-BR"/>
    </w:rPr>
  </w:style>
  <w:style w:type="paragraph" w:styleId="43">
    <w:name w:val="toc 3"/>
    <w:basedOn w:val="1"/>
    <w:next w:val="1"/>
    <w:autoRedefine/>
    <w:unhideWhenUsed/>
    <w:qFormat/>
    <w:uiPriority w:val="39"/>
    <w:pPr>
      <w:spacing w:before="0" w:after="100" w:line="276" w:lineRule="auto"/>
      <w:ind w:left="440" w:firstLine="0"/>
      <w:jc w:val="center"/>
    </w:pPr>
    <w:rPr>
      <w:rFonts w:ascii="Calibri" w:hAnsi="Calibri" w:eastAsia="Times New Roman" w:cs="Times New Roman"/>
    </w:rPr>
  </w:style>
  <w:style w:type="paragraph" w:styleId="44">
    <w:name w:val="List Bullet 4"/>
    <w:basedOn w:val="1"/>
    <w:unhideWhenUsed/>
    <w:qFormat/>
    <w:uiPriority w:val="99"/>
    <w:pPr>
      <w:spacing w:before="240" w:after="120" w:line="240" w:lineRule="auto"/>
      <w:ind w:left="849" w:hanging="283"/>
      <w:contextualSpacing/>
    </w:pPr>
    <w:rPr>
      <w:rFonts w:ascii="Calibri" w:hAnsi="Calibri" w:eastAsia="Arial Unicode MS" w:cs="Calibri"/>
      <w:color w:val="000000" w:themeColor="text1"/>
      <w:sz w:val="20"/>
      <w:lang w:eastAsia="pt-BR"/>
    </w:rPr>
  </w:style>
  <w:style w:type="paragraph" w:styleId="45">
    <w:name w:val="Balloon Text"/>
    <w:basedOn w:val="1"/>
    <w:link w:val="55"/>
    <w:unhideWhenUsed/>
    <w:qFormat/>
    <w:uiPriority w:val="0"/>
    <w:pPr>
      <w:spacing w:before="0" w:after="0" w:line="240" w:lineRule="auto"/>
    </w:pPr>
    <w:rPr>
      <w:sz w:val="16"/>
      <w:szCs w:val="16"/>
    </w:rPr>
  </w:style>
  <w:style w:type="paragraph" w:styleId="46">
    <w:name w:val="Subtitle"/>
    <w:basedOn w:val="1"/>
    <w:next w:val="1"/>
    <w:link w:val="347"/>
    <w:autoRedefine/>
    <w:qFormat/>
    <w:uiPriority w:val="0"/>
    <w:pPr>
      <w:spacing w:before="0" w:after="60" w:line="240" w:lineRule="auto"/>
      <w:jc w:val="both"/>
      <w:outlineLvl w:val="1"/>
    </w:pPr>
    <w:rPr>
      <w:rFonts w:ascii="Arial" w:hAnsi="Arial" w:eastAsia="Times New Roman" w:cs="Times New Roman"/>
      <w:b/>
      <w:szCs w:val="48"/>
      <w:lang w:eastAsia="pt-BR"/>
    </w:rPr>
  </w:style>
  <w:style w:type="paragraph" w:styleId="47">
    <w:name w:val="footnote text"/>
    <w:basedOn w:val="1"/>
    <w:qFormat/>
    <w:uiPriority w:val="0"/>
    <w:pPr>
      <w:suppressLineNumbers/>
      <w:ind w:left="340" w:right="0" w:hanging="340"/>
    </w:pPr>
    <w:rPr>
      <w:sz w:val="20"/>
      <w:szCs w:val="20"/>
    </w:rPr>
  </w:style>
  <w:style w:type="paragraph" w:styleId="48">
    <w:name w:val="List Bullet"/>
    <w:basedOn w:val="1"/>
    <w:qFormat/>
    <w:uiPriority w:val="0"/>
    <w:pPr>
      <w:numPr>
        <w:ilvl w:val="0"/>
        <w:numId w:val="1"/>
      </w:numPr>
      <w:spacing w:before="0" w:after="0" w:line="240" w:lineRule="auto"/>
    </w:pPr>
    <w:rPr>
      <w:rFonts w:ascii="Times New Roman" w:hAnsi="Times New Roman" w:eastAsia="Times New Roman" w:cs="Times New Roman"/>
      <w:sz w:val="20"/>
      <w:szCs w:val="20"/>
      <w:lang w:eastAsia="pt-BR"/>
    </w:rPr>
  </w:style>
  <w:style w:type="paragraph" w:styleId="49">
    <w:name w:val="toc 1"/>
    <w:basedOn w:val="1"/>
    <w:next w:val="1"/>
    <w:autoRedefine/>
    <w:unhideWhenUsed/>
    <w:qFormat/>
    <w:uiPriority w:val="39"/>
    <w:pPr>
      <w:spacing w:before="0" w:after="100"/>
    </w:pPr>
  </w:style>
  <w:style w:type="paragraph" w:styleId="50">
    <w:name w:val="List Number"/>
    <w:basedOn w:val="1"/>
    <w:unhideWhenUsed/>
    <w:qFormat/>
    <w:uiPriority w:val="99"/>
    <w:pPr>
      <w:spacing w:before="240" w:after="120" w:line="240" w:lineRule="auto"/>
      <w:ind w:left="1415" w:hanging="283"/>
      <w:contextualSpacing/>
    </w:pPr>
    <w:rPr>
      <w:rFonts w:ascii="Calibri" w:hAnsi="Calibri" w:eastAsia="Arial Unicode MS" w:cs="Calibri"/>
      <w:color w:val="000000" w:themeColor="text1"/>
      <w:sz w:val="20"/>
      <w:lang w:eastAsia="pt-BR"/>
    </w:rPr>
  </w:style>
  <w:style w:type="paragraph" w:styleId="51">
    <w:name w:val="Body Text Indent"/>
    <w:basedOn w:val="1"/>
    <w:link w:val="56"/>
    <w:uiPriority w:val="0"/>
    <w:pPr>
      <w:spacing w:before="0" w:after="120" w:line="240" w:lineRule="auto"/>
      <w:ind w:left="283" w:firstLine="0"/>
    </w:pPr>
    <w:rPr>
      <w:rFonts w:ascii="Times New Roman" w:hAnsi="Times New Roman" w:eastAsia="Times New Roman" w:cs="Times New Roman"/>
      <w:sz w:val="24"/>
      <w:szCs w:val="24"/>
    </w:rPr>
  </w:style>
  <w:style w:type="table" w:styleId="52">
    <w:name w:val="Table Grid"/>
    <w:basedOn w:val="12"/>
    <w:uiPriority w:val="39"/>
    <w:pPr>
      <w:spacing w:after="0" w:line="240" w:lineRule="auto"/>
    </w:pPr>
    <w:rPr>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3">
    <w:name w:val="Cabeçalho Char"/>
    <w:basedOn w:val="11"/>
    <w:link w:val="37"/>
    <w:qFormat/>
    <w:uiPriority w:val="99"/>
  </w:style>
  <w:style w:type="character" w:customStyle="1" w:styleId="54">
    <w:name w:val="Rodapé Char"/>
    <w:basedOn w:val="11"/>
    <w:link w:val="39"/>
    <w:qFormat/>
    <w:uiPriority w:val="0"/>
  </w:style>
  <w:style w:type="character" w:customStyle="1" w:styleId="55">
    <w:name w:val="Texto de balão Char"/>
    <w:basedOn w:val="11"/>
    <w:link w:val="45"/>
    <w:semiHidden/>
    <w:qFormat/>
    <w:uiPriority w:val="99"/>
    <w:rPr>
      <w:rFonts w:ascii="Tahoma" w:hAnsi="Tahoma" w:cs="Tahoma"/>
      <w:sz w:val="16"/>
      <w:szCs w:val="16"/>
    </w:rPr>
  </w:style>
  <w:style w:type="character" w:customStyle="1" w:styleId="56">
    <w:name w:val="Recuo de corpo de texto Char"/>
    <w:basedOn w:val="11"/>
    <w:link w:val="51"/>
    <w:qFormat/>
    <w:uiPriority w:val="99"/>
    <w:rPr>
      <w:rFonts w:ascii="Times New Roman" w:hAnsi="Times New Roman" w:eastAsia="Times New Roman" w:cs="Times New Roman"/>
      <w:sz w:val="24"/>
      <w:szCs w:val="24"/>
    </w:rPr>
  </w:style>
  <w:style w:type="character" w:customStyle="1" w:styleId="57">
    <w:name w:val="Título 1 Char"/>
    <w:basedOn w:val="11"/>
    <w:qFormat/>
    <w:uiPriority w:val="0"/>
    <w:rPr>
      <w:rFonts w:ascii="Arial" w:hAnsi="Arial" w:eastAsia="Times New Roman" w:cs="Arial"/>
      <w:b/>
      <w:bCs/>
      <w:kern w:val="2"/>
      <w:sz w:val="32"/>
      <w:szCs w:val="32"/>
      <w:lang w:eastAsia="pt-BR"/>
    </w:rPr>
  </w:style>
  <w:style w:type="character" w:customStyle="1" w:styleId="58">
    <w:name w:val="Título 2 Char"/>
    <w:basedOn w:val="11"/>
    <w:qFormat/>
    <w:uiPriority w:val="0"/>
    <w:rPr>
      <w:rFonts w:ascii="Cambria" w:hAnsi="Cambria" w:eastAsia="Times New Roman" w:cs="Times New Roman"/>
      <w:b/>
      <w:bCs/>
      <w:i/>
      <w:iCs/>
      <w:sz w:val="28"/>
      <w:szCs w:val="28"/>
      <w:lang w:val="zh-CN" w:eastAsia="zh-CN"/>
    </w:rPr>
  </w:style>
  <w:style w:type="character" w:customStyle="1" w:styleId="59">
    <w:name w:val="Título 5 Char"/>
    <w:basedOn w:val="11"/>
    <w:qFormat/>
    <w:uiPriority w:val="9"/>
    <w:rPr>
      <w:rFonts w:ascii="Times New Roman" w:hAnsi="Times New Roman" w:eastAsia="Times New Roman" w:cs="Times New Roman"/>
      <w:b/>
      <w:bCs/>
      <w:i/>
      <w:iCs/>
      <w:sz w:val="26"/>
      <w:szCs w:val="26"/>
      <w:lang w:val="zh-CN" w:eastAsia="zh-CN"/>
    </w:rPr>
  </w:style>
  <w:style w:type="character" w:customStyle="1" w:styleId="60">
    <w:name w:val="Título 6 Char"/>
    <w:basedOn w:val="11"/>
    <w:qFormat/>
    <w:uiPriority w:val="0"/>
    <w:rPr>
      <w:rFonts w:ascii="Times New Roman" w:hAnsi="Times New Roman" w:eastAsia="Times New Roman" w:cs="Times New Roman"/>
      <w:b/>
      <w:bCs/>
      <w:lang w:val="zh-CN" w:eastAsia="zh-CN"/>
    </w:rPr>
  </w:style>
  <w:style w:type="character" w:customStyle="1" w:styleId="61">
    <w:name w:val="Título 7 Char"/>
    <w:basedOn w:val="11"/>
    <w:qFormat/>
    <w:uiPriority w:val="9"/>
    <w:rPr>
      <w:rFonts w:ascii="Arial" w:hAnsi="Arial" w:eastAsia="Times New Roman" w:cs="Arial"/>
      <w:b/>
      <w:sz w:val="28"/>
      <w:szCs w:val="20"/>
      <w:lang w:eastAsia="pt-BR"/>
    </w:rPr>
  </w:style>
  <w:style w:type="character" w:customStyle="1" w:styleId="62">
    <w:name w:val="Título 9 Char"/>
    <w:basedOn w:val="11"/>
    <w:qFormat/>
    <w:uiPriority w:val="9"/>
    <w:rPr>
      <w:rFonts w:ascii="Arial" w:hAnsi="Arial" w:eastAsia="Times New Roman" w:cs="Arial"/>
      <w:lang w:eastAsia="pt-BR"/>
    </w:rPr>
  </w:style>
  <w:style w:type="character" w:customStyle="1" w:styleId="63">
    <w:name w:val="Corpo de texto Char"/>
    <w:basedOn w:val="11"/>
    <w:link w:val="23"/>
    <w:qFormat/>
    <w:uiPriority w:val="0"/>
    <w:rPr>
      <w:rFonts w:eastAsia="Times New Roman" w:cs="Times New Roman"/>
      <w:lang w:val="zh-CN" w:eastAsia="zh-CN"/>
    </w:rPr>
  </w:style>
  <w:style w:type="character" w:customStyle="1" w:styleId="64">
    <w:name w:val="Corpo de texto 3 Char"/>
    <w:basedOn w:val="11"/>
    <w:link w:val="32"/>
    <w:qFormat/>
    <w:uiPriority w:val="0"/>
    <w:rPr>
      <w:rFonts w:ascii="Times New Roman" w:hAnsi="Times New Roman" w:eastAsia="Times New Roman" w:cs="Times New Roman"/>
      <w:sz w:val="16"/>
      <w:szCs w:val="16"/>
      <w:lang w:eastAsia="pt-BR"/>
    </w:rPr>
  </w:style>
  <w:style w:type="character" w:customStyle="1" w:styleId="65">
    <w:name w:val="Título Char"/>
    <w:basedOn w:val="11"/>
    <w:link w:val="26"/>
    <w:qFormat/>
    <w:uiPriority w:val="0"/>
    <w:rPr>
      <w:rFonts w:ascii="Arial" w:hAnsi="Arial" w:eastAsia="Tahoma" w:cs="Times New Roman"/>
      <w:sz w:val="28"/>
      <w:szCs w:val="28"/>
      <w:lang w:val="zh-CN" w:eastAsia="ar-SA"/>
    </w:rPr>
  </w:style>
  <w:style w:type="character" w:customStyle="1" w:styleId="66">
    <w:name w:val="Recuo de corpo de texto 2 Char"/>
    <w:basedOn w:val="11"/>
    <w:link w:val="25"/>
    <w:qFormat/>
    <w:uiPriority w:val="0"/>
    <w:rPr>
      <w:rFonts w:ascii="Times New Roman" w:hAnsi="Times New Roman" w:eastAsia="Times New Roman" w:cs="Times New Roman"/>
      <w:sz w:val="24"/>
      <w:szCs w:val="24"/>
      <w:lang w:eastAsia="pt-BR"/>
    </w:rPr>
  </w:style>
  <w:style w:type="character" w:customStyle="1" w:styleId="67">
    <w:name w:val="Recuo de corpo de texto 3 Char"/>
    <w:basedOn w:val="11"/>
    <w:link w:val="42"/>
    <w:qFormat/>
    <w:uiPriority w:val="0"/>
    <w:rPr>
      <w:rFonts w:ascii="Times New Roman" w:hAnsi="Times New Roman" w:eastAsia="Times New Roman" w:cs="Times New Roman"/>
      <w:sz w:val="16"/>
      <w:szCs w:val="16"/>
      <w:lang w:eastAsia="pt-BR"/>
    </w:rPr>
  </w:style>
  <w:style w:type="character" w:customStyle="1" w:styleId="68">
    <w:name w:val="Texto sem Formatação Char"/>
    <w:basedOn w:val="11"/>
    <w:link w:val="31"/>
    <w:qFormat/>
    <w:uiPriority w:val="0"/>
    <w:rPr>
      <w:rFonts w:ascii="Courier New" w:hAnsi="Courier New" w:eastAsia="Times New Roman" w:cs="Times New Roman"/>
      <w:sz w:val="20"/>
      <w:szCs w:val="20"/>
      <w:lang w:eastAsia="pt-BR"/>
    </w:rPr>
  </w:style>
  <w:style w:type="character" w:customStyle="1" w:styleId="69">
    <w:name w:val="descricao1"/>
    <w:qFormat/>
    <w:uiPriority w:val="0"/>
    <w:rPr>
      <w:color w:val="666666"/>
      <w:sz w:val="15"/>
      <w:szCs w:val="15"/>
    </w:rPr>
  </w:style>
  <w:style w:type="character" w:customStyle="1" w:styleId="70">
    <w:name w:val="Texto de comentário Char"/>
    <w:basedOn w:val="11"/>
    <w:link w:val="24"/>
    <w:semiHidden/>
    <w:qFormat/>
    <w:uiPriority w:val="99"/>
    <w:rPr>
      <w:rFonts w:ascii="Times New Roman" w:hAnsi="Times New Roman" w:eastAsia="Times New Roman" w:cs="Times New Roman"/>
      <w:sz w:val="20"/>
      <w:szCs w:val="20"/>
      <w:lang w:eastAsia="pt-BR"/>
    </w:rPr>
  </w:style>
  <w:style w:type="character" w:customStyle="1" w:styleId="71">
    <w:name w:val="Assunto do comentário Char"/>
    <w:basedOn w:val="70"/>
    <w:link w:val="38"/>
    <w:semiHidden/>
    <w:qFormat/>
    <w:uiPriority w:val="99"/>
    <w:rPr>
      <w:rFonts w:ascii="Times New Roman" w:hAnsi="Times New Roman" w:eastAsia="Times New Roman" w:cs="Times New Roman"/>
      <w:b/>
      <w:bCs/>
      <w:sz w:val="20"/>
      <w:szCs w:val="20"/>
      <w:lang w:eastAsia="pt-BR"/>
    </w:rPr>
  </w:style>
  <w:style w:type="character" w:customStyle="1" w:styleId="72">
    <w:name w:val="apple-converted-space"/>
    <w:basedOn w:val="11"/>
    <w:qFormat/>
    <w:uiPriority w:val="0"/>
  </w:style>
  <w:style w:type="character" w:customStyle="1" w:styleId="73">
    <w:name w:val="mainwindow1"/>
    <w:basedOn w:val="11"/>
    <w:qFormat/>
    <w:uiPriority w:val="0"/>
  </w:style>
  <w:style w:type="character" w:customStyle="1" w:styleId="74">
    <w:name w:val="Título 3 Char"/>
    <w:basedOn w:val="11"/>
    <w:qFormat/>
    <w:uiPriority w:val="0"/>
    <w:rPr>
      <w:rFonts w:ascii="Arial" w:hAnsi="Arial" w:eastAsia="Times New Roman" w:cs="Times New Roman"/>
      <w:b/>
      <w:bCs/>
      <w:sz w:val="26"/>
      <w:szCs w:val="26"/>
      <w:lang w:val="zh-CN" w:eastAsia="ar-SA"/>
    </w:rPr>
  </w:style>
  <w:style w:type="character" w:customStyle="1" w:styleId="75">
    <w:name w:val="Título 4 Char"/>
    <w:basedOn w:val="11"/>
    <w:qFormat/>
    <w:uiPriority w:val="0"/>
    <w:rPr>
      <w:rFonts w:ascii="Times New Roman" w:hAnsi="Times New Roman" w:eastAsia="Times New Roman" w:cs="Times New Roman"/>
      <w:b/>
      <w:bCs/>
      <w:sz w:val="28"/>
      <w:szCs w:val="28"/>
      <w:lang w:val="zh-CN" w:eastAsia="ar-SA"/>
    </w:rPr>
  </w:style>
  <w:style w:type="character" w:customStyle="1" w:styleId="76">
    <w:name w:val="Título 8 Char"/>
    <w:basedOn w:val="11"/>
    <w:qFormat/>
    <w:uiPriority w:val="9"/>
    <w:rPr>
      <w:rFonts w:ascii="Arial" w:hAnsi="Arial" w:eastAsia="Times New Roman" w:cs="Times New Roman"/>
      <w:color w:val="000000"/>
      <w:sz w:val="28"/>
      <w:szCs w:val="20"/>
      <w:lang w:val="zh-CN" w:eastAsia="ar-SA"/>
    </w:rPr>
  </w:style>
  <w:style w:type="character" w:customStyle="1" w:styleId="77">
    <w:name w:val="Pré-formatação HTML Char"/>
    <w:link w:val="33"/>
    <w:qFormat/>
    <w:locked/>
    <w:uiPriority w:val="99"/>
    <w:rPr>
      <w:rFonts w:ascii="Courier New" w:hAnsi="Courier New"/>
      <w:color w:val="29387B"/>
      <w:sz w:val="18"/>
      <w:szCs w:val="18"/>
    </w:rPr>
  </w:style>
  <w:style w:type="character" w:customStyle="1" w:styleId="78">
    <w:name w:val="Pré-formatação HTML Char1"/>
    <w:basedOn w:val="11"/>
    <w:qFormat/>
    <w:uiPriority w:val="99"/>
    <w:rPr>
      <w:rFonts w:ascii="Consolas" w:hAnsi="Consolas"/>
      <w:sz w:val="20"/>
      <w:szCs w:val="20"/>
    </w:rPr>
  </w:style>
  <w:style w:type="character" w:customStyle="1" w:styleId="79">
    <w:name w:val="Corpo de texto 2 Char"/>
    <w:link w:val="36"/>
    <w:qFormat/>
    <w:locked/>
    <w:uiPriority w:val="0"/>
    <w:rPr>
      <w:bCs/>
      <w:sz w:val="24"/>
    </w:rPr>
  </w:style>
  <w:style w:type="character" w:customStyle="1" w:styleId="80">
    <w:name w:val="Corpo de texto 2 Char1"/>
    <w:basedOn w:val="11"/>
    <w:qFormat/>
    <w:uiPriority w:val="0"/>
  </w:style>
  <w:style w:type="character" w:customStyle="1" w:styleId="81">
    <w:name w:val="Absatz-Standardschriftart"/>
    <w:qFormat/>
    <w:uiPriority w:val="0"/>
  </w:style>
  <w:style w:type="character" w:customStyle="1" w:styleId="82">
    <w:name w:val="WW-Absatz-Standardschriftart"/>
    <w:qFormat/>
    <w:uiPriority w:val="0"/>
  </w:style>
  <w:style w:type="character" w:customStyle="1" w:styleId="83">
    <w:name w:val="WW-Absatz-Standardschriftart1"/>
    <w:qFormat/>
    <w:uiPriority w:val="0"/>
  </w:style>
  <w:style w:type="character" w:customStyle="1" w:styleId="84">
    <w:name w:val="Fonte parág. padrão2"/>
    <w:qFormat/>
    <w:uiPriority w:val="0"/>
  </w:style>
  <w:style w:type="character" w:customStyle="1" w:styleId="85">
    <w:name w:val="WW-Absatz-Standardschriftart11"/>
    <w:qFormat/>
    <w:uiPriority w:val="0"/>
  </w:style>
  <w:style w:type="character" w:customStyle="1" w:styleId="86">
    <w:name w:val="WW-Absatz-Standardschriftart111"/>
    <w:qFormat/>
    <w:uiPriority w:val="0"/>
  </w:style>
  <w:style w:type="character" w:customStyle="1" w:styleId="87">
    <w:name w:val="WW-Absatz-Standardschriftart1111"/>
    <w:qFormat/>
    <w:uiPriority w:val="0"/>
  </w:style>
  <w:style w:type="character" w:customStyle="1" w:styleId="88">
    <w:name w:val="Fonte parág. padrão1"/>
    <w:qFormat/>
    <w:uiPriority w:val="0"/>
  </w:style>
  <w:style w:type="character" w:customStyle="1" w:styleId="89">
    <w:name w:val="hlon3"/>
    <w:qFormat/>
    <w:uiPriority w:val="0"/>
    <w:rPr>
      <w:shd w:val="clear" w:fill="DDE7C8"/>
    </w:rPr>
  </w:style>
  <w:style w:type="character" w:customStyle="1" w:styleId="90">
    <w:name w:val="st"/>
    <w:qFormat/>
    <w:uiPriority w:val="0"/>
  </w:style>
  <w:style w:type="character" w:customStyle="1" w:styleId="91">
    <w:name w:val="Mapa do Documento Char"/>
    <w:basedOn w:val="11"/>
    <w:link w:val="40"/>
    <w:qFormat/>
    <w:uiPriority w:val="0"/>
    <w:rPr>
      <w:rFonts w:eastAsia="Times New Roman" w:cs="Times New Roman"/>
      <w:sz w:val="16"/>
      <w:szCs w:val="16"/>
      <w:lang w:val="zh-CN" w:eastAsia="zh-CN"/>
    </w:rPr>
  </w:style>
  <w:style w:type="character" w:customStyle="1" w:styleId="92">
    <w:name w:val="Unresolved Mention"/>
    <w:semiHidden/>
    <w:unhideWhenUsed/>
    <w:qFormat/>
    <w:uiPriority w:val="99"/>
    <w:rPr>
      <w:color w:val="605E5C"/>
      <w:shd w:val="clear" w:fill="E1DFDD"/>
    </w:rPr>
  </w:style>
  <w:style w:type="character" w:customStyle="1" w:styleId="93">
    <w:name w:val="WW8Num1z0"/>
    <w:qFormat/>
    <w:uiPriority w:val="0"/>
  </w:style>
  <w:style w:type="character" w:customStyle="1" w:styleId="94">
    <w:name w:val="WW8Num1z1"/>
    <w:qFormat/>
    <w:uiPriority w:val="0"/>
  </w:style>
  <w:style w:type="character" w:customStyle="1" w:styleId="95">
    <w:name w:val="WW8Num1z2"/>
    <w:qFormat/>
    <w:uiPriority w:val="0"/>
  </w:style>
  <w:style w:type="character" w:customStyle="1" w:styleId="96">
    <w:name w:val="WW8Num1z3"/>
    <w:qFormat/>
    <w:uiPriority w:val="0"/>
  </w:style>
  <w:style w:type="character" w:customStyle="1" w:styleId="97">
    <w:name w:val="WW8Num1z4"/>
    <w:qFormat/>
    <w:uiPriority w:val="0"/>
  </w:style>
  <w:style w:type="character" w:customStyle="1" w:styleId="98">
    <w:name w:val="WW8Num1z5"/>
    <w:qFormat/>
    <w:uiPriority w:val="0"/>
  </w:style>
  <w:style w:type="character" w:customStyle="1" w:styleId="99">
    <w:name w:val="WW8Num1z6"/>
    <w:qFormat/>
    <w:uiPriority w:val="0"/>
  </w:style>
  <w:style w:type="character" w:customStyle="1" w:styleId="100">
    <w:name w:val="WW8Num1z7"/>
    <w:qFormat/>
    <w:uiPriority w:val="0"/>
  </w:style>
  <w:style w:type="character" w:customStyle="1" w:styleId="101">
    <w:name w:val="WW8Num1z8"/>
    <w:qFormat/>
    <w:uiPriority w:val="0"/>
  </w:style>
  <w:style w:type="character" w:customStyle="1" w:styleId="102">
    <w:name w:val="WW8Num2z0"/>
    <w:qFormat/>
    <w:uiPriority w:val="0"/>
  </w:style>
  <w:style w:type="character" w:customStyle="1" w:styleId="103">
    <w:name w:val="WW8Num2z2"/>
    <w:qFormat/>
    <w:uiPriority w:val="0"/>
    <w:rPr>
      <w:sz w:val="22"/>
      <w:szCs w:val="22"/>
    </w:rPr>
  </w:style>
  <w:style w:type="character" w:customStyle="1" w:styleId="104">
    <w:name w:val="WW8Num3z0"/>
    <w:qFormat/>
    <w:uiPriority w:val="0"/>
    <w:rPr>
      <w:rFonts w:ascii="Symbol" w:hAnsi="Symbol" w:cs="Symbol"/>
    </w:rPr>
  </w:style>
  <w:style w:type="character" w:customStyle="1" w:styleId="105">
    <w:name w:val="WW8Num3z1"/>
    <w:qFormat/>
    <w:uiPriority w:val="0"/>
    <w:rPr>
      <w:rFonts w:ascii="Wingdings" w:hAnsi="Wingdings" w:cs="Wingdings"/>
    </w:rPr>
  </w:style>
  <w:style w:type="character" w:customStyle="1" w:styleId="106">
    <w:name w:val="WW8Num3z4"/>
    <w:qFormat/>
    <w:uiPriority w:val="0"/>
    <w:rPr>
      <w:rFonts w:ascii="Courier New" w:hAnsi="Courier New" w:cs="Courier New"/>
    </w:rPr>
  </w:style>
  <w:style w:type="character" w:customStyle="1" w:styleId="107">
    <w:name w:val="WW8Num4z0"/>
    <w:qFormat/>
    <w:uiPriority w:val="0"/>
    <w:rPr>
      <w:rFonts w:ascii="Symbol" w:hAnsi="Symbol" w:cs="Symbol"/>
    </w:rPr>
  </w:style>
  <w:style w:type="character" w:customStyle="1" w:styleId="108">
    <w:name w:val="WW8Num4z1"/>
    <w:qFormat/>
    <w:uiPriority w:val="0"/>
    <w:rPr>
      <w:rFonts w:ascii="Courier New" w:hAnsi="Courier New" w:cs="Courier New"/>
    </w:rPr>
  </w:style>
  <w:style w:type="character" w:customStyle="1" w:styleId="109">
    <w:name w:val="WW8Num4z2"/>
    <w:qFormat/>
    <w:uiPriority w:val="0"/>
    <w:rPr>
      <w:rFonts w:ascii="Wingdings" w:hAnsi="Wingdings" w:cs="Wingdings"/>
    </w:rPr>
  </w:style>
  <w:style w:type="character" w:customStyle="1" w:styleId="110">
    <w:name w:val="WW8Num5z0"/>
    <w:qFormat/>
    <w:uiPriority w:val="0"/>
    <w:rPr>
      <w:rFonts w:ascii="Symbol" w:hAnsi="Symbol" w:cs="Symbol"/>
    </w:rPr>
  </w:style>
  <w:style w:type="character" w:customStyle="1" w:styleId="111">
    <w:name w:val="WW8Num5z1"/>
    <w:qFormat/>
    <w:uiPriority w:val="0"/>
    <w:rPr>
      <w:rFonts w:ascii="Courier New" w:hAnsi="Courier New" w:cs="Courier New"/>
    </w:rPr>
  </w:style>
  <w:style w:type="character" w:customStyle="1" w:styleId="112">
    <w:name w:val="WW8Num5z2"/>
    <w:qFormat/>
    <w:uiPriority w:val="0"/>
    <w:rPr>
      <w:rFonts w:ascii="Wingdings" w:hAnsi="Wingdings" w:cs="Wingdings"/>
    </w:rPr>
  </w:style>
  <w:style w:type="character" w:customStyle="1" w:styleId="113">
    <w:name w:val="WW8Num6z0"/>
    <w:qFormat/>
    <w:uiPriority w:val="0"/>
    <w:rPr>
      <w:rFonts w:ascii="Symbol" w:hAnsi="Symbol" w:cs="Symbol"/>
    </w:rPr>
  </w:style>
  <w:style w:type="character" w:customStyle="1" w:styleId="114">
    <w:name w:val="WW8Num6z1"/>
    <w:qFormat/>
    <w:uiPriority w:val="0"/>
    <w:rPr>
      <w:rFonts w:ascii="Courier New" w:hAnsi="Courier New" w:cs="Courier New"/>
    </w:rPr>
  </w:style>
  <w:style w:type="character" w:customStyle="1" w:styleId="115">
    <w:name w:val="WW8Num6z2"/>
    <w:qFormat/>
    <w:uiPriority w:val="0"/>
    <w:rPr>
      <w:rFonts w:ascii="Wingdings" w:hAnsi="Wingdings" w:cs="Wingdings"/>
    </w:rPr>
  </w:style>
  <w:style w:type="character" w:customStyle="1" w:styleId="116">
    <w:name w:val="WW8Num7z0"/>
    <w:qFormat/>
    <w:uiPriority w:val="0"/>
  </w:style>
  <w:style w:type="character" w:customStyle="1" w:styleId="117">
    <w:name w:val="WW8Num8z0"/>
    <w:qFormat/>
    <w:uiPriority w:val="0"/>
    <w:rPr>
      <w:rFonts w:ascii="Wingdings" w:hAnsi="Wingdings" w:cs="Wingdings"/>
    </w:rPr>
  </w:style>
  <w:style w:type="character" w:customStyle="1" w:styleId="118">
    <w:name w:val="WW8Num8z1"/>
    <w:qFormat/>
    <w:uiPriority w:val="0"/>
    <w:rPr>
      <w:rFonts w:ascii="Courier New" w:hAnsi="Courier New" w:cs="Courier New"/>
    </w:rPr>
  </w:style>
  <w:style w:type="character" w:customStyle="1" w:styleId="119">
    <w:name w:val="WW8Num8z3"/>
    <w:qFormat/>
    <w:uiPriority w:val="0"/>
    <w:rPr>
      <w:rFonts w:ascii="Symbol" w:hAnsi="Symbol" w:cs="Symbol"/>
    </w:rPr>
  </w:style>
  <w:style w:type="character" w:customStyle="1" w:styleId="120">
    <w:name w:val="WW8Num9z0"/>
    <w:qFormat/>
    <w:uiPriority w:val="0"/>
  </w:style>
  <w:style w:type="character" w:customStyle="1" w:styleId="121">
    <w:name w:val="WW8Num9z1"/>
    <w:qFormat/>
    <w:uiPriority w:val="0"/>
  </w:style>
  <w:style w:type="character" w:customStyle="1" w:styleId="122">
    <w:name w:val="WW8Num9z2"/>
    <w:qFormat/>
    <w:uiPriority w:val="0"/>
  </w:style>
  <w:style w:type="character" w:customStyle="1" w:styleId="123">
    <w:name w:val="WW8Num9z3"/>
    <w:qFormat/>
    <w:uiPriority w:val="0"/>
  </w:style>
  <w:style w:type="character" w:customStyle="1" w:styleId="124">
    <w:name w:val="WW8Num9z4"/>
    <w:qFormat/>
    <w:uiPriority w:val="0"/>
  </w:style>
  <w:style w:type="character" w:customStyle="1" w:styleId="125">
    <w:name w:val="WW8Num9z5"/>
    <w:qFormat/>
    <w:uiPriority w:val="0"/>
  </w:style>
  <w:style w:type="character" w:customStyle="1" w:styleId="126">
    <w:name w:val="WW8Num9z6"/>
    <w:qFormat/>
    <w:uiPriority w:val="0"/>
  </w:style>
  <w:style w:type="character" w:customStyle="1" w:styleId="127">
    <w:name w:val="WW8Num9z7"/>
    <w:qFormat/>
    <w:uiPriority w:val="0"/>
  </w:style>
  <w:style w:type="character" w:customStyle="1" w:styleId="128">
    <w:name w:val="WW8Num9z8"/>
    <w:qFormat/>
    <w:uiPriority w:val="0"/>
  </w:style>
  <w:style w:type="character" w:customStyle="1" w:styleId="129">
    <w:name w:val="WW8Num10z0"/>
    <w:qFormat/>
    <w:uiPriority w:val="0"/>
  </w:style>
  <w:style w:type="character" w:customStyle="1" w:styleId="130">
    <w:name w:val="WW8Num11z0"/>
    <w:qFormat/>
    <w:uiPriority w:val="0"/>
    <w:rPr>
      <w:rFonts w:ascii="Symbol" w:hAnsi="Symbol" w:cs="Symbol"/>
    </w:rPr>
  </w:style>
  <w:style w:type="character" w:customStyle="1" w:styleId="131">
    <w:name w:val="WW8Num11z1"/>
    <w:qFormat/>
    <w:uiPriority w:val="0"/>
    <w:rPr>
      <w:rFonts w:ascii="Courier New" w:hAnsi="Courier New" w:cs="Courier New"/>
    </w:rPr>
  </w:style>
  <w:style w:type="character" w:customStyle="1" w:styleId="132">
    <w:name w:val="WW8Num11z2"/>
    <w:qFormat/>
    <w:uiPriority w:val="0"/>
    <w:rPr>
      <w:rFonts w:ascii="Wingdings" w:hAnsi="Wingdings" w:cs="Wingdings"/>
    </w:rPr>
  </w:style>
  <w:style w:type="character" w:customStyle="1" w:styleId="133">
    <w:name w:val="WW8Num12z0"/>
    <w:qFormat/>
    <w:uiPriority w:val="0"/>
  </w:style>
  <w:style w:type="character" w:customStyle="1" w:styleId="134">
    <w:name w:val="WW8Num12z1"/>
    <w:qFormat/>
    <w:uiPriority w:val="0"/>
  </w:style>
  <w:style w:type="character" w:customStyle="1" w:styleId="135">
    <w:name w:val="WW8Num12z2"/>
    <w:qFormat/>
    <w:uiPriority w:val="0"/>
  </w:style>
  <w:style w:type="character" w:customStyle="1" w:styleId="136">
    <w:name w:val="WW8Num12z3"/>
    <w:qFormat/>
    <w:uiPriority w:val="0"/>
  </w:style>
  <w:style w:type="character" w:customStyle="1" w:styleId="137">
    <w:name w:val="WW8Num12z4"/>
    <w:qFormat/>
    <w:uiPriority w:val="0"/>
  </w:style>
  <w:style w:type="character" w:customStyle="1" w:styleId="138">
    <w:name w:val="WW8Num12z5"/>
    <w:qFormat/>
    <w:uiPriority w:val="0"/>
  </w:style>
  <w:style w:type="character" w:customStyle="1" w:styleId="139">
    <w:name w:val="WW8Num12z6"/>
    <w:qFormat/>
    <w:uiPriority w:val="0"/>
  </w:style>
  <w:style w:type="character" w:customStyle="1" w:styleId="140">
    <w:name w:val="WW8Num12z7"/>
    <w:qFormat/>
    <w:uiPriority w:val="0"/>
  </w:style>
  <w:style w:type="character" w:customStyle="1" w:styleId="141">
    <w:name w:val="WW8Num12z8"/>
    <w:qFormat/>
    <w:uiPriority w:val="0"/>
  </w:style>
  <w:style w:type="character" w:customStyle="1" w:styleId="142">
    <w:name w:val="WW8Num13z0"/>
    <w:qFormat/>
    <w:uiPriority w:val="0"/>
    <w:rPr>
      <w:rFonts w:ascii="Symbol" w:hAnsi="Symbol" w:cs="Symbol"/>
    </w:rPr>
  </w:style>
  <w:style w:type="character" w:customStyle="1" w:styleId="143">
    <w:name w:val="WW8Num13z1"/>
    <w:qFormat/>
    <w:uiPriority w:val="0"/>
    <w:rPr>
      <w:rFonts w:ascii="Courier New" w:hAnsi="Courier New" w:cs="Courier New"/>
    </w:rPr>
  </w:style>
  <w:style w:type="character" w:customStyle="1" w:styleId="144">
    <w:name w:val="WW8Num13z2"/>
    <w:qFormat/>
    <w:uiPriority w:val="0"/>
    <w:rPr>
      <w:rFonts w:ascii="Wingdings" w:hAnsi="Wingdings" w:cs="Wingdings"/>
    </w:rPr>
  </w:style>
  <w:style w:type="character" w:customStyle="1" w:styleId="145">
    <w:name w:val="WW8Num14z0"/>
    <w:qFormat/>
    <w:uiPriority w:val="0"/>
  </w:style>
  <w:style w:type="character" w:customStyle="1" w:styleId="146">
    <w:name w:val="WW8Num14z1"/>
    <w:qFormat/>
    <w:uiPriority w:val="0"/>
  </w:style>
  <w:style w:type="character" w:customStyle="1" w:styleId="147">
    <w:name w:val="WW8Num14z2"/>
    <w:qFormat/>
    <w:uiPriority w:val="0"/>
  </w:style>
  <w:style w:type="character" w:customStyle="1" w:styleId="148">
    <w:name w:val="WW8Num14z3"/>
    <w:qFormat/>
    <w:uiPriority w:val="0"/>
  </w:style>
  <w:style w:type="character" w:customStyle="1" w:styleId="149">
    <w:name w:val="WW8Num14z4"/>
    <w:qFormat/>
    <w:uiPriority w:val="0"/>
  </w:style>
  <w:style w:type="character" w:customStyle="1" w:styleId="150">
    <w:name w:val="WW8Num14z5"/>
    <w:qFormat/>
    <w:uiPriority w:val="0"/>
  </w:style>
  <w:style w:type="character" w:customStyle="1" w:styleId="151">
    <w:name w:val="WW8Num14z6"/>
    <w:qFormat/>
    <w:uiPriority w:val="0"/>
  </w:style>
  <w:style w:type="character" w:customStyle="1" w:styleId="152">
    <w:name w:val="WW8Num14z7"/>
    <w:qFormat/>
    <w:uiPriority w:val="0"/>
  </w:style>
  <w:style w:type="character" w:customStyle="1" w:styleId="153">
    <w:name w:val="WW8Num14z8"/>
    <w:qFormat/>
    <w:uiPriority w:val="0"/>
  </w:style>
  <w:style w:type="character" w:customStyle="1" w:styleId="154">
    <w:name w:val="WW8Num15z0"/>
    <w:qFormat/>
    <w:uiPriority w:val="0"/>
  </w:style>
  <w:style w:type="character" w:customStyle="1" w:styleId="155">
    <w:name w:val="WW8Num16z0"/>
    <w:qFormat/>
    <w:uiPriority w:val="0"/>
  </w:style>
  <w:style w:type="character" w:customStyle="1" w:styleId="156">
    <w:name w:val="WW8Num16z1"/>
    <w:qFormat/>
    <w:uiPriority w:val="0"/>
  </w:style>
  <w:style w:type="character" w:customStyle="1" w:styleId="157">
    <w:name w:val="WW8Num16z2"/>
    <w:qFormat/>
    <w:uiPriority w:val="0"/>
  </w:style>
  <w:style w:type="character" w:customStyle="1" w:styleId="158">
    <w:name w:val="WW8Num16z3"/>
    <w:qFormat/>
    <w:uiPriority w:val="0"/>
  </w:style>
  <w:style w:type="character" w:customStyle="1" w:styleId="159">
    <w:name w:val="WW8Num16z4"/>
    <w:qFormat/>
    <w:uiPriority w:val="0"/>
  </w:style>
  <w:style w:type="character" w:customStyle="1" w:styleId="160">
    <w:name w:val="WW8Num16z5"/>
    <w:qFormat/>
    <w:uiPriority w:val="0"/>
  </w:style>
  <w:style w:type="character" w:customStyle="1" w:styleId="161">
    <w:name w:val="WW8Num16z6"/>
    <w:qFormat/>
    <w:uiPriority w:val="0"/>
  </w:style>
  <w:style w:type="character" w:customStyle="1" w:styleId="162">
    <w:name w:val="WW8Num16z7"/>
    <w:qFormat/>
    <w:uiPriority w:val="0"/>
  </w:style>
  <w:style w:type="character" w:customStyle="1" w:styleId="163">
    <w:name w:val="WW8Num16z8"/>
    <w:qFormat/>
    <w:uiPriority w:val="0"/>
  </w:style>
  <w:style w:type="character" w:customStyle="1" w:styleId="164">
    <w:name w:val="WW8Num17z0"/>
    <w:qFormat/>
    <w:uiPriority w:val="0"/>
  </w:style>
  <w:style w:type="character" w:customStyle="1" w:styleId="165">
    <w:name w:val="WW8Num17z1"/>
    <w:qFormat/>
    <w:uiPriority w:val="0"/>
  </w:style>
  <w:style w:type="character" w:customStyle="1" w:styleId="166">
    <w:name w:val="WW8Num17z2"/>
    <w:qFormat/>
    <w:uiPriority w:val="0"/>
  </w:style>
  <w:style w:type="character" w:customStyle="1" w:styleId="167">
    <w:name w:val="WW8Num17z3"/>
    <w:qFormat/>
    <w:uiPriority w:val="0"/>
  </w:style>
  <w:style w:type="character" w:customStyle="1" w:styleId="168">
    <w:name w:val="WW8Num17z4"/>
    <w:qFormat/>
    <w:uiPriority w:val="0"/>
  </w:style>
  <w:style w:type="character" w:customStyle="1" w:styleId="169">
    <w:name w:val="WW8Num17z5"/>
    <w:qFormat/>
    <w:uiPriority w:val="0"/>
  </w:style>
  <w:style w:type="character" w:customStyle="1" w:styleId="170">
    <w:name w:val="WW8Num17z6"/>
    <w:qFormat/>
    <w:uiPriority w:val="0"/>
  </w:style>
  <w:style w:type="character" w:customStyle="1" w:styleId="171">
    <w:name w:val="WW8Num17z7"/>
    <w:qFormat/>
    <w:uiPriority w:val="0"/>
  </w:style>
  <w:style w:type="character" w:customStyle="1" w:styleId="172">
    <w:name w:val="WW8Num17z8"/>
    <w:qFormat/>
    <w:uiPriority w:val="0"/>
  </w:style>
  <w:style w:type="character" w:customStyle="1" w:styleId="173">
    <w:name w:val="WW8Num18z0"/>
    <w:qFormat/>
    <w:uiPriority w:val="0"/>
  </w:style>
  <w:style w:type="character" w:customStyle="1" w:styleId="174">
    <w:name w:val="WW8Num18z1"/>
    <w:qFormat/>
    <w:uiPriority w:val="0"/>
  </w:style>
  <w:style w:type="character" w:customStyle="1" w:styleId="175">
    <w:name w:val="WW8Num18z2"/>
    <w:qFormat/>
    <w:uiPriority w:val="0"/>
  </w:style>
  <w:style w:type="character" w:customStyle="1" w:styleId="176">
    <w:name w:val="WW8Num18z3"/>
    <w:qFormat/>
    <w:uiPriority w:val="0"/>
  </w:style>
  <w:style w:type="character" w:customStyle="1" w:styleId="177">
    <w:name w:val="WW8Num18z4"/>
    <w:qFormat/>
    <w:uiPriority w:val="0"/>
  </w:style>
  <w:style w:type="character" w:customStyle="1" w:styleId="178">
    <w:name w:val="WW8Num18z5"/>
    <w:qFormat/>
    <w:uiPriority w:val="0"/>
  </w:style>
  <w:style w:type="character" w:customStyle="1" w:styleId="179">
    <w:name w:val="WW8Num18z6"/>
    <w:qFormat/>
    <w:uiPriority w:val="0"/>
  </w:style>
  <w:style w:type="character" w:customStyle="1" w:styleId="180">
    <w:name w:val="WW8Num18z7"/>
    <w:qFormat/>
    <w:uiPriority w:val="0"/>
  </w:style>
  <w:style w:type="character" w:customStyle="1" w:styleId="181">
    <w:name w:val="WW8Num18z8"/>
    <w:qFormat/>
    <w:uiPriority w:val="0"/>
  </w:style>
  <w:style w:type="character" w:customStyle="1" w:styleId="182">
    <w:name w:val="WW8Num19z0"/>
    <w:qFormat/>
    <w:uiPriority w:val="0"/>
  </w:style>
  <w:style w:type="character" w:customStyle="1" w:styleId="183">
    <w:name w:val="WW8Num19z1"/>
    <w:qFormat/>
    <w:uiPriority w:val="0"/>
  </w:style>
  <w:style w:type="character" w:customStyle="1" w:styleId="184">
    <w:name w:val="WW8Num19z2"/>
    <w:qFormat/>
    <w:uiPriority w:val="0"/>
  </w:style>
  <w:style w:type="character" w:customStyle="1" w:styleId="185">
    <w:name w:val="WW8Num19z3"/>
    <w:qFormat/>
    <w:uiPriority w:val="0"/>
  </w:style>
  <w:style w:type="character" w:customStyle="1" w:styleId="186">
    <w:name w:val="WW8Num19z4"/>
    <w:qFormat/>
    <w:uiPriority w:val="0"/>
  </w:style>
  <w:style w:type="character" w:customStyle="1" w:styleId="187">
    <w:name w:val="WW8Num19z5"/>
    <w:qFormat/>
    <w:uiPriority w:val="0"/>
  </w:style>
  <w:style w:type="character" w:customStyle="1" w:styleId="188">
    <w:name w:val="WW8Num19z6"/>
    <w:qFormat/>
    <w:uiPriority w:val="0"/>
  </w:style>
  <w:style w:type="character" w:customStyle="1" w:styleId="189">
    <w:name w:val="WW8Num19z7"/>
    <w:qFormat/>
    <w:uiPriority w:val="0"/>
  </w:style>
  <w:style w:type="character" w:customStyle="1" w:styleId="190">
    <w:name w:val="WW8Num19z8"/>
    <w:qFormat/>
    <w:uiPriority w:val="0"/>
  </w:style>
  <w:style w:type="character" w:customStyle="1" w:styleId="191">
    <w:name w:val="WW8Num20z0"/>
    <w:qFormat/>
    <w:uiPriority w:val="0"/>
    <w:rPr>
      <w:rFonts w:ascii="Symbol" w:hAnsi="Symbol" w:cs="Symbol"/>
    </w:rPr>
  </w:style>
  <w:style w:type="character" w:customStyle="1" w:styleId="192">
    <w:name w:val="WW8Num20z1"/>
    <w:qFormat/>
    <w:uiPriority w:val="0"/>
    <w:rPr>
      <w:rFonts w:ascii="Courier New" w:hAnsi="Courier New" w:cs="Courier New"/>
    </w:rPr>
  </w:style>
  <w:style w:type="character" w:customStyle="1" w:styleId="193">
    <w:name w:val="WW8Num20z2"/>
    <w:qFormat/>
    <w:uiPriority w:val="0"/>
    <w:rPr>
      <w:rFonts w:ascii="Wingdings" w:hAnsi="Wingdings" w:cs="Wingdings"/>
    </w:rPr>
  </w:style>
  <w:style w:type="character" w:customStyle="1" w:styleId="194">
    <w:name w:val="WW8Num21z0"/>
    <w:qFormat/>
    <w:uiPriority w:val="0"/>
    <w:rPr>
      <w:rFonts w:ascii="Arial Unicode MS" w:hAnsi="Arial Unicode MS" w:cs="Arial Unicode MS"/>
    </w:rPr>
  </w:style>
  <w:style w:type="character" w:customStyle="1" w:styleId="195">
    <w:name w:val="WW8Num22z0"/>
    <w:qFormat/>
    <w:uiPriority w:val="0"/>
    <w:rPr>
      <w:rFonts w:ascii="Symbol" w:hAnsi="Symbol" w:cs="Symbol"/>
    </w:rPr>
  </w:style>
  <w:style w:type="character" w:customStyle="1" w:styleId="196">
    <w:name w:val="WW8Num22z1"/>
    <w:qFormat/>
    <w:uiPriority w:val="0"/>
    <w:rPr>
      <w:rFonts w:ascii="Courier New" w:hAnsi="Courier New" w:cs="Courier New"/>
    </w:rPr>
  </w:style>
  <w:style w:type="character" w:customStyle="1" w:styleId="197">
    <w:name w:val="WW8Num22z2"/>
    <w:qFormat/>
    <w:uiPriority w:val="0"/>
    <w:rPr>
      <w:rFonts w:ascii="Wingdings" w:hAnsi="Wingdings" w:cs="Wingdings"/>
    </w:rPr>
  </w:style>
  <w:style w:type="character" w:customStyle="1" w:styleId="198">
    <w:name w:val="WW8Num23z0"/>
    <w:qFormat/>
    <w:uiPriority w:val="0"/>
  </w:style>
  <w:style w:type="character" w:customStyle="1" w:styleId="199">
    <w:name w:val="WW8Num24z0"/>
    <w:qFormat/>
    <w:uiPriority w:val="0"/>
  </w:style>
  <w:style w:type="character" w:customStyle="1" w:styleId="200">
    <w:name w:val="WW8Num24z1"/>
    <w:qFormat/>
    <w:uiPriority w:val="0"/>
  </w:style>
  <w:style w:type="character" w:customStyle="1" w:styleId="201">
    <w:name w:val="WW8Num24z2"/>
    <w:qFormat/>
    <w:uiPriority w:val="0"/>
  </w:style>
  <w:style w:type="character" w:customStyle="1" w:styleId="202">
    <w:name w:val="WW8Num24z3"/>
    <w:qFormat/>
    <w:uiPriority w:val="0"/>
  </w:style>
  <w:style w:type="character" w:customStyle="1" w:styleId="203">
    <w:name w:val="WW8Num24z4"/>
    <w:qFormat/>
    <w:uiPriority w:val="0"/>
  </w:style>
  <w:style w:type="character" w:customStyle="1" w:styleId="204">
    <w:name w:val="WW8Num24z5"/>
    <w:qFormat/>
    <w:uiPriority w:val="0"/>
  </w:style>
  <w:style w:type="character" w:customStyle="1" w:styleId="205">
    <w:name w:val="WW8Num24z6"/>
    <w:qFormat/>
    <w:uiPriority w:val="0"/>
  </w:style>
  <w:style w:type="character" w:customStyle="1" w:styleId="206">
    <w:name w:val="WW8Num24z7"/>
    <w:qFormat/>
    <w:uiPriority w:val="0"/>
  </w:style>
  <w:style w:type="character" w:customStyle="1" w:styleId="207">
    <w:name w:val="WW8Num24z8"/>
    <w:qFormat/>
    <w:uiPriority w:val="0"/>
  </w:style>
  <w:style w:type="character" w:customStyle="1" w:styleId="208">
    <w:name w:val="WW8Num25z0"/>
    <w:qFormat/>
    <w:uiPriority w:val="0"/>
  </w:style>
  <w:style w:type="character" w:customStyle="1" w:styleId="209">
    <w:name w:val="WW8Num25z1"/>
    <w:qFormat/>
    <w:uiPriority w:val="0"/>
  </w:style>
  <w:style w:type="character" w:customStyle="1" w:styleId="210">
    <w:name w:val="WW8Num25z2"/>
    <w:qFormat/>
    <w:uiPriority w:val="0"/>
  </w:style>
  <w:style w:type="character" w:customStyle="1" w:styleId="211">
    <w:name w:val="WW8Num25z3"/>
    <w:qFormat/>
    <w:uiPriority w:val="0"/>
  </w:style>
  <w:style w:type="character" w:customStyle="1" w:styleId="212">
    <w:name w:val="WW8Num25z4"/>
    <w:qFormat/>
    <w:uiPriority w:val="0"/>
  </w:style>
  <w:style w:type="character" w:customStyle="1" w:styleId="213">
    <w:name w:val="WW8Num25z5"/>
    <w:qFormat/>
    <w:uiPriority w:val="0"/>
  </w:style>
  <w:style w:type="character" w:customStyle="1" w:styleId="214">
    <w:name w:val="WW8Num25z6"/>
    <w:qFormat/>
    <w:uiPriority w:val="0"/>
  </w:style>
  <w:style w:type="character" w:customStyle="1" w:styleId="215">
    <w:name w:val="WW8Num25z7"/>
    <w:qFormat/>
    <w:uiPriority w:val="0"/>
  </w:style>
  <w:style w:type="character" w:customStyle="1" w:styleId="216">
    <w:name w:val="WW8Num25z8"/>
    <w:qFormat/>
    <w:uiPriority w:val="0"/>
  </w:style>
  <w:style w:type="character" w:customStyle="1" w:styleId="217">
    <w:name w:val="WW8Num26z0"/>
    <w:qFormat/>
    <w:uiPriority w:val="0"/>
    <w:rPr>
      <w:rFonts w:ascii="Symbol" w:hAnsi="Symbol" w:cs="Symbol"/>
    </w:rPr>
  </w:style>
  <w:style w:type="character" w:customStyle="1" w:styleId="218">
    <w:name w:val="WW8Num26z1"/>
    <w:qFormat/>
    <w:uiPriority w:val="0"/>
    <w:rPr>
      <w:rFonts w:ascii="Courier New" w:hAnsi="Courier New" w:cs="Courier New"/>
    </w:rPr>
  </w:style>
  <w:style w:type="character" w:customStyle="1" w:styleId="219">
    <w:name w:val="WW8Num26z2"/>
    <w:qFormat/>
    <w:uiPriority w:val="0"/>
    <w:rPr>
      <w:rFonts w:ascii="Wingdings" w:hAnsi="Wingdings" w:cs="Wingdings"/>
    </w:rPr>
  </w:style>
  <w:style w:type="character" w:customStyle="1" w:styleId="220">
    <w:name w:val="WW8Num27z0"/>
    <w:qFormat/>
    <w:uiPriority w:val="0"/>
  </w:style>
  <w:style w:type="character" w:customStyle="1" w:styleId="221">
    <w:name w:val="WW8Num27z1"/>
    <w:qFormat/>
    <w:uiPriority w:val="0"/>
  </w:style>
  <w:style w:type="character" w:customStyle="1" w:styleId="222">
    <w:name w:val="WW8Num27z2"/>
    <w:qFormat/>
    <w:uiPriority w:val="0"/>
  </w:style>
  <w:style w:type="character" w:customStyle="1" w:styleId="223">
    <w:name w:val="WW8Num27z3"/>
    <w:qFormat/>
    <w:uiPriority w:val="0"/>
  </w:style>
  <w:style w:type="character" w:customStyle="1" w:styleId="224">
    <w:name w:val="WW8Num27z4"/>
    <w:qFormat/>
    <w:uiPriority w:val="0"/>
  </w:style>
  <w:style w:type="character" w:customStyle="1" w:styleId="225">
    <w:name w:val="WW8Num27z5"/>
    <w:qFormat/>
    <w:uiPriority w:val="0"/>
  </w:style>
  <w:style w:type="character" w:customStyle="1" w:styleId="226">
    <w:name w:val="WW8Num27z6"/>
    <w:qFormat/>
    <w:uiPriority w:val="0"/>
  </w:style>
  <w:style w:type="character" w:customStyle="1" w:styleId="227">
    <w:name w:val="WW8Num27z7"/>
    <w:qFormat/>
    <w:uiPriority w:val="0"/>
  </w:style>
  <w:style w:type="character" w:customStyle="1" w:styleId="228">
    <w:name w:val="WW8Num27z8"/>
    <w:qFormat/>
    <w:uiPriority w:val="0"/>
  </w:style>
  <w:style w:type="character" w:customStyle="1" w:styleId="229">
    <w:name w:val="WW8Num28z0"/>
    <w:qFormat/>
    <w:uiPriority w:val="0"/>
  </w:style>
  <w:style w:type="character" w:customStyle="1" w:styleId="230">
    <w:name w:val="WW8Num29z0"/>
    <w:qFormat/>
    <w:uiPriority w:val="0"/>
  </w:style>
  <w:style w:type="character" w:customStyle="1" w:styleId="231">
    <w:name w:val="WW8Num30z0"/>
    <w:qFormat/>
    <w:uiPriority w:val="0"/>
    <w:rPr>
      <w:rFonts w:ascii="Symbol" w:hAnsi="Symbol" w:cs="Symbol"/>
    </w:rPr>
  </w:style>
  <w:style w:type="character" w:customStyle="1" w:styleId="232">
    <w:name w:val="WW8Num30z1"/>
    <w:qFormat/>
    <w:uiPriority w:val="0"/>
    <w:rPr>
      <w:rFonts w:ascii="Courier New" w:hAnsi="Courier New" w:cs="Courier New"/>
    </w:rPr>
  </w:style>
  <w:style w:type="character" w:customStyle="1" w:styleId="233">
    <w:name w:val="WW8Num30z2"/>
    <w:qFormat/>
    <w:uiPriority w:val="0"/>
    <w:rPr>
      <w:rFonts w:ascii="Wingdings" w:hAnsi="Wingdings" w:cs="Wingdings"/>
    </w:rPr>
  </w:style>
  <w:style w:type="character" w:customStyle="1" w:styleId="234">
    <w:name w:val="WW8Num31z0"/>
    <w:qFormat/>
    <w:uiPriority w:val="0"/>
    <w:rPr>
      <w:rFonts w:ascii="Symbol" w:hAnsi="Symbol" w:cs="Symbol"/>
    </w:rPr>
  </w:style>
  <w:style w:type="character" w:customStyle="1" w:styleId="235">
    <w:name w:val="WW8Num31z1"/>
    <w:qFormat/>
    <w:uiPriority w:val="0"/>
    <w:rPr>
      <w:rFonts w:ascii="Courier New" w:hAnsi="Courier New" w:cs="Courier New"/>
    </w:rPr>
  </w:style>
  <w:style w:type="character" w:customStyle="1" w:styleId="236">
    <w:name w:val="WW8Num31z2"/>
    <w:qFormat/>
    <w:uiPriority w:val="0"/>
    <w:rPr>
      <w:rFonts w:ascii="Wingdings" w:hAnsi="Wingdings" w:cs="Wingdings"/>
    </w:rPr>
  </w:style>
  <w:style w:type="character" w:customStyle="1" w:styleId="237">
    <w:name w:val="WW8Num32z0"/>
    <w:qFormat/>
    <w:uiPriority w:val="0"/>
  </w:style>
  <w:style w:type="character" w:customStyle="1" w:styleId="238">
    <w:name w:val="WW8Num33z0"/>
    <w:qFormat/>
    <w:uiPriority w:val="0"/>
    <w:rPr>
      <w:rFonts w:ascii="Symbol" w:hAnsi="Symbol" w:cs="Symbol"/>
    </w:rPr>
  </w:style>
  <w:style w:type="character" w:customStyle="1" w:styleId="239">
    <w:name w:val="WW8Num33z1"/>
    <w:qFormat/>
    <w:uiPriority w:val="0"/>
    <w:rPr>
      <w:rFonts w:ascii="Courier New" w:hAnsi="Courier New" w:cs="Courier New"/>
    </w:rPr>
  </w:style>
  <w:style w:type="character" w:customStyle="1" w:styleId="240">
    <w:name w:val="WW8Num33z2"/>
    <w:qFormat/>
    <w:uiPriority w:val="0"/>
    <w:rPr>
      <w:rFonts w:ascii="Wingdings" w:hAnsi="Wingdings" w:cs="Wingdings"/>
    </w:rPr>
  </w:style>
  <w:style w:type="character" w:customStyle="1" w:styleId="241">
    <w:name w:val="WW8Num34z0"/>
    <w:qFormat/>
    <w:uiPriority w:val="0"/>
    <w:rPr>
      <w:rFonts w:ascii="Symbol" w:hAnsi="Symbol" w:cs="Symbol"/>
    </w:rPr>
  </w:style>
  <w:style w:type="character" w:customStyle="1" w:styleId="242">
    <w:name w:val="WW8Num34z1"/>
    <w:qFormat/>
    <w:uiPriority w:val="0"/>
    <w:rPr>
      <w:rFonts w:ascii="Courier New" w:hAnsi="Courier New" w:cs="Courier New"/>
    </w:rPr>
  </w:style>
  <w:style w:type="character" w:customStyle="1" w:styleId="243">
    <w:name w:val="WW8Num34z2"/>
    <w:qFormat/>
    <w:uiPriority w:val="0"/>
    <w:rPr>
      <w:rFonts w:ascii="Wingdings" w:hAnsi="Wingdings" w:cs="Wingdings"/>
    </w:rPr>
  </w:style>
  <w:style w:type="character" w:customStyle="1" w:styleId="244">
    <w:name w:val="WW8Num35z0"/>
    <w:qFormat/>
    <w:uiPriority w:val="0"/>
    <w:rPr>
      <w:rFonts w:ascii="Times" w:hAnsi="Times" w:cs="Times"/>
    </w:rPr>
  </w:style>
  <w:style w:type="character" w:customStyle="1" w:styleId="245">
    <w:name w:val="WW8Num35z1"/>
    <w:qFormat/>
    <w:uiPriority w:val="0"/>
  </w:style>
  <w:style w:type="character" w:customStyle="1" w:styleId="246">
    <w:name w:val="WW8Num35z2"/>
    <w:qFormat/>
    <w:uiPriority w:val="0"/>
  </w:style>
  <w:style w:type="character" w:customStyle="1" w:styleId="247">
    <w:name w:val="WW8Num35z3"/>
    <w:qFormat/>
    <w:uiPriority w:val="0"/>
  </w:style>
  <w:style w:type="character" w:customStyle="1" w:styleId="248">
    <w:name w:val="WW8Num35z4"/>
    <w:qFormat/>
    <w:uiPriority w:val="0"/>
  </w:style>
  <w:style w:type="character" w:customStyle="1" w:styleId="249">
    <w:name w:val="WW8Num35z5"/>
    <w:qFormat/>
    <w:uiPriority w:val="0"/>
  </w:style>
  <w:style w:type="character" w:customStyle="1" w:styleId="250">
    <w:name w:val="WW8Num35z6"/>
    <w:qFormat/>
    <w:uiPriority w:val="0"/>
  </w:style>
  <w:style w:type="character" w:customStyle="1" w:styleId="251">
    <w:name w:val="WW8Num35z7"/>
    <w:qFormat/>
    <w:uiPriority w:val="0"/>
  </w:style>
  <w:style w:type="character" w:customStyle="1" w:styleId="252">
    <w:name w:val="WW8Num35z8"/>
    <w:qFormat/>
    <w:uiPriority w:val="0"/>
  </w:style>
  <w:style w:type="character" w:customStyle="1" w:styleId="253">
    <w:name w:val="WW8Num36z0"/>
    <w:qFormat/>
    <w:uiPriority w:val="0"/>
  </w:style>
  <w:style w:type="character" w:customStyle="1" w:styleId="254">
    <w:name w:val="WW8Num36z1"/>
    <w:qFormat/>
    <w:uiPriority w:val="0"/>
  </w:style>
  <w:style w:type="character" w:customStyle="1" w:styleId="255">
    <w:name w:val="WW8Num36z2"/>
    <w:qFormat/>
    <w:uiPriority w:val="0"/>
  </w:style>
  <w:style w:type="character" w:customStyle="1" w:styleId="256">
    <w:name w:val="WW8Num36z3"/>
    <w:qFormat/>
    <w:uiPriority w:val="0"/>
  </w:style>
  <w:style w:type="character" w:customStyle="1" w:styleId="257">
    <w:name w:val="WW8Num36z4"/>
    <w:qFormat/>
    <w:uiPriority w:val="0"/>
  </w:style>
  <w:style w:type="character" w:customStyle="1" w:styleId="258">
    <w:name w:val="WW8Num36z5"/>
    <w:qFormat/>
    <w:uiPriority w:val="0"/>
  </w:style>
  <w:style w:type="character" w:customStyle="1" w:styleId="259">
    <w:name w:val="WW8Num36z6"/>
    <w:qFormat/>
    <w:uiPriority w:val="0"/>
  </w:style>
  <w:style w:type="character" w:customStyle="1" w:styleId="260">
    <w:name w:val="WW8Num36z7"/>
    <w:qFormat/>
    <w:uiPriority w:val="0"/>
  </w:style>
  <w:style w:type="character" w:customStyle="1" w:styleId="261">
    <w:name w:val="WW8Num36z8"/>
    <w:qFormat/>
    <w:uiPriority w:val="0"/>
  </w:style>
  <w:style w:type="character" w:customStyle="1" w:styleId="262">
    <w:name w:val="WW8Num37z0"/>
    <w:qFormat/>
    <w:uiPriority w:val="0"/>
  </w:style>
  <w:style w:type="character" w:customStyle="1" w:styleId="263">
    <w:name w:val="WW8Num38z0"/>
    <w:qFormat/>
    <w:uiPriority w:val="0"/>
    <w:rPr>
      <w:rFonts w:ascii="Symbol" w:hAnsi="Symbol" w:cs="Symbol"/>
    </w:rPr>
  </w:style>
  <w:style w:type="character" w:customStyle="1" w:styleId="264">
    <w:name w:val="WW8Num38z1"/>
    <w:qFormat/>
    <w:uiPriority w:val="0"/>
    <w:rPr>
      <w:rFonts w:ascii="Courier New" w:hAnsi="Courier New" w:cs="Courier New"/>
    </w:rPr>
  </w:style>
  <w:style w:type="character" w:customStyle="1" w:styleId="265">
    <w:name w:val="WW8Num38z2"/>
    <w:qFormat/>
    <w:uiPriority w:val="0"/>
    <w:rPr>
      <w:rFonts w:ascii="Wingdings" w:hAnsi="Wingdings" w:cs="Wingdings"/>
    </w:rPr>
  </w:style>
  <w:style w:type="character" w:customStyle="1" w:styleId="266">
    <w:name w:val="WW8Num39z0"/>
    <w:qFormat/>
    <w:uiPriority w:val="0"/>
  </w:style>
  <w:style w:type="character" w:customStyle="1" w:styleId="267">
    <w:name w:val="WW8Num40z0"/>
    <w:qFormat/>
    <w:uiPriority w:val="0"/>
    <w:rPr>
      <w:rFonts w:ascii="Symbol" w:hAnsi="Symbol" w:cs="Symbol"/>
    </w:rPr>
  </w:style>
  <w:style w:type="character" w:customStyle="1" w:styleId="268">
    <w:name w:val="WW8Num40z1"/>
    <w:qFormat/>
    <w:uiPriority w:val="0"/>
    <w:rPr>
      <w:rFonts w:ascii="Courier New" w:hAnsi="Courier New" w:cs="Courier New"/>
    </w:rPr>
  </w:style>
  <w:style w:type="character" w:customStyle="1" w:styleId="269">
    <w:name w:val="WW8Num40z2"/>
    <w:qFormat/>
    <w:uiPriority w:val="0"/>
    <w:rPr>
      <w:rFonts w:ascii="Wingdings" w:hAnsi="Wingdings" w:cs="Wingdings"/>
    </w:rPr>
  </w:style>
  <w:style w:type="character" w:customStyle="1" w:styleId="270">
    <w:name w:val="WW8Num41z0"/>
    <w:qFormat/>
    <w:uiPriority w:val="0"/>
  </w:style>
  <w:style w:type="character" w:customStyle="1" w:styleId="271">
    <w:name w:val="WW8Num41z1"/>
    <w:qFormat/>
    <w:uiPriority w:val="0"/>
  </w:style>
  <w:style w:type="character" w:customStyle="1" w:styleId="272">
    <w:name w:val="WW8Num41z2"/>
    <w:qFormat/>
    <w:uiPriority w:val="0"/>
  </w:style>
  <w:style w:type="character" w:customStyle="1" w:styleId="273">
    <w:name w:val="WW8Num41z3"/>
    <w:qFormat/>
    <w:uiPriority w:val="0"/>
  </w:style>
  <w:style w:type="character" w:customStyle="1" w:styleId="274">
    <w:name w:val="WW8Num41z4"/>
    <w:qFormat/>
    <w:uiPriority w:val="0"/>
  </w:style>
  <w:style w:type="character" w:customStyle="1" w:styleId="275">
    <w:name w:val="WW8Num41z5"/>
    <w:qFormat/>
    <w:uiPriority w:val="0"/>
  </w:style>
  <w:style w:type="character" w:customStyle="1" w:styleId="276">
    <w:name w:val="WW8Num41z6"/>
    <w:qFormat/>
    <w:uiPriority w:val="0"/>
  </w:style>
  <w:style w:type="character" w:customStyle="1" w:styleId="277">
    <w:name w:val="WW8Num41z7"/>
    <w:qFormat/>
    <w:uiPriority w:val="0"/>
  </w:style>
  <w:style w:type="character" w:customStyle="1" w:styleId="278">
    <w:name w:val="WW8Num41z8"/>
    <w:qFormat/>
    <w:uiPriority w:val="0"/>
  </w:style>
  <w:style w:type="character" w:customStyle="1" w:styleId="279">
    <w:name w:val="WW8Num42z0"/>
    <w:qFormat/>
    <w:uiPriority w:val="0"/>
  </w:style>
  <w:style w:type="character" w:customStyle="1" w:styleId="280">
    <w:name w:val="WW8Num42z1"/>
    <w:qFormat/>
    <w:uiPriority w:val="0"/>
  </w:style>
  <w:style w:type="character" w:customStyle="1" w:styleId="281">
    <w:name w:val="WW8Num42z2"/>
    <w:qFormat/>
    <w:uiPriority w:val="0"/>
  </w:style>
  <w:style w:type="character" w:customStyle="1" w:styleId="282">
    <w:name w:val="WW8Num42z3"/>
    <w:qFormat/>
    <w:uiPriority w:val="0"/>
  </w:style>
  <w:style w:type="character" w:customStyle="1" w:styleId="283">
    <w:name w:val="WW8Num42z4"/>
    <w:qFormat/>
    <w:uiPriority w:val="0"/>
  </w:style>
  <w:style w:type="character" w:customStyle="1" w:styleId="284">
    <w:name w:val="WW8Num42z5"/>
    <w:qFormat/>
    <w:uiPriority w:val="0"/>
  </w:style>
  <w:style w:type="character" w:customStyle="1" w:styleId="285">
    <w:name w:val="WW8Num42z6"/>
    <w:qFormat/>
    <w:uiPriority w:val="0"/>
  </w:style>
  <w:style w:type="character" w:customStyle="1" w:styleId="286">
    <w:name w:val="WW8Num42z7"/>
    <w:qFormat/>
    <w:uiPriority w:val="0"/>
  </w:style>
  <w:style w:type="character" w:customStyle="1" w:styleId="287">
    <w:name w:val="WW8Num42z8"/>
    <w:qFormat/>
    <w:uiPriority w:val="0"/>
  </w:style>
  <w:style w:type="character" w:customStyle="1" w:styleId="288">
    <w:name w:val="WW8Num43z0"/>
    <w:qFormat/>
    <w:uiPriority w:val="0"/>
  </w:style>
  <w:style w:type="character" w:customStyle="1" w:styleId="289">
    <w:name w:val="WW8Num43z1"/>
    <w:qFormat/>
    <w:uiPriority w:val="0"/>
  </w:style>
  <w:style w:type="character" w:customStyle="1" w:styleId="290">
    <w:name w:val="WW8Num43z2"/>
    <w:qFormat/>
    <w:uiPriority w:val="0"/>
  </w:style>
  <w:style w:type="character" w:customStyle="1" w:styleId="291">
    <w:name w:val="WW8Num43z3"/>
    <w:qFormat/>
    <w:uiPriority w:val="0"/>
  </w:style>
  <w:style w:type="character" w:customStyle="1" w:styleId="292">
    <w:name w:val="WW8Num43z4"/>
    <w:qFormat/>
    <w:uiPriority w:val="0"/>
  </w:style>
  <w:style w:type="character" w:customStyle="1" w:styleId="293">
    <w:name w:val="WW8Num43z5"/>
    <w:qFormat/>
    <w:uiPriority w:val="0"/>
  </w:style>
  <w:style w:type="character" w:customStyle="1" w:styleId="294">
    <w:name w:val="WW8Num43z6"/>
    <w:qFormat/>
    <w:uiPriority w:val="0"/>
  </w:style>
  <w:style w:type="character" w:customStyle="1" w:styleId="295">
    <w:name w:val="WW8Num43z7"/>
    <w:qFormat/>
    <w:uiPriority w:val="0"/>
  </w:style>
  <w:style w:type="character" w:customStyle="1" w:styleId="296">
    <w:name w:val="WW8Num43z8"/>
    <w:qFormat/>
    <w:uiPriority w:val="0"/>
  </w:style>
  <w:style w:type="character" w:customStyle="1" w:styleId="297">
    <w:name w:val="WW8Num44z0"/>
    <w:qFormat/>
    <w:uiPriority w:val="0"/>
    <w:rPr>
      <w:rFonts w:ascii="Symbol" w:hAnsi="Symbol" w:cs="Symbol"/>
    </w:rPr>
  </w:style>
  <w:style w:type="character" w:customStyle="1" w:styleId="298">
    <w:name w:val="WW8Num44z1"/>
    <w:qFormat/>
    <w:uiPriority w:val="0"/>
    <w:rPr>
      <w:rFonts w:ascii="Courier New" w:hAnsi="Courier New" w:cs="Courier New"/>
    </w:rPr>
  </w:style>
  <w:style w:type="character" w:customStyle="1" w:styleId="299">
    <w:name w:val="WW8Num44z2"/>
    <w:qFormat/>
    <w:uiPriority w:val="0"/>
    <w:rPr>
      <w:rFonts w:ascii="Wingdings" w:hAnsi="Wingdings" w:cs="Wingdings"/>
    </w:rPr>
  </w:style>
  <w:style w:type="character" w:customStyle="1" w:styleId="300">
    <w:name w:val="WW8Num45z0"/>
    <w:qFormat/>
    <w:uiPriority w:val="0"/>
    <w:rPr>
      <w:rFonts w:ascii="Symbol" w:hAnsi="Symbol" w:cs="Symbol"/>
    </w:rPr>
  </w:style>
  <w:style w:type="character" w:customStyle="1" w:styleId="301">
    <w:name w:val="WW8Num45z1"/>
    <w:qFormat/>
    <w:uiPriority w:val="0"/>
    <w:rPr>
      <w:rFonts w:ascii="Courier New" w:hAnsi="Courier New" w:cs="Courier New"/>
    </w:rPr>
  </w:style>
  <w:style w:type="character" w:customStyle="1" w:styleId="302">
    <w:name w:val="WW8Num45z2"/>
    <w:qFormat/>
    <w:uiPriority w:val="0"/>
    <w:rPr>
      <w:rFonts w:ascii="Wingdings" w:hAnsi="Wingdings" w:cs="Wingdings"/>
    </w:rPr>
  </w:style>
  <w:style w:type="character" w:customStyle="1" w:styleId="303">
    <w:name w:val="WW8Num46z0"/>
    <w:qFormat/>
    <w:uiPriority w:val="0"/>
  </w:style>
  <w:style w:type="character" w:customStyle="1" w:styleId="304">
    <w:name w:val="WW8Num46z1"/>
    <w:qFormat/>
    <w:uiPriority w:val="0"/>
  </w:style>
  <w:style w:type="character" w:customStyle="1" w:styleId="305">
    <w:name w:val="WW8Num46z2"/>
    <w:qFormat/>
    <w:uiPriority w:val="0"/>
  </w:style>
  <w:style w:type="character" w:customStyle="1" w:styleId="306">
    <w:name w:val="WW8Num46z3"/>
    <w:qFormat/>
    <w:uiPriority w:val="0"/>
  </w:style>
  <w:style w:type="character" w:customStyle="1" w:styleId="307">
    <w:name w:val="WW8Num46z4"/>
    <w:qFormat/>
    <w:uiPriority w:val="0"/>
  </w:style>
  <w:style w:type="character" w:customStyle="1" w:styleId="308">
    <w:name w:val="WW8Num46z5"/>
    <w:qFormat/>
    <w:uiPriority w:val="0"/>
  </w:style>
  <w:style w:type="character" w:customStyle="1" w:styleId="309">
    <w:name w:val="WW8Num46z6"/>
    <w:qFormat/>
    <w:uiPriority w:val="0"/>
  </w:style>
  <w:style w:type="character" w:customStyle="1" w:styleId="310">
    <w:name w:val="WW8Num46z7"/>
    <w:qFormat/>
    <w:uiPriority w:val="0"/>
  </w:style>
  <w:style w:type="character" w:customStyle="1" w:styleId="311">
    <w:name w:val="WW8Num46z8"/>
    <w:qFormat/>
    <w:uiPriority w:val="0"/>
  </w:style>
  <w:style w:type="character" w:customStyle="1" w:styleId="312">
    <w:name w:val="WW8Num47z0"/>
    <w:qFormat/>
    <w:uiPriority w:val="0"/>
  </w:style>
  <w:style w:type="character" w:customStyle="1" w:styleId="313">
    <w:name w:val="WW8Num47z1"/>
    <w:qFormat/>
    <w:uiPriority w:val="0"/>
  </w:style>
  <w:style w:type="character" w:customStyle="1" w:styleId="314">
    <w:name w:val="WW8Num47z2"/>
    <w:qFormat/>
    <w:uiPriority w:val="0"/>
  </w:style>
  <w:style w:type="character" w:customStyle="1" w:styleId="315">
    <w:name w:val="WW8Num47z3"/>
    <w:qFormat/>
    <w:uiPriority w:val="0"/>
  </w:style>
  <w:style w:type="character" w:customStyle="1" w:styleId="316">
    <w:name w:val="WW8Num47z4"/>
    <w:qFormat/>
    <w:uiPriority w:val="0"/>
  </w:style>
  <w:style w:type="character" w:customStyle="1" w:styleId="317">
    <w:name w:val="WW8Num47z5"/>
    <w:qFormat/>
    <w:uiPriority w:val="0"/>
  </w:style>
  <w:style w:type="character" w:customStyle="1" w:styleId="318">
    <w:name w:val="WW8Num47z6"/>
    <w:qFormat/>
    <w:uiPriority w:val="0"/>
  </w:style>
  <w:style w:type="character" w:customStyle="1" w:styleId="319">
    <w:name w:val="WW8Num47z7"/>
    <w:qFormat/>
    <w:uiPriority w:val="0"/>
  </w:style>
  <w:style w:type="character" w:customStyle="1" w:styleId="320">
    <w:name w:val="WW8Num47z8"/>
    <w:qFormat/>
    <w:uiPriority w:val="0"/>
  </w:style>
  <w:style w:type="character" w:customStyle="1" w:styleId="321">
    <w:name w:val="WW8Num48z0"/>
    <w:qFormat/>
    <w:uiPriority w:val="0"/>
    <w:rPr>
      <w:rFonts w:ascii="Arial" w:hAnsi="Arial" w:cs="Arial"/>
    </w:rPr>
  </w:style>
  <w:style w:type="character" w:customStyle="1" w:styleId="322">
    <w:name w:val="WW8NumSt11z0"/>
    <w:qFormat/>
    <w:uiPriority w:val="0"/>
    <w:rPr>
      <w:rFonts w:ascii="Arial" w:hAnsi="Arial" w:cs="Arial"/>
    </w:rPr>
  </w:style>
  <w:style w:type="character" w:customStyle="1" w:styleId="323">
    <w:name w:val="Ref. de comentário1"/>
    <w:qFormat/>
    <w:uiPriority w:val="0"/>
    <w:rPr>
      <w:sz w:val="16"/>
      <w:szCs w:val="16"/>
    </w:rPr>
  </w:style>
  <w:style w:type="character" w:customStyle="1" w:styleId="324">
    <w:name w:val="Texto sem Formatação Char1"/>
    <w:qFormat/>
    <w:uiPriority w:val="0"/>
    <w:rPr>
      <w:rFonts w:ascii="Courier New" w:hAnsi="Courier New"/>
    </w:rPr>
  </w:style>
  <w:style w:type="character" w:styleId="325">
    <w:name w:val="Placeholder Text"/>
    <w:semiHidden/>
    <w:qFormat/>
    <w:uiPriority w:val="99"/>
    <w:rPr>
      <w:color w:val="808080"/>
    </w:rPr>
  </w:style>
  <w:style w:type="character" w:customStyle="1" w:styleId="326">
    <w:name w:val="Menção Pendente1"/>
    <w:basedOn w:val="11"/>
    <w:semiHidden/>
    <w:unhideWhenUsed/>
    <w:qFormat/>
    <w:uiPriority w:val="99"/>
    <w:rPr>
      <w:color w:val="605E5C"/>
      <w:shd w:val="clear" w:fill="E1DFDD"/>
    </w:rPr>
  </w:style>
  <w:style w:type="character" w:customStyle="1" w:styleId="327">
    <w:name w:val="Menção Pendente2"/>
    <w:basedOn w:val="11"/>
    <w:semiHidden/>
    <w:unhideWhenUsed/>
    <w:qFormat/>
    <w:uiPriority w:val="99"/>
    <w:rPr>
      <w:color w:val="605E5C"/>
      <w:shd w:val="clear" w:fill="E1DFDD"/>
    </w:rPr>
  </w:style>
  <w:style w:type="character" w:customStyle="1" w:styleId="328">
    <w:name w:val="Texto de comentário Char1"/>
    <w:basedOn w:val="11"/>
    <w:semiHidden/>
    <w:qFormat/>
    <w:uiPriority w:val="99"/>
    <w:rPr>
      <w:rFonts w:ascii="Calibri" w:hAnsi="Calibri" w:eastAsia="Microsoft YaHei Light" w:cstheme="minorHAnsi"/>
      <w:color w:val="000000" w:themeColor="text1"/>
      <w:sz w:val="24"/>
      <w:szCs w:val="24"/>
      <w:lang w:eastAsia="pt-BR"/>
    </w:rPr>
  </w:style>
  <w:style w:type="character" w:customStyle="1" w:styleId="329">
    <w:name w:val="Menção Pendente3"/>
    <w:basedOn w:val="11"/>
    <w:semiHidden/>
    <w:unhideWhenUsed/>
    <w:qFormat/>
    <w:uiPriority w:val="99"/>
    <w:rPr>
      <w:color w:val="605E5C"/>
      <w:shd w:val="clear" w:fill="E1DFDD"/>
    </w:rPr>
  </w:style>
  <w:style w:type="character" w:customStyle="1" w:styleId="330">
    <w:name w:val="Menção Pendente4"/>
    <w:semiHidden/>
    <w:unhideWhenUsed/>
    <w:qFormat/>
    <w:uiPriority w:val="99"/>
    <w:rPr>
      <w:color w:val="605E5C"/>
      <w:shd w:val="clear" w:fill="E1DFDD"/>
    </w:rPr>
  </w:style>
  <w:style w:type="character" w:customStyle="1" w:styleId="331">
    <w:name w:val="Corpo de texto 3 Char1"/>
    <w:basedOn w:val="11"/>
    <w:semiHidden/>
    <w:qFormat/>
    <w:uiPriority w:val="99"/>
    <w:rPr>
      <w:rFonts w:ascii="Calibri" w:hAnsi="Calibri" w:eastAsia="Calibri" w:cs="Times New Roman"/>
      <w:sz w:val="16"/>
      <w:szCs w:val="16"/>
    </w:rPr>
  </w:style>
  <w:style w:type="character" w:customStyle="1" w:styleId="332">
    <w:name w:val="Assunto do comentário Char1"/>
    <w:basedOn w:val="70"/>
    <w:semiHidden/>
    <w:qFormat/>
    <w:uiPriority w:val="99"/>
    <w:rPr>
      <w:rFonts w:ascii="Times New Roman" w:hAnsi="Times New Roman" w:eastAsia="Times New Roman" w:cs="Times New Roman"/>
      <w:sz w:val="20"/>
      <w:szCs w:val="20"/>
      <w:lang w:eastAsia="pt-BR"/>
    </w:rPr>
  </w:style>
  <w:style w:type="character" w:customStyle="1" w:styleId="333">
    <w:name w:val="Texto de nota de fim Char"/>
    <w:basedOn w:val="11"/>
    <w:link w:val="28"/>
    <w:semiHidden/>
    <w:qFormat/>
    <w:uiPriority w:val="99"/>
    <w:rPr>
      <w:rFonts w:ascii="Calibri" w:hAnsi="Calibri" w:eastAsia="Calibri" w:cs="Times New Roman"/>
      <w:sz w:val="20"/>
      <w:szCs w:val="20"/>
    </w:rPr>
  </w:style>
  <w:style w:type="character" w:customStyle="1" w:styleId="334">
    <w:name w:val="Texto de nota de fim Char1"/>
    <w:basedOn w:val="11"/>
    <w:semiHidden/>
    <w:qFormat/>
    <w:uiPriority w:val="99"/>
    <w:rPr>
      <w:rFonts w:ascii="Calibri" w:hAnsi="Calibri" w:eastAsia="Calibri" w:cs="Times New Roman"/>
      <w:sz w:val="20"/>
      <w:szCs w:val="20"/>
    </w:rPr>
  </w:style>
  <w:style w:type="character" w:customStyle="1" w:styleId="335">
    <w:name w:val="Corpo de texto Char1"/>
    <w:basedOn w:val="11"/>
    <w:semiHidden/>
    <w:qFormat/>
    <w:uiPriority w:val="99"/>
    <w:rPr>
      <w:rFonts w:ascii="Calibri" w:hAnsi="Calibri" w:eastAsia="Arial Unicode MS" w:cs="Calibri"/>
      <w:color w:val="000000" w:themeColor="text1"/>
      <w:sz w:val="20"/>
      <w:szCs w:val="22"/>
      <w:lang w:eastAsia="pt-BR"/>
    </w:rPr>
  </w:style>
  <w:style w:type="character" w:customStyle="1" w:styleId="336">
    <w:name w:val="Texto de balão Char1"/>
    <w:basedOn w:val="11"/>
    <w:semiHidden/>
    <w:qFormat/>
    <w:uiPriority w:val="99"/>
    <w:rPr>
      <w:rFonts w:ascii="Segoe UI" w:hAnsi="Segoe UI" w:cs="Segoe UI"/>
      <w:sz w:val="18"/>
      <w:szCs w:val="18"/>
    </w:rPr>
  </w:style>
  <w:style w:type="character" w:customStyle="1" w:styleId="337">
    <w:name w:val="Corpo de texto 3 Char2"/>
    <w:basedOn w:val="11"/>
    <w:semiHidden/>
    <w:qFormat/>
    <w:uiPriority w:val="99"/>
    <w:rPr>
      <w:rFonts w:ascii="Calibri" w:hAnsi="Calibri" w:eastAsia="Arial Unicode MS" w:cs="Calibri"/>
      <w:color w:val="000000" w:themeColor="text1"/>
      <w:sz w:val="16"/>
      <w:szCs w:val="16"/>
      <w:lang w:eastAsia="pt-BR"/>
    </w:rPr>
  </w:style>
  <w:style w:type="character" w:customStyle="1" w:styleId="338">
    <w:name w:val="Texto de comentário Char2"/>
    <w:basedOn w:val="11"/>
    <w:semiHidden/>
    <w:qFormat/>
    <w:uiPriority w:val="99"/>
    <w:rPr>
      <w:rFonts w:cs="Times New Roman"/>
      <w:sz w:val="20"/>
      <w:szCs w:val="20"/>
    </w:rPr>
  </w:style>
  <w:style w:type="character" w:customStyle="1" w:styleId="339">
    <w:name w:val="Assunto do comentário Char2"/>
    <w:basedOn w:val="70"/>
    <w:semiHidden/>
    <w:qFormat/>
    <w:uiPriority w:val="99"/>
    <w:rPr>
      <w:rFonts w:ascii="Times New Roman" w:hAnsi="Times New Roman" w:eastAsia="Times New Roman" w:cs="Times New Roman"/>
      <w:sz w:val="20"/>
      <w:szCs w:val="20"/>
      <w:lang w:eastAsia="pt-BR"/>
    </w:rPr>
  </w:style>
  <w:style w:type="character" w:customStyle="1" w:styleId="340">
    <w:name w:val="Cabeçalho Char1"/>
    <w:basedOn w:val="11"/>
    <w:semiHidden/>
    <w:qFormat/>
    <w:uiPriority w:val="99"/>
    <w:rPr>
      <w:rFonts w:cs="Times New Roman"/>
    </w:rPr>
  </w:style>
  <w:style w:type="character" w:customStyle="1" w:styleId="341">
    <w:name w:val="Rodapé Char1"/>
    <w:basedOn w:val="11"/>
    <w:semiHidden/>
    <w:qFormat/>
    <w:uiPriority w:val="99"/>
    <w:rPr>
      <w:rFonts w:cs="Times New Roman"/>
    </w:rPr>
  </w:style>
  <w:style w:type="character" w:customStyle="1" w:styleId="342">
    <w:name w:val="Texto de nota de fim Char2"/>
    <w:basedOn w:val="11"/>
    <w:semiHidden/>
    <w:qFormat/>
    <w:uiPriority w:val="99"/>
    <w:rPr>
      <w:sz w:val="20"/>
      <w:szCs w:val="20"/>
    </w:rPr>
  </w:style>
  <w:style w:type="character" w:customStyle="1" w:styleId="343">
    <w:name w:val="Recuo de corpo de texto Char1"/>
    <w:basedOn w:val="11"/>
    <w:semiHidden/>
    <w:qFormat/>
    <w:uiPriority w:val="99"/>
    <w:rPr>
      <w:rFonts w:ascii="Calibri" w:hAnsi="Calibri" w:eastAsia="Arial Unicode MS" w:cs="Calibri"/>
      <w:color w:val="000000" w:themeColor="text1"/>
      <w:sz w:val="20"/>
      <w:szCs w:val="22"/>
      <w:lang w:eastAsia="pt-BR"/>
    </w:rPr>
  </w:style>
  <w:style w:type="character" w:customStyle="1" w:styleId="344">
    <w:name w:val="Menção Pendente5"/>
    <w:basedOn w:val="11"/>
    <w:semiHidden/>
    <w:unhideWhenUsed/>
    <w:qFormat/>
    <w:uiPriority w:val="99"/>
    <w:rPr>
      <w:color w:val="605E5C"/>
      <w:shd w:val="clear" w:fill="E1DFDD"/>
    </w:rPr>
  </w:style>
  <w:style w:type="character" w:customStyle="1" w:styleId="345">
    <w:name w:val="Endnote Characters"/>
    <w:qFormat/>
    <w:uiPriority w:val="0"/>
    <w:rPr>
      <w:vertAlign w:val="superscript"/>
    </w:rPr>
  </w:style>
  <w:style w:type="character" w:customStyle="1" w:styleId="346">
    <w:name w:val="Bold"/>
    <w:basedOn w:val="11"/>
    <w:qFormat/>
    <w:uiPriority w:val="1"/>
    <w:rPr>
      <w:b/>
    </w:rPr>
  </w:style>
  <w:style w:type="character" w:customStyle="1" w:styleId="347">
    <w:name w:val="Subtítulo Char"/>
    <w:basedOn w:val="11"/>
    <w:link w:val="46"/>
    <w:qFormat/>
    <w:uiPriority w:val="0"/>
    <w:rPr>
      <w:rFonts w:ascii="Arial" w:hAnsi="Arial" w:eastAsia="Times New Roman" w:cs="Times New Roman"/>
      <w:b/>
      <w:szCs w:val="48"/>
      <w:lang w:eastAsia="pt-BR"/>
    </w:rPr>
  </w:style>
  <w:style w:type="character" w:customStyle="1" w:styleId="348">
    <w:name w:val="Subtle Reference"/>
    <w:qFormat/>
    <w:uiPriority w:val="31"/>
    <w:rPr>
      <w:smallCaps/>
      <w:color w:val="C0504D"/>
      <w:u w:val="single"/>
    </w:rPr>
  </w:style>
  <w:style w:type="character" w:customStyle="1" w:styleId="349">
    <w:name w:val="Citação Char"/>
    <w:basedOn w:val="11"/>
    <w:link w:val="350"/>
    <w:qFormat/>
    <w:uiPriority w:val="29"/>
    <w:rPr>
      <w:rFonts w:ascii="Times New Roman" w:hAnsi="Times New Roman" w:eastAsia="Times New Roman" w:cs="Times New Roman"/>
      <w:i/>
      <w:iCs/>
      <w:color w:val="000000"/>
      <w:sz w:val="24"/>
      <w:szCs w:val="24"/>
      <w:lang w:eastAsia="pt-BR"/>
    </w:rPr>
  </w:style>
  <w:style w:type="paragraph" w:styleId="350">
    <w:name w:val="Quote"/>
    <w:basedOn w:val="1"/>
    <w:next w:val="1"/>
    <w:link w:val="349"/>
    <w:qFormat/>
    <w:uiPriority w:val="29"/>
    <w:pPr>
      <w:spacing w:before="0" w:after="0" w:line="240" w:lineRule="auto"/>
      <w:jc w:val="center"/>
    </w:pPr>
    <w:rPr>
      <w:rFonts w:ascii="Times New Roman" w:hAnsi="Times New Roman" w:eastAsia="Times New Roman" w:cs="Times New Roman"/>
      <w:i/>
      <w:iCs/>
      <w:color w:val="000000"/>
      <w:sz w:val="24"/>
      <w:szCs w:val="24"/>
      <w:lang w:eastAsia="pt-BR"/>
    </w:rPr>
  </w:style>
  <w:style w:type="character" w:customStyle="1" w:styleId="351">
    <w:name w:val="object"/>
    <w:qFormat/>
    <w:uiPriority w:val="0"/>
  </w:style>
  <w:style w:type="character" w:customStyle="1" w:styleId="352">
    <w:name w:val="WW-Link da Internet"/>
    <w:qFormat/>
    <w:uiPriority w:val="0"/>
    <w:rPr>
      <w:color w:val="0000FF"/>
      <w:u w:val="single"/>
    </w:rPr>
  </w:style>
  <w:style w:type="character" w:customStyle="1" w:styleId="353">
    <w:name w:val="Ref. de nota de fim1"/>
    <w:qFormat/>
    <w:uiPriority w:val="0"/>
    <w:rPr>
      <w:vertAlign w:val="superscript"/>
    </w:rPr>
  </w:style>
  <w:style w:type="character" w:customStyle="1" w:styleId="354">
    <w:name w:val="WW-Caracteres de nota de fim"/>
    <w:qFormat/>
    <w:uiPriority w:val="0"/>
  </w:style>
  <w:style w:type="character" w:customStyle="1" w:styleId="355">
    <w:name w:val="Ref. de nota de rodapé1"/>
    <w:qFormat/>
    <w:uiPriority w:val="0"/>
    <w:rPr>
      <w:vertAlign w:val="superscript"/>
    </w:rPr>
  </w:style>
  <w:style w:type="character" w:customStyle="1" w:styleId="356">
    <w:name w:val="Fonte parág. padrão3"/>
    <w:qFormat/>
    <w:uiPriority w:val="0"/>
  </w:style>
  <w:style w:type="character" w:customStyle="1" w:styleId="357">
    <w:name w:val="WW8Num3z8"/>
    <w:qFormat/>
    <w:uiPriority w:val="0"/>
  </w:style>
  <w:style w:type="character" w:customStyle="1" w:styleId="358">
    <w:name w:val="WW8Num3z7"/>
    <w:qFormat/>
    <w:uiPriority w:val="0"/>
  </w:style>
  <w:style w:type="character" w:customStyle="1" w:styleId="359">
    <w:name w:val="WW8Num3z6"/>
    <w:qFormat/>
    <w:uiPriority w:val="0"/>
  </w:style>
  <w:style w:type="character" w:customStyle="1" w:styleId="360">
    <w:name w:val="WW8Num3z5"/>
    <w:qFormat/>
    <w:uiPriority w:val="0"/>
  </w:style>
  <w:style w:type="character" w:customStyle="1" w:styleId="361">
    <w:name w:val="WW8Num3z3"/>
    <w:qFormat/>
    <w:uiPriority w:val="0"/>
  </w:style>
  <w:style w:type="character" w:customStyle="1" w:styleId="362">
    <w:name w:val="WW8Num3z2"/>
    <w:qFormat/>
    <w:uiPriority w:val="0"/>
  </w:style>
  <w:style w:type="character" w:customStyle="1" w:styleId="363">
    <w:name w:val="WW8Num2z8"/>
    <w:qFormat/>
    <w:uiPriority w:val="0"/>
  </w:style>
  <w:style w:type="character" w:customStyle="1" w:styleId="364">
    <w:name w:val="WW8Num2z7"/>
    <w:qFormat/>
    <w:uiPriority w:val="0"/>
  </w:style>
  <w:style w:type="character" w:customStyle="1" w:styleId="365">
    <w:name w:val="WW8Num2z6"/>
    <w:qFormat/>
    <w:uiPriority w:val="0"/>
  </w:style>
  <w:style w:type="character" w:customStyle="1" w:styleId="366">
    <w:name w:val="WW8Num2z5"/>
    <w:qFormat/>
    <w:uiPriority w:val="0"/>
  </w:style>
  <w:style w:type="character" w:customStyle="1" w:styleId="367">
    <w:name w:val="WW8Num2z4"/>
    <w:qFormat/>
    <w:uiPriority w:val="0"/>
  </w:style>
  <w:style w:type="character" w:customStyle="1" w:styleId="368">
    <w:name w:val="WW8Num2z3"/>
    <w:qFormat/>
    <w:uiPriority w:val="0"/>
  </w:style>
  <w:style w:type="character" w:customStyle="1" w:styleId="369">
    <w:name w:val="WW8Num2z1"/>
    <w:qFormat/>
    <w:uiPriority w:val="0"/>
  </w:style>
  <w:style w:type="character" w:customStyle="1" w:styleId="370">
    <w:name w:val="Caracteres de nota de rodapé"/>
    <w:qFormat/>
    <w:uiPriority w:val="0"/>
  </w:style>
  <w:style w:type="character" w:customStyle="1" w:styleId="371">
    <w:name w:val="Footnote Characters"/>
    <w:qFormat/>
    <w:uiPriority w:val="0"/>
    <w:rPr>
      <w:vertAlign w:val="superscript"/>
    </w:rPr>
  </w:style>
  <w:style w:type="character" w:customStyle="1" w:styleId="372">
    <w:name w:val="Caracteres de nota de fim"/>
    <w:qFormat/>
    <w:uiPriority w:val="0"/>
  </w:style>
  <w:style w:type="paragraph" w:customStyle="1" w:styleId="373">
    <w:name w:val="Índice"/>
    <w:basedOn w:val="1"/>
    <w:qFormat/>
    <w:uiPriority w:val="0"/>
    <w:pPr>
      <w:suppressLineNumbers/>
      <w:suppressAutoHyphens/>
      <w:spacing w:before="0" w:after="0" w:line="240" w:lineRule="auto"/>
    </w:pPr>
    <w:rPr>
      <w:rFonts w:ascii="Times New Roman" w:hAnsi="Times New Roman" w:eastAsia="Times New Roman" w:cs="Lucida Sans"/>
      <w:sz w:val="24"/>
      <w:szCs w:val="24"/>
      <w:lang w:eastAsia="zh-CN"/>
    </w:rPr>
  </w:style>
  <w:style w:type="paragraph" w:customStyle="1" w:styleId="374">
    <w:name w:val="Cabeçalho e Rodapé"/>
    <w:basedOn w:val="1"/>
    <w:qFormat/>
    <w:uiPriority w:val="0"/>
  </w:style>
  <w:style w:type="paragraph" w:customStyle="1" w:styleId="375">
    <w:name w:val="p4"/>
    <w:basedOn w:val="1"/>
    <w:qFormat/>
    <w:uiPriority w:val="0"/>
    <w:pPr>
      <w:spacing w:beforeAutospacing="1" w:afterAutospacing="1" w:line="240" w:lineRule="auto"/>
    </w:pPr>
    <w:rPr>
      <w:rFonts w:ascii="Arial Unicode MS" w:hAnsi="Arial Unicode MS" w:eastAsia="Arial Unicode MS" w:cs="Arial Unicode MS"/>
      <w:sz w:val="24"/>
      <w:szCs w:val="24"/>
      <w:lang w:eastAsia="pt-BR"/>
    </w:rPr>
  </w:style>
  <w:style w:type="paragraph" w:customStyle="1" w:styleId="376">
    <w:name w:val="Corpo de texto 21"/>
    <w:basedOn w:val="1"/>
    <w:qFormat/>
    <w:uiPriority w:val="0"/>
    <w:pPr>
      <w:spacing w:before="0" w:after="0" w:line="240" w:lineRule="auto"/>
      <w:jc w:val="both"/>
    </w:pPr>
    <w:rPr>
      <w:rFonts w:ascii="Arial" w:hAnsi="Arial" w:eastAsia="Times New Roman" w:cs="Times New Roman"/>
      <w:sz w:val="24"/>
      <w:szCs w:val="20"/>
      <w:lang w:eastAsia="pt-BR"/>
    </w:rPr>
  </w:style>
  <w:style w:type="paragraph" w:customStyle="1" w:styleId="377">
    <w:name w:val="WW-Corpo de texto 3"/>
    <w:basedOn w:val="1"/>
    <w:qFormat/>
    <w:uiPriority w:val="0"/>
    <w:pPr>
      <w:spacing w:before="0" w:after="0" w:line="240" w:lineRule="auto"/>
      <w:jc w:val="both"/>
    </w:pPr>
    <w:rPr>
      <w:rFonts w:ascii="Times New Roman" w:hAnsi="Times New Roman" w:eastAsia="Times New Roman" w:cs="Times New Roman"/>
      <w:sz w:val="24"/>
      <w:szCs w:val="20"/>
      <w:lang w:eastAsia="ar-SA"/>
    </w:rPr>
  </w:style>
  <w:style w:type="paragraph" w:customStyle="1" w:styleId="378">
    <w:name w:val="font5"/>
    <w:basedOn w:val="1"/>
    <w:qFormat/>
    <w:uiPriority w:val="0"/>
    <w:pPr>
      <w:spacing w:beforeAutospacing="1" w:afterAutospacing="1" w:line="240" w:lineRule="auto"/>
    </w:pPr>
    <w:rPr>
      <w:rFonts w:ascii="Arial" w:hAnsi="Arial" w:eastAsia="Times New Roman" w:cs="Arial"/>
      <w:b/>
      <w:bCs/>
      <w:sz w:val="20"/>
      <w:szCs w:val="20"/>
      <w:lang w:eastAsia="pt-BR"/>
    </w:rPr>
  </w:style>
  <w:style w:type="paragraph" w:customStyle="1" w:styleId="379">
    <w:name w:val="font6"/>
    <w:basedOn w:val="1"/>
    <w:qFormat/>
    <w:uiPriority w:val="0"/>
    <w:pPr>
      <w:spacing w:beforeAutospacing="1" w:afterAutospacing="1" w:line="240" w:lineRule="auto"/>
    </w:pPr>
    <w:rPr>
      <w:rFonts w:ascii="Arial" w:hAnsi="Arial" w:eastAsia="Times New Roman" w:cs="Arial"/>
      <w:sz w:val="20"/>
      <w:szCs w:val="20"/>
      <w:lang w:eastAsia="pt-BR"/>
    </w:rPr>
  </w:style>
  <w:style w:type="paragraph" w:customStyle="1" w:styleId="380">
    <w:name w:val="font7"/>
    <w:basedOn w:val="1"/>
    <w:qFormat/>
    <w:uiPriority w:val="0"/>
    <w:pPr>
      <w:spacing w:beforeAutospacing="1" w:afterAutospacing="1" w:line="240" w:lineRule="auto"/>
    </w:pPr>
    <w:rPr>
      <w:rFonts w:ascii="Arial" w:hAnsi="Arial" w:eastAsia="Times New Roman" w:cs="Arial"/>
      <w:b/>
      <w:bCs/>
      <w:color w:val="000000"/>
      <w:sz w:val="19"/>
      <w:szCs w:val="19"/>
      <w:lang w:eastAsia="pt-BR"/>
    </w:rPr>
  </w:style>
  <w:style w:type="paragraph" w:customStyle="1" w:styleId="381">
    <w:name w:val="font8"/>
    <w:basedOn w:val="1"/>
    <w:qFormat/>
    <w:uiPriority w:val="0"/>
    <w:pPr>
      <w:spacing w:beforeAutospacing="1" w:afterAutospacing="1" w:line="240" w:lineRule="auto"/>
    </w:pPr>
    <w:rPr>
      <w:rFonts w:ascii="Arial" w:hAnsi="Arial" w:eastAsia="Times New Roman" w:cs="Arial"/>
      <w:color w:val="000000"/>
      <w:sz w:val="19"/>
      <w:szCs w:val="19"/>
      <w:lang w:eastAsia="pt-BR"/>
    </w:rPr>
  </w:style>
  <w:style w:type="paragraph" w:customStyle="1" w:styleId="382">
    <w:name w:val="font9"/>
    <w:basedOn w:val="1"/>
    <w:qFormat/>
    <w:uiPriority w:val="0"/>
    <w:pPr>
      <w:spacing w:beforeAutospacing="1" w:afterAutospacing="1" w:line="240" w:lineRule="auto"/>
    </w:pPr>
    <w:rPr>
      <w:rFonts w:ascii="Arial" w:hAnsi="Arial" w:eastAsia="Times New Roman" w:cs="Arial"/>
      <w:b/>
      <w:bCs/>
      <w:sz w:val="19"/>
      <w:szCs w:val="19"/>
      <w:lang w:eastAsia="pt-BR"/>
    </w:rPr>
  </w:style>
  <w:style w:type="paragraph" w:customStyle="1" w:styleId="383">
    <w:name w:val="font10"/>
    <w:basedOn w:val="1"/>
    <w:qFormat/>
    <w:uiPriority w:val="0"/>
    <w:pPr>
      <w:spacing w:beforeAutospacing="1" w:afterAutospacing="1" w:line="240" w:lineRule="auto"/>
    </w:pPr>
    <w:rPr>
      <w:rFonts w:ascii="Arial" w:hAnsi="Arial" w:eastAsia="Times New Roman" w:cs="Arial"/>
      <w:sz w:val="19"/>
      <w:szCs w:val="19"/>
      <w:lang w:eastAsia="pt-BR"/>
    </w:rPr>
  </w:style>
  <w:style w:type="paragraph" w:customStyle="1" w:styleId="384">
    <w:name w:val="xl19"/>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4"/>
      <w:szCs w:val="24"/>
      <w:lang w:eastAsia="pt-BR"/>
    </w:rPr>
  </w:style>
  <w:style w:type="paragraph" w:customStyle="1" w:styleId="385">
    <w:name w:val="xl20"/>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b/>
      <w:bCs/>
      <w:sz w:val="24"/>
      <w:szCs w:val="24"/>
      <w:lang w:eastAsia="pt-BR"/>
    </w:rPr>
  </w:style>
  <w:style w:type="paragraph" w:customStyle="1" w:styleId="386">
    <w:name w:val="xl21"/>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b/>
      <w:bCs/>
      <w:sz w:val="24"/>
      <w:szCs w:val="24"/>
      <w:lang w:eastAsia="pt-BR"/>
    </w:rPr>
  </w:style>
  <w:style w:type="paragraph" w:customStyle="1" w:styleId="387">
    <w:name w:val="xl22"/>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b/>
      <w:bCs/>
      <w:sz w:val="19"/>
      <w:szCs w:val="19"/>
      <w:lang w:eastAsia="pt-BR"/>
    </w:rPr>
  </w:style>
  <w:style w:type="paragraph" w:customStyle="1" w:styleId="388">
    <w:name w:val="xl23"/>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sz w:val="19"/>
      <w:szCs w:val="19"/>
      <w:lang w:eastAsia="pt-BR"/>
    </w:rPr>
  </w:style>
  <w:style w:type="paragraph" w:customStyle="1" w:styleId="389">
    <w:name w:val="xl24"/>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b/>
      <w:bCs/>
      <w:sz w:val="19"/>
      <w:szCs w:val="19"/>
      <w:lang w:eastAsia="pt-BR"/>
    </w:rPr>
  </w:style>
  <w:style w:type="paragraph" w:customStyle="1" w:styleId="390">
    <w:name w:val="xl25"/>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sz w:val="24"/>
      <w:szCs w:val="24"/>
      <w:lang w:eastAsia="pt-BR"/>
    </w:rPr>
  </w:style>
  <w:style w:type="paragraph" w:customStyle="1" w:styleId="391">
    <w:name w:val="xl26"/>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pPr>
    <w:rPr>
      <w:rFonts w:ascii="Arial" w:hAnsi="Arial" w:eastAsia="Times New Roman" w:cs="Arial"/>
      <w:b/>
      <w:bCs/>
      <w:sz w:val="19"/>
      <w:szCs w:val="19"/>
      <w:lang w:eastAsia="pt-BR"/>
    </w:rPr>
  </w:style>
  <w:style w:type="paragraph" w:customStyle="1" w:styleId="392">
    <w:name w:val="xl27"/>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4"/>
      <w:szCs w:val="24"/>
      <w:lang w:eastAsia="pt-BR"/>
    </w:rPr>
  </w:style>
  <w:style w:type="paragraph" w:customStyle="1" w:styleId="393">
    <w:name w:val="Texto padrão"/>
    <w:basedOn w:val="1"/>
    <w:qFormat/>
    <w:uiPriority w:val="0"/>
    <w:pPr>
      <w:widowControl w:val="0"/>
      <w:spacing w:before="0" w:after="0" w:line="240" w:lineRule="auto"/>
    </w:pPr>
    <w:rPr>
      <w:rFonts w:ascii="Times New Roman" w:hAnsi="Times New Roman" w:eastAsia="Times New Roman" w:cs="Times New Roman"/>
      <w:sz w:val="24"/>
      <w:szCs w:val="20"/>
      <w:lang w:val="en-US" w:eastAsia="pt-BR"/>
    </w:rPr>
  </w:style>
  <w:style w:type="paragraph" w:customStyle="1" w:styleId="394">
    <w:name w:val="western"/>
    <w:basedOn w:val="1"/>
    <w:qFormat/>
    <w:uiPriority w:val="0"/>
    <w:pPr>
      <w:spacing w:beforeAutospacing="1" w:after="0" w:line="240" w:lineRule="auto"/>
      <w:jc w:val="both"/>
    </w:pPr>
    <w:rPr>
      <w:rFonts w:ascii="Verdana" w:hAnsi="Verdana" w:eastAsia="Times New Roman" w:cs="Times New Roman"/>
      <w:color w:val="000000"/>
      <w:lang w:eastAsia="pt-BR"/>
    </w:rPr>
  </w:style>
  <w:style w:type="paragraph" w:customStyle="1" w:styleId="395">
    <w:name w:val="mainwindow"/>
    <w:basedOn w:val="1"/>
    <w:qFormat/>
    <w:uiPriority w:val="0"/>
    <w:pPr>
      <w:spacing w:beforeAutospacing="1" w:afterAutospacing="1" w:line="240" w:lineRule="auto"/>
    </w:pPr>
    <w:rPr>
      <w:rFonts w:ascii="Times New Roman" w:hAnsi="Times New Roman" w:eastAsia="Times New Roman" w:cs="Times New Roman"/>
      <w:sz w:val="24"/>
      <w:szCs w:val="24"/>
      <w:lang w:eastAsia="pt-BR"/>
    </w:rPr>
  </w:style>
  <w:style w:type="paragraph" w:customStyle="1" w:styleId="396">
    <w:name w:val="Revision"/>
    <w:qFormat/>
    <w:uiPriority w:val="99"/>
    <w:pPr>
      <w:widowControl/>
      <w:suppressAutoHyphens/>
      <w:bidi w:val="0"/>
      <w:spacing w:before="0" w:after="0" w:line="240" w:lineRule="auto"/>
      <w:jc w:val="left"/>
    </w:pPr>
    <w:rPr>
      <w:rFonts w:ascii="Times New Roman" w:hAnsi="Times New Roman" w:eastAsia="Times New Roman" w:cs="Times New Roman"/>
      <w:color w:val="auto"/>
      <w:kern w:val="0"/>
      <w:sz w:val="24"/>
      <w:szCs w:val="24"/>
      <w:lang w:val="pt-BR" w:eastAsia="pt-BR" w:bidi="ar-SA"/>
    </w:rPr>
  </w:style>
  <w:style w:type="paragraph" w:customStyle="1" w:styleId="397">
    <w:name w:val="artigo"/>
    <w:basedOn w:val="1"/>
    <w:qFormat/>
    <w:uiPriority w:val="0"/>
    <w:pPr>
      <w:spacing w:beforeAutospacing="1" w:afterAutospacing="1" w:line="240" w:lineRule="auto"/>
    </w:pPr>
    <w:rPr>
      <w:rFonts w:ascii="Times New Roman" w:hAnsi="Times New Roman" w:eastAsia="Times New Roman" w:cs="Times New Roman"/>
      <w:sz w:val="24"/>
      <w:szCs w:val="24"/>
      <w:lang w:eastAsia="pt-BR"/>
    </w:rPr>
  </w:style>
  <w:style w:type="paragraph" w:customStyle="1" w:styleId="398">
    <w:name w:val="Default"/>
    <w:qFormat/>
    <w:uiPriority w:val="0"/>
    <w:pPr>
      <w:widowControl/>
      <w:suppressAutoHyphens/>
      <w:bidi w:val="0"/>
      <w:spacing w:before="0" w:after="0" w:line="240" w:lineRule="auto"/>
      <w:jc w:val="left"/>
    </w:pPr>
    <w:rPr>
      <w:rFonts w:ascii="Calibri" w:hAnsi="Calibri" w:eastAsia="Times New Roman" w:cs="Calibri"/>
      <w:color w:val="000000"/>
      <w:kern w:val="0"/>
      <w:sz w:val="24"/>
      <w:szCs w:val="24"/>
      <w:lang w:val="pt-BR" w:eastAsia="pt-BR" w:bidi="ar-SA"/>
    </w:rPr>
  </w:style>
  <w:style w:type="paragraph" w:customStyle="1" w:styleId="399">
    <w:name w:val="Pa6"/>
    <w:basedOn w:val="1"/>
    <w:next w:val="1"/>
    <w:qFormat/>
    <w:uiPriority w:val="0"/>
    <w:pPr>
      <w:spacing w:before="0" w:after="0" w:line="181" w:lineRule="atLeast"/>
    </w:pPr>
    <w:rPr>
      <w:rFonts w:eastAsia="Times New Roman"/>
      <w:sz w:val="24"/>
      <w:szCs w:val="24"/>
    </w:rPr>
  </w:style>
  <w:style w:type="paragraph" w:customStyle="1" w:styleId="400">
    <w:name w:val="Standard"/>
    <w:qFormat/>
    <w:uiPriority w:val="0"/>
    <w:pPr>
      <w:widowControl w:val="0"/>
      <w:suppressAutoHyphens/>
      <w:bidi w:val="0"/>
      <w:spacing w:before="0" w:after="0" w:line="240" w:lineRule="auto"/>
      <w:jc w:val="left"/>
    </w:pPr>
    <w:rPr>
      <w:rFonts w:ascii="Liberation Serif" w:hAnsi="Liberation Serif" w:eastAsia="SimSun" w:cs="Mangal"/>
      <w:color w:val="auto"/>
      <w:kern w:val="2"/>
      <w:sz w:val="24"/>
      <w:szCs w:val="24"/>
      <w:lang w:val="pt-BR" w:eastAsia="zh-CN" w:bidi="hi-IN"/>
    </w:rPr>
  </w:style>
  <w:style w:type="paragraph" w:styleId="401">
    <w:name w:val="No Spacing"/>
    <w:qFormat/>
    <w:uiPriority w:val="1"/>
    <w:pPr>
      <w:widowControl/>
      <w:suppressAutoHyphens/>
      <w:bidi w:val="0"/>
      <w:spacing w:before="0" w:after="0" w:line="240" w:lineRule="auto"/>
      <w:jc w:val="left"/>
    </w:pPr>
    <w:rPr>
      <w:rFonts w:ascii="Times New Roman" w:hAnsi="Times New Roman" w:eastAsia="Times New Roman" w:cs="Times New Roman"/>
      <w:color w:val="auto"/>
      <w:kern w:val="0"/>
      <w:sz w:val="24"/>
      <w:szCs w:val="24"/>
      <w:lang w:val="pt-BR" w:eastAsia="ar-SA" w:bidi="ar-SA"/>
    </w:rPr>
  </w:style>
  <w:style w:type="paragraph" w:styleId="402">
    <w:name w:val="List Paragraph"/>
    <w:basedOn w:val="1"/>
    <w:qFormat/>
    <w:uiPriority w:val="34"/>
    <w:pPr>
      <w:spacing w:before="0" w:after="0" w:line="240" w:lineRule="auto"/>
      <w:ind w:left="720" w:firstLine="0"/>
      <w:contextualSpacing/>
    </w:pPr>
    <w:rPr>
      <w:rFonts w:ascii="Times New Roman" w:hAnsi="Times New Roman" w:eastAsia="Times New Roman" w:cs="Times New Roman"/>
      <w:sz w:val="24"/>
      <w:szCs w:val="24"/>
      <w:lang w:eastAsia="pt-BR"/>
    </w:rPr>
  </w:style>
  <w:style w:type="paragraph" w:customStyle="1" w:styleId="403">
    <w:name w:val="Conteúdo da tabela"/>
    <w:basedOn w:val="1"/>
    <w:qFormat/>
    <w:uiPriority w:val="0"/>
    <w:pPr>
      <w:widowControl w:val="0"/>
      <w:suppressLineNumbers/>
      <w:suppressAutoHyphens/>
      <w:spacing w:before="0" w:after="0" w:line="240" w:lineRule="auto"/>
    </w:pPr>
    <w:rPr>
      <w:rFonts w:ascii="Arial" w:hAnsi="Arial" w:eastAsia="Andale Sans UI" w:cs="Times New Roman"/>
      <w:kern w:val="2"/>
      <w:sz w:val="20"/>
      <w:szCs w:val="24"/>
    </w:rPr>
  </w:style>
  <w:style w:type="paragraph" w:customStyle="1" w:styleId="404">
    <w:name w:val="Texto sem Formatação1"/>
    <w:basedOn w:val="1"/>
    <w:qFormat/>
    <w:uiPriority w:val="0"/>
    <w:rPr>
      <w:rFonts w:ascii="Courier New" w:hAnsi="Courier New" w:eastAsia="Times New Roman" w:cs="Times New Roman"/>
      <w:sz w:val="24"/>
      <w:szCs w:val="24"/>
      <w:lang w:eastAsia="pt-BR"/>
    </w:rPr>
  </w:style>
  <w:style w:type="paragraph" w:customStyle="1" w:styleId="405">
    <w:name w:val="Table Paragraph"/>
    <w:basedOn w:val="1"/>
    <w:qFormat/>
    <w:uiPriority w:val="1"/>
    <w:pPr>
      <w:widowControl w:val="0"/>
      <w:spacing w:before="0" w:after="0" w:line="240" w:lineRule="auto"/>
    </w:pPr>
    <w:rPr>
      <w:rFonts w:ascii="Times New Roman" w:hAnsi="Times New Roman" w:eastAsia="Times New Roman" w:cs="Times New Roman"/>
      <w:lang w:val="en-US" w:bidi="en-US"/>
    </w:rPr>
  </w:style>
  <w:style w:type="paragraph" w:customStyle="1" w:styleId="406">
    <w:name w:val="TxBr_p9"/>
    <w:basedOn w:val="1"/>
    <w:qFormat/>
    <w:uiPriority w:val="0"/>
    <w:pPr>
      <w:widowControl w:val="0"/>
      <w:tabs>
        <w:tab w:val="left" w:pos="204"/>
      </w:tabs>
      <w:spacing w:before="0" w:after="0" w:line="240" w:lineRule="atLeast"/>
      <w:jc w:val="both"/>
    </w:pPr>
    <w:rPr>
      <w:rFonts w:ascii="Times New Roman" w:hAnsi="Times New Roman" w:eastAsia="Times New Roman" w:cs="Times New Roman"/>
      <w:sz w:val="24"/>
      <w:szCs w:val="24"/>
      <w:lang w:eastAsia="pt-BR"/>
    </w:rPr>
  </w:style>
  <w:style w:type="paragraph" w:customStyle="1" w:styleId="407">
    <w:name w:val="Título1"/>
    <w:basedOn w:val="1"/>
    <w:next w:val="23"/>
    <w:qFormat/>
    <w:uiPriority w:val="0"/>
    <w:pPr>
      <w:keepNext/>
      <w:suppressAutoHyphens/>
      <w:spacing w:before="240" w:after="120" w:line="240" w:lineRule="auto"/>
    </w:pPr>
    <w:rPr>
      <w:rFonts w:ascii="Arial" w:hAnsi="Arial" w:eastAsia="Tahoma"/>
      <w:sz w:val="28"/>
      <w:szCs w:val="28"/>
      <w:lang w:eastAsia="zh-CN"/>
    </w:rPr>
  </w:style>
  <w:style w:type="paragraph" w:customStyle="1" w:styleId="408">
    <w:name w:val="Corpo de texto 31"/>
    <w:basedOn w:val="1"/>
    <w:qFormat/>
    <w:uiPriority w:val="0"/>
    <w:pPr>
      <w:suppressAutoHyphens/>
      <w:spacing w:before="0" w:after="120" w:line="240" w:lineRule="auto"/>
    </w:pPr>
    <w:rPr>
      <w:rFonts w:ascii="Times New Roman" w:hAnsi="Times New Roman" w:eastAsia="Times New Roman" w:cs="Times New Roman"/>
      <w:sz w:val="16"/>
      <w:szCs w:val="16"/>
      <w:lang w:eastAsia="zh-CN"/>
    </w:rPr>
  </w:style>
  <w:style w:type="paragraph" w:customStyle="1" w:styleId="409">
    <w:name w:val="Corpo de texto 22"/>
    <w:basedOn w:val="1"/>
    <w:qFormat/>
    <w:uiPriority w:val="0"/>
    <w:pPr>
      <w:suppressAutoHyphens/>
      <w:spacing w:before="0" w:after="0" w:line="240" w:lineRule="auto"/>
      <w:jc w:val="both"/>
    </w:pPr>
    <w:rPr>
      <w:rFonts w:ascii="Arial" w:hAnsi="Arial" w:eastAsia="Times New Roman" w:cs="Arial"/>
      <w:sz w:val="24"/>
      <w:szCs w:val="20"/>
      <w:lang w:eastAsia="zh-CN"/>
    </w:rPr>
  </w:style>
  <w:style w:type="paragraph" w:customStyle="1" w:styleId="410">
    <w:name w:val="Recuo de corpo de texto 21"/>
    <w:basedOn w:val="1"/>
    <w:qFormat/>
    <w:uiPriority w:val="0"/>
    <w:pPr>
      <w:suppressAutoHyphens/>
      <w:spacing w:before="0" w:after="120" w:line="480" w:lineRule="auto"/>
      <w:ind w:left="283" w:firstLine="0"/>
    </w:pPr>
    <w:rPr>
      <w:rFonts w:ascii="Times New Roman" w:hAnsi="Times New Roman" w:eastAsia="Times New Roman" w:cs="Times New Roman"/>
      <w:sz w:val="24"/>
      <w:szCs w:val="24"/>
      <w:lang w:eastAsia="zh-CN"/>
    </w:rPr>
  </w:style>
  <w:style w:type="paragraph" w:customStyle="1" w:styleId="411">
    <w:name w:val="Recuo de corpo de texto 31"/>
    <w:basedOn w:val="1"/>
    <w:qFormat/>
    <w:uiPriority w:val="0"/>
    <w:pPr>
      <w:suppressAutoHyphens/>
      <w:spacing w:before="0" w:after="120" w:line="240" w:lineRule="auto"/>
      <w:ind w:left="283" w:firstLine="0"/>
    </w:pPr>
    <w:rPr>
      <w:rFonts w:ascii="Times New Roman" w:hAnsi="Times New Roman" w:eastAsia="Times New Roman" w:cs="Times New Roman"/>
      <w:sz w:val="16"/>
      <w:szCs w:val="16"/>
      <w:lang w:eastAsia="zh-CN"/>
    </w:rPr>
  </w:style>
  <w:style w:type="paragraph" w:customStyle="1" w:styleId="412">
    <w:name w:val="Texto de comentário1"/>
    <w:basedOn w:val="1"/>
    <w:qFormat/>
    <w:uiPriority w:val="0"/>
    <w:pPr>
      <w:suppressAutoHyphens/>
      <w:spacing w:before="0" w:after="0" w:line="240" w:lineRule="auto"/>
    </w:pPr>
    <w:rPr>
      <w:rFonts w:ascii="Times New Roman" w:hAnsi="Times New Roman" w:eastAsia="Times New Roman" w:cs="Times New Roman"/>
      <w:sz w:val="20"/>
      <w:szCs w:val="20"/>
      <w:lang w:eastAsia="zh-CN"/>
    </w:rPr>
  </w:style>
  <w:style w:type="paragraph" w:customStyle="1" w:styleId="413">
    <w:name w:val="Título de tabela"/>
    <w:basedOn w:val="403"/>
    <w:qFormat/>
    <w:uiPriority w:val="0"/>
    <w:pPr>
      <w:jc w:val="center"/>
    </w:pPr>
    <w:rPr>
      <w:rFonts w:ascii="Times New Roman" w:hAnsi="Times New Roman" w:eastAsia="Times New Roman" w:cs="Times New Roman"/>
      <w:b/>
      <w:bCs/>
      <w:kern w:val="0"/>
      <w:lang w:bidi="ar-SA"/>
    </w:rPr>
  </w:style>
  <w:style w:type="paragraph" w:customStyle="1" w:styleId="414">
    <w:name w:val="Conteúdo do quadro"/>
    <w:basedOn w:val="1"/>
    <w:qFormat/>
    <w:uiPriority w:val="0"/>
    <w:pPr>
      <w:suppressAutoHyphens/>
      <w:spacing w:before="0" w:after="0" w:line="240" w:lineRule="auto"/>
    </w:pPr>
    <w:rPr>
      <w:rFonts w:ascii="Times New Roman" w:hAnsi="Times New Roman" w:eastAsia="Times New Roman" w:cs="Times New Roman"/>
      <w:sz w:val="24"/>
      <w:szCs w:val="24"/>
      <w:lang w:eastAsia="zh-CN"/>
    </w:rPr>
  </w:style>
  <w:style w:type="paragraph" w:customStyle="1" w:styleId="415">
    <w:name w:val="msonormal"/>
    <w:basedOn w:val="1"/>
    <w:qFormat/>
    <w:uiPriority w:val="0"/>
    <w:pPr>
      <w:spacing w:beforeAutospacing="1" w:afterAutospacing="1" w:line="240" w:lineRule="auto"/>
    </w:pPr>
    <w:rPr>
      <w:rFonts w:ascii="Times New Roman" w:hAnsi="Times New Roman" w:eastAsia="Times New Roman" w:cs="Times New Roman"/>
      <w:sz w:val="24"/>
      <w:szCs w:val="24"/>
      <w:lang w:eastAsia="pt-BR"/>
    </w:rPr>
  </w:style>
  <w:style w:type="paragraph" w:customStyle="1" w:styleId="416">
    <w:name w:val="xl63"/>
    <w:basedOn w:val="1"/>
    <w:qFormat/>
    <w:uiPriority w:val="0"/>
    <w:pPr>
      <w:spacing w:beforeAutospacing="1" w:afterAutospacing="1" w:line="240" w:lineRule="auto"/>
      <w:textAlignment w:val="center"/>
    </w:pPr>
    <w:rPr>
      <w:rFonts w:ascii="Arial" w:hAnsi="Arial" w:eastAsia="Times New Roman" w:cs="Arial"/>
      <w:sz w:val="20"/>
      <w:szCs w:val="20"/>
      <w:lang w:eastAsia="pt-BR"/>
    </w:rPr>
  </w:style>
  <w:style w:type="paragraph" w:customStyle="1" w:styleId="417">
    <w:name w:val="xl64"/>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b/>
      <w:bCs/>
      <w:sz w:val="20"/>
      <w:szCs w:val="20"/>
      <w:lang w:eastAsia="pt-BR"/>
    </w:rPr>
  </w:style>
  <w:style w:type="paragraph" w:customStyle="1" w:styleId="418">
    <w:name w:val="xl65"/>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textAlignment w:val="center"/>
    </w:pPr>
    <w:rPr>
      <w:rFonts w:ascii="Arial" w:hAnsi="Arial" w:eastAsia="Times New Roman" w:cs="Arial"/>
      <w:sz w:val="20"/>
      <w:szCs w:val="20"/>
      <w:lang w:eastAsia="pt-BR"/>
    </w:rPr>
  </w:style>
  <w:style w:type="paragraph" w:customStyle="1" w:styleId="419">
    <w:name w:val="xl66"/>
    <w:basedOn w:val="1"/>
    <w:qFormat/>
    <w:uiPriority w:val="0"/>
    <w:pPr>
      <w:pBdr>
        <w:top w:val="single" w:color="000000" w:sz="4" w:space="0"/>
        <w:left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20">
    <w:name w:val="xl67"/>
    <w:basedOn w:val="1"/>
    <w:qFormat/>
    <w:uiPriority w:val="0"/>
    <w:pPr>
      <w:pBdr>
        <w:left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21">
    <w:name w:val="xl68"/>
    <w:basedOn w:val="1"/>
    <w:qFormat/>
    <w:uiPriority w:val="0"/>
    <w:pPr>
      <w:pBdr>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22">
    <w:name w:val="xl69"/>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23">
    <w:name w:val="xl70"/>
    <w:basedOn w:val="1"/>
    <w:qFormat/>
    <w:uiPriority w:val="0"/>
    <w:pPr>
      <w:pBdr>
        <w:top w:val="single" w:color="000000" w:sz="4" w:space="0"/>
        <w:left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24">
    <w:name w:val="xl71"/>
    <w:basedOn w:val="1"/>
    <w:qFormat/>
    <w:uiPriority w:val="0"/>
    <w:pPr>
      <w:pBdr>
        <w:left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25">
    <w:name w:val="xl72"/>
    <w:basedOn w:val="1"/>
    <w:qFormat/>
    <w:uiPriority w:val="0"/>
    <w:pPr>
      <w:pBdr>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26">
    <w:name w:val="xl73"/>
    <w:basedOn w:val="1"/>
    <w:qFormat/>
    <w:uiPriority w:val="0"/>
    <w:pPr>
      <w:pBdr>
        <w:top w:val="single" w:color="000000" w:sz="4" w:space="0"/>
        <w:left w:val="single" w:color="000000" w:sz="4" w:space="0"/>
        <w:bottom w:val="single" w:color="000000" w:sz="4" w:space="0"/>
        <w:right w:val="single" w:color="000000" w:sz="4" w:space="0"/>
      </w:pBdr>
      <w:spacing w:beforeAutospacing="1" w:afterAutospacing="1" w:line="240" w:lineRule="auto"/>
      <w:jc w:val="center"/>
      <w:textAlignment w:val="center"/>
    </w:pPr>
    <w:rPr>
      <w:rFonts w:ascii="Arial" w:hAnsi="Arial" w:eastAsia="Times New Roman" w:cs="Arial"/>
      <w:sz w:val="20"/>
      <w:szCs w:val="20"/>
      <w:lang w:eastAsia="pt-BR"/>
    </w:rPr>
  </w:style>
  <w:style w:type="paragraph" w:customStyle="1" w:styleId="427">
    <w:name w:val="xl74"/>
    <w:basedOn w:val="1"/>
    <w:qFormat/>
    <w:uiPriority w:val="0"/>
    <w:pPr>
      <w:pBdr>
        <w:top w:val="single" w:color="000000" w:sz="8" w:space="0"/>
        <w:left w:val="single" w:color="000000" w:sz="8" w:space="0"/>
        <w:bottom w:val="single" w:color="000000" w:sz="8" w:space="0"/>
      </w:pBdr>
      <w:spacing w:beforeAutospacing="1" w:afterAutospacing="1" w:line="240" w:lineRule="auto"/>
      <w:jc w:val="center"/>
      <w:textAlignment w:val="center"/>
    </w:pPr>
    <w:rPr>
      <w:rFonts w:ascii="Arial" w:hAnsi="Arial" w:eastAsia="Times New Roman" w:cs="Arial"/>
      <w:b/>
      <w:bCs/>
      <w:sz w:val="24"/>
      <w:szCs w:val="24"/>
      <w:lang w:eastAsia="pt-BR"/>
    </w:rPr>
  </w:style>
  <w:style w:type="paragraph" w:customStyle="1" w:styleId="428">
    <w:name w:val="xl75"/>
    <w:basedOn w:val="1"/>
    <w:qFormat/>
    <w:uiPriority w:val="0"/>
    <w:pPr>
      <w:pBdr>
        <w:top w:val="single" w:color="000000" w:sz="8" w:space="0"/>
        <w:bottom w:val="single" w:color="000000" w:sz="8" w:space="0"/>
      </w:pBdr>
      <w:spacing w:beforeAutospacing="1" w:afterAutospacing="1" w:line="240" w:lineRule="auto"/>
      <w:jc w:val="center"/>
      <w:textAlignment w:val="center"/>
    </w:pPr>
    <w:rPr>
      <w:rFonts w:ascii="Arial" w:hAnsi="Arial" w:eastAsia="Times New Roman" w:cs="Arial"/>
      <w:b/>
      <w:bCs/>
      <w:sz w:val="24"/>
      <w:szCs w:val="24"/>
      <w:lang w:eastAsia="pt-BR"/>
    </w:rPr>
  </w:style>
  <w:style w:type="paragraph" w:customStyle="1" w:styleId="429">
    <w:name w:val="xl76"/>
    <w:basedOn w:val="1"/>
    <w:qFormat/>
    <w:uiPriority w:val="0"/>
    <w:pPr>
      <w:pBdr>
        <w:top w:val="single" w:color="000000" w:sz="8" w:space="0"/>
        <w:bottom w:val="single" w:color="000000" w:sz="8" w:space="0"/>
        <w:right w:val="single" w:color="000000" w:sz="4" w:space="0"/>
      </w:pBdr>
      <w:spacing w:beforeAutospacing="1" w:afterAutospacing="1" w:line="240" w:lineRule="auto"/>
      <w:jc w:val="center"/>
      <w:textAlignment w:val="center"/>
    </w:pPr>
    <w:rPr>
      <w:rFonts w:ascii="Arial" w:hAnsi="Arial" w:eastAsia="Times New Roman" w:cs="Arial"/>
      <w:b/>
      <w:bCs/>
      <w:sz w:val="24"/>
      <w:szCs w:val="24"/>
      <w:lang w:eastAsia="pt-BR"/>
    </w:rPr>
  </w:style>
  <w:style w:type="paragraph" w:customStyle="1" w:styleId="430">
    <w:name w:val="Normal ofc"/>
    <w:basedOn w:val="1"/>
    <w:qFormat/>
    <w:uiPriority w:val="0"/>
    <w:pPr>
      <w:spacing w:before="0" w:after="0" w:line="360" w:lineRule="auto"/>
      <w:jc w:val="both"/>
    </w:pPr>
    <w:rPr>
      <w:rFonts w:ascii="Arial" w:hAnsi="Arial" w:eastAsia="Times New Roman" w:cs="Arial"/>
      <w:color w:val="000000"/>
      <w:sz w:val="24"/>
      <w:szCs w:val="20"/>
      <w:lang w:eastAsia="pt-BR"/>
    </w:rPr>
  </w:style>
  <w:style w:type="paragraph" w:customStyle="1" w:styleId="431">
    <w:name w:val="Corpo de texto 23"/>
    <w:basedOn w:val="1"/>
    <w:qFormat/>
    <w:uiPriority w:val="0"/>
    <w:pPr>
      <w:spacing w:before="0" w:after="0" w:line="240" w:lineRule="auto"/>
      <w:jc w:val="both"/>
    </w:pPr>
    <w:rPr>
      <w:rFonts w:ascii="Arial" w:hAnsi="Arial" w:eastAsia="Times New Roman" w:cs="Times New Roman"/>
      <w:sz w:val="24"/>
      <w:szCs w:val="20"/>
      <w:lang w:eastAsia="pt-BR"/>
    </w:rPr>
  </w:style>
  <w:style w:type="paragraph" w:customStyle="1" w:styleId="432">
    <w:name w:val="Body Tabelas"/>
    <w:basedOn w:val="1"/>
    <w:qFormat/>
    <w:uiPriority w:val="0"/>
    <w:pPr>
      <w:spacing w:before="60" w:after="60" w:line="240" w:lineRule="auto"/>
    </w:pPr>
    <w:rPr>
      <w:rFonts w:ascii="Calibri" w:hAnsi="Calibri" w:eastAsia="Arial Unicode MS" w:cs="Calibri"/>
      <w:color w:val="000000" w:themeColor="text1"/>
      <w:sz w:val="16"/>
      <w:szCs w:val="16"/>
      <w:lang w:eastAsia="pt-BR"/>
    </w:rPr>
  </w:style>
  <w:style w:type="paragraph" w:customStyle="1" w:styleId="433">
    <w:name w:val="Titulo Anexos"/>
    <w:basedOn w:val="1"/>
    <w:qFormat/>
    <w:uiPriority w:val="0"/>
    <w:pPr>
      <w:pageBreakBefore/>
      <w:numPr>
        <w:ilvl w:val="0"/>
        <w:numId w:val="2"/>
      </w:numPr>
      <w:pBdr>
        <w:bottom w:val="single" w:color="000000" w:sz="4" w:space="1"/>
      </w:pBdr>
      <w:spacing w:before="240" w:after="120" w:line="240" w:lineRule="auto"/>
      <w:ind w:left="0" w:firstLine="0"/>
      <w:outlineLvl w:val="0"/>
    </w:pPr>
    <w:rPr>
      <w:rFonts w:ascii="Calibri" w:hAnsi="Calibri" w:eastAsia="Arial Unicode MS" w:cs="Calibri"/>
      <w:color w:val="000000" w:themeColor="text1"/>
      <w:sz w:val="48"/>
      <w:szCs w:val="48"/>
      <w:lang w:eastAsia="pt-BR"/>
    </w:rPr>
  </w:style>
  <w:style w:type="paragraph" w:customStyle="1" w:styleId="434">
    <w:name w:val="Titulo Cargos"/>
    <w:basedOn w:val="435"/>
    <w:qFormat/>
    <w:uiPriority w:val="0"/>
    <w:pPr>
      <w:pBdr>
        <w:top w:val="single" w:color="000000" w:sz="24" w:space="1"/>
      </w:pBdr>
      <w:spacing w:before="360" w:after="160"/>
      <w:outlineLvl w:val="5"/>
    </w:pPr>
    <w:rPr>
      <w:sz w:val="24"/>
      <w:szCs w:val="20"/>
    </w:rPr>
  </w:style>
  <w:style w:type="paragraph" w:customStyle="1" w:styleId="435">
    <w:name w:val="Titulo sn 1"/>
    <w:basedOn w:val="1"/>
    <w:qFormat/>
    <w:uiPriority w:val="0"/>
    <w:pPr>
      <w:keepNext/>
      <w:spacing w:before="480" w:after="120" w:line="240" w:lineRule="auto"/>
      <w:outlineLvl w:val="3"/>
    </w:pPr>
    <w:rPr>
      <w:rFonts w:ascii="Calibri" w:hAnsi="Calibri" w:eastAsia="Arial Unicode MS" w:cs="Calibri"/>
      <w:b/>
      <w:bCs/>
      <w:caps/>
      <w:color w:val="000000" w:themeColor="text1"/>
      <w:sz w:val="28"/>
      <w:szCs w:val="28"/>
      <w:lang w:eastAsia="ar-SA"/>
    </w:rPr>
  </w:style>
  <w:style w:type="paragraph" w:customStyle="1" w:styleId="436">
    <w:name w:val="TOC Heading"/>
    <w:basedOn w:val="2"/>
    <w:next w:val="1"/>
    <w:unhideWhenUsed/>
    <w:qFormat/>
    <w:uiPriority w:val="39"/>
    <w:pPr>
      <w:spacing w:before="720" w:after="120"/>
      <w:ind w:hanging="142"/>
      <w:outlineLvl w:val="9"/>
    </w:pPr>
    <w:rPr>
      <w:rFonts w:ascii="Calibri" w:hAnsi="Calibri" w:eastAsia="Lucida Sans Unicode" w:cs="Calibri"/>
      <w:color w:val="000000" w:themeColor="text1"/>
      <w:kern w:val="0"/>
      <w:sz w:val="36"/>
      <w:szCs w:val="36"/>
    </w:rPr>
  </w:style>
  <w:style w:type="paragraph" w:customStyle="1" w:styleId="437">
    <w:name w:val="Body n1"/>
    <w:basedOn w:val="1"/>
    <w:qFormat/>
    <w:uiPriority w:val="0"/>
    <w:pPr>
      <w:spacing w:before="240" w:after="120" w:line="240" w:lineRule="auto"/>
      <w:ind w:hanging="142"/>
    </w:pPr>
    <w:rPr>
      <w:rFonts w:ascii="Calibri" w:hAnsi="Calibri" w:eastAsia="Arial Unicode MS" w:cs="Calibri"/>
      <w:color w:val="000000" w:themeColor="text1"/>
      <w:sz w:val="20"/>
      <w:lang w:eastAsia="ar-SA"/>
    </w:rPr>
  </w:style>
  <w:style w:type="paragraph" w:customStyle="1" w:styleId="438">
    <w:name w:val="Body n2"/>
    <w:basedOn w:val="437"/>
    <w:qFormat/>
    <w:uiPriority w:val="0"/>
  </w:style>
  <w:style w:type="paragraph" w:customStyle="1" w:styleId="439">
    <w:name w:val="Borda lateral"/>
    <w:basedOn w:val="1"/>
    <w:qFormat/>
    <w:uiPriority w:val="0"/>
    <w:pPr>
      <w:pBdr>
        <w:left w:val="single" w:color="BFBFBF" w:sz="48" w:space="4"/>
      </w:pBdr>
      <w:shd w:val="clear" w:color="auto" w:fill="FFFFFF" w:themeFill="background1"/>
      <w:spacing w:before="240" w:after="120" w:line="240" w:lineRule="auto"/>
      <w:ind w:left="567" w:firstLine="0"/>
    </w:pPr>
    <w:rPr>
      <w:rFonts w:ascii="Calibri" w:hAnsi="Calibri" w:eastAsia="Arial Unicode MS" w:cs="Calibri"/>
      <w:color w:val="000000" w:themeColor="text1"/>
      <w:sz w:val="20"/>
      <w:lang w:eastAsia="pt-BR"/>
    </w:rPr>
  </w:style>
  <w:style w:type="paragraph" w:customStyle="1" w:styleId="440">
    <w:name w:val="Titulo sn 2"/>
    <w:basedOn w:val="435"/>
    <w:qFormat/>
    <w:uiPriority w:val="0"/>
    <w:pPr>
      <w:spacing w:before="360" w:after="120"/>
      <w:outlineLvl w:val="4"/>
    </w:pPr>
    <w:rPr>
      <w:sz w:val="24"/>
      <w:szCs w:val="20"/>
    </w:rPr>
  </w:style>
  <w:style w:type="paragraph" w:customStyle="1" w:styleId="441">
    <w:name w:val="Lista Bullets"/>
    <w:basedOn w:val="1"/>
    <w:qFormat/>
    <w:uiPriority w:val="0"/>
    <w:pPr>
      <w:numPr>
        <w:ilvl w:val="0"/>
        <w:numId w:val="3"/>
      </w:numPr>
      <w:spacing w:before="240" w:after="120" w:line="240" w:lineRule="auto"/>
      <w:ind w:left="567" w:hanging="284"/>
      <w:contextualSpacing/>
    </w:pPr>
    <w:rPr>
      <w:rFonts w:ascii="Calibri" w:hAnsi="Calibri" w:eastAsia="Arial Unicode MS" w:cs="Calibri"/>
      <w:color w:val="000000" w:themeColor="text1"/>
      <w:sz w:val="20"/>
      <w:lang w:eastAsia="pt-BR"/>
    </w:rPr>
  </w:style>
  <w:style w:type="paragraph" w:customStyle="1" w:styleId="442">
    <w:name w:val="Lista Numerada"/>
    <w:qFormat/>
    <w:uiPriority w:val="0"/>
    <w:pPr>
      <w:widowControl/>
      <w:numPr>
        <w:ilvl w:val="0"/>
        <w:numId w:val="4"/>
      </w:numPr>
      <w:suppressAutoHyphens/>
      <w:bidi w:val="0"/>
      <w:spacing w:before="0" w:after="0" w:line="240" w:lineRule="auto"/>
      <w:jc w:val="left"/>
    </w:pPr>
    <w:rPr>
      <w:rFonts w:ascii="Calibri" w:hAnsi="Calibri" w:eastAsia="Arial Unicode MS" w:cs="Calibri"/>
      <w:color w:val="000000" w:themeColor="text1"/>
      <w:kern w:val="0"/>
      <w:sz w:val="20"/>
      <w:szCs w:val="20"/>
      <w:lang w:val="pt-BR" w:eastAsia="ar-SA" w:bidi="ar-SA"/>
    </w:rPr>
  </w:style>
  <w:style w:type="paragraph" w:customStyle="1" w:styleId="443">
    <w:name w:val="Body n3"/>
    <w:basedOn w:val="438"/>
    <w:qFormat/>
    <w:uiPriority w:val="0"/>
  </w:style>
  <w:style w:type="paragraph" w:customStyle="1" w:styleId="444">
    <w:name w:val="Cabeçalho Edital"/>
    <w:basedOn w:val="1"/>
    <w:qFormat/>
    <w:uiPriority w:val="0"/>
    <w:pPr>
      <w:spacing w:before="480" w:after="480" w:line="240" w:lineRule="auto"/>
      <w:ind w:left="3402" w:firstLine="0"/>
    </w:pPr>
    <w:rPr>
      <w:rFonts w:ascii="Calibri" w:hAnsi="Calibri" w:eastAsia="Arial Unicode MS" w:cs="Calibri"/>
      <w:color w:val="000000" w:themeColor="text1"/>
      <w:sz w:val="20"/>
      <w:lang w:eastAsia="pt-BR"/>
    </w:rPr>
  </w:style>
  <w:style w:type="paragraph" w:customStyle="1" w:styleId="445">
    <w:name w:val="TBody n2"/>
    <w:basedOn w:val="438"/>
    <w:next w:val="438"/>
    <w:qFormat/>
    <w:uiPriority w:val="0"/>
    <w:pPr>
      <w:spacing w:before="360" w:after="120"/>
      <w:outlineLvl w:val="2"/>
    </w:pPr>
    <w:rPr>
      <w:b/>
    </w:rPr>
  </w:style>
  <w:style w:type="paragraph" w:customStyle="1" w:styleId="446">
    <w:name w:val="textbody"/>
    <w:basedOn w:val="1"/>
    <w:qFormat/>
    <w:uiPriority w:val="0"/>
    <w:pPr>
      <w:spacing w:beforeAutospacing="1" w:afterAutospacing="1" w:line="240" w:lineRule="auto"/>
    </w:pPr>
    <w:rPr>
      <w:rFonts w:ascii="Times New Roman" w:hAnsi="Times New Roman" w:eastAsia="Times New Roman" w:cs="Times New Roman"/>
      <w:sz w:val="24"/>
      <w:szCs w:val="24"/>
      <w:lang w:eastAsia="pt-BR"/>
    </w:rPr>
  </w:style>
  <w:style w:type="paragraph" w:customStyle="1" w:styleId="447">
    <w:name w:val="LO-normal1"/>
    <w:qFormat/>
    <w:uiPriority w:val="0"/>
    <w:pPr>
      <w:widowControl/>
      <w:suppressAutoHyphens/>
      <w:bidi w:val="0"/>
      <w:spacing w:before="0" w:after="160" w:line="259" w:lineRule="auto"/>
      <w:jc w:val="left"/>
    </w:pPr>
    <w:rPr>
      <w:rFonts w:ascii="Tahoma" w:hAnsi="Tahoma" w:cs="Tahoma" w:eastAsiaTheme="minorHAnsi"/>
      <w:color w:val="auto"/>
      <w:kern w:val="0"/>
      <w:sz w:val="22"/>
      <w:szCs w:val="22"/>
      <w:lang w:val="pt-BR" w:eastAsia="en-US" w:bidi="ar-SA"/>
    </w:rPr>
  </w:style>
  <w:style w:type="paragraph" w:customStyle="1" w:styleId="448">
    <w:name w:val="LO-normal"/>
    <w:qFormat/>
    <w:uiPriority w:val="0"/>
    <w:pPr>
      <w:widowControl/>
      <w:suppressAutoHyphens/>
      <w:bidi w:val="0"/>
      <w:spacing w:before="0" w:after="0" w:line="276" w:lineRule="auto"/>
      <w:jc w:val="left"/>
    </w:pPr>
    <w:rPr>
      <w:rFonts w:ascii="Arial" w:hAnsi="Arial" w:eastAsia="Arial" w:cs="Arial"/>
      <w:color w:val="auto"/>
      <w:kern w:val="0"/>
      <w:sz w:val="22"/>
      <w:szCs w:val="22"/>
      <w:lang w:val="en-US" w:eastAsia="zh-CN" w:bidi="hi-IN"/>
    </w:rPr>
  </w:style>
  <w:style w:type="paragraph" w:customStyle="1" w:styleId="449">
    <w:name w:val="Parágrafo da Lista"/>
    <w:basedOn w:val="1"/>
    <w:qFormat/>
    <w:uiPriority w:val="0"/>
    <w:pPr>
      <w:spacing w:line="240" w:lineRule="exact"/>
      <w:ind w:left="708" w:firstLine="0"/>
    </w:pPr>
    <w:rPr>
      <w:rFonts w:ascii="Liberation Serif" w:hAnsi="Liberation Serif" w:eastAsia="Mangal"/>
      <w:sz w:val="24"/>
    </w:rPr>
  </w:style>
  <w:style w:type="paragraph" w:customStyle="1" w:styleId="450">
    <w:name w:val="x_msonormal"/>
    <w:basedOn w:val="1"/>
    <w:qFormat/>
    <w:uiPriority w:val="0"/>
    <w:pPr>
      <w:suppressAutoHyphens w:val="0"/>
      <w:spacing w:line="240" w:lineRule="exact"/>
    </w:pPr>
    <w:rPr>
      <w:rFonts w:ascii="Times New Roman" w:hAnsi="Times New Roman" w:eastAsia="Times New Roman"/>
      <w:sz w:val="24"/>
    </w:rPr>
  </w:style>
  <w:style w:type="paragraph" w:customStyle="1" w:styleId="451">
    <w:name w:val="Título2"/>
    <w:basedOn w:val="1"/>
    <w:qFormat/>
    <w:uiPriority w:val="0"/>
    <w:pPr>
      <w:keepNext/>
      <w:spacing w:before="240" w:after="120" w:line="240" w:lineRule="exact"/>
    </w:pPr>
    <w:rPr>
      <w:rFonts w:ascii="Liberation Sans" w:hAnsi="Liberation Sans" w:eastAsia="Liberation Sans"/>
      <w:sz w:val="28"/>
    </w:rPr>
  </w:style>
  <w:style w:type="paragraph" w:customStyle="1" w:styleId="452">
    <w:name w:val="Cim_Texto_Normal"/>
    <w:basedOn w:val="1"/>
    <w:qFormat/>
    <w:uiPriority w:val="0"/>
    <w:pPr>
      <w:spacing w:before="120" w:after="240" w:line="360" w:lineRule="exact"/>
      <w:ind w:firstLine="709"/>
      <w:contextualSpacing/>
      <w:jc w:val="both"/>
    </w:pPr>
  </w:style>
  <w:style w:type="paragraph" w:customStyle="1" w:styleId="453">
    <w:name w:val="Conteúdo de tabela"/>
    <w:basedOn w:val="1"/>
    <w:qFormat/>
    <w:uiPriority w:val="0"/>
  </w:style>
  <w:style w:type="paragraph" w:customStyle="1" w:styleId="454">
    <w:name w:val="Normal1"/>
    <w:qFormat/>
    <w:uiPriority w:val="0"/>
    <w:pPr>
      <w:widowControl w:val="0"/>
      <w:suppressAutoHyphens/>
      <w:bidi w:val="0"/>
      <w:spacing w:before="0" w:after="0"/>
      <w:jc w:val="left"/>
    </w:pPr>
    <w:rPr>
      <w:rFonts w:ascii="Liberation Serif;Times New Roma" w:hAnsi="Liberation Serif;Times New Roma" w:eastAsia="SimSun" w:cs="Mangal"/>
      <w:color w:val="00000A"/>
      <w:kern w:val="2"/>
      <w:sz w:val="22"/>
      <w:szCs w:val="22"/>
      <w:lang w:val="pt-BR" w:eastAsia="en-US" w:bidi="ar-SA"/>
    </w:rPr>
  </w:style>
  <w:style w:type="paragraph" w:customStyle="1" w:styleId="455">
    <w:name w:val="Cabeçalho1"/>
    <w:basedOn w:val="374"/>
    <w:qFormat/>
    <w:uiPriority w:val="0"/>
    <w:pPr>
      <w:widowControl w:val="0"/>
      <w:tabs>
        <w:tab w:val="center" w:pos="5953"/>
        <w:tab w:val="right" w:pos="11906"/>
      </w:tabs>
      <w:suppressAutoHyphens/>
      <w:spacing w:line="276" w:lineRule="auto"/>
      <w:jc w:val="left"/>
    </w:pPr>
    <w:rPr>
      <w:rFonts w:ascii="Times New Roman" w:hAnsi="Times New Roman" w:eastAsia="Arial Unicode MS" w:cs="Tahoma"/>
      <w:color w:val="auto"/>
      <w:sz w:val="22"/>
      <w:szCs w:val="22"/>
      <w:lang w:val="ar-SA" w:eastAsia="zh-CN" w:bidi="ar-SA"/>
    </w:rPr>
  </w:style>
  <w:style w:type="table" w:customStyle="1" w:styleId="456">
    <w:name w:val="Table Normal"/>
    <w:semiHidden/>
    <w:unhideWhenUsed/>
    <w:qFormat/>
    <w:uiPriority w:val="2"/>
    <w:pPr>
      <w:spacing w:after="0" w:line="240" w:lineRule="auto"/>
    </w:pPr>
    <w:rPr>
      <w:lang w:val="en-US"/>
    </w:rPr>
    <w:tblPr>
      <w:tblCellMar>
        <w:top w:w="0" w:type="dxa"/>
        <w:left w:w="0" w:type="dxa"/>
        <w:bottom w:w="0" w:type="dxa"/>
        <w:right w:w="0" w:type="dxa"/>
      </w:tblCellMar>
    </w:tblPr>
  </w:style>
  <w:style w:type="table" w:customStyle="1" w:styleId="457">
    <w:name w:val="Tabela com grade3"/>
    <w:basedOn w:val="12"/>
    <w:uiPriority w:val="0"/>
    <w:pPr>
      <w:spacing w:after="0" w:line="240" w:lineRule="auto"/>
    </w:pPr>
    <w:rPr>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58">
    <w:name w:val="Tabela com grade4"/>
    <w:basedOn w:val="12"/>
    <w:uiPriority w:val="0"/>
    <w:pPr>
      <w:spacing w:after="0" w:line="240" w:lineRule="auto"/>
    </w:pPr>
    <w:rPr>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9">
    <w:name w:val="Light Shading Accent 5"/>
    <w:basedOn w:val="12"/>
    <w:uiPriority w:val="60"/>
    <w:pPr>
      <w:spacing w:after="0" w:line="240" w:lineRule="auto"/>
    </w:pPr>
    <w:rPr>
      <w:rFonts w:asciiTheme="minorHAnsi" w:hAnsiTheme="minorHAnsi" w:cstheme="minorBidi"/>
      <w:color w:val="2E75B5" w:themeColor="accent5" w:themeShade="BF"/>
    </w:rPr>
    <w:tblPr>
      <w:tblBorders>
        <w:top w:val="single" w:color="5B9BD5" w:themeColor="accent5" w:sz="8" w:space="0"/>
        <w:bottom w:val="single" w:color="5B9BD5" w:themeColor="accent5" w:sz="8" w:space="0"/>
      </w:tblBorders>
    </w:tblPr>
    <w:tblStylePr w:type="firstRow">
      <w:pPr>
        <w:spacing w:before="0" w:after="0" w:line="240" w:lineRule="auto"/>
      </w:pPr>
      <w:rPr>
        <w:b/>
        <w:bCs/>
      </w:r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240" w:lineRule="auto"/>
      </w:pPr>
      <w:rPr>
        <w:b/>
        <w:bCs/>
      </w:r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6E6F4" w:themeFill="accent5" w:themeFillTint="3F"/>
      </w:tcPr>
    </w:tblStylePr>
    <w:tblStylePr w:type="band1Horz">
      <w:tcPr>
        <w:tcBorders>
          <w:left w:val="nil"/>
          <w:right w:val="nil"/>
          <w:insideH w:val="nil"/>
          <w:insideV w:val="nil"/>
        </w:tcBorders>
        <w:shd w:val="clear" w:color="auto" w:fill="D6E6F4" w:themeFill="accent5" w:themeFillTint="3F"/>
      </w:tcPr>
    </w:tblStylePr>
  </w:style>
  <w:style w:type="table" w:customStyle="1" w:styleId="460">
    <w:name w:val="Tabela de Grade 5 Escura - Ênfase 31"/>
    <w:basedOn w:val="12"/>
    <w:uiPriority w:val="50"/>
    <w:pPr>
      <w:spacing w:after="0" w:line="240" w:lineRule="auto"/>
    </w:pPr>
    <w:rPr>
      <w:rFonts w:asciiTheme="minorHAnsi" w:hAnsiTheme="minorHAnsi" w:eastAsiaTheme="minorEastAsia" w:cstheme="minorBidi"/>
      <w:sz w:val="21"/>
      <w:szCs w:val="21"/>
    </w:r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ECEC" w:themeFill="accent3" w:themeFillTint="33"/>
    </w:tcPr>
    <w:tblStylePr w:type="firstRow">
      <w:rPr>
        <w:b/>
        <w:bCs/>
        <w:color w:val="FFFFFF" w:themeColor="background1"/>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cPr>
        <w:shd w:val="clear" w:color="auto" w:fill="DADADA" w:themeFill="accent3" w:themeFillTint="66"/>
      </w:tcPr>
    </w:tblStylePr>
    <w:tblStylePr w:type="band1Horz">
      <w:tcPr>
        <w:shd w:val="clear" w:color="auto" w:fill="DADADA" w:themeFill="accent3" w:themeFillTint="66"/>
      </w:tcPr>
    </w:tblStylePr>
  </w:style>
  <w:style w:type="table" w:customStyle="1" w:styleId="461">
    <w:name w:val="Tabela Simples 31"/>
    <w:basedOn w:val="12"/>
    <w:uiPriority w:val="43"/>
    <w:pPr>
      <w:spacing w:after="0" w:line="240" w:lineRule="auto"/>
    </w:pPr>
    <w:rPr>
      <w:rFonts w:asciiTheme="minorHAnsi" w:hAnsiTheme="minorHAnsi" w:eastAsiaTheme="minorEastAsia" w:cstheme="minorBidi"/>
      <w:sz w:val="21"/>
      <w:szCs w:val="21"/>
    </w:rPr>
    <w:tblStylePr w:type="firstRow">
      <w:rPr>
        <w:b/>
        <w:bCs/>
        <w:caps/>
      </w:rPr>
      <w:tcPr>
        <w:tcBorders>
          <w:bottom w:val="single" w:color="000000" w:themeColor="text1" w:sz="4" w:space="0"/>
        </w:tcBorders>
      </w:tcPr>
    </w:tblStylePr>
    <w:tblStylePr w:type="lastRow">
      <w:rPr>
        <w:b/>
        <w:bCs/>
        <w:caps/>
      </w:rPr>
      <w:tcPr>
        <w:tcBorders>
          <w:top w:val="nil"/>
        </w:tcBorders>
      </w:tcPr>
    </w:tblStylePr>
    <w:tblStylePr w:type="firstCol">
      <w:rPr>
        <w:b/>
        <w:bCs/>
        <w:caps/>
      </w:rPr>
      <w:tcPr>
        <w:tcBorders>
          <w:right w:val="single" w:color="000000" w:themeColor="text1"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462">
    <w:name w:val="Fepese"/>
    <w:basedOn w:val="12"/>
    <w:uiPriority w:val="44"/>
    <w:pPr>
      <w:spacing w:after="0" w:line="240" w:lineRule="auto"/>
    </w:pPr>
    <w:rPr>
      <w:rFonts w:eastAsiaTheme="minorEastAsia" w:cstheme="minorBidi"/>
      <w:sz w:val="20"/>
      <w:szCs w:val="21"/>
    </w:rPr>
    <w:tblPr>
      <w:tblBorders>
        <w:top w:val="single" w:color="auto" w:sz="8" w:space="0"/>
        <w:bottom w:val="single" w:color="auto" w:sz="8" w:space="0"/>
        <w:insideH w:val="single" w:color="auto" w:sz="8" w:space="0"/>
      </w:tblBorders>
    </w:tblPr>
    <w:tblStylePr w:type="firstRow">
      <w:pPr>
        <w:jc w:val="left"/>
      </w:pPr>
      <w:rPr>
        <w:b/>
        <w:bCs/>
      </w:rPr>
      <w:tcPr>
        <w:tcBorders>
          <w:top w:val="single" w:color="auto" w:sz="8" w:space="0"/>
          <w:bottom w:val="nil"/>
        </w:tcBorders>
        <w:shd w:val="clear" w:color="auto" w:fill="D8D8D8" w:themeFill="background1" w:themeFillShade="D9"/>
      </w:tcPr>
    </w:tblStylePr>
    <w:tblStylePr w:type="lastRow">
      <w:rPr>
        <w:b/>
        <w:bCs/>
      </w:rPr>
      <w:tcPr>
        <w:shd w:val="clear" w:color="auto" w:fill="D8D8D8" w:themeFill="background1" w:themeFillShade="D9"/>
      </w:tcPr>
    </w:tblStylePr>
    <w:tblStylePr w:type="firstCol">
      <w:rPr>
        <w:b/>
        <w:bCs/>
      </w:rPr>
    </w:tblStylePr>
    <w:tblStylePr w:type="lastCol">
      <w:rPr>
        <w:b/>
        <w:bCs/>
      </w:rPr>
    </w:tblStylePr>
    <w:tblStylePr w:type="band1Horz">
      <w:tcPr>
        <w:shd w:val="clear" w:color="auto" w:fill="F1F1F1" w:themeFill="background1" w:themeFillShade="F2"/>
      </w:tcPr>
    </w:tblStylePr>
  </w:style>
  <w:style w:type="table" w:customStyle="1" w:styleId="463">
    <w:name w:val="Tabela Simples 11"/>
    <w:basedOn w:val="12"/>
    <w:uiPriority w:val="41"/>
    <w:pPr>
      <w:spacing w:after="0" w:line="240" w:lineRule="auto"/>
    </w:pPr>
    <w:rPr>
      <w:rFonts w:asciiTheme="minorHAnsi" w:hAnsiTheme="minorHAnsi" w:eastAsiaTheme="minorEastAsia" w:cstheme="minorBidi"/>
      <w:sz w:val="21"/>
      <w:szCs w:val="21"/>
    </w:r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blStylePr w:type="firstRow">
      <w:rPr>
        <w:b/>
        <w:bCs/>
      </w:rPr>
    </w:tblStylePr>
    <w:tblStylePr w:type="lastRow">
      <w:rPr>
        <w:b/>
        <w:bCs/>
      </w:rPr>
      <w:tcPr>
        <w:tcBorders>
          <w:top w:val="double" w:color="FFFFFF" w:themeColor="background1"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styleId="464">
    <w:name w:val="Light Shading"/>
    <w:basedOn w:val="12"/>
    <w:uiPriority w:val="60"/>
    <w:pPr>
      <w:spacing w:after="0" w:line="240" w:lineRule="auto"/>
    </w:pPr>
    <w:rPr>
      <w:rFonts w:asciiTheme="minorHAnsi" w:hAnsiTheme="minorHAnsi" w:eastAsiaTheme="minorEastAsia" w:cstheme="minorBidi"/>
      <w:color w:val="000000" w:themeColor="text1" w:themeShade="BF"/>
      <w:sz w:val="21"/>
      <w:szCs w:val="21"/>
    </w:rPr>
    <w:tblPr>
      <w:tblBorders>
        <w:top w:val="single" w:color="000000" w:themeColor="text1" w:sz="8" w:space="0"/>
        <w:bottom w:val="single" w:color="000000" w:themeColor="text1" w:sz="8" w:space="0"/>
      </w:tblBorders>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465">
    <w:name w:val="Medium List 1"/>
    <w:basedOn w:val="12"/>
    <w:uiPriority w:val="65"/>
    <w:pPr>
      <w:spacing w:after="0" w:line="240" w:lineRule="auto"/>
    </w:pPr>
    <w:rPr>
      <w:rFonts w:asciiTheme="minorHAnsi" w:hAnsiTheme="minorHAnsi" w:eastAsiaTheme="minorEastAsia" w:cstheme="minorBidi"/>
      <w:color w:val="000000" w:themeColor="text1"/>
      <w:sz w:val="21"/>
      <w:szCs w:val="21"/>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44546A" w:themeColor="text2"/>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customStyle="1" w:styleId="466">
    <w:name w:val="Tabela de Lista 2 - Ênfase 41"/>
    <w:basedOn w:val="12"/>
    <w:uiPriority w:val="47"/>
    <w:pPr>
      <w:spacing w:after="0" w:line="240" w:lineRule="auto"/>
    </w:pPr>
    <w:rPr>
      <w:rFonts w:asciiTheme="minorHAnsi" w:hAnsiTheme="minorHAnsi" w:eastAsiaTheme="minorEastAsia" w:cstheme="minorBidi"/>
      <w:sz w:val="21"/>
      <w:szCs w:val="21"/>
    </w:rPr>
    <w:tblPr>
      <w:tblBorders>
        <w:top w:val="single" w:color="FFD965" w:themeColor="accent4" w:themeTint="99" w:sz="4" w:space="0"/>
        <w:bottom w:val="single" w:color="FFD965" w:themeColor="accent4" w:themeTint="99" w:sz="4" w:space="0"/>
        <w:insideH w:val="single" w:color="FFD965"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467">
    <w:name w:val="Tabela de Lista 41"/>
    <w:basedOn w:val="12"/>
    <w:uiPriority w:val="49"/>
    <w:pPr>
      <w:spacing w:after="0" w:line="240" w:lineRule="auto"/>
    </w:pPr>
    <w:rPr>
      <w:rFonts w:asciiTheme="minorHAnsi" w:hAnsiTheme="minorHAnsi" w:eastAsiaTheme="minorEastAsia" w:cstheme="minorBidi"/>
      <w:sz w:val="21"/>
      <w:szCs w:val="2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468">
    <w:name w:val="Tabela de Grade 2 - Ênfase 11"/>
    <w:basedOn w:val="12"/>
    <w:qFormat/>
    <w:uiPriority w:val="47"/>
    <w:pPr>
      <w:spacing w:after="0" w:line="240" w:lineRule="auto"/>
    </w:pPr>
    <w:rPr>
      <w:rFonts w:asciiTheme="minorHAnsi" w:hAnsiTheme="minorHAnsi" w:cstheme="minorBidi"/>
    </w:rPr>
    <w:tblPr>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cPr>
        <w:tcBorders>
          <w:top w:val="nil"/>
          <w:bottom w:val="single" w:color="4472C4" w:themeColor="accent1" w:sz="12" w:space="0"/>
          <w:insideH w:val="nil"/>
          <w:insideV w:val="nil"/>
        </w:tcBorders>
        <w:shd w:val="clear" w:color="auto" w:fill="FFFFFF" w:themeFill="background1"/>
      </w:tcPr>
    </w:tblStylePr>
    <w:tblStylePr w:type="lastRow">
      <w:rPr>
        <w:b/>
        <w:bCs/>
      </w:rPr>
      <w:tcPr>
        <w:tcBorders>
          <w:top w:val="double" w:color="4472C4" w:themeColor="accent1"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469">
    <w:name w:val="Tabela de Grade 41"/>
    <w:basedOn w:val="12"/>
    <w:qFormat/>
    <w:uiPriority w:val="49"/>
    <w:pPr>
      <w:spacing w:after="0" w:line="240" w:lineRule="auto"/>
    </w:pPr>
    <w:rPr>
      <w:rFonts w:asciiTheme="minorHAnsi" w:hAnsiTheme="minorHAnsi" w:eastAsiaTheme="minorEastAsia" w:cstheme="minorBidi"/>
      <w:sz w:val="21"/>
      <w:szCs w:val="2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470">
    <w:name w:val="Tabela com grade1"/>
    <w:basedOn w:val="12"/>
    <w:qFormat/>
    <w:uiPriority w:val="0"/>
    <w:pPr>
      <w:spacing w:after="0" w:line="240" w:lineRule="auto"/>
    </w:pPr>
    <w:rPr>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71">
    <w:name w:val="Tabela com grade2"/>
    <w:basedOn w:val="12"/>
    <w:uiPriority w:val="0"/>
    <w:pPr>
      <w:spacing w:after="0" w:line="240" w:lineRule="auto"/>
    </w:pPr>
    <w:rPr>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72">
    <w:name w:val="Sombreamento Claro1"/>
    <w:basedOn w:val="12"/>
    <w:uiPriority w:val="60"/>
    <w:pPr>
      <w:spacing w:after="0" w:line="240" w:lineRule="auto"/>
    </w:pPr>
    <w:rPr>
      <w:rFonts w:asciiTheme="minorHAnsi" w:hAnsiTheme="minorHAnsi" w:eastAsiaTheme="minorEastAsia" w:cstheme="minorBidi"/>
      <w:color w:val="000000" w:themeColor="text1" w:themeShade="BF"/>
      <w:sz w:val="21"/>
      <w:szCs w:val="21"/>
    </w:rPr>
    <w:tblPr>
      <w:tblBorders>
        <w:top w:val="single" w:color="000000" w:themeColor="text1" w:sz="8" w:space="0"/>
        <w:bottom w:val="single" w:color="000000" w:themeColor="text1" w:sz="8" w:space="0"/>
      </w:tblBorders>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customStyle="1" w:styleId="473">
    <w:name w:val="Lista Média 11"/>
    <w:basedOn w:val="12"/>
    <w:uiPriority w:val="65"/>
    <w:pPr>
      <w:spacing w:after="0" w:line="240" w:lineRule="auto"/>
    </w:pPr>
    <w:rPr>
      <w:rFonts w:asciiTheme="minorHAnsi" w:hAnsiTheme="minorHAnsi" w:eastAsiaTheme="minorEastAsia" w:cstheme="minorBidi"/>
      <w:color w:val="000000" w:themeColor="text1"/>
      <w:sz w:val="21"/>
      <w:szCs w:val="21"/>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44546A" w:themeColor="text2"/>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customStyle="1" w:styleId="474">
    <w:name w:val="Tabela de Grade 42"/>
    <w:basedOn w:val="12"/>
    <w:uiPriority w:val="49"/>
    <w:pPr>
      <w:spacing w:after="0" w:line="240" w:lineRule="auto"/>
    </w:pPr>
    <w:rPr>
      <w:rFonts w:asciiTheme="minorHAnsi" w:hAnsiTheme="minorHAnsi" w:eastAsiaTheme="minorEastAsia" w:cstheme="minorBidi"/>
      <w:sz w:val="21"/>
      <w:szCs w:val="2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styleId="475">
    <w:name w:val="Light Shading Accent 1"/>
    <w:basedOn w:val="12"/>
    <w:uiPriority w:val="60"/>
    <w:pPr>
      <w:spacing w:after="0" w:line="240" w:lineRule="auto"/>
    </w:pPr>
    <w:rPr>
      <w:rFonts w:asciiTheme="minorHAnsi" w:hAnsiTheme="minorHAnsi" w:cstheme="minorBidi"/>
      <w:color w:val="2F5496" w:themeColor="accent1" w:themeShade="BF"/>
    </w:rPr>
    <w:tblPr>
      <w:tblBorders>
        <w:top w:val="single" w:color="4472C4" w:themeColor="accent1" w:sz="8" w:space="0"/>
        <w:bottom w:val="single" w:color="4472C4" w:themeColor="accent1" w:sz="8" w:space="0"/>
      </w:tblBorders>
    </w:tblPr>
    <w:tblStylePr w:type="firstRow">
      <w:pPr>
        <w:spacing w:before="0" w:after="0" w:line="240" w:lineRule="auto"/>
      </w:pPr>
      <w:rPr>
        <w:b/>
        <w:bCs/>
      </w:r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0DCF0" w:themeFill="accent1" w:themeFillTint="3F"/>
      </w:tcPr>
    </w:tblStylePr>
    <w:tblStylePr w:type="band1Horz">
      <w:tcPr>
        <w:tcBorders>
          <w:left w:val="nil"/>
          <w:right w:val="nil"/>
          <w:insideH w:val="nil"/>
          <w:insideV w:val="nil"/>
        </w:tcBorders>
        <w:shd w:val="clear" w:color="auto" w:fill="D0DCF0" w:themeFill="accent1" w:themeFillTint="3F"/>
      </w:tcPr>
    </w:tblStylePr>
  </w:style>
  <w:style w:type="table" w:customStyle="1" w:styleId="476">
    <w:name w:val="Tabela de Grade 6 Colorida1"/>
    <w:basedOn w:val="12"/>
    <w:uiPriority w:val="51"/>
    <w:pPr>
      <w:spacing w:after="0" w:line="240" w:lineRule="auto"/>
    </w:pPr>
    <w:rPr>
      <w:rFonts w:asciiTheme="minorHAnsi" w:hAnsiTheme="minorHAnsi" w:cstheme="minorBidi"/>
      <w:color w:val="000000" w:themeColor="text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000000" w:themeColor="text1" w:sz="12"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477">
    <w:name w:val="Tabela de Lista 21"/>
    <w:basedOn w:val="12"/>
    <w:uiPriority w:val="47"/>
    <w:pPr>
      <w:spacing w:after="0" w:line="240" w:lineRule="auto"/>
    </w:pPr>
    <w:rPr>
      <w:rFonts w:asciiTheme="minorHAnsi" w:hAnsiTheme="minorHAnsi" w:cstheme="minorBidi"/>
    </w:rPr>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styleId="478">
    <w:name w:val="Medium List 1 Accent 6"/>
    <w:basedOn w:val="12"/>
    <w:uiPriority w:val="65"/>
    <w:pPr>
      <w:spacing w:after="0" w:line="240" w:lineRule="auto"/>
    </w:pPr>
    <w:rPr>
      <w:rFonts w:asciiTheme="minorHAnsi" w:hAnsiTheme="minorHAnsi" w:cstheme="minorBidi"/>
      <w:color w:val="000000" w:themeColor="text1"/>
    </w:rPr>
    <w:tblPr>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cPr>
        <w:tcBorders>
          <w:top w:val="nil"/>
          <w:bottom w:val="single" w:color="70AD47" w:themeColor="accent6" w:sz="8" w:space="0"/>
        </w:tcBorders>
      </w:tcPr>
    </w:tblStylePr>
    <w:tblStylePr w:type="lastRow">
      <w:rPr>
        <w:b/>
        <w:bCs/>
        <w:color w:val="44546A" w:themeColor="text2"/>
      </w:rPr>
      <w:tcPr>
        <w:tcBorders>
          <w:top w:val="single" w:color="70AD47" w:themeColor="accent6" w:sz="8" w:space="0"/>
          <w:bottom w:val="single" w:color="70AD47" w:themeColor="accent6" w:sz="8" w:space="0"/>
        </w:tcBorders>
      </w:tcPr>
    </w:tblStylePr>
    <w:tblStylePr w:type="firstCol">
      <w:rPr>
        <w:b/>
        <w:bCs/>
      </w:rPr>
    </w:tblStylePr>
    <w:tblStylePr w:type="lastCol">
      <w:rPr>
        <w:b/>
        <w:bCs/>
      </w:rPr>
      <w:tcPr>
        <w:tcBorders>
          <w:top w:val="single" w:color="70AD47" w:themeColor="accent6" w:sz="8" w:space="0"/>
          <w:bottom w:val="single" w:color="70AD47" w:themeColor="accent6" w:sz="8" w:space="0"/>
        </w:tcBorders>
      </w:tcPr>
    </w:tblStylePr>
    <w:tblStylePr w:type="band1Vert">
      <w:tcPr>
        <w:shd w:val="clear" w:color="auto" w:fill="DBEBD0" w:themeFill="accent6" w:themeFillTint="3F"/>
      </w:tcPr>
    </w:tblStylePr>
    <w:tblStylePr w:type="band1Horz">
      <w:tcPr>
        <w:shd w:val="clear" w:color="auto" w:fill="DBEBD0" w:themeFill="accent6" w:themeFillTint="3F"/>
      </w:tcPr>
    </w:tblStylePr>
  </w:style>
  <w:style w:type="table" w:customStyle="1" w:styleId="479">
    <w:name w:val="Tabela de Lista 7 Colorida - Ênfase 51"/>
    <w:basedOn w:val="12"/>
    <w:uiPriority w:val="52"/>
    <w:pPr>
      <w:spacing w:after="0" w:line="240" w:lineRule="auto"/>
    </w:pPr>
    <w:rPr>
      <w:rFonts w:asciiTheme="minorHAnsi" w:hAnsiTheme="minorHAnsi" w:cstheme="minorBidi"/>
      <w:color w:val="2E75B5" w:themeColor="accent5" w:themeShade="BF"/>
    </w:rPr>
    <w:tblStylePr w:type="firstRow">
      <w:rPr>
        <w:rFonts w:asciiTheme="majorHAnsi" w:hAnsiTheme="majorHAnsi" w:eastAsiaTheme="majorEastAsia" w:cstheme="majorBidi"/>
        <w:i/>
        <w:sz w:val="26"/>
      </w:r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sz w:val="26"/>
      </w:r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sz w:val="26"/>
      </w:r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sz w:val="26"/>
      </w:rPr>
      <w:tcPr>
        <w:tcBorders>
          <w:left w:val="single" w:color="5B9BD5" w:themeColor="accent5" w:sz="4" w:space="0"/>
        </w:tcBorders>
        <w:shd w:val="clear" w:color="auto" w:fill="FFFFFF" w:themeFill="background1"/>
      </w:tcPr>
    </w:tblStylePr>
    <w:tblStylePr w:type="band1Vert">
      <w:tcPr>
        <w:shd w:val="clear" w:color="auto" w:fill="DEEAF6" w:themeFill="accent5" w:themeFillTint="33"/>
      </w:tcPr>
    </w:tblStylePr>
    <w:tblStylePr w:type="band1Horz">
      <w:tcPr>
        <w:shd w:val="clear" w:color="auto" w:fill="DEEAF6" w:themeFill="accent5"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table" w:customStyle="1" w:styleId="480">
    <w:name w:val="Tabela de Lista 2 - Ênfase 51"/>
    <w:basedOn w:val="12"/>
    <w:uiPriority w:val="47"/>
    <w:pPr>
      <w:spacing w:after="0" w:line="240" w:lineRule="auto"/>
    </w:pPr>
    <w:rPr>
      <w:rFonts w:asciiTheme="minorHAnsi" w:hAnsiTheme="minorHAnsi" w:cstheme="minorBidi"/>
    </w:rPr>
    <w:tblPr>
      <w:tblBorders>
        <w:top w:val="single" w:color="9CC2E5" w:themeColor="accent5" w:themeTint="99" w:sz="4" w:space="0"/>
        <w:bottom w:val="single" w:color="9CC2E5" w:themeColor="accent5" w:themeTint="99" w:sz="4" w:space="0"/>
        <w:insideH w:val="single" w:color="9CC2E5"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481">
    <w:name w:val="Tabela de Lista 22"/>
    <w:basedOn w:val="12"/>
    <w:uiPriority w:val="47"/>
    <w:pPr>
      <w:spacing w:after="0" w:line="240" w:lineRule="auto"/>
    </w:pPr>
    <w:rPr>
      <w:rFonts w:asciiTheme="minorHAnsi" w:hAnsiTheme="minorHAnsi" w:cstheme="minorBidi"/>
    </w:rPr>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482">
    <w:name w:val="Tabela com grade21"/>
    <w:basedOn w:val="12"/>
    <w:uiPriority w:val="0"/>
    <w:pPr>
      <w:spacing w:after="0" w:line="240" w:lineRule="auto"/>
    </w:pPr>
    <w:rPr>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3">
    <w:name w:val="Light List Accent 1"/>
    <w:basedOn w:val="12"/>
    <w:uiPriority w:val="61"/>
    <w:pPr>
      <w:spacing w:after="0" w:line="240" w:lineRule="auto"/>
    </w:pPr>
    <w:rPr>
      <w:rFonts w:asciiTheme="minorHAnsi" w:hAnsiTheme="minorHAnsi" w:eastAsiaTheme="minorEastAsia" w:cstheme="minorBidi"/>
      <w:sz w:val="21"/>
      <w:szCs w:val="21"/>
    </w:rPr>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rPr>
      <w:tcPr>
        <w:shd w:val="clear" w:color="auto" w:fill="4472C4" w:themeFill="accent1"/>
      </w:tcPr>
    </w:tblStylePr>
    <w:tblStylePr w:type="lastRow">
      <w:pPr>
        <w:spacing w:before="0" w:after="0" w:line="240" w:lineRule="auto"/>
      </w:pPr>
      <w:rPr>
        <w:b/>
        <w:bCs/>
      </w:r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StylePr>
    <w:tblStylePr w:type="lastCol">
      <w:rPr>
        <w:b/>
        <w:bCs/>
      </w:rPr>
    </w:tblStylePr>
    <w:tblStylePr w:type="band1Vert">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customStyle="1" w:styleId="484">
    <w:name w:val="TableGrid"/>
    <w:uiPriority w:val="0"/>
    <w:pPr>
      <w:spacing w:after="0" w:line="240" w:lineRule="auto"/>
      <w:jc w:val="both"/>
    </w:pPr>
    <w:rPr>
      <w:rFonts w:asciiTheme="minorHAnsi" w:hAnsiTheme="minorHAnsi" w:eastAsiaTheme="minorEastAsia" w:cstheme="minorBidi"/>
      <w:lang w:eastAsia="pt-BR"/>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4.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23E52-997C-4D76-A058-BF2C7FEDA4B4}">
  <ds:schemaRefs/>
</ds:datastoreItem>
</file>

<file path=docProps/app.xml><?xml version="1.0" encoding="utf-8"?>
<Properties xmlns="http://schemas.openxmlformats.org/officeDocument/2006/extended-properties" xmlns:vt="http://schemas.openxmlformats.org/officeDocument/2006/docPropsVTypes">
  <Template>Normal</Template>
  <Pages>72</Pages>
  <Words>17893</Words>
  <Characters>102360</Characters>
  <Paragraphs>805</Paragraphs>
  <TotalTime>26541</TotalTime>
  <ScaleCrop>false</ScaleCrop>
  <LinksUpToDate>false</LinksUpToDate>
  <CharactersWithSpaces>119811</CharactersWithSpaces>
  <Application>WPS Office_12.2.0.19307_F1E327BC-269C-435d-A152-05C5408002CA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2024-11-12T16:54:00Z</dcterms:created>
  <dc:creator>EDULDS</dc:creator>
  <cp:lastModifiedBy>Admin</cp:lastModifiedBy>
  <cp:lastPrinted>2024-10-25T15:08:00Z</cp:lastPrinted>
  <dcterms:modified xsi:type="dcterms:W3CDTF">2024-12-12T15:58:08Z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1046-12.2.0.19307</vt:lpwstr>
  </property>
  <property fmtid="{D5CDD505-2E9C-101B-9397-08002B2CF9AE}" pid="3" name="ICV">
    <vt:lpwstr>6650D935BF7E4B679587541190091ACF_12</vt:lpwstr>
  </property>
</Properties>
</file>