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spacing w:lineRule="auto" w:line="276"/>
        <w:rPr/>
      </w:pPr>
      <w:r>
        <w:rPr>
          <w:b/>
          <w:bCs/>
          <w:sz w:val="21"/>
          <w:szCs w:val="21"/>
        </w:rPr>
        <w:t>PROCESSO LICITATÓRIO Nº 54/2026</w:t>
      </w:r>
    </w:p>
    <w:p>
      <w:pPr>
        <w:pStyle w:val="BodyText"/>
        <w:spacing w:lineRule="auto" w:line="276"/>
        <w:rPr/>
      </w:pPr>
      <w:r>
        <w:rPr>
          <w:b/>
          <w:bCs/>
          <w:i w:val="false"/>
          <w:iCs w:val="false"/>
          <w:sz w:val="21"/>
          <w:szCs w:val="21"/>
        </w:rPr>
        <w:t>CONCORRÊNCIA</w:t>
      </w:r>
      <w:r>
        <w:rPr>
          <w:b/>
          <w:bCs/>
          <w:i w:val="false"/>
          <w:iCs w:val="false"/>
          <w:strike w:val="false"/>
          <w:dstrike w:val="false"/>
          <w:color w:val="000000"/>
          <w:sz w:val="21"/>
          <w:szCs w:val="21"/>
          <w:u w:val="none"/>
        </w:rPr>
        <w:t xml:space="preserve"> ELETRÔNICA Nº 04/2026</w:t>
      </w:r>
    </w:p>
    <w:p>
      <w:pPr>
        <w:pStyle w:val="BodyText"/>
        <w:spacing w:lineRule="auto" w:line="360"/>
        <w:rPr>
          <w:rFonts w:ascii="Arial" w:hAnsi="Arial"/>
          <w:b/>
          <w:bCs/>
          <w:i w:val="false"/>
          <w:iCs w:val="false"/>
          <w:strike w:val="false"/>
          <w:dstrike w:val="false"/>
          <w:color w:val="000000"/>
          <w:sz w:val="21"/>
          <w:szCs w:val="21"/>
          <w:u w:val="none"/>
        </w:rPr>
      </w:pPr>
      <w:r>
        <w:rPr>
          <w:b/>
          <w:bCs/>
          <w:i w:val="false"/>
          <w:iCs w:val="false"/>
          <w:strike w:val="false"/>
          <w:dstrike w:val="false"/>
          <w:color w:val="000000"/>
          <w:sz w:val="21"/>
          <w:szCs w:val="21"/>
          <w:u w:val="none"/>
        </w:rPr>
      </w:r>
    </w:p>
    <w:p>
      <w:pPr>
        <w:pStyle w:val="Normal"/>
        <w:widowControl/>
        <w:suppressAutoHyphens w:val="true"/>
        <w:bidi w:val="0"/>
        <w:spacing w:lineRule="auto" w:line="360" w:before="0" w:after="0"/>
        <w:ind w:hanging="0" w:start="0" w:end="0"/>
        <w:jc w:val="center"/>
        <w:rPr/>
      </w:pPr>
      <w:r>
        <w:rPr>
          <w:rFonts w:ascii="Arial" w:hAnsi="Arial"/>
          <w:b/>
          <w:bCs/>
          <w:i w:val="false"/>
          <w:iCs w:val="false"/>
          <w:sz w:val="21"/>
          <w:szCs w:val="21"/>
        </w:rPr>
        <w:t xml:space="preserve">EDITAL </w:t>
      </w:r>
    </w:p>
    <w:p>
      <w:pPr>
        <w:pStyle w:val="Heading2"/>
        <w:widowControl/>
        <w:suppressAutoHyphens w:val="true"/>
        <w:bidi w:val="0"/>
        <w:spacing w:lineRule="auto" w:line="360"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hanging="0" w:start="0" w:end="0"/>
        <w:jc w:val="both"/>
        <w:rPr/>
      </w:pPr>
      <w:r>
        <w:rPr>
          <w:rFonts w:cs="Arial" w:ascii="Arial" w:hAnsi="Arial"/>
          <w:sz w:val="21"/>
          <w:szCs w:val="21"/>
        </w:rPr>
        <w:t xml:space="preserve">O Município de Lindóia do Sul, pessoa jurídica de direito público interno, inscrito no CNPJ 78.510.112/0001-80, com sede na Rua Tamandaré, nº 98, Centro, Lindóia do Sul, SC, CEP 89.735-000, através de seu Prefeito Municipal Senhor </w:t>
      </w:r>
      <w:r>
        <w:rPr>
          <w:rFonts w:cs="Arial" w:ascii="Arial" w:hAnsi="Arial"/>
          <w:b/>
          <w:sz w:val="21"/>
          <w:szCs w:val="21"/>
        </w:rPr>
        <w:t>FLÁVIO LUIZ BENINI</w:t>
      </w:r>
      <w:r>
        <w:rPr>
          <w:rFonts w:cs="Arial" w:ascii="Arial" w:hAnsi="Arial"/>
          <w:color w:val="000000"/>
          <w:sz w:val="21"/>
          <w:szCs w:val="21"/>
        </w:rPr>
        <w:t xml:space="preserve">, no uso de suas atribuições, torna público, para conhecimento dos interessados, que realizará licitação na modalidade </w:t>
      </w:r>
      <w:r>
        <w:rPr>
          <w:rFonts w:cs="Arial" w:ascii="Arial" w:hAnsi="Arial"/>
          <w:b/>
          <w:bCs/>
          <w:color w:val="000000"/>
          <w:sz w:val="21"/>
          <w:szCs w:val="21"/>
        </w:rPr>
        <w:t>CONCORRÊNCIA</w:t>
      </w:r>
      <w:r>
        <w:rPr>
          <w:rFonts w:cs="Arial" w:ascii="Arial" w:hAnsi="Arial"/>
          <w:b/>
          <w:color w:val="000000"/>
          <w:sz w:val="21"/>
          <w:szCs w:val="21"/>
        </w:rPr>
        <w:t xml:space="preserve">, </w:t>
      </w:r>
      <w:r>
        <w:rPr>
          <w:rFonts w:cs="Arial" w:ascii="Arial" w:hAnsi="Arial"/>
          <w:color w:val="000000"/>
          <w:sz w:val="21"/>
          <w:szCs w:val="21"/>
        </w:rPr>
        <w:t>sob a forma</w:t>
      </w:r>
      <w:r>
        <w:rPr>
          <w:rFonts w:cs="Arial" w:ascii="Arial" w:hAnsi="Arial"/>
          <w:b/>
          <w:color w:val="000000"/>
          <w:sz w:val="21"/>
          <w:szCs w:val="21"/>
        </w:rPr>
        <w:t xml:space="preserve"> ELETRÔNICA</w:t>
      </w:r>
      <w:r>
        <w:rPr>
          <w:rFonts w:cs="Arial" w:ascii="Arial" w:hAnsi="Arial"/>
          <w:color w:val="000000"/>
          <w:sz w:val="21"/>
          <w:szCs w:val="21"/>
        </w:rPr>
        <w:t xml:space="preserve">, do tipo </w:t>
      </w:r>
      <w:r>
        <w:rPr>
          <w:rFonts w:cs="Arial" w:ascii="Arial" w:hAnsi="Arial"/>
          <w:b/>
          <w:color w:val="000000"/>
          <w:sz w:val="21"/>
          <w:szCs w:val="21"/>
        </w:rPr>
        <w:t>MENOR PREÇO GLOBAL</w:t>
      </w:r>
      <w:r>
        <w:rPr>
          <w:rFonts w:cs="Arial" w:ascii="Arial" w:hAnsi="Arial"/>
          <w:color w:val="000000"/>
          <w:sz w:val="21"/>
          <w:szCs w:val="21"/>
        </w:rPr>
        <w:t xml:space="preserve">, visando o fornecimento do objeto abaixo indicado, através do site </w:t>
      </w:r>
      <w:hyperlink r:id="rId2">
        <w:r>
          <w:rPr>
            <w:rStyle w:val="Hyperlink"/>
            <w:rFonts w:cs="Arial" w:ascii="Arial" w:hAnsi="Arial"/>
            <w:sz w:val="21"/>
            <w:szCs w:val="21"/>
          </w:rPr>
          <w:t>www.portaldecompraspublicas.com.br</w:t>
        </w:r>
      </w:hyperlink>
      <w:r>
        <w:rPr>
          <w:rFonts w:cs="Arial" w:ascii="Arial" w:hAnsi="Arial"/>
          <w:color w:val="000000"/>
          <w:sz w:val="21"/>
          <w:szCs w:val="21"/>
        </w:rPr>
        <w:t>, em conformidade com as condições do Edital, que rege esta Concorrência, nas disposições da Lei Federal nº 14.133, de 01 de abril de 2021 e Decreto Municipal nº 4.072 de 11 de janeiro de 2024.</w:t>
      </w:r>
    </w:p>
    <w:p>
      <w:pPr>
        <w:pStyle w:val="Normal"/>
        <w:widowControl/>
        <w:suppressAutoHyphens w:val="true"/>
        <w:bidi w:val="0"/>
        <w:spacing w:lineRule="auto" w:line="360" w:before="0" w:after="0"/>
        <w:ind w:hanging="0" w:start="0" w:end="0"/>
        <w:jc w:val="both"/>
        <w:rPr>
          <w:rFonts w:ascii="Arial" w:hAnsi="Arial" w:cs="Arial"/>
          <w:color w:val="000000"/>
          <w:sz w:val="21"/>
          <w:szCs w:val="21"/>
        </w:rPr>
      </w:pPr>
      <w:r>
        <w:rPr>
          <w:rFonts w:cs="Arial" w:ascii="Arial" w:hAnsi="Arial"/>
          <w:color w:val="000000"/>
          <w:sz w:val="21"/>
          <w:szCs w:val="21"/>
        </w:rPr>
      </w:r>
    </w:p>
    <w:p>
      <w:pPr>
        <w:pStyle w:val="Normal"/>
        <w:widowControl/>
        <w:suppressAutoHyphens w:val="true"/>
        <w:bidi w:val="0"/>
        <w:spacing w:lineRule="auto" w:line="360" w:before="57" w:after="57"/>
        <w:ind w:hanging="0" w:start="0" w:end="0"/>
        <w:jc w:val="both"/>
        <w:rPr/>
      </w:pPr>
      <w:r>
        <w:rPr>
          <w:rFonts w:ascii="Arial" w:hAnsi="Arial"/>
          <w:b/>
          <w:bCs/>
          <w:sz w:val="21"/>
          <w:szCs w:val="21"/>
        </w:rPr>
        <w:t>TIPO: Empreitada Global;</w:t>
      </w:r>
    </w:p>
    <w:p>
      <w:pPr>
        <w:pStyle w:val="Default"/>
        <w:spacing w:lineRule="auto" w:line="360" w:before="57" w:after="57"/>
        <w:rPr/>
      </w:pPr>
      <w:r>
        <w:rPr>
          <w:rFonts w:ascii="Arial" w:hAnsi="Arial"/>
          <w:b/>
          <w:bCs/>
          <w:strike w:val="false"/>
          <w:dstrike w:val="false"/>
          <w:color w:val="000000"/>
          <w:sz w:val="21"/>
          <w:szCs w:val="21"/>
          <w:u w:val="none"/>
        </w:rPr>
        <w:t xml:space="preserve">CRITÉRIO DE JULGAMENTO: </w:t>
      </w:r>
      <w:r>
        <w:rPr>
          <w:rFonts w:ascii="Arial" w:hAnsi="Arial"/>
          <w:b w:val="false"/>
          <w:bCs/>
          <w:strike w:val="false"/>
          <w:dstrike w:val="false"/>
          <w:color w:val="000000"/>
          <w:sz w:val="21"/>
          <w:szCs w:val="21"/>
          <w:u w:val="none"/>
        </w:rPr>
        <w:t>Menor preço global;</w:t>
      </w:r>
    </w:p>
    <w:p>
      <w:pPr>
        <w:pStyle w:val="Normal"/>
        <w:widowControl/>
        <w:suppressAutoHyphens w:val="true"/>
        <w:bidi w:val="0"/>
        <w:spacing w:lineRule="auto" w:line="360" w:before="57" w:after="57"/>
        <w:ind w:hanging="0" w:start="0" w:end="0"/>
        <w:jc w:val="both"/>
        <w:rPr/>
      </w:pPr>
      <w:r>
        <w:rPr>
          <w:rFonts w:ascii="Arial" w:hAnsi="Arial"/>
          <w:b/>
          <w:bCs/>
          <w:sz w:val="21"/>
          <w:szCs w:val="21"/>
        </w:rPr>
        <w:t>RECEBIMENTO DAS PROPOSTAS</w:t>
      </w:r>
      <w:r>
        <w:rPr>
          <w:rFonts w:ascii="Arial" w:hAnsi="Arial"/>
          <w:sz w:val="21"/>
          <w:szCs w:val="21"/>
        </w:rPr>
        <w:t xml:space="preserve">: até as </w:t>
      </w:r>
      <w:r>
        <w:rPr>
          <w:rFonts w:ascii="Arial" w:hAnsi="Arial"/>
          <w:b/>
          <w:bCs/>
          <w:sz w:val="21"/>
          <w:szCs w:val="21"/>
        </w:rPr>
        <w:t>08:30</w:t>
      </w:r>
      <w:r>
        <w:rPr>
          <w:rFonts w:ascii="Arial" w:hAnsi="Arial"/>
          <w:sz w:val="21"/>
          <w:szCs w:val="21"/>
        </w:rPr>
        <w:t xml:space="preserve"> horas do dia </w:t>
      </w:r>
      <w:r>
        <w:rPr>
          <w:rFonts w:ascii="Arial" w:hAnsi="Arial"/>
          <w:b/>
          <w:bCs/>
          <w:sz w:val="21"/>
          <w:szCs w:val="21"/>
        </w:rPr>
        <w:t>1</w:t>
      </w:r>
      <w:r>
        <w:rPr>
          <w:rFonts w:ascii="Arial" w:hAnsi="Arial"/>
          <w:b/>
          <w:bCs/>
          <w:sz w:val="21"/>
          <w:szCs w:val="21"/>
        </w:rPr>
        <w:t>4</w:t>
      </w:r>
      <w:r>
        <w:rPr>
          <w:rFonts w:ascii="Arial" w:hAnsi="Arial"/>
          <w:b/>
          <w:bCs/>
          <w:sz w:val="21"/>
          <w:szCs w:val="21"/>
        </w:rPr>
        <w:t>/0</w:t>
      </w:r>
      <w:r>
        <w:rPr>
          <w:rFonts w:ascii="Arial" w:hAnsi="Arial"/>
          <w:b/>
          <w:bCs/>
          <w:sz w:val="21"/>
          <w:szCs w:val="21"/>
        </w:rPr>
        <w:t>9</w:t>
      </w:r>
      <w:r>
        <w:rPr>
          <w:rFonts w:ascii="Arial" w:hAnsi="Arial"/>
          <w:b/>
          <w:bCs/>
          <w:sz w:val="21"/>
          <w:szCs w:val="21"/>
        </w:rPr>
        <w:t>/2026;</w:t>
      </w:r>
    </w:p>
    <w:p>
      <w:pPr>
        <w:pStyle w:val="Normal"/>
        <w:widowControl/>
        <w:suppressAutoHyphens w:val="true"/>
        <w:bidi w:val="0"/>
        <w:spacing w:lineRule="auto" w:line="360" w:before="57" w:after="57"/>
        <w:ind w:hanging="0" w:start="0" w:end="0"/>
        <w:jc w:val="both"/>
        <w:rPr/>
      </w:pPr>
      <w:r>
        <w:rPr>
          <w:rFonts w:ascii="Arial" w:hAnsi="Arial"/>
          <w:b/>
          <w:bCs/>
          <w:sz w:val="21"/>
          <w:szCs w:val="21"/>
          <w:shd w:fill="auto" w:val="clear"/>
        </w:rPr>
        <w:t>DOCUMENTOS DE HABILITAÇÃO</w:t>
      </w:r>
      <w:r>
        <w:rPr>
          <w:rFonts w:ascii="Arial" w:hAnsi="Arial"/>
          <w:sz w:val="21"/>
          <w:szCs w:val="21"/>
          <w:shd w:fill="auto" w:val="clear"/>
        </w:rPr>
        <w:t>: Na mesma data e horário do recebimento das propostas, encerrada a fase de lances, o licitante classificado provisoriamente em primeiro lugar poderá complementar ou substituir a documentação apresentada, dentro do prazo fixado pelo agente de contratação, não inferior a 02 (duas) horas, podendo ser prorrogado;</w:t>
      </w:r>
    </w:p>
    <w:p>
      <w:pPr>
        <w:pStyle w:val="Normal"/>
        <w:widowControl/>
        <w:suppressAutoHyphens w:val="true"/>
        <w:bidi w:val="0"/>
        <w:spacing w:lineRule="auto" w:line="360" w:before="57" w:after="57"/>
        <w:ind w:hanging="0" w:start="0" w:end="0"/>
        <w:jc w:val="both"/>
        <w:rPr/>
      </w:pPr>
      <w:r>
        <w:rPr>
          <w:rFonts w:ascii="Arial" w:hAnsi="Arial"/>
          <w:b/>
          <w:bCs/>
          <w:sz w:val="21"/>
          <w:szCs w:val="21"/>
        </w:rPr>
        <w:t>INÍCIO DA SESSÃO</w:t>
      </w:r>
      <w:r>
        <w:rPr>
          <w:rFonts w:ascii="Arial" w:hAnsi="Arial"/>
          <w:sz w:val="21"/>
          <w:szCs w:val="21"/>
        </w:rPr>
        <w:t xml:space="preserve">: às </w:t>
      </w:r>
      <w:r>
        <w:rPr>
          <w:rFonts w:ascii="Arial" w:hAnsi="Arial"/>
          <w:b/>
          <w:bCs/>
          <w:sz w:val="21"/>
          <w:szCs w:val="21"/>
        </w:rPr>
        <w:t>08:31</w:t>
      </w:r>
      <w:r>
        <w:rPr>
          <w:rFonts w:ascii="Arial" w:hAnsi="Arial"/>
          <w:sz w:val="21"/>
          <w:szCs w:val="21"/>
        </w:rPr>
        <w:t xml:space="preserve"> horas do dia </w:t>
      </w:r>
      <w:r>
        <w:rPr>
          <w:rFonts w:ascii="Arial" w:hAnsi="Arial"/>
          <w:b/>
          <w:bCs/>
          <w:sz w:val="21"/>
          <w:szCs w:val="21"/>
        </w:rPr>
        <w:t>1</w:t>
      </w:r>
      <w:r>
        <w:rPr>
          <w:rFonts w:ascii="Arial" w:hAnsi="Arial"/>
          <w:b/>
          <w:bCs/>
          <w:sz w:val="21"/>
          <w:szCs w:val="21"/>
        </w:rPr>
        <w:t>4</w:t>
      </w:r>
      <w:r>
        <w:rPr>
          <w:rFonts w:ascii="Arial" w:hAnsi="Arial"/>
          <w:b/>
          <w:bCs/>
          <w:sz w:val="21"/>
          <w:szCs w:val="21"/>
        </w:rPr>
        <w:t>/0</w:t>
      </w:r>
      <w:r>
        <w:rPr>
          <w:rFonts w:ascii="Arial" w:hAnsi="Arial"/>
          <w:b/>
          <w:bCs/>
          <w:sz w:val="21"/>
          <w:szCs w:val="21"/>
        </w:rPr>
        <w:t>9</w:t>
      </w:r>
      <w:r>
        <w:rPr>
          <w:rFonts w:ascii="Arial" w:hAnsi="Arial"/>
          <w:b/>
          <w:bCs/>
          <w:sz w:val="21"/>
          <w:szCs w:val="21"/>
        </w:rPr>
        <w:t>/2026;</w:t>
      </w:r>
    </w:p>
    <w:p>
      <w:pPr>
        <w:pStyle w:val="Normal"/>
        <w:widowControl/>
        <w:suppressAutoHyphens w:val="true"/>
        <w:bidi w:val="0"/>
        <w:spacing w:lineRule="auto" w:line="360" w:before="57" w:after="57"/>
        <w:ind w:hanging="0" w:start="0" w:end="0"/>
        <w:jc w:val="both"/>
        <w:rPr/>
      </w:pPr>
      <w:r>
        <w:rPr>
          <w:rFonts w:ascii="Arial" w:hAnsi="Arial"/>
          <w:b/>
          <w:bCs/>
          <w:sz w:val="21"/>
          <w:szCs w:val="21"/>
        </w:rPr>
        <w:t>REFERÊNCIA DE TEMPO</w:t>
      </w:r>
      <w:r>
        <w:rPr>
          <w:rFonts w:ascii="Arial" w:hAnsi="Arial"/>
          <w:sz w:val="21"/>
          <w:szCs w:val="21"/>
        </w:rPr>
        <w:t>: horário de Brasília (DF);</w:t>
      </w:r>
    </w:p>
    <w:p>
      <w:pPr>
        <w:pStyle w:val="Normal"/>
        <w:widowControl/>
        <w:suppressAutoHyphens w:val="true"/>
        <w:bidi w:val="0"/>
        <w:spacing w:lineRule="auto" w:line="360" w:before="57" w:after="57"/>
        <w:ind w:hanging="0" w:start="0" w:end="0"/>
        <w:jc w:val="both"/>
        <w:rPr/>
      </w:pPr>
      <w:r>
        <w:rPr>
          <w:rFonts w:ascii="Arial" w:hAnsi="Arial"/>
          <w:b/>
          <w:bCs/>
          <w:sz w:val="21"/>
          <w:szCs w:val="21"/>
        </w:rPr>
        <w:t>PLATAFORMA ELETRÔNICA</w:t>
      </w:r>
      <w:r>
        <w:rPr>
          <w:rFonts w:ascii="Arial" w:hAnsi="Arial"/>
          <w:sz w:val="21"/>
          <w:szCs w:val="21"/>
        </w:rPr>
        <w:t xml:space="preserve">: </w:t>
      </w:r>
      <w:hyperlink r:id="rId3">
        <w:r>
          <w:rPr>
            <w:rStyle w:val="Hyperlink"/>
            <w:rFonts w:ascii="Arial" w:hAnsi="Arial"/>
            <w:sz w:val="21"/>
            <w:szCs w:val="21"/>
          </w:rPr>
          <w:t>www.portaldecompraspublicas.com.br</w:t>
        </w:r>
      </w:hyperlink>
      <w:r>
        <w:rPr>
          <w:rFonts w:ascii="Arial" w:hAnsi="Arial"/>
          <w:sz w:val="21"/>
          <w:szCs w:val="21"/>
        </w:rPr>
        <w:t xml:space="preserve"> “Acesso Identificado”;</w:t>
      </w:r>
    </w:p>
    <w:p>
      <w:pPr>
        <w:pStyle w:val="Normal"/>
        <w:widowControl/>
        <w:suppressAutoHyphens w:val="true"/>
        <w:bidi w:val="0"/>
        <w:spacing w:lineRule="auto" w:line="360" w:before="57" w:after="57"/>
        <w:ind w:hanging="0" w:start="0" w:end="0"/>
        <w:jc w:val="both"/>
        <w:rPr/>
      </w:pPr>
      <w:r>
        <w:rPr>
          <w:rFonts w:ascii="Arial" w:hAnsi="Arial"/>
          <w:b/>
          <w:bCs/>
          <w:sz w:val="21"/>
          <w:szCs w:val="21"/>
          <w:shd w:fill="auto" w:val="clear"/>
        </w:rPr>
        <w:t>INTERVALO MÍNIMO DE LANCES</w:t>
      </w:r>
      <w:r>
        <w:rPr>
          <w:rFonts w:ascii="Arial" w:hAnsi="Arial"/>
          <w:sz w:val="21"/>
          <w:szCs w:val="21"/>
          <w:shd w:fill="auto" w:val="clear"/>
        </w:rPr>
        <w:t>: R$ 50,00 (cinquenta) reais;</w:t>
      </w:r>
    </w:p>
    <w:p>
      <w:pPr>
        <w:pStyle w:val="Normal"/>
        <w:widowControl/>
        <w:suppressAutoHyphens w:val="true"/>
        <w:bidi w:val="0"/>
        <w:spacing w:lineRule="auto" w:line="360" w:before="57" w:after="57"/>
        <w:ind w:hanging="0" w:start="0" w:end="0"/>
        <w:jc w:val="both"/>
        <w:rPr/>
      </w:pPr>
      <w:r>
        <w:rPr>
          <w:rFonts w:ascii="Arial" w:hAnsi="Arial"/>
          <w:b/>
          <w:bCs/>
          <w:sz w:val="21"/>
          <w:szCs w:val="21"/>
        </w:rPr>
        <w:t>DATA LIMITE PARA IMPUGNAÇÃO E ESCLARECIMENTOS: até as 23:59 horas do dia 1</w:t>
      </w:r>
      <w:r>
        <w:rPr>
          <w:rFonts w:ascii="Arial" w:hAnsi="Arial"/>
          <w:b/>
          <w:bCs/>
          <w:sz w:val="21"/>
          <w:szCs w:val="21"/>
        </w:rPr>
        <w:t>0</w:t>
      </w:r>
      <w:r>
        <w:rPr>
          <w:rFonts w:ascii="Arial" w:hAnsi="Arial"/>
          <w:b/>
          <w:bCs/>
          <w:sz w:val="21"/>
          <w:szCs w:val="21"/>
        </w:rPr>
        <w:t>/0</w:t>
      </w:r>
      <w:r>
        <w:rPr>
          <w:rFonts w:ascii="Arial" w:hAnsi="Arial"/>
          <w:b/>
          <w:bCs/>
          <w:sz w:val="21"/>
          <w:szCs w:val="21"/>
        </w:rPr>
        <w:t>9</w:t>
      </w:r>
      <w:r>
        <w:rPr>
          <w:rFonts w:ascii="Arial" w:hAnsi="Arial"/>
          <w:b/>
          <w:bCs/>
          <w:sz w:val="21"/>
          <w:szCs w:val="21"/>
        </w:rPr>
        <w:t>/2026;</w:t>
      </w:r>
    </w:p>
    <w:p>
      <w:pPr>
        <w:pStyle w:val="Default"/>
        <w:spacing w:lineRule="auto" w:line="360" w:before="57" w:after="57"/>
        <w:rPr/>
      </w:pPr>
      <w:r>
        <w:rPr>
          <w:rFonts w:ascii="Arial" w:hAnsi="Arial"/>
          <w:b/>
          <w:strike w:val="false"/>
          <w:dstrike w:val="false"/>
          <w:color w:val="000000"/>
          <w:sz w:val="21"/>
          <w:szCs w:val="21"/>
          <w:u w:val="none"/>
        </w:rPr>
        <w:t xml:space="preserve">MODO DE DISPUTA: </w:t>
      </w:r>
      <w:r>
        <w:rPr>
          <w:rFonts w:ascii="Arial" w:hAnsi="Arial"/>
          <w:b w:val="false"/>
          <w:strike w:val="false"/>
          <w:dstrike w:val="false"/>
          <w:color w:val="000000"/>
          <w:sz w:val="21"/>
          <w:szCs w:val="21"/>
          <w:u w:val="none"/>
        </w:rPr>
        <w:t>Aberto;</w:t>
      </w:r>
    </w:p>
    <w:p>
      <w:pPr>
        <w:pStyle w:val="Default"/>
        <w:spacing w:lineRule="auto" w:line="360" w:before="142" w:after="142"/>
        <w:jc w:val="both"/>
        <w:rPr/>
      </w:pPr>
      <w:r>
        <w:rPr>
          <w:rFonts w:ascii="Arial" w:hAnsi="Arial"/>
          <w:b/>
          <w:strike w:val="false"/>
          <w:dstrike w:val="false"/>
          <w:color w:val="000000"/>
          <w:sz w:val="21"/>
          <w:szCs w:val="21"/>
          <w:u w:val="none"/>
        </w:rPr>
        <w:t xml:space="preserve">VALOR MÁXIMO ADMITIDO: </w:t>
      </w:r>
      <w:r>
        <w:rPr>
          <w:rFonts w:eastAsia="Arial" w:cs="Arial" w:ascii="Arial" w:hAnsi="Arial"/>
          <w:b w:val="false"/>
          <w:strike w:val="false"/>
          <w:dstrike w:val="false"/>
          <w:color w:val="000000"/>
          <w:sz w:val="21"/>
          <w:szCs w:val="21"/>
          <w:u w:val="none"/>
        </w:rPr>
        <w:t>R$ 1.343.349,71 (Um milhão, trezentos e quarenta e três mil, trezentos e quarenta e nove reais, e setenta e um centavos).</w:t>
      </w:r>
    </w:p>
    <w:p>
      <w:pPr>
        <w:pStyle w:val="Normal"/>
        <w:spacing w:lineRule="auto" w:line="360" w:before="142" w:after="142"/>
        <w:ind w:hanging="0" w:start="0" w:end="0"/>
        <w:jc w:val="both"/>
        <w:rPr/>
      </w:pPr>
      <w:r>
        <w:rPr>
          <w:rFonts w:cs="Arial" w:ascii="Arial" w:hAnsi="Arial"/>
          <w:color w:val="000000"/>
          <w:sz w:val="21"/>
          <w:szCs w:val="21"/>
        </w:rPr>
        <w:t>Ocorrendo decretação de feriado, ou outro fato superveniente que impeça a realização desta licitação na data acima mencionada, o evento será automaticamente transferido para o primeiro dia útil subsequente, no mesmo horário, independentemente de nova comunicação.</w:t>
      </w:r>
    </w:p>
    <w:p>
      <w:pPr>
        <w:pStyle w:val="Normal"/>
        <w:widowControl/>
        <w:suppressAutoHyphens w:val="true"/>
        <w:bidi w:val="0"/>
        <w:spacing w:lineRule="auto" w:line="360" w:before="142" w:after="142"/>
        <w:ind w:hanging="0" w:start="0" w:end="0"/>
        <w:jc w:val="both"/>
        <w:rPr/>
      </w:pPr>
      <w:r>
        <w:rPr>
          <w:rFonts w:ascii="Arial" w:hAnsi="Arial"/>
          <w:sz w:val="21"/>
          <w:szCs w:val="21"/>
        </w:rPr>
        <w:t>Formalização de consultas/encaminhamentos:</w:t>
      </w:r>
    </w:p>
    <w:p>
      <w:pPr>
        <w:pStyle w:val="Normal"/>
        <w:widowControl/>
        <w:suppressAutoHyphens w:val="true"/>
        <w:bidi w:val="0"/>
        <w:spacing w:lineRule="auto" w:line="360" w:before="142" w:after="142"/>
        <w:ind w:hanging="0" w:start="0" w:end="0"/>
        <w:jc w:val="both"/>
        <w:rPr/>
      </w:pPr>
      <w:r>
        <w:rPr>
          <w:rStyle w:val="InternetLink"/>
          <w:rFonts w:ascii="Arial" w:hAnsi="Arial"/>
          <w:color w:val="000000"/>
          <w:sz w:val="21"/>
          <w:szCs w:val="21"/>
          <w:u w:val="none"/>
        </w:rPr>
        <w:t>Exclusivamente através do Portal de Compras Públicas:</w:t>
      </w:r>
      <w:r>
        <w:rPr>
          <w:rStyle w:val="InternetLink"/>
          <w:rFonts w:ascii="Arial" w:hAnsi="Arial"/>
          <w:sz w:val="21"/>
          <w:szCs w:val="21"/>
        </w:rPr>
        <w:t xml:space="preserve"> </w:t>
      </w:r>
      <w:hyperlink r:id="rId4">
        <w:r>
          <w:rPr>
            <w:rStyle w:val="Hyperlink"/>
            <w:rFonts w:ascii="Arial" w:hAnsi="Arial"/>
            <w:sz w:val="21"/>
            <w:szCs w:val="21"/>
          </w:rPr>
          <w:t>www.portaldecompraspublicas.com.br</w:t>
        </w:r>
      </w:hyperlink>
    </w:p>
    <w:p>
      <w:pPr>
        <w:pStyle w:val="Normal"/>
        <w:widowControl/>
        <w:suppressAutoHyphens w:val="true"/>
        <w:bidi w:val="0"/>
        <w:spacing w:lineRule="auto" w:line="360" w:before="142" w:after="142"/>
        <w:ind w:hanging="0" w:start="0" w:end="0"/>
        <w:jc w:val="both"/>
        <w:rPr/>
      </w:pPr>
      <w:r>
        <w:rPr>
          <w:rFonts w:ascii="Arial" w:hAnsi="Arial"/>
          <w:b/>
          <w:bCs/>
          <w:sz w:val="21"/>
          <w:szCs w:val="21"/>
        </w:rPr>
        <w:t>1. DO OBJETO</w:t>
      </w:r>
    </w:p>
    <w:p>
      <w:pPr>
        <w:pStyle w:val="Default"/>
        <w:spacing w:lineRule="auto" w:line="360" w:before="142" w:after="142"/>
        <w:jc w:val="both"/>
        <w:rPr/>
      </w:pPr>
      <w:r>
        <w:rPr>
          <w:rFonts w:ascii="Arial" w:hAnsi="Arial"/>
          <w:b w:val="false"/>
          <w:bCs w:val="false"/>
          <w:strike w:val="false"/>
          <w:dstrike w:val="false"/>
          <w:color w:val="000000"/>
          <w:sz w:val="21"/>
          <w:szCs w:val="21"/>
          <w:u w:val="none"/>
        </w:rPr>
        <w:t>1.1. C</w:t>
      </w:r>
      <w:r>
        <w:rPr>
          <w:rFonts w:eastAsia="SimSun" w:cs="Times New Roman" w:ascii="Arial" w:hAnsi="Arial"/>
          <w:b w:val="false"/>
          <w:bCs w:val="false"/>
          <w:strike w:val="false"/>
          <w:dstrike w:val="false"/>
          <w:color w:val="000000"/>
          <w:sz w:val="21"/>
          <w:szCs w:val="21"/>
          <w:u w:val="none"/>
          <w:lang w:val="pt-BR"/>
        </w:rPr>
        <w:t>ontratação de empresa especializada para execução de uma Rua Coberta no Município de Lindóia do Sul/SC, incluindo o fornecimento de materiais, mão de obra, equipamentos e demais insumos necessários à realização da obra, conforme projetos e especificações técnicas constantes no processo licitatório.</w:t>
      </w:r>
    </w:p>
    <w:p>
      <w:pPr>
        <w:pStyle w:val="Default"/>
        <w:spacing w:lineRule="auto" w:line="360" w:before="142" w:after="142"/>
        <w:jc w:val="both"/>
        <w:rPr/>
      </w:pPr>
      <w:r>
        <w:rPr>
          <w:rFonts w:eastAsia="Arial" w:cs="Arial" w:ascii="Arial" w:hAnsi="Arial"/>
          <w:b w:val="false"/>
          <w:bCs/>
          <w:strike w:val="false"/>
          <w:dstrike w:val="false"/>
          <w:color w:val="000000"/>
          <w:sz w:val="21"/>
          <w:szCs w:val="21"/>
          <w:u w:val="none"/>
        </w:rPr>
        <w:t>1.1.1. O texto descritivo completo e informações pertinentes de cada item a ser licitado constam nos autos do processo licitatório</w:t>
      </w:r>
      <w:r>
        <w:rPr>
          <w:rFonts w:eastAsia="Arial" w:cs="Arial" w:ascii="Arial" w:hAnsi="Arial"/>
          <w:b w:val="false"/>
          <w:bCs/>
          <w:strike w:val="false"/>
          <w:dstrike w:val="false"/>
          <w:color w:val="000000"/>
          <w:sz w:val="21"/>
          <w:szCs w:val="21"/>
          <w:u w:val="none"/>
          <w:shd w:fill="auto" w:val="clear"/>
        </w:rPr>
        <w:t xml:space="preserve"> </w:t>
      </w:r>
      <w:r>
        <w:rPr>
          <w:rFonts w:eastAsia="Arial" w:cs="Arial" w:ascii="Arial" w:hAnsi="Arial"/>
          <w:b w:val="false"/>
          <w:bCs/>
          <w:strike w:val="false"/>
          <w:dstrike w:val="false"/>
          <w:color w:val="000000"/>
          <w:sz w:val="21"/>
          <w:szCs w:val="21"/>
          <w:u w:val="none"/>
        </w:rPr>
        <w:t>e estarão anexas ao Edital, constituindo parte integrante dele.</w:t>
      </w:r>
    </w:p>
    <w:p>
      <w:pPr>
        <w:pStyle w:val="Default"/>
        <w:spacing w:lineRule="auto" w:line="360" w:before="142" w:after="142"/>
        <w:jc w:val="both"/>
        <w:rPr/>
      </w:pPr>
      <w:r>
        <w:rPr>
          <w:rFonts w:ascii="Arial" w:hAnsi="Arial"/>
          <w:b w:val="false"/>
          <w:bCs w:val="false"/>
          <w:strike w:val="false"/>
          <w:dstrike w:val="false"/>
          <w:color w:val="000000"/>
          <w:sz w:val="21"/>
          <w:szCs w:val="21"/>
          <w:u w:val="none"/>
          <w:shd w:fill="auto" w:val="clear"/>
        </w:rPr>
        <w:t>1.2. O regime de execução será por empreitada por preço global, não podendo o valor final de cada item ser superior ao cotado pela Administração.</w:t>
      </w:r>
    </w:p>
    <w:p>
      <w:pPr>
        <w:pStyle w:val="Default"/>
        <w:spacing w:lineRule="auto" w:line="360" w:before="142" w:after="142"/>
        <w:jc w:val="both"/>
        <w:rPr/>
      </w:pPr>
      <w:r>
        <w:rPr>
          <w:rFonts w:ascii="Arial" w:hAnsi="Arial"/>
          <w:b w:val="false"/>
          <w:bCs w:val="false"/>
          <w:strike w:val="false"/>
          <w:dstrike w:val="false"/>
          <w:color w:val="000000"/>
          <w:sz w:val="21"/>
          <w:szCs w:val="21"/>
          <w:u w:val="none"/>
        </w:rPr>
        <w:t>1.3. Os serviços e os materiais empregados deverão atender aos padrões mínimos de qualidade e segurança exigidos no objeto, em conformidade com a legislação específica aplicável e o Código de Defesa do Consumidor (Lei Federal n° 8.078/1990), sendo que os materiais considerados inadequados ou que não atenderem às exigibilidades, não serão aceitos e o pagamento de toda a parcela ficará suspenso, até sua regularização de forma integral.</w:t>
      </w:r>
    </w:p>
    <w:p>
      <w:pPr>
        <w:pStyle w:val="Default"/>
        <w:spacing w:lineRule="auto" w:line="360" w:before="142" w:after="142"/>
        <w:jc w:val="both"/>
        <w:rPr/>
      </w:pPr>
      <w:r>
        <w:rPr>
          <w:rFonts w:ascii="Arial" w:hAnsi="Arial"/>
          <w:b w:val="false"/>
          <w:bCs w:val="false"/>
          <w:strike w:val="false"/>
          <w:dstrike w:val="false"/>
          <w:color w:val="000000"/>
          <w:sz w:val="21"/>
          <w:szCs w:val="21"/>
          <w:u w:val="none"/>
        </w:rPr>
        <w:t>1.4. Entende-se por serviço/material inadequado, aquele que se apresentar com inferior qualidade, fora das determinações legais, em desacordo com as especificações constantes no Termo de Referência, diferentes do exigido e ofertado.</w:t>
      </w:r>
    </w:p>
    <w:p>
      <w:pPr>
        <w:pStyle w:val="Default"/>
        <w:spacing w:lineRule="auto" w:line="360" w:before="142" w:after="142"/>
        <w:jc w:val="both"/>
        <w:rPr/>
      </w:pPr>
      <w:r>
        <w:rPr>
          <w:rFonts w:ascii="Arial" w:hAnsi="Arial"/>
          <w:b w:val="false"/>
          <w:bCs w:val="false"/>
          <w:strike w:val="false"/>
          <w:dstrike w:val="false"/>
          <w:color w:val="000000"/>
          <w:sz w:val="21"/>
          <w:szCs w:val="21"/>
          <w:u w:val="none"/>
        </w:rPr>
        <w:t xml:space="preserve">1.5. As empresas interessadas deverão ter pleno conhecimento dos termos constantes deste Edital e das condições gerais e particulares do objeto da licitação, não podendo invocar qualquer desconhecimento como elemento impeditivo da correta formulação da proposta e do integral cumprimento da contratação. </w:t>
      </w:r>
    </w:p>
    <w:p>
      <w:pPr>
        <w:pStyle w:val="Normal"/>
        <w:widowControl/>
        <w:suppressAutoHyphens w:val="true"/>
        <w:bidi w:val="0"/>
        <w:spacing w:lineRule="auto" w:line="360" w:before="142" w:after="142"/>
        <w:ind w:hanging="0" w:start="0" w:end="0"/>
        <w:jc w:val="both"/>
        <w:rPr/>
      </w:pPr>
      <w:r>
        <w:rPr>
          <w:rFonts w:ascii="Arial" w:hAnsi="Arial"/>
          <w:b/>
          <w:bCs/>
          <w:sz w:val="21"/>
          <w:szCs w:val="21"/>
        </w:rPr>
        <w:t>2. DA PARTICIPAÇÃO E OBTENÇÃO DO EDITAL</w:t>
      </w:r>
    </w:p>
    <w:p>
      <w:pPr>
        <w:pStyle w:val="Normal"/>
        <w:widowControl/>
        <w:suppressAutoHyphens w:val="true"/>
        <w:bidi w:val="0"/>
        <w:spacing w:lineRule="auto" w:line="360" w:before="142" w:after="142"/>
        <w:ind w:hanging="0" w:start="0" w:end="0"/>
        <w:jc w:val="both"/>
        <w:rPr/>
      </w:pPr>
      <w:r>
        <w:rPr>
          <w:rFonts w:ascii="Arial" w:hAnsi="Arial"/>
          <w:sz w:val="21"/>
          <w:szCs w:val="21"/>
        </w:rPr>
        <w:t xml:space="preserve">2.1. Qualquer pessoa jurídica que tenha objeto similar a esta contratação poderá participar desta Licitação, desde </w:t>
      </w:r>
      <w:r>
        <w:rPr>
          <w:rFonts w:eastAsia="Times New Roman" w:cs="Arial" w:ascii="Arial" w:hAnsi="Arial"/>
          <w:bCs/>
          <w:color w:val="000000"/>
          <w:kern w:val="0"/>
          <w:sz w:val="21"/>
          <w:szCs w:val="21"/>
          <w:lang w:eastAsia="zh-CN"/>
        </w:rPr>
        <w:t>que atenderem a todas as exigências, inclusive quanto a documentação constante deste Edital e seus anexos, e estiver devidamente cadastrada junto ao Portal de Compras Públicas, no endereço eletrônico citado.</w:t>
      </w:r>
    </w:p>
    <w:p>
      <w:pPr>
        <w:pStyle w:val="Normal"/>
        <w:widowControl/>
        <w:suppressAutoHyphens w:val="true"/>
        <w:bidi w:val="0"/>
        <w:spacing w:lineRule="auto" w:line="360" w:before="142" w:after="142"/>
        <w:ind w:hanging="0" w:start="0" w:end="0"/>
        <w:jc w:val="both"/>
        <w:rPr/>
      </w:pPr>
      <w:r>
        <w:rPr>
          <w:rFonts w:ascii="Arial" w:hAnsi="Arial"/>
          <w:sz w:val="21"/>
          <w:szCs w:val="21"/>
        </w:rPr>
        <w:t xml:space="preserve">2.2. O presente Edital e possíveis alterações, estarão à disposição dos interessados na sede do Município de Lindóia do Sul, no endereço informado no preâmbulo deste edital, na imprensa oficial do Município no endereço </w:t>
      </w:r>
      <w:hyperlink r:id="rId5">
        <w:r>
          <w:rPr>
            <w:rStyle w:val="Hyperlink"/>
            <w:rFonts w:ascii="Arial" w:hAnsi="Arial"/>
            <w:sz w:val="21"/>
            <w:szCs w:val="21"/>
          </w:rPr>
          <w:t>https://lindoiadosul.sc.gov.br/licitacoes/</w:t>
        </w:r>
      </w:hyperlink>
      <w:r>
        <w:rPr>
          <w:rStyle w:val="InternetLink"/>
          <w:rFonts w:ascii="Arial" w:hAnsi="Arial"/>
          <w:sz w:val="21"/>
          <w:szCs w:val="21"/>
        </w:rPr>
        <w:t>,</w:t>
      </w:r>
      <w:r>
        <w:rPr>
          <w:rStyle w:val="InternetLink"/>
          <w:rFonts w:ascii="Arial" w:hAnsi="Arial"/>
          <w:sz w:val="21"/>
          <w:szCs w:val="21"/>
          <w:u w:val="none"/>
        </w:rPr>
        <w:t xml:space="preserve"> </w:t>
      </w:r>
      <w:r>
        <w:rPr>
          <w:rFonts w:ascii="Arial" w:hAnsi="Arial"/>
          <w:sz w:val="21"/>
          <w:szCs w:val="21"/>
        </w:rPr>
        <w:t xml:space="preserve">na plataforma eletrônica que ocorrerá a sessão </w:t>
      </w:r>
      <w:hyperlink r:id="rId6">
        <w:r>
          <w:rPr>
            <w:rStyle w:val="Hyperlink"/>
            <w:rFonts w:cs="Arial" w:ascii="Arial" w:hAnsi="Arial"/>
            <w:sz w:val="21"/>
            <w:szCs w:val="21"/>
          </w:rPr>
          <w:t>www.portaldecompraspublicas.com.br</w:t>
        </w:r>
      </w:hyperlink>
      <w:r>
        <w:rPr>
          <w:rStyle w:val="InternetLink"/>
          <w:rFonts w:cs="Arial" w:ascii="Arial" w:hAnsi="Arial"/>
          <w:color w:val="auto"/>
          <w:sz w:val="21"/>
          <w:szCs w:val="21"/>
          <w:u w:val="none"/>
        </w:rPr>
        <w:t xml:space="preserve"> e no Portal Nacional de Contratações Públicas.</w:t>
      </w:r>
    </w:p>
    <w:p>
      <w:pPr>
        <w:pStyle w:val="Normal"/>
        <w:widowControl/>
        <w:suppressAutoHyphens w:val="true"/>
        <w:bidi w:val="0"/>
        <w:spacing w:lineRule="auto" w:line="360" w:before="142" w:after="142"/>
        <w:ind w:hanging="0" w:start="0" w:end="0"/>
        <w:jc w:val="both"/>
        <w:rPr/>
      </w:pPr>
      <w:r>
        <w:rPr>
          <w:rFonts w:ascii="Arial" w:hAnsi="Arial"/>
          <w:b/>
          <w:bCs/>
          <w:sz w:val="21"/>
          <w:szCs w:val="21"/>
        </w:rPr>
        <w:t>3. DO ÓRGÃO CONTRATANTE</w:t>
      </w:r>
    </w:p>
    <w:p>
      <w:pPr>
        <w:pStyle w:val="Normal"/>
        <w:widowControl/>
        <w:suppressAutoHyphens w:val="true"/>
        <w:bidi w:val="0"/>
        <w:spacing w:lineRule="auto" w:line="360" w:before="142" w:after="142"/>
        <w:ind w:hanging="0" w:start="0" w:end="0"/>
        <w:jc w:val="both"/>
        <w:rPr/>
      </w:pPr>
      <w:r>
        <w:rPr>
          <w:rFonts w:ascii="Arial" w:hAnsi="Arial"/>
          <w:sz w:val="21"/>
          <w:szCs w:val="21"/>
        </w:rPr>
        <w:t>3.1. A entidade Município de Lindóia do Sul é o Órgão Contratante no presente processo licitatório.</w:t>
      </w:r>
    </w:p>
    <w:p>
      <w:pPr>
        <w:pStyle w:val="Normal"/>
        <w:widowControl/>
        <w:suppressAutoHyphens w:val="true"/>
        <w:bidi w:val="0"/>
        <w:spacing w:lineRule="auto" w:line="360" w:before="142" w:after="142"/>
        <w:ind w:hanging="0" w:start="0" w:end="0"/>
        <w:jc w:val="both"/>
        <w:rPr/>
      </w:pPr>
      <w:r>
        <w:rPr>
          <w:rFonts w:ascii="Arial" w:hAnsi="Arial"/>
          <w:sz w:val="21"/>
          <w:szCs w:val="21"/>
        </w:rPr>
        <w:t>3.2. Caberá ao Órgão Contratante os recebimentos provisório e definitivo do objeto.</w:t>
      </w:r>
    </w:p>
    <w:p>
      <w:pPr>
        <w:pStyle w:val="Normal"/>
        <w:widowControl/>
        <w:suppressAutoHyphens w:val="true"/>
        <w:bidi w:val="0"/>
        <w:spacing w:lineRule="auto" w:line="360" w:before="142" w:after="142"/>
        <w:ind w:hanging="0" w:start="0" w:end="0"/>
        <w:jc w:val="both"/>
        <w:rPr/>
      </w:pPr>
      <w:r>
        <w:rPr>
          <w:rFonts w:ascii="Arial" w:hAnsi="Arial"/>
          <w:b/>
          <w:bCs/>
          <w:sz w:val="21"/>
          <w:szCs w:val="21"/>
        </w:rPr>
        <w:t>4. DISPOSIÇÕES PRELIMINARES</w:t>
      </w:r>
    </w:p>
    <w:p>
      <w:pPr>
        <w:pStyle w:val="Normal"/>
        <w:widowControl/>
        <w:suppressAutoHyphens w:val="true"/>
        <w:bidi w:val="0"/>
        <w:spacing w:lineRule="auto" w:line="360" w:before="142" w:after="142"/>
        <w:ind w:hanging="0" w:start="0" w:end="0"/>
        <w:jc w:val="both"/>
        <w:rPr/>
      </w:pPr>
      <w:r>
        <w:rPr>
          <w:rFonts w:ascii="Arial" w:hAnsi="Arial"/>
          <w:sz w:val="21"/>
          <w:szCs w:val="21"/>
        </w:rPr>
        <w:t xml:space="preserve">4.1. A Concorrência, na forma Eletrônica, será realizado em sessão pública, por meio da INTERNET, mediante condições de segurança – criptografia e autenticação – em todas as suas fases, através do site </w:t>
      </w:r>
      <w:hyperlink r:id="rId7">
        <w:r>
          <w:rPr>
            <w:rStyle w:val="Hyperlink"/>
            <w:rFonts w:eastAsia="Times New Roman" w:cs="Arial" w:ascii="Arial" w:hAnsi="Arial"/>
            <w:bCs/>
            <w:kern w:val="0"/>
            <w:sz w:val="21"/>
            <w:szCs w:val="21"/>
            <w:lang w:eastAsia="zh-CN"/>
          </w:rPr>
          <w:t>www.portaldecompraspublicas.com.br</w:t>
        </w:r>
      </w:hyperlink>
      <w:r>
        <w:rPr>
          <w:rFonts w:eastAsia="Times New Roman" w:cs="Arial" w:ascii="Arial" w:hAnsi="Arial"/>
          <w:bCs/>
          <w:color w:val="000000"/>
          <w:kern w:val="0"/>
          <w:sz w:val="21"/>
          <w:szCs w:val="21"/>
          <w:lang w:eastAsia="zh-CN"/>
        </w:rPr>
        <w:t>.</w:t>
      </w:r>
    </w:p>
    <w:p>
      <w:pPr>
        <w:pStyle w:val="Normal"/>
        <w:widowControl/>
        <w:suppressAutoHyphens w:val="true"/>
        <w:bidi w:val="0"/>
        <w:spacing w:lineRule="auto" w:line="360" w:before="142" w:after="142"/>
        <w:ind w:hanging="0" w:start="0" w:end="0"/>
        <w:jc w:val="both"/>
        <w:rPr/>
      </w:pPr>
      <w:r>
        <w:rPr>
          <w:rFonts w:ascii="Arial" w:hAnsi="Arial"/>
          <w:sz w:val="21"/>
          <w:szCs w:val="21"/>
        </w:rPr>
        <w:t>4.2. A Sessão eletrônica e os demais Atos Administrativos serão conduzidos pelo Município de Lindóia do Sul, por intermédio de(a) seu(ua) Agente de Contratação, mediante a inserção e monitoramento de dados gerados ou transferidos para plataforma digital constante da página eletrônica da Portal de Compras Públicas.</w:t>
      </w:r>
    </w:p>
    <w:p>
      <w:pPr>
        <w:pStyle w:val="Normal"/>
        <w:widowControl/>
        <w:suppressAutoHyphens w:val="true"/>
        <w:bidi w:val="0"/>
        <w:spacing w:lineRule="auto" w:line="360" w:before="142" w:after="142"/>
        <w:ind w:hanging="0" w:start="0" w:end="0"/>
        <w:jc w:val="both"/>
        <w:rPr/>
      </w:pPr>
      <w:r>
        <w:rPr>
          <w:rFonts w:ascii="Arial" w:hAnsi="Arial"/>
          <w:b/>
          <w:bCs/>
          <w:sz w:val="21"/>
          <w:szCs w:val="21"/>
        </w:rPr>
        <w:t>5. RECEBIMENTO E ABERTURA DAS PROPOSTAS</w:t>
      </w:r>
    </w:p>
    <w:p>
      <w:pPr>
        <w:pStyle w:val="Normal"/>
        <w:widowControl/>
        <w:suppressAutoHyphens w:val="true"/>
        <w:bidi w:val="0"/>
        <w:spacing w:lineRule="auto" w:line="360" w:before="142" w:after="142"/>
        <w:ind w:hanging="0" w:start="0" w:end="0"/>
        <w:jc w:val="both"/>
        <w:rPr/>
      </w:pPr>
      <w:r>
        <w:rPr>
          <w:rFonts w:ascii="Arial" w:hAnsi="Arial"/>
          <w:sz w:val="21"/>
          <w:szCs w:val="21"/>
        </w:rPr>
        <w:t xml:space="preserve">5.1. O fornecedor deverá observar as datas e os horários limites previstos para envio da proposta e </w:t>
      </w:r>
      <w:r>
        <w:rPr>
          <w:rFonts w:ascii="Arial" w:hAnsi="Arial"/>
          <w:sz w:val="21"/>
          <w:szCs w:val="21"/>
          <w:shd w:fill="auto" w:val="clear"/>
        </w:rPr>
        <w:t>dos documentos de habilitação</w:t>
      </w:r>
      <w:r>
        <w:rPr>
          <w:rFonts w:ascii="Arial" w:hAnsi="Arial"/>
          <w:sz w:val="21"/>
          <w:szCs w:val="21"/>
        </w:rPr>
        <w:t>, atentando também para a data e horário para início da sessão, no Portal de Compras Públicas.</w:t>
      </w:r>
    </w:p>
    <w:p>
      <w:pPr>
        <w:pStyle w:val="Normal"/>
        <w:widowControl/>
        <w:suppressAutoHyphens w:val="true"/>
        <w:bidi w:val="0"/>
        <w:spacing w:lineRule="auto" w:line="360" w:before="142" w:after="142"/>
        <w:ind w:hanging="0" w:start="0" w:end="0"/>
        <w:jc w:val="both"/>
        <w:rPr/>
      </w:pPr>
      <w:r>
        <w:rPr>
          <w:rFonts w:ascii="Arial" w:hAnsi="Arial"/>
          <w:sz w:val="21"/>
          <w:szCs w:val="21"/>
        </w:rPr>
        <w:t>5.2. As propostas deverão ser cadastradas exclusivamente no sistema eletrônico, podendo ser enviadas, substituídas e excluídas até a data e hora previstas para recebimento destas.</w:t>
      </w:r>
    </w:p>
    <w:p>
      <w:pPr>
        <w:pStyle w:val="Normal"/>
        <w:spacing w:lineRule="auto" w:line="360" w:before="142" w:after="142"/>
        <w:ind w:hanging="0" w:start="0" w:end="0"/>
        <w:jc w:val="both"/>
        <w:rPr/>
      </w:pPr>
      <w:r>
        <w:rPr>
          <w:rFonts w:eastAsia="Times New Roman" w:cs="Arial" w:ascii="Arial" w:hAnsi="Arial"/>
          <w:bCs/>
          <w:color w:val="000000"/>
          <w:kern w:val="0"/>
          <w:sz w:val="21"/>
          <w:szCs w:val="21"/>
          <w:lang w:eastAsia="zh-CN"/>
        </w:rPr>
        <w:t xml:space="preserve">5.3. </w:t>
      </w:r>
      <w:r>
        <w:rPr>
          <w:rFonts w:ascii="Arial" w:hAnsi="Arial"/>
          <w:sz w:val="21"/>
          <w:szCs w:val="21"/>
        </w:rPr>
        <w:t>O acompanhamento do Sistema Eletrônico é responsabilidade do Fornecedor para todas as fases do presente Procedimento Administrativo.</w:t>
      </w:r>
    </w:p>
    <w:p>
      <w:pPr>
        <w:pStyle w:val="Normal"/>
        <w:widowControl/>
        <w:suppressAutoHyphens w:val="true"/>
        <w:bidi w:val="0"/>
        <w:spacing w:lineRule="auto" w:line="360" w:before="142" w:after="142"/>
        <w:ind w:hanging="0" w:start="0" w:end="0"/>
        <w:jc w:val="both"/>
        <w:rPr/>
      </w:pPr>
      <w:r>
        <w:rPr>
          <w:rFonts w:ascii="Arial" w:hAnsi="Arial"/>
          <w:b/>
          <w:bCs/>
          <w:sz w:val="21"/>
          <w:szCs w:val="21"/>
        </w:rPr>
        <w:t>6. CONDIÇÕES PARA PARTICIPAÇÃO</w:t>
      </w:r>
    </w:p>
    <w:p>
      <w:pPr>
        <w:pStyle w:val="Normal"/>
        <w:widowControl/>
        <w:suppressAutoHyphens w:val="true"/>
        <w:bidi w:val="0"/>
        <w:spacing w:lineRule="auto" w:line="360" w:before="142" w:after="142"/>
        <w:ind w:hanging="0" w:start="0" w:end="0"/>
        <w:jc w:val="both"/>
        <w:rPr/>
      </w:pPr>
      <w:r>
        <w:rPr>
          <w:rFonts w:ascii="Arial" w:hAnsi="Arial"/>
          <w:sz w:val="21"/>
          <w:szCs w:val="21"/>
        </w:rPr>
        <w:t>6.1. Poderão participar desta Licitação todas e quaisquer empresas ou sociedades, regularmente estabelecidas no País, que sejam especializadas e credenciadas no objeto desta licitação e que satisfaçam todas as exigências, especificações e normas contidas neste Edital, seus Anexos e nos demais regramentos/normativas existentes no Brasil sobre a área de fornecimento.</w:t>
      </w:r>
    </w:p>
    <w:p>
      <w:pPr>
        <w:pStyle w:val="Normal"/>
        <w:widowControl/>
        <w:suppressAutoHyphens w:val="true"/>
        <w:bidi w:val="0"/>
        <w:spacing w:lineRule="auto" w:line="360" w:before="142" w:after="142"/>
        <w:ind w:hanging="0" w:start="0" w:end="0"/>
        <w:jc w:val="both"/>
        <w:rPr/>
      </w:pPr>
      <w:r>
        <w:rPr>
          <w:rFonts w:ascii="Arial" w:hAnsi="Arial"/>
          <w:sz w:val="21"/>
          <w:szCs w:val="21"/>
        </w:rPr>
        <w:t>6.2. Poderão participar desta Concorrência Eletrônica, as empresas que apresentarem toda a documentação por ela exigida para respectivo cadastramento junto ao Portal de Compras Públicas.</w:t>
      </w:r>
    </w:p>
    <w:p>
      <w:pPr>
        <w:pStyle w:val="Normal"/>
        <w:widowControl/>
        <w:suppressAutoHyphens w:val="true"/>
        <w:bidi w:val="0"/>
        <w:spacing w:lineRule="auto" w:line="360" w:before="142" w:after="142"/>
        <w:ind w:hanging="0" w:start="0" w:end="0"/>
        <w:jc w:val="both"/>
        <w:rPr/>
      </w:pPr>
      <w:r>
        <w:rPr>
          <w:rFonts w:ascii="Arial" w:hAnsi="Arial"/>
          <w:sz w:val="21"/>
          <w:szCs w:val="21"/>
        </w:rPr>
        <w:t>6.3. Como requisito para participação na Concorrência, em campo próprio do sistema eletrônico, o licitante deverá manifestar o pleno conhecimento e atendimento às exigências de habilitação previstas no Edital e seus anexos.</w:t>
      </w:r>
    </w:p>
    <w:p>
      <w:pPr>
        <w:pStyle w:val="Normal"/>
        <w:widowControl/>
        <w:suppressAutoHyphens w:val="true"/>
        <w:bidi w:val="0"/>
        <w:spacing w:lineRule="auto" w:line="360" w:before="142" w:after="142"/>
        <w:ind w:hanging="0" w:start="0" w:end="0"/>
        <w:jc w:val="both"/>
        <w:rPr/>
      </w:pPr>
      <w:r>
        <w:rPr>
          <w:rFonts w:ascii="Arial" w:hAnsi="Arial"/>
          <w:sz w:val="21"/>
          <w:szCs w:val="21"/>
        </w:rPr>
        <w:t>6.4. É permitida a participação de empresa em forma de consórcios ou grupos de empresas e deverá observar o disposto no art. 15, da Lei Federal nº 14.133, de 2021, observadas as seguintes normas:</w:t>
      </w:r>
    </w:p>
    <w:p>
      <w:pPr>
        <w:pStyle w:val="Normal"/>
        <w:widowControl/>
        <w:suppressAutoHyphens w:val="true"/>
        <w:bidi w:val="0"/>
        <w:spacing w:lineRule="auto" w:line="360" w:before="142" w:after="142"/>
        <w:ind w:hanging="0" w:start="0" w:end="0"/>
        <w:jc w:val="both"/>
        <w:rPr/>
      </w:pPr>
      <w:r>
        <w:rPr>
          <w:rFonts w:ascii="Arial" w:hAnsi="Arial"/>
          <w:sz w:val="21"/>
          <w:szCs w:val="21"/>
        </w:rPr>
        <w:tab/>
        <w:t>I – comprovação de compromisso público ou particular de constituição de consórcio, subscrito pelos consorciados;</w:t>
      </w:r>
    </w:p>
    <w:p>
      <w:pPr>
        <w:pStyle w:val="Normal"/>
        <w:widowControl/>
        <w:suppressAutoHyphens w:val="true"/>
        <w:bidi w:val="0"/>
        <w:spacing w:lineRule="auto" w:line="360" w:before="142" w:after="142"/>
        <w:ind w:hanging="0" w:start="0" w:end="0"/>
        <w:jc w:val="both"/>
        <w:rPr/>
      </w:pPr>
      <w:r>
        <w:rPr>
          <w:rFonts w:ascii="Arial" w:hAnsi="Arial"/>
          <w:sz w:val="21"/>
          <w:szCs w:val="21"/>
        </w:rPr>
        <w:tab/>
        <w:t>II – indicação da empresa líder do consórcio, que será responsável por sua representação perante a Administração;</w:t>
      </w:r>
    </w:p>
    <w:p>
      <w:pPr>
        <w:pStyle w:val="Normal"/>
        <w:widowControl/>
        <w:suppressAutoHyphens w:val="true"/>
        <w:bidi w:val="0"/>
        <w:spacing w:lineRule="auto" w:line="360" w:before="142" w:after="142"/>
        <w:ind w:hanging="0" w:start="0" w:end="0"/>
        <w:jc w:val="both"/>
        <w:rPr/>
      </w:pPr>
      <w:r>
        <w:rPr>
          <w:rFonts w:ascii="Arial" w:hAnsi="Arial"/>
          <w:sz w:val="21"/>
          <w:szCs w:val="21"/>
        </w:rPr>
        <w:tab/>
        <w:t>III – admissão, para efeito de habilitação técnica, do somatório dos quantitativos de cada consorciado e, para efeito de habilitação econômico-financeira, do somatório dos valores de cada consorciado, caso exigido;</w:t>
      </w:r>
    </w:p>
    <w:p>
      <w:pPr>
        <w:pStyle w:val="Normal"/>
        <w:widowControl/>
        <w:suppressAutoHyphens w:val="true"/>
        <w:bidi w:val="0"/>
        <w:spacing w:lineRule="auto" w:line="360" w:before="142" w:after="142"/>
        <w:ind w:hanging="0" w:start="0" w:end="0"/>
        <w:jc w:val="both"/>
        <w:rPr/>
      </w:pPr>
      <w:r>
        <w:rPr>
          <w:rFonts w:ascii="Arial" w:hAnsi="Arial"/>
          <w:sz w:val="21"/>
          <w:szCs w:val="21"/>
        </w:rPr>
        <w:tab/>
        <w:t>IV – impedimento de a empresa consorciada participar, na mesma licitação, de mais de um consórcio ou de forma isolada;</w:t>
      </w:r>
    </w:p>
    <w:p>
      <w:pPr>
        <w:pStyle w:val="Normal"/>
        <w:widowControl/>
        <w:suppressAutoHyphens w:val="true"/>
        <w:bidi w:val="0"/>
        <w:spacing w:lineRule="auto" w:line="360" w:before="142" w:after="142"/>
        <w:ind w:hanging="0" w:start="0" w:end="0"/>
        <w:jc w:val="both"/>
        <w:rPr/>
      </w:pPr>
      <w:r>
        <w:rPr>
          <w:rFonts w:ascii="Arial" w:hAnsi="Arial"/>
          <w:sz w:val="21"/>
          <w:szCs w:val="21"/>
        </w:rPr>
        <w:tab/>
        <w:t>V – responsabilidade solidária dos integrantes pelos atos praticados em consórcio, tanto na fase de licitação quanto na de execução do contrato.</w:t>
      </w:r>
    </w:p>
    <w:p>
      <w:pPr>
        <w:pStyle w:val="Normal"/>
        <w:widowControl/>
        <w:suppressAutoHyphens w:val="true"/>
        <w:bidi w:val="0"/>
        <w:spacing w:lineRule="auto" w:line="360" w:before="142" w:after="142"/>
        <w:ind w:hanging="0" w:start="0" w:end="0"/>
        <w:jc w:val="both"/>
        <w:rPr/>
      </w:pPr>
      <w:r>
        <w:rPr>
          <w:rFonts w:ascii="Arial" w:hAnsi="Arial"/>
          <w:sz w:val="21"/>
          <w:szCs w:val="21"/>
        </w:rPr>
        <w:tab/>
        <w:t>VI – O licitante vencedor é obrigado a promover, antes da celebração do contrato, a constituição e o registro do consórcio, nos termos do compromisso referido no item I acima, no prazo de até 03 (três) dias, após a homologação.</w:t>
      </w:r>
    </w:p>
    <w:p>
      <w:pPr>
        <w:pStyle w:val="Normal"/>
        <w:widowControl/>
        <w:suppressAutoHyphens w:val="true"/>
        <w:bidi w:val="0"/>
        <w:spacing w:lineRule="auto" w:line="360" w:before="142" w:after="142"/>
        <w:ind w:hanging="0" w:start="0" w:end="0"/>
        <w:jc w:val="both"/>
        <w:rPr/>
      </w:pPr>
      <w:r>
        <w:rPr>
          <w:rFonts w:ascii="Arial" w:hAnsi="Arial"/>
          <w:sz w:val="21"/>
          <w:szCs w:val="21"/>
        </w:rPr>
        <w:tab/>
        <w:t>VII – A substituição de consorciado deverá ser expressamente autorizada pelo Órgão Gerenciador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neste processo licitatório que originou o contrato, quando exigido.</w:t>
      </w:r>
    </w:p>
    <w:p>
      <w:pPr>
        <w:pStyle w:val="Normal"/>
        <w:widowControl/>
        <w:suppressAutoHyphens w:val="true"/>
        <w:bidi w:val="0"/>
        <w:spacing w:lineRule="auto" w:line="360" w:before="142" w:after="142"/>
        <w:ind w:hanging="0" w:start="0" w:end="0"/>
        <w:jc w:val="both"/>
        <w:rPr/>
      </w:pPr>
      <w:r>
        <w:rPr>
          <w:rFonts w:ascii="Arial" w:hAnsi="Arial"/>
          <w:sz w:val="21"/>
          <w:szCs w:val="21"/>
        </w:rPr>
        <w:t>6.5. Não poderá participar da licitação a empresa que estiver:</w:t>
      </w:r>
    </w:p>
    <w:p>
      <w:pPr>
        <w:pStyle w:val="Normal"/>
        <w:widowControl/>
        <w:suppressAutoHyphens w:val="true"/>
        <w:bidi w:val="0"/>
        <w:spacing w:lineRule="auto" w:line="360" w:before="142" w:after="142"/>
        <w:ind w:hanging="0" w:start="0" w:end="0"/>
        <w:jc w:val="both"/>
        <w:rPr/>
      </w:pPr>
      <w:r>
        <w:rPr>
          <w:rFonts w:ascii="Arial" w:hAnsi="Arial"/>
          <w:sz w:val="21"/>
          <w:szCs w:val="21"/>
        </w:rPr>
        <w:t>6.5.1. Sob falência, dissolução, liquidação ou que tenha sido declarada inidônea pela Administração Pública ou impedida legalmente, ou ainda Suspensa de Participar de Licitação ou empresas controladoras, controladas ou coligadas, nos termos da Lei Federal 6.404, de 15 de dezembro de 1976, concorrendo entre si</w:t>
      </w:r>
      <w:r>
        <w:rPr>
          <w:rFonts w:eastAsia="Times New Roman" w:cs="Arial" w:ascii="Arial" w:hAnsi="Arial"/>
          <w:bCs/>
          <w:color w:val="000000"/>
          <w:kern w:val="0"/>
          <w:sz w:val="21"/>
          <w:szCs w:val="21"/>
          <w:lang w:eastAsia="zh-CN"/>
        </w:rPr>
        <w:t xml:space="preserve"> ou constem:</w:t>
      </w:r>
    </w:p>
    <w:p>
      <w:pPr>
        <w:pStyle w:val="Normal"/>
        <w:spacing w:lineRule="auto" w:line="360" w:before="142" w:after="142"/>
        <w:jc w:val="both"/>
        <w:rPr/>
      </w:pPr>
      <w:r>
        <w:rPr>
          <w:rFonts w:eastAsia="Times New Roman" w:cs="Arial" w:ascii="Arial" w:hAnsi="Arial"/>
          <w:bCs/>
          <w:color w:val="000000"/>
          <w:kern w:val="0"/>
          <w:sz w:val="21"/>
          <w:szCs w:val="21"/>
          <w:lang w:eastAsia="zh-CN"/>
        </w:rPr>
        <w:tab/>
        <w:t>I - no cadastro de empresas inidôneas do Tribunal de Contas da União, do Ministério da Transparência, Fiscalização e Controladoria-Geral da União;</w:t>
        <w:tab/>
      </w:r>
    </w:p>
    <w:p>
      <w:pPr>
        <w:pStyle w:val="Normal"/>
        <w:spacing w:lineRule="auto" w:line="360" w:before="142" w:after="142"/>
        <w:jc w:val="both"/>
        <w:rPr/>
      </w:pPr>
      <w:r>
        <w:rPr>
          <w:rFonts w:eastAsia="Times New Roman" w:cs="Arial" w:ascii="Arial" w:hAnsi="Arial"/>
          <w:bCs/>
          <w:color w:val="000000"/>
          <w:kern w:val="0"/>
          <w:sz w:val="21"/>
          <w:szCs w:val="21"/>
          <w:lang w:eastAsia="zh-CN"/>
        </w:rPr>
        <w:tab/>
        <w:t>II - no Sistema de Cadastramento Unificado de Fornecedores – SICAF como impedidas ou suspensas;</w:t>
      </w:r>
    </w:p>
    <w:p>
      <w:pPr>
        <w:pStyle w:val="Normal"/>
        <w:spacing w:lineRule="auto" w:line="360" w:before="142" w:after="142"/>
        <w:ind w:hanging="0" w:start="0" w:end="0"/>
        <w:jc w:val="both"/>
        <w:rPr/>
      </w:pPr>
      <w:r>
        <w:rPr>
          <w:rFonts w:eastAsia="Times New Roman" w:cs="Arial" w:ascii="Arial" w:hAnsi="Arial"/>
          <w:bCs/>
          <w:color w:val="000000"/>
          <w:kern w:val="0"/>
          <w:sz w:val="21"/>
          <w:szCs w:val="21"/>
          <w:lang w:eastAsia="zh-CN"/>
        </w:rPr>
        <w:tab/>
        <w:t>III - no Cadastro Nacional de Condenações Civis por Ato de Improbidade Administrativa e Inelegibilidade, supervisionado pelo Conselho Nacional de Justiça.</w:t>
      </w:r>
    </w:p>
    <w:p>
      <w:pPr>
        <w:pStyle w:val="Normal"/>
        <w:spacing w:lineRule="auto" w:line="360" w:before="142" w:after="142"/>
        <w:ind w:hanging="0" w:start="0" w:end="0"/>
        <w:jc w:val="both"/>
        <w:rPr/>
      </w:pPr>
      <w:r>
        <w:rPr>
          <w:rFonts w:eastAsia="Times New Roman" w:cs="Arial" w:ascii="Arial" w:hAnsi="Arial"/>
          <w:bCs/>
          <w:color w:val="000000"/>
          <w:kern w:val="0"/>
          <w:sz w:val="21"/>
          <w:szCs w:val="21"/>
          <w:lang w:eastAsia="zh-CN"/>
        </w:rPr>
        <w:tab/>
        <w:t>IV - no Cadastro Nacional das Empresas Inidôneas e Suspensas – CEIS.</w:t>
      </w:r>
    </w:p>
    <w:p>
      <w:pPr>
        <w:pStyle w:val="Normal"/>
        <w:spacing w:lineRule="auto" w:line="360" w:before="142" w:after="142"/>
        <w:ind w:hanging="0" w:start="0" w:end="0"/>
        <w:jc w:val="both"/>
        <w:rPr/>
      </w:pPr>
      <w:r>
        <w:rPr>
          <w:rFonts w:cs="Arial" w:ascii="Arial" w:hAnsi="Arial"/>
          <w:sz w:val="21"/>
          <w:szCs w:val="21"/>
        </w:rPr>
        <w:t>6.5.2. Que esteja cumprindo penalidade que impeça de participar de licitação junto à Administração Pública Municipal.</w:t>
      </w:r>
    </w:p>
    <w:p>
      <w:pPr>
        <w:pStyle w:val="Normal"/>
        <w:spacing w:lineRule="auto" w:line="360" w:before="142" w:after="142"/>
        <w:ind w:hanging="0" w:start="0" w:end="0"/>
        <w:jc w:val="both"/>
        <w:rPr/>
      </w:pPr>
      <w:r>
        <w:rPr>
          <w:rFonts w:cs="Arial" w:ascii="Arial" w:hAnsi="Arial"/>
          <w:sz w:val="21"/>
          <w:szCs w:val="21"/>
        </w:rPr>
        <w:t>6.5.3. Que possua participação direta ou indireta de sócio, diretor ou responsável técnico que tenha vínculo empregatício com o Município.</w:t>
      </w:r>
    </w:p>
    <w:p>
      <w:pPr>
        <w:pStyle w:val="Normal"/>
        <w:spacing w:lineRule="auto" w:line="360" w:before="142" w:after="142"/>
        <w:ind w:hanging="0" w:start="0" w:end="0"/>
        <w:jc w:val="both"/>
        <w:rPr/>
      </w:pPr>
      <w:r>
        <w:rPr>
          <w:rFonts w:cs="Arial" w:ascii="Arial" w:hAnsi="Arial"/>
          <w:sz w:val="21"/>
          <w:szCs w:val="21"/>
        </w:rPr>
        <w:t xml:space="preserve">6.5.4. </w:t>
      </w:r>
      <w:r>
        <w:rPr>
          <w:rFonts w:eastAsia="Times New Roman" w:cs="Arial" w:ascii="Arial" w:hAnsi="Arial"/>
          <w:b w:val="false"/>
          <w:bCs/>
          <w:color w:val="000000"/>
          <w:kern w:val="0"/>
          <w:sz w:val="21"/>
          <w:szCs w:val="21"/>
          <w:lang w:eastAsia="zh-CN"/>
        </w:rPr>
        <w:t>Que possua em seus quadros social e funcional, servidor público da administração direta ou indireta do Município de Lindóia do Sul, e agente político da esfera municipal de Lindóia do Sul, do Estado de Santa Catarina, e da União.</w:t>
      </w:r>
    </w:p>
    <w:p>
      <w:pPr>
        <w:pStyle w:val="Normal"/>
        <w:spacing w:lineRule="auto" w:line="360" w:before="142" w:after="142"/>
        <w:ind w:hanging="0" w:start="0" w:end="0"/>
        <w:jc w:val="both"/>
        <w:rPr/>
      </w:pPr>
      <w:r>
        <w:rPr>
          <w:rFonts w:eastAsia="Times New Roman" w:cs="Arial" w:ascii="Arial" w:hAnsi="Arial"/>
          <w:b w:val="false"/>
          <w:bCs/>
          <w:color w:val="000000"/>
          <w:kern w:val="0"/>
          <w:sz w:val="21"/>
          <w:szCs w:val="21"/>
          <w:lang w:eastAsia="zh-CN"/>
        </w:rPr>
        <w:t>6.5.4.1. A vedação de que trata o item 6.5.4, estende-se a terceiro que auxilie a condução da contratação na qualidade de integrante de equipe de apoio, profissional especializado ou funcionário ou representante de empresa que preste assessoria técnica.</w:t>
      </w:r>
    </w:p>
    <w:p>
      <w:pPr>
        <w:pStyle w:val="Normal"/>
        <w:spacing w:lineRule="auto" w:line="360" w:before="142" w:after="142"/>
        <w:ind w:hanging="0" w:start="0" w:end="0"/>
        <w:jc w:val="both"/>
        <w:rPr/>
      </w:pPr>
      <w:r>
        <w:rPr>
          <w:rFonts w:eastAsia="Times New Roman" w:cs="Arial" w:ascii="Arial" w:hAnsi="Arial"/>
          <w:b w:val="false"/>
          <w:bCs/>
          <w:color w:val="000000"/>
          <w:kern w:val="0"/>
          <w:sz w:val="21"/>
          <w:szCs w:val="21"/>
          <w:lang w:eastAsia="zh-CN"/>
        </w:rPr>
        <w:t>6.5.5. Autor do anteprojeto, do projeto básico ou do projeto executivo, pessoa física ou jurídica, quando a licitação versar sobre serviços ou fornecimento de bens a ele relacionados;</w:t>
      </w:r>
    </w:p>
    <w:p>
      <w:pPr>
        <w:pStyle w:val="Normal"/>
        <w:spacing w:lineRule="auto" w:line="360" w:before="142" w:after="142"/>
        <w:ind w:hanging="0" w:start="0" w:end="0"/>
        <w:jc w:val="both"/>
        <w:rPr/>
      </w:pPr>
      <w:r>
        <w:rPr>
          <w:rFonts w:eastAsia="Times New Roman" w:cs="Arial" w:ascii="Arial" w:hAnsi="Arial"/>
          <w:b w:val="false"/>
          <w:bCs/>
          <w:color w:val="000000"/>
          <w:kern w:val="0"/>
          <w:sz w:val="21"/>
          <w:szCs w:val="21"/>
          <w:lang w:eastAsia="zh-CN"/>
        </w:rPr>
        <w:t>6.5.6. E</w:t>
      </w:r>
      <w:bookmarkStart w:id="0" w:name="_Ref114659913"/>
      <w:bookmarkStart w:id="1" w:name="_Ref113883339"/>
      <w:r>
        <w:rPr>
          <w:rFonts w:eastAsia="Times New Roman" w:cs="Arial" w:ascii="Arial" w:hAnsi="Arial"/>
          <w:b w:val="false"/>
          <w:bCs/>
          <w:color w:val="000000"/>
          <w:kern w:val="0"/>
          <w:sz w:val="21"/>
          <w:szCs w:val="21"/>
          <w:lang w:eastAsia="zh-CN"/>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0"/>
      <w:bookmarkEnd w:id="1"/>
      <w:r>
        <w:rPr>
          <w:rFonts w:eastAsia="Times New Roman" w:cs="Arial" w:ascii="Arial" w:hAnsi="Arial"/>
          <w:b w:val="false"/>
          <w:bCs/>
          <w:color w:val="000000"/>
          <w:kern w:val="0"/>
          <w:sz w:val="21"/>
          <w:szCs w:val="21"/>
          <w:lang w:eastAsia="zh-CN"/>
        </w:rPr>
        <w:t>;</w:t>
      </w:r>
    </w:p>
    <w:p>
      <w:pPr>
        <w:pStyle w:val="Normal"/>
        <w:spacing w:lineRule="auto" w:line="360" w:before="142" w:after="142"/>
        <w:ind w:hanging="0" w:start="0" w:end="0"/>
        <w:jc w:val="both"/>
        <w:rPr/>
      </w:pPr>
      <w:r>
        <w:rPr>
          <w:rFonts w:eastAsia="Times New Roman" w:cs="Arial" w:ascii="Arial" w:hAnsi="Arial"/>
          <w:b w:val="false"/>
          <w:bCs/>
          <w:color w:val="000000"/>
          <w:kern w:val="0"/>
          <w:sz w:val="21"/>
          <w:szCs w:val="21"/>
          <w:lang w:eastAsia="zh-CN"/>
        </w:rPr>
        <w:t>6.5.7. Empresas controladoras, controladas ou coligadas, nos termos da Lei nº 6.404, de 15 de dezembro de 1976, concorrendo entre si;</w:t>
      </w:r>
    </w:p>
    <w:p>
      <w:pPr>
        <w:pStyle w:val="Normal"/>
        <w:spacing w:lineRule="auto" w:line="360" w:before="142" w:after="142"/>
        <w:jc w:val="both"/>
        <w:rPr/>
      </w:pPr>
      <w:r>
        <w:rPr>
          <w:rFonts w:eastAsia="Times New Roman" w:cs="Arial" w:ascii="Arial" w:hAnsi="Arial"/>
          <w:b w:val="false"/>
          <w:bCs/>
          <w:color w:val="000000"/>
          <w:kern w:val="0"/>
          <w:sz w:val="21"/>
          <w:szCs w:val="21"/>
          <w:lang w:eastAsia="zh-CN"/>
        </w:rPr>
        <w:t xml:space="preserve">6.6. </w:t>
      </w:r>
      <w:r>
        <w:rPr>
          <w:rFonts w:ascii="Arial" w:hAnsi="Arial"/>
          <w:sz w:val="21"/>
          <w:szCs w:val="21"/>
        </w:rPr>
        <w:t>A critério da Administração e exclusivamente a seu serviço, o autor dos projetos e a empresa a que se referem os itens 6.5.5 e 6.5.6 poderão participar no apoio das atividades de planejamento da contratação, de execução da licitação ou de gestão do contrato, desde que sob supervisão exclusiva de agentes públicos do órgão ou entidade.</w:t>
      </w:r>
    </w:p>
    <w:p>
      <w:pPr>
        <w:pStyle w:val="Normal"/>
        <w:widowControl/>
        <w:suppressAutoHyphens w:val="true"/>
        <w:bidi w:val="0"/>
        <w:spacing w:lineRule="auto" w:line="360" w:before="142" w:after="142"/>
        <w:ind w:hanging="0" w:start="0" w:end="0"/>
        <w:jc w:val="both"/>
        <w:rPr/>
      </w:pPr>
      <w:r>
        <w:rPr>
          <w:rFonts w:ascii="Arial" w:hAnsi="Arial"/>
          <w:sz w:val="21"/>
          <w:szCs w:val="21"/>
        </w:rPr>
        <w:t>6.7. O licitante deverá ter feito a adesão ao Portal de Compras Públicas, sendo sua a responsabilidade pela tramitação prévia neste sentido.</w:t>
      </w:r>
    </w:p>
    <w:p>
      <w:pPr>
        <w:pStyle w:val="Normal"/>
        <w:widowControl/>
        <w:suppressAutoHyphens w:val="true"/>
        <w:bidi w:val="0"/>
        <w:spacing w:lineRule="auto" w:line="360" w:before="142" w:after="142"/>
        <w:ind w:hanging="0" w:start="0" w:end="0"/>
        <w:jc w:val="both"/>
        <w:rPr/>
      </w:pPr>
      <w:r>
        <w:rPr>
          <w:rFonts w:ascii="Arial" w:hAnsi="Arial"/>
          <w:sz w:val="21"/>
          <w:szCs w:val="21"/>
        </w:rPr>
        <w:t>6.8. Não poderá participar da licitação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devendo ser comprovado mediante declaração, podendo ser utilizado o modelo constante deste edital (ANEXO IV).</w:t>
      </w:r>
    </w:p>
    <w:p>
      <w:pPr>
        <w:pStyle w:val="Normal"/>
        <w:widowControl/>
        <w:suppressAutoHyphens w:val="true"/>
        <w:bidi w:val="0"/>
        <w:spacing w:lineRule="auto" w:line="360" w:before="142" w:after="142"/>
        <w:ind w:hanging="0" w:start="0" w:end="0"/>
        <w:jc w:val="both"/>
        <w:rPr/>
      </w:pPr>
      <w:r>
        <w:rPr>
          <w:rFonts w:ascii="Arial" w:hAnsi="Arial"/>
          <w:sz w:val="21"/>
          <w:szCs w:val="21"/>
        </w:rPr>
        <w:t xml:space="preserve">6.9. Não poderá participar da licitação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ou que </w:t>
      </w:r>
      <w:r>
        <w:rPr>
          <w:rFonts w:eastAsia="Times New Roman" w:cs="Arial" w:ascii="Arial" w:hAnsi="Arial"/>
          <w:b w:val="false"/>
          <w:bCs/>
          <w:color w:val="000000"/>
          <w:kern w:val="0"/>
          <w:sz w:val="21"/>
          <w:szCs w:val="21"/>
          <w:lang w:eastAsia="zh-CN"/>
        </w:rPr>
        <w:t>integra em seus quadros social e funcional, servidor público da administração direta ou indireta do Município de Lindóia do Sul, e agente político da esfera municipal de Lindóia do Sul, do Estado de Santa Catarina, e da União, bem como</w:t>
      </w:r>
      <w:r>
        <w:rPr>
          <w:rFonts w:eastAsia="Times New Roman" w:cs="Arial" w:ascii="Arial" w:hAnsi="Arial"/>
          <w:b w:val="false"/>
          <w:bCs/>
          <w:color w:val="000000"/>
          <w:kern w:val="0"/>
          <w:sz w:val="21"/>
          <w:szCs w:val="21"/>
          <w:lang w:eastAsia="pt-BR"/>
        </w:rPr>
        <w:t xml:space="preserve"> se não estiver em conformidade com o que prevê o art. </w:t>
      </w:r>
      <w:r>
        <w:rPr>
          <w:rFonts w:eastAsia="Times New Roman" w:cs="Arial" w:ascii="Arial" w:hAnsi="Arial"/>
          <w:b w:val="false"/>
          <w:bCs/>
          <w:color w:val="000000"/>
          <w:kern w:val="2"/>
          <w:sz w:val="21"/>
          <w:szCs w:val="21"/>
          <w:lang w:eastAsia="zh-CN"/>
        </w:rPr>
        <w:t>54 I “a” da Constituição Federal e art. 43 I “a” e II “a” da Constituição do Estado de Santa Catarina,</w:t>
      </w:r>
      <w:r>
        <w:rPr>
          <w:rFonts w:ascii="Arial" w:hAnsi="Arial"/>
          <w:sz w:val="21"/>
          <w:szCs w:val="21"/>
        </w:rPr>
        <w:t xml:space="preserve"> devendo ser comprovado mediante declaração, expressamente conforme ANEXO V.</w:t>
      </w:r>
    </w:p>
    <w:p>
      <w:pPr>
        <w:pStyle w:val="Normal"/>
        <w:widowControl/>
        <w:suppressAutoHyphens w:val="true"/>
        <w:bidi w:val="0"/>
        <w:spacing w:lineRule="auto" w:line="360" w:before="142" w:after="142"/>
        <w:ind w:hanging="0" w:start="0" w:end="0"/>
        <w:jc w:val="both"/>
        <w:rPr/>
      </w:pPr>
      <w:r>
        <w:rPr>
          <w:rFonts w:ascii="Arial" w:hAnsi="Arial"/>
          <w:b/>
          <w:bCs/>
          <w:sz w:val="21"/>
          <w:szCs w:val="21"/>
        </w:rPr>
        <w:t>7. REGULAMENTO OPERACIONAL DO CERTAME</w:t>
      </w:r>
    </w:p>
    <w:p>
      <w:pPr>
        <w:pStyle w:val="Normal"/>
        <w:widowControl/>
        <w:suppressAutoHyphens w:val="true"/>
        <w:bidi w:val="0"/>
        <w:spacing w:lineRule="auto" w:line="360" w:before="142" w:after="142"/>
        <w:ind w:hanging="0" w:start="0" w:end="0"/>
        <w:jc w:val="both"/>
        <w:rPr/>
      </w:pPr>
      <w:r>
        <w:rPr>
          <w:rFonts w:ascii="Arial" w:hAnsi="Arial"/>
          <w:sz w:val="21"/>
          <w:szCs w:val="21"/>
        </w:rPr>
        <w:t>7.1. O certame será conduzido pelo Agente de Contratação, com o auxílio da equipe de apoio, que terá, em especial, as seguintes atribuições:</w:t>
      </w:r>
    </w:p>
    <w:p>
      <w:pPr>
        <w:pStyle w:val="Normal"/>
        <w:widowControl/>
        <w:suppressAutoHyphens w:val="true"/>
        <w:overflowPunct w:val="true"/>
        <w:bidi w:val="0"/>
        <w:spacing w:lineRule="auto" w:line="360" w:before="142" w:after="142"/>
        <w:ind w:firstLine="510" w:start="0" w:end="0"/>
        <w:jc w:val="both"/>
        <w:rPr/>
      </w:pPr>
      <w:r>
        <w:rPr>
          <w:rFonts w:ascii="Arial" w:hAnsi="Arial"/>
          <w:sz w:val="21"/>
          <w:szCs w:val="21"/>
        </w:rPr>
        <w:t>a) coordenar o processo licitatório;</w:t>
      </w:r>
    </w:p>
    <w:p>
      <w:pPr>
        <w:pStyle w:val="Normal"/>
        <w:widowControl/>
        <w:suppressAutoHyphens w:val="true"/>
        <w:overflowPunct w:val="true"/>
        <w:bidi w:val="0"/>
        <w:spacing w:lineRule="auto" w:line="360" w:before="142" w:after="142"/>
        <w:ind w:firstLine="510" w:start="0" w:end="0"/>
        <w:jc w:val="both"/>
        <w:rPr/>
      </w:pPr>
      <w:r>
        <w:rPr>
          <w:rFonts w:ascii="Arial" w:hAnsi="Arial"/>
          <w:sz w:val="21"/>
          <w:szCs w:val="21"/>
        </w:rPr>
        <w:t>b) receber, examinar e decidir as impugnações e consultas ao Edital, apoiado pelo responsável pela sua elaboração;</w:t>
      </w:r>
    </w:p>
    <w:p>
      <w:pPr>
        <w:pStyle w:val="Normal"/>
        <w:widowControl/>
        <w:suppressAutoHyphens w:val="true"/>
        <w:overflowPunct w:val="true"/>
        <w:bidi w:val="0"/>
        <w:spacing w:lineRule="auto" w:line="360" w:before="142" w:after="142"/>
        <w:ind w:firstLine="510" w:start="0" w:end="0"/>
        <w:jc w:val="both"/>
        <w:rPr/>
      </w:pPr>
      <w:r>
        <w:rPr>
          <w:rFonts w:ascii="Arial" w:hAnsi="Arial"/>
          <w:sz w:val="21"/>
          <w:szCs w:val="21"/>
        </w:rPr>
        <w:t>c) conduzir a sessão pública na internet;</w:t>
      </w:r>
    </w:p>
    <w:p>
      <w:pPr>
        <w:pStyle w:val="Normal"/>
        <w:widowControl/>
        <w:suppressAutoHyphens w:val="true"/>
        <w:overflowPunct w:val="true"/>
        <w:bidi w:val="0"/>
        <w:spacing w:lineRule="auto" w:line="360" w:before="142" w:after="142"/>
        <w:ind w:firstLine="510" w:start="0" w:end="0"/>
        <w:jc w:val="both"/>
        <w:rPr/>
      </w:pPr>
      <w:r>
        <w:rPr>
          <w:rFonts w:ascii="Arial" w:hAnsi="Arial"/>
          <w:sz w:val="21"/>
          <w:szCs w:val="21"/>
        </w:rPr>
        <w:t>d) verificar a conformidade da proposta com os requisitos estabelecidos no instrumento convocatório;</w:t>
      </w:r>
    </w:p>
    <w:p>
      <w:pPr>
        <w:pStyle w:val="Normal"/>
        <w:widowControl/>
        <w:suppressAutoHyphens w:val="true"/>
        <w:overflowPunct w:val="true"/>
        <w:bidi w:val="0"/>
        <w:spacing w:lineRule="auto" w:line="360" w:before="142" w:after="142"/>
        <w:ind w:firstLine="510" w:start="0" w:end="0"/>
        <w:jc w:val="both"/>
        <w:rPr/>
      </w:pPr>
      <w:r>
        <w:rPr>
          <w:rFonts w:ascii="Arial" w:hAnsi="Arial"/>
          <w:sz w:val="21"/>
          <w:szCs w:val="21"/>
        </w:rPr>
        <w:t>e) dirigir a etapa de lances;</w:t>
      </w:r>
    </w:p>
    <w:p>
      <w:pPr>
        <w:pStyle w:val="Normal"/>
        <w:widowControl/>
        <w:suppressAutoHyphens w:val="true"/>
        <w:overflowPunct w:val="true"/>
        <w:bidi w:val="0"/>
        <w:spacing w:lineRule="auto" w:line="360" w:before="142" w:after="142"/>
        <w:ind w:firstLine="510" w:start="0" w:end="0"/>
        <w:jc w:val="both"/>
        <w:rPr/>
      </w:pPr>
      <w:r>
        <w:rPr>
          <w:rFonts w:ascii="Arial" w:hAnsi="Arial"/>
          <w:sz w:val="21"/>
          <w:szCs w:val="21"/>
        </w:rPr>
        <w:t>f) verificar e julgar as condições de habilitação;</w:t>
      </w:r>
    </w:p>
    <w:p>
      <w:pPr>
        <w:pStyle w:val="Normal"/>
        <w:widowControl/>
        <w:suppressAutoHyphens w:val="true"/>
        <w:overflowPunct w:val="true"/>
        <w:bidi w:val="0"/>
        <w:spacing w:lineRule="auto" w:line="360" w:before="142" w:after="142"/>
        <w:ind w:firstLine="510" w:start="0" w:end="0"/>
        <w:jc w:val="both"/>
        <w:rPr/>
      </w:pPr>
      <w:r>
        <w:rPr>
          <w:rFonts w:ascii="Arial" w:hAnsi="Arial"/>
          <w:sz w:val="21"/>
          <w:szCs w:val="21"/>
        </w:rPr>
        <w:t>g) analisar a admissibilidade dos recursos, podendo, em tal caso, exercer o juízo de retratação no prazo de 03 (três) dias úteis (§ 2º do art. 165 da Lei Federal nº 14.133, de 2021), findo o qual deverá encaminhar o recurso, devidamente instruído, à deliberação da autoridade superior;</w:t>
      </w:r>
    </w:p>
    <w:p>
      <w:pPr>
        <w:pStyle w:val="Normal"/>
        <w:widowControl/>
        <w:suppressAutoHyphens w:val="true"/>
        <w:overflowPunct w:val="true"/>
        <w:bidi w:val="0"/>
        <w:spacing w:lineRule="auto" w:line="360" w:before="142" w:after="142"/>
        <w:ind w:firstLine="510" w:start="0" w:end="0"/>
        <w:jc w:val="both"/>
        <w:rPr/>
      </w:pPr>
      <w:r>
        <w:rPr>
          <w:rFonts w:ascii="Arial" w:hAnsi="Arial"/>
          <w:sz w:val="21"/>
          <w:szCs w:val="21"/>
        </w:rPr>
        <w:t>h) indicar o vencedor do certame;</w:t>
      </w:r>
    </w:p>
    <w:p>
      <w:pPr>
        <w:pStyle w:val="Normal"/>
        <w:widowControl/>
        <w:suppressAutoHyphens w:val="true"/>
        <w:overflowPunct w:val="true"/>
        <w:bidi w:val="0"/>
        <w:spacing w:lineRule="auto" w:line="360" w:before="142" w:after="142"/>
        <w:ind w:firstLine="510" w:start="0" w:end="0"/>
        <w:jc w:val="both"/>
        <w:rPr/>
      </w:pPr>
      <w:r>
        <w:rPr>
          <w:rFonts w:ascii="Arial" w:hAnsi="Arial"/>
          <w:sz w:val="21"/>
          <w:szCs w:val="21"/>
        </w:rPr>
        <w:t>i) conduzir os trabalhos da equipe de apoio;</w:t>
      </w:r>
    </w:p>
    <w:p>
      <w:pPr>
        <w:pStyle w:val="Normal"/>
        <w:widowControl/>
        <w:suppressAutoHyphens w:val="true"/>
        <w:overflowPunct w:val="true"/>
        <w:bidi w:val="0"/>
        <w:spacing w:lineRule="auto" w:line="360" w:before="142" w:after="142"/>
        <w:ind w:firstLine="510" w:start="0" w:end="0"/>
        <w:jc w:val="both"/>
        <w:rPr/>
      </w:pPr>
      <w:r>
        <w:rPr>
          <w:rFonts w:ascii="Arial" w:hAnsi="Arial"/>
          <w:sz w:val="21"/>
          <w:szCs w:val="21"/>
        </w:rPr>
        <w:t>j) sanear erros ou falhas que não alterem a substância das propostas;</w:t>
      </w:r>
    </w:p>
    <w:p>
      <w:pPr>
        <w:pStyle w:val="Normal"/>
        <w:widowControl/>
        <w:suppressAutoHyphens w:val="true"/>
        <w:overflowPunct w:val="true"/>
        <w:bidi w:val="0"/>
        <w:spacing w:lineRule="auto" w:line="360" w:before="142" w:after="142"/>
        <w:ind w:firstLine="510" w:start="0" w:end="0"/>
        <w:jc w:val="both"/>
        <w:rPr/>
      </w:pPr>
      <w:r>
        <w:rPr>
          <w:rFonts w:ascii="Arial" w:hAnsi="Arial"/>
          <w:sz w:val="21"/>
          <w:szCs w:val="21"/>
        </w:rPr>
        <w:t>k) encaminhar à equipe de apoio os documentos de habilitação, caso verifique a possibilidade de sanear erros ou falhas que não alterem a substância dos documentos e sua validade jurídica; e</w:t>
      </w:r>
    </w:p>
    <w:p>
      <w:pPr>
        <w:pStyle w:val="Normal"/>
        <w:widowControl/>
        <w:suppressAutoHyphens w:val="true"/>
        <w:overflowPunct w:val="true"/>
        <w:bidi w:val="0"/>
        <w:spacing w:lineRule="auto" w:line="360" w:before="142" w:after="142"/>
        <w:ind w:firstLine="510" w:start="0" w:end="0"/>
        <w:jc w:val="both"/>
        <w:rPr/>
      </w:pPr>
      <w:r>
        <w:rPr>
          <w:rFonts w:ascii="Arial" w:hAnsi="Arial"/>
          <w:sz w:val="21"/>
          <w:szCs w:val="21"/>
        </w:rPr>
        <w:t>l) encaminhar o processo devidamente instruído à autoridade superior e propor a adjudicação, homologação e confecções de atas ou contratos administrativos.</w:t>
      </w:r>
    </w:p>
    <w:p>
      <w:pPr>
        <w:pStyle w:val="Normal"/>
        <w:widowControl/>
        <w:suppressAutoHyphens w:val="true"/>
        <w:bidi w:val="0"/>
        <w:spacing w:lineRule="auto" w:line="360" w:before="142" w:after="142"/>
        <w:ind w:hanging="0" w:start="0" w:end="0"/>
        <w:jc w:val="both"/>
        <w:rPr/>
      </w:pPr>
      <w:r>
        <w:rPr>
          <w:rFonts w:ascii="Arial" w:hAnsi="Arial"/>
          <w:sz w:val="21"/>
          <w:szCs w:val="21"/>
        </w:rPr>
        <w:t>7.1.1. O Agente de Contratação poderá solicitar manifestação técnica da assessoria jurídica ou de outros agentes públicos, de setores da entidade, a fim de subsidiar sua decisão.</w:t>
      </w:r>
    </w:p>
    <w:p>
      <w:pPr>
        <w:pStyle w:val="Normal"/>
        <w:widowControl/>
        <w:suppressAutoHyphens w:val="true"/>
        <w:bidi w:val="0"/>
        <w:spacing w:lineRule="auto" w:line="360" w:before="142" w:after="142"/>
        <w:ind w:hanging="0" w:start="0" w:end="0"/>
        <w:jc w:val="both"/>
        <w:rPr/>
      </w:pPr>
      <w:r>
        <w:rPr>
          <w:rFonts w:ascii="Arial" w:hAnsi="Arial"/>
          <w:b/>
          <w:bCs/>
          <w:sz w:val="21"/>
          <w:szCs w:val="21"/>
        </w:rPr>
        <w:t>7.2. CREDENCIAMENTO NO SISTEMA ELETRÔNICO</w:t>
      </w:r>
    </w:p>
    <w:p>
      <w:pPr>
        <w:pStyle w:val="Normal"/>
        <w:widowControl/>
        <w:suppressAutoHyphens w:val="true"/>
        <w:bidi w:val="0"/>
        <w:spacing w:lineRule="auto" w:line="360" w:before="142" w:after="142"/>
        <w:ind w:hanging="0" w:start="0" w:end="0"/>
        <w:jc w:val="both"/>
        <w:rPr/>
      </w:pPr>
      <w:r>
        <w:rPr>
          <w:rFonts w:ascii="Arial" w:hAnsi="Arial"/>
          <w:sz w:val="21"/>
          <w:szCs w:val="21"/>
        </w:rPr>
        <w:t>7.2.1. Para acesso ao sistema eletrônico, os interessados em participar da Concorrência Eletrônica deverão dispor de chave de identificação e senha pessoal, ambas intransferíveis e de responsabilidade única do Usuário, obtidas junto ao Portal de Compras Públicas.</w:t>
      </w:r>
    </w:p>
    <w:p>
      <w:pPr>
        <w:pStyle w:val="Normal"/>
        <w:widowControl/>
        <w:suppressAutoHyphens w:val="true"/>
        <w:bidi w:val="0"/>
        <w:spacing w:lineRule="auto" w:line="360" w:before="142" w:after="142"/>
        <w:ind w:hanging="0" w:start="0" w:end="0"/>
        <w:jc w:val="both"/>
        <w:rPr/>
      </w:pPr>
      <w:r>
        <w:rPr>
          <w:rFonts w:ascii="Arial" w:hAnsi="Arial"/>
          <w:sz w:val="21"/>
          <w:szCs w:val="21"/>
        </w:rPr>
        <w:t>7.2.2. A chave de identificação e a senha dos operadores poderão ser utilizadas em qualquer sessão eletrônica, salvo quando canceladas por solicitação do Usuário ou por iniciativa do Portal de Compras Públicas.</w:t>
      </w:r>
    </w:p>
    <w:p>
      <w:pPr>
        <w:pStyle w:val="Normal"/>
        <w:widowControl/>
        <w:suppressAutoHyphens w:val="true"/>
        <w:bidi w:val="0"/>
        <w:spacing w:lineRule="auto" w:line="360" w:before="142" w:after="142"/>
        <w:ind w:hanging="0" w:start="0" w:end="0"/>
        <w:jc w:val="both"/>
        <w:rPr/>
      </w:pPr>
      <w:r>
        <w:rPr>
          <w:rFonts w:ascii="Arial" w:hAnsi="Arial"/>
          <w:sz w:val="21"/>
          <w:szCs w:val="21"/>
        </w:rPr>
        <w:t>7.2.3. É de exclusiva responsabilidade do Usuário o sigilo da senha, bem como seu uso em qualquer transação efetuada diretamente ou por seu representante, não cabendo ao Portal de Compras Públicas ou Município de Lindóia do Sul a responsabilidade por eventuais danos decorrentes de uso indevido da senha, ainda que por terceiros.</w:t>
      </w:r>
    </w:p>
    <w:p>
      <w:pPr>
        <w:pStyle w:val="Normal"/>
        <w:widowControl/>
        <w:suppressAutoHyphens w:val="true"/>
        <w:bidi w:val="0"/>
        <w:spacing w:lineRule="auto" w:line="360" w:before="142" w:after="142"/>
        <w:ind w:hanging="0" w:start="0" w:end="0"/>
        <w:jc w:val="both"/>
        <w:rPr/>
      </w:pPr>
      <w:r>
        <w:rPr>
          <w:rFonts w:ascii="Arial" w:hAnsi="Arial"/>
          <w:sz w:val="21"/>
          <w:szCs w:val="21"/>
        </w:rPr>
        <w:t>7.2.4. O credenciamento do fornecedor e de seu representante legal junto ao sistema eletrônico implica a responsabilidade legal pelos atos praticados, a presunção de capacidade técnica para realização das transações inerentes a concorrência eletrônica, bem como a aceitabilidade no que se refere as regras dos editais eletrônicos que escolher participar.</w:t>
      </w:r>
    </w:p>
    <w:p>
      <w:pPr>
        <w:pStyle w:val="Normal"/>
        <w:widowControl/>
        <w:suppressAutoHyphens w:val="true"/>
        <w:bidi w:val="0"/>
        <w:spacing w:lineRule="auto" w:line="360" w:before="142" w:after="142"/>
        <w:ind w:hanging="0" w:start="0" w:end="0"/>
        <w:jc w:val="both"/>
        <w:rPr/>
      </w:pPr>
      <w:r>
        <w:rPr>
          <w:rFonts w:ascii="Arial" w:hAnsi="Arial"/>
          <w:b/>
          <w:bCs/>
          <w:sz w:val="21"/>
          <w:szCs w:val="21"/>
        </w:rPr>
        <w:t>7.3. PARTICIPAÇÃO</w:t>
      </w:r>
    </w:p>
    <w:p>
      <w:pPr>
        <w:pStyle w:val="Normal"/>
        <w:widowControl/>
        <w:suppressAutoHyphens w:val="true"/>
        <w:bidi w:val="0"/>
        <w:spacing w:lineRule="auto" w:line="360" w:before="114" w:after="114"/>
        <w:ind w:hanging="0" w:start="0" w:end="0"/>
        <w:jc w:val="both"/>
        <w:rPr/>
      </w:pPr>
      <w:r>
        <w:rPr>
          <w:rFonts w:ascii="Arial" w:hAnsi="Arial"/>
          <w:sz w:val="21"/>
          <w:szCs w:val="21"/>
        </w:rPr>
        <w:t>7.3.1. A participação na Concorrência Eletrônica dar-se-á por meio de digitação da senha pessoal e intransferível do representante credenciado e subsequente encaminhamento da proposta de preços e os documentos de habilitação exigidos no Edital, exclusivamente por meio do sistema eletrônico, observados data e horário limite estabelecidos.</w:t>
      </w:r>
    </w:p>
    <w:p>
      <w:pPr>
        <w:pStyle w:val="Normal"/>
        <w:widowControl/>
        <w:suppressAutoHyphens w:val="true"/>
        <w:bidi w:val="0"/>
        <w:spacing w:lineRule="auto" w:line="360" w:before="114" w:after="114"/>
        <w:ind w:hanging="0" w:start="0" w:end="0"/>
        <w:jc w:val="both"/>
        <w:rPr/>
      </w:pPr>
      <w:r>
        <w:rPr>
          <w:rFonts w:ascii="Arial" w:hAnsi="Arial"/>
          <w:sz w:val="21"/>
          <w:szCs w:val="21"/>
        </w:rPr>
        <w:t>7.3.2. Caberá ao licitante acompanhar as operações no sistema eletrônico durante a sessão pública da concorrência, ficando responsável pelo ônus decorrentes da perda de negócios diante da inobservância de quaisquer mensagens emitidas pelo sistema ou de sua desconexão.</w:t>
      </w:r>
    </w:p>
    <w:p>
      <w:pPr>
        <w:pStyle w:val="Normal"/>
        <w:widowControl/>
        <w:suppressAutoHyphens w:val="true"/>
        <w:bidi w:val="0"/>
        <w:spacing w:lineRule="auto" w:line="360" w:before="114" w:after="114"/>
        <w:ind w:hanging="0" w:start="0" w:end="0"/>
        <w:jc w:val="both"/>
        <w:rPr/>
      </w:pPr>
      <w:r>
        <w:rPr>
          <w:rFonts w:ascii="Arial" w:hAnsi="Arial"/>
          <w:sz w:val="21"/>
          <w:szCs w:val="21"/>
        </w:rPr>
        <w:t>7.3.3. A participação do licitante nesta Licitação implica aceitação de todos os termos deste Edital, e obrigará o proponente vencedor a entrega dos objetos nas condições, locais e prazos definidos.</w:t>
      </w:r>
    </w:p>
    <w:p>
      <w:pPr>
        <w:pStyle w:val="Normal"/>
        <w:widowControl/>
        <w:suppressAutoHyphens w:val="true"/>
        <w:bidi w:val="0"/>
        <w:spacing w:lineRule="auto" w:line="360" w:before="114" w:after="114"/>
        <w:ind w:hanging="0" w:start="0" w:end="0"/>
        <w:jc w:val="both"/>
        <w:rPr/>
      </w:pPr>
      <w:r>
        <w:rPr>
          <w:rFonts w:ascii="Arial" w:hAnsi="Arial"/>
          <w:b/>
          <w:bCs/>
          <w:sz w:val="21"/>
          <w:szCs w:val="21"/>
        </w:rPr>
        <w:t>7.4. PROPOSTA NO SISTEMA ELETRÔNICO</w:t>
      </w:r>
    </w:p>
    <w:p>
      <w:pPr>
        <w:pStyle w:val="Normal"/>
        <w:widowControl/>
        <w:suppressAutoHyphens w:val="true"/>
        <w:bidi w:val="0"/>
        <w:spacing w:lineRule="auto" w:line="360" w:before="114" w:after="114"/>
        <w:ind w:hanging="0" w:start="0" w:end="0"/>
        <w:jc w:val="both"/>
        <w:rPr/>
      </w:pPr>
      <w:r>
        <w:rPr>
          <w:rFonts w:ascii="Arial" w:hAnsi="Arial"/>
          <w:sz w:val="21"/>
          <w:szCs w:val="21"/>
        </w:rPr>
        <w:t>7.4.1. O encaminhamento de proposta e os documentos de habilitação exigidos no Edital, para o sistema eletrônico pressupõe o pleno conhecimento e atendimento às exigências de habilitação e execução do Contrato previstas no Edital. O Licitante será responsável por todas as transações que forem efetuadas em seu nome no sistema eletrônico, assumindo como firmes e verdadeiras suas propostas, lances e aceitação das regras de cumprimento de suas obrigações.</w:t>
      </w:r>
    </w:p>
    <w:p>
      <w:pPr>
        <w:pStyle w:val="Normal"/>
        <w:widowControl/>
        <w:suppressAutoHyphens w:val="true"/>
        <w:bidi w:val="0"/>
        <w:spacing w:lineRule="auto" w:line="360" w:before="114" w:after="114"/>
        <w:ind w:hanging="0" w:start="0" w:end="0"/>
        <w:jc w:val="both"/>
        <w:rPr/>
      </w:pPr>
      <w:r>
        <w:rPr>
          <w:rFonts w:ascii="Arial" w:hAnsi="Arial"/>
          <w:sz w:val="21"/>
          <w:szCs w:val="21"/>
        </w:rPr>
        <w:t>7.4.2. No preenchimento da proposta eletrônica deverão, obrigatoriamente, ser informadas, no campo próprio, as especificações, marca/modelo, preços unitários e totais de todos os itens ofertados (quando aplicável).</w:t>
      </w:r>
    </w:p>
    <w:p>
      <w:pPr>
        <w:pStyle w:val="Normal"/>
        <w:widowControl/>
        <w:suppressAutoHyphens w:val="true"/>
        <w:bidi w:val="0"/>
        <w:spacing w:lineRule="auto" w:line="360" w:before="114" w:after="114"/>
        <w:ind w:hanging="0" w:start="0" w:end="0"/>
        <w:jc w:val="both"/>
        <w:rPr/>
      </w:pPr>
      <w:r>
        <w:rPr>
          <w:rFonts w:ascii="Arial" w:hAnsi="Arial"/>
          <w:sz w:val="21"/>
          <w:szCs w:val="21"/>
        </w:rPr>
        <w:t xml:space="preserve">7.4.2.1. </w:t>
      </w:r>
      <w:r>
        <w:rPr>
          <w:rFonts w:eastAsia="Times New Roman" w:cs="Arial" w:ascii="Arial" w:hAnsi="Arial"/>
          <w:bCs/>
          <w:color w:val="000000"/>
          <w:kern w:val="0"/>
          <w:sz w:val="21"/>
          <w:szCs w:val="21"/>
          <w:shd w:fill="auto" w:val="clear"/>
          <w:lang w:eastAsia="zh-CN"/>
        </w:rPr>
        <w:t xml:space="preserve">O valor máximo final aceitável orçado pelo Município para a aquisição do objeto desta licitação encontra-se </w:t>
      </w:r>
      <w:r>
        <w:rPr>
          <w:rFonts w:eastAsia="Times New Roman" w:cs="Arial" w:ascii="Arial" w:hAnsi="Arial"/>
          <w:bCs/>
          <w:color w:val="000000"/>
          <w:kern w:val="0"/>
          <w:sz w:val="21"/>
          <w:szCs w:val="21"/>
          <w:shd w:fill="FFFFFF" w:val="clear"/>
          <w:lang w:eastAsia="zh-CN"/>
        </w:rPr>
        <w:t>no Anexo “I” de</w:t>
      </w:r>
      <w:r>
        <w:rPr>
          <w:rFonts w:eastAsia="Times New Roman" w:cs="Arial" w:ascii="Arial" w:hAnsi="Arial"/>
          <w:bCs/>
          <w:color w:val="000000"/>
          <w:kern w:val="0"/>
          <w:sz w:val="21"/>
          <w:szCs w:val="21"/>
          <w:shd w:fill="auto" w:val="clear"/>
          <w:lang w:eastAsia="zh-CN"/>
        </w:rPr>
        <w:t>ste Edital.</w:t>
      </w:r>
    </w:p>
    <w:p>
      <w:pPr>
        <w:pStyle w:val="Normal"/>
        <w:widowControl/>
        <w:suppressAutoHyphens w:val="true"/>
        <w:bidi w:val="0"/>
        <w:spacing w:lineRule="auto" w:line="360" w:before="114" w:after="114"/>
        <w:ind w:hanging="0" w:start="0" w:end="0"/>
        <w:jc w:val="both"/>
        <w:rPr/>
      </w:pPr>
      <w:r>
        <w:rPr>
          <w:rFonts w:ascii="Arial" w:hAnsi="Arial"/>
          <w:sz w:val="21"/>
          <w:szCs w:val="21"/>
        </w:rPr>
        <w:t>7.4.3. O objeto deverá estar total e estritamente dentro das especificações contidas para o Edital e seus anexos.</w:t>
      </w:r>
    </w:p>
    <w:p>
      <w:pPr>
        <w:pStyle w:val="Normal"/>
        <w:widowControl/>
        <w:suppressAutoHyphens w:val="true"/>
        <w:bidi w:val="0"/>
        <w:spacing w:lineRule="auto" w:line="360" w:before="114" w:after="114"/>
        <w:ind w:hanging="0" w:start="0" w:end="0"/>
        <w:jc w:val="both"/>
        <w:rPr/>
      </w:pPr>
      <w:r>
        <w:rPr>
          <w:rFonts w:ascii="Arial" w:hAnsi="Arial"/>
          <w:b/>
          <w:bCs/>
          <w:sz w:val="21"/>
          <w:szCs w:val="21"/>
        </w:rPr>
        <w:t>7.4.4. Fica vetada a identificação da empresa em qualquer campo da proposta, tal como timbres, abreviações (relacionadas a empresas), telefones etc., o descumprimento do mesmo acarretará a desclassificação prévia da empresa licitante.</w:t>
      </w:r>
    </w:p>
    <w:p>
      <w:pPr>
        <w:pStyle w:val="Normal"/>
        <w:widowControl/>
        <w:suppressAutoHyphens w:val="true"/>
        <w:bidi w:val="0"/>
        <w:spacing w:lineRule="auto" w:line="360" w:before="114" w:after="114"/>
        <w:ind w:hanging="0" w:start="0" w:end="0"/>
        <w:jc w:val="both"/>
        <w:rPr/>
      </w:pPr>
      <w:r>
        <w:rPr>
          <w:rFonts w:ascii="Arial" w:hAnsi="Arial"/>
          <w:sz w:val="21"/>
          <w:szCs w:val="21"/>
          <w:shd w:fill="auto" w:val="clear"/>
        </w:rPr>
        <w:t>7.4.5. O licitante deverá encaminhar proposta, concomitantemente os documentos de habilitação exigidos no Edital, exclusivamente por meio do sistema eletrônico, até a data e horário indicados no preâmbulo deste Edital, quando então encerrar-se-á automaticamente a fase de recebimento de propostas.</w:t>
      </w:r>
    </w:p>
    <w:p>
      <w:pPr>
        <w:pStyle w:val="Normal"/>
        <w:widowControl/>
        <w:suppressAutoHyphens w:val="true"/>
        <w:bidi w:val="0"/>
        <w:spacing w:lineRule="auto" w:line="360" w:before="114" w:after="114"/>
        <w:ind w:hanging="0" w:start="0" w:end="0"/>
        <w:jc w:val="both"/>
        <w:rPr/>
      </w:pPr>
      <w:r>
        <w:rPr>
          <w:rFonts w:ascii="Arial" w:hAnsi="Arial"/>
          <w:sz w:val="21"/>
          <w:szCs w:val="21"/>
        </w:rPr>
        <w:t>7.4.6. A licitante deverá declarar, em campo próprio do sistema eletrônico, que cumpre plenamente os requisitos de habilitação, e que sua proposta está em conformidade com as exigências do Edital.</w:t>
      </w:r>
    </w:p>
    <w:p>
      <w:pPr>
        <w:pStyle w:val="Normal"/>
        <w:widowControl/>
        <w:suppressAutoHyphens w:val="true"/>
        <w:bidi w:val="0"/>
        <w:spacing w:lineRule="auto" w:line="360" w:before="114" w:after="114"/>
        <w:ind w:hanging="0" w:start="0" w:end="0"/>
        <w:jc w:val="both"/>
        <w:rPr/>
      </w:pPr>
      <w:r>
        <w:rPr>
          <w:rFonts w:ascii="Arial" w:hAnsi="Arial"/>
          <w:sz w:val="21"/>
          <w:szCs w:val="21"/>
        </w:rPr>
        <w:t>7.4.7. A licitante enquadrada como microempresa ou empresa de pequeno porte deverá declarar, sob pena de decair seu Direito de Pequena Empresa, em campo próprio do Sistema, que atende aos requisitos do art. 3º da LC nº 123/06, para fazer jus aos benefícios previstos em lei.</w:t>
      </w:r>
    </w:p>
    <w:p>
      <w:pPr>
        <w:pStyle w:val="Normal"/>
        <w:widowControl/>
        <w:suppressAutoHyphens w:val="true"/>
        <w:bidi w:val="0"/>
        <w:spacing w:lineRule="auto" w:line="360" w:before="114" w:after="114"/>
        <w:ind w:hanging="0" w:start="0" w:end="0"/>
        <w:jc w:val="both"/>
        <w:rPr/>
      </w:pPr>
      <w:r>
        <w:rPr>
          <w:rFonts w:ascii="Arial" w:hAnsi="Arial"/>
          <w:sz w:val="21"/>
          <w:szCs w:val="21"/>
        </w:rPr>
        <w:t>7.4.8. A declaração falsa relativa ao cumprimento dos requisitos de habilitação, à conformidade da proposta ou ao enquadramento como microempresa ou empresa de pequeno porte sujeitará a licitante às sanções previstas neste Edital.</w:t>
      </w:r>
    </w:p>
    <w:p>
      <w:pPr>
        <w:pStyle w:val="Normal"/>
        <w:widowControl/>
        <w:suppressAutoHyphens w:val="true"/>
        <w:bidi w:val="0"/>
        <w:spacing w:lineRule="auto" w:line="360" w:before="114" w:after="114"/>
        <w:ind w:hanging="0" w:start="0" w:end="0"/>
        <w:jc w:val="both"/>
        <w:rPr/>
      </w:pPr>
      <w:r>
        <w:rPr>
          <w:rFonts w:ascii="Arial" w:hAnsi="Arial"/>
          <w:sz w:val="21"/>
          <w:szCs w:val="21"/>
        </w:rPr>
        <w:t>7.4.9. As propostas ficarão disponíveis no sistema eletrônico.</w:t>
      </w:r>
    </w:p>
    <w:p>
      <w:pPr>
        <w:pStyle w:val="Normal"/>
        <w:widowControl/>
        <w:suppressAutoHyphens w:val="true"/>
        <w:bidi w:val="0"/>
        <w:spacing w:lineRule="auto" w:line="360" w:before="114" w:after="114"/>
        <w:ind w:hanging="0" w:start="0" w:end="0"/>
        <w:jc w:val="both"/>
        <w:rPr/>
      </w:pPr>
      <w:r>
        <w:rPr>
          <w:rFonts w:ascii="Arial" w:hAnsi="Arial"/>
          <w:sz w:val="21"/>
          <w:szCs w:val="21"/>
        </w:rPr>
        <w:t xml:space="preserve">7.4.10. Qualquer elemento que possa identificar a licitante importa desclassificação da proposta, </w:t>
      </w:r>
      <w:r>
        <w:rPr>
          <w:rFonts w:ascii="Arial" w:hAnsi="Arial"/>
          <w:sz w:val="21"/>
          <w:szCs w:val="21"/>
          <w:shd w:fill="auto" w:val="clear"/>
        </w:rPr>
        <w:t>sem prejuízo das sanções previstas nesse Edital e nas demais legislações brasileiras.</w:t>
      </w:r>
    </w:p>
    <w:p>
      <w:pPr>
        <w:pStyle w:val="Normal"/>
        <w:widowControl/>
        <w:suppressAutoHyphens w:val="true"/>
        <w:bidi w:val="0"/>
        <w:spacing w:lineRule="auto" w:line="360" w:before="114" w:after="114"/>
        <w:ind w:hanging="0" w:start="0" w:end="0"/>
        <w:jc w:val="both"/>
        <w:rPr/>
      </w:pPr>
      <w:r>
        <w:rPr>
          <w:rFonts w:ascii="Arial" w:hAnsi="Arial"/>
          <w:sz w:val="21"/>
          <w:szCs w:val="21"/>
          <w:shd w:fill="auto" w:val="clear"/>
        </w:rPr>
        <w:t>7.4.11. Até a data e hora limite para a apresentação da proposta, a licitante poderá retirar ou substituir a proposta e os documentos de habilitação anteriormente encaminhada. Após a data limite, não poderá haver desistência da proposta, salvo aceitação de justificativa pelo Município de Lindóia do Sul, e poderá ocorrer o complemento dos documentos de habilitação e regularidade fiscal após a fase de lances, se for declarado vencedor, no prazo estipulado pelo Agente de Contratação, não inferior a 02 (duas) horas.</w:t>
      </w:r>
    </w:p>
    <w:p>
      <w:pPr>
        <w:pStyle w:val="Normal"/>
        <w:widowControl/>
        <w:suppressAutoHyphens w:val="true"/>
        <w:bidi w:val="0"/>
        <w:spacing w:lineRule="auto" w:line="360" w:before="114" w:after="114"/>
        <w:ind w:hanging="0" w:start="0" w:end="0"/>
        <w:jc w:val="both"/>
        <w:rPr/>
      </w:pPr>
      <w:r>
        <w:rPr>
          <w:rFonts w:ascii="Arial" w:hAnsi="Arial"/>
          <w:sz w:val="21"/>
          <w:szCs w:val="21"/>
        </w:rPr>
        <w:t>7.4.12. Os documentos que compõem a proposta e a habilitação do licitante melhor classificado somente serão disponibilizados para avaliação do Agente de Contratação e para acesso público após o encerramento do envio de lances.</w:t>
      </w:r>
    </w:p>
    <w:p>
      <w:pPr>
        <w:pStyle w:val="Normal"/>
        <w:widowControl/>
        <w:suppressAutoHyphens w:val="true"/>
        <w:bidi w:val="0"/>
        <w:spacing w:lineRule="auto" w:line="360" w:before="114" w:after="114"/>
        <w:ind w:hanging="0" w:start="0" w:end="0"/>
        <w:jc w:val="both"/>
        <w:rPr/>
      </w:pPr>
      <w:r>
        <w:rPr>
          <w:rFonts w:ascii="Arial" w:hAnsi="Arial"/>
          <w:sz w:val="21"/>
          <w:szCs w:val="21"/>
        </w:rPr>
        <w:t>7.4.13. O prazo de validade da proposta de preços não poderá ser inferior a 60 (sessenta) dias, contados da abertura das propostas virtuais.</w:t>
      </w:r>
    </w:p>
    <w:p>
      <w:pPr>
        <w:pStyle w:val="Normal"/>
        <w:widowControl/>
        <w:suppressAutoHyphens w:val="true"/>
        <w:bidi w:val="0"/>
        <w:spacing w:lineRule="auto" w:line="360" w:before="114" w:after="114"/>
        <w:ind w:hanging="0" w:start="0" w:end="0"/>
        <w:jc w:val="both"/>
        <w:rPr/>
      </w:pPr>
      <w:r>
        <w:rPr>
          <w:rFonts w:ascii="Arial" w:hAnsi="Arial"/>
          <w:sz w:val="21"/>
          <w:szCs w:val="21"/>
        </w:rPr>
        <w:t>7.4.14. Nos preços propostos deverão estar incluídos todos os custos diretos e indiretos necessários à perfeita execução do objeto, composição do BDI, encargos sociais e inclusive as despesas com materiais e/ou equipamentos fornecidos, mão de obra especializada ou não, fretes, seguros em geral, equipamentos auxiliares, ferramentas, encargos da Legislação Tributária, Social, Trabalhista e Previdenciária, da infortunística do trabalho e responsabilidade civil por quaisquer danos causados a terceiros ou dispêndios resultantes de impostos, taxas, regulamentos e posturas municipais, estaduais e federais, enfim, tudo o que for necessário para a execução total e completa do objeto desta licitação.</w:t>
      </w:r>
    </w:p>
    <w:p>
      <w:pPr>
        <w:pStyle w:val="Normal"/>
        <w:widowControl/>
        <w:suppressAutoHyphens w:val="true"/>
        <w:bidi w:val="0"/>
        <w:spacing w:lineRule="auto" w:line="360" w:before="114" w:after="114"/>
        <w:ind w:hanging="0" w:start="0" w:end="0"/>
        <w:jc w:val="both"/>
        <w:rPr/>
      </w:pPr>
      <w:r>
        <w:rPr>
          <w:rFonts w:ascii="Arial" w:hAnsi="Arial"/>
          <w:sz w:val="21"/>
          <w:szCs w:val="21"/>
        </w:rPr>
        <w:t>7.4.15. Para composição do preço unitário e total do item, os participantes deverão considerar até 02 (dois) dígitos após a vírgula. No fornecimento posterior, a totalização do pedido contabilizado (total da Nota Fiscal) será de dois dígitos após a vírgula. Se houver algum dígito a mais, não importa a quantidade, será desconsiderado.</w:t>
      </w:r>
    </w:p>
    <w:p>
      <w:pPr>
        <w:pStyle w:val="Normal"/>
        <w:widowControl/>
        <w:suppressAutoHyphens w:val="true"/>
        <w:bidi w:val="0"/>
        <w:spacing w:lineRule="auto" w:line="360" w:before="114" w:after="114"/>
        <w:ind w:hanging="0" w:start="0" w:end="0"/>
        <w:jc w:val="both"/>
        <w:rPr/>
      </w:pPr>
      <w:r>
        <w:rPr>
          <w:rFonts w:ascii="Arial" w:hAnsi="Arial"/>
          <w:sz w:val="21"/>
          <w:szCs w:val="21"/>
        </w:rPr>
        <w:t>7.4.16. A apresentação de proposta importa no compromisso, pelo licitante, com o cumprimento dos respectivos métodos de controle de qualidade e da sistemática de certificação de conformidade, existentes atualmente.</w:t>
      </w:r>
    </w:p>
    <w:p>
      <w:pPr>
        <w:pStyle w:val="Normal"/>
        <w:widowControl/>
        <w:suppressAutoHyphens w:val="true"/>
        <w:bidi w:val="0"/>
        <w:spacing w:lineRule="auto" w:line="360" w:before="114" w:after="114"/>
        <w:ind w:hanging="0" w:start="0" w:end="0"/>
        <w:jc w:val="both"/>
        <w:rPr/>
      </w:pPr>
      <w:r>
        <w:rPr>
          <w:rFonts w:ascii="Arial" w:hAnsi="Arial"/>
          <w:b w:val="false"/>
          <w:bCs w:val="false"/>
          <w:strike w:val="false"/>
          <w:dstrike w:val="false"/>
          <w:color w:val="000000"/>
          <w:sz w:val="21"/>
          <w:szCs w:val="21"/>
          <w:u w:val="none"/>
        </w:rPr>
        <w:t xml:space="preserve">7.4.17. </w:t>
      </w:r>
      <w:r>
        <w:rPr>
          <w:rFonts w:ascii="Arial" w:hAnsi="Arial"/>
          <w:b w:val="false"/>
          <w:strike w:val="false"/>
          <w:dstrike w:val="false"/>
          <w:color w:val="000000"/>
          <w:sz w:val="21"/>
          <w:szCs w:val="21"/>
          <w:u w:val="none"/>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Normal"/>
        <w:widowControl/>
        <w:suppressAutoHyphens w:val="true"/>
        <w:bidi w:val="0"/>
        <w:spacing w:lineRule="auto" w:line="360" w:before="114" w:after="114"/>
        <w:ind w:hanging="0" w:start="0" w:end="0"/>
        <w:jc w:val="both"/>
        <w:rPr/>
      </w:pPr>
      <w:r>
        <w:rPr>
          <w:rFonts w:ascii="Arial" w:hAnsi="Arial"/>
          <w:b w:val="false"/>
          <w:bCs w:val="false"/>
          <w:strike w:val="false"/>
          <w:dstrike w:val="false"/>
          <w:color w:val="000000"/>
          <w:sz w:val="21"/>
          <w:szCs w:val="21"/>
          <w:u w:val="none"/>
        </w:rPr>
        <w:t xml:space="preserve">7.4.18. </w:t>
      </w:r>
      <w:r>
        <w:rPr>
          <w:rFonts w:ascii="Arial" w:hAnsi="Arial"/>
          <w:b w:val="false"/>
          <w:strike w:val="false"/>
          <w:dstrike w:val="false"/>
          <w:color w:val="000000"/>
          <w:sz w:val="21"/>
          <w:szCs w:val="21"/>
          <w:u w:val="none"/>
        </w:rPr>
        <w:t>A apresentação da proposta implica obrigatoriedade do cumprimento das disposições nela contida, em conformidade com o que dispõe o Termo de Referência, assumindo o proponente o compromisso de executar o objeto licitado nos seus termos, bem como, de promover, quando requerido, sua substituição.</w:t>
      </w:r>
    </w:p>
    <w:p>
      <w:pPr>
        <w:pStyle w:val="Normal"/>
        <w:widowControl/>
        <w:suppressAutoHyphens w:val="true"/>
        <w:bidi w:val="0"/>
        <w:spacing w:lineRule="auto" w:line="360" w:before="142" w:after="142"/>
        <w:ind w:hanging="0" w:start="0" w:end="0"/>
        <w:jc w:val="both"/>
        <w:rPr/>
      </w:pPr>
      <w:r>
        <w:rPr>
          <w:rFonts w:ascii="Arial" w:hAnsi="Arial"/>
          <w:b/>
          <w:bCs/>
          <w:sz w:val="21"/>
          <w:szCs w:val="21"/>
        </w:rPr>
        <w:t>8. ABERTURA DAS PROPOSTAS E FORMULAÇÃO DOS LANCES</w:t>
      </w:r>
    </w:p>
    <w:p>
      <w:pPr>
        <w:pStyle w:val="Normal"/>
        <w:widowControl/>
        <w:suppressAutoHyphens w:val="true"/>
        <w:bidi w:val="0"/>
        <w:spacing w:lineRule="auto" w:line="360" w:before="142" w:after="142"/>
        <w:ind w:hanging="0" w:start="0" w:end="0"/>
        <w:jc w:val="both"/>
        <w:rPr/>
      </w:pPr>
      <w:r>
        <w:rPr>
          <w:rFonts w:ascii="Arial" w:hAnsi="Arial"/>
          <w:sz w:val="21"/>
          <w:szCs w:val="21"/>
        </w:rPr>
        <w:t>8.1. A partir do horário previsto no Edital e no site www.portaldecompraspublicas.com.br, terá início a sessão pública da concorrência, na forma eletrônica, com a divulgação das propostas de preços recebidas, passando o Agente de Contratação a avaliar a aceitabilidade das propostas.</w:t>
      </w:r>
    </w:p>
    <w:p>
      <w:pPr>
        <w:pStyle w:val="Default"/>
        <w:spacing w:lineRule="auto" w:line="360" w:before="142" w:after="142"/>
        <w:jc w:val="both"/>
        <w:rPr/>
      </w:pPr>
      <w:r>
        <w:rPr>
          <w:rFonts w:ascii="Arial" w:hAnsi="Arial"/>
          <w:sz w:val="21"/>
          <w:szCs w:val="21"/>
        </w:rPr>
        <w:t xml:space="preserve">8.1.1. </w:t>
      </w:r>
      <w:r>
        <w:rPr>
          <w:rFonts w:eastAsia="Times New Roman" w:cs="Arial" w:ascii="Arial" w:hAnsi="Arial"/>
          <w:bCs/>
          <w:color w:val="000000"/>
          <w:kern w:val="0"/>
          <w:sz w:val="21"/>
          <w:szCs w:val="21"/>
          <w:lang w:eastAsia="zh-CN"/>
        </w:rPr>
        <w:t>O acompanhamento da sessão se dará, única e exclusivamente, por meio eletrônico, no sítio informado no preâmbulo deste edital.</w:t>
      </w:r>
    </w:p>
    <w:p>
      <w:pPr>
        <w:pStyle w:val="Default"/>
        <w:spacing w:lineRule="auto" w:line="360" w:before="142" w:after="142"/>
        <w:jc w:val="both"/>
        <w:rPr/>
      </w:pPr>
      <w:r>
        <w:rPr>
          <w:rFonts w:ascii="Arial" w:hAnsi="Arial"/>
          <w:sz w:val="21"/>
          <w:szCs w:val="21"/>
        </w:rPr>
        <w:t>8.2. Serão verificadas as propostas apresentadas e desclassificadas, motivadamente, aquelas que não estejam em conformidade com os requisitos estabelecidos neste Edital.</w:t>
      </w:r>
    </w:p>
    <w:p>
      <w:pPr>
        <w:pStyle w:val="Normal"/>
        <w:widowControl/>
        <w:suppressAutoHyphens w:val="true"/>
        <w:bidi w:val="0"/>
        <w:spacing w:lineRule="auto" w:line="360" w:before="142" w:after="142"/>
        <w:ind w:hanging="0" w:start="0" w:end="0"/>
        <w:jc w:val="both"/>
        <w:rPr/>
      </w:pPr>
      <w:r>
        <w:rPr>
          <w:rFonts w:ascii="Arial" w:hAnsi="Arial"/>
          <w:sz w:val="21"/>
          <w:szCs w:val="21"/>
        </w:rPr>
        <w:t>8.3. Somente as licitantes com propostas classificadas participarão da fase de lances.</w:t>
      </w:r>
    </w:p>
    <w:p>
      <w:pPr>
        <w:pStyle w:val="Normal"/>
        <w:widowControl/>
        <w:suppressAutoHyphens w:val="true"/>
        <w:bidi w:val="0"/>
        <w:spacing w:lineRule="auto" w:line="360" w:before="142" w:after="142"/>
        <w:ind w:hanging="0" w:start="0" w:end="0"/>
        <w:jc w:val="both"/>
        <w:rPr/>
      </w:pPr>
      <w:r>
        <w:rPr>
          <w:rFonts w:ascii="Arial" w:hAnsi="Arial"/>
          <w:sz w:val="21"/>
          <w:szCs w:val="21"/>
        </w:rPr>
        <w:t>8.4. Todas as propostas classificadas serão consideradas lances na fase de disputas e ordenadas por valor, de forma decrescente.</w:t>
      </w:r>
    </w:p>
    <w:p>
      <w:pPr>
        <w:pStyle w:val="Normal"/>
        <w:widowControl/>
        <w:suppressAutoHyphens w:val="true"/>
        <w:bidi w:val="0"/>
        <w:spacing w:lineRule="auto" w:line="360" w:before="142" w:after="142"/>
        <w:ind w:hanging="0" w:start="0" w:end="0"/>
        <w:jc w:val="both"/>
        <w:rPr/>
      </w:pPr>
      <w:r>
        <w:rPr>
          <w:rFonts w:ascii="Arial" w:hAnsi="Arial"/>
          <w:sz w:val="21"/>
          <w:szCs w:val="21"/>
        </w:rPr>
        <w:t xml:space="preserve">8.5. Aberta a etapa competitiva, os representantes dos fornecedores deverão estar conectados ao sistema para participar da sessão de lances, </w:t>
      </w:r>
      <w:r>
        <w:rPr>
          <w:rFonts w:eastAsia="Times New Roman" w:cs="Arial" w:ascii="Arial" w:hAnsi="Arial"/>
          <w:bCs/>
          <w:color w:val="000000"/>
          <w:kern w:val="0"/>
          <w:sz w:val="21"/>
          <w:szCs w:val="21"/>
          <w:lang w:eastAsia="zh-CN"/>
        </w:rPr>
        <w:t>exclusivamente por meio do sistema eletrônico</w:t>
      </w:r>
      <w:r>
        <w:rPr>
          <w:rFonts w:ascii="Arial" w:hAnsi="Arial"/>
          <w:sz w:val="21"/>
          <w:szCs w:val="21"/>
        </w:rPr>
        <w:t>. A cada lance ofertado o participante será imediatamente informado de seu recebimento e respectivo horário de registro e valor, mantendo-se em sigilo a identificação de os demais ofertantes.</w:t>
      </w:r>
    </w:p>
    <w:p>
      <w:pPr>
        <w:pStyle w:val="Normal"/>
        <w:widowControl/>
        <w:suppressAutoHyphens w:val="true"/>
        <w:bidi w:val="0"/>
        <w:spacing w:lineRule="auto" w:line="360" w:before="142" w:after="142"/>
        <w:ind w:hanging="0" w:start="0" w:end="0"/>
        <w:jc w:val="both"/>
        <w:rPr/>
      </w:pPr>
      <w:r>
        <w:rPr>
          <w:rFonts w:ascii="Arial" w:hAnsi="Arial"/>
          <w:sz w:val="21"/>
          <w:szCs w:val="21"/>
        </w:rPr>
        <w:t>8.6. Durante a sessão pública, a comunicação entre o(a) Agente de Contratação e as licitantes ocorrerá exclusivamente mediante troca de mensagens, em campo próprio do sistema eletrônico.</w:t>
      </w:r>
    </w:p>
    <w:p>
      <w:pPr>
        <w:pStyle w:val="Normal"/>
        <w:widowControl/>
        <w:suppressAutoHyphens w:val="true"/>
        <w:bidi w:val="0"/>
        <w:spacing w:lineRule="auto" w:line="360" w:before="142" w:after="142"/>
        <w:ind w:hanging="0" w:start="0" w:end="0"/>
        <w:jc w:val="both"/>
        <w:rPr/>
      </w:pPr>
      <w:r>
        <w:rPr>
          <w:rFonts w:ascii="Arial" w:hAnsi="Arial"/>
          <w:sz w:val="21"/>
          <w:szCs w:val="21"/>
        </w:rPr>
        <w:t>8.7. Os itens, caso existentes, poderão ser disponibilizados por grupo, para otimização dos trabalhos do(a) Agente de Contratação e da Equipe de Apoio e a disputa de lances poderá se estender para outros dias, se necessário.</w:t>
      </w:r>
    </w:p>
    <w:p>
      <w:pPr>
        <w:pStyle w:val="Normal"/>
        <w:widowControl/>
        <w:suppressAutoHyphens w:val="true"/>
        <w:bidi w:val="0"/>
        <w:spacing w:lineRule="auto" w:line="360" w:before="142" w:after="142"/>
        <w:ind w:hanging="0" w:start="0" w:end="0"/>
        <w:jc w:val="both"/>
        <w:rPr/>
      </w:pPr>
      <w:r>
        <w:rPr>
          <w:rFonts w:ascii="Arial" w:hAnsi="Arial"/>
          <w:sz w:val="21"/>
          <w:szCs w:val="21"/>
        </w:rPr>
        <w:t>8.8. Poderão ser ofertados lances intermediários, na impossibilidade de cobrir o menor preço, desde que seja inferior ao seu último lance ofertado e diferente de qualquer lance válido.</w:t>
      </w:r>
    </w:p>
    <w:p>
      <w:pPr>
        <w:pStyle w:val="Normal"/>
        <w:widowControl/>
        <w:suppressAutoHyphens w:val="true"/>
        <w:bidi w:val="0"/>
        <w:spacing w:lineRule="auto" w:line="360" w:before="142" w:after="142"/>
        <w:ind w:hanging="0" w:start="0" w:end="0"/>
        <w:jc w:val="both"/>
        <w:rPr/>
      </w:pPr>
      <w:r>
        <w:rPr>
          <w:rFonts w:ascii="Arial" w:hAnsi="Arial"/>
          <w:sz w:val="21"/>
          <w:szCs w:val="21"/>
        </w:rPr>
        <w:t>8.9. Não serão aceitos dois ou mais lances de mesmo valor, prevalecendo aquele que for recebido e registrado em primeiro lugar pelo sistema eletrônico.</w:t>
      </w:r>
    </w:p>
    <w:p>
      <w:pPr>
        <w:pStyle w:val="Normal"/>
        <w:widowControl/>
        <w:suppressAutoHyphens w:val="true"/>
        <w:bidi w:val="0"/>
        <w:spacing w:lineRule="auto" w:line="360" w:before="142" w:after="142"/>
        <w:ind w:hanging="0" w:start="0" w:end="0"/>
        <w:jc w:val="both"/>
        <w:rPr/>
      </w:pPr>
      <w:r>
        <w:rPr>
          <w:rFonts w:ascii="Arial" w:hAnsi="Arial"/>
          <w:sz w:val="21"/>
          <w:szCs w:val="21"/>
        </w:rPr>
        <w:t xml:space="preserve">8.9.1. </w:t>
      </w:r>
      <w:r>
        <w:rPr>
          <w:rFonts w:eastAsia="Times New Roman" w:cs="Arial" w:ascii="Arial" w:hAnsi="Arial"/>
          <w:bCs/>
          <w:color w:val="000000"/>
          <w:kern w:val="0"/>
          <w:sz w:val="21"/>
          <w:szCs w:val="21"/>
          <w:lang w:eastAsia="zh-CN"/>
        </w:rPr>
        <w:t>Durante a sessão pública da Concorrência Eletrônica, os licitantes serão informados em tempo real, do valor do menor lance registrado, vedada a identificação do seu detentor.</w:t>
      </w:r>
    </w:p>
    <w:p>
      <w:pPr>
        <w:pStyle w:val="Normal"/>
        <w:widowControl/>
        <w:suppressAutoHyphens w:val="true"/>
        <w:bidi w:val="0"/>
        <w:spacing w:lineRule="auto" w:line="360" w:before="142" w:after="142"/>
        <w:ind w:hanging="0" w:start="0" w:end="0"/>
        <w:jc w:val="both"/>
        <w:rPr/>
      </w:pPr>
      <w:r>
        <w:rPr>
          <w:rFonts w:ascii="Arial" w:hAnsi="Arial"/>
          <w:sz w:val="21"/>
          <w:szCs w:val="21"/>
        </w:rPr>
        <w:t>8.10. Fica a critério do(a) Agente de Contratação a autorização da correção de lances com valores digitados errados ou situação semelhante.</w:t>
      </w:r>
    </w:p>
    <w:p>
      <w:pPr>
        <w:pStyle w:val="Normal"/>
        <w:widowControl/>
        <w:suppressAutoHyphens w:val="true"/>
        <w:bidi w:val="0"/>
        <w:spacing w:lineRule="auto" w:line="360" w:before="142" w:after="142"/>
        <w:ind w:hanging="0" w:start="0" w:end="0"/>
        <w:jc w:val="both"/>
        <w:rPr/>
      </w:pPr>
      <w:r>
        <w:rPr>
          <w:rFonts w:ascii="Arial" w:hAnsi="Arial"/>
          <w:sz w:val="21"/>
          <w:szCs w:val="21"/>
        </w:rPr>
        <w:t>8.11. No caso de desconexão com o(a) Agente de Contratação, no decorrer da etapa competitiva da Concorrência, na Forma Eletrônica, o sistema eletrônico poderá permanecer acessível às licitantes para a recepção dos lances, retornando o(a) Agente de Contratação, quando possível, sua atuação no certame, sem prejuízos dos atos realizados.</w:t>
      </w:r>
    </w:p>
    <w:p>
      <w:pPr>
        <w:pStyle w:val="Normal"/>
        <w:widowControl/>
        <w:suppressAutoHyphens w:val="true"/>
        <w:bidi w:val="0"/>
        <w:spacing w:lineRule="auto" w:line="360" w:before="142" w:after="142"/>
        <w:ind w:hanging="0" w:start="0" w:end="0"/>
        <w:jc w:val="both"/>
        <w:rPr/>
      </w:pPr>
      <w:r>
        <w:rPr>
          <w:rFonts w:ascii="Arial" w:hAnsi="Arial"/>
          <w:sz w:val="21"/>
          <w:szCs w:val="21"/>
        </w:rPr>
        <w:t xml:space="preserve">8.11.1. Quando a desconexão persistir por tempo superior a 10 (dez) minutos, a sessão da Concorrência, na Forma Eletrônica será suspensa e terá reinício </w:t>
      </w:r>
      <w:r>
        <w:rPr>
          <w:rFonts w:eastAsia="Times New Roman" w:cs="Arial" w:ascii="Arial" w:hAnsi="Arial"/>
          <w:bCs/>
          <w:color w:val="000000"/>
          <w:kern w:val="0"/>
          <w:sz w:val="21"/>
          <w:szCs w:val="21"/>
          <w:lang w:eastAsia="zh-CN"/>
        </w:rPr>
        <w:t>somente decorridas no mínimo vinte e quatro horas após a comunicação do fato aos participantes, no sítio eletrônico utilizado para divulgação,</w:t>
      </w:r>
      <w:r>
        <w:rPr>
          <w:rFonts w:ascii="Arial" w:hAnsi="Arial"/>
          <w:sz w:val="21"/>
          <w:szCs w:val="21"/>
        </w:rPr>
        <w:t xml:space="preserve"> divulgando data e hora da reabertura da sessão.</w:t>
      </w:r>
    </w:p>
    <w:p>
      <w:pPr>
        <w:pStyle w:val="Normal"/>
        <w:widowControl/>
        <w:suppressAutoHyphens w:val="true"/>
        <w:bidi w:val="0"/>
        <w:spacing w:lineRule="auto" w:line="360" w:before="142" w:after="142"/>
        <w:ind w:hanging="0" w:start="0" w:end="0"/>
        <w:jc w:val="both"/>
        <w:rPr/>
      </w:pPr>
      <w:r>
        <w:rPr>
          <w:rFonts w:ascii="Arial" w:hAnsi="Arial"/>
          <w:sz w:val="21"/>
          <w:szCs w:val="21"/>
        </w:rPr>
        <w:t>8.12. Será adotado para o envio de lances na concorrência eletrônica o modo de disputa “</w:t>
      </w:r>
      <w:r>
        <w:rPr>
          <w:rFonts w:ascii="Arial" w:hAnsi="Arial"/>
          <w:b/>
          <w:bCs/>
          <w:sz w:val="21"/>
          <w:szCs w:val="21"/>
        </w:rPr>
        <w:t>ABERTO</w:t>
      </w:r>
      <w:r>
        <w:rPr>
          <w:rFonts w:ascii="Arial" w:hAnsi="Arial"/>
          <w:sz w:val="21"/>
          <w:szCs w:val="21"/>
        </w:rPr>
        <w:t>”, em que os licitantes apresentarão lances públicos e sucessivos, com prorrogações.</w:t>
      </w:r>
    </w:p>
    <w:p>
      <w:pPr>
        <w:pStyle w:val="Normal"/>
        <w:widowControl/>
        <w:suppressAutoHyphens w:val="true"/>
        <w:bidi w:val="0"/>
        <w:spacing w:lineRule="auto" w:line="360" w:before="142" w:after="142"/>
        <w:ind w:hanging="0" w:start="0" w:end="0"/>
        <w:jc w:val="both"/>
        <w:rPr/>
      </w:pPr>
      <w:r>
        <w:rPr>
          <w:rFonts w:ascii="Arial" w:hAnsi="Arial"/>
          <w:sz w:val="21"/>
          <w:szCs w:val="21"/>
        </w:rPr>
        <w:t>8.13. A etapa de lances da sessão pública terá duração de 10 (dez) minutos e, após isso, será prorrogada automaticamente pelo sistema quando houver lance ofertado nos últimos 02 (dois) minutos do período de duração da sessão pública.</w:t>
      </w:r>
    </w:p>
    <w:p>
      <w:pPr>
        <w:pStyle w:val="Normal"/>
        <w:widowControl/>
        <w:suppressAutoHyphens w:val="true"/>
        <w:bidi w:val="0"/>
        <w:spacing w:lineRule="auto" w:line="360" w:before="142" w:after="142"/>
        <w:ind w:hanging="0" w:start="0" w:end="0"/>
        <w:jc w:val="both"/>
        <w:rPr/>
      </w:pPr>
      <w:r>
        <w:rPr>
          <w:rFonts w:ascii="Arial" w:hAnsi="Arial"/>
          <w:sz w:val="21"/>
          <w:szCs w:val="21"/>
        </w:rPr>
        <w:t>8.13.1. A prorrogação automática da etapa de lances, de que trata o item anterior, será de 02 (dois) minutos e ocorrerá sucessivamente sempre que houver lances enviados nesse período de prorrogação, inclusive no caso de lances intermediários.</w:t>
      </w:r>
    </w:p>
    <w:p>
      <w:pPr>
        <w:pStyle w:val="Normal"/>
        <w:widowControl/>
        <w:suppressAutoHyphens w:val="true"/>
        <w:bidi w:val="0"/>
        <w:spacing w:lineRule="auto" w:line="360" w:before="142" w:after="142"/>
        <w:ind w:hanging="0" w:start="0" w:end="0"/>
        <w:jc w:val="both"/>
        <w:rPr/>
      </w:pPr>
      <w:r>
        <w:rPr>
          <w:rFonts w:ascii="Arial" w:hAnsi="Arial"/>
          <w:sz w:val="21"/>
          <w:szCs w:val="21"/>
        </w:rPr>
        <w:t>8.14. Não havendo novos lances na forma estabelecida nos itens anteriores, a sessão pública encerrar-se-á automaticamente.</w:t>
      </w:r>
    </w:p>
    <w:p>
      <w:pPr>
        <w:pStyle w:val="Normal"/>
        <w:widowControl/>
        <w:suppressAutoHyphens w:val="true"/>
        <w:bidi w:val="0"/>
        <w:spacing w:lineRule="auto" w:line="360" w:before="142" w:after="142"/>
        <w:ind w:hanging="0" w:start="0" w:end="0"/>
        <w:jc w:val="both"/>
        <w:rPr/>
      </w:pPr>
      <w:r>
        <w:rPr>
          <w:rFonts w:ascii="Arial" w:hAnsi="Arial"/>
          <w:sz w:val="21"/>
          <w:szCs w:val="21"/>
        </w:rPr>
        <w:t>8.15. Encerrada a fase competitiva sem que haja a prorrogação automática pelo sistema, poderá o(a) Agente de Contratação, assessorado pela equipe de apoio, justificadamente, admitir o reinício da sessão pública de lances, em prol da consecução do melhor preço.</w:t>
      </w:r>
    </w:p>
    <w:p>
      <w:pPr>
        <w:pStyle w:val="Normal"/>
        <w:widowControl/>
        <w:suppressAutoHyphens w:val="true"/>
        <w:bidi w:val="0"/>
        <w:spacing w:lineRule="auto" w:line="360" w:before="142" w:after="142"/>
        <w:ind w:hanging="0" w:start="0" w:end="0"/>
        <w:jc w:val="both"/>
        <w:rPr/>
      </w:pPr>
      <w:r>
        <w:rPr>
          <w:rFonts w:ascii="Arial" w:hAnsi="Arial"/>
          <w:sz w:val="21"/>
          <w:szCs w:val="21"/>
        </w:rPr>
        <w:t>8.16. O sistema informará a proposta de menor preço imediatamente após o encerramento da etapa de lances ou, quando for o caso, após negociação e decisão pelo(a) Agente de Contratação acerca da aceitação do lance de menor valor.</w:t>
      </w:r>
    </w:p>
    <w:p>
      <w:pPr>
        <w:pStyle w:val="Normal"/>
        <w:widowControl/>
        <w:suppressAutoHyphens w:val="true"/>
        <w:bidi w:val="0"/>
        <w:spacing w:lineRule="auto" w:line="360" w:before="142" w:after="142"/>
        <w:ind w:hanging="0" w:start="0" w:end="0"/>
        <w:jc w:val="both"/>
        <w:rPr/>
      </w:pPr>
      <w:r>
        <w:rPr>
          <w:rFonts w:ascii="Arial" w:hAnsi="Arial"/>
          <w:sz w:val="21"/>
          <w:szCs w:val="21"/>
        </w:rPr>
        <w:t>8.17. O não cumprimento do envio dos documentos de habilitação exigidos neste Edital no prazo fixado, acarretará as sanções previstas neste Edital, podendo o(a) Agente de Contratação convocar a empresa que apresentou a proposta ou o lance subsequente.</w:t>
      </w:r>
    </w:p>
    <w:p>
      <w:pPr>
        <w:pStyle w:val="Normal"/>
        <w:widowControl/>
        <w:suppressAutoHyphens w:val="true"/>
        <w:bidi w:val="0"/>
        <w:spacing w:lineRule="auto" w:line="360" w:before="142" w:after="142"/>
        <w:ind w:hanging="0" w:start="0" w:end="0"/>
        <w:jc w:val="both"/>
        <w:rPr/>
      </w:pPr>
      <w:r>
        <w:rPr>
          <w:rFonts w:ascii="Arial" w:hAnsi="Arial"/>
          <w:sz w:val="21"/>
          <w:szCs w:val="21"/>
        </w:rPr>
        <w:t>8.18. Se a proposta ou o lance de menor valor não for aceitável, ou se o fornecedor desatender às exigências habilitatórias, o(a) Agente de Contratação examinará a proposta ou o lance subsequente, verificando a sua compatibilidade e a habilitação do participante, na ordem de classificação, e assim sucessivamente, até a apuração de uma proposta ou lance que atenda o Edital. Também nessa etapa o(a) Agente de Contratação poderá negociar com o participante para que seja obtido preço melhor.</w:t>
      </w:r>
    </w:p>
    <w:p>
      <w:pPr>
        <w:pStyle w:val="Normal"/>
        <w:widowControl/>
        <w:suppressAutoHyphens w:val="true"/>
        <w:bidi w:val="0"/>
        <w:spacing w:lineRule="auto" w:line="360" w:before="142" w:after="142"/>
        <w:ind w:hanging="0" w:start="0" w:end="0"/>
        <w:jc w:val="both"/>
        <w:rPr/>
      </w:pPr>
      <w:r>
        <w:rPr>
          <w:rFonts w:ascii="Arial" w:hAnsi="Arial"/>
          <w:sz w:val="21"/>
          <w:szCs w:val="21"/>
        </w:rPr>
        <w:t>8.19. Caso não sejam apresentados lances, será verificada a conformidade entre a proposta de menor preço e valor estimado para a contratação.</w:t>
      </w:r>
    </w:p>
    <w:p>
      <w:pPr>
        <w:pStyle w:val="Normal"/>
        <w:widowControl/>
        <w:suppressAutoHyphens w:val="true"/>
        <w:bidi w:val="0"/>
        <w:spacing w:lineRule="auto" w:line="360" w:before="142" w:after="142"/>
        <w:ind w:hanging="0" w:start="0" w:end="0"/>
        <w:jc w:val="both"/>
        <w:rPr/>
      </w:pPr>
      <w:r>
        <w:rPr>
          <w:rFonts w:ascii="Arial" w:hAnsi="Arial"/>
          <w:sz w:val="21"/>
          <w:szCs w:val="21"/>
        </w:rPr>
        <w:t>8.20. O(a) Agente de Contratação poderá convocar o licitante para enviar documento digital complementar, por meio de funcionalidade disponível no sistema, no prazo mínimo de 02 (duas) horas, sob pena de não aceitação da proposta.</w:t>
      </w:r>
    </w:p>
    <w:p>
      <w:pPr>
        <w:pStyle w:val="Normal"/>
        <w:widowControl/>
        <w:suppressAutoHyphens w:val="true"/>
        <w:bidi w:val="0"/>
        <w:spacing w:lineRule="auto" w:line="360" w:before="142" w:after="142"/>
        <w:ind w:hanging="0" w:start="0" w:end="0"/>
        <w:jc w:val="both"/>
        <w:rPr/>
      </w:pPr>
      <w:r>
        <w:rPr>
          <w:rFonts w:ascii="Arial" w:hAnsi="Arial"/>
          <w:sz w:val="21"/>
          <w:szCs w:val="21"/>
        </w:rPr>
        <w:t>8.20.1. O prazo estabelecido poderá ser prorrogado pelo(a) Agente de Contratação por solicitação escrita e justificada do licitante, formulada antes de findo o prazo, e formalmente aceita pelo(a) Agente de Contratação.</w:t>
      </w:r>
    </w:p>
    <w:p>
      <w:pPr>
        <w:pStyle w:val="Normal"/>
        <w:widowControl/>
        <w:suppressAutoHyphens w:val="true"/>
        <w:bidi w:val="0"/>
        <w:spacing w:lineRule="auto" w:line="360" w:before="142" w:after="142"/>
        <w:ind w:hanging="0" w:start="0" w:end="0"/>
        <w:jc w:val="both"/>
        <w:rPr/>
      </w:pPr>
      <w:r>
        <w:rPr>
          <w:rFonts w:ascii="Arial" w:hAnsi="Arial"/>
          <w:sz w:val="21"/>
          <w:szCs w:val="21"/>
        </w:rPr>
        <w:t>8.20.2. Dentre os documentos passíveis de solicitação pelo(a) Agente de Contratação, como complementares, destacam-se os que contenham as características dos serviços prestados, além de outras informações pertinentes, a exemplo de catálogos, folhetos ou propostas, encaminhados por meio eletrônico, declarações, certidões e outros documentos exigidos do vencedor, ou, se for o caso, por outro meio e prazo indicados pelo(a) Agente de Contratação, sem prejuízo do seu ulterior envio pelo sistema eletrônico, sob pena de não aceitação da proposta.</w:t>
      </w:r>
    </w:p>
    <w:p>
      <w:pPr>
        <w:pStyle w:val="Normal"/>
        <w:widowControl/>
        <w:suppressAutoHyphens w:val="true"/>
        <w:bidi w:val="0"/>
        <w:spacing w:lineRule="auto" w:line="360" w:before="142" w:after="142"/>
        <w:ind w:hanging="0" w:start="0" w:end="0"/>
        <w:jc w:val="both"/>
        <w:rPr/>
      </w:pPr>
      <w:r>
        <w:rPr>
          <w:rFonts w:ascii="Arial" w:hAnsi="Arial"/>
          <w:sz w:val="21"/>
          <w:szCs w:val="21"/>
        </w:rPr>
        <w:t>8.21. Quando for constatado o empate, conforme estabelece os artigos 44 e 45 da LC 123/06, o(a) Agente de Contratação aplicará os critérios para o desempate em favor da ME/EPP, desde que tenha o fornecedor tenha declarado esta opção no Cadastramento junto ao Portal de Compras Públicas. Após o desempate, poderá o(a) Agente de Contratação ainda negociar um melhor preço caso ela não atinja o valor de referência definido pela administração pública. Se aceita a referida diminuição para o valor estimado, será Declarada Vencedora na Concorrência, do contrário, poderá ser negociado valor com as empresas subsequentes.</w:t>
      </w:r>
    </w:p>
    <w:p>
      <w:pPr>
        <w:pStyle w:val="Normal"/>
        <w:widowControl/>
        <w:suppressAutoHyphens w:val="true"/>
        <w:bidi w:val="0"/>
        <w:spacing w:lineRule="auto" w:line="360" w:before="142" w:after="142"/>
        <w:ind w:hanging="0" w:start="0" w:end="0"/>
        <w:jc w:val="both"/>
        <w:rPr/>
      </w:pPr>
      <w:r>
        <w:rPr>
          <w:rFonts w:ascii="Arial" w:hAnsi="Arial"/>
          <w:sz w:val="21"/>
          <w:szCs w:val="21"/>
        </w:rPr>
        <w:t>8.22. Persistindo o empate serão utilizados os critérios previstos no art. 60, da Lei Federal nº 14.133, de 2021.</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8.23. Constatando o atendimento das exigências fixadas no Edital e inexistindo interposição de recursos, o objeto será adjudicado ao autor da proposta mais vantajosa que foi habilitada.</w:t>
      </w:r>
    </w:p>
    <w:p>
      <w:pPr>
        <w:pStyle w:val="Normal"/>
        <w:widowControl/>
        <w:suppressAutoHyphens w:val="true"/>
        <w:bidi w:val="0"/>
        <w:spacing w:lineRule="auto" w:line="360" w:before="142" w:after="142"/>
        <w:ind w:hanging="0" w:start="0" w:end="0"/>
        <w:jc w:val="both"/>
        <w:rPr/>
      </w:pPr>
      <w:r>
        <w:rPr>
          <w:rFonts w:ascii="Arial" w:hAnsi="Arial"/>
          <w:b/>
          <w:bCs/>
          <w:sz w:val="21"/>
          <w:szCs w:val="21"/>
        </w:rPr>
        <w:t>9. PROPOSTA FINAL ESCRITA</w:t>
      </w:r>
    </w:p>
    <w:p>
      <w:pPr>
        <w:pStyle w:val="Normal"/>
        <w:widowControl/>
        <w:suppressAutoHyphens w:val="true"/>
        <w:bidi w:val="0"/>
        <w:spacing w:lineRule="auto" w:line="360" w:before="142" w:after="142"/>
        <w:ind w:hanging="0" w:start="0" w:end="0"/>
        <w:jc w:val="both"/>
        <w:rPr/>
      </w:pPr>
      <w:r>
        <w:rPr>
          <w:rFonts w:ascii="Arial" w:hAnsi="Arial"/>
          <w:sz w:val="21"/>
          <w:szCs w:val="21"/>
          <w:shd w:fill="auto" w:val="clear"/>
        </w:rPr>
        <w:t>9.1. A Empresa vencedora, deverá enviar ao(a) Agente de Contratação, via sistema, as Planilhas Orçamentárias (Proposta de Preços) adequadas ao último lance ofertado, após a negociação, com os valores de individuais de cada item, no prazo mínimo de 02 (duas) horas (conforme solicitação do Agente de Contratação via Portal de Compras Públicas), podendo ser prorrogável por igual período, contado da solicitação do(a) Agente de Contratação, acompanhada, se for o caso, dos documentos complementares, quando necessários à confirmação daqueles exigidos neste Edital e já apresentados.</w:t>
      </w:r>
    </w:p>
    <w:p>
      <w:pPr>
        <w:pStyle w:val="Normal"/>
        <w:widowControl/>
        <w:suppressAutoHyphens w:val="true"/>
        <w:bidi w:val="0"/>
        <w:spacing w:lineRule="auto" w:line="360" w:before="142" w:after="142"/>
        <w:ind w:hanging="0" w:start="0" w:end="0"/>
        <w:jc w:val="both"/>
        <w:rPr/>
      </w:pPr>
      <w:r>
        <w:rPr>
          <w:rFonts w:ascii="Arial" w:hAnsi="Arial"/>
          <w:b/>
          <w:bCs/>
          <w:sz w:val="21"/>
          <w:szCs w:val="21"/>
        </w:rPr>
        <w:t>9.1.1. NA PROPOSTA ESCRITA, VIA SISTEMA, DEVERÁ CONTER:</w:t>
      </w:r>
    </w:p>
    <w:p>
      <w:pPr>
        <w:pStyle w:val="Normal"/>
        <w:widowControl/>
        <w:suppressAutoHyphens w:val="true"/>
        <w:bidi w:val="0"/>
        <w:spacing w:lineRule="auto" w:line="360" w:before="142" w:after="142"/>
        <w:ind w:hanging="0" w:start="0" w:end="0"/>
        <w:jc w:val="both"/>
        <w:rPr/>
      </w:pPr>
      <w:r>
        <w:rPr>
          <w:rFonts w:ascii="Arial" w:hAnsi="Arial"/>
          <w:sz w:val="21"/>
          <w:szCs w:val="21"/>
        </w:rPr>
        <w:t>a) o nome do proponente, endereço, identificação (individual ou social), o nº do CNPJ e da Inscrição Estadual, número de telefone e e-mail;</w:t>
      </w:r>
    </w:p>
    <w:p>
      <w:pPr>
        <w:pStyle w:val="Normal"/>
        <w:widowControl/>
        <w:suppressAutoHyphens w:val="true"/>
        <w:bidi w:val="0"/>
        <w:spacing w:lineRule="auto" w:line="360" w:before="142" w:after="142"/>
        <w:ind w:hanging="0" w:start="0" w:end="0"/>
        <w:jc w:val="both"/>
        <w:rPr/>
      </w:pPr>
      <w:r>
        <w:rPr>
          <w:rFonts w:ascii="Arial" w:hAnsi="Arial"/>
          <w:sz w:val="21"/>
          <w:szCs w:val="21"/>
        </w:rPr>
        <w:t>b) suas folhas devem estar datadas, assinadas e rubricadas pelo seu representante legal, podendo ser de forma digital, desde que atendidos os requisitos legais;</w:t>
      </w:r>
    </w:p>
    <w:p>
      <w:pPr>
        <w:pStyle w:val="Normal"/>
        <w:widowControl/>
        <w:suppressAutoHyphens w:val="true"/>
        <w:bidi w:val="0"/>
        <w:spacing w:lineRule="auto" w:line="360" w:before="142" w:after="142"/>
        <w:ind w:hanging="0" w:start="0" w:end="0"/>
        <w:jc w:val="both"/>
        <w:rPr/>
      </w:pPr>
      <w:r>
        <w:rPr>
          <w:rFonts w:ascii="Arial" w:hAnsi="Arial"/>
          <w:sz w:val="21"/>
          <w:szCs w:val="21"/>
          <w:shd w:fill="auto" w:val="clear"/>
        </w:rPr>
        <w:t>c) Dados bancários, dados do representante legal, declaração de domicílio eletrônico e declaração de assinatura por certificação digital, conforme modelo (ANEXO II).</w:t>
      </w:r>
    </w:p>
    <w:p>
      <w:pPr>
        <w:pStyle w:val="Default"/>
        <w:spacing w:lineRule="auto" w:line="360" w:before="142" w:after="142"/>
        <w:jc w:val="both"/>
        <w:rPr/>
      </w:pPr>
      <w:r>
        <w:rPr>
          <w:rFonts w:ascii="Arial" w:hAnsi="Arial"/>
          <w:b w:val="false"/>
          <w:bCs w:val="false"/>
          <w:strike w:val="false"/>
          <w:dstrike w:val="false"/>
          <w:color w:val="000000"/>
          <w:sz w:val="21"/>
          <w:szCs w:val="21"/>
          <w:u w:val="none"/>
          <w:shd w:fill="auto" w:val="clear"/>
        </w:rPr>
        <w:t xml:space="preserve">d) </w:t>
      </w:r>
      <w:r>
        <w:rPr>
          <w:rFonts w:ascii="Arial" w:hAnsi="Arial"/>
          <w:b w:val="false"/>
          <w:strike w:val="false"/>
          <w:dstrike w:val="false"/>
          <w:color w:val="000000"/>
          <w:sz w:val="21"/>
          <w:szCs w:val="21"/>
          <w:u w:val="none"/>
          <w:shd w:fill="auto" w:val="clear"/>
        </w:rPr>
        <w:t xml:space="preserve">Prazo máximo para execução dos serviços: conforme cronograma e especificação do Termo de Referência. </w:t>
      </w:r>
    </w:p>
    <w:p>
      <w:pPr>
        <w:pStyle w:val="Default"/>
        <w:spacing w:lineRule="auto" w:line="360" w:before="142" w:after="142"/>
        <w:jc w:val="both"/>
        <w:rPr/>
      </w:pPr>
      <w:r>
        <w:rPr>
          <w:rFonts w:ascii="Arial" w:hAnsi="Arial"/>
          <w:b w:val="false"/>
          <w:bCs w:val="false"/>
          <w:strike w:val="false"/>
          <w:dstrike w:val="false"/>
          <w:color w:val="000000"/>
          <w:sz w:val="21"/>
          <w:szCs w:val="21"/>
          <w:u w:val="none"/>
        </w:rPr>
        <w:t>e) P</w:t>
      </w:r>
      <w:r>
        <w:rPr>
          <w:rFonts w:ascii="Arial" w:hAnsi="Arial"/>
          <w:b w:val="false"/>
          <w:strike w:val="false"/>
          <w:dstrike w:val="false"/>
          <w:color w:val="000000"/>
          <w:sz w:val="21"/>
          <w:szCs w:val="21"/>
          <w:u w:val="none"/>
        </w:rPr>
        <w:t xml:space="preserve">razo de validade da proposta de no mínimo de 60 dias, tendo por termo inicial a data da sessão de abertura das propostas de preço atualizada, ficando este prazo suspenso em caso de recurso administrativo ou judicial. </w:t>
      </w:r>
    </w:p>
    <w:p>
      <w:pPr>
        <w:pStyle w:val="Default"/>
        <w:spacing w:lineRule="auto" w:line="360" w:before="142" w:after="142"/>
        <w:jc w:val="both"/>
        <w:rPr/>
      </w:pPr>
      <w:r>
        <w:rPr>
          <w:rFonts w:ascii="Arial" w:hAnsi="Arial"/>
          <w:b w:val="false"/>
          <w:bCs w:val="false"/>
          <w:strike w:val="false"/>
          <w:dstrike w:val="false"/>
          <w:color w:val="000000"/>
          <w:sz w:val="21"/>
          <w:szCs w:val="21"/>
          <w:u w:val="none"/>
        </w:rPr>
        <w:t>f) Planilha orçamentária, assina</w:t>
      </w:r>
      <w:r>
        <w:rPr>
          <w:rFonts w:ascii="Arial" w:hAnsi="Arial"/>
          <w:b w:val="false"/>
          <w:strike w:val="false"/>
          <w:dstrike w:val="false"/>
          <w:color w:val="000000"/>
          <w:sz w:val="21"/>
          <w:szCs w:val="21"/>
          <w:u w:val="none"/>
        </w:rPr>
        <w:t>da pelo representante do licitante ou responsável técnico, discriminando os preços unitários, expressos em moeda nacional corrente, considerando duas casas após a vírgula, com valores unitários e globais não superiores aos previstos na planilha orçamentária elaborada pela Administração, devendo o preço incluir todas as despesas com encargos fiscais, comerciais, sociais e trabalhistas e outros pertinentes ao objeto licitado.</w:t>
      </w:r>
    </w:p>
    <w:p>
      <w:pPr>
        <w:pStyle w:val="Default"/>
        <w:spacing w:lineRule="auto" w:line="360" w:before="142" w:after="142"/>
        <w:rPr/>
      </w:pPr>
      <w:r>
        <w:rPr>
          <w:rFonts w:ascii="Arial" w:hAnsi="Arial"/>
          <w:b w:val="false"/>
          <w:bCs w:val="false"/>
          <w:strike w:val="false"/>
          <w:dstrike w:val="false"/>
          <w:color w:val="000000"/>
          <w:sz w:val="21"/>
          <w:szCs w:val="21"/>
          <w:u w:val="none"/>
          <w:shd w:fill="auto" w:val="clear"/>
        </w:rPr>
        <w:t xml:space="preserve">g) </w:t>
      </w:r>
      <w:r>
        <w:rPr>
          <w:rFonts w:ascii="Arial" w:hAnsi="Arial"/>
          <w:b w:val="false"/>
          <w:strike w:val="false"/>
          <w:dstrike w:val="false"/>
          <w:color w:val="000000"/>
          <w:sz w:val="21"/>
          <w:szCs w:val="21"/>
          <w:u w:val="none"/>
          <w:shd w:fill="auto" w:val="clear"/>
        </w:rPr>
        <w:t>A planilha orçamentária deve contemplar os preços unitários de todos os itens previstos pela Administração Municipal.</w:t>
      </w:r>
    </w:p>
    <w:p>
      <w:pPr>
        <w:pStyle w:val="Default"/>
        <w:spacing w:lineRule="auto" w:line="360" w:before="142" w:after="142"/>
        <w:jc w:val="both"/>
        <w:rPr/>
      </w:pPr>
      <w:r>
        <w:rPr>
          <w:rFonts w:ascii="Arial" w:hAnsi="Arial"/>
          <w:b w:val="false"/>
          <w:bCs w:val="false"/>
          <w:strike w:val="false"/>
          <w:dstrike w:val="false"/>
          <w:color w:val="000000"/>
          <w:sz w:val="21"/>
          <w:szCs w:val="21"/>
          <w:u w:val="none"/>
        </w:rPr>
        <w:t xml:space="preserve">h) </w:t>
      </w:r>
      <w:r>
        <w:rPr>
          <w:rFonts w:ascii="Arial" w:hAnsi="Arial"/>
          <w:b w:val="false"/>
          <w:strike w:val="false"/>
          <w:dstrike w:val="false"/>
          <w:color w:val="000000"/>
          <w:sz w:val="21"/>
          <w:szCs w:val="21"/>
          <w:u w:val="none"/>
        </w:rPr>
        <w:t xml:space="preserve">De forma adicional, a planilha orçamentária deve ser preenchida e encaminhada em formato compatível para importação das informações no Sistema Portal de Compras Públicas. A ausência desta planilha não ensejará a desclassificação da licitante, todavia, caso declarada vencedora, será requisito </w:t>
      </w:r>
      <w:r>
        <w:rPr>
          <w:rFonts w:ascii="Arial" w:hAnsi="Arial"/>
          <w:b w:val="false"/>
          <w:i/>
          <w:strike w:val="false"/>
          <w:dstrike w:val="false"/>
          <w:color w:val="000000"/>
          <w:sz w:val="21"/>
          <w:szCs w:val="21"/>
          <w:u w:val="none"/>
        </w:rPr>
        <w:t xml:space="preserve">sine qua non </w:t>
      </w:r>
      <w:r>
        <w:rPr>
          <w:rFonts w:ascii="Arial" w:hAnsi="Arial"/>
          <w:b w:val="false"/>
          <w:i w:val="false"/>
          <w:strike w:val="false"/>
          <w:dstrike w:val="false"/>
          <w:color w:val="000000"/>
          <w:sz w:val="21"/>
          <w:szCs w:val="21"/>
          <w:u w:val="none"/>
        </w:rPr>
        <w:t>para a adjudicação do item à proponente.</w:t>
      </w:r>
    </w:p>
    <w:p>
      <w:pPr>
        <w:pStyle w:val="Default"/>
        <w:spacing w:lineRule="auto" w:line="360" w:before="142" w:after="142"/>
        <w:jc w:val="both"/>
        <w:rPr/>
      </w:pPr>
      <w:r>
        <w:rPr>
          <w:rFonts w:ascii="Arial" w:hAnsi="Arial"/>
          <w:b w:val="false"/>
          <w:bCs w:val="false"/>
          <w:i w:val="false"/>
          <w:strike w:val="false"/>
          <w:dstrike w:val="false"/>
          <w:color w:val="000000"/>
          <w:sz w:val="21"/>
          <w:szCs w:val="21"/>
          <w:u w:val="none"/>
        </w:rPr>
        <w:t>i) Cronograma físico-financeiro assi</w:t>
      </w:r>
      <w:r>
        <w:rPr>
          <w:rFonts w:ascii="Arial" w:hAnsi="Arial"/>
          <w:b w:val="false"/>
          <w:i w:val="false"/>
          <w:strike w:val="false"/>
          <w:dstrike w:val="false"/>
          <w:color w:val="000000"/>
          <w:sz w:val="21"/>
          <w:szCs w:val="21"/>
          <w:u w:val="none"/>
        </w:rPr>
        <w:t>nado pelo representante do licitante ou responsável técnico, contendo as etapas de execução e as respectivas parcelas de pagamento, expressas em moeda nacional corrente e considerando duas casas após a vírgula, assinado pelo representante do licitante;</w:t>
      </w:r>
    </w:p>
    <w:p>
      <w:pPr>
        <w:pStyle w:val="Default"/>
        <w:spacing w:lineRule="auto" w:line="360" w:before="142" w:after="142"/>
        <w:jc w:val="both"/>
        <w:rPr/>
      </w:pPr>
      <w:r>
        <w:rPr>
          <w:rFonts w:ascii="Arial" w:hAnsi="Arial"/>
          <w:b w:val="false"/>
          <w:bCs w:val="false"/>
          <w:i w:val="false"/>
          <w:strike w:val="false"/>
          <w:dstrike w:val="false"/>
          <w:color w:val="000000"/>
          <w:sz w:val="21"/>
          <w:szCs w:val="21"/>
          <w:u w:val="none"/>
        </w:rPr>
        <w:t>j) Planilha de composição do BDI as</w:t>
      </w:r>
      <w:r>
        <w:rPr>
          <w:rFonts w:ascii="Arial" w:hAnsi="Arial"/>
          <w:b w:val="false"/>
          <w:i w:val="false"/>
          <w:strike w:val="false"/>
          <w:dstrike w:val="false"/>
          <w:color w:val="000000"/>
          <w:sz w:val="21"/>
          <w:szCs w:val="21"/>
          <w:u w:val="none"/>
        </w:rPr>
        <w:t>sinada pelo representante ou responsável técnico, podendo utilizar o modelo da licitante;</w:t>
      </w:r>
    </w:p>
    <w:p>
      <w:pPr>
        <w:pStyle w:val="Default"/>
        <w:spacing w:lineRule="auto" w:line="360" w:before="142" w:after="142"/>
        <w:jc w:val="both"/>
        <w:rPr/>
      </w:pPr>
      <w:r>
        <w:rPr>
          <w:rFonts w:cs="Arial" w:ascii="Arial" w:hAnsi="Arial"/>
          <w:b w:val="false"/>
          <w:i w:val="false"/>
          <w:strike w:val="false"/>
          <w:dstrike w:val="false"/>
          <w:color w:val="000000"/>
          <w:kern w:val="2"/>
          <w:sz w:val="21"/>
          <w:szCs w:val="21"/>
          <w:u w:val="none"/>
          <w:lang w:eastAsia="zh-CN"/>
        </w:rPr>
        <w:t xml:space="preserve">k) </w:t>
      </w:r>
      <w:r>
        <w:rPr>
          <w:rFonts w:cs="Arial" w:ascii="Arial" w:hAnsi="Arial"/>
          <w:color w:val="000000"/>
          <w:kern w:val="2"/>
          <w:sz w:val="21"/>
          <w:szCs w:val="21"/>
          <w:lang w:eastAsia="zh-CN"/>
        </w:rPr>
        <w:t>Preço total dos materiais empregados na execução do objeto cotado em algarismos e por extenso;</w:t>
      </w:r>
    </w:p>
    <w:p>
      <w:pPr>
        <w:pStyle w:val="Default"/>
        <w:spacing w:lineRule="auto" w:line="360" w:before="142" w:after="142"/>
        <w:jc w:val="both"/>
        <w:rPr/>
      </w:pPr>
      <w:r>
        <w:rPr>
          <w:rFonts w:cs="Arial" w:ascii="Arial" w:hAnsi="Arial"/>
          <w:color w:val="000000"/>
          <w:kern w:val="2"/>
          <w:sz w:val="21"/>
          <w:szCs w:val="21"/>
          <w:lang w:eastAsia="zh-CN"/>
        </w:rPr>
        <w:t>l) Preço total da mão de obra empregada na execução do objeto cotado, em algarismos e por extenso;</w:t>
      </w:r>
    </w:p>
    <w:p>
      <w:pPr>
        <w:pStyle w:val="Default"/>
        <w:spacing w:lineRule="auto" w:line="360" w:before="142" w:after="142"/>
        <w:jc w:val="both"/>
        <w:rPr/>
      </w:pPr>
      <w:r>
        <w:rPr>
          <w:rFonts w:cs="Arial" w:ascii="Arial" w:hAnsi="Arial"/>
          <w:b w:val="false"/>
          <w:i w:val="false"/>
          <w:strike w:val="false"/>
          <w:dstrike w:val="false"/>
          <w:color w:val="000000"/>
          <w:kern w:val="2"/>
          <w:sz w:val="21"/>
          <w:szCs w:val="21"/>
          <w:u w:val="none"/>
          <w:lang w:eastAsia="zh-CN"/>
        </w:rPr>
        <w:t>m) Preço global total para a execução completa do objeto cotado, em algarismos e por extenso;</w:t>
      </w:r>
    </w:p>
    <w:p>
      <w:pPr>
        <w:pStyle w:val="Default"/>
        <w:spacing w:lineRule="auto" w:line="360" w:before="142" w:after="142"/>
        <w:jc w:val="both"/>
        <w:rPr/>
      </w:pPr>
      <w:r>
        <w:rPr>
          <w:rFonts w:ascii="Arial" w:hAnsi="Arial"/>
          <w:b w:val="false"/>
          <w:bCs w:val="false"/>
          <w:i w:val="false"/>
          <w:strike w:val="false"/>
          <w:dstrike w:val="false"/>
          <w:color w:val="000000"/>
          <w:sz w:val="21"/>
          <w:szCs w:val="21"/>
          <w:u w:val="none"/>
        </w:rPr>
        <w:t>9.1.2. O l</w:t>
      </w:r>
      <w:r>
        <w:rPr>
          <w:rFonts w:ascii="Arial" w:hAnsi="Arial"/>
          <w:b w:val="false"/>
          <w:i w:val="false"/>
          <w:strike w:val="false"/>
          <w:dstrike w:val="false"/>
          <w:color w:val="000000"/>
          <w:sz w:val="21"/>
          <w:szCs w:val="21"/>
          <w:u w:val="none"/>
        </w:rPr>
        <w:t>icitante que convocado, que deixar de enviar a documentação acima exigida será desclassificado e sujeitar-se-á às sanções previstas neste Edital.</w:t>
      </w:r>
    </w:p>
    <w:p>
      <w:pPr>
        <w:pStyle w:val="Normal"/>
        <w:spacing w:lineRule="auto" w:line="360" w:before="142" w:after="142"/>
        <w:ind w:hanging="0" w:start="0" w:end="0"/>
        <w:jc w:val="both"/>
        <w:rPr/>
      </w:pPr>
      <w:r>
        <w:rPr>
          <w:rFonts w:cs="Arial" w:ascii="Arial" w:hAnsi="Arial"/>
          <w:b w:val="false"/>
          <w:i w:val="false"/>
          <w:strike w:val="false"/>
          <w:dstrike w:val="false"/>
          <w:color w:val="000000"/>
          <w:sz w:val="21"/>
          <w:szCs w:val="21"/>
          <w:u w:val="none"/>
        </w:rPr>
        <w:t>9.1.3. Fica dispensada a apresenta</w:t>
      </w:r>
      <w:r>
        <w:rPr>
          <w:rFonts w:cs="Arial" w:ascii="Arial" w:hAnsi="Arial"/>
          <w:b w:val="false"/>
          <w:i w:val="false"/>
          <w:strike w:val="false"/>
          <w:dstrike w:val="false"/>
          <w:sz w:val="21"/>
          <w:szCs w:val="21"/>
          <w:u w:val="none"/>
        </w:rPr>
        <w:t>ção da proposta escrita readequada, no caso de confirmação da proposta via sistema da concorrência eletrônica (No caso de não apresentar a proposta escrita, deverá apresentar a declaração do modelo anexo II, contendo todos os dados da proponente).</w:t>
      </w:r>
    </w:p>
    <w:p>
      <w:pPr>
        <w:pStyle w:val="Default"/>
        <w:spacing w:lineRule="auto" w:line="360" w:before="142" w:after="142"/>
        <w:jc w:val="both"/>
        <w:rPr/>
      </w:pPr>
      <w:r>
        <w:rPr>
          <w:rFonts w:ascii="Arial" w:hAnsi="Arial"/>
          <w:b w:val="false"/>
          <w:bCs w:val="false"/>
          <w:i w:val="false"/>
          <w:strike w:val="false"/>
          <w:dstrike w:val="false"/>
          <w:color w:val="000000"/>
          <w:sz w:val="21"/>
          <w:szCs w:val="21"/>
          <w:u w:val="none"/>
        </w:rPr>
        <w:t>9.2. A</w:t>
      </w:r>
      <w:r>
        <w:rPr>
          <w:rFonts w:ascii="Arial" w:hAnsi="Arial"/>
          <w:b w:val="false"/>
          <w:i w:val="false"/>
          <w:strike w:val="false"/>
          <w:dstrike w:val="false"/>
          <w:color w:val="000000"/>
          <w:sz w:val="21"/>
          <w:szCs w:val="21"/>
          <w:u w:val="none"/>
        </w:rPr>
        <w:t xml:space="preserve"> proposta deve, </w:t>
      </w:r>
      <w:r>
        <w:rPr>
          <w:rFonts w:ascii="Arial" w:hAnsi="Arial"/>
          <w:b/>
          <w:i w:val="false"/>
          <w:strike w:val="false"/>
          <w:dstrike w:val="false"/>
          <w:color w:val="000000"/>
          <w:sz w:val="21"/>
          <w:szCs w:val="21"/>
          <w:u w:val="none"/>
        </w:rPr>
        <w:t>obrigatoriamente</w:t>
      </w:r>
      <w:r>
        <w:rPr>
          <w:rFonts w:ascii="Arial" w:hAnsi="Arial"/>
          <w:b w:val="false"/>
          <w:i w:val="false"/>
          <w:strike w:val="false"/>
          <w:dstrike w:val="false"/>
          <w:color w:val="000000"/>
          <w:sz w:val="21"/>
          <w:szCs w:val="21"/>
          <w:u w:val="none"/>
        </w:rPr>
        <w:t xml:space="preserve">, contemplar 100% dos itens constantes na </w:t>
      </w:r>
      <w:r>
        <w:rPr>
          <w:rFonts w:ascii="Arial" w:hAnsi="Arial"/>
          <w:b/>
          <w:i w:val="false"/>
          <w:strike w:val="false"/>
          <w:dstrike w:val="false"/>
          <w:color w:val="000000"/>
          <w:sz w:val="21"/>
          <w:szCs w:val="21"/>
          <w:u w:val="none"/>
        </w:rPr>
        <w:t>planilha orçamentária</w:t>
      </w:r>
      <w:r>
        <w:rPr>
          <w:rFonts w:ascii="Arial" w:hAnsi="Arial"/>
          <w:b w:val="false"/>
          <w:i w:val="false"/>
          <w:strike w:val="false"/>
          <w:dstrike w:val="false"/>
          <w:color w:val="000000"/>
          <w:sz w:val="21"/>
          <w:szCs w:val="21"/>
          <w:u w:val="none"/>
        </w:rPr>
        <w:t>.</w:t>
      </w:r>
    </w:p>
    <w:p>
      <w:pPr>
        <w:pStyle w:val="Default"/>
        <w:spacing w:lineRule="auto" w:line="360" w:before="142" w:after="142"/>
        <w:jc w:val="both"/>
        <w:rPr/>
      </w:pPr>
      <w:r>
        <w:rPr>
          <w:rFonts w:ascii="Arial" w:hAnsi="Arial"/>
          <w:b w:val="false"/>
          <w:bCs w:val="false"/>
          <w:i w:val="false"/>
          <w:strike w:val="false"/>
          <w:dstrike w:val="false"/>
          <w:color w:val="000000"/>
          <w:sz w:val="21"/>
          <w:szCs w:val="21"/>
          <w:u w:val="none"/>
        </w:rPr>
        <w:t>9.3. N</w:t>
      </w:r>
      <w:r>
        <w:rPr>
          <w:rFonts w:ascii="Arial" w:hAnsi="Arial"/>
          <w:b w:val="false"/>
          <w:i w:val="false"/>
          <w:strike w:val="false"/>
          <w:dstrike w:val="false"/>
          <w:color w:val="000000"/>
          <w:sz w:val="21"/>
          <w:szCs w:val="21"/>
          <w:u w:val="none"/>
        </w:rPr>
        <w:t>a omissão dos prazos de execução e validade da proposta, serão considerados os constantes deste edital e na divergência entre o preço unitário e total, prevalecerá o menor preço.</w:t>
      </w:r>
    </w:p>
    <w:p>
      <w:pPr>
        <w:pStyle w:val="Default"/>
        <w:spacing w:lineRule="auto" w:line="360" w:before="142" w:after="142"/>
        <w:jc w:val="both"/>
        <w:rPr/>
      </w:pPr>
      <w:r>
        <w:rPr>
          <w:rFonts w:ascii="Arial" w:hAnsi="Arial"/>
          <w:b w:val="false"/>
          <w:bCs w:val="false"/>
          <w:i w:val="false"/>
          <w:strike w:val="false"/>
          <w:dstrike w:val="false"/>
          <w:color w:val="000000"/>
          <w:sz w:val="21"/>
          <w:szCs w:val="21"/>
          <w:u w:val="none"/>
        </w:rPr>
        <w:t>9.4. Ca</w:t>
      </w:r>
      <w:r>
        <w:rPr>
          <w:rFonts w:ascii="Arial" w:hAnsi="Arial"/>
          <w:b w:val="false"/>
          <w:i w:val="false"/>
          <w:strike w:val="false"/>
          <w:dstrike w:val="false"/>
          <w:color w:val="000000"/>
          <w:sz w:val="21"/>
          <w:szCs w:val="21"/>
          <w:u w:val="none"/>
        </w:rPr>
        <w:t xml:space="preserve">da licitante pode apresentar apenas uma proposta de preço. </w:t>
      </w:r>
    </w:p>
    <w:p>
      <w:pPr>
        <w:pStyle w:val="Normal"/>
        <w:widowControl/>
        <w:suppressAutoHyphens w:val="false"/>
        <w:spacing w:lineRule="auto" w:line="360" w:before="142" w:after="142"/>
        <w:ind w:hanging="0" w:start="0" w:end="0"/>
        <w:jc w:val="both"/>
        <w:rPr/>
      </w:pPr>
      <w:r>
        <w:rPr>
          <w:rFonts w:eastAsia="Times New Roman" w:cs="Arial" w:ascii="Arial" w:hAnsi="Arial"/>
          <w:color w:val="000000"/>
          <w:kern w:val="0"/>
          <w:sz w:val="21"/>
          <w:szCs w:val="21"/>
          <w:lang w:eastAsia="pt-BR"/>
        </w:rPr>
        <w:t xml:space="preserve">9.5. Para efeito de adjudicação desta Concorrência, </w:t>
      </w:r>
      <w:r>
        <w:rPr>
          <w:rFonts w:eastAsia="Times New Roman" w:cs="Arial" w:ascii="Arial" w:hAnsi="Arial"/>
          <w:b/>
          <w:bCs/>
          <w:color w:val="000000"/>
          <w:kern w:val="0"/>
          <w:sz w:val="21"/>
          <w:szCs w:val="21"/>
          <w:lang w:eastAsia="pt-BR"/>
        </w:rPr>
        <w:t>se necessário</w:t>
      </w:r>
      <w:r>
        <w:rPr>
          <w:rFonts w:eastAsia="Times New Roman" w:cs="Arial" w:ascii="Arial" w:hAnsi="Arial"/>
          <w:color w:val="000000"/>
          <w:kern w:val="0"/>
          <w:sz w:val="21"/>
          <w:szCs w:val="21"/>
          <w:lang w:eastAsia="pt-BR"/>
        </w:rPr>
        <w:t>, o Agente de Contratação encaminhará o processo à Secretaria Municipal solicitante, a fim de que seja emitido Parecer Técnico referente à proposta vencedora.</w:t>
      </w:r>
    </w:p>
    <w:p>
      <w:pPr>
        <w:pStyle w:val="Normal"/>
        <w:widowControl/>
        <w:suppressAutoHyphens w:val="false"/>
        <w:spacing w:lineRule="auto" w:line="360" w:before="142" w:after="142"/>
        <w:ind w:hanging="0" w:start="0" w:end="0"/>
        <w:jc w:val="both"/>
        <w:rPr/>
      </w:pPr>
      <w:r>
        <w:rPr>
          <w:rFonts w:eastAsia="Times New Roman" w:cs="Arial" w:ascii="Arial" w:hAnsi="Arial"/>
          <w:color w:val="000000"/>
          <w:kern w:val="0"/>
          <w:sz w:val="21"/>
          <w:szCs w:val="21"/>
          <w:lang w:eastAsia="pt-BR"/>
        </w:rPr>
        <w:t>9.6. Ocorrendo a desclassificação da empresa vencedora, os autos serão devolvidos ao Agente de Contratação, para que esta realize nova negociação com as demais empresas, obedecendo-se à ordem de classificação.</w:t>
      </w:r>
    </w:p>
    <w:p>
      <w:pPr>
        <w:pStyle w:val="Normal"/>
        <w:widowControl/>
        <w:suppressAutoHyphens w:val="false"/>
        <w:spacing w:lineRule="auto" w:line="360" w:before="142" w:after="142"/>
        <w:ind w:hanging="0" w:start="0" w:end="0"/>
        <w:jc w:val="both"/>
        <w:rPr/>
      </w:pPr>
      <w:r>
        <w:rPr>
          <w:rFonts w:eastAsia="Times New Roman" w:cs="Arial" w:ascii="Arial" w:hAnsi="Arial"/>
          <w:b w:val="false"/>
          <w:bCs w:val="false"/>
          <w:color w:val="000000"/>
          <w:kern w:val="0"/>
          <w:sz w:val="21"/>
          <w:szCs w:val="21"/>
          <w:lang w:eastAsia="pt-BR"/>
        </w:rPr>
        <w:t>9.7. Somente após tal procedimento, a Autoridade Competente fará a adjudicação à empresa vencedora.</w:t>
      </w:r>
    </w:p>
    <w:p>
      <w:pPr>
        <w:pStyle w:val="Normal"/>
        <w:widowControl/>
        <w:suppressAutoHyphens w:val="true"/>
        <w:bidi w:val="0"/>
        <w:spacing w:lineRule="auto" w:line="360" w:before="142" w:after="142"/>
        <w:ind w:hanging="0" w:start="0" w:end="0"/>
        <w:jc w:val="both"/>
        <w:rPr/>
      </w:pPr>
      <w:r>
        <w:rPr>
          <w:rFonts w:ascii="Arial" w:hAnsi="Arial"/>
          <w:b/>
          <w:bCs/>
          <w:sz w:val="21"/>
          <w:szCs w:val="21"/>
        </w:rPr>
        <w:t>10. DA HABILITAÇÃO</w:t>
      </w:r>
    </w:p>
    <w:p>
      <w:pPr>
        <w:pStyle w:val="Normal"/>
        <w:widowControl/>
        <w:suppressAutoHyphens w:val="true"/>
        <w:bidi w:val="0"/>
        <w:spacing w:lineRule="auto" w:line="360" w:before="142" w:after="142"/>
        <w:ind w:hanging="0" w:start="0" w:end="0"/>
        <w:jc w:val="both"/>
        <w:rPr/>
      </w:pPr>
      <w:r>
        <w:rPr>
          <w:rFonts w:ascii="Arial" w:hAnsi="Arial"/>
          <w:sz w:val="21"/>
          <w:szCs w:val="21"/>
        </w:rPr>
        <w:t>10.1. Toda a documentação de habilitação deverá ser encaminhada com a proposta de preços, na forma prevista neste Edital, em formato digital, exclusivamente por meio do sistema.</w:t>
      </w:r>
    </w:p>
    <w:p>
      <w:pPr>
        <w:pStyle w:val="Normal"/>
        <w:widowControl/>
        <w:suppressAutoHyphens w:val="true"/>
        <w:bidi w:val="0"/>
        <w:spacing w:lineRule="auto" w:line="360" w:before="142" w:after="142"/>
        <w:ind w:hanging="0" w:start="0" w:end="0"/>
        <w:jc w:val="both"/>
        <w:rPr/>
      </w:pPr>
      <w:r>
        <w:rPr>
          <w:rFonts w:ascii="Arial" w:hAnsi="Arial"/>
          <w:sz w:val="21"/>
          <w:szCs w:val="21"/>
        </w:rPr>
        <w:t>10.2. Para habilitação na presente licitação será exigido o encaminhamento via sistema dos seguintes documentos:</w:t>
      </w:r>
    </w:p>
    <w:p>
      <w:pPr>
        <w:pStyle w:val="Normal"/>
        <w:widowControl/>
        <w:numPr>
          <w:ilvl w:val="0"/>
          <w:numId w:val="8"/>
        </w:numPr>
        <w:tabs>
          <w:tab w:val="clear" w:pos="709"/>
          <w:tab w:val="left" w:pos="1132" w:leader="none"/>
        </w:tabs>
        <w:suppressAutoHyphens w:val="true"/>
        <w:bidi w:val="0"/>
        <w:spacing w:lineRule="auto" w:line="360" w:before="142" w:after="142"/>
        <w:ind w:firstLine="709" w:start="0" w:end="0"/>
        <w:jc w:val="both"/>
        <w:rPr/>
      </w:pPr>
      <w:r>
        <w:rPr>
          <w:rFonts w:ascii="Arial" w:hAnsi="Arial"/>
          <w:sz w:val="21"/>
          <w:szCs w:val="21"/>
        </w:rPr>
        <w:t>Ato constitutivo, estatuto ou contrato social em vigor (de acordo com as exigências do Novo Código Civil), a alteração contratual referente à mudança de razão social, na hipótese de haver a referida mudança, bem como a última alteração, devidamente registrado, em se tratando de sociedades comerciais, e, no caso de sociedade por ações, acompanhado dos documentos de eleição de seus administradores;</w:t>
      </w:r>
    </w:p>
    <w:p>
      <w:pPr>
        <w:pStyle w:val="Normal"/>
        <w:widowControl/>
        <w:numPr>
          <w:ilvl w:val="0"/>
          <w:numId w:val="8"/>
        </w:numPr>
        <w:tabs>
          <w:tab w:val="clear" w:pos="709"/>
          <w:tab w:val="left" w:pos="1132" w:leader="none"/>
        </w:tabs>
        <w:suppressAutoHyphens w:val="true"/>
        <w:bidi w:val="0"/>
        <w:spacing w:lineRule="auto" w:line="360" w:before="142" w:after="142"/>
        <w:ind w:firstLine="709" w:start="0" w:end="0"/>
        <w:jc w:val="both"/>
        <w:rPr/>
      </w:pPr>
      <w:r>
        <w:rPr>
          <w:rFonts w:ascii="Arial" w:hAnsi="Arial"/>
          <w:sz w:val="21"/>
          <w:szCs w:val="21"/>
        </w:rPr>
        <w:t>Caso seja representada por procurador, este deverá apresentar procuração ou documento equivalente, com firma reconhecida do Outorgante, cópia do respectivo RG - Registro Geral e CPF/MF – Cadastro de Pessoa Física do Ministério da Fazenda, a fim de comprovar os poderes do outorgante.</w:t>
      </w:r>
    </w:p>
    <w:p>
      <w:pPr>
        <w:pStyle w:val="Normal"/>
        <w:widowControl/>
        <w:numPr>
          <w:ilvl w:val="0"/>
          <w:numId w:val="8"/>
        </w:numPr>
        <w:tabs>
          <w:tab w:val="clear" w:pos="709"/>
          <w:tab w:val="left" w:pos="1186" w:leader="none"/>
        </w:tabs>
        <w:suppressAutoHyphens w:val="true"/>
        <w:bidi w:val="0"/>
        <w:spacing w:lineRule="auto" w:line="360" w:before="142" w:after="142"/>
        <w:ind w:firstLine="709" w:start="0" w:end="0"/>
        <w:jc w:val="both"/>
        <w:rPr/>
      </w:pPr>
      <w:r>
        <w:rPr>
          <w:rFonts w:ascii="Arial" w:hAnsi="Arial"/>
          <w:sz w:val="21"/>
          <w:szCs w:val="21"/>
        </w:rPr>
        <w:t>Declaração de Cumprimento Pleno dos Requisitos de Habilitação, conforme modelo (ANEXO III). Obs.: Se for Microempresa ou Empresa de Pequeno Porte – EPP com problemas na habilitação, fazer constar tal ressalva e comprovando condição.</w:t>
      </w:r>
    </w:p>
    <w:p>
      <w:pPr>
        <w:pStyle w:val="Normal"/>
        <w:widowControl/>
        <w:numPr>
          <w:ilvl w:val="0"/>
          <w:numId w:val="8"/>
        </w:numPr>
        <w:tabs>
          <w:tab w:val="clear" w:pos="709"/>
          <w:tab w:val="left" w:pos="1186" w:leader="none"/>
        </w:tabs>
        <w:suppressAutoHyphens w:val="true"/>
        <w:bidi w:val="0"/>
        <w:spacing w:lineRule="auto" w:line="360" w:before="142" w:after="142"/>
        <w:ind w:firstLine="709" w:start="0" w:end="0"/>
        <w:jc w:val="both"/>
        <w:rPr/>
      </w:pPr>
      <w:r>
        <w:rPr>
          <w:rFonts w:eastAsia="Times New Roman" w:cs="Arial" w:ascii="Arial" w:hAnsi="Arial"/>
          <w:bCs/>
          <w:color w:val="000000"/>
          <w:kern w:val="0"/>
          <w:sz w:val="21"/>
          <w:szCs w:val="21"/>
          <w:lang w:eastAsia="zh-CN"/>
        </w:rPr>
        <w:t xml:space="preserve">Certidão de enquadramento no Estatuto Nacional da Microempresa e Empresa de Pequeno Porte fornecida pela Junta Comercial da sede do licitante, de acordo com o artigo 8º da Instrução Normativa DRNC n° 103/2007, vigente na data de abertura da licitação indicada no item 1, caso não apresente data de validade estabelecida pelo competente órgão expedidor, será adotada a vigência de 90 (noventa) dias consecutivos, contados a partir da data de sua emissão. As sociedades simples, que não registrarem seus atos na Junta Comercial, deverão apresentar Certidão de Registro Civil de Pessoas Jurídicas, atestando seu enquadramento nas hipóteses do Art. 3° da Lei Complementar 123/2006, </w:t>
      </w:r>
      <w:r>
        <w:rPr>
          <w:rFonts w:eastAsia="Times New Roman" w:cs="Arial" w:ascii="Arial" w:hAnsi="Arial"/>
          <w:bCs/>
          <w:color w:val="000000"/>
          <w:kern w:val="0"/>
          <w:sz w:val="21"/>
          <w:szCs w:val="21"/>
          <w:shd w:fill="FFFF00" w:val="clear"/>
          <w:lang w:eastAsia="zh-CN"/>
        </w:rPr>
        <w:t>quando aplicável</w:t>
      </w:r>
      <w:r>
        <w:rPr>
          <w:rFonts w:eastAsia="Times New Roman" w:cs="Arial" w:ascii="Arial" w:hAnsi="Arial"/>
          <w:bCs/>
          <w:color w:val="000000"/>
          <w:kern w:val="0"/>
          <w:sz w:val="21"/>
          <w:szCs w:val="21"/>
          <w:lang w:eastAsia="zh-CN"/>
        </w:rPr>
        <w:t xml:space="preserve"> (ou outra declaração que comprove tal enquadramento, assinado pelo representante legal da empresa, conforme ao que dispõe o § 2º, art. 13 do Decreto nº 8.538 de 06 de outubro de 2015</w:t>
      </w:r>
      <w:r>
        <w:rPr>
          <w:rFonts w:ascii="Arial" w:hAnsi="Arial"/>
          <w:sz w:val="21"/>
          <w:szCs w:val="21"/>
        </w:rPr>
        <w:t xml:space="preserve"> (podendo ser utilizado modelo ANEXO VI));</w:t>
      </w:r>
    </w:p>
    <w:p>
      <w:pPr>
        <w:pStyle w:val="Normal"/>
        <w:widowControl/>
        <w:numPr>
          <w:ilvl w:val="0"/>
          <w:numId w:val="8"/>
        </w:numPr>
        <w:tabs>
          <w:tab w:val="clear" w:pos="709"/>
          <w:tab w:val="left" w:pos="1241" w:leader="none"/>
        </w:tabs>
        <w:suppressAutoHyphens w:val="true"/>
        <w:bidi w:val="0"/>
        <w:spacing w:lineRule="auto" w:line="360" w:before="142" w:after="142"/>
        <w:ind w:firstLine="709" w:start="0" w:end="0"/>
        <w:jc w:val="both"/>
        <w:rPr/>
      </w:pPr>
      <w:r>
        <w:rPr>
          <w:rFonts w:ascii="Arial" w:hAnsi="Arial"/>
          <w:sz w:val="21"/>
          <w:szCs w:val="21"/>
        </w:rPr>
        <w:t xml:space="preserve">Declaração de que não tenham celebrado contratos com a Administração Pública cujos valores somados extrapolem a receita bruta máxima admitida para fins de enquadramento como empresa de pequeno porte, </w:t>
      </w:r>
      <w:r>
        <w:rPr>
          <w:rFonts w:eastAsia="Times New Roman" w:cs="Arial" w:ascii="Arial" w:hAnsi="Arial"/>
          <w:bCs/>
          <w:color w:val="000000"/>
          <w:kern w:val="0"/>
          <w:sz w:val="21"/>
          <w:szCs w:val="21"/>
          <w:shd w:fill="FFFF00" w:val="clear"/>
          <w:lang w:eastAsia="zh-CN"/>
        </w:rPr>
        <w:t>quando aplicável</w:t>
      </w:r>
      <w:r>
        <w:rPr>
          <w:rFonts w:ascii="Arial" w:hAnsi="Arial"/>
          <w:sz w:val="21"/>
          <w:szCs w:val="21"/>
        </w:rPr>
        <w:t xml:space="preserve"> (ANEXO VII).</w:t>
      </w:r>
    </w:p>
    <w:p>
      <w:pPr>
        <w:pStyle w:val="Normal"/>
        <w:widowControl/>
        <w:numPr>
          <w:ilvl w:val="0"/>
          <w:numId w:val="8"/>
        </w:numPr>
        <w:tabs>
          <w:tab w:val="clear" w:pos="709"/>
          <w:tab w:val="left" w:pos="1241" w:leader="none"/>
        </w:tabs>
        <w:suppressAutoHyphens w:val="true"/>
        <w:bidi w:val="0"/>
        <w:spacing w:lineRule="auto" w:line="360" w:before="142" w:after="142"/>
        <w:ind w:firstLine="709" w:start="0" w:end="0"/>
        <w:jc w:val="both"/>
        <w:rPr/>
      </w:pPr>
      <w:r>
        <w:rPr>
          <w:rFonts w:ascii="Arial" w:hAnsi="Arial"/>
          <w:sz w:val="21"/>
          <w:szCs w:val="21"/>
        </w:rPr>
        <w:t>Prova de inscrição no Cadastro Nacional de Pessoa Jurídica – CNPJ;</w:t>
      </w:r>
    </w:p>
    <w:p>
      <w:pPr>
        <w:pStyle w:val="Normal"/>
        <w:widowControl/>
        <w:numPr>
          <w:ilvl w:val="0"/>
          <w:numId w:val="8"/>
        </w:numPr>
        <w:tabs>
          <w:tab w:val="clear" w:pos="709"/>
          <w:tab w:val="left" w:pos="1241" w:leader="none"/>
        </w:tabs>
        <w:suppressAutoHyphens w:val="true"/>
        <w:bidi w:val="0"/>
        <w:spacing w:lineRule="auto" w:line="360" w:before="142" w:after="142"/>
        <w:ind w:firstLine="709" w:start="0" w:end="0"/>
        <w:jc w:val="both"/>
        <w:rPr/>
      </w:pPr>
      <w:r>
        <w:rPr>
          <w:rFonts w:ascii="Arial" w:hAnsi="Arial"/>
          <w:sz w:val="21"/>
          <w:szCs w:val="21"/>
        </w:rPr>
        <w:t>Prova de Regularidade perante a Fazenda Federal e a Seguridade Social;</w:t>
      </w:r>
    </w:p>
    <w:p>
      <w:pPr>
        <w:pStyle w:val="Normal"/>
        <w:widowControl/>
        <w:numPr>
          <w:ilvl w:val="0"/>
          <w:numId w:val="8"/>
        </w:numPr>
        <w:tabs>
          <w:tab w:val="clear" w:pos="709"/>
          <w:tab w:val="left" w:pos="1241" w:leader="none"/>
        </w:tabs>
        <w:suppressAutoHyphens w:val="true"/>
        <w:bidi w:val="0"/>
        <w:spacing w:lineRule="auto" w:line="360" w:before="142" w:after="142"/>
        <w:ind w:firstLine="709" w:start="0" w:end="0"/>
        <w:jc w:val="both"/>
        <w:rPr/>
      </w:pPr>
      <w:r>
        <w:rPr>
          <w:rFonts w:ascii="Arial" w:hAnsi="Arial"/>
          <w:sz w:val="21"/>
          <w:szCs w:val="21"/>
        </w:rPr>
        <w:t>Prova de Regularidade com a Fazenda Estadual, do estado sede do licitante. As empresas sediadas em Estados que façam a divisão entre certidões negativas de débitos inscritos e não inscritos na dívida ativa, para fins de comprovação de regularidade fiscal com a Fazenda Estadual, somente serão consideradas habilitados e regulares aquelas que juntarem ambas as certidões;</w:t>
      </w:r>
    </w:p>
    <w:p>
      <w:pPr>
        <w:pStyle w:val="Normal"/>
        <w:widowControl/>
        <w:numPr>
          <w:ilvl w:val="0"/>
          <w:numId w:val="8"/>
        </w:numPr>
        <w:tabs>
          <w:tab w:val="clear" w:pos="709"/>
          <w:tab w:val="left" w:pos="1241" w:leader="none"/>
        </w:tabs>
        <w:suppressAutoHyphens w:val="true"/>
        <w:bidi w:val="0"/>
        <w:spacing w:lineRule="auto" w:line="360" w:before="142" w:after="142"/>
        <w:ind w:firstLine="709" w:start="0" w:end="0"/>
        <w:jc w:val="both"/>
        <w:rPr/>
      </w:pPr>
      <w:r>
        <w:rPr>
          <w:rFonts w:ascii="Arial" w:hAnsi="Arial"/>
          <w:sz w:val="21"/>
          <w:szCs w:val="21"/>
        </w:rPr>
        <w:t>Prova de Regularidade com a Fazenda Municipal, do domicílio ou sede do licitante;</w:t>
      </w:r>
    </w:p>
    <w:p>
      <w:pPr>
        <w:pStyle w:val="Normal"/>
        <w:widowControl/>
        <w:numPr>
          <w:ilvl w:val="0"/>
          <w:numId w:val="8"/>
        </w:numPr>
        <w:tabs>
          <w:tab w:val="clear" w:pos="709"/>
          <w:tab w:val="left" w:pos="1241" w:leader="none"/>
        </w:tabs>
        <w:suppressAutoHyphens w:val="true"/>
        <w:bidi w:val="0"/>
        <w:spacing w:lineRule="auto" w:line="360" w:before="142" w:after="142"/>
        <w:ind w:firstLine="709" w:start="0" w:end="0"/>
        <w:jc w:val="both"/>
        <w:rPr/>
      </w:pPr>
      <w:r>
        <w:rPr>
          <w:rFonts w:ascii="Arial" w:hAnsi="Arial"/>
          <w:sz w:val="21"/>
          <w:szCs w:val="21"/>
        </w:rPr>
        <w:t>A inscrição no cadastro de contribuintes estadual e/ou municipal, se houver, relativo ao domicílio ou sede do licitante, pertinente ao seu ramo de atividade e compatível com o objeto contratual;</w:t>
      </w:r>
    </w:p>
    <w:p>
      <w:pPr>
        <w:pStyle w:val="Normal"/>
        <w:widowControl/>
        <w:numPr>
          <w:ilvl w:val="0"/>
          <w:numId w:val="8"/>
        </w:numPr>
        <w:tabs>
          <w:tab w:val="clear" w:pos="709"/>
          <w:tab w:val="left" w:pos="1241" w:leader="none"/>
        </w:tabs>
        <w:suppressAutoHyphens w:val="true"/>
        <w:bidi w:val="0"/>
        <w:spacing w:lineRule="auto" w:line="360" w:before="142" w:after="142"/>
        <w:ind w:firstLine="709" w:start="0" w:end="0"/>
        <w:jc w:val="both"/>
        <w:rPr/>
      </w:pPr>
      <w:r>
        <w:rPr>
          <w:rFonts w:ascii="Arial" w:hAnsi="Arial"/>
          <w:sz w:val="21"/>
          <w:szCs w:val="21"/>
        </w:rPr>
        <w:t>Prova de Regularidade com o Fundo de Garantia por Tempo de Serviço – FGTS (Certificado de Regularidade do FGTS);</w:t>
      </w:r>
    </w:p>
    <w:p>
      <w:pPr>
        <w:pStyle w:val="Normal"/>
        <w:widowControl/>
        <w:numPr>
          <w:ilvl w:val="0"/>
          <w:numId w:val="8"/>
        </w:numPr>
        <w:tabs>
          <w:tab w:val="clear" w:pos="709"/>
          <w:tab w:val="left" w:pos="1241" w:leader="none"/>
        </w:tabs>
        <w:suppressAutoHyphens w:val="true"/>
        <w:bidi w:val="0"/>
        <w:spacing w:lineRule="auto" w:line="360" w:before="142" w:after="142"/>
        <w:ind w:firstLine="709" w:start="0" w:end="0"/>
        <w:jc w:val="both"/>
        <w:rPr/>
      </w:pPr>
      <w:r>
        <w:rPr>
          <w:rFonts w:ascii="Arial" w:hAnsi="Arial"/>
          <w:sz w:val="21"/>
          <w:szCs w:val="21"/>
        </w:rPr>
        <w:t>Prova de inexistência de débitos inadimplidos perante a Justiça do Trabalho, mediante a apresentação de Certidão Negativa, nos termos da Lei Federal nº 12.440/11;</w:t>
      </w:r>
    </w:p>
    <w:p>
      <w:pPr>
        <w:pStyle w:val="Normal"/>
        <w:widowControl/>
        <w:numPr>
          <w:ilvl w:val="0"/>
          <w:numId w:val="8"/>
        </w:numPr>
        <w:tabs>
          <w:tab w:val="clear" w:pos="709"/>
          <w:tab w:val="left" w:pos="1241" w:leader="none"/>
        </w:tabs>
        <w:suppressAutoHyphens w:val="true"/>
        <w:bidi w:val="0"/>
        <w:spacing w:lineRule="auto" w:line="360" w:before="142" w:after="142"/>
        <w:ind w:firstLine="709" w:start="0" w:end="0"/>
        <w:jc w:val="both"/>
        <w:rPr/>
      </w:pPr>
      <w:r>
        <w:rPr>
          <w:rFonts w:ascii="Arial" w:hAnsi="Arial"/>
          <w:sz w:val="21"/>
          <w:szCs w:val="21"/>
        </w:rPr>
        <w:t>Certidão(ões) Negativa(s) de Feitos sobre Falência, expedida(s) até 60 (sessenta) dias antes da data limite para apresentação das propostas, a(s) qual(is) deve(m) ser expedida(s) pela Corregedoria ou por órgão correspondente do Estado ou do Distrito Federal, ou do Fórum da Comarca, onde está sediada a empresa.</w:t>
      </w:r>
    </w:p>
    <w:p>
      <w:pPr>
        <w:pStyle w:val="Normal"/>
        <w:widowControl/>
        <w:numPr>
          <w:ilvl w:val="0"/>
          <w:numId w:val="8"/>
        </w:numPr>
        <w:tabs>
          <w:tab w:val="clear" w:pos="709"/>
          <w:tab w:val="left" w:pos="1241" w:leader="none"/>
        </w:tabs>
        <w:suppressAutoHyphens w:val="true"/>
        <w:bidi w:val="0"/>
        <w:spacing w:lineRule="auto" w:line="360" w:before="142" w:after="142"/>
        <w:ind w:firstLine="709" w:start="0" w:end="0"/>
        <w:jc w:val="both"/>
        <w:rPr/>
      </w:pPr>
      <w:r>
        <w:rPr>
          <w:rFonts w:ascii="Arial" w:hAnsi="Arial"/>
          <w:sz w:val="21"/>
          <w:szCs w:val="21"/>
        </w:rPr>
        <w:t xml:space="preserve">DECLARAÇÃO que, nos 5 (cinco) anos anteriores à divulgação do edital, não tenha sido condenada judicialmente, com trânsito em julgado, por exploração de trabalho infantil, por submissão de trabalhadores a condições análogas às de escravo ou por contratação de adolescentes nos casos vedados pela legislação trabalhista, podendo ser utilizado o modelo constante deste edital (ANEXO </w:t>
      </w:r>
      <w:r>
        <w:rPr>
          <w:rFonts w:ascii="Arial" w:hAnsi="Arial"/>
          <w:sz w:val="21"/>
          <w:szCs w:val="21"/>
        </w:rPr>
        <w:t>I</w:t>
      </w:r>
      <w:r>
        <w:rPr>
          <w:rFonts w:ascii="Arial" w:hAnsi="Arial"/>
          <w:sz w:val="21"/>
          <w:szCs w:val="21"/>
        </w:rPr>
        <w:t>V).</w:t>
      </w:r>
    </w:p>
    <w:p>
      <w:pPr>
        <w:pStyle w:val="Normal"/>
        <w:widowControl/>
        <w:numPr>
          <w:ilvl w:val="0"/>
          <w:numId w:val="8"/>
        </w:numPr>
        <w:tabs>
          <w:tab w:val="clear" w:pos="709"/>
          <w:tab w:val="left" w:pos="1241" w:leader="none"/>
        </w:tabs>
        <w:suppressAutoHyphens w:val="true"/>
        <w:bidi w:val="0"/>
        <w:spacing w:lineRule="auto" w:line="360" w:before="142" w:after="142"/>
        <w:ind w:firstLine="709" w:start="0" w:end="0"/>
        <w:jc w:val="both"/>
        <w:rPr/>
      </w:pPr>
      <w:r>
        <w:rPr>
          <w:rFonts w:ascii="Arial" w:hAnsi="Arial"/>
          <w:sz w:val="21"/>
          <w:szCs w:val="21"/>
        </w:rPr>
        <w:t>DECLARAÇÃO expressa de que a empresa cumpre o disposto no inciso XXXIII do art. 7º da Constituição Federal, de acordo com o que estabelece o Decreto Federal nº 4.358, de 05/09/2002, conforme modelo constante deste Edital (ANEXO VIII);</w:t>
      </w:r>
    </w:p>
    <w:p>
      <w:pPr>
        <w:pStyle w:val="Normal"/>
        <w:widowControl/>
        <w:numPr>
          <w:ilvl w:val="0"/>
          <w:numId w:val="8"/>
        </w:numPr>
        <w:tabs>
          <w:tab w:val="clear" w:pos="709"/>
          <w:tab w:val="left" w:pos="1241" w:leader="none"/>
        </w:tabs>
        <w:suppressAutoHyphens w:val="true"/>
        <w:bidi w:val="0"/>
        <w:spacing w:lineRule="auto" w:line="360" w:before="142" w:after="142"/>
        <w:ind w:firstLine="709" w:start="0" w:end="0"/>
        <w:jc w:val="both"/>
        <w:rPr/>
      </w:pPr>
      <w:r>
        <w:rPr>
          <w:rFonts w:ascii="Arial" w:hAnsi="Arial"/>
          <w:sz w:val="21"/>
          <w:szCs w:val="21"/>
        </w:rPr>
        <w:t>DECLARAÇÃO de que cumpre as exigências de reserva de cargos para pessoa com deficiência e para reabilitado da Previdência Social, previstas em lei e em outras normas específicas (ANEXO IX);</w:t>
      </w:r>
    </w:p>
    <w:p>
      <w:pPr>
        <w:pStyle w:val="Normal"/>
        <w:widowControl/>
        <w:numPr>
          <w:ilvl w:val="0"/>
          <w:numId w:val="8"/>
        </w:numPr>
        <w:tabs>
          <w:tab w:val="clear" w:pos="709"/>
          <w:tab w:val="left" w:pos="1241" w:leader="none"/>
        </w:tabs>
        <w:suppressAutoHyphens w:val="true"/>
        <w:bidi w:val="0"/>
        <w:spacing w:lineRule="auto" w:line="360" w:before="142" w:after="142"/>
        <w:ind w:firstLine="709" w:start="0" w:end="0"/>
        <w:jc w:val="both"/>
        <w:rPr/>
      </w:pPr>
      <w:r>
        <w:rPr>
          <w:rFonts w:ascii="Arial" w:hAnsi="Arial"/>
          <w:sz w:val="21"/>
          <w:szCs w:val="21"/>
        </w:rPr>
        <w:t>DECLARAÇÃO de que a proposta econômica compreende a integralidade dos custos para atendimento dos direitos trabalhistas assegurados na Constituição da República Federativa do Brasil, nas leis trabalhistas, nas normas infralegais, nas convenções coletivas de trabalho e nos termos de ajustamento de conduta vigentes na data de entrega das propostas, sob pena de desclassificação (ANEXO X);</w:t>
      </w:r>
    </w:p>
    <w:p>
      <w:pPr>
        <w:pStyle w:val="Normal"/>
        <w:widowControl/>
        <w:numPr>
          <w:ilvl w:val="0"/>
          <w:numId w:val="8"/>
        </w:numPr>
        <w:tabs>
          <w:tab w:val="clear" w:pos="709"/>
          <w:tab w:val="left" w:pos="1241" w:leader="none"/>
        </w:tabs>
        <w:suppressAutoHyphens w:val="true"/>
        <w:bidi w:val="0"/>
        <w:spacing w:lineRule="auto" w:line="360" w:before="142" w:after="142"/>
        <w:ind w:firstLine="709" w:start="0" w:end="0"/>
        <w:jc w:val="both"/>
        <w:rPr/>
      </w:pPr>
      <w:r>
        <w:rPr>
          <w:rFonts w:eastAsia="Times New Roman" w:cs="Arial" w:ascii="Arial" w:hAnsi="Arial"/>
          <w:b w:val="false"/>
          <w:bCs/>
          <w:color w:val="000000"/>
          <w:kern w:val="0"/>
          <w:sz w:val="21"/>
          <w:szCs w:val="21"/>
          <w:lang w:eastAsia="zh-CN"/>
        </w:rPr>
        <w:t>DECLARAÇÃO de que a empresa interessada tomou conhecimento das especificações e normas pertinentes à execução dos serviços (conforme modelo constante do ANEXO XI), nos termos do art. 67, inciso VI, da Lei Federal n. 14.133/2021;</w:t>
      </w:r>
    </w:p>
    <w:p>
      <w:pPr>
        <w:pStyle w:val="Normal"/>
        <w:widowControl/>
        <w:numPr>
          <w:ilvl w:val="0"/>
          <w:numId w:val="8"/>
        </w:numPr>
        <w:tabs>
          <w:tab w:val="clear" w:pos="709"/>
          <w:tab w:val="left" w:pos="1241" w:leader="none"/>
        </w:tabs>
        <w:suppressAutoHyphens w:val="true"/>
        <w:overflowPunct w:val="true"/>
        <w:bidi w:val="0"/>
        <w:spacing w:lineRule="auto" w:line="360" w:before="142" w:after="142"/>
        <w:ind w:firstLine="709" w:start="0" w:end="0"/>
        <w:jc w:val="both"/>
        <w:rPr/>
      </w:pPr>
      <w:r>
        <w:rPr>
          <w:rFonts w:eastAsia="Times New Roman" w:cs="Arial" w:ascii="Arial" w:hAnsi="Arial"/>
          <w:b/>
          <w:bCs/>
          <w:color w:val="000000"/>
          <w:kern w:val="0"/>
          <w:sz w:val="21"/>
          <w:szCs w:val="21"/>
          <w:lang w:eastAsia="zh-CN"/>
        </w:rPr>
        <w:t xml:space="preserve">DECLARAÇÃO de que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que não integra em seus quadros social e funcional, servidor público da administração direta ou indireta do Município de Lindóia do Sul, e agente político da esfera municipal de Lindóia do Sul, do Estado de Santa Catarina, e da União. </w:t>
      </w:r>
      <w:r>
        <w:rPr>
          <w:rFonts w:eastAsia="Times New Roman" w:cs="Arial" w:ascii="Arial" w:hAnsi="Arial"/>
          <w:b/>
          <w:bCs/>
          <w:color w:val="000000"/>
          <w:kern w:val="0"/>
          <w:sz w:val="21"/>
          <w:szCs w:val="21"/>
          <w:lang w:eastAsia="pt-BR"/>
        </w:rPr>
        <w:t xml:space="preserve">Portanto, inclusive, a empresa declara que também está em conformidade com o que prevê o art. </w:t>
      </w:r>
      <w:r>
        <w:rPr>
          <w:rFonts w:eastAsia="Times New Roman" w:cs="Arial" w:ascii="Arial" w:hAnsi="Arial"/>
          <w:b/>
          <w:bCs/>
          <w:color w:val="000000"/>
          <w:kern w:val="2"/>
          <w:sz w:val="21"/>
          <w:szCs w:val="21"/>
          <w:lang w:eastAsia="zh-CN"/>
        </w:rPr>
        <w:t>54 I “a” da Constituição Federal e art. 43 I ”a” e II “a” da Constituição do Estado de Santa Catarina.</w:t>
      </w:r>
      <w:r>
        <w:rPr>
          <w:rFonts w:eastAsia="Times New Roman" w:cs="Arial" w:ascii="Arial" w:hAnsi="Arial"/>
          <w:b/>
          <w:bCs/>
          <w:color w:val="000000"/>
          <w:kern w:val="0"/>
          <w:sz w:val="21"/>
          <w:szCs w:val="21"/>
          <w:lang w:eastAsia="pt-BR"/>
        </w:rPr>
        <w:t xml:space="preserve"> </w:t>
      </w:r>
      <w:r>
        <w:rPr>
          <w:rFonts w:eastAsia="Times New Roman" w:cs="Arial" w:ascii="Arial" w:hAnsi="Arial"/>
          <w:b/>
          <w:bCs/>
          <w:color w:val="000000"/>
          <w:kern w:val="0"/>
          <w:sz w:val="21"/>
          <w:szCs w:val="21"/>
          <w:lang w:eastAsia="zh-CN"/>
        </w:rPr>
        <w:t>(</w:t>
      </w:r>
      <w:r>
        <w:rPr>
          <w:rFonts w:eastAsia="Times New Roman" w:cs="Arial" w:ascii="Arial" w:hAnsi="Arial"/>
          <w:b/>
          <w:bCs/>
          <w:color w:val="000000"/>
          <w:kern w:val="0"/>
          <w:sz w:val="21"/>
          <w:szCs w:val="21"/>
          <w:shd w:fill="FFFF00" w:val="clear"/>
          <w:lang w:eastAsia="zh-CN"/>
        </w:rPr>
        <w:t xml:space="preserve"> Deve constar expressamente toda descrição contida nesta alínea</w:t>
      </w:r>
      <w:r>
        <w:rPr>
          <w:rFonts w:eastAsia="Times New Roman" w:cs="Arial" w:ascii="Arial" w:hAnsi="Arial"/>
          <w:b/>
          <w:bCs/>
          <w:color w:val="000000"/>
          <w:kern w:val="0"/>
          <w:sz w:val="21"/>
          <w:szCs w:val="21"/>
          <w:lang w:eastAsia="zh-CN"/>
        </w:rPr>
        <w:t xml:space="preserve"> conforme ANEXO V).</w:t>
      </w:r>
    </w:p>
    <w:p>
      <w:pPr>
        <w:pStyle w:val="Normal"/>
        <w:widowControl/>
        <w:numPr>
          <w:ilvl w:val="0"/>
          <w:numId w:val="8"/>
        </w:numPr>
        <w:tabs>
          <w:tab w:val="clear" w:pos="709"/>
          <w:tab w:val="left" w:pos="1241" w:leader="none"/>
        </w:tabs>
        <w:suppressAutoHyphens w:val="true"/>
        <w:bidi w:val="0"/>
        <w:spacing w:lineRule="auto" w:line="360" w:before="142" w:after="142"/>
        <w:ind w:firstLine="709" w:start="0" w:end="0"/>
        <w:jc w:val="both"/>
        <w:rPr/>
      </w:pPr>
      <w:r>
        <w:rPr>
          <w:rFonts w:ascii="Arial" w:hAnsi="Arial"/>
          <w:sz w:val="21"/>
          <w:szCs w:val="21"/>
        </w:rPr>
        <w:t>Certidão de consulta de que não constem:</w:t>
      </w:r>
    </w:p>
    <w:p>
      <w:pPr>
        <w:pStyle w:val="Normal"/>
        <w:widowControl/>
        <w:numPr>
          <w:ilvl w:val="0"/>
          <w:numId w:val="0"/>
        </w:numPr>
        <w:suppressAutoHyphens w:val="true"/>
        <w:bidi w:val="0"/>
        <w:spacing w:lineRule="auto" w:line="360" w:before="142" w:after="142"/>
        <w:ind w:hanging="0" w:start="0" w:end="0"/>
        <w:jc w:val="both"/>
        <w:rPr/>
      </w:pPr>
      <w:r>
        <w:rPr>
          <w:rFonts w:eastAsia="Times New Roman" w:cs="Arial" w:ascii="Arial" w:hAnsi="Arial"/>
          <w:bCs/>
          <w:color w:val="000000"/>
          <w:kern w:val="0"/>
          <w:sz w:val="21"/>
          <w:szCs w:val="21"/>
          <w:lang w:eastAsia="zh-CN"/>
        </w:rPr>
        <w:tab/>
        <w:t xml:space="preserve">t.1) No cadastro de empresas inidôneas do Tribunal de Contas da União, do Ministério da Transparência, Fiscalização e Controladoria-Geral da União, relativo ao CNPJ e CPF do sócio majoritário, emitida através do endereço </w:t>
      </w:r>
      <w:hyperlink r:id="rId8">
        <w:r>
          <w:rPr>
            <w:rStyle w:val="Hyperlink"/>
            <w:rFonts w:ascii="Arial" w:hAnsi="Arial"/>
            <w:sz w:val="21"/>
            <w:szCs w:val="21"/>
          </w:rPr>
          <w:t>https://contas.tcu.gov.br/ords/f?p=1660:3:118310746749897::::P3_TIPO_RELACAO:INIDONEO</w:t>
        </w:r>
      </w:hyperlink>
    </w:p>
    <w:p>
      <w:pPr>
        <w:pStyle w:val="Normal"/>
        <w:widowControl/>
        <w:suppressAutoHyphens w:val="true"/>
        <w:bidi w:val="0"/>
        <w:spacing w:lineRule="auto" w:line="360" w:before="142" w:after="142"/>
        <w:ind w:hanging="0" w:end="0"/>
        <w:jc w:val="both"/>
        <w:rPr/>
      </w:pPr>
      <w:r>
        <w:rPr>
          <w:rFonts w:eastAsia="Times New Roman" w:cs="Arial" w:ascii="Arial" w:hAnsi="Arial"/>
          <w:bCs/>
          <w:color w:val="000000"/>
          <w:kern w:val="0"/>
          <w:sz w:val="21"/>
          <w:szCs w:val="21"/>
          <w:lang w:eastAsia="zh-CN"/>
        </w:rPr>
        <w:tab/>
        <w:t xml:space="preserve">t.2) No Cadastro Nacional de Condenações Civis por Ato de Improbidade Administrativa e Inelegibilidade, supervisionado pelo Conselho Nacional de Justiça, relativo ao CNPJ e CPF do sócio majoritário, emitida através do endereço </w:t>
      </w:r>
      <w:hyperlink r:id="rId9">
        <w:r>
          <w:rPr>
            <w:rStyle w:val="Hyperlink"/>
            <w:rFonts w:eastAsia="Times New Roman" w:cs="Arial" w:ascii="Arial" w:hAnsi="Arial"/>
            <w:bCs/>
            <w:color w:val="000000"/>
            <w:kern w:val="0"/>
            <w:sz w:val="21"/>
            <w:szCs w:val="21"/>
            <w:lang w:eastAsia="zh-CN"/>
          </w:rPr>
          <w:t>https://www.cnj.jus.br/improbidade_adm/consultar_requerido.php</w:t>
        </w:r>
      </w:hyperlink>
      <w:r>
        <w:rPr>
          <w:rFonts w:eastAsia="Times New Roman" w:cs="Arial" w:ascii="Arial" w:hAnsi="Arial"/>
          <w:bCs/>
          <w:color w:val="000000"/>
          <w:kern w:val="0"/>
          <w:sz w:val="21"/>
          <w:szCs w:val="21"/>
          <w:lang w:eastAsia="zh-CN"/>
        </w:rPr>
        <w:t>.</w:t>
      </w:r>
    </w:p>
    <w:p>
      <w:pPr>
        <w:pStyle w:val="Normal"/>
        <w:widowControl/>
        <w:suppressAutoHyphens w:val="true"/>
        <w:bidi w:val="0"/>
        <w:spacing w:lineRule="auto" w:line="360" w:before="142" w:after="142"/>
        <w:ind w:hanging="0" w:end="0"/>
        <w:jc w:val="both"/>
        <w:rPr/>
      </w:pPr>
      <w:r>
        <w:rPr>
          <w:rFonts w:ascii="Arial" w:hAnsi="Arial"/>
          <w:sz w:val="21"/>
          <w:szCs w:val="21"/>
        </w:rPr>
        <w:tab/>
        <w:t xml:space="preserve">t.3) </w:t>
      </w:r>
      <w:r>
        <w:rPr>
          <w:rFonts w:cs="Arial" w:ascii="Arial" w:hAnsi="Arial"/>
          <w:sz w:val="21"/>
          <w:szCs w:val="21"/>
        </w:rPr>
        <w:t xml:space="preserve">Relatório de consulta negativa (contendo Razão Social e CNPJ) junto ao Cadastro Nacional das Empresas Inidôneas e Suspensas – CEIS, através do endereço eletrônico </w:t>
      </w:r>
      <w:hyperlink r:id="rId10">
        <w:r>
          <w:rPr>
            <w:rStyle w:val="Hyperlink"/>
            <w:rFonts w:cs="Arial" w:ascii="Arial" w:hAnsi="Arial"/>
            <w:sz w:val="21"/>
            <w:szCs w:val="21"/>
          </w:rPr>
          <w:t>https://portaldatransparencia.gov.br/sancoes/consulta?ordenarPor=nomeSancionado&amp;direcao=asc</w:t>
        </w:r>
      </w:hyperlink>
      <w:r>
        <w:rPr>
          <w:rFonts w:cs="Arial" w:ascii="Arial" w:hAnsi="Arial"/>
          <w:sz w:val="21"/>
          <w:szCs w:val="21"/>
        </w:rPr>
        <w:t>, emitido nos últimos 10 (dez) dias;</w:t>
      </w:r>
    </w:p>
    <w:p>
      <w:pPr>
        <w:pStyle w:val="Normal"/>
        <w:widowControl/>
        <w:suppressAutoHyphens w:val="true"/>
        <w:bidi w:val="0"/>
        <w:spacing w:lineRule="auto" w:line="360" w:before="142" w:after="142"/>
        <w:ind w:hanging="0" w:end="0"/>
        <w:jc w:val="both"/>
        <w:rPr/>
      </w:pPr>
      <w:r>
        <w:rPr>
          <w:rFonts w:eastAsia="Times New Roman" w:cs="Arial" w:ascii="Arial" w:hAnsi="Arial"/>
          <w:b w:val="false"/>
          <w:bCs/>
          <w:color w:val="000000"/>
          <w:kern w:val="0"/>
          <w:sz w:val="21"/>
          <w:szCs w:val="21"/>
          <w:lang w:eastAsia="zh-CN"/>
        </w:rPr>
        <w:tab/>
        <w:t>t.4) As consultas para o CNPJ do licitante, constante nos itens “t.1”, “t.2” e “t.3”, poderão ser substituídas pela Certidão Consolidada de Pessoa Jurídica, do Tribunal de Contas da União.</w:t>
      </w:r>
    </w:p>
    <w:p>
      <w:pPr>
        <w:pStyle w:val="Normal"/>
        <w:widowControl/>
        <w:numPr>
          <w:ilvl w:val="0"/>
          <w:numId w:val="9"/>
        </w:numPr>
        <w:tabs>
          <w:tab w:val="clear" w:pos="709"/>
          <w:tab w:val="left" w:pos="1186" w:leader="none"/>
        </w:tabs>
        <w:suppressAutoHyphens w:val="true"/>
        <w:bidi w:val="0"/>
        <w:spacing w:lineRule="auto" w:line="360" w:before="142" w:after="142"/>
        <w:ind w:firstLine="709" w:start="0" w:end="0"/>
        <w:jc w:val="both"/>
        <w:rPr/>
      </w:pPr>
      <w:r>
        <w:rPr>
          <w:rFonts w:eastAsia="Arial" w:cs="Times New Roman" w:ascii="Arial" w:hAnsi="Arial"/>
          <w:sz w:val="21"/>
          <w:szCs w:val="21"/>
        </w:rPr>
        <w:t>Certidão de registro/quitação da contratada junto ao CAU/CREA, da qual deverá constar os nomes dos profissionais que poderão atuar como responsáveis técnicos pelos serviços a serem executados, conforme disciplina a Resolução 425/98 do CONFEA, artigo 4º, parágrafo único e Resolução 51 do CAU;</w:t>
      </w:r>
    </w:p>
    <w:p>
      <w:pPr>
        <w:pStyle w:val="Normal"/>
        <w:widowControl/>
        <w:numPr>
          <w:ilvl w:val="0"/>
          <w:numId w:val="9"/>
        </w:numPr>
        <w:tabs>
          <w:tab w:val="clear" w:pos="709"/>
          <w:tab w:val="left" w:pos="1186" w:leader="none"/>
        </w:tabs>
        <w:suppressAutoHyphens w:val="true"/>
        <w:bidi w:val="0"/>
        <w:spacing w:lineRule="auto" w:line="360" w:before="142" w:after="142"/>
        <w:ind w:firstLine="709" w:start="0" w:end="0"/>
        <w:jc w:val="both"/>
        <w:rPr/>
      </w:pPr>
      <w:r>
        <w:rPr>
          <w:rFonts w:eastAsia="Arial" w:cs="Arial" w:ascii="Arial" w:hAnsi="Arial"/>
          <w:sz w:val="21"/>
          <w:szCs w:val="21"/>
        </w:rPr>
        <w:t>Comprovação de aptidão técnica, consistente na apresentação de uma ou mais certidões de acervo técnico expedidas pelo CAU/CREA, em nome dos profissionais que exercerão a função de responsáveis técnicos, comprovando a execução de pelo menos uma obra ou serviço com características semelhantes ao objeto a ser contratado;</w:t>
      </w:r>
    </w:p>
    <w:p>
      <w:pPr>
        <w:pStyle w:val="Normal"/>
        <w:widowControl/>
        <w:numPr>
          <w:ilvl w:val="0"/>
          <w:numId w:val="9"/>
        </w:numPr>
        <w:tabs>
          <w:tab w:val="clear" w:pos="709"/>
          <w:tab w:val="left" w:pos="1186" w:leader="none"/>
        </w:tabs>
        <w:suppressAutoHyphens w:val="true"/>
        <w:bidi w:val="0"/>
        <w:spacing w:lineRule="auto" w:line="360" w:before="142" w:after="142"/>
        <w:ind w:firstLine="709" w:start="0" w:end="0"/>
        <w:jc w:val="both"/>
        <w:rPr/>
      </w:pPr>
      <w:r>
        <w:rPr>
          <w:rFonts w:eastAsia="Arial" w:cs="Times New Roman" w:ascii="Arial" w:hAnsi="Arial"/>
          <w:bCs/>
          <w:sz w:val="21"/>
          <w:szCs w:val="21"/>
        </w:rPr>
        <w:t>Apresentação, por parte da contratada, de pelo menos 01 (um) Atestado de Capacidade Técnico-operacional, comprovando a realização de obras ou serviços com características semelhantes ou superiores ao objeto a ser contratado, por parte da empresa;</w:t>
      </w:r>
    </w:p>
    <w:p>
      <w:pPr>
        <w:pStyle w:val="Normal"/>
        <w:widowControl/>
        <w:numPr>
          <w:ilvl w:val="0"/>
          <w:numId w:val="9"/>
        </w:numPr>
        <w:tabs>
          <w:tab w:val="clear" w:pos="709"/>
          <w:tab w:val="left" w:pos="1186" w:leader="none"/>
        </w:tabs>
        <w:suppressAutoHyphens w:val="true"/>
        <w:bidi w:val="0"/>
        <w:spacing w:lineRule="auto" w:line="360" w:before="142" w:after="142"/>
        <w:ind w:firstLine="709" w:start="0" w:end="0"/>
        <w:jc w:val="both"/>
        <w:rPr/>
      </w:pPr>
      <w:r>
        <w:rPr>
          <w:rFonts w:eastAsia="Times New Roman" w:cs="Times New Roman" w:ascii="Arial" w:hAnsi="Arial"/>
          <w:sz w:val="21"/>
          <w:szCs w:val="21"/>
          <w:lang w:val="zh-CN" w:eastAsia="zh-CN"/>
        </w:rPr>
        <w:t xml:space="preserve">A comprovação da </w:t>
      </w:r>
      <w:r>
        <w:rPr>
          <w:rFonts w:eastAsia="Times New Roman" w:cs="Times New Roman" w:ascii="Arial" w:hAnsi="Arial"/>
          <w:b/>
          <w:bCs/>
          <w:sz w:val="21"/>
          <w:szCs w:val="21"/>
          <w:lang w:val="zh-CN" w:eastAsia="zh-CN"/>
        </w:rPr>
        <w:t>boa situação econômico-financeira</w:t>
      </w:r>
      <w:r>
        <w:rPr>
          <w:rFonts w:eastAsia="Times New Roman" w:cs="Times New Roman" w:ascii="Arial" w:hAnsi="Arial"/>
          <w:sz w:val="21"/>
          <w:szCs w:val="21"/>
          <w:lang w:val="zh-CN" w:eastAsia="zh-CN"/>
        </w:rPr>
        <w:t>, será realizada mediante o cálculo dos índices de Liquidez Corrente (LC), Liquidez Geral (LG) e Solvência Geral (SG), a partir do balanço patrimonial e demonstrações contábeis apresentados pela licitante, devendo os referidos cálculos ser apresentados de forma expressa e assinados por contador legalmente habilitado.</w:t>
      </w:r>
    </w:p>
    <w:p>
      <w:pPr>
        <w:pStyle w:val="BodyText"/>
        <w:widowControl/>
        <w:suppressAutoHyphens w:val="true"/>
        <w:bidi w:val="0"/>
        <w:spacing w:lineRule="auto" w:line="360" w:before="142" w:after="142"/>
        <w:ind w:hanging="0" w:end="0"/>
        <w:jc w:val="both"/>
        <w:rPr/>
      </w:pPr>
      <w:r>
        <w:rPr>
          <w:b/>
          <w:bCs/>
          <w:sz w:val="21"/>
          <w:szCs w:val="21"/>
        </w:rPr>
        <w:tab/>
        <w:t>Serão consideradas inabilitadas</w:t>
      </w:r>
      <w:r>
        <w:rPr>
          <w:sz w:val="21"/>
          <w:szCs w:val="21"/>
        </w:rPr>
        <w:t xml:space="preserve"> as licitantes que apresentarem </w:t>
      </w:r>
      <w:r>
        <w:rPr>
          <w:b/>
          <w:bCs/>
          <w:sz w:val="21"/>
          <w:szCs w:val="21"/>
        </w:rPr>
        <w:t>resultado igual ou menor a 1,00 (um)</w:t>
      </w:r>
      <w:r>
        <w:rPr>
          <w:sz w:val="21"/>
          <w:szCs w:val="21"/>
        </w:rPr>
        <w:t xml:space="preserve"> em </w:t>
      </w:r>
      <w:r>
        <w:rPr>
          <w:b/>
          <w:bCs/>
          <w:sz w:val="21"/>
          <w:szCs w:val="21"/>
        </w:rPr>
        <w:t>qualquer</w:t>
      </w:r>
      <w:r>
        <w:rPr>
          <w:sz w:val="21"/>
          <w:szCs w:val="21"/>
        </w:rPr>
        <w:t xml:space="preserve"> dos índices mencionados.</w:t>
      </w:r>
    </w:p>
    <w:p>
      <w:pPr>
        <w:pStyle w:val="Normal"/>
        <w:tabs>
          <w:tab w:val="clear" w:pos="709"/>
          <w:tab w:val="left" w:pos="2259" w:leader="none"/>
          <w:tab w:val="left" w:pos="2340" w:leader="none"/>
        </w:tabs>
        <w:spacing w:lineRule="auto" w:line="360" w:before="0" w:after="0"/>
        <w:ind w:firstLine="700"/>
        <w:jc w:val="center"/>
        <w:rPr>
          <w:rFonts w:ascii="Arial" w:hAnsi="Arial" w:eastAsia="Times New Roman" w:cs="Times New Roman"/>
          <w:sz w:val="21"/>
          <w:szCs w:val="21"/>
          <w:lang w:val="zh-CN" w:eastAsia="zh-CN"/>
        </w:rPr>
      </w:pPr>
      <w:r>
        <w:rPr>
          <w:rFonts w:eastAsia="Times New Roman" w:cs="Times New Roman" w:ascii="Arial" w:hAnsi="Arial"/>
          <w:sz w:val="21"/>
          <w:szCs w:val="21"/>
          <w:lang w:val="zh-CN" w:eastAsia="zh-CN"/>
        </w:rPr>
        <w:t>Ativo Circulante</w:t>
      </w:r>
    </w:p>
    <w:p>
      <w:pPr>
        <w:pStyle w:val="Normal"/>
        <w:tabs>
          <w:tab w:val="clear" w:pos="709"/>
          <w:tab w:val="left" w:pos="2259" w:leader="none"/>
          <w:tab w:val="left" w:pos="2340" w:leader="none"/>
        </w:tabs>
        <w:spacing w:lineRule="auto" w:line="360" w:before="0" w:after="0"/>
        <w:ind w:firstLine="700"/>
        <w:jc w:val="center"/>
        <w:rPr>
          <w:rFonts w:ascii="Arial" w:hAnsi="Arial" w:eastAsia="Times New Roman" w:cs="Times New Roman"/>
          <w:sz w:val="21"/>
          <w:szCs w:val="21"/>
          <w:lang w:val="zh-CN" w:eastAsia="zh-CN"/>
        </w:rPr>
      </w:pPr>
      <w:r>
        <w:rPr>
          <w:rFonts w:eastAsia="Times New Roman" w:cs="Times New Roman" w:ascii="Arial" w:hAnsi="Arial"/>
          <w:sz w:val="21"/>
          <w:szCs w:val="21"/>
          <w:lang w:val="zh-CN" w:eastAsia="zh-CN"/>
        </w:rPr>
        <w:t>LC =    _________________</w:t>
      </w:r>
    </w:p>
    <w:p>
      <w:pPr>
        <w:pStyle w:val="Normal"/>
        <w:tabs>
          <w:tab w:val="clear" w:pos="709"/>
          <w:tab w:val="left" w:pos="2340" w:leader="none"/>
          <w:tab w:val="left" w:pos="4464" w:leader="none"/>
        </w:tabs>
        <w:spacing w:lineRule="auto" w:line="360" w:before="0" w:after="240"/>
        <w:ind w:hanging="20" w:start="1300"/>
        <w:jc w:val="center"/>
        <w:rPr>
          <w:rFonts w:ascii="Arial" w:hAnsi="Arial" w:eastAsia="Times New Roman" w:cs="Times New Roman"/>
          <w:sz w:val="21"/>
          <w:szCs w:val="21"/>
          <w:lang w:val="zh-CN" w:eastAsia="zh-CN"/>
        </w:rPr>
      </w:pPr>
      <w:r>
        <w:rPr>
          <w:rFonts w:eastAsia="Times New Roman" w:cs="Times New Roman" w:ascii="Arial" w:hAnsi="Arial"/>
          <w:sz w:val="21"/>
          <w:szCs w:val="21"/>
          <w:lang w:val="zh-CN" w:eastAsia="zh-CN"/>
        </w:rPr>
        <w:t>Passivo Circulante</w:t>
      </w:r>
    </w:p>
    <w:p>
      <w:pPr>
        <w:pStyle w:val="Normal"/>
        <w:tabs>
          <w:tab w:val="clear" w:pos="709"/>
          <w:tab w:val="left" w:pos="2340" w:leader="none"/>
          <w:tab w:val="left" w:pos="4464" w:leader="none"/>
        </w:tabs>
        <w:spacing w:lineRule="auto" w:line="360" w:before="0" w:after="0"/>
        <w:ind w:firstLine="700"/>
        <w:jc w:val="center"/>
        <w:rPr>
          <w:rFonts w:ascii="Arial" w:hAnsi="Arial" w:eastAsia="Times New Roman" w:cs="Times New Roman"/>
          <w:sz w:val="21"/>
          <w:szCs w:val="21"/>
          <w:lang w:val="zh-CN" w:eastAsia="zh-CN"/>
        </w:rPr>
      </w:pPr>
      <w:r>
        <w:rPr>
          <w:rFonts w:eastAsia="Times New Roman" w:cs="Times New Roman" w:ascii="Arial" w:hAnsi="Arial"/>
          <w:sz w:val="21"/>
          <w:szCs w:val="21"/>
          <w:lang w:val="zh-CN" w:eastAsia="zh-CN"/>
        </w:rPr>
        <w:t>Ativo Circulante + Realizável a Longo Prazo</w:t>
      </w:r>
    </w:p>
    <w:p>
      <w:pPr>
        <w:pStyle w:val="Normal"/>
        <w:tabs>
          <w:tab w:val="clear" w:pos="709"/>
          <w:tab w:val="left" w:pos="2340" w:leader="none"/>
          <w:tab w:val="left" w:pos="4464" w:leader="none"/>
        </w:tabs>
        <w:spacing w:lineRule="auto" w:line="360" w:before="0" w:after="0"/>
        <w:jc w:val="center"/>
        <w:rPr>
          <w:rFonts w:ascii="Arial" w:hAnsi="Arial" w:eastAsia="Times New Roman" w:cs="Times New Roman"/>
          <w:sz w:val="21"/>
          <w:szCs w:val="21"/>
          <w:lang w:val="zh-CN" w:eastAsia="zh-CN"/>
        </w:rPr>
      </w:pPr>
      <w:r>
        <w:rPr>
          <w:rFonts w:eastAsia="Times New Roman" w:cs="Times New Roman" w:ascii="Arial" w:hAnsi="Arial"/>
          <w:sz w:val="21"/>
          <w:szCs w:val="21"/>
          <w:lang w:val="zh-CN" w:eastAsia="zh-CN"/>
        </w:rPr>
        <w:t>LG =     ____________________________________</w:t>
      </w:r>
    </w:p>
    <w:p>
      <w:pPr>
        <w:pStyle w:val="Normal"/>
        <w:tabs>
          <w:tab w:val="clear" w:pos="709"/>
          <w:tab w:val="left" w:pos="2340" w:leader="none"/>
          <w:tab w:val="left" w:pos="4464" w:leader="none"/>
        </w:tabs>
        <w:spacing w:lineRule="auto" w:line="360" w:before="0" w:after="240"/>
        <w:ind w:firstLine="700"/>
        <w:jc w:val="center"/>
        <w:rPr>
          <w:rFonts w:ascii="Arial" w:hAnsi="Arial"/>
          <w:sz w:val="21"/>
          <w:szCs w:val="21"/>
        </w:rPr>
      </w:pPr>
      <w:r>
        <w:rPr>
          <w:rFonts w:eastAsia="Times New Roman" w:cs="Times New Roman" w:ascii="Arial" w:hAnsi="Arial"/>
          <w:sz w:val="21"/>
          <w:szCs w:val="21"/>
          <w:lang w:val="zh-CN" w:eastAsia="zh-CN"/>
        </w:rPr>
        <w:t>Passivo Circulante + Exigível a Longo Prazo</w:t>
      </w:r>
    </w:p>
    <w:p>
      <w:pPr>
        <w:pStyle w:val="Normal"/>
        <w:tabs>
          <w:tab w:val="clear" w:pos="709"/>
          <w:tab w:val="left" w:pos="2340" w:leader="none"/>
          <w:tab w:val="left" w:pos="4464" w:leader="none"/>
        </w:tabs>
        <w:spacing w:lineRule="auto" w:line="360" w:before="0" w:after="240"/>
        <w:jc w:val="center"/>
        <w:rPr>
          <w:rFonts w:ascii="Arial" w:hAnsi="Arial" w:eastAsia="Times New Roman" w:cs="Times New Roman"/>
          <w:sz w:val="21"/>
          <w:szCs w:val="21"/>
          <w:lang w:val="zh-CN" w:eastAsia="zh-CN"/>
        </w:rPr>
      </w:pPr>
      <w:r>
        <w:rPr>
          <w:rFonts w:eastAsia="Times New Roman" w:cs="Times New Roman" w:ascii="Arial" w:hAnsi="Arial"/>
          <w:sz w:val="21"/>
          <w:szCs w:val="21"/>
          <w:lang w:val="zh-CN" w:eastAsia="zh-CN"/>
        </w:rPr>
        <w:t xml:space="preserve"> </w:t>
      </w:r>
      <w:r>
        <w:rPr>
          <w:rFonts w:eastAsia="Times New Roman" w:cs="Times New Roman" w:ascii="Arial" w:hAnsi="Arial"/>
          <w:sz w:val="21"/>
          <w:szCs w:val="21"/>
          <w:lang w:val="zh-CN" w:eastAsia="zh-CN"/>
        </w:rPr>
        <w:t>Ativo Total</w:t>
      </w:r>
    </w:p>
    <w:p>
      <w:pPr>
        <w:pStyle w:val="Normal"/>
        <w:tabs>
          <w:tab w:val="clear" w:pos="709"/>
          <w:tab w:val="left" w:pos="2340" w:leader="none"/>
          <w:tab w:val="left" w:pos="4464" w:leader="none"/>
        </w:tabs>
        <w:spacing w:lineRule="auto" w:line="360" w:before="0" w:after="0"/>
        <w:jc w:val="center"/>
        <w:rPr>
          <w:rFonts w:ascii="Arial" w:hAnsi="Arial" w:eastAsia="Times New Roman" w:cs="Times New Roman"/>
          <w:sz w:val="21"/>
          <w:szCs w:val="21"/>
          <w:lang w:val="zh-CN" w:eastAsia="zh-CN"/>
        </w:rPr>
      </w:pPr>
      <w:r>
        <w:rPr>
          <w:rFonts w:eastAsia="Times New Roman" w:cs="Times New Roman" w:ascii="Arial" w:hAnsi="Arial"/>
          <w:sz w:val="21"/>
          <w:szCs w:val="21"/>
          <w:lang w:val="zh-CN" w:eastAsia="zh-CN"/>
        </w:rPr>
        <w:t>SG= _____________________________________</w:t>
      </w:r>
    </w:p>
    <w:p>
      <w:pPr>
        <w:pStyle w:val="Normal"/>
        <w:tabs>
          <w:tab w:val="clear" w:pos="709"/>
          <w:tab w:val="left" w:pos="2340" w:leader="none"/>
          <w:tab w:val="left" w:pos="4464" w:leader="none"/>
        </w:tabs>
        <w:spacing w:lineRule="auto" w:line="360" w:before="240" w:after="240"/>
        <w:ind w:firstLine="700"/>
        <w:jc w:val="center"/>
        <w:rPr>
          <w:rFonts w:ascii="Arial" w:hAnsi="Arial" w:eastAsia="Times New Roman" w:cs="Times New Roman"/>
          <w:bCs/>
          <w:sz w:val="21"/>
          <w:szCs w:val="21"/>
          <w:lang w:val="zh-CN" w:eastAsia="zh-CN"/>
        </w:rPr>
      </w:pPr>
      <w:r>
        <w:rPr>
          <w:rFonts w:eastAsia="Times New Roman" w:cs="Times New Roman" w:ascii="Arial" w:hAnsi="Arial"/>
          <w:bCs/>
          <w:sz w:val="21"/>
          <w:szCs w:val="21"/>
          <w:lang w:val="zh-CN" w:eastAsia="zh-CN"/>
        </w:rPr>
        <w:t>Passivo Circulante + Exigível a Longo Prazo</w:t>
      </w:r>
    </w:p>
    <w:p>
      <w:pPr>
        <w:pStyle w:val="Normal"/>
        <w:widowControl/>
        <w:numPr>
          <w:ilvl w:val="0"/>
          <w:numId w:val="10"/>
        </w:numPr>
        <w:tabs>
          <w:tab w:val="clear" w:pos="709"/>
          <w:tab w:val="left" w:pos="1132" w:leader="none"/>
          <w:tab w:val="left" w:pos="4464" w:leader="none"/>
        </w:tabs>
        <w:suppressAutoHyphens w:val="true"/>
        <w:bidi w:val="0"/>
        <w:spacing w:lineRule="auto" w:line="360" w:before="57" w:after="57"/>
        <w:ind w:firstLine="709" w:start="0" w:end="0"/>
        <w:jc w:val="both"/>
        <w:rPr/>
      </w:pPr>
      <w:r>
        <w:rPr>
          <w:rFonts w:eastAsia="Times New Roman" w:cs="Times New Roman" w:ascii="Arial" w:hAnsi="Arial"/>
          <w:sz w:val="21"/>
          <w:szCs w:val="21"/>
          <w:lang w:val="zh-CN" w:eastAsia="zh-CN"/>
        </w:rPr>
        <w:t>A licitante vencedora, na forma da lei, deverá contratar e apresentar no prazo máximo de 10 (dez) dias contados da assinatura do contrato, para fins de emissão da ordem de serviço, as seguintes comprovações abaixo especificadas nas alíneas “a” a “b”:</w:t>
      </w:r>
    </w:p>
    <w:p>
      <w:pPr>
        <w:pStyle w:val="Normal"/>
        <w:widowControl/>
        <w:numPr>
          <w:ilvl w:val="0"/>
          <w:numId w:val="11"/>
        </w:numPr>
        <w:tabs>
          <w:tab w:val="clear" w:pos="709"/>
          <w:tab w:val="left" w:pos="1132" w:leader="none"/>
          <w:tab w:val="left" w:pos="4464" w:leader="none"/>
        </w:tabs>
        <w:suppressAutoHyphens w:val="true"/>
        <w:bidi w:val="0"/>
        <w:spacing w:lineRule="auto" w:line="360" w:before="57" w:after="57"/>
        <w:ind w:firstLine="709" w:start="0" w:end="0"/>
        <w:jc w:val="both"/>
        <w:rPr/>
      </w:pPr>
      <w:r>
        <w:rPr>
          <w:rFonts w:ascii="Arial" w:hAnsi="Arial"/>
          <w:sz w:val="21"/>
          <w:szCs w:val="21"/>
          <w:lang w:val="zh-CN" w:eastAsia="zh-CN" w:bidi="ar-SA"/>
        </w:rPr>
        <w:t>Comprovação de contratação de seguro contra riscos de engenharia com validade para todo o período de execução do serviço, o qual deverá cobrir eventuais prejuízos de origem súbita e imprevista por qualquer causa, inclusive as avarias causadas por erros, desentulho e despesas extraordinárias.</w:t>
      </w:r>
    </w:p>
    <w:p>
      <w:pPr>
        <w:pStyle w:val="ListParagraph"/>
        <w:widowControl/>
        <w:numPr>
          <w:ilvl w:val="0"/>
          <w:numId w:val="11"/>
        </w:numPr>
        <w:tabs>
          <w:tab w:val="clear" w:pos="709"/>
          <w:tab w:val="left" w:pos="1132" w:leader="none"/>
          <w:tab w:val="left" w:pos="4464" w:leader="none"/>
        </w:tabs>
        <w:suppressAutoHyphens w:val="false"/>
        <w:bidi w:val="0"/>
        <w:spacing w:lineRule="auto" w:line="360" w:before="0" w:after="0"/>
        <w:ind w:firstLine="709" w:start="0" w:end="0"/>
        <w:contextualSpacing/>
        <w:jc w:val="both"/>
        <w:rPr>
          <w:rFonts w:ascii="Arial" w:hAnsi="Arial"/>
          <w:sz w:val="21"/>
          <w:szCs w:val="21"/>
        </w:rPr>
      </w:pPr>
      <w:r>
        <w:rPr>
          <w:rFonts w:ascii="Arial" w:hAnsi="Arial"/>
          <w:sz w:val="21"/>
          <w:szCs w:val="21"/>
          <w:lang w:val="zh-CN" w:bidi="ar-SA"/>
        </w:rPr>
        <w:t>Apólice de seguro de responsabilidade civil geral e responsabilidade civil cruzada, incluindo coberturas de morte e invalidez dos funcionários e danos contra terceiros, com no mínimo o triplo do valor do contrato, ou até o limite máximo da seguradora, pelo prazo de vigência do contrato, correndo à sua conta as eventuais despesas bem como indenizações não cobertas pela respectiva apólice, em caso de sinistro envolvendo seus funcionários e/ou terceiros, em decorrência da execução contratual.</w:t>
      </w:r>
    </w:p>
    <w:p>
      <w:pPr>
        <w:pStyle w:val="Normal"/>
        <w:widowControl/>
        <w:suppressAutoHyphens w:val="true"/>
        <w:bidi w:val="0"/>
        <w:spacing w:lineRule="auto" w:line="360" w:before="142" w:after="142"/>
        <w:ind w:hanging="0" w:start="0" w:end="0"/>
        <w:jc w:val="both"/>
        <w:rPr/>
      </w:pPr>
      <w:r>
        <w:rPr>
          <w:rFonts w:ascii="Arial" w:hAnsi="Arial"/>
          <w:sz w:val="21"/>
          <w:szCs w:val="21"/>
        </w:rPr>
        <w:t>10.2.1. Na hipótese de participação de empresa em recuperação judicial cujo processamento da recuperação judicial tenha sido deferido pelo juiz, a apresentação das certidões negativas (prova de regularidade perante a fazenda federal e a seguridade social; prova de regularidade junto à fazenda estadual; prova de regularidade junto à fazenda municipal; inscrição no cadastro de contribuintes estadual e/ou municipal; prova de regularidade com o FGTS; prova de inexistência de débitos perante a justiça do trabalho) será dispensada mediante o envio de cópia da decisão judicial deferindo o processamento da recuperação judicial e dispensando a apresentação de certidões negativas para o exercício das atividades, nos termos do art. 52, caput, inciso II, da Lei Federal nº 11.101/2005.</w:t>
      </w:r>
    </w:p>
    <w:p>
      <w:pPr>
        <w:pStyle w:val="Normal"/>
        <w:widowControl/>
        <w:suppressAutoHyphens w:val="true"/>
        <w:bidi w:val="0"/>
        <w:spacing w:lineRule="auto" w:line="360" w:before="142" w:after="142"/>
        <w:ind w:hanging="0" w:start="0" w:end="0"/>
        <w:jc w:val="both"/>
        <w:rPr/>
      </w:pPr>
      <w:r>
        <w:rPr>
          <w:rFonts w:ascii="Arial" w:hAnsi="Arial"/>
          <w:sz w:val="21"/>
          <w:szCs w:val="21"/>
        </w:rPr>
        <w:t>10.2.2. A dispensa da apresentação de certidões negativas referida acima não exime a empresa em recuperação judicial da obrigação de demonstrar a regularidade relativa ao Sistema de Seguridade Social, por imperativo constitucional expresso no art. 195, § 3º, da Constituição Federal e ressalvado no art. 52, caput, inciso II, da Lei Federal nº 11.101/2005.;</w:t>
      </w:r>
    </w:p>
    <w:p>
      <w:pPr>
        <w:pStyle w:val="Normal"/>
        <w:widowControl/>
        <w:suppressAutoHyphens w:val="true"/>
        <w:bidi w:val="0"/>
        <w:spacing w:lineRule="auto" w:line="360" w:before="142" w:after="142"/>
        <w:ind w:hanging="0" w:start="0" w:end="0"/>
        <w:jc w:val="both"/>
        <w:rPr/>
      </w:pPr>
      <w:r>
        <w:rPr>
          <w:rFonts w:ascii="Arial" w:hAnsi="Arial"/>
          <w:sz w:val="21"/>
          <w:szCs w:val="21"/>
        </w:rPr>
        <w:t>10.2.3. As licitantes que, por sua natureza ou por força de lei, estiverem dispensadas da apresentação de determinados documentos de habilitação, deverão apresentar declaração identificando a situação e citando os dispositivos legais pertinentes.</w:t>
      </w:r>
    </w:p>
    <w:p>
      <w:pPr>
        <w:pStyle w:val="Normal"/>
        <w:widowControl/>
        <w:suppressAutoHyphens w:val="true"/>
        <w:bidi w:val="0"/>
        <w:spacing w:lineRule="auto" w:line="360" w:before="142" w:after="142"/>
        <w:ind w:hanging="0" w:start="0" w:end="0"/>
        <w:jc w:val="both"/>
        <w:rPr/>
      </w:pPr>
      <w:r>
        <w:rPr>
          <w:rFonts w:ascii="Arial" w:hAnsi="Arial"/>
          <w:sz w:val="21"/>
          <w:szCs w:val="21"/>
        </w:rPr>
        <w:t>10.2.4. Os documentos referidos nos itens “f”, “g”, “h”, “i”, “j”, “k” e “l” poderão ser substituídos ou supridos, no todo ou em parte, por outros meios hábeis a comprovar a regularidade do licitante, inclusive por meio eletrônico.</w:t>
      </w:r>
    </w:p>
    <w:p>
      <w:pPr>
        <w:pStyle w:val="Normal"/>
        <w:spacing w:lineRule="auto" w:line="360" w:before="142" w:after="142"/>
        <w:ind w:hanging="0" w:start="0" w:end="0"/>
        <w:jc w:val="both"/>
        <w:rPr/>
      </w:pPr>
      <w:r>
        <w:rPr>
          <w:rFonts w:eastAsia="Times New Roman" w:cs="Arial" w:ascii="Arial" w:hAnsi="Arial"/>
          <w:bCs/>
          <w:color w:val="000000"/>
          <w:kern w:val="0"/>
          <w:sz w:val="21"/>
          <w:szCs w:val="21"/>
          <w:lang w:eastAsia="zh-CN"/>
        </w:rPr>
        <w:t xml:space="preserve">10.2.5. </w:t>
      </w:r>
      <w:r>
        <w:rPr>
          <w:rFonts w:cs="Arial" w:ascii="Arial" w:hAnsi="Arial"/>
          <w:sz w:val="21"/>
          <w:szCs w:val="21"/>
        </w:rPr>
        <w:t xml:space="preserve">A não apresentação da documentação de Cadastro Nacional das Empresas Inidôneas e Suspensas – CEIS, </w:t>
      </w:r>
      <w:r>
        <w:rPr>
          <w:rFonts w:eastAsia="Times New Roman" w:cs="Arial" w:ascii="Arial" w:hAnsi="Arial"/>
          <w:bCs/>
          <w:color w:val="000000"/>
          <w:kern w:val="0"/>
          <w:sz w:val="21"/>
          <w:szCs w:val="21"/>
          <w:lang w:eastAsia="zh-CN"/>
        </w:rPr>
        <w:t>Cadastro Nacional de Condenações Civis por Ato de Improbidade Administrativa e Inelegibilidade</w:t>
      </w:r>
      <w:r>
        <w:rPr>
          <w:rFonts w:cs="Arial" w:ascii="Arial" w:hAnsi="Arial"/>
          <w:sz w:val="21"/>
          <w:szCs w:val="21"/>
        </w:rPr>
        <w:t xml:space="preserve"> e Certidões Negativa de Licitante Inidôneos e Inabilitados, não acarretará a inabilitação da proponente, podendo esta ser consultada para fins de habilitação, a qualquer tempo pelo(a) Agente de Contratação e/ou requeridas à licitante.</w:t>
      </w:r>
    </w:p>
    <w:p>
      <w:pPr>
        <w:pStyle w:val="Normal"/>
        <w:spacing w:lineRule="auto" w:line="360" w:before="142" w:after="142"/>
        <w:ind w:hanging="0" w:start="0" w:end="0"/>
        <w:jc w:val="both"/>
        <w:rPr/>
      </w:pPr>
      <w:r>
        <w:rPr>
          <w:rFonts w:ascii="Arial" w:hAnsi="Arial"/>
          <w:sz w:val="21"/>
          <w:szCs w:val="21"/>
        </w:rPr>
        <w:t xml:space="preserve">10.2.6. </w:t>
      </w:r>
      <w:r>
        <w:rPr>
          <w:rFonts w:cs="Arial" w:ascii="Arial" w:hAnsi="Arial"/>
          <w:sz w:val="21"/>
          <w:szCs w:val="21"/>
        </w:rPr>
        <w:t>Caso a empresa enquadre-se em alguma hipótese de inidoneidade e suspensão, será analisado o alcance da mesma, sendo garantido à licitante o os prazos recursais previstos em Lei, em caso de inabilitação.</w:t>
      </w:r>
    </w:p>
    <w:p>
      <w:pPr>
        <w:pStyle w:val="Normal"/>
        <w:widowControl/>
        <w:suppressAutoHyphens w:val="true"/>
        <w:bidi w:val="0"/>
        <w:spacing w:lineRule="auto" w:line="360" w:before="142" w:after="142"/>
        <w:ind w:hanging="0" w:start="0" w:end="0"/>
        <w:jc w:val="both"/>
        <w:rPr/>
      </w:pPr>
      <w:r>
        <w:rPr>
          <w:rFonts w:ascii="Arial" w:hAnsi="Arial"/>
          <w:sz w:val="21"/>
          <w:szCs w:val="21"/>
        </w:rPr>
        <w:t>10.3. As Microempresas e Empresas de Pequeno Porte deverão apresentar os documentos referentes à regularidade fiscal. Todavia, 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 na forma da Lei Complementar nº 123/06 e 147/14.</w:t>
      </w:r>
    </w:p>
    <w:p>
      <w:pPr>
        <w:pStyle w:val="Normal"/>
        <w:widowControl/>
        <w:suppressAutoHyphens w:val="true"/>
        <w:bidi w:val="0"/>
        <w:spacing w:lineRule="auto" w:line="360" w:before="142" w:after="142"/>
        <w:ind w:hanging="0" w:start="0" w:end="0"/>
        <w:jc w:val="both"/>
        <w:rPr/>
      </w:pPr>
      <w:r>
        <w:rPr>
          <w:rFonts w:ascii="Arial" w:hAnsi="Arial"/>
          <w:sz w:val="21"/>
          <w:szCs w:val="21"/>
        </w:rPr>
        <w:t>10.3.1. A não regularização da documentação no prazo previsto acima, implicará decadência do direito à contratação, sem prejuízo das sanções previstas no art. 155 e seguintes da Lei Federal nº 14.133, de 2021, sendo facultado ao Órgão Gerenciador convocar os Fornecedores do Cadastro de Reserva, na ordem de classificação, para a assinatura do contrato, ou revogar a licitação.</w:t>
      </w:r>
    </w:p>
    <w:p>
      <w:pPr>
        <w:pStyle w:val="Normal"/>
        <w:widowControl/>
        <w:suppressAutoHyphens w:val="true"/>
        <w:bidi w:val="0"/>
        <w:spacing w:lineRule="auto" w:line="360" w:before="142" w:after="142"/>
        <w:ind w:hanging="0" w:start="0" w:end="0"/>
        <w:jc w:val="both"/>
        <w:rPr/>
      </w:pPr>
      <w:r>
        <w:rPr>
          <w:rFonts w:ascii="Arial" w:hAnsi="Arial"/>
          <w:sz w:val="21"/>
          <w:szCs w:val="21"/>
        </w:rPr>
        <w:t>10.4. Os documentos devem apresentar prazo de validade, e poderão ser entregues em via eletrônica. Não serão aceitas cópias de documentos ilegíveis. A verificação nos sítios oficiais de órgãos e entidades emissoras de certidões constituem meio legal de prova para fins de habilitação.</w:t>
      </w:r>
    </w:p>
    <w:p>
      <w:pPr>
        <w:pStyle w:val="Normal"/>
        <w:spacing w:lineRule="auto" w:line="360" w:before="142" w:after="142"/>
        <w:ind w:hanging="0" w:start="0" w:end="0"/>
        <w:jc w:val="both"/>
        <w:rPr/>
      </w:pPr>
      <w:r>
        <w:rPr>
          <w:rFonts w:eastAsia="Times New Roman" w:cs="Arial" w:ascii="Arial" w:hAnsi="Arial"/>
          <w:bCs/>
          <w:color w:val="000000"/>
          <w:kern w:val="0"/>
          <w:sz w:val="21"/>
          <w:szCs w:val="21"/>
          <w:lang w:eastAsia="zh-CN"/>
        </w:rPr>
        <w:t>10.4.1. Quando as certidões apresentadas não tiverem prazo de validade estabelecido pelo competente órgão expedidor, será adotada a vigência de 90 (noventa) dias consecutivos, contados a partir da data de sua expedição. Não se enquadram nesse dispositivo os documentos que, pela própria natureza, não possuem prazo de validade.</w:t>
      </w:r>
    </w:p>
    <w:p>
      <w:pPr>
        <w:pStyle w:val="Normal"/>
        <w:widowControl/>
        <w:suppressAutoHyphens w:val="true"/>
        <w:bidi w:val="0"/>
        <w:spacing w:lineRule="auto" w:line="360" w:before="142" w:after="142"/>
        <w:ind w:hanging="0" w:start="0" w:end="0"/>
        <w:jc w:val="both"/>
        <w:rPr/>
      </w:pPr>
      <w:r>
        <w:rPr>
          <w:rFonts w:ascii="Arial" w:hAnsi="Arial"/>
          <w:sz w:val="21"/>
          <w:szCs w:val="21"/>
        </w:rPr>
        <w:t>10.5. Em todas as hipóteses referidas neste Edital, não serão aceitos documentos com prazo de validade vencido, bem como não serão aceitos, em nenhuma hipótese, “protocolo” de documento necessário à habilitação.</w:t>
      </w:r>
    </w:p>
    <w:p>
      <w:pPr>
        <w:pStyle w:val="Normal"/>
        <w:widowControl/>
        <w:suppressAutoHyphens w:val="true"/>
        <w:bidi w:val="0"/>
        <w:spacing w:lineRule="auto" w:line="360" w:before="142" w:after="142"/>
        <w:ind w:hanging="0" w:start="0" w:end="0"/>
        <w:jc w:val="both"/>
        <w:rPr/>
      </w:pPr>
      <w:r>
        <w:rPr>
          <w:rFonts w:ascii="Arial" w:hAnsi="Arial"/>
          <w:sz w:val="21"/>
          <w:szCs w:val="21"/>
        </w:rPr>
        <w:t>10.6. A documentação referida neste Capítulo poderá ser apresentada em original, por cópia, eletrônico ou por qualquer outro meio expressamente admitido pela Administração.</w:t>
      </w:r>
    </w:p>
    <w:p>
      <w:pPr>
        <w:pStyle w:val="Normal"/>
        <w:widowControl/>
        <w:suppressAutoHyphens w:val="true"/>
        <w:bidi w:val="0"/>
        <w:spacing w:lineRule="auto" w:line="360" w:before="142" w:after="142"/>
        <w:ind w:hanging="0" w:start="0" w:end="0"/>
        <w:jc w:val="both"/>
        <w:rPr/>
      </w:pPr>
      <w:r>
        <w:rPr>
          <w:rFonts w:ascii="Arial" w:hAnsi="Arial"/>
          <w:sz w:val="21"/>
          <w:szCs w:val="21"/>
        </w:rPr>
        <w:t>10.7. Após a entrega dos documentos para habilitação na forma prevista no edital, inclusive após a complementação, em sendo declarado vencedor, não será permitida a substituição ou a apresentação de novos documentos, salvo em sede de diligência, para:</w:t>
      </w:r>
    </w:p>
    <w:p>
      <w:pPr>
        <w:pStyle w:val="Normal"/>
        <w:widowControl/>
        <w:suppressAutoHyphens w:val="true"/>
        <w:bidi w:val="0"/>
        <w:spacing w:lineRule="auto" w:line="360" w:before="142" w:after="142"/>
        <w:ind w:hanging="0" w:start="0" w:end="0"/>
        <w:jc w:val="both"/>
        <w:rPr/>
      </w:pPr>
      <w:r>
        <w:rPr>
          <w:rFonts w:ascii="Arial" w:hAnsi="Arial"/>
          <w:sz w:val="21"/>
          <w:szCs w:val="21"/>
        </w:rPr>
        <w:tab/>
        <w:t>a) complementação de informações acerca dos documentos já apresentados pelos licitantes e desde que necessária para apurar fatos existentes à época da abertura do certame;</w:t>
      </w:r>
    </w:p>
    <w:p>
      <w:pPr>
        <w:pStyle w:val="Normal"/>
        <w:widowControl/>
        <w:suppressAutoHyphens w:val="true"/>
        <w:bidi w:val="0"/>
        <w:spacing w:lineRule="auto" w:line="360" w:before="142" w:after="142"/>
        <w:ind w:hanging="0" w:start="0" w:end="0"/>
        <w:jc w:val="both"/>
        <w:rPr/>
      </w:pPr>
      <w:r>
        <w:rPr>
          <w:rFonts w:ascii="Arial" w:hAnsi="Arial"/>
          <w:sz w:val="21"/>
          <w:szCs w:val="21"/>
        </w:rPr>
        <w:tab/>
        <w:t>b) atualização de documentos cuja validade tenha expirado após a data de recebimento das propostas.</w:t>
      </w:r>
    </w:p>
    <w:p>
      <w:pPr>
        <w:pStyle w:val="Normal"/>
        <w:widowControl/>
        <w:suppressAutoHyphens w:val="true"/>
        <w:bidi w:val="0"/>
        <w:spacing w:lineRule="auto" w:line="360" w:before="142" w:after="142"/>
        <w:ind w:hanging="0" w:start="0" w:end="0"/>
        <w:jc w:val="both"/>
        <w:rPr/>
      </w:pPr>
      <w:r>
        <w:rPr>
          <w:rFonts w:ascii="Arial" w:hAnsi="Arial"/>
          <w:sz w:val="21"/>
          <w:szCs w:val="21"/>
        </w:rPr>
        <w:t>10.8. Na análise dos documentos de habilitação, o(a) Agente de Contratação poderá sanar erros ou falhas que não alterem a substância dos documentos e sua validade jurídica, mediante despacho fundamentado registrado e acessível a todos, atribuindo-lhes eficácia para fins de habilitação e classificação.</w:t>
      </w:r>
    </w:p>
    <w:p>
      <w:pPr>
        <w:pStyle w:val="Normal"/>
        <w:widowControl/>
        <w:suppressAutoHyphens w:val="true"/>
        <w:bidi w:val="0"/>
        <w:spacing w:lineRule="auto" w:line="360" w:before="142" w:after="142"/>
        <w:ind w:hanging="0" w:start="0" w:end="0"/>
        <w:jc w:val="both"/>
        <w:rPr/>
      </w:pPr>
      <w:r>
        <w:rPr>
          <w:rFonts w:ascii="Arial" w:hAnsi="Arial"/>
          <w:b/>
          <w:bCs/>
          <w:sz w:val="21"/>
          <w:szCs w:val="21"/>
        </w:rPr>
        <w:t>11. DAS OBRIGAÇÕES</w:t>
      </w:r>
    </w:p>
    <w:p>
      <w:pPr>
        <w:pStyle w:val="Normal"/>
        <w:widowControl/>
        <w:suppressAutoHyphens w:val="true"/>
        <w:bidi w:val="0"/>
        <w:spacing w:lineRule="auto" w:line="360" w:before="142" w:after="142"/>
        <w:ind w:hanging="0" w:start="0" w:end="0"/>
        <w:jc w:val="both"/>
        <w:rPr/>
      </w:pPr>
      <w:r>
        <w:rPr>
          <w:rFonts w:ascii="Arial" w:hAnsi="Arial"/>
          <w:sz w:val="21"/>
          <w:szCs w:val="21"/>
        </w:rPr>
        <w:t>11.1. Será de responsabilidade da CONTRATADA, sob pena de aplicação das sanções previstas neste Edital e no Contrato, cumprir todas as obrigações constantes no Contrato, Edital, seus anexos e sua proposta, assumindo exclusivamente os riscos e as despesas decorrentes da boa e perfeita execução do objeto e, ainda:</w:t>
      </w:r>
    </w:p>
    <w:p>
      <w:pPr>
        <w:pStyle w:val="Normal"/>
        <w:widowControl/>
        <w:suppressAutoHyphens w:val="true"/>
        <w:bidi w:val="0"/>
        <w:spacing w:lineRule="auto" w:line="360" w:before="142" w:after="142"/>
        <w:ind w:hanging="0" w:start="0" w:end="0"/>
        <w:jc w:val="both"/>
        <w:rPr/>
      </w:pPr>
      <w:r>
        <w:rPr>
          <w:rFonts w:ascii="Arial" w:hAnsi="Arial"/>
          <w:sz w:val="21"/>
          <w:szCs w:val="21"/>
        </w:rPr>
        <w:tab/>
        <w:t>a) Executar os serviços conforme este Edital, Termo de Referência e seus Anexos e conforme normas extra-editalícias que sejam pertinentes a sua área;</w:t>
      </w:r>
    </w:p>
    <w:p>
      <w:pPr>
        <w:pStyle w:val="Normal"/>
        <w:widowControl/>
        <w:suppressAutoHyphens w:val="true"/>
        <w:bidi w:val="0"/>
        <w:spacing w:lineRule="auto" w:line="360" w:before="142" w:after="142"/>
        <w:ind w:hanging="0" w:start="0" w:end="0"/>
        <w:jc w:val="both"/>
        <w:rPr/>
      </w:pPr>
      <w:r>
        <w:rPr>
          <w:rFonts w:ascii="Arial" w:hAnsi="Arial"/>
          <w:sz w:val="21"/>
          <w:szCs w:val="21"/>
        </w:rPr>
        <w:tab/>
        <w:t>b) Fornecer o objeto desta licitação, na forma, nos locais, nos prazos e nos preços estipulados na sua proposta;</w:t>
      </w:r>
    </w:p>
    <w:p>
      <w:pPr>
        <w:pStyle w:val="Normal"/>
        <w:widowControl/>
        <w:suppressAutoHyphens w:val="true"/>
        <w:bidi w:val="0"/>
        <w:spacing w:lineRule="auto" w:line="360" w:before="142" w:after="142"/>
        <w:ind w:hanging="0" w:start="0" w:end="0"/>
        <w:jc w:val="both"/>
        <w:rPr/>
      </w:pPr>
      <w:r>
        <w:rPr>
          <w:rFonts w:ascii="Arial" w:hAnsi="Arial"/>
          <w:sz w:val="21"/>
          <w:szCs w:val="21"/>
        </w:rPr>
        <w:tab/>
        <w:t>c) Responsabilizar-se por todas as despesas oriundas de suas atividades;</w:t>
      </w:r>
    </w:p>
    <w:p>
      <w:pPr>
        <w:pStyle w:val="Normal"/>
        <w:widowControl/>
        <w:suppressAutoHyphens w:val="true"/>
        <w:bidi w:val="0"/>
        <w:spacing w:lineRule="auto" w:line="360" w:before="142" w:after="142"/>
        <w:ind w:hanging="0" w:start="0" w:end="0"/>
        <w:jc w:val="both"/>
        <w:rPr/>
      </w:pPr>
      <w:r>
        <w:rPr>
          <w:rFonts w:ascii="Arial" w:hAnsi="Arial"/>
          <w:sz w:val="21"/>
          <w:szCs w:val="21"/>
        </w:rPr>
        <w:tab/>
        <w:t>d) Manter, durante a vigência do contrato, em compatibilidade com as obrigações trabalhistas, as condições de habilitação e qualificação exigidas na licitação, devendo comunicar ao Município de Lindóia do Sul, a superveniência de fato impeditivo da manutenção dessas condições;</w:t>
      </w:r>
    </w:p>
    <w:p>
      <w:pPr>
        <w:pStyle w:val="Normal"/>
        <w:widowControl/>
        <w:suppressAutoHyphens w:val="true"/>
        <w:bidi w:val="0"/>
        <w:spacing w:lineRule="auto" w:line="360" w:before="142" w:after="142"/>
        <w:ind w:hanging="0" w:start="0" w:end="0"/>
        <w:jc w:val="both"/>
        <w:rPr/>
      </w:pPr>
      <w:r>
        <w:rPr>
          <w:rFonts w:ascii="Arial" w:hAnsi="Arial"/>
          <w:sz w:val="21"/>
          <w:szCs w:val="21"/>
        </w:rPr>
        <w:tab/>
        <w:t>e) Acusar o recebimento da Ordem de Serviço/Solicitação de Fornecimento, bem como de qualquer outra notificação enviada por meio eletrônico, no prazo máximo de 24 (vinte e quatro) horas, ressalvando-se que, se o prazo final deste item recair em final de semana ou feriado, será prorrogado ao próximo dia útil;</w:t>
      </w:r>
    </w:p>
    <w:p>
      <w:pPr>
        <w:pStyle w:val="Normal"/>
        <w:widowControl/>
        <w:suppressAutoHyphens w:val="true"/>
        <w:bidi w:val="0"/>
        <w:spacing w:lineRule="auto" w:line="360" w:before="142" w:after="142"/>
        <w:ind w:hanging="0" w:start="0" w:end="0"/>
        <w:jc w:val="both"/>
        <w:rPr/>
      </w:pPr>
      <w:r>
        <w:rPr>
          <w:rFonts w:ascii="Arial" w:hAnsi="Arial"/>
          <w:sz w:val="21"/>
          <w:szCs w:val="21"/>
        </w:rPr>
        <w:tab/>
        <w:t>f) Nomear responsável para, durante o período de vigência, representá-lo na execução do contrato;</w:t>
      </w:r>
    </w:p>
    <w:p>
      <w:pPr>
        <w:pStyle w:val="Normal"/>
        <w:widowControl/>
        <w:suppressAutoHyphens w:val="true"/>
        <w:bidi w:val="0"/>
        <w:spacing w:lineRule="auto" w:line="360" w:before="142" w:after="142"/>
        <w:ind w:hanging="0" w:start="0" w:end="0"/>
        <w:jc w:val="both"/>
        <w:rPr/>
      </w:pPr>
      <w:r>
        <w:rPr>
          <w:rFonts w:ascii="Arial" w:hAnsi="Arial"/>
          <w:sz w:val="21"/>
          <w:szCs w:val="21"/>
        </w:rPr>
        <w:tab/>
        <w:t>g) Responsabilizar-se por todo e qualquer dano que, por dolo ou culpa, os seus profissionais causarem ao CONTRATANTE ou a terceiros, sendo descontado no primeiro pagamento subsequente à ocorrência, o valor correspondente ao dano e/ou prejuízo causado;</w:t>
      </w:r>
    </w:p>
    <w:p>
      <w:pPr>
        <w:pStyle w:val="Normal"/>
        <w:widowControl/>
        <w:suppressAutoHyphens w:val="true"/>
        <w:bidi w:val="0"/>
        <w:spacing w:lineRule="auto" w:line="360" w:before="142" w:after="142"/>
        <w:ind w:hanging="0" w:start="0" w:end="0"/>
        <w:jc w:val="both"/>
        <w:rPr/>
      </w:pPr>
      <w:r>
        <w:rPr>
          <w:rFonts w:ascii="Arial" w:hAnsi="Arial"/>
          <w:sz w:val="21"/>
          <w:szCs w:val="21"/>
        </w:rPr>
        <w:tab/>
        <w:t>h) Comunicar à Administração da CONTRATANTE qualquer anormalidade constatada e prestar os esclarecimentos solicitados;</w:t>
      </w:r>
    </w:p>
    <w:p>
      <w:pPr>
        <w:pStyle w:val="Normal"/>
        <w:widowControl/>
        <w:suppressAutoHyphens w:val="true"/>
        <w:bidi w:val="0"/>
        <w:spacing w:lineRule="auto" w:line="360" w:before="142" w:after="142"/>
        <w:ind w:hanging="0" w:start="0" w:end="0"/>
        <w:jc w:val="both"/>
        <w:rPr/>
      </w:pPr>
      <w:r>
        <w:rPr>
          <w:rFonts w:ascii="Arial" w:hAnsi="Arial"/>
          <w:sz w:val="21"/>
          <w:szCs w:val="21"/>
        </w:rPr>
        <w:tab/>
        <w:t>i) A CONTRATADA ficará obrigada a aceitar nas mesmas condições do edital, as supressões que se fizerem necessários, até 25% (vinte e cinco por cento) do valor inicial atualizado do Contrato, devendo acima desse limite ser resultantes de acordo entre as partes; ou no caso de reforma de edifício ou de equipamento, o limite para os acréscimos será de 50% (cinquenta por cento), de acordo com o Art. 125, da Lei 14.133/2021.</w:t>
      </w:r>
    </w:p>
    <w:p>
      <w:pPr>
        <w:pStyle w:val="Normal"/>
        <w:widowControl/>
        <w:suppressAutoHyphens w:val="true"/>
        <w:bidi w:val="0"/>
        <w:spacing w:lineRule="auto" w:line="360" w:before="142" w:after="142"/>
        <w:ind w:hanging="0" w:start="0" w:end="0"/>
        <w:jc w:val="both"/>
        <w:rPr/>
      </w:pPr>
      <w:r>
        <w:rPr>
          <w:rFonts w:ascii="Arial" w:hAnsi="Arial"/>
          <w:sz w:val="21"/>
          <w:szCs w:val="21"/>
        </w:rPr>
        <w:tab/>
        <w:t>j) Responsabilizar-se pelos vícios e danos decorrentes do objeto, de acordo com os artigos 12, 13 e 17 a 27, do Código de Defesa do Consumidor (Lei Federal nº 8.078, de 1990);</w:t>
      </w:r>
    </w:p>
    <w:p>
      <w:pPr>
        <w:pStyle w:val="Normal"/>
        <w:widowControl/>
        <w:suppressAutoHyphens w:val="true"/>
        <w:bidi w:val="0"/>
        <w:spacing w:lineRule="auto" w:line="360" w:before="142" w:after="142"/>
        <w:ind w:hanging="0" w:start="0" w:end="0"/>
        <w:jc w:val="both"/>
        <w:rPr/>
      </w:pPr>
      <w:r>
        <w:rPr>
          <w:rFonts w:ascii="Arial" w:hAnsi="Arial"/>
          <w:sz w:val="21"/>
          <w:szCs w:val="21"/>
        </w:rPr>
        <w:tab/>
        <w:t>k) Outras obrigações previstas no Edital, Termo de Referência, no Contrato e na Lei.</w:t>
      </w:r>
    </w:p>
    <w:p>
      <w:pPr>
        <w:pStyle w:val="Normal"/>
        <w:widowControl/>
        <w:suppressAutoHyphens w:val="true"/>
        <w:bidi w:val="0"/>
        <w:spacing w:lineRule="auto" w:line="360" w:before="142" w:after="142"/>
        <w:ind w:hanging="0" w:start="0" w:end="0"/>
        <w:jc w:val="both"/>
        <w:rPr/>
      </w:pPr>
      <w:r>
        <w:rPr>
          <w:rFonts w:ascii="Arial" w:hAnsi="Arial"/>
          <w:sz w:val="21"/>
          <w:szCs w:val="21"/>
        </w:rPr>
        <w:t>11.2. São expressamente vedadas à CONTRATADA:</w:t>
      </w:r>
    </w:p>
    <w:p>
      <w:pPr>
        <w:pStyle w:val="Normal"/>
        <w:widowControl/>
        <w:suppressAutoHyphens w:val="true"/>
        <w:bidi w:val="0"/>
        <w:spacing w:lineRule="auto" w:line="360" w:before="142" w:after="142"/>
        <w:ind w:hanging="0" w:start="0" w:end="0"/>
        <w:jc w:val="both"/>
        <w:rPr/>
      </w:pPr>
      <w:r>
        <w:rPr>
          <w:rFonts w:ascii="Arial" w:hAnsi="Arial"/>
          <w:sz w:val="21"/>
          <w:szCs w:val="21"/>
        </w:rPr>
        <w:tab/>
        <w:t>a) A veiculação de publicidade acerca deste contrato, salvo se houver prévia autorização da CONTRATANTE;</w:t>
      </w:r>
    </w:p>
    <w:p>
      <w:pPr>
        <w:pStyle w:val="Normal"/>
        <w:widowControl/>
        <w:suppressAutoHyphens w:val="true"/>
        <w:bidi w:val="0"/>
        <w:spacing w:lineRule="auto" w:line="360" w:before="142" w:after="142"/>
        <w:ind w:hanging="0" w:start="0" w:end="0"/>
        <w:jc w:val="both"/>
        <w:rPr/>
      </w:pPr>
      <w:r>
        <w:rPr>
          <w:rFonts w:ascii="Arial" w:hAnsi="Arial"/>
          <w:sz w:val="21"/>
          <w:szCs w:val="21"/>
        </w:rPr>
        <w:tab/>
        <w:t>b) A subcontratação para a execução do objeto deste contrato; e</w:t>
      </w:r>
    </w:p>
    <w:p>
      <w:pPr>
        <w:pStyle w:val="Normal"/>
        <w:widowControl/>
        <w:suppressAutoHyphens w:val="true"/>
        <w:bidi w:val="0"/>
        <w:spacing w:lineRule="auto" w:line="360" w:before="142" w:after="142"/>
        <w:ind w:hanging="0" w:start="0" w:end="0"/>
        <w:jc w:val="both"/>
        <w:rPr/>
      </w:pPr>
      <w:r>
        <w:rPr>
          <w:rFonts w:ascii="Arial" w:hAnsi="Arial"/>
          <w:sz w:val="21"/>
          <w:szCs w:val="21"/>
        </w:rPr>
        <w:t>11.3. A CONTRATANTE, além das obrigações estabelecidas no Edital e seus anexos, deve:</w:t>
      </w:r>
    </w:p>
    <w:p>
      <w:pPr>
        <w:pStyle w:val="Normal"/>
        <w:widowControl/>
        <w:suppressAutoHyphens w:val="true"/>
        <w:bidi w:val="0"/>
        <w:spacing w:lineRule="auto" w:line="360" w:before="142" w:after="142"/>
        <w:ind w:hanging="0" w:start="0" w:end="0"/>
        <w:jc w:val="both"/>
        <w:rPr/>
      </w:pPr>
      <w:r>
        <w:rPr>
          <w:rFonts w:ascii="Arial" w:hAnsi="Arial"/>
          <w:sz w:val="21"/>
          <w:szCs w:val="21"/>
        </w:rPr>
        <w:tab/>
        <w:t>a) Expedir a ordem de serviço;</w:t>
      </w:r>
    </w:p>
    <w:p>
      <w:pPr>
        <w:pStyle w:val="Normal"/>
        <w:widowControl/>
        <w:suppressAutoHyphens w:val="true"/>
        <w:bidi w:val="0"/>
        <w:spacing w:lineRule="auto" w:line="360" w:before="142" w:after="142"/>
        <w:ind w:hanging="0" w:start="0" w:end="0"/>
        <w:jc w:val="both"/>
        <w:rPr/>
      </w:pPr>
      <w:r>
        <w:rPr>
          <w:rFonts w:ascii="Arial" w:hAnsi="Arial"/>
          <w:sz w:val="21"/>
          <w:szCs w:val="21"/>
        </w:rPr>
        <w:tab/>
        <w:t>b) Prestar as informações e os esclarecimentos pertinentes que venham a ser solicitados pelo representante ou preposto da CONTRATADA;</w:t>
      </w:r>
    </w:p>
    <w:p>
      <w:pPr>
        <w:pStyle w:val="Normal"/>
        <w:widowControl/>
        <w:suppressAutoHyphens w:val="true"/>
        <w:bidi w:val="0"/>
        <w:spacing w:lineRule="auto" w:line="360" w:before="142" w:after="142"/>
        <w:ind w:hanging="0" w:start="0" w:end="0"/>
        <w:jc w:val="both"/>
        <w:rPr/>
      </w:pPr>
      <w:r>
        <w:rPr>
          <w:rFonts w:ascii="Arial" w:hAnsi="Arial"/>
          <w:sz w:val="21"/>
          <w:szCs w:val="21"/>
        </w:rPr>
        <w:tab/>
        <w:t>c) Comunicar oficialmente à CONTRATADA quaisquer falhas verificadas no cumprimento do contrato;</w:t>
      </w:r>
    </w:p>
    <w:p>
      <w:pPr>
        <w:pStyle w:val="Normal"/>
        <w:widowControl/>
        <w:suppressAutoHyphens w:val="true"/>
        <w:bidi w:val="0"/>
        <w:spacing w:lineRule="auto" w:line="360" w:before="142" w:after="142"/>
        <w:ind w:hanging="0" w:start="0" w:end="0"/>
        <w:jc w:val="both"/>
        <w:rPr/>
      </w:pPr>
      <w:r>
        <w:rPr>
          <w:rFonts w:ascii="Arial" w:hAnsi="Arial"/>
          <w:sz w:val="21"/>
          <w:szCs w:val="21"/>
        </w:rPr>
        <w:tab/>
        <w:t>d) Publicar o extrato do contrato e de seus aditivos, se ocorrerem, no Diário Oficial dos Municípios de Santa Catarina, órgão oficial de divulgação dos atos administrativos da CONTRATANTE, veiculado no endereço www.diariomunicipal.sc.gov.br.</w:t>
      </w:r>
    </w:p>
    <w:p>
      <w:pPr>
        <w:pStyle w:val="Normal"/>
        <w:widowControl/>
        <w:suppressAutoHyphens w:val="true"/>
        <w:bidi w:val="0"/>
        <w:spacing w:lineRule="auto" w:line="360" w:before="142" w:after="142"/>
        <w:ind w:hanging="0" w:start="0" w:end="0"/>
        <w:jc w:val="both"/>
        <w:rPr/>
      </w:pPr>
      <w:r>
        <w:rPr>
          <w:rFonts w:ascii="Arial" w:hAnsi="Arial"/>
          <w:b/>
          <w:bCs/>
          <w:sz w:val="21"/>
          <w:szCs w:val="21"/>
        </w:rPr>
        <w:t>12. DOS CRITÉRIOS DE JULGAMENTO E ADJUDICAÇÃO</w:t>
      </w:r>
    </w:p>
    <w:p>
      <w:pPr>
        <w:pStyle w:val="Normal"/>
        <w:widowControl/>
        <w:suppressAutoHyphens w:val="true"/>
        <w:bidi w:val="0"/>
        <w:spacing w:lineRule="auto" w:line="360" w:before="142" w:after="142"/>
        <w:ind w:hanging="0" w:start="0" w:end="0"/>
        <w:jc w:val="both"/>
        <w:rPr/>
      </w:pPr>
      <w:r>
        <w:rPr>
          <w:rFonts w:ascii="Arial" w:hAnsi="Arial"/>
          <w:sz w:val="21"/>
          <w:szCs w:val="21"/>
        </w:rPr>
        <w:t xml:space="preserve">12.1. </w:t>
      </w:r>
      <w:r>
        <w:rPr>
          <w:rFonts w:eastAsia="Times New Roman" w:cs="Arial" w:ascii="Arial" w:hAnsi="Arial"/>
          <w:bCs/>
          <w:color w:val="000000"/>
          <w:kern w:val="0"/>
          <w:sz w:val="21"/>
          <w:szCs w:val="21"/>
          <w:lang w:eastAsia="zh-CN"/>
        </w:rPr>
        <w:t>Para adjudicação será verificada a manutenção das condições de habilitação da licitante vencedora.</w:t>
      </w:r>
    </w:p>
    <w:p>
      <w:pPr>
        <w:pStyle w:val="Normal"/>
        <w:widowControl/>
        <w:suppressAutoHyphens w:val="true"/>
        <w:bidi w:val="0"/>
        <w:spacing w:lineRule="auto" w:line="360" w:before="142" w:after="142"/>
        <w:ind w:hanging="0" w:start="0" w:end="0"/>
        <w:jc w:val="both"/>
        <w:rPr/>
      </w:pPr>
      <w:r>
        <w:rPr>
          <w:rFonts w:eastAsia="Times New Roman" w:cs="Arial" w:ascii="Arial" w:hAnsi="Arial"/>
          <w:bCs/>
          <w:color w:val="000000"/>
          <w:kern w:val="0"/>
          <w:sz w:val="21"/>
          <w:szCs w:val="21"/>
          <w:lang w:eastAsia="zh-CN"/>
        </w:rPr>
        <w:t>12.2. Será verificado ainda, eventuais impedimentos de licitar e contratar, da licitante vencedora, mediante consultas do constante no item 6.5.1.</w:t>
      </w:r>
    </w:p>
    <w:p>
      <w:pPr>
        <w:pStyle w:val="Normal"/>
        <w:widowControl/>
        <w:suppressAutoHyphens w:val="true"/>
        <w:bidi w:val="0"/>
        <w:spacing w:lineRule="auto" w:line="360" w:before="142" w:after="142"/>
        <w:ind w:hanging="0" w:start="0" w:end="0"/>
        <w:jc w:val="both"/>
        <w:rPr/>
      </w:pPr>
      <w:r>
        <w:rPr>
          <w:rFonts w:ascii="Arial" w:hAnsi="Arial"/>
          <w:sz w:val="21"/>
          <w:szCs w:val="21"/>
        </w:rPr>
        <w:t>12.3. A presente Licitação será adjudicada à licitante que apresentar a proposta mais vantajosa, conforme critério mencionado no preâmbulo, desde que atendidas às demais exigências deste Edital.</w:t>
      </w:r>
    </w:p>
    <w:p>
      <w:pPr>
        <w:pStyle w:val="Normal"/>
        <w:widowControl/>
        <w:suppressAutoHyphens w:val="true"/>
        <w:bidi w:val="0"/>
        <w:spacing w:lineRule="auto" w:line="360" w:before="142" w:after="142"/>
        <w:ind w:hanging="0" w:start="0" w:end="0"/>
        <w:jc w:val="both"/>
        <w:rPr/>
      </w:pPr>
      <w:r>
        <w:rPr>
          <w:rFonts w:ascii="Arial" w:hAnsi="Arial"/>
          <w:b/>
          <w:bCs/>
          <w:sz w:val="21"/>
          <w:szCs w:val="21"/>
        </w:rPr>
        <w:t>13. DA IMPUGNAÇÃO DO EDITAL</w:t>
      </w:r>
    </w:p>
    <w:p>
      <w:pPr>
        <w:pStyle w:val="Normal"/>
        <w:widowControl/>
        <w:suppressAutoHyphens w:val="true"/>
        <w:bidi w:val="0"/>
        <w:spacing w:lineRule="auto" w:line="360" w:before="142" w:after="142"/>
        <w:ind w:hanging="0" w:start="0" w:end="0"/>
        <w:jc w:val="both"/>
        <w:rPr/>
      </w:pPr>
      <w:r>
        <w:rPr>
          <w:rFonts w:ascii="Arial" w:hAnsi="Arial"/>
          <w:sz w:val="21"/>
          <w:szCs w:val="21"/>
        </w:rPr>
        <w:t>13.1. Qualquer pessoa é parte legítima para impugnar edital de licitação por irregularidade na aplicação desta Lei ou para solicitar esclarecimento sobre os seus termos, devendo protocolar o pedido até 3 (três) dias úteis inteiros antes da data de abertura do certame.</w:t>
      </w:r>
    </w:p>
    <w:p>
      <w:pPr>
        <w:pStyle w:val="Normal"/>
        <w:widowControl/>
        <w:suppressAutoHyphens w:val="true"/>
        <w:bidi w:val="0"/>
        <w:spacing w:lineRule="auto" w:line="360" w:before="142" w:after="142"/>
        <w:ind w:hanging="0" w:start="0" w:end="0"/>
        <w:jc w:val="both"/>
        <w:rPr/>
      </w:pPr>
      <w:r>
        <w:rPr>
          <w:rFonts w:ascii="Arial" w:hAnsi="Arial"/>
          <w:sz w:val="21"/>
          <w:szCs w:val="21"/>
        </w:rPr>
        <w:t>Parágrafo único. A resposta à impugnação ou ao pedido de esclarecimento será divulgada em sítio eletrônico oficial no prazo de até 3 (três) dias úteis, limitado ao último dia útil anterior à data da abertura do certame.</w:t>
      </w:r>
    </w:p>
    <w:p>
      <w:pPr>
        <w:pStyle w:val="Normal"/>
        <w:widowControl/>
        <w:suppressAutoHyphens w:val="true"/>
        <w:bidi w:val="0"/>
        <w:spacing w:lineRule="auto" w:line="360" w:before="142" w:after="142"/>
        <w:ind w:hanging="0" w:start="0" w:end="0"/>
        <w:jc w:val="both"/>
        <w:rPr/>
      </w:pPr>
      <w:r>
        <w:rPr>
          <w:rFonts w:ascii="Arial" w:hAnsi="Arial"/>
          <w:sz w:val="21"/>
          <w:szCs w:val="21"/>
        </w:rPr>
        <w:t>13.1.1. Serão admitidas as seguintes formas de Impugnação do Edital:</w:t>
      </w:r>
    </w:p>
    <w:p>
      <w:pPr>
        <w:pStyle w:val="Normal"/>
        <w:widowControl/>
        <w:suppressAutoHyphens w:val="true"/>
        <w:bidi w:val="0"/>
        <w:spacing w:lineRule="auto" w:line="360" w:before="142" w:after="142"/>
        <w:ind w:hanging="0" w:start="0" w:end="0"/>
        <w:jc w:val="both"/>
        <w:rPr/>
      </w:pPr>
      <w:r>
        <w:rPr>
          <w:rFonts w:ascii="Arial" w:hAnsi="Arial"/>
          <w:sz w:val="21"/>
          <w:szCs w:val="21"/>
        </w:rPr>
        <w:tab/>
        <w:t>a) Por intermédio de meio eletrônico, exclusivamente, através da PLATAFORMA ELETRÔNICA: www.portaldecompraspublicas.com.br “Acesso Identificado”, sendo aceita até às 23:59h do dia que anteceder os 3 (três) dias úteis inteiros da data de abertura do certame;</w:t>
      </w:r>
    </w:p>
    <w:p>
      <w:pPr>
        <w:pStyle w:val="Normal"/>
        <w:widowControl/>
        <w:suppressAutoHyphens w:val="true"/>
        <w:bidi w:val="0"/>
        <w:spacing w:lineRule="auto" w:line="360" w:before="142" w:after="142"/>
        <w:ind w:hanging="0" w:start="0" w:end="0"/>
        <w:jc w:val="both"/>
        <w:rPr/>
      </w:pPr>
      <w:r>
        <w:rPr>
          <w:rFonts w:ascii="Arial" w:hAnsi="Arial"/>
          <w:sz w:val="21"/>
          <w:szCs w:val="21"/>
        </w:rPr>
        <w:tab/>
        <w:t>b) Através de peça original protocolada em meio físico, junto a Sede do Município de Lindóia do Sul, observando-se o horário de expediente, até às 17:00h do dia que anteceder os 3 (três) dias úteis inteiros da data de abertura do certame.</w:t>
      </w:r>
    </w:p>
    <w:p>
      <w:pPr>
        <w:pStyle w:val="Normal"/>
        <w:widowControl/>
        <w:suppressAutoHyphens w:val="true"/>
        <w:bidi w:val="0"/>
        <w:spacing w:lineRule="auto" w:line="360" w:before="142" w:after="142"/>
        <w:ind w:hanging="0" w:start="0" w:end="0"/>
        <w:jc w:val="both"/>
        <w:rPr/>
      </w:pPr>
      <w:r>
        <w:rPr>
          <w:rFonts w:ascii="Arial" w:hAnsi="Arial"/>
          <w:sz w:val="21"/>
          <w:szCs w:val="21"/>
        </w:rPr>
        <w:t>13.2. Se procedente e acolhida a Impugnação do Edital, seus vícios serão sanados, reabrindo-se o prazo inicialmente estabelecido, exceto, quando, inquestionavelmente, a alteração não afetar a formulação das propostas.</w:t>
      </w:r>
    </w:p>
    <w:p>
      <w:pPr>
        <w:pStyle w:val="Normal"/>
        <w:widowControl/>
        <w:suppressAutoHyphens w:val="true"/>
        <w:bidi w:val="0"/>
        <w:spacing w:lineRule="auto" w:line="360" w:before="142" w:after="142"/>
        <w:ind w:hanging="0" w:start="0" w:end="0"/>
        <w:jc w:val="both"/>
        <w:rPr/>
      </w:pPr>
      <w:r>
        <w:rPr>
          <w:rFonts w:ascii="Arial" w:hAnsi="Arial"/>
          <w:b/>
          <w:bCs/>
          <w:sz w:val="21"/>
          <w:szCs w:val="21"/>
        </w:rPr>
        <w:t>14. DO CONTRATO</w:t>
      </w:r>
    </w:p>
    <w:p>
      <w:pPr>
        <w:pStyle w:val="Normal"/>
        <w:widowControl/>
        <w:suppressAutoHyphens w:val="true"/>
        <w:bidi w:val="0"/>
        <w:spacing w:lineRule="auto" w:line="360" w:before="142" w:after="142"/>
        <w:ind w:hanging="0" w:start="0" w:end="0"/>
        <w:jc w:val="both"/>
        <w:rPr/>
      </w:pPr>
      <w:r>
        <w:rPr>
          <w:rFonts w:ascii="Arial" w:hAnsi="Arial"/>
          <w:sz w:val="21"/>
          <w:szCs w:val="21"/>
        </w:rPr>
        <w:t>14.1. As obrigações decorrentes das prestações de serviços previstas do objeto, constam na Minuta do contrato a ser firmado entre o Município de Lindóia do Sul e o Contratado, nos termos previstos no ANEXO XII.</w:t>
      </w:r>
    </w:p>
    <w:p>
      <w:pPr>
        <w:pStyle w:val="Normal"/>
        <w:widowControl/>
        <w:suppressAutoHyphens w:val="true"/>
        <w:bidi w:val="0"/>
        <w:spacing w:lineRule="auto" w:line="360" w:before="142" w:after="142"/>
        <w:ind w:hanging="0" w:start="0" w:end="0"/>
        <w:jc w:val="both"/>
        <w:rPr/>
      </w:pPr>
      <w:r>
        <w:rPr>
          <w:rFonts w:ascii="Arial" w:hAnsi="Arial"/>
          <w:sz w:val="21"/>
          <w:szCs w:val="21"/>
        </w:rPr>
        <w:t xml:space="preserve">14.2. A empresa classificada em 1° (primeiro) lugar e devidamente habilitada, será convocada a firmar o Contrato no prazo de 5 (cinco) dias úteis após a convocação, </w:t>
      </w:r>
      <w:r>
        <w:rPr>
          <w:rFonts w:eastAsia="Times New Roman" w:cs="Arial" w:ascii="Arial" w:hAnsi="Arial"/>
          <w:bCs/>
          <w:color w:val="000000"/>
          <w:kern w:val="0"/>
          <w:sz w:val="21"/>
          <w:szCs w:val="21"/>
          <w:lang w:eastAsia="zh-CN"/>
        </w:rPr>
        <w:t>sob pena de decair do direito à contratação, sem prejuízo das sanções previstas neste Edital.</w:t>
      </w:r>
    </w:p>
    <w:p>
      <w:pPr>
        <w:pStyle w:val="Normal"/>
        <w:widowControl/>
        <w:suppressAutoHyphens w:val="true"/>
        <w:bidi w:val="0"/>
        <w:spacing w:lineRule="auto" w:line="360" w:before="142" w:after="142"/>
        <w:ind w:hanging="0" w:start="0" w:end="0"/>
        <w:jc w:val="both"/>
        <w:rPr/>
      </w:pPr>
      <w:r>
        <w:rPr>
          <w:rFonts w:ascii="Arial" w:hAnsi="Arial"/>
          <w:sz w:val="21"/>
          <w:szCs w:val="21"/>
        </w:rPr>
        <w:t>14.2.1. O licitante que, convocado para assinar o Contrato, deixar de fazê-lo no prazo fixado, dela será excluído e poderá sofrer as penalidades impostas por Lei, após regular Processo Administrativo, nos termos do § 5º, do art. 90, da Lei Federal nº 14.133, de 2021.</w:t>
      </w:r>
    </w:p>
    <w:p>
      <w:pPr>
        <w:pStyle w:val="Normal"/>
        <w:widowControl/>
        <w:suppressAutoHyphens w:val="true"/>
        <w:bidi w:val="0"/>
        <w:spacing w:lineRule="auto" w:line="360" w:before="142" w:after="142"/>
        <w:ind w:hanging="0" w:start="0" w:end="0"/>
        <w:jc w:val="both"/>
        <w:rPr/>
      </w:pPr>
      <w:r>
        <w:rPr>
          <w:rFonts w:ascii="Arial" w:hAnsi="Arial"/>
          <w:sz w:val="21"/>
          <w:szCs w:val="21"/>
        </w:rPr>
        <w:t>14.2.2. Na hipótese de o fornecedor primeiro classificado não assinar, não aceitar ou não retirar qualquer documento de Contrato, no prazo e condições estabelecidas, poderão ser convocados os Fornecedores, na ordem de classificação, e poderá sofrer as penalidades impostas por Lei, após regular Processo Administrativo.</w:t>
      </w:r>
    </w:p>
    <w:p>
      <w:pPr>
        <w:pStyle w:val="Normal"/>
        <w:widowControl/>
        <w:suppressAutoHyphens w:val="true"/>
        <w:bidi w:val="0"/>
        <w:spacing w:lineRule="auto" w:line="360" w:before="142" w:after="142"/>
        <w:ind w:hanging="0" w:start="0" w:end="0"/>
        <w:jc w:val="both"/>
        <w:rPr/>
      </w:pPr>
      <w:r>
        <w:rPr>
          <w:rFonts w:eastAsia="Arial" w:cs="Arial" w:ascii="Arial" w:hAnsi="Arial"/>
          <w:sz w:val="21"/>
          <w:szCs w:val="21"/>
        </w:rPr>
        <w:t xml:space="preserve">14.3. </w:t>
      </w:r>
      <w:r>
        <w:rPr>
          <w:rFonts w:eastAsia="Arial" w:cs="Arial" w:ascii="Arial" w:hAnsi="Arial"/>
          <w:sz w:val="21"/>
          <w:szCs w:val="21"/>
          <w:shd w:fill="FFFF00" w:val="clear"/>
        </w:rPr>
        <w:t>A licitante declarada vencedora deverá, dentro do prazo disponibilizado para assinatura do contrato, sendo requisito indispensável para a assinatura da Ordem de Serviço, prestar garantia de 5% (cinco por cento) do valor do contrato, sob pena de decair o direito à contratação.</w:t>
      </w:r>
    </w:p>
    <w:p>
      <w:pPr>
        <w:pStyle w:val="Normal"/>
        <w:widowControl/>
        <w:suppressAutoHyphens w:val="true"/>
        <w:bidi w:val="0"/>
        <w:spacing w:lineRule="auto" w:line="360" w:before="142" w:after="142"/>
        <w:ind w:hanging="0" w:start="0" w:end="0"/>
        <w:jc w:val="both"/>
        <w:rPr/>
      </w:pPr>
      <w:r>
        <w:rPr>
          <w:rFonts w:eastAsia="Arial" w:cs="Arial" w:ascii="Arial" w:hAnsi="Arial"/>
          <w:sz w:val="21"/>
          <w:szCs w:val="21"/>
        </w:rPr>
        <w:t>14.3.1. Caberá à adjudicatária optar por uma das seguintes modalidades de garantia:</w:t>
      </w:r>
    </w:p>
    <w:p>
      <w:pPr>
        <w:pStyle w:val="Normal"/>
        <w:widowControl/>
        <w:suppressAutoHyphens w:val="true"/>
        <w:bidi w:val="0"/>
        <w:spacing w:lineRule="auto" w:line="360" w:before="142" w:after="142"/>
        <w:ind w:hanging="0" w:start="0" w:end="0"/>
        <w:jc w:val="both"/>
        <w:rPr/>
      </w:pPr>
      <w:r>
        <w:rPr>
          <w:rFonts w:eastAsia="Arial" w:cs="Arial" w:ascii="Arial" w:hAnsi="Arial"/>
          <w:sz w:val="21"/>
          <w:szCs w:val="21"/>
        </w:rPr>
        <w:tab/>
        <w:t>a) Caução em dinheiro ou em títulos da dívida pública;</w:t>
      </w:r>
    </w:p>
    <w:p>
      <w:pPr>
        <w:pStyle w:val="Normal"/>
        <w:widowControl/>
        <w:suppressAutoHyphens w:val="true"/>
        <w:bidi w:val="0"/>
        <w:spacing w:lineRule="auto" w:line="360" w:before="142" w:after="142"/>
        <w:ind w:hanging="0" w:start="0" w:end="0"/>
        <w:jc w:val="both"/>
        <w:rPr/>
      </w:pPr>
      <w:r>
        <w:rPr>
          <w:rFonts w:eastAsia="Arial" w:cs="Arial" w:ascii="Arial" w:hAnsi="Arial"/>
          <w:sz w:val="21"/>
          <w:szCs w:val="21"/>
        </w:rPr>
        <w:tab/>
        <w:t>b) Seguro-garantia;</w:t>
      </w:r>
    </w:p>
    <w:p>
      <w:pPr>
        <w:pStyle w:val="Normal"/>
        <w:widowControl/>
        <w:suppressAutoHyphens w:val="true"/>
        <w:bidi w:val="0"/>
        <w:spacing w:lineRule="auto" w:line="360" w:before="142" w:after="142"/>
        <w:ind w:hanging="0" w:start="0" w:end="0"/>
        <w:jc w:val="both"/>
        <w:rPr/>
      </w:pPr>
      <w:r>
        <w:rPr>
          <w:rFonts w:eastAsia="Arial" w:cs="Arial" w:ascii="Arial" w:hAnsi="Arial"/>
          <w:sz w:val="21"/>
          <w:szCs w:val="21"/>
        </w:rPr>
        <w:tab/>
        <w:t>c) Fiança bancária.</w:t>
      </w:r>
    </w:p>
    <w:p>
      <w:pPr>
        <w:pStyle w:val="Normal"/>
        <w:widowControl/>
        <w:suppressAutoHyphens w:val="true"/>
        <w:bidi w:val="0"/>
        <w:spacing w:lineRule="auto" w:line="360" w:before="142" w:after="142"/>
        <w:ind w:hanging="0" w:start="0" w:end="0"/>
        <w:jc w:val="both"/>
        <w:rPr/>
      </w:pPr>
      <w:r>
        <w:rPr>
          <w:rFonts w:eastAsia="Arial" w:cs="Arial" w:ascii="Arial" w:hAnsi="Arial"/>
          <w:sz w:val="21"/>
          <w:szCs w:val="21"/>
        </w:rPr>
        <w:t>14.3.2. No caso de a garantia ser prestada na modalidade de seguro-garantia ou fiança bancária, o prazo da mesma deverá cobrir toda a execução do contrato.</w:t>
      </w:r>
    </w:p>
    <w:p>
      <w:pPr>
        <w:pStyle w:val="Normal"/>
        <w:widowControl/>
        <w:suppressAutoHyphens w:val="true"/>
        <w:bidi w:val="0"/>
        <w:spacing w:lineRule="auto" w:line="360" w:before="142" w:after="142"/>
        <w:ind w:hanging="0" w:start="0" w:end="0"/>
        <w:jc w:val="both"/>
        <w:rPr/>
      </w:pPr>
      <w:r>
        <w:rPr>
          <w:rFonts w:eastAsia="Arial" w:cs="Arial" w:ascii="Arial" w:hAnsi="Arial"/>
          <w:sz w:val="21"/>
          <w:szCs w:val="21"/>
        </w:rPr>
        <w:t>14.3.3. Quando a garantia for efetuada em dinheiro, deverá ser efetuado o seu depósito na conta corrente: Banco do Brasil - AGÊNCIA 5425-9 - CONTA Nº 7522-1;</w:t>
      </w:r>
    </w:p>
    <w:p>
      <w:pPr>
        <w:pStyle w:val="Normal"/>
        <w:widowControl/>
        <w:suppressAutoHyphens w:val="true"/>
        <w:bidi w:val="0"/>
        <w:spacing w:lineRule="auto" w:line="360" w:before="142" w:after="142"/>
        <w:ind w:hanging="0" w:start="0" w:end="0"/>
        <w:jc w:val="both"/>
        <w:rPr/>
      </w:pPr>
      <w:r>
        <w:rPr>
          <w:rFonts w:eastAsia="Arial" w:cs="Arial" w:ascii="Arial" w:hAnsi="Arial"/>
          <w:sz w:val="21"/>
          <w:szCs w:val="21"/>
        </w:rPr>
        <w:t>14.3.4. A adjudicatária que não prestar a garantia dentro do prazo disponibilizado para assinatura do contrato, ficará sujeita às sanções previstas na legislação vigente.</w:t>
      </w:r>
    </w:p>
    <w:p>
      <w:pPr>
        <w:pStyle w:val="Normal"/>
        <w:widowControl/>
        <w:suppressAutoHyphens w:val="true"/>
        <w:bidi w:val="0"/>
        <w:spacing w:lineRule="auto" w:line="360" w:before="142" w:after="142"/>
        <w:ind w:hanging="0" w:start="0" w:end="0"/>
        <w:jc w:val="both"/>
        <w:rPr/>
      </w:pPr>
      <w:r>
        <w:rPr>
          <w:rFonts w:eastAsia="Arial" w:cs="Arial" w:ascii="Arial" w:hAnsi="Arial"/>
          <w:sz w:val="21"/>
          <w:szCs w:val="21"/>
        </w:rPr>
        <w:t xml:space="preserve">14.3.5. A garantia prestada em caução em dinheiro, será liberada ou restituída à contratada no prazo de 15 (quinze) dias, contados após a emissão do Termo de Recebimento Definitivo da Obra, sendo que, no caso de caução em dinheiro, será restituída acrescida dos juros resultantes da aplicação dos recursos em fundos específicos para governo, vinculados ao Banco do Brasil. </w:t>
      </w:r>
    </w:p>
    <w:p>
      <w:pPr>
        <w:pStyle w:val="Normal"/>
        <w:widowControl/>
        <w:suppressAutoHyphens w:val="true"/>
        <w:bidi w:val="0"/>
        <w:spacing w:lineRule="auto" w:line="360" w:before="142" w:after="142"/>
        <w:ind w:hanging="0" w:start="0" w:end="0"/>
        <w:jc w:val="both"/>
        <w:rPr/>
      </w:pPr>
      <w:r>
        <w:rPr>
          <w:rFonts w:ascii="Arial" w:hAnsi="Arial"/>
          <w:sz w:val="21"/>
          <w:szCs w:val="21"/>
        </w:rPr>
        <w:t>14.4. Excetuados os fornecedores melhores classificadas durante a fase competitiva, todos os demais licitantes formarão o cadastro de reserva de fornecedores.</w:t>
      </w:r>
    </w:p>
    <w:p>
      <w:pPr>
        <w:pStyle w:val="Normal"/>
        <w:widowControl/>
        <w:suppressAutoHyphens w:val="true"/>
        <w:bidi w:val="0"/>
        <w:spacing w:lineRule="auto" w:line="360" w:before="142" w:after="142"/>
        <w:ind w:hanging="0" w:start="0" w:end="0"/>
        <w:jc w:val="both"/>
        <w:rPr/>
      </w:pPr>
      <w:r>
        <w:rPr>
          <w:rFonts w:ascii="Arial" w:hAnsi="Arial"/>
          <w:sz w:val="21"/>
          <w:szCs w:val="21"/>
        </w:rPr>
        <w:t>14.5. Nos termos do § 7º, do art. 90, da Lei Federal nº 14.133, de 2021, fica facultada à Administração a convocação dos demais licitantes classificados segundo o cadastro de reservas para a contratação do remanescente dos serviços em consequência de rescisão contratual, observados os critérios estabelecidos nos § § 2º e 4º, do mesmo artigo.</w:t>
      </w:r>
    </w:p>
    <w:p>
      <w:pPr>
        <w:pStyle w:val="Normal"/>
        <w:widowControl/>
        <w:suppressAutoHyphens w:val="true"/>
        <w:bidi w:val="0"/>
        <w:spacing w:lineRule="auto" w:line="360" w:before="142" w:after="142"/>
        <w:ind w:hanging="0" w:start="0" w:end="0"/>
        <w:jc w:val="both"/>
        <w:rPr/>
      </w:pPr>
      <w:r>
        <w:rPr>
          <w:rFonts w:ascii="Arial" w:hAnsi="Arial"/>
          <w:sz w:val="21"/>
          <w:szCs w:val="21"/>
        </w:rPr>
        <w:t>14.6</w:t>
      </w:r>
      <w:r>
        <w:rPr>
          <w:rFonts w:ascii="Arial" w:hAnsi="Arial"/>
          <w:sz w:val="21"/>
          <w:szCs w:val="21"/>
          <w:shd w:fill="auto" w:val="clear"/>
        </w:rPr>
        <w:t xml:space="preserve">. </w:t>
      </w:r>
      <w:r>
        <w:rPr>
          <w:rFonts w:eastAsia="Times New Roman" w:cs="Times New Roman" w:ascii="Arial" w:hAnsi="Arial"/>
          <w:sz w:val="21"/>
          <w:szCs w:val="21"/>
          <w:shd w:fill="auto" w:val="clear"/>
          <w:lang w:eastAsia="pt-BR"/>
        </w:rPr>
        <w:t>O futuro contrato terá prazo de execução de 150 (cento e cinquenta) dias, contados da emissão da Ordem de Serviço, e vigência de 210 (duzentos e dez) dias, com eficácia a partir da assinatura e respectiva publicação no Portal Nacional de Contratações Públicas – PNCP, nos termos da Lei Federal nº 14.133/2021.</w:t>
      </w:r>
    </w:p>
    <w:p>
      <w:pPr>
        <w:pStyle w:val="Normal"/>
        <w:spacing w:lineRule="auto" w:line="360" w:before="142" w:after="142"/>
        <w:ind w:hanging="0"/>
        <w:jc w:val="both"/>
        <w:rPr/>
      </w:pPr>
      <w:r>
        <w:rPr>
          <w:rFonts w:eastAsia="Times New Roman" w:cs="Times New Roman" w:ascii="Arial" w:hAnsi="Arial"/>
          <w:sz w:val="21"/>
          <w:szCs w:val="21"/>
          <w:lang w:eastAsia="pt-BR"/>
        </w:rPr>
        <w:t>14.7. O prazo de vigência será automaticamente prorrogado quando o objeto não for concluído no período inicialmente previsto, ressalvadas as hipóteses de atraso decorrentes de culpa da contratada, observadas as providências cabíveis.</w:t>
      </w:r>
    </w:p>
    <w:p>
      <w:pPr>
        <w:pStyle w:val="Normal"/>
        <w:spacing w:lineRule="auto" w:line="360" w:before="142" w:after="142"/>
        <w:ind w:hanging="0"/>
        <w:jc w:val="both"/>
        <w:rPr/>
      </w:pPr>
      <w:r>
        <w:rPr>
          <w:rFonts w:cs="Times New Roman" w:ascii="Arial" w:hAnsi="Arial"/>
          <w:sz w:val="21"/>
          <w:szCs w:val="21"/>
        </w:rPr>
        <w:t>14.8. Caso a vigência contratual ultrapasse 01 (um) ano, os preços poderão ser reajustados anualmente, mediante solicitação da contratada, para preservação do equilíbrio econômico-financeiro do contrato, observadas as disposições legais aplicáveis.</w:t>
      </w:r>
    </w:p>
    <w:p>
      <w:pPr>
        <w:pStyle w:val="Normal"/>
        <w:widowControl/>
        <w:suppressAutoHyphens w:val="true"/>
        <w:bidi w:val="0"/>
        <w:spacing w:lineRule="auto" w:line="360" w:before="142" w:after="142"/>
        <w:ind w:hanging="0" w:start="0" w:end="0"/>
        <w:jc w:val="both"/>
        <w:rPr/>
      </w:pPr>
      <w:r>
        <w:rPr>
          <w:rFonts w:eastAsia="Arial" w:cs="Times New Roman" w:ascii="Arial" w:hAnsi="Arial"/>
          <w:b w:val="false"/>
          <w:bCs/>
          <w:i w:val="false"/>
          <w:caps w:val="false"/>
          <w:smallCaps w:val="false"/>
          <w:strike w:val="false"/>
          <w:dstrike w:val="false"/>
          <w:color w:val="000000"/>
          <w:kern w:val="0"/>
          <w:position w:val="0"/>
          <w:sz w:val="21"/>
          <w:szCs w:val="21"/>
          <w:u w:val="none"/>
          <w:shd w:fill="auto" w:val="clear"/>
          <w:vertAlign w:val="baseline"/>
          <w:lang w:eastAsia="zh-CN"/>
        </w:rPr>
        <w:t>14.9. O reajuste somente será devido após o transcurso de 01 (um) ano, contado a partir da data de apresentação da proposta, vedada a utilização da data da assinatura do contrato como marco inicial, nos termos do art. 25, §7º, da Lei nº 14.133/2021.</w:t>
      </w:r>
    </w:p>
    <w:p>
      <w:pPr>
        <w:pStyle w:val="Normal"/>
        <w:spacing w:lineRule="auto" w:line="360" w:before="142" w:after="142"/>
        <w:jc w:val="both"/>
        <w:rPr/>
      </w:pPr>
      <w:r>
        <w:rPr>
          <w:rFonts w:cs="Times New Roman" w:ascii="Arial" w:hAnsi="Arial"/>
          <w:sz w:val="21"/>
          <w:szCs w:val="21"/>
        </w:rPr>
        <w:t>14.10. O reajuste será calculado mediante a aplicação da variação acumulada do Índice Nacional de Preços ao Consumidor – INPC, apurada no período correspondente, ou de outro índice oficial que venha a substituí-lo, mantendo-se as demais condições contratuais inalteradas.</w:t>
      </w:r>
    </w:p>
    <w:p>
      <w:pPr>
        <w:pStyle w:val="Normal"/>
        <w:spacing w:lineRule="auto" w:line="360" w:before="142" w:after="142"/>
        <w:ind w:hanging="0"/>
        <w:jc w:val="both"/>
        <w:rPr>
          <w:rFonts w:ascii="Arial" w:hAnsi="Arial"/>
          <w:sz w:val="21"/>
          <w:szCs w:val="21"/>
        </w:rPr>
      </w:pPr>
      <w:r>
        <w:rPr>
          <w:rFonts w:eastAsia="Arial" w:cs="Times New Roman" w:ascii="Arial" w:hAnsi="Arial"/>
          <w:b w:val="false"/>
          <w:bCs/>
          <w:i w:val="false"/>
          <w:caps w:val="false"/>
          <w:smallCaps w:val="false"/>
          <w:strike w:val="false"/>
          <w:dstrike w:val="false"/>
          <w:color w:val="000000"/>
          <w:kern w:val="0"/>
          <w:position w:val="0"/>
          <w:sz w:val="21"/>
          <w:szCs w:val="21"/>
          <w:u w:val="none"/>
          <w:shd w:fill="auto" w:val="clear"/>
          <w:vertAlign w:val="baseline"/>
          <w:lang w:eastAsia="zh-CN"/>
        </w:rPr>
        <w:t>14.11. Ocorrendo desequilíbrio econômico-financeiro do futuro contrato, em face dos aumentos de custo que possam, por vedação legal, serem refletidos por meio de reajuste ou revisão de preços básicos, as partes, de comum acordo, com base no art. 124, inciso II, alínea “d”, da Lei n. 14.133/2021, buscarão uma solução para a questão.</w:t>
      </w:r>
    </w:p>
    <w:p>
      <w:pPr>
        <w:pStyle w:val="Normal"/>
        <w:widowControl/>
        <w:suppressAutoHyphens w:val="true"/>
        <w:bidi w:val="0"/>
        <w:spacing w:lineRule="auto" w:line="360" w:before="142" w:after="142"/>
        <w:ind w:hanging="0" w:start="0" w:end="0"/>
        <w:jc w:val="both"/>
        <w:rPr/>
      </w:pPr>
      <w:r>
        <w:rPr>
          <w:rFonts w:ascii="Arial" w:hAnsi="Arial"/>
          <w:b/>
          <w:bCs/>
          <w:sz w:val="21"/>
          <w:szCs w:val="21"/>
        </w:rPr>
        <w:t>15. DO REAJUSTE DOS PREÇOS</w:t>
      </w:r>
    </w:p>
    <w:p>
      <w:pPr>
        <w:pStyle w:val="Normal"/>
        <w:widowControl/>
        <w:suppressAutoHyphens w:val="true"/>
        <w:bidi w:val="0"/>
        <w:spacing w:lineRule="auto" w:line="360" w:before="142" w:after="142"/>
        <w:ind w:hanging="0" w:start="0" w:end="0"/>
        <w:jc w:val="both"/>
        <w:rPr/>
      </w:pPr>
      <w:r>
        <w:rPr>
          <w:rFonts w:ascii="Arial" w:hAnsi="Arial"/>
          <w:sz w:val="21"/>
          <w:szCs w:val="21"/>
        </w:rPr>
        <w:t xml:space="preserve">15.1. </w:t>
      </w:r>
      <w:r>
        <w:rPr>
          <w:rStyle w:val="Strong"/>
          <w:rFonts w:eastAsia="Arial" w:cs="Arial" w:ascii="Arial" w:hAnsi="Arial"/>
          <w:b w:val="false"/>
          <w:bCs w:val="false"/>
          <w:i w:val="false"/>
          <w:caps w:val="false"/>
          <w:smallCaps w:val="false"/>
          <w:strike w:val="false"/>
          <w:dstrike w:val="false"/>
          <w:color w:val="000000"/>
          <w:position w:val="0"/>
          <w:sz w:val="21"/>
          <w:szCs w:val="21"/>
          <w:u w:val="none"/>
          <w:shd w:fill="auto" w:val="clear"/>
          <w:vertAlign w:val="baseline"/>
          <w:lang w:val="pt-BR"/>
        </w:rPr>
        <w:t>Caso o contrato venha a exceder o prazo de 01 (um) ano e sua vigência seja prorrogada, os preços contratados poderão ser reajustados anualmente, mediante solicitação formal da contratada, com o objetivo de preservar o equilíbrio econômico-financeiro do contrato, observada a legislação vigente.</w:t>
      </w:r>
    </w:p>
    <w:p>
      <w:pPr>
        <w:pStyle w:val="Normal"/>
        <w:widowControl/>
        <w:suppressAutoHyphens w:val="true"/>
        <w:bidi w:val="0"/>
        <w:spacing w:lineRule="auto" w:line="360" w:before="142" w:after="142"/>
        <w:ind w:hanging="0" w:start="0" w:end="0"/>
        <w:jc w:val="both"/>
        <w:rPr/>
      </w:pPr>
      <w:r>
        <w:rPr>
          <w:rStyle w:val="Strong"/>
          <w:rFonts w:eastAsia="Arial" w:cs="Arial" w:ascii="Arial" w:hAnsi="Arial"/>
          <w:b w:val="false"/>
          <w:bCs w:val="false"/>
          <w:i w:val="false"/>
          <w:caps w:val="false"/>
          <w:smallCaps w:val="false"/>
          <w:strike w:val="false"/>
          <w:dstrike w:val="false"/>
          <w:color w:val="000000"/>
          <w:position w:val="0"/>
          <w:sz w:val="21"/>
          <w:szCs w:val="21"/>
          <w:u w:val="none"/>
          <w:shd w:fill="auto" w:val="clear"/>
          <w:vertAlign w:val="baseline"/>
          <w:lang w:val="pt-BR"/>
        </w:rPr>
        <w:t xml:space="preserve">15.2. </w:t>
      </w:r>
      <w:r>
        <w:rPr>
          <w:rFonts w:ascii="Arial" w:hAnsi="Arial"/>
          <w:b w:val="false"/>
          <w:bCs w:val="false"/>
          <w:sz w:val="21"/>
          <w:szCs w:val="21"/>
        </w:rPr>
        <w:t xml:space="preserve">O reajuste somente será devido </w:t>
      </w:r>
      <w:r>
        <w:rPr>
          <w:rStyle w:val="Strong"/>
          <w:rFonts w:ascii="Arial" w:hAnsi="Arial"/>
          <w:b w:val="false"/>
          <w:bCs w:val="false"/>
          <w:sz w:val="21"/>
          <w:szCs w:val="21"/>
        </w:rPr>
        <w:t>após o transcurso de 01 (um) ano</w:t>
      </w:r>
      <w:r>
        <w:rPr>
          <w:rFonts w:ascii="Arial" w:hAnsi="Arial"/>
          <w:b w:val="false"/>
          <w:bCs w:val="false"/>
          <w:sz w:val="21"/>
          <w:szCs w:val="21"/>
        </w:rPr>
        <w:t xml:space="preserve">, contado a partir da </w:t>
      </w:r>
      <w:r>
        <w:rPr>
          <w:rStyle w:val="Strong"/>
          <w:rFonts w:ascii="Arial" w:hAnsi="Arial"/>
          <w:b w:val="false"/>
          <w:bCs w:val="false"/>
          <w:sz w:val="21"/>
          <w:szCs w:val="21"/>
        </w:rPr>
        <w:t>data de apresentação da proposta</w:t>
      </w:r>
      <w:r>
        <w:rPr>
          <w:rFonts w:ascii="Arial" w:hAnsi="Arial"/>
          <w:b w:val="false"/>
          <w:bCs w:val="false"/>
          <w:sz w:val="21"/>
          <w:szCs w:val="21"/>
        </w:rPr>
        <w:t xml:space="preserve">, vedada a utilização da data da assinatura do contrato como marco inicial, nos termos do </w:t>
      </w:r>
      <w:r>
        <w:rPr>
          <w:rStyle w:val="Strong"/>
          <w:rFonts w:ascii="Arial" w:hAnsi="Arial"/>
          <w:b w:val="false"/>
          <w:bCs w:val="false"/>
          <w:sz w:val="21"/>
          <w:szCs w:val="21"/>
        </w:rPr>
        <w:t>art. 25, §7º, da Lei nº 14.133/2021.</w:t>
      </w:r>
    </w:p>
    <w:p>
      <w:pPr>
        <w:pStyle w:val="Normal"/>
        <w:widowControl/>
        <w:suppressAutoHyphens w:val="true"/>
        <w:bidi w:val="0"/>
        <w:spacing w:lineRule="auto" w:line="360" w:before="142" w:after="142"/>
        <w:ind w:hanging="0" w:start="0" w:end="0"/>
        <w:jc w:val="both"/>
        <w:rPr/>
      </w:pPr>
      <w:r>
        <w:rPr>
          <w:rStyle w:val="Strong"/>
          <w:rFonts w:ascii="Arial" w:hAnsi="Arial"/>
          <w:b w:val="false"/>
          <w:bCs w:val="false"/>
          <w:sz w:val="21"/>
          <w:szCs w:val="21"/>
        </w:rPr>
        <w:t xml:space="preserve">15.3. </w:t>
      </w:r>
      <w:r>
        <w:rPr>
          <w:rFonts w:ascii="Arial" w:hAnsi="Arial"/>
          <w:b w:val="false"/>
          <w:bCs w:val="false"/>
          <w:sz w:val="21"/>
          <w:szCs w:val="21"/>
        </w:rPr>
        <w:t xml:space="preserve">O reajuste será calculado mediante a aplicação da </w:t>
      </w:r>
      <w:r>
        <w:rPr>
          <w:rStyle w:val="Strong"/>
          <w:rFonts w:ascii="Arial" w:hAnsi="Arial"/>
          <w:b w:val="false"/>
          <w:bCs w:val="false"/>
          <w:sz w:val="21"/>
          <w:szCs w:val="21"/>
        </w:rPr>
        <w:t>variação acumulada do Índice Nacional de Preços ao Consumidor – INPC</w:t>
      </w:r>
      <w:r>
        <w:rPr>
          <w:rFonts w:ascii="Arial" w:hAnsi="Arial"/>
          <w:b w:val="false"/>
          <w:bCs w:val="false"/>
          <w:sz w:val="21"/>
          <w:szCs w:val="21"/>
        </w:rPr>
        <w:t xml:space="preserve">, apurada no período correspondente, ou de </w:t>
      </w:r>
      <w:r>
        <w:rPr>
          <w:rStyle w:val="Strong"/>
          <w:rFonts w:ascii="Arial" w:hAnsi="Arial"/>
          <w:b w:val="false"/>
          <w:bCs w:val="false"/>
          <w:sz w:val="21"/>
          <w:szCs w:val="21"/>
        </w:rPr>
        <w:t>outro índice oficial que venha a substituí-lo</w:t>
      </w:r>
      <w:r>
        <w:rPr>
          <w:rFonts w:ascii="Arial" w:hAnsi="Arial"/>
          <w:b w:val="false"/>
          <w:bCs w:val="false"/>
          <w:sz w:val="21"/>
          <w:szCs w:val="21"/>
        </w:rPr>
        <w:t>, mantendo-se as demais condições contratuais inalteradas.</w:t>
      </w:r>
    </w:p>
    <w:p>
      <w:pPr>
        <w:pStyle w:val="Normal"/>
        <w:widowControl/>
        <w:suppressAutoHyphens w:val="true"/>
        <w:bidi w:val="0"/>
        <w:spacing w:lineRule="auto" w:line="360" w:before="142" w:after="142"/>
        <w:ind w:hanging="0" w:start="0" w:end="0"/>
        <w:jc w:val="both"/>
        <w:rPr/>
      </w:pPr>
      <w:r>
        <w:rPr>
          <w:rFonts w:ascii="Arial" w:hAnsi="Arial"/>
          <w:b w:val="false"/>
          <w:bCs w:val="false"/>
          <w:sz w:val="21"/>
          <w:szCs w:val="21"/>
        </w:rPr>
        <w:t xml:space="preserve">15.4. </w:t>
      </w:r>
      <w:r>
        <w:rPr>
          <w:rFonts w:eastAsia="Calibri" w:cs="Arial" w:ascii="Arial" w:hAnsi="Arial"/>
          <w:b w:val="false"/>
          <w:bCs w:val="false"/>
          <w:sz w:val="21"/>
          <w:szCs w:val="21"/>
          <w:lang w:eastAsia="zh-CN"/>
        </w:rPr>
        <w:t xml:space="preserve">Ocorrendo desequilíbrio econômico-financeiro do futuro contrato, em face dos aumentos de custo que possam, por vedação legal, serem refletidos por meio de reajuste ou revisão de preços básicos, as partes, de comum acordo, com base no art. 124, inciso II, alínea “d”, da Lei n. 14.133/2021, buscarão uma solução para a questão. </w:t>
      </w:r>
    </w:p>
    <w:p>
      <w:pPr>
        <w:pStyle w:val="Normal"/>
        <w:widowControl/>
        <w:suppressAutoHyphens w:val="true"/>
        <w:bidi w:val="0"/>
        <w:spacing w:lineRule="auto" w:line="360" w:before="142" w:after="142"/>
        <w:ind w:hanging="0" w:start="0" w:end="0"/>
        <w:jc w:val="both"/>
        <w:rPr/>
      </w:pPr>
      <w:r>
        <w:rPr>
          <w:rFonts w:ascii="Arial" w:hAnsi="Arial"/>
          <w:b/>
          <w:bCs/>
          <w:sz w:val="21"/>
          <w:szCs w:val="21"/>
        </w:rPr>
        <w:t>16. DOS RECURSOS, RESPONSABILIDADES, PENALIDADES ADMINISTRATIVAS E EXTINÇÃO DO CONTRATO</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16.1. Dos atos da Administração praticados neste certame cabem:</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ab/>
        <w:t>a) Recurso, no prazo de 03 (três) dias úteis, contado da data de intimação ou de lavratura da ata, em face de:</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ab/>
        <w:t>a.1) Julgamento das propostas;</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ab/>
        <w:t>a.2) Ato de habilitação ou inabilitação de licitante;</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ab/>
        <w:t>b) Pedido de reconsideração, no prazo de 03 (três) dias úteis, contado da data de intimação, relativamente a ato do qual não caiba recurso hierárquico.</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16.1.1. Quanto ao recurso apresentado com base nos itens a.1 e a.2 da alínea “a” do item 16.1, serão observadas as seguintes disposições:</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ab/>
        <w:t>I – a intenção de recorrer deverá ser manifestada na sessão pública, com início imediato após o término do julgamento das propostas e do ato de habilitação ou inabilitação, sob pena de preclusão;</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ab/>
        <w:t>II – o prazo para apresentação das razões recursais previsto na alínea “a” do item 16.1 será iniciado na data de intimação ou de lavratura da ata de habilitação ou inabilitação;</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ab/>
        <w:t>III – a apreciação dar-se-á em fase única.</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16.1.2. O recurso de que trata a alínea “a”, do item 16.1 será dirigido ao Agente de Contratação, que, se não reconsiderar o ato ou a decisão no prazo de 03 (três) dias úteis, encaminhará o recurso com a sua motivação à autoridade superior, a qual deverá proferir sua decisão no prazo máximo de 10 (dez) dias úteis, contado do recebimento dos autos.</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16.1.3. O prazo para contrarrazões será o mesmo do recurso e terá início após encerrado o prazo das razões do recurso.</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16.1.4. Será assegurado ao licitante vista dos elementos indispensáveis à defesa de seus interesses.</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16.1.5. O recurso ou Pedido de Reconsideração deverá ser interposto por intermédio de meio eletrônico, exclusivamente, através da PLATAFORMA ELETRÔNICA: www.portaldecompraspublicas.com.br “Acesso Identificado”, sendo aceito até as 23:59 h da data limite estipulada pelo Agente de Contratação.</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16.2. O Recurso e o pedido de reconsideração terão efeito suspensivo do ato ou da decisão recorrida até que sobrevenha decisão final da autoridade competente.</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16.3. Não sendo interpostos recursos, ou sendo interposto em desacordo com o Edital, ou decididos os recursos interpostos o Agente de Contratação encaminhará o processo licitatório para a Autoridade Competente para os procedimentos de adjudicação do objeto do certame à(s) empresa(s) declarada(s) vencedora(s) e homologação.</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16.4. As causas de extinção contratual estão estabelecidas no artigo 137, de acordo com as disposições do art. 138 e 139, todos da Lei Federal nº 14.133, de 2021.</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16.5. O licitante ou o contratado será responsabilizado administrativamente pelas infrações previstas no art. 155 da Lei Federal n. 14.133/2021.</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16.6. O Município de Lindóia do Sul poderá, garantido o contraditório e a ampla defesa, aplicar as seguintes sanções administrativas:</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ab/>
        <w:t>I – advertência;</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ab/>
        <w:t>II – multa;</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ab/>
        <w:t>III – impedimento de licitar e contratar com Administração Pública direta e indireta do Município de Lindóia do Sul, pelo prazo máximo de 03 (três anos);</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ab/>
        <w:t>IV – declaração de inidoneidade para licitar ou contratar no âmbito da Administração Pública direta e indireta de todos os entes federativos, pelo prazo mínimo de 3 (três) anos e máximo de 6 (seis) anos.</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16.7. Por qualquer das infrações previstas no art. 155 da Lei Federal n. 14.133/2021, poderá ser aplicada ao licitante ou contratado a sanção administrativa de multa compensatória de 20% (vinte inteiros por cento) sobre o valor total do contrato.</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16.8. A recusa injustificada do adjudicatário em assinar o Contrato, no prazo máximo de 5 (cinco) dias úteis da notificação, implicará a aplicação da multa compensatória prevista no item anterior.</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16.9. A sanção administrativa de multa moratória será aplicada nos casos de atraso injustificado na execução do contrato, nos termos do art. 162 da Lei Federal n. 14.133/2021, possuindo os seguintes parâmetros:</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ab/>
        <w:t>I – por atraso ou paralisação da execução superior a 10 (dez) dias do prazo de execução dos serviços, fica o contratado sujeito à multa de 0,5% (meio por cento) por dia de atraso, incidente sobre o valor total do contrato, a ser calculado desde o 11º (décimo primeiro) dia de atraso até o efetivo cumprimento da obrigação, limitado a 30 (trinta) dias.</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ab/>
        <w:t>II – transcorridos 30 (trinta) dias do prazo de execução estabelecido no contrato, será considerado extinto o Contrato Administrativo, canceladas as ordens de serviços e aplicada multa de 20% (vinte inteiros por cento) por inexecução total, calculada sobre o valor do contrato.</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16.10. Dependendo do descumprimento, se gerar algum prejuízo ao Município, poderá ser requerido do Contratado o valor de perdas e danos, após Processo Administrativo de reconhecimento da responsabilidade.</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16.11. A sanção administrativa de multa poderá ser aplicada de forma cumulativa com a sanção de advertência, impedimento de licitar e contratar e declaração de inidoneidade para licitar ou contratar.</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16.12. A aplicação das sanções administrativas de impedimento de licitar e contratar e declaração de inidoneidade para licitar e contratar deverão respeitar o trâmite e procedimentos estabelecidos no art. 158 da Lei Federal n. 14.133/2021.</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16.13. As sanções administrativas de impedimento de licitar e contratar e declaração de inidoneidade para licitar e contratar são passíveis de reabilitação, na forma do art. 163 da Lei Federal n. 14.133/2021.</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16.14.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nos termos do art. 160 da Lei Federal n. 14.133/2021.</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16.15. O Contratante deverá, no prazo máximo de 15 (quinze) dias úteis, contado da data da aplicação da sanção, informar e manter atualizados os dados relativos às sanções aplicadas, para fins de publicidade no Cadastro Nacional de Empresas Inidôneas e Suspensas (Ceis) e no Cadastro Nacional de Empresas Punidas (Cnep), instituídos no âmbito do Poder Executivo Federal, nos termos do art. 161 da Lei Federal n. 14.133/2021.</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16.16. Os débitos do licitante/contratado com a Administração Pública contratante, resultantes da aplicação de multas e/ou indenizações, poderão ser compensados, total ou parcialmente, nos casos da existência de crédito em favor do licitante/contratado, decorrentes do mesmo contrato ou de outros contratos administrativos firmados com a mesma entidade/órgão público contratante.</w:t>
      </w:r>
    </w:p>
    <w:p>
      <w:pPr>
        <w:pStyle w:val="Normal"/>
        <w:widowControl/>
        <w:suppressAutoHyphens w:val="true"/>
        <w:bidi w:val="0"/>
        <w:spacing w:lineRule="auto" w:line="360" w:before="142" w:after="142"/>
        <w:ind w:hanging="0" w:start="0" w:end="0"/>
        <w:jc w:val="both"/>
        <w:rPr/>
      </w:pPr>
      <w:r>
        <w:rPr>
          <w:rFonts w:ascii="Arial" w:hAnsi="Arial"/>
          <w:sz w:val="21"/>
          <w:szCs w:val="21"/>
          <w:shd w:fill="FFFFFF" w:val="clear"/>
        </w:rPr>
        <w:t>16.17. Na hipótese de aplicação de penalidade de multa, após os procedimentos legais, será emitida notificação de cobrança ao licitante, que deverá fazer o recolhimento do valor no prazo estabelecido na decisão do processo administrativo, sob pena de cobrança judicial.</w:t>
      </w:r>
    </w:p>
    <w:p>
      <w:pPr>
        <w:pStyle w:val="Normal"/>
        <w:widowControl/>
        <w:suppressAutoHyphens w:val="true"/>
        <w:bidi w:val="0"/>
        <w:spacing w:lineRule="auto" w:line="360" w:before="142" w:after="142"/>
        <w:ind w:hanging="0" w:start="0" w:end="0"/>
        <w:jc w:val="both"/>
        <w:rPr/>
      </w:pPr>
      <w:r>
        <w:rPr>
          <w:rFonts w:ascii="Arial" w:hAnsi="Arial"/>
          <w:b/>
          <w:bCs/>
          <w:sz w:val="21"/>
          <w:szCs w:val="21"/>
          <w:shd w:fill="FFFFFF" w:val="clear"/>
        </w:rPr>
        <w:t>17. DAS ALTERAÇÕES CONTRATUAIS</w:t>
      </w:r>
    </w:p>
    <w:p>
      <w:pPr>
        <w:pStyle w:val="Normal"/>
        <w:widowControl/>
        <w:suppressAutoHyphens w:val="true"/>
        <w:bidi w:val="0"/>
        <w:spacing w:lineRule="auto" w:line="360" w:before="142" w:after="142"/>
        <w:ind w:hanging="0" w:start="0" w:end="0"/>
        <w:jc w:val="both"/>
        <w:rPr/>
      </w:pPr>
      <w:r>
        <w:rPr>
          <w:rFonts w:ascii="Arial" w:hAnsi="Arial"/>
          <w:sz w:val="21"/>
          <w:szCs w:val="21"/>
          <w:shd w:fill="FFFFFF" w:val="clear"/>
        </w:rPr>
        <w:t>17.1. O Contrato poderá sofrer alterações, obedecidas às disposições contidas no art. 124 e seguintes da Lei Federal nº. 14.133/21.</w:t>
      </w:r>
    </w:p>
    <w:p>
      <w:pPr>
        <w:pStyle w:val="Normal"/>
        <w:widowControl/>
        <w:suppressAutoHyphens w:val="true"/>
        <w:bidi w:val="0"/>
        <w:spacing w:lineRule="auto" w:line="360" w:before="142" w:after="142"/>
        <w:ind w:hanging="0" w:start="0" w:end="0"/>
        <w:jc w:val="both"/>
        <w:rPr/>
      </w:pPr>
      <w:r>
        <w:rPr>
          <w:rFonts w:ascii="Arial" w:hAnsi="Arial"/>
          <w:b/>
          <w:bCs/>
          <w:sz w:val="21"/>
          <w:szCs w:val="21"/>
          <w:shd w:fill="FFFFFF" w:val="clear"/>
        </w:rPr>
        <w:t>18. DA DOTAÇÃO ORÇAMENTÁRIA</w:t>
      </w:r>
    </w:p>
    <w:p>
      <w:pPr>
        <w:pStyle w:val="Normal"/>
        <w:widowControl/>
        <w:suppressAutoHyphens w:val="true"/>
        <w:bidi w:val="0"/>
        <w:spacing w:lineRule="auto" w:line="360" w:before="142" w:after="142"/>
        <w:ind w:hanging="0" w:start="0" w:end="0"/>
        <w:jc w:val="both"/>
        <w:rPr/>
      </w:pPr>
      <w:r>
        <w:rPr>
          <w:rFonts w:ascii="Arial" w:hAnsi="Arial"/>
          <w:sz w:val="21"/>
          <w:szCs w:val="21"/>
          <w:shd w:fill="FFFFFF" w:val="clear"/>
        </w:rPr>
        <w:t>18.1. As despesas decorrentes das aquisições, objeto do presente certame correrão a conta de dotação específica do orçamento, constante no Termo de Referência, Anexo I deste edital.</w:t>
      </w:r>
    </w:p>
    <w:p>
      <w:pPr>
        <w:pStyle w:val="Normal"/>
        <w:widowControl/>
        <w:suppressAutoHyphens w:val="true"/>
        <w:bidi w:val="0"/>
        <w:spacing w:lineRule="auto" w:line="360" w:before="142" w:after="142"/>
        <w:ind w:hanging="0" w:start="0" w:end="0"/>
        <w:jc w:val="both"/>
        <w:rPr/>
      </w:pPr>
      <w:r>
        <w:rPr>
          <w:rFonts w:ascii="Arial" w:hAnsi="Arial"/>
          <w:b/>
          <w:bCs/>
          <w:sz w:val="21"/>
          <w:szCs w:val="21"/>
          <w:shd w:fill="FFFFFF" w:val="clear"/>
        </w:rPr>
        <w:t>19. DO PAGAMENTO</w:t>
      </w:r>
    </w:p>
    <w:p>
      <w:pPr>
        <w:pStyle w:val="Normal"/>
        <w:widowControl/>
        <w:suppressAutoHyphens w:val="true"/>
        <w:bidi w:val="0"/>
        <w:spacing w:lineRule="auto" w:line="360" w:before="142" w:after="142"/>
        <w:ind w:hanging="0" w:start="0" w:end="0"/>
        <w:jc w:val="both"/>
        <w:rPr/>
      </w:pPr>
      <w:r>
        <w:rPr>
          <w:rFonts w:ascii="Arial" w:hAnsi="Arial"/>
          <w:sz w:val="21"/>
          <w:szCs w:val="21"/>
          <w:shd w:fill="FFFFFF" w:val="clear"/>
        </w:rPr>
        <w:t>19.1. O pagamento pelos serviços prestados, objeto da presente licitação, será feito em favor do licitante vencedor, mediante boleto bancário ou transferência bancária em conta-corrente de titularidade do Fornecedor, cujos dados devem ser idênticos ao da sua proposta.</w:t>
      </w:r>
    </w:p>
    <w:p>
      <w:pPr>
        <w:pStyle w:val="Normal"/>
        <w:widowControl/>
        <w:suppressAutoHyphens w:val="true"/>
        <w:bidi w:val="0"/>
        <w:spacing w:lineRule="auto" w:line="360" w:before="142" w:after="142"/>
        <w:ind w:hanging="0" w:start="0" w:end="0"/>
        <w:jc w:val="both"/>
        <w:rPr/>
      </w:pPr>
      <w:r>
        <w:rPr>
          <w:rFonts w:ascii="Arial" w:hAnsi="Arial"/>
          <w:sz w:val="21"/>
          <w:szCs w:val="21"/>
          <w:shd w:fill="FFFFFF" w:val="clear"/>
        </w:rPr>
        <w:t>19.1.1. Os pagamentos em cada medição será realizado de acordo com os critérios de medição constantes no Termo de Referência, que compõe o ANEXO I, parte integrante deste Edital.</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19.1.2. Somente serão autorizados os pagamentos em contas cujo CNPJ de titularidade seja idêntico àquele da habilitação e proposta vinculada, exceto no caso de participação de empresas em consórcio ou de solicitação de alteração, entre matriz e filiais ou entre filiais, mediante comprovação do preenchimento dos requisitos de habilitação pelo novo CNPJ, sendo responsabilidade da contratada manter a identidade de informação no momento do cadastro e durante a execução.</w:t>
      </w:r>
    </w:p>
    <w:p>
      <w:pPr>
        <w:pStyle w:val="Normal"/>
        <w:widowControl/>
        <w:suppressAutoHyphens w:val="true"/>
        <w:bidi w:val="0"/>
        <w:spacing w:lineRule="auto" w:line="360" w:before="142" w:after="142"/>
        <w:ind w:hanging="0" w:start="0" w:end="0"/>
        <w:jc w:val="both"/>
        <w:rPr/>
      </w:pPr>
      <w:r>
        <w:rPr>
          <w:rFonts w:ascii="Arial" w:hAnsi="Arial"/>
          <w:sz w:val="21"/>
          <w:szCs w:val="21"/>
          <w:shd w:fill="FFFFFF" w:val="clear"/>
        </w:rPr>
        <w:t xml:space="preserve">19.1.3. O Município efetuará o pagamento </w:t>
      </w:r>
      <w:r>
        <w:rPr>
          <w:rFonts w:eastAsia="Arial" w:cs="Arial" w:ascii="Arial" w:hAnsi="Arial"/>
          <w:sz w:val="21"/>
          <w:szCs w:val="21"/>
          <w:shd w:fill="FFFFFF" w:val="clear"/>
        </w:rPr>
        <w:t xml:space="preserve">em até 30 (trinta) dias após cada medição, acompanhada da respectiva </w:t>
      </w:r>
      <w:r>
        <w:rPr>
          <w:rFonts w:ascii="Arial" w:hAnsi="Arial"/>
          <w:sz w:val="21"/>
          <w:szCs w:val="21"/>
          <w:shd w:fill="FFFFFF" w:val="clear"/>
        </w:rPr>
        <w:t>Nota Fiscal Eletrônica e arquivo XML, atestada por servidor responsável.</w:t>
      </w:r>
    </w:p>
    <w:p>
      <w:pPr>
        <w:pStyle w:val="Normal"/>
        <w:widowControl/>
        <w:suppressAutoHyphens w:val="true"/>
        <w:bidi w:val="0"/>
        <w:spacing w:lineRule="auto" w:line="360" w:before="142" w:after="142"/>
        <w:ind w:hanging="0" w:start="0" w:end="0"/>
        <w:jc w:val="both"/>
        <w:rPr/>
      </w:pPr>
      <w:r>
        <w:rPr>
          <w:rFonts w:ascii="Arial" w:hAnsi="Arial"/>
          <w:sz w:val="21"/>
          <w:szCs w:val="21"/>
          <w:shd w:fill="FFFFFF" w:val="clear"/>
        </w:rPr>
        <w:t>19.1.4. Caso a licitante não esteja enquadrada no Simples Nacional, deverá enviar a(s) nota(s) fiscal(is) com o devido destaque de Imposto de Renda, conforme exige o Decreto Municipal nº 3.949/2023.</w:t>
      </w:r>
    </w:p>
    <w:p>
      <w:pPr>
        <w:pStyle w:val="Normal"/>
        <w:widowControl/>
        <w:suppressAutoHyphens w:val="true"/>
        <w:bidi w:val="0"/>
        <w:spacing w:lineRule="auto" w:line="360" w:before="142" w:after="142"/>
        <w:ind w:hanging="0" w:start="0" w:end="0"/>
        <w:jc w:val="both"/>
        <w:rPr/>
      </w:pPr>
      <w:r>
        <w:rPr>
          <w:rFonts w:ascii="Arial" w:hAnsi="Arial"/>
          <w:sz w:val="21"/>
          <w:szCs w:val="21"/>
          <w:shd w:fill="FFFFFF" w:val="clear"/>
        </w:rPr>
        <w:t>19.2. Será pago a contratada somente o valor dos serviços efetivamente executados de acordo com objeto do Edital, conforme relatório (caso necessário), após aprovação/aceite do Contratante.</w:t>
      </w:r>
    </w:p>
    <w:p>
      <w:pPr>
        <w:pStyle w:val="Normal"/>
        <w:widowControl/>
        <w:suppressAutoHyphens w:val="true"/>
        <w:bidi w:val="0"/>
        <w:spacing w:lineRule="auto" w:line="360" w:before="142" w:after="142"/>
        <w:ind w:hanging="0" w:start="0" w:end="0"/>
        <w:jc w:val="both"/>
        <w:rPr/>
      </w:pPr>
      <w:r>
        <w:rPr>
          <w:rFonts w:ascii="Arial" w:hAnsi="Arial"/>
          <w:sz w:val="21"/>
          <w:szCs w:val="21"/>
          <w:shd w:fill="FFFFFF" w:val="clear"/>
        </w:rPr>
        <w:t>19.3. O número do CNPJ – Cadastro Nacional de Pessoa Jurídica – constante das notas fiscais deverá ser aquele fornecido na fase de habilitação, exceto no caso de participação de empresas em consórcio ou de solicitação de alteração entre matriz e filiais ou filiais entre si, mediante comprovação do preenchimento dos requisitos de habilitação pelo novo CNPJ.</w:t>
      </w:r>
    </w:p>
    <w:p>
      <w:pPr>
        <w:pStyle w:val="Normal"/>
        <w:widowControl/>
        <w:suppressAutoHyphens w:val="true"/>
        <w:bidi w:val="0"/>
        <w:spacing w:lineRule="auto" w:line="360" w:before="142" w:after="142"/>
        <w:ind w:hanging="0" w:start="0" w:end="0"/>
        <w:jc w:val="both"/>
        <w:rPr/>
      </w:pPr>
      <w:r>
        <w:rPr>
          <w:rFonts w:ascii="Arial" w:hAnsi="Arial"/>
          <w:sz w:val="21"/>
          <w:szCs w:val="21"/>
          <w:shd w:fill="FFFFFF" w:val="clear"/>
        </w:rPr>
        <w:t>19.4. Nenhum pagamento será efetuado à Contratada enquanto pendente de liquidação qualquer obrigação financeira ou técnica que lhe for imposta, em virtude de penalidade ou inadimplência, sem que isso gere direito ao pleito do reajustamento de preços ou correção monetária.</w:t>
      </w:r>
    </w:p>
    <w:p>
      <w:pPr>
        <w:pStyle w:val="Normal"/>
        <w:widowControl/>
        <w:suppressAutoHyphens w:val="true"/>
        <w:bidi w:val="0"/>
        <w:spacing w:lineRule="auto" w:line="360" w:before="142" w:after="142"/>
        <w:ind w:hanging="0" w:start="0" w:end="0"/>
        <w:jc w:val="both"/>
        <w:rPr/>
      </w:pPr>
      <w:r>
        <w:rPr>
          <w:rFonts w:ascii="Arial" w:hAnsi="Arial"/>
          <w:sz w:val="21"/>
          <w:szCs w:val="21"/>
          <w:shd w:fill="FFFFFF" w:val="clear"/>
        </w:rPr>
        <w:t>19.5. De modo a assegurar o cumprimento de obrigações trabalhistas pelo contratado, nos termos do art. 121, § 3º, inciso II, da Lei Federal n. 14.133/2021, a Administração condicionará o pagamento à comprovação de quitação das obrigações trabalhistas vencidas relativas ao contrato.</w:t>
      </w:r>
    </w:p>
    <w:p>
      <w:pPr>
        <w:pStyle w:val="Normal"/>
        <w:widowControl/>
        <w:suppressAutoHyphens w:val="true"/>
        <w:bidi w:val="0"/>
        <w:spacing w:lineRule="auto" w:line="360" w:before="142" w:after="142"/>
        <w:ind w:hanging="0" w:start="0" w:end="0"/>
        <w:jc w:val="both"/>
        <w:rPr/>
      </w:pPr>
      <w:r>
        <w:rPr>
          <w:rFonts w:ascii="Arial" w:hAnsi="Arial"/>
          <w:sz w:val="21"/>
          <w:szCs w:val="21"/>
          <w:shd w:fill="FFFFFF" w:val="clear"/>
        </w:rPr>
        <w:t>19.5.1. Para tanto, juntamente com a not</w:t>
      </w:r>
      <w:r>
        <w:rPr>
          <w:rFonts w:ascii="Arial" w:hAnsi="Arial"/>
          <w:sz w:val="21"/>
          <w:szCs w:val="21"/>
        </w:rPr>
        <w:t>a fiscal deverá ser entregue os comprovantes do recolhimento das contribuições sociais (Fundo de Garantia do Tempo de Serviço e Previdência Social) e de adimplemento com as demais obrigações trabalhistas, correspondentes ao mês da última competência vencida, referente a seus empregados que atuam na execução dos serviços contratados.</w:t>
      </w:r>
    </w:p>
    <w:p>
      <w:pPr>
        <w:pStyle w:val="Normal"/>
        <w:widowControl/>
        <w:suppressAutoHyphens w:val="true"/>
        <w:bidi w:val="0"/>
        <w:spacing w:lineRule="auto" w:line="360" w:before="142" w:after="142"/>
        <w:ind w:hanging="0" w:start="0" w:end="0"/>
        <w:jc w:val="both"/>
        <w:rPr/>
      </w:pPr>
      <w:r>
        <w:rPr>
          <w:rFonts w:ascii="Arial" w:hAnsi="Arial"/>
          <w:sz w:val="21"/>
          <w:szCs w:val="21"/>
        </w:rPr>
        <w:t>19.5.2. A não apresentação dos documentos enumerados nas cláusulas acima implicará suspensão do pagamento da nota até a sua apresentação, não incidindo, neste caso, quaisquer acréscimos de valores referentes a juros, multa ou correção monetária.</w:t>
      </w:r>
    </w:p>
    <w:p>
      <w:pPr>
        <w:pStyle w:val="Normal"/>
        <w:widowControl/>
        <w:suppressAutoHyphens w:val="true"/>
        <w:bidi w:val="0"/>
        <w:spacing w:lineRule="auto" w:line="360" w:before="142" w:after="142"/>
        <w:ind w:hanging="0" w:start="0" w:end="0"/>
        <w:jc w:val="both"/>
        <w:rPr/>
      </w:pPr>
      <w:r>
        <w:rPr>
          <w:rFonts w:ascii="Arial" w:hAnsi="Arial"/>
          <w:sz w:val="21"/>
          <w:szCs w:val="21"/>
        </w:rPr>
        <w:t>19.6. A Administração poderá deduzir do pagamento devido qualquer multa imposta, sem prejuízo das demais penalidades previstas em Lei, assim como verbas trabalhistas não adimplidas pela contratada, para fins de efetuar diretamente o seu pagamento, nos termos do art. 121, § 3º, inciso IV, da Lei Federal n. 14.133/2021.</w:t>
      </w:r>
    </w:p>
    <w:p>
      <w:pPr>
        <w:pStyle w:val="Normal"/>
        <w:widowControl/>
        <w:suppressAutoHyphens w:val="true"/>
        <w:bidi w:val="0"/>
        <w:spacing w:lineRule="auto" w:line="360" w:before="142" w:after="142"/>
        <w:ind w:hanging="0" w:start="0" w:end="0"/>
        <w:jc w:val="both"/>
        <w:rPr/>
      </w:pPr>
      <w:r>
        <w:rPr>
          <w:rFonts w:ascii="Arial" w:hAnsi="Arial"/>
          <w:sz w:val="21"/>
          <w:szCs w:val="21"/>
        </w:rPr>
        <w:t>19.7. O pagamento poderá ser sustado pela CONTRATANTE quando os serviços não estiverem de acordo com o estipulado, ou por inadimplemento de qualquer Cláusula Contratual.</w:t>
      </w:r>
    </w:p>
    <w:p>
      <w:pPr>
        <w:pStyle w:val="Normal"/>
        <w:widowControl/>
        <w:suppressAutoHyphens w:val="true"/>
        <w:bidi w:val="0"/>
        <w:spacing w:lineRule="auto" w:line="360" w:before="142" w:after="142"/>
        <w:ind w:hanging="0" w:start="0" w:end="0"/>
        <w:jc w:val="both"/>
        <w:rPr/>
      </w:pPr>
      <w:r>
        <w:rPr>
          <w:rFonts w:ascii="Arial" w:hAnsi="Arial"/>
          <w:sz w:val="21"/>
          <w:szCs w:val="21"/>
        </w:rPr>
        <w:t>19.8. Os resultados dos relatórios dos serviços serão lançados em formulários apropriados, de acordo com as normas adotadas pelo Contratante.</w:t>
      </w:r>
    </w:p>
    <w:p>
      <w:pPr>
        <w:pStyle w:val="Normal"/>
        <w:widowControl/>
        <w:suppressAutoHyphens w:val="true"/>
        <w:bidi w:val="0"/>
        <w:spacing w:lineRule="auto" w:line="360" w:before="142" w:after="142"/>
        <w:ind w:hanging="0" w:start="0" w:end="0"/>
        <w:jc w:val="both"/>
        <w:rPr/>
      </w:pPr>
      <w:r>
        <w:rPr>
          <w:rFonts w:ascii="Arial" w:hAnsi="Arial"/>
          <w:sz w:val="21"/>
          <w:szCs w:val="21"/>
        </w:rPr>
        <w:t>19.9. Eventuais variações dos preços dos serviços durante a execução do contrato não darão ensejo a qualquer aditivo contratual, salvo hipótese de reestabelecimento do equilíbrio econômico-financeiro conforme previsto no contrato, devendo a proposta contemplar eventuais riscos relativos à flutuação dos preços.</w:t>
      </w:r>
    </w:p>
    <w:p>
      <w:pPr>
        <w:pStyle w:val="Normal"/>
        <w:widowControl/>
        <w:suppressAutoHyphens w:val="true"/>
        <w:bidi w:val="0"/>
        <w:spacing w:lineRule="auto" w:line="360" w:before="142" w:after="142"/>
        <w:ind w:hanging="0" w:start="0" w:end="0"/>
        <w:jc w:val="both"/>
        <w:rPr/>
      </w:pPr>
      <w:r>
        <w:rPr>
          <w:rFonts w:ascii="Arial" w:hAnsi="Arial"/>
          <w:b/>
          <w:bCs/>
          <w:sz w:val="21"/>
          <w:szCs w:val="21"/>
        </w:rPr>
        <w:t xml:space="preserve">20. </w:t>
      </w:r>
      <w:r>
        <w:rPr>
          <w:rFonts w:eastAsia="Times New Roman" w:cs="Arial" w:ascii="Arial" w:hAnsi="Arial"/>
          <w:b/>
          <w:bCs/>
          <w:color w:val="000000"/>
          <w:kern w:val="0"/>
          <w:sz w:val="21"/>
          <w:szCs w:val="21"/>
          <w:lang w:eastAsia="zh-CN"/>
        </w:rPr>
        <w:t>DO PRAZO, FORMA DE RECEBIMENTO E LOCAL DE ENTREGA DO OBJETO</w:t>
      </w:r>
    </w:p>
    <w:p>
      <w:pPr>
        <w:pStyle w:val="Normal"/>
        <w:tabs>
          <w:tab w:val="clear" w:pos="709"/>
          <w:tab w:val="left" w:pos="142" w:leader="none"/>
        </w:tabs>
        <w:spacing w:lineRule="auto" w:line="360" w:before="142" w:after="142"/>
        <w:jc w:val="both"/>
        <w:rPr/>
      </w:pPr>
      <w:r>
        <w:rPr>
          <w:rFonts w:cs="Arial" w:ascii="Arial" w:hAnsi="Arial"/>
          <w:kern w:val="2"/>
          <w:sz w:val="21"/>
          <w:szCs w:val="21"/>
          <w:lang w:eastAsia="ar-SA"/>
        </w:rPr>
        <w:t>20.1. A licitante vencedora obriga-se a entregar o objeto desta licitação, completamente acabado, em conformidade com o Cronograma de Execução e Proposta</w:t>
      </w:r>
      <w:r>
        <w:rPr>
          <w:rFonts w:cs="Arial" w:ascii="Arial" w:hAnsi="Arial"/>
          <w:color w:val="000000"/>
          <w:kern w:val="2"/>
          <w:sz w:val="21"/>
          <w:szCs w:val="21"/>
          <w:shd w:fill="auto" w:val="clear"/>
          <w:lang w:eastAsia="ar-SA"/>
        </w:rPr>
        <w:t xml:space="preserve">, </w:t>
      </w:r>
      <w:r>
        <w:rPr>
          <w:rFonts w:cs="Arial" w:ascii="Arial" w:hAnsi="Arial"/>
          <w:kern w:val="2"/>
          <w:sz w:val="21"/>
          <w:szCs w:val="21"/>
          <w:shd w:fill="auto" w:val="clear"/>
          <w:lang w:eastAsia="ar-SA"/>
        </w:rPr>
        <w:t xml:space="preserve">contados </w:t>
      </w:r>
      <w:r>
        <w:rPr>
          <w:rFonts w:cs="Arial" w:ascii="Arial" w:hAnsi="Arial"/>
          <w:kern w:val="2"/>
          <w:sz w:val="21"/>
          <w:szCs w:val="21"/>
          <w:lang w:eastAsia="ar-SA"/>
        </w:rPr>
        <w:t>a partir da data da assinatura da Ordem de Serviço.</w:t>
      </w:r>
    </w:p>
    <w:p>
      <w:pPr>
        <w:pStyle w:val="Normal"/>
        <w:widowControl/>
        <w:suppressAutoHyphens w:val="false"/>
        <w:spacing w:lineRule="auto" w:line="360" w:before="142" w:after="142"/>
        <w:jc w:val="both"/>
        <w:rPr/>
      </w:pPr>
      <w:r>
        <w:rPr>
          <w:rFonts w:cs="Arial" w:ascii="Arial" w:hAnsi="Arial"/>
          <w:kern w:val="2"/>
          <w:sz w:val="21"/>
          <w:szCs w:val="21"/>
          <w:shd w:fill="FFFFFF" w:val="clear"/>
          <w:lang w:eastAsia="ar-SA"/>
        </w:rPr>
        <w:t>20</w:t>
      </w:r>
      <w:r>
        <w:rPr>
          <w:rFonts w:eastAsia="Times New Roman" w:cs="Arial" w:ascii="Arial" w:hAnsi="Arial"/>
          <w:kern w:val="0"/>
          <w:sz w:val="21"/>
          <w:szCs w:val="21"/>
          <w:shd w:fill="FFFFFF" w:val="clear"/>
          <w:lang w:eastAsia="pt-BR"/>
        </w:rPr>
        <w:t>.2</w:t>
      </w:r>
      <w:r>
        <w:rPr>
          <w:rFonts w:eastAsia="Times New Roman" w:cs="Arial" w:ascii="Arial" w:hAnsi="Arial"/>
          <w:kern w:val="0"/>
          <w:sz w:val="21"/>
          <w:szCs w:val="21"/>
          <w:lang w:eastAsia="pt-BR"/>
        </w:rPr>
        <w:t>.</w:t>
      </w:r>
      <w:r>
        <w:rPr>
          <w:rFonts w:eastAsia="Times New Roman" w:cs="Arial" w:ascii="Arial" w:hAnsi="Arial"/>
          <w:color w:val="000000"/>
          <w:kern w:val="0"/>
          <w:sz w:val="21"/>
          <w:szCs w:val="21"/>
          <w:lang w:eastAsia="pt-BR"/>
        </w:rPr>
        <w:t xml:space="preserve"> O prazo para o início dos serviços não poderá exceder a 05 (cinco) dias úteis, contados da data de assinatura da ordem de serviço.</w:t>
      </w:r>
    </w:p>
    <w:p>
      <w:pPr>
        <w:pStyle w:val="Normal"/>
        <w:tabs>
          <w:tab w:val="clear" w:pos="709"/>
          <w:tab w:val="left" w:pos="142" w:leader="none"/>
        </w:tabs>
        <w:spacing w:lineRule="auto" w:line="360" w:before="142" w:after="142"/>
        <w:jc w:val="both"/>
        <w:rPr/>
      </w:pPr>
      <w:r>
        <w:rPr>
          <w:rFonts w:cs="Arial" w:ascii="Arial" w:hAnsi="Arial"/>
          <w:kern w:val="2"/>
          <w:sz w:val="21"/>
          <w:szCs w:val="21"/>
          <w:lang w:eastAsia="ar-SA"/>
        </w:rPr>
        <w:t>20.3. O setor de Arquitetura e Engenharia Municipal efetuará o acompanhamento e a fiscalização do objeto desta licitação, sendo que a mesma terá também a incumbência de medir suas etapas com a finalidade de expedir relatórios de medição das mesmas, os quais serão tidos como pré-requisitos para os pagamentos da licitante contratada.</w:t>
      </w:r>
    </w:p>
    <w:p>
      <w:pPr>
        <w:pStyle w:val="Normal"/>
        <w:tabs>
          <w:tab w:val="clear" w:pos="709"/>
          <w:tab w:val="left" w:pos="142" w:leader="none"/>
        </w:tabs>
        <w:spacing w:lineRule="auto" w:line="360" w:before="142" w:after="142"/>
        <w:jc w:val="both"/>
        <w:rPr/>
      </w:pPr>
      <w:r>
        <w:rPr>
          <w:rFonts w:cs="Arial" w:ascii="Arial" w:hAnsi="Arial"/>
          <w:b w:val="false"/>
          <w:bCs w:val="false"/>
          <w:kern w:val="2"/>
          <w:sz w:val="21"/>
          <w:szCs w:val="21"/>
          <w:lang w:eastAsia="ar-SA"/>
        </w:rPr>
        <w:t>20.4. Os serviços</w:t>
      </w:r>
      <w:r>
        <w:rPr>
          <w:rFonts w:eastAsia="Times New Roman" w:cs="Arial" w:ascii="Arial" w:hAnsi="Arial"/>
          <w:b w:val="false"/>
          <w:bCs w:val="false"/>
          <w:color w:val="000000"/>
          <w:kern w:val="2"/>
          <w:sz w:val="21"/>
          <w:szCs w:val="21"/>
          <w:lang w:eastAsia="zh-CN"/>
        </w:rPr>
        <w:t>, objeto desta licitação, deverão ser executados nos locais conforme memorial descritivo e termo de referência.</w:t>
      </w:r>
    </w:p>
    <w:p>
      <w:pPr>
        <w:pStyle w:val="Normal"/>
        <w:widowControl/>
        <w:suppressAutoHyphens w:val="true"/>
        <w:bidi w:val="0"/>
        <w:spacing w:lineRule="auto" w:line="360" w:before="142" w:after="142"/>
        <w:ind w:hanging="0" w:start="0" w:end="0"/>
        <w:jc w:val="both"/>
        <w:rPr/>
      </w:pPr>
      <w:r>
        <w:rPr>
          <w:rFonts w:ascii="Arial" w:hAnsi="Arial"/>
          <w:b w:val="false"/>
          <w:bCs w:val="false"/>
          <w:sz w:val="21"/>
          <w:szCs w:val="21"/>
        </w:rPr>
        <w:t>20.5. A Contratada deverá</w:t>
      </w:r>
      <w:r>
        <w:rPr>
          <w:rFonts w:eastAsia="Arial" w:cs="Arial" w:ascii="Arial" w:hAnsi="Arial"/>
          <w:b w:val="false"/>
          <w:bCs/>
          <w:sz w:val="21"/>
          <w:szCs w:val="21"/>
        </w:rPr>
        <w:t xml:space="preserve"> executar os serviços seguindo rigorosamente as especificações técnicas descritas no Termo de Referência, Anexo I do Edital, bem como os projetos de engenharia, planilhas orçamentárias e cronogramas físico-financeiros que integram o processo.</w:t>
      </w:r>
    </w:p>
    <w:p>
      <w:pPr>
        <w:pStyle w:val="Normal"/>
        <w:widowControl/>
        <w:suppressAutoHyphens w:val="true"/>
        <w:bidi w:val="0"/>
        <w:spacing w:lineRule="auto" w:line="360" w:before="142" w:after="142"/>
        <w:ind w:hanging="0" w:start="0" w:end="0"/>
        <w:jc w:val="both"/>
        <w:rPr/>
      </w:pPr>
      <w:r>
        <w:rPr>
          <w:rFonts w:ascii="Arial" w:hAnsi="Arial"/>
          <w:sz w:val="21"/>
          <w:szCs w:val="21"/>
        </w:rPr>
        <w:t>20.6. Os serviços deverão ser prestados de acordo com as determinações da CONTRATANTE, observadas as normas e procedimentos técnicos, de qualidade, de segurança e de preservação do meio ambiente.</w:t>
      </w:r>
    </w:p>
    <w:p>
      <w:pPr>
        <w:pStyle w:val="Normal"/>
        <w:spacing w:lineRule="auto" w:line="360" w:before="142" w:after="142"/>
        <w:ind w:hanging="0" w:start="0" w:end="0"/>
        <w:jc w:val="both"/>
        <w:rPr/>
      </w:pPr>
      <w:r>
        <w:rPr>
          <w:rFonts w:eastAsia="Times New Roman" w:cs="Arial" w:ascii="Arial" w:hAnsi="Arial"/>
          <w:bCs/>
          <w:color w:val="000000"/>
          <w:kern w:val="0"/>
          <w:sz w:val="21"/>
          <w:szCs w:val="21"/>
          <w:lang w:eastAsia="zh-CN"/>
        </w:rPr>
        <w:t>20.7. Todos os custos com o objeto, frete, deslocamento, entrega, serão de responsabilidade exclusiva da licitante. Sendo proibida a cobrança de qualquer outra despesa que venha a interferir no valor licitado e aprovado;</w:t>
      </w:r>
    </w:p>
    <w:p>
      <w:pPr>
        <w:pStyle w:val="Normal"/>
        <w:spacing w:lineRule="auto" w:line="360" w:before="142" w:after="142"/>
        <w:ind w:hanging="0" w:start="0" w:end="0"/>
        <w:jc w:val="both"/>
        <w:rPr/>
      </w:pPr>
      <w:r>
        <w:rPr>
          <w:rFonts w:eastAsia="Times New Roman" w:cs="Arial" w:ascii="Arial" w:hAnsi="Arial"/>
          <w:bCs/>
          <w:color w:val="000000"/>
          <w:kern w:val="0"/>
          <w:sz w:val="21"/>
          <w:szCs w:val="21"/>
          <w:lang w:eastAsia="zh-CN"/>
        </w:rPr>
        <w:t>20.8. O ato de recebimento não implica a aceitação do produto e/ou serviço;</w:t>
      </w:r>
    </w:p>
    <w:p>
      <w:pPr>
        <w:pStyle w:val="Normal"/>
        <w:spacing w:lineRule="auto" w:line="360" w:before="142" w:after="142"/>
        <w:ind w:hanging="0" w:start="0" w:end="0"/>
        <w:jc w:val="both"/>
        <w:rPr/>
      </w:pPr>
      <w:r>
        <w:rPr>
          <w:rFonts w:eastAsia="Times New Roman" w:cs="Arial" w:ascii="Arial" w:hAnsi="Arial"/>
          <w:bCs/>
          <w:color w:val="000000"/>
          <w:kern w:val="0"/>
          <w:sz w:val="21"/>
          <w:szCs w:val="21"/>
          <w:lang w:eastAsia="zh-CN"/>
        </w:rPr>
        <w:t>20.9. Caso seja constatado que o objeto executado não corresponde em qualidade, descrição e especificação ao estabelecido neste edital de licitação ou à quantidade solicitada, será exigido do CONTRATADO sua substituição ou rejeitado o fornecimento, sem qualquer ônus para a o Município de Lindóia do Sul/SC.</w:t>
      </w:r>
    </w:p>
    <w:p>
      <w:pPr>
        <w:pStyle w:val="Normal"/>
        <w:widowControl/>
        <w:suppressAutoHyphens w:val="true"/>
        <w:bidi w:val="0"/>
        <w:spacing w:lineRule="auto" w:line="360" w:before="142" w:after="142"/>
        <w:ind w:hanging="0" w:start="0" w:end="0"/>
        <w:jc w:val="both"/>
        <w:rPr/>
      </w:pPr>
      <w:r>
        <w:rPr>
          <w:rFonts w:eastAsia="Times New Roman" w:cs="Arial" w:ascii="Arial" w:hAnsi="Arial"/>
          <w:b w:val="false"/>
          <w:bCs w:val="false"/>
          <w:color w:val="000000"/>
          <w:kern w:val="0"/>
          <w:sz w:val="21"/>
          <w:szCs w:val="21"/>
          <w:lang w:eastAsia="zh-CN"/>
        </w:rPr>
        <w:t>20.10. Responder pelos danos causados diretamente a Administração Pública Municipal de Lindóia do Sul/SC ou a seus aos bens, ou ainda a terceiros, decorrentes de sua culpa ou dolo na execução do objeto.</w:t>
      </w:r>
    </w:p>
    <w:p>
      <w:pPr>
        <w:pStyle w:val="Normal"/>
        <w:widowControl/>
        <w:suppressAutoHyphens w:val="true"/>
        <w:bidi w:val="0"/>
        <w:spacing w:lineRule="auto" w:line="360" w:before="142" w:after="142"/>
        <w:ind w:hanging="0" w:start="0" w:end="0"/>
        <w:jc w:val="both"/>
        <w:rPr/>
      </w:pPr>
      <w:r>
        <w:rPr>
          <w:rFonts w:ascii="Arial" w:hAnsi="Arial"/>
          <w:b/>
          <w:bCs/>
          <w:sz w:val="21"/>
          <w:szCs w:val="21"/>
        </w:rPr>
        <w:t>21. DA FISCALIZAÇÃO E GESTÃO DO CONTRATO</w:t>
      </w:r>
    </w:p>
    <w:p>
      <w:pPr>
        <w:pStyle w:val="Normal"/>
        <w:tabs>
          <w:tab w:val="clear" w:pos="709"/>
          <w:tab w:val="left" w:pos="2340" w:leader="none"/>
          <w:tab w:val="left" w:pos="4464" w:leader="none"/>
        </w:tabs>
        <w:spacing w:lineRule="auto" w:line="360" w:before="142" w:after="142"/>
        <w:ind w:hanging="0" w:start="0" w:end="0"/>
        <w:jc w:val="both"/>
        <w:rPr/>
      </w:pPr>
      <w:r>
        <w:rPr>
          <w:rFonts w:cs="Arial" w:ascii="Arial" w:hAnsi="Arial"/>
          <w:bCs/>
          <w:sz w:val="21"/>
          <w:szCs w:val="21"/>
        </w:rPr>
        <w:t>21.1. Em conformidade com o art. 117 da Lei Federal n. 14.133/2021, o Município designará fiscal de contrato e representante da administração pública para acompanhamento e fiscalização da execução do contrato celebrado entre este e o fornecedor contratado na licitação, conforme requisitos estabelecidos no art. 7º do referido diploma legal. A vinculação do fiscal e representante da administração pública será associada a sua respectiva ciência do recebimento do bem.</w:t>
      </w:r>
    </w:p>
    <w:p>
      <w:pPr>
        <w:pStyle w:val="Normal"/>
        <w:tabs>
          <w:tab w:val="clear" w:pos="709"/>
          <w:tab w:val="left" w:pos="2340" w:leader="none"/>
          <w:tab w:val="left" w:pos="4464" w:leader="none"/>
        </w:tabs>
        <w:spacing w:lineRule="auto" w:line="360" w:before="142" w:after="142"/>
        <w:ind w:hanging="0" w:start="0" w:end="0"/>
        <w:jc w:val="both"/>
        <w:rPr/>
      </w:pPr>
      <w:r>
        <w:rPr>
          <w:rFonts w:cs="Arial" w:ascii="Arial" w:hAnsi="Arial"/>
          <w:bCs/>
          <w:sz w:val="21"/>
          <w:szCs w:val="21"/>
        </w:rPr>
        <w:t>21.2. Caberá ao gestor do contrato constituir relatório final de que trata o art. 174, § 3º, inciso VI, alínea “d”, da Lei Federal n. 14.133/2021 com as informações obtidas durante a execução do contrato, como forma de aprimoramento das atividades da Administração.</w:t>
      </w:r>
    </w:p>
    <w:p>
      <w:pPr>
        <w:pStyle w:val="Normal"/>
        <w:widowControl/>
        <w:suppressAutoHyphens w:val="true"/>
        <w:bidi w:val="0"/>
        <w:spacing w:lineRule="auto" w:line="360" w:before="142" w:after="142"/>
        <w:ind w:hanging="0" w:start="0" w:end="0"/>
        <w:jc w:val="both"/>
        <w:rPr/>
      </w:pPr>
      <w:r>
        <w:rPr>
          <w:rFonts w:ascii="Arial" w:hAnsi="Arial"/>
          <w:b/>
          <w:bCs/>
          <w:sz w:val="21"/>
          <w:szCs w:val="21"/>
        </w:rPr>
        <w:t>22. DAS DISPOSIÇÕES GERAIS</w:t>
      </w:r>
    </w:p>
    <w:p>
      <w:pPr>
        <w:pStyle w:val="Normal"/>
        <w:widowControl/>
        <w:suppressAutoHyphens w:val="true"/>
        <w:bidi w:val="0"/>
        <w:spacing w:lineRule="auto" w:line="360" w:before="142" w:after="142"/>
        <w:ind w:hanging="0" w:start="0" w:end="0"/>
        <w:jc w:val="both"/>
        <w:rPr/>
      </w:pPr>
      <w:r>
        <w:rPr>
          <w:rFonts w:ascii="Arial" w:hAnsi="Arial"/>
          <w:sz w:val="21"/>
          <w:szCs w:val="21"/>
        </w:rPr>
        <w:t>22.1. Caberá ao Município de Lindóia do Sul a prática de todos os atos de controle e administração do sistema.</w:t>
      </w:r>
    </w:p>
    <w:p>
      <w:pPr>
        <w:pStyle w:val="Normal"/>
        <w:widowControl/>
        <w:suppressAutoHyphens w:val="true"/>
        <w:bidi w:val="0"/>
        <w:spacing w:lineRule="auto" w:line="360" w:before="142" w:after="142"/>
        <w:ind w:hanging="0" w:start="0" w:end="0"/>
        <w:jc w:val="both"/>
        <w:rPr/>
      </w:pPr>
      <w:r>
        <w:rPr>
          <w:rFonts w:ascii="Arial" w:hAnsi="Arial"/>
          <w:sz w:val="21"/>
          <w:szCs w:val="21"/>
        </w:rPr>
        <w:t>22.2. A Empresa vencedora deverá declarar ao Município (ANEXO II) o domicílio eletrônico o qual será destinado ao gerenciamento do Contrato e recebimento das ordens de serviços, alerta de avisos, notificações e decisões administrativas.</w:t>
      </w:r>
    </w:p>
    <w:p>
      <w:pPr>
        <w:pStyle w:val="Normal"/>
        <w:widowControl/>
        <w:suppressAutoHyphens w:val="true"/>
        <w:bidi w:val="0"/>
        <w:spacing w:lineRule="auto" w:line="360" w:before="142" w:after="142"/>
        <w:ind w:hanging="0" w:start="0" w:end="0"/>
        <w:jc w:val="both"/>
        <w:rPr/>
      </w:pPr>
      <w:r>
        <w:rPr>
          <w:rFonts w:ascii="Arial" w:hAnsi="Arial"/>
          <w:sz w:val="21"/>
          <w:szCs w:val="21"/>
        </w:rPr>
        <w:t>22.3. Nenhuma indenização será devida às licitantes pela elaboração e/ou apresentação de documentação relativa ao presente Edital.</w:t>
      </w:r>
    </w:p>
    <w:p>
      <w:pPr>
        <w:pStyle w:val="Normal"/>
        <w:widowControl/>
        <w:suppressAutoHyphens w:val="true"/>
        <w:bidi w:val="0"/>
        <w:spacing w:lineRule="auto" w:line="360" w:before="142" w:after="142"/>
        <w:ind w:hanging="0" w:start="0" w:end="0"/>
        <w:jc w:val="both"/>
        <w:rPr/>
      </w:pPr>
      <w:r>
        <w:rPr>
          <w:rFonts w:ascii="Arial" w:hAnsi="Arial"/>
          <w:sz w:val="21"/>
          <w:szCs w:val="21"/>
        </w:rPr>
        <w:t>22.4. O resultado desta licitação estará à disposição dos interessados, na sede da Prefeitura Municipal de Lindóia do Sul, logo após sua homologação e disponíveis na plataforma eletrônica do Portal de Compras Públicas e no sítio eletrônico oficial: www.lindoiadosul.sc.gov.br.</w:t>
      </w:r>
    </w:p>
    <w:p>
      <w:pPr>
        <w:pStyle w:val="Normal"/>
        <w:widowControl/>
        <w:suppressAutoHyphens w:val="true"/>
        <w:bidi w:val="0"/>
        <w:spacing w:lineRule="auto" w:line="360" w:before="142" w:after="142"/>
        <w:ind w:hanging="0" w:start="0" w:end="0"/>
        <w:jc w:val="both"/>
        <w:rPr/>
      </w:pPr>
      <w:r>
        <w:rPr>
          <w:rFonts w:ascii="Arial" w:hAnsi="Arial"/>
          <w:sz w:val="21"/>
          <w:szCs w:val="21"/>
        </w:rPr>
        <w:t>22.5. Detalhes não citados referentes à prestação dos serviços, mas que a boa técnica leve a presumir a sua necessidade, não deverão ser omitidos, não sendo aceitas justificativas para sua não apresentação.</w:t>
      </w:r>
    </w:p>
    <w:p>
      <w:pPr>
        <w:pStyle w:val="Normal"/>
        <w:widowControl/>
        <w:suppressAutoHyphens w:val="true"/>
        <w:bidi w:val="0"/>
        <w:spacing w:lineRule="auto" w:line="360" w:before="142" w:after="142"/>
        <w:ind w:hanging="0" w:start="0" w:end="0"/>
        <w:jc w:val="both"/>
        <w:rPr/>
      </w:pPr>
      <w:r>
        <w:rPr>
          <w:rFonts w:ascii="Arial" w:hAnsi="Arial"/>
          <w:sz w:val="21"/>
          <w:szCs w:val="21"/>
        </w:rPr>
        <w:t>22.6. O Município de Lindóia do Sul, poderá revogar a licitação em face de razões de interesse público derivadas de fato superveniente devidamente comprovado, pertinente e suficiente para justificar tal conduta, devendo anulá-la por ilegalidade, de ofício ou por provocação de qualquer pessoa, mediante ato escrito e fundamentado, observadas as disposições da Lei Federal nº 14.133, de 2021.</w:t>
      </w:r>
    </w:p>
    <w:p>
      <w:pPr>
        <w:pStyle w:val="Normal"/>
        <w:widowControl/>
        <w:suppressAutoHyphens w:val="true"/>
        <w:bidi w:val="0"/>
        <w:spacing w:lineRule="auto" w:line="360" w:before="142" w:after="142"/>
        <w:ind w:hanging="0" w:start="0" w:end="0"/>
        <w:jc w:val="both"/>
        <w:rPr/>
      </w:pPr>
      <w:r>
        <w:rPr>
          <w:rFonts w:ascii="Arial" w:hAnsi="Arial"/>
          <w:sz w:val="21"/>
          <w:szCs w:val="21"/>
        </w:rPr>
        <w:t xml:space="preserve">22.7. O(a) Agente de Contratação e a Equipe de Apoio prestarão os esclarecimentos necessários, devendo ser enviados ao Agente de Contratação até três dias anteriores à data fixada para abertura da sessão pública, </w:t>
      </w:r>
      <w:r>
        <w:rPr>
          <w:rFonts w:ascii="Arial" w:hAnsi="Arial"/>
          <w:sz w:val="21"/>
          <w:szCs w:val="21"/>
          <w:shd w:fill="auto" w:val="clear"/>
        </w:rPr>
        <w:t>exclusivamente por meio eletrônico via portal indicado neste Edital.</w:t>
      </w:r>
    </w:p>
    <w:p>
      <w:pPr>
        <w:pStyle w:val="Normal"/>
        <w:widowControl/>
        <w:suppressAutoHyphens w:val="true"/>
        <w:bidi w:val="0"/>
        <w:spacing w:lineRule="auto" w:line="360" w:before="142" w:after="142"/>
        <w:ind w:hanging="0" w:start="0" w:end="0"/>
        <w:jc w:val="both"/>
        <w:rPr/>
      </w:pPr>
      <w:r>
        <w:rPr>
          <w:rFonts w:ascii="Arial" w:hAnsi="Arial"/>
          <w:sz w:val="21"/>
          <w:szCs w:val="21"/>
        </w:rPr>
        <w:t>22.7.1. Consultas a respeito de dúvidas ou esclarecimentos solicitadas fora dos parâmetros descritos no item 22.7. (como, por exemplo, através de “e-mail”), não serão respondidas.</w:t>
      </w:r>
    </w:p>
    <w:p>
      <w:pPr>
        <w:pStyle w:val="Normal"/>
        <w:widowControl/>
        <w:suppressAutoHyphens w:val="true"/>
        <w:bidi w:val="0"/>
        <w:spacing w:lineRule="auto" w:line="360" w:before="142" w:after="142"/>
        <w:ind w:hanging="0" w:start="0" w:end="0"/>
        <w:jc w:val="both"/>
        <w:rPr/>
      </w:pPr>
      <w:r>
        <w:rPr>
          <w:rFonts w:ascii="Arial" w:hAnsi="Arial"/>
          <w:sz w:val="21"/>
          <w:szCs w:val="21"/>
        </w:rPr>
        <w:t>22.8. Não cabe ao Portal de Compras Públicas ou ao Município de Lindóia do Sul, qualquer responsabilidade pelas obrigações assumidas pelo fornecedor com o licitante, em especial com relação à forma e às condições de entrega dos bens ou da prestação de serviços e quanto à quitação financeira da negociação realizada.</w:t>
      </w:r>
    </w:p>
    <w:p>
      <w:pPr>
        <w:pStyle w:val="Normal"/>
        <w:widowControl/>
        <w:suppressAutoHyphens w:val="true"/>
        <w:bidi w:val="0"/>
        <w:spacing w:lineRule="auto" w:line="360" w:before="142" w:after="142"/>
        <w:ind w:hanging="0" w:start="0" w:end="0"/>
        <w:jc w:val="both"/>
        <w:rPr/>
      </w:pPr>
      <w:r>
        <w:rPr>
          <w:rFonts w:ascii="Arial" w:hAnsi="Arial"/>
          <w:sz w:val="21"/>
          <w:szCs w:val="21"/>
        </w:rPr>
        <w:t>22.9. São partes integrantes deste Edital os seguintes ANEXOS:</w:t>
      </w:r>
    </w:p>
    <w:p>
      <w:pPr>
        <w:pStyle w:val="Normal"/>
        <w:widowControl/>
        <w:suppressAutoHyphens w:val="true"/>
        <w:bidi w:val="0"/>
        <w:spacing w:lineRule="auto" w:line="360" w:before="142" w:after="142"/>
        <w:ind w:hanging="0" w:start="0" w:end="0"/>
        <w:jc w:val="both"/>
        <w:rPr/>
      </w:pPr>
      <w:r>
        <w:rPr>
          <w:rFonts w:ascii="Arial" w:hAnsi="Arial"/>
          <w:sz w:val="21"/>
          <w:szCs w:val="21"/>
        </w:rPr>
        <w:t>a) ANEXO I – Termo de Referência;</w:t>
      </w:r>
    </w:p>
    <w:p>
      <w:pPr>
        <w:pStyle w:val="Normal"/>
        <w:widowControl/>
        <w:suppressAutoHyphens w:val="true"/>
        <w:bidi w:val="0"/>
        <w:spacing w:lineRule="auto" w:line="360" w:before="142" w:after="142"/>
        <w:ind w:hanging="0" w:start="0" w:end="0"/>
        <w:jc w:val="both"/>
        <w:rPr/>
      </w:pPr>
      <w:r>
        <w:rPr>
          <w:rFonts w:ascii="Arial" w:hAnsi="Arial"/>
          <w:sz w:val="21"/>
          <w:szCs w:val="21"/>
        </w:rPr>
        <w:t>c) ANEXO II – Dados bancários, dados do representante legal, declaração de domicílio eletrônico da Empresa e declaração de assinatura por certificação digital;</w:t>
      </w:r>
    </w:p>
    <w:p>
      <w:pPr>
        <w:pStyle w:val="Normal"/>
        <w:widowControl/>
        <w:suppressAutoHyphens w:val="true"/>
        <w:bidi w:val="0"/>
        <w:spacing w:lineRule="auto" w:line="360" w:before="142" w:after="142"/>
        <w:ind w:hanging="0" w:start="0" w:end="0"/>
        <w:jc w:val="both"/>
        <w:rPr/>
      </w:pPr>
      <w:r>
        <w:rPr>
          <w:rFonts w:ascii="Arial" w:hAnsi="Arial"/>
          <w:sz w:val="21"/>
          <w:szCs w:val="21"/>
        </w:rPr>
        <w:t>d) ANEXO III – Declaração de Cumprimento Pleno aos Requisitos de Habilitação;</w:t>
      </w:r>
    </w:p>
    <w:p>
      <w:pPr>
        <w:pStyle w:val="Normal"/>
        <w:widowControl/>
        <w:suppressAutoHyphens w:val="true"/>
        <w:bidi w:val="0"/>
        <w:spacing w:lineRule="auto" w:line="360" w:before="142" w:after="142"/>
        <w:ind w:hanging="0" w:start="0" w:end="0"/>
        <w:jc w:val="both"/>
        <w:rPr/>
      </w:pPr>
      <w:r>
        <w:rPr>
          <w:rFonts w:ascii="Arial" w:hAnsi="Arial"/>
          <w:sz w:val="21"/>
          <w:szCs w:val="21"/>
        </w:rPr>
        <w:t>e) ANEXO IV – Declaração de Ausência de Condenação;</w:t>
      </w:r>
    </w:p>
    <w:p>
      <w:pPr>
        <w:pStyle w:val="Normal"/>
        <w:widowControl/>
        <w:suppressAutoHyphens w:val="true"/>
        <w:bidi w:val="0"/>
        <w:spacing w:lineRule="auto" w:line="360" w:before="142" w:after="142"/>
        <w:ind w:hanging="0" w:start="0" w:end="0"/>
        <w:jc w:val="both"/>
        <w:rPr/>
      </w:pPr>
      <w:r>
        <w:rPr>
          <w:rFonts w:ascii="Arial" w:hAnsi="Arial"/>
          <w:sz w:val="21"/>
          <w:szCs w:val="21"/>
        </w:rPr>
        <w:t>f) ANEXO V – Declaração de Ausência de Vínculo;</w:t>
      </w:r>
    </w:p>
    <w:p>
      <w:pPr>
        <w:pStyle w:val="Normal"/>
        <w:widowControl/>
        <w:suppressAutoHyphens w:val="true"/>
        <w:bidi w:val="0"/>
        <w:spacing w:lineRule="auto" w:line="360" w:before="142" w:after="142"/>
        <w:ind w:hanging="0" w:start="0" w:end="0"/>
        <w:jc w:val="both"/>
        <w:rPr/>
      </w:pPr>
      <w:r>
        <w:rPr>
          <w:rFonts w:ascii="Arial" w:hAnsi="Arial"/>
          <w:sz w:val="21"/>
          <w:szCs w:val="21"/>
        </w:rPr>
        <w:t>g) ANEXO VI – Declaração de Microempresa ou Empresa de Pequeno Porte;</w:t>
      </w:r>
    </w:p>
    <w:p>
      <w:pPr>
        <w:pStyle w:val="Normal"/>
        <w:widowControl/>
        <w:suppressAutoHyphens w:val="true"/>
        <w:bidi w:val="0"/>
        <w:spacing w:lineRule="auto" w:line="360" w:before="142" w:after="142"/>
        <w:ind w:hanging="0" w:start="0" w:end="0"/>
        <w:jc w:val="both"/>
        <w:rPr/>
      </w:pPr>
      <w:r>
        <w:rPr>
          <w:rFonts w:ascii="Arial" w:hAnsi="Arial"/>
          <w:sz w:val="21"/>
          <w:szCs w:val="21"/>
        </w:rPr>
        <w:t>h) ANEXO VII – Declaração de Enquadramento Receita Bruta;</w:t>
      </w:r>
    </w:p>
    <w:p>
      <w:pPr>
        <w:pStyle w:val="Normal"/>
        <w:widowControl/>
        <w:suppressAutoHyphens w:val="true"/>
        <w:bidi w:val="0"/>
        <w:spacing w:lineRule="auto" w:line="360" w:before="142" w:after="142"/>
        <w:ind w:hanging="0" w:start="0" w:end="0"/>
        <w:jc w:val="both"/>
        <w:rPr/>
      </w:pPr>
      <w:r>
        <w:rPr>
          <w:rFonts w:ascii="Arial" w:hAnsi="Arial"/>
          <w:sz w:val="21"/>
          <w:szCs w:val="21"/>
        </w:rPr>
        <w:t>i) ANEXO VIII – Declaração de Cumprimento do artigo 7º, inciso XXXIII, da Constituição da República Federativa do Brasil;</w:t>
      </w:r>
    </w:p>
    <w:p>
      <w:pPr>
        <w:pStyle w:val="Normal"/>
        <w:widowControl/>
        <w:suppressAutoHyphens w:val="true"/>
        <w:bidi w:val="0"/>
        <w:spacing w:lineRule="auto" w:line="360" w:before="142" w:after="142"/>
        <w:ind w:hanging="0" w:start="0" w:end="0"/>
        <w:jc w:val="both"/>
        <w:rPr/>
      </w:pPr>
      <w:r>
        <w:rPr>
          <w:rFonts w:ascii="Arial" w:hAnsi="Arial"/>
          <w:sz w:val="21"/>
          <w:szCs w:val="21"/>
        </w:rPr>
        <w:t>j) ANEXO IX – Declaração Reserva de Cargos;</w:t>
      </w:r>
    </w:p>
    <w:p>
      <w:pPr>
        <w:pStyle w:val="Normal"/>
        <w:widowControl/>
        <w:suppressAutoHyphens w:val="true"/>
        <w:bidi w:val="0"/>
        <w:spacing w:lineRule="auto" w:line="360" w:before="142" w:after="142"/>
        <w:ind w:hanging="0" w:start="0" w:end="0"/>
        <w:jc w:val="both"/>
        <w:rPr/>
      </w:pPr>
      <w:r>
        <w:rPr>
          <w:rFonts w:ascii="Arial" w:hAnsi="Arial"/>
          <w:sz w:val="21"/>
          <w:szCs w:val="21"/>
        </w:rPr>
        <w:t>k) ANEXO X – Declaração de Integralidade de Custos;</w:t>
      </w:r>
    </w:p>
    <w:p>
      <w:pPr>
        <w:pStyle w:val="Normal"/>
        <w:widowControl/>
        <w:suppressAutoHyphens w:val="true"/>
        <w:bidi w:val="0"/>
        <w:spacing w:lineRule="auto" w:line="360" w:before="142" w:after="142"/>
        <w:ind w:hanging="0" w:start="0" w:end="0"/>
        <w:jc w:val="both"/>
        <w:rPr/>
      </w:pPr>
      <w:r>
        <w:rPr>
          <w:rFonts w:ascii="Arial" w:hAnsi="Arial"/>
          <w:sz w:val="21"/>
          <w:szCs w:val="21"/>
        </w:rPr>
        <w:t>l) ANEXO XI – Comprovação de Conhecimento das Especificações e Normas para a Execução dos Serviços;</w:t>
      </w:r>
    </w:p>
    <w:p>
      <w:pPr>
        <w:pStyle w:val="Normal"/>
        <w:widowControl/>
        <w:suppressAutoHyphens w:val="true"/>
        <w:bidi w:val="0"/>
        <w:spacing w:lineRule="auto" w:line="360" w:before="142" w:after="142"/>
        <w:ind w:hanging="0" w:start="0" w:end="0"/>
        <w:jc w:val="both"/>
        <w:rPr/>
      </w:pPr>
      <w:r>
        <w:rPr>
          <w:rFonts w:ascii="Arial" w:hAnsi="Arial"/>
          <w:sz w:val="21"/>
          <w:szCs w:val="21"/>
        </w:rPr>
        <w:t>m) ANEXO XII – Contrato;</w:t>
      </w:r>
    </w:p>
    <w:p>
      <w:pPr>
        <w:pStyle w:val="Normal"/>
        <w:widowControl/>
        <w:suppressAutoHyphens w:val="true"/>
        <w:bidi w:val="0"/>
        <w:spacing w:lineRule="auto" w:line="360" w:before="142" w:after="142"/>
        <w:ind w:hanging="0" w:start="0" w:end="0"/>
        <w:jc w:val="both"/>
        <w:rPr/>
      </w:pPr>
      <w:r>
        <w:rPr>
          <w:rFonts w:ascii="Arial" w:hAnsi="Arial"/>
          <w:sz w:val="21"/>
          <w:szCs w:val="21"/>
        </w:rPr>
        <w:t>Lindóia do Sul (SC), 06 de Agosto de 2026.</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b/>
          <w:bCs/>
          <w:sz w:val="21"/>
          <w:szCs w:val="21"/>
        </w:rPr>
      </w:pPr>
      <w:r>
        <w:rPr>
          <w:rFonts w:ascii="Arial" w:hAnsi="Arial"/>
          <w:b/>
          <w:bCs/>
          <w:sz w:val="21"/>
          <w:szCs w:val="21"/>
        </w:rPr>
        <w:t>Flávio Luiz Benini</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Prefeito Municipal</w:t>
      </w:r>
      <w:r>
        <w:br w:type="page"/>
      </w:r>
    </w:p>
    <w:p>
      <w:pPr>
        <w:pStyle w:val="Normal"/>
        <w:tabs>
          <w:tab w:val="clear" w:pos="709"/>
          <w:tab w:val="left" w:pos="2340" w:leader="none"/>
          <w:tab w:val="left" w:pos="4464" w:leader="none"/>
        </w:tabs>
        <w:spacing w:lineRule="auto" w:line="360" w:before="0" w:after="240"/>
        <w:ind w:hanging="20" w:start="1300" w:end="0"/>
        <w:jc w:val="both"/>
        <w:rPr>
          <w:rFonts w:ascii="Arial" w:hAnsi="Arial"/>
          <w:sz w:val="21"/>
          <w:szCs w:val="21"/>
        </w:rPr>
      </w:pPr>
      <w:r>
        <w:rPr>
          <w:rFonts w:eastAsia="Arial" w:cs="Arial" w:ascii="Arial" w:hAnsi="Arial"/>
          <w:sz w:val="21"/>
          <w:szCs w:val="21"/>
        </w:rPr>
        <w:tab/>
        <w:tab/>
        <w:t xml:space="preserve">                     </w:t>
      </w:r>
      <w:r>
        <w:rPr>
          <w:rFonts w:eastAsia="Arial" w:cs="Arial" w:ascii="Arial" w:hAnsi="Arial"/>
          <w:b/>
          <w:bCs/>
          <w:sz w:val="21"/>
          <w:szCs w:val="21"/>
        </w:rPr>
        <w:t>ANEXO I</w:t>
      </w:r>
    </w:p>
    <w:p>
      <w:pPr>
        <w:pStyle w:val="BodyText"/>
        <w:rPr>
          <w:rFonts w:ascii="Arial" w:hAnsi="Arial"/>
          <w:b/>
          <w:bCs/>
          <w:sz w:val="21"/>
          <w:szCs w:val="21"/>
        </w:rPr>
      </w:pPr>
      <w:r>
        <w:rPr>
          <w:b/>
          <w:bCs/>
          <w:sz w:val="21"/>
          <w:szCs w:val="21"/>
        </w:rPr>
        <w:t>PROCESSO LICITATÓRIO Nº 54/2026</w:t>
      </w:r>
    </w:p>
    <w:p>
      <w:pPr>
        <w:pStyle w:val="BodyText"/>
        <w:rPr>
          <w:rFonts w:ascii="Arial" w:hAnsi="Arial"/>
          <w:b/>
          <w:bCs/>
          <w:i w:val="false"/>
          <w:iCs w:val="false"/>
          <w:strike w:val="false"/>
          <w:dstrike w:val="false"/>
          <w:color w:val="000000"/>
          <w:sz w:val="21"/>
          <w:szCs w:val="21"/>
          <w:u w:val="none"/>
        </w:rPr>
      </w:pPr>
      <w:r>
        <w:rPr>
          <w:b/>
          <w:bCs/>
          <w:i w:val="false"/>
          <w:iCs w:val="false"/>
          <w:strike w:val="false"/>
          <w:dstrike w:val="false"/>
          <w:color w:val="000000"/>
          <w:sz w:val="21"/>
          <w:szCs w:val="21"/>
          <w:u w:val="none"/>
        </w:rPr>
        <w:t>CONCORRÊNCIA ELETRÔNICA Nº 04/2026</w:t>
      </w:r>
    </w:p>
    <w:p>
      <w:pPr>
        <w:pStyle w:val="Normal"/>
        <w:tabs>
          <w:tab w:val="clear" w:pos="709"/>
          <w:tab w:val="left" w:pos="2340" w:leader="none"/>
          <w:tab w:val="left" w:pos="4464" w:leader="none"/>
        </w:tabs>
        <w:spacing w:lineRule="auto" w:line="360" w:before="0" w:after="0"/>
        <w:jc w:val="center"/>
        <w:rPr>
          <w:rFonts w:ascii="Arial" w:hAnsi="Arial" w:eastAsia="Arial" w:cs="Times New Roman"/>
          <w:b/>
          <w:sz w:val="21"/>
          <w:szCs w:val="21"/>
        </w:rPr>
      </w:pPr>
      <w:r>
        <w:rPr>
          <w:rFonts w:eastAsia="Arial" w:cs="Times New Roman" w:ascii="Arial" w:hAnsi="Arial"/>
          <w:b/>
          <w:sz w:val="21"/>
          <w:szCs w:val="21"/>
        </w:rPr>
      </w:r>
    </w:p>
    <w:p>
      <w:pPr>
        <w:pStyle w:val="Normal"/>
        <w:tabs>
          <w:tab w:val="clear" w:pos="709"/>
          <w:tab w:val="left" w:pos="2340" w:leader="none"/>
          <w:tab w:val="left" w:pos="4464" w:leader="none"/>
        </w:tabs>
        <w:spacing w:lineRule="auto" w:line="360" w:before="0" w:after="0"/>
        <w:jc w:val="center"/>
        <w:rPr>
          <w:rFonts w:ascii="Arial" w:hAnsi="Arial"/>
          <w:sz w:val="21"/>
          <w:szCs w:val="21"/>
        </w:rPr>
      </w:pPr>
      <w:r>
        <w:rPr>
          <w:rFonts w:eastAsia="Arial" w:cs="Times New Roman" w:ascii="Arial" w:hAnsi="Arial"/>
          <w:b/>
          <w:sz w:val="21"/>
          <w:szCs w:val="21"/>
        </w:rPr>
        <w:t>TERMO DE REFERÊNCIA</w:t>
      </w:r>
    </w:p>
    <w:p>
      <w:pPr>
        <w:pStyle w:val="Normal"/>
        <w:tabs>
          <w:tab w:val="clear" w:pos="709"/>
          <w:tab w:val="left" w:pos="2340" w:leader="none"/>
          <w:tab w:val="left" w:pos="4464" w:leader="none"/>
        </w:tabs>
        <w:spacing w:lineRule="auto" w:line="360" w:before="0" w:after="0"/>
        <w:jc w:val="both"/>
        <w:rPr>
          <w:rFonts w:ascii="Arial" w:hAnsi="Arial" w:eastAsia="Arial" w:cs="Times New Roman"/>
          <w:b/>
          <w:sz w:val="21"/>
          <w:szCs w:val="21"/>
        </w:rPr>
      </w:pPr>
      <w:r>
        <w:rPr>
          <w:rFonts w:eastAsia="Arial" w:cs="Times New Roman" w:ascii="Arial" w:hAnsi="Arial"/>
          <w:b/>
          <w:sz w:val="21"/>
          <w:szCs w:val="21"/>
        </w:rPr>
      </w:r>
    </w:p>
    <w:p>
      <w:pPr>
        <w:pStyle w:val="Normal"/>
        <w:numPr>
          <w:ilvl w:val="0"/>
          <w:numId w:val="2"/>
        </w:numPr>
        <w:spacing w:lineRule="auto" w:line="360" w:before="142" w:after="142"/>
        <w:jc w:val="both"/>
        <w:rPr/>
      </w:pPr>
      <w:r>
        <w:rPr>
          <w:rFonts w:eastAsia="Arial" w:cs="Times New Roman" w:ascii="Arial" w:hAnsi="Arial"/>
          <w:b/>
          <w:color w:val="000000"/>
          <w:sz w:val="21"/>
          <w:szCs w:val="21"/>
        </w:rPr>
        <w:t>DISPOSIÇÕES PRELIMINARES</w:t>
      </w:r>
    </w:p>
    <w:p>
      <w:pPr>
        <w:pStyle w:val="Normal"/>
        <w:tabs>
          <w:tab w:val="clear" w:pos="709"/>
          <w:tab w:val="left" w:pos="2340" w:leader="none"/>
          <w:tab w:val="left" w:pos="4464" w:leader="none"/>
        </w:tabs>
        <w:spacing w:lineRule="auto" w:line="360" w:before="142" w:after="142"/>
        <w:ind w:firstLine="709"/>
        <w:jc w:val="both"/>
        <w:rPr/>
      </w:pPr>
      <w:r>
        <w:rPr>
          <w:rFonts w:eastAsia="Arial" w:cs="Times New Roman" w:ascii="Arial" w:hAnsi="Arial"/>
          <w:sz w:val="21"/>
          <w:szCs w:val="21"/>
        </w:rPr>
        <w:t>A fase preparatória da licitação visa planejar o certame e alinhar com as leis orçamentárias, bem como abordar todas as considerações técnicas, mercadológicas e de gestão que podem interferir na contratação.</w:t>
      </w:r>
    </w:p>
    <w:p>
      <w:pPr>
        <w:pStyle w:val="Normal"/>
        <w:tabs>
          <w:tab w:val="clear" w:pos="709"/>
          <w:tab w:val="left" w:pos="2340" w:leader="none"/>
          <w:tab w:val="left" w:pos="4464" w:leader="none"/>
        </w:tabs>
        <w:spacing w:lineRule="auto" w:line="360" w:before="142" w:after="142"/>
        <w:ind w:firstLine="709"/>
        <w:jc w:val="both"/>
        <w:rPr/>
      </w:pPr>
      <w:r>
        <w:rPr>
          <w:rFonts w:eastAsia="Arial" w:cs="Times New Roman" w:ascii="Arial" w:hAnsi="Arial"/>
          <w:sz w:val="21"/>
          <w:szCs w:val="21"/>
        </w:rPr>
        <w:t>O Termo de Referência (TR) é o documento necessário para a contratação de bens e serviços que, contendo os parâmetros e elementos descritivos constantes no art. 6º, inciso XXIII, e no art. 40, § 1º, ambos da Lei Federal n. 14.133/2021, sintetiza as principais decisões e informações acerca do objeto a ser contratado, a definição da estratégia para a seleção da melhor proposta (com indicação da modalidade eleita, critério de julgamento e modo de disputa), bem como as condições que regerão a futura contratação.</w:t>
      </w:r>
    </w:p>
    <w:p>
      <w:pPr>
        <w:pStyle w:val="Normal"/>
        <w:widowControl/>
        <w:tabs>
          <w:tab w:val="clear" w:pos="709"/>
          <w:tab w:val="left" w:pos="2340" w:leader="none"/>
          <w:tab w:val="left" w:pos="4464" w:leader="none"/>
        </w:tabs>
        <w:suppressAutoHyphens w:val="true"/>
        <w:overflowPunct w:val="true"/>
        <w:bidi w:val="0"/>
        <w:spacing w:lineRule="auto" w:line="360" w:before="142" w:after="142"/>
        <w:ind w:firstLine="737" w:start="0" w:end="0"/>
        <w:jc w:val="both"/>
        <w:rPr/>
      </w:pPr>
      <w:r>
        <w:rPr>
          <w:rFonts w:eastAsia="Arial" w:cs="Times New Roman" w:ascii="Arial" w:hAnsi="Arial"/>
          <w:sz w:val="21"/>
          <w:szCs w:val="21"/>
        </w:rPr>
        <w:t>Assim, o presente Termo de Referência configura-se como parte integrante da instrução do processo licitatório destinado à contratação de empresa especializada para execução de uma Rua Coberta no Município de Lindóia do Sul/SC, contemplando o fornecimento de materiais, mão de obra, equipamentos e demais insumos necessários à completa realização da obra, em conformidade com os projetos, memoriais descritivos, planilhas orçamentárias e demais documentos técnicos que integram o processo.</w:t>
      </w:r>
    </w:p>
    <w:p>
      <w:pPr>
        <w:pStyle w:val="Normal"/>
        <w:numPr>
          <w:ilvl w:val="0"/>
          <w:numId w:val="2"/>
        </w:numPr>
        <w:spacing w:lineRule="auto" w:line="360" w:before="142" w:after="142"/>
        <w:jc w:val="both"/>
        <w:rPr/>
      </w:pPr>
      <w:r>
        <w:rPr>
          <w:rFonts w:eastAsia="Arial" w:cs="Times New Roman" w:ascii="Arial" w:hAnsi="Arial"/>
          <w:b/>
          <w:color w:val="000000"/>
          <w:sz w:val="21"/>
          <w:szCs w:val="21"/>
        </w:rPr>
        <w:t>FUNDAMENTAÇÃO DA CONTRATAÇÃO</w:t>
      </w:r>
    </w:p>
    <w:p>
      <w:pPr>
        <w:pStyle w:val="Normal"/>
        <w:spacing w:lineRule="auto" w:line="360" w:before="142" w:after="142"/>
        <w:ind w:firstLine="720"/>
        <w:jc w:val="both"/>
        <w:rPr/>
      </w:pPr>
      <w:r>
        <w:rPr>
          <w:rFonts w:cs="Times New Roman" w:ascii="Arial" w:hAnsi="Arial"/>
          <w:sz w:val="21"/>
          <w:szCs w:val="21"/>
        </w:rPr>
        <w:t>A contratação de empresa especializada para a execução da Rua Coberta constitui etapa essencial para a implantação da infraestrutura planejada pelo Município de Lindóia do Sul/SC, visando atender aos requisitos técnicos, normativos e funcionais previstos para este tipo de empreendimento. A obra tem como objetivo proporcionar um espaço coberto para uso público, destinado à realização de eventos, atividades culturais, feiras e demais ações de interesse coletivo, assegurando conforto aos usuários, proteção contra intempéries e adequada integração ao ambiente urbano existente.</w:t>
      </w:r>
    </w:p>
    <w:p>
      <w:pPr>
        <w:pStyle w:val="Normal"/>
        <w:spacing w:lineRule="auto" w:line="360" w:before="142" w:after="142"/>
        <w:ind w:firstLine="720"/>
        <w:jc w:val="both"/>
        <w:rPr/>
      </w:pPr>
      <w:r>
        <w:rPr>
          <w:rFonts w:cs="Times New Roman" w:ascii="Arial" w:hAnsi="Arial"/>
          <w:sz w:val="21"/>
          <w:szCs w:val="21"/>
        </w:rPr>
        <w:t>Considerando a complexidade dos serviços envolvidos, que compreendem a execução de fundações, estruturas de concreto armado, estrutura metálica de cobertura e demais elementos construtivos previstos em projeto, faz-se necessária a contratação de empresa especializada, com capacidade técnica e operacional compatível com as exigências do empreendimento.</w:t>
      </w:r>
    </w:p>
    <w:p>
      <w:pPr>
        <w:pStyle w:val="Normal"/>
        <w:spacing w:lineRule="auto" w:line="360" w:before="142" w:after="142"/>
        <w:ind w:firstLine="720"/>
        <w:jc w:val="both"/>
        <w:rPr/>
      </w:pPr>
      <w:r>
        <w:rPr>
          <w:rFonts w:cs="Times New Roman" w:ascii="Arial" w:hAnsi="Arial"/>
          <w:sz w:val="21"/>
          <w:szCs w:val="21"/>
        </w:rPr>
        <w:t>A execução da obra demanda mão de obra qualificada, equipamentos específicos para a montagem dos elementos estruturais e observância rigorosa das normas técnicas e de segurança aplicáveis, especialmente em razão da estrutura mista composta por concreto armado e estrutura metálica. Dessa forma, a contratação pretendida mostra-se indispensável para assegurar a adequada execução da obra, garantindo qualidade, segurança, durabilidade e conformidade com os projetos e especificações técnicas estabelecidas pela Administração Municipal.</w:t>
      </w:r>
    </w:p>
    <w:p>
      <w:pPr>
        <w:pStyle w:val="Normal"/>
        <w:numPr>
          <w:ilvl w:val="1"/>
          <w:numId w:val="2"/>
        </w:numPr>
        <w:spacing w:lineRule="auto" w:line="276" w:before="142" w:after="142"/>
        <w:jc w:val="both"/>
        <w:rPr>
          <w:rFonts w:ascii="Arial" w:hAnsi="Arial"/>
          <w:sz w:val="21"/>
          <w:szCs w:val="21"/>
        </w:rPr>
      </w:pPr>
      <w:r>
        <w:rPr>
          <w:rFonts w:eastAsia="Arial" w:cs="Times New Roman" w:ascii="Arial" w:hAnsi="Arial"/>
          <w:b/>
          <w:color w:val="000000"/>
          <w:sz w:val="21"/>
          <w:szCs w:val="21"/>
        </w:rPr>
        <w:t>PROCEDIMENTO A SER REALIZADO PARA AQUISIÇÃO DO OBJETO</w:t>
      </w:r>
    </w:p>
    <w:p>
      <w:pPr>
        <w:pStyle w:val="Normal"/>
        <w:spacing w:lineRule="auto" w:line="360" w:before="142" w:after="142"/>
        <w:ind w:firstLine="709"/>
        <w:jc w:val="both"/>
        <w:rPr/>
      </w:pPr>
      <w:r>
        <w:rPr>
          <w:rFonts w:eastAsia="Times New Roman" w:cs="Times New Roman" w:ascii="Arial" w:hAnsi="Arial"/>
          <w:sz w:val="21"/>
          <w:szCs w:val="21"/>
          <w:lang w:eastAsia="pt-BR"/>
        </w:rPr>
        <w:t>A solução técnica proposta consiste na execução de uma Rua Coberta no Município de Lindóia do Sul/SC, compreendendo a implantação da estrutura física destinada à realização de eventos, atividades culturais, recreativas, turísticas e de convivência comunitária, incluindo o fornecimento de materiais, mão de obra, equipamentos e demais insumos necessários à completa execução da obra.</w:t>
      </w:r>
    </w:p>
    <w:p>
      <w:pPr>
        <w:pStyle w:val="Normal"/>
        <w:spacing w:lineRule="auto" w:line="360" w:before="142" w:after="142"/>
        <w:ind w:firstLine="709"/>
        <w:jc w:val="both"/>
        <w:rPr/>
      </w:pPr>
      <w:r>
        <w:rPr>
          <w:rFonts w:eastAsia="Times New Roman" w:cs="Times New Roman" w:ascii="Arial" w:hAnsi="Arial"/>
          <w:sz w:val="21"/>
          <w:szCs w:val="21"/>
          <w:lang w:eastAsia="pt-BR"/>
        </w:rPr>
        <w:t>A intervenção será executada em estrita observância aos projetos, memoriais descritivos, planilhas orçamentárias, cronogramas físico-financeiros e demais documentos técnicos integrantes do processo licitatório, elaborados de acordo com as normas técnicas vigentes. A solução contempla a execução dos elementos estruturais, cobertura, sistemas complementares e demais componentes necessários para garantir a funcionalidade, a segurança, a durabilidade e a adequada utilização do espaço público pela população.</w:t>
      </w:r>
    </w:p>
    <w:p>
      <w:pPr>
        <w:pStyle w:val="Normal"/>
        <w:spacing w:lineRule="auto" w:line="360" w:before="142" w:after="142"/>
        <w:ind w:firstLine="709"/>
        <w:jc w:val="both"/>
        <w:rPr/>
      </w:pPr>
      <w:r>
        <w:rPr>
          <w:rFonts w:eastAsia="Times New Roman" w:cs="Times New Roman" w:ascii="Arial" w:hAnsi="Arial"/>
          <w:sz w:val="21"/>
          <w:szCs w:val="21"/>
          <w:lang w:eastAsia="pt-BR"/>
        </w:rPr>
        <w:t>A Lei Federal n. 14.133/2021 traz ainda em seu texto legal, como um de seus objetivos, a análise de solução/contratação mais vantajosa para compras públicas, de modo particular na fase preparatória do processo licitatório, considerando o ciclo de vida do objeto, conforme dispõem o art. 11, inciso I, e o art. 18, inciso VIII, ambos do referido texto legal:</w:t>
      </w:r>
    </w:p>
    <w:p>
      <w:pPr>
        <w:pStyle w:val="Normal"/>
        <w:spacing w:lineRule="auto" w:line="360" w:before="142" w:after="142"/>
        <w:ind w:firstLine="709"/>
        <w:jc w:val="both"/>
        <w:rPr/>
      </w:pPr>
      <w:r>
        <w:rPr>
          <w:rFonts w:eastAsia="Times New Roman" w:cs="Times New Roman" w:ascii="Arial" w:hAnsi="Arial"/>
          <w:sz w:val="21"/>
          <w:szCs w:val="21"/>
          <w:lang w:eastAsia="pt-BR"/>
        </w:rPr>
        <w:t>Art. 11. O processo licitatório tem por objetivos:</w:t>
      </w:r>
    </w:p>
    <w:p>
      <w:pPr>
        <w:pStyle w:val="Normal"/>
        <w:spacing w:lineRule="auto" w:line="360" w:before="142" w:after="142"/>
        <w:ind w:firstLine="709"/>
        <w:jc w:val="both"/>
        <w:rPr/>
      </w:pPr>
      <w:r>
        <w:rPr>
          <w:rFonts w:eastAsia="Times New Roman" w:cs="Times New Roman" w:ascii="Arial" w:hAnsi="Arial"/>
          <w:sz w:val="21"/>
          <w:szCs w:val="21"/>
          <w:lang w:eastAsia="pt-BR"/>
        </w:rPr>
        <w:t>I - Assegurar a seleção da proposta apta a gerar o resultado de contratação mais vantajoso para a Administração Pública, inclusive no que se refere ao ciclo de vida do objeto;</w:t>
      </w:r>
    </w:p>
    <w:p>
      <w:pPr>
        <w:pStyle w:val="Normal"/>
        <w:spacing w:lineRule="auto" w:line="360" w:before="142" w:after="142"/>
        <w:ind w:firstLine="709"/>
        <w:jc w:val="both"/>
        <w:rPr/>
      </w:pPr>
      <w:r>
        <w:rPr>
          <w:rFonts w:eastAsia="Times New Roman" w:cs="Times New Roman" w:ascii="Arial" w:hAnsi="Arial"/>
          <w:sz w:val="21"/>
          <w:szCs w:val="21"/>
          <w:lang w:eastAsia="pt-BR"/>
        </w:rPr>
        <w:t>Art. 18. A fase preparatória do processo licitatório é caracterizada pelo planejamento e deve compatibilizar-se com o plano de contratações anual de que trata o inciso VII do caput do art. 12 desta Lei, sempre que elaborado, e com as leis orçamentárias, bem como abordar todas as considerações técnicas, mercadológicas e de gestão que podem interferir na contratação, compreendidos: [...]</w:t>
      </w:r>
    </w:p>
    <w:p>
      <w:pPr>
        <w:pStyle w:val="Normal"/>
        <w:spacing w:lineRule="auto" w:line="360" w:before="142" w:after="142"/>
        <w:ind w:firstLine="709"/>
        <w:jc w:val="both"/>
        <w:rPr/>
      </w:pPr>
      <w:r>
        <w:rPr>
          <w:rFonts w:eastAsia="Times New Roman" w:cs="Times New Roman" w:ascii="Arial" w:hAnsi="Arial"/>
          <w:sz w:val="21"/>
          <w:szCs w:val="21"/>
          <w:lang w:eastAsia="pt-BR"/>
        </w:rPr>
        <w:t>VIII - a modalidade de licitação, o critério de julgamento, o modo de disputa e a adequação e eficiência da forma de combinação desses parâmetros, para os fins de seleção da proposta apta a gerar o resultado de contratação mais vantajoso para a Administração Pública, considerado todo o ciclo de vida do objeto;</w:t>
      </w:r>
    </w:p>
    <w:p>
      <w:pPr>
        <w:pStyle w:val="Normal"/>
        <w:spacing w:lineRule="auto" w:line="360" w:before="142" w:after="142"/>
        <w:ind w:firstLine="709"/>
        <w:jc w:val="both"/>
        <w:rPr/>
      </w:pPr>
      <w:r>
        <w:rPr>
          <w:rFonts w:eastAsia="Times New Roman" w:cs="Times New Roman" w:ascii="Arial" w:hAnsi="Arial"/>
          <w:sz w:val="21"/>
          <w:szCs w:val="21"/>
          <w:lang w:eastAsia="pt-BR"/>
        </w:rPr>
        <w:t>Reforça-se que a legislação licitatória traz que este tema é conteúdo a ser acrescido ao Termo de Referência, apresentando a descrição da solução como um todo, considerando todo o ciclo de vida do objeto.</w:t>
      </w:r>
    </w:p>
    <w:p>
      <w:pPr>
        <w:pStyle w:val="Normal"/>
        <w:spacing w:lineRule="auto" w:line="360" w:before="142" w:after="142"/>
        <w:ind w:firstLine="709"/>
        <w:jc w:val="both"/>
        <w:rPr/>
      </w:pPr>
      <w:r>
        <w:rPr>
          <w:rFonts w:eastAsia="Times New Roman" w:cs="Times New Roman" w:ascii="Arial" w:hAnsi="Arial"/>
          <w:sz w:val="21"/>
          <w:szCs w:val="21"/>
          <w:lang w:eastAsia="pt-BR"/>
        </w:rPr>
        <w:t>Art. 6º [...]</w:t>
      </w:r>
    </w:p>
    <w:p>
      <w:pPr>
        <w:pStyle w:val="Normal"/>
        <w:spacing w:lineRule="auto" w:line="360" w:before="142" w:after="142"/>
        <w:ind w:firstLine="709"/>
        <w:jc w:val="both"/>
        <w:rPr/>
      </w:pPr>
      <w:r>
        <w:rPr>
          <w:rFonts w:eastAsia="Times New Roman" w:cs="Times New Roman" w:ascii="Arial" w:hAnsi="Arial"/>
          <w:sz w:val="21"/>
          <w:szCs w:val="21"/>
          <w:lang w:eastAsia="pt-BR"/>
        </w:rPr>
        <w:t>XXIII - termo de referência: documento necessário para a contratação de bens e serviços, que deve conter os seguintes parâmetros e elementos descritivos: [...] c) descrição da solução como um todo, considerado todo o ciclo de vida do objeto;</w:t>
      </w:r>
    </w:p>
    <w:p>
      <w:pPr>
        <w:pStyle w:val="Normal"/>
        <w:spacing w:lineRule="auto" w:line="360" w:before="142" w:after="142"/>
        <w:ind w:firstLine="709"/>
        <w:jc w:val="both"/>
        <w:rPr/>
      </w:pPr>
      <w:r>
        <w:rPr>
          <w:rFonts w:eastAsia="Times New Roman" w:cs="Times New Roman" w:ascii="Arial" w:hAnsi="Arial"/>
          <w:sz w:val="21"/>
          <w:szCs w:val="21"/>
          <w:lang w:eastAsia="pt-BR"/>
        </w:rPr>
        <w:t>Assim, para fins de definição das etapas exigidas para a análise do ciclo de vida do objeto, extrai-se do art. 34, § 1º, da Lei Federal n. 14.133/2021 que, “entre outros fatores vinculados ao seu ciclo de vida”, estão a “manutenção, utilização, reposição, depreciação e impacto ambiental do objeto licitado”. Da mesma forma, ao dispor sobre a descrição da solução como um todo em seu art. 18, § 1º, inciso VII, a legislação incluiu as “exigências relacionadas à manutenção e à assistência técnica, quando for o caso”.</w:t>
      </w:r>
    </w:p>
    <w:p>
      <w:pPr>
        <w:pStyle w:val="Normal"/>
        <w:spacing w:lineRule="auto" w:line="360" w:before="142" w:after="142"/>
        <w:ind w:firstLine="709"/>
        <w:jc w:val="both"/>
        <w:rPr/>
      </w:pPr>
      <w:r>
        <w:rPr>
          <w:rFonts w:eastAsia="Times New Roman" w:cs="Times New Roman" w:ascii="Arial" w:hAnsi="Arial"/>
          <w:sz w:val="21"/>
          <w:szCs w:val="21"/>
          <w:lang w:eastAsia="pt-BR"/>
        </w:rPr>
        <w:t>Buscando uma integração da legislação licitatória com as demais normativas existentes, cumpre mencionar ainda que a Lei Federal n. 12.305/2010, que instituiu a Política Nacional de Resíduos Sólidos, em seu art. 3º, inciso IV, define o ciclo de vida como a “série de etapas que envolvem o desenvolvimento do produto, a obtenção de matérias-primas e insumos, o processo produtivo, o consumo e a disposição final”. Por fim, o Guia Nacional de Contratações Sustentáveis, elaborado pela Consultoria Geral da União, em sua 5ª edição, de agosto de 2022, busca realizar uma divisão mais objetiva do ciclo de vida, fazendo-a em quatro etapas essenciais: produção, distribuição, uso e disposição/destinação final.</w:t>
      </w:r>
    </w:p>
    <w:p>
      <w:pPr>
        <w:pStyle w:val="Normal"/>
        <w:spacing w:lineRule="auto" w:line="360" w:before="142" w:after="142"/>
        <w:ind w:firstLine="709"/>
        <w:jc w:val="both"/>
        <w:rPr/>
      </w:pPr>
      <w:r>
        <w:rPr>
          <w:rFonts w:eastAsia="Times New Roman" w:cs="Times New Roman" w:ascii="Arial" w:hAnsi="Arial"/>
          <w:sz w:val="21"/>
          <w:szCs w:val="21"/>
          <w:lang w:eastAsia="pt-BR"/>
        </w:rPr>
        <w:t>Com fundamento nos pontos supracitados, observa-se que a descrição do ciclo de vida deve considerar tanto as características intrínsecas ao uso dos bens quanto as etapas que ocorrem desde a sua produção até a sua disposição final, com a análise, conforme a necessidade, do impacto ambiental em cada uma dessas etapas.</w:t>
      </w:r>
    </w:p>
    <w:p>
      <w:pPr>
        <w:pStyle w:val="Normal"/>
        <w:spacing w:lineRule="auto" w:line="360" w:before="142" w:after="142"/>
        <w:ind w:firstLine="709"/>
        <w:jc w:val="both"/>
        <w:rPr/>
      </w:pPr>
      <w:r>
        <w:rPr>
          <w:rFonts w:eastAsia="Times New Roman" w:cs="Times New Roman" w:ascii="Arial" w:hAnsi="Arial"/>
          <w:sz w:val="21"/>
          <w:szCs w:val="21"/>
          <w:lang w:eastAsia="pt-BR"/>
        </w:rPr>
        <w:t>Para fins do presente processo licitatório, adotou-se como base a divisão feita pela Consultoria-Geral da União em seu Guia Nacional de Contratações Sustentáveis, subsídio recentíssimo e que já considerou, em sua elaboração, tanto as disposições da legislação licitatória quanto aquelas da Política Nacional de Resíduos Sólidos. Analisando, contudo, o singular destaque dado pela Lei Federal n. 14.133/2021 às questões relativas à manutenção do bem ao descrever o seu ciclo de vida (art. 18, § 1º, inciso VII, e art. 34, § 1º), optou-se por abordá-las em uma etapa à parte do uso, estando, assim, dividido o ciclo de vida em: produção, distribuição, uso, manutenção e disposição final.</w:t>
      </w:r>
    </w:p>
    <w:p>
      <w:pPr>
        <w:pStyle w:val="Normal"/>
        <w:spacing w:lineRule="auto" w:line="360" w:before="142" w:after="142"/>
        <w:ind w:firstLine="709"/>
        <w:jc w:val="both"/>
        <w:rPr/>
      </w:pPr>
      <w:r>
        <w:rPr>
          <w:rFonts w:eastAsia="Times New Roman" w:cs="Times New Roman" w:ascii="Arial" w:hAnsi="Arial"/>
          <w:sz w:val="21"/>
          <w:szCs w:val="21"/>
          <w:lang w:eastAsia="pt-BR"/>
        </w:rPr>
        <w:t>I. Produção: É a primeira fase do ciclo de vida de um objeto. Nessa etapa, são realizados todos os processos necessários para criar o produto, incluindo o seu planejamento, a obtenção de matérias-primas, a fabricação, a montagem e os testes.</w:t>
      </w:r>
    </w:p>
    <w:p>
      <w:pPr>
        <w:pStyle w:val="Normal"/>
        <w:spacing w:lineRule="auto" w:line="360" w:before="142" w:after="142"/>
        <w:ind w:firstLine="709"/>
        <w:jc w:val="both"/>
        <w:rPr/>
      </w:pPr>
      <w:r>
        <w:rPr>
          <w:rFonts w:eastAsia="Times New Roman" w:cs="Times New Roman" w:ascii="Arial" w:hAnsi="Arial"/>
          <w:sz w:val="21"/>
          <w:szCs w:val="21"/>
          <w:lang w:eastAsia="pt-BR"/>
        </w:rPr>
        <w:t>II. Distribuição: É a fase seguinte, na qual o produto é transportado e disponibilizado ao consumidor final. Essa etapa inclui o armazenamento, o transporte, a embalagem e a entrega do produto pelo fornecedor.</w:t>
      </w:r>
    </w:p>
    <w:p>
      <w:pPr>
        <w:pStyle w:val="Normal"/>
        <w:spacing w:lineRule="auto" w:line="360" w:before="142" w:after="142"/>
        <w:ind w:firstLine="709"/>
        <w:jc w:val="both"/>
        <w:rPr/>
      </w:pPr>
      <w:r>
        <w:rPr>
          <w:rFonts w:eastAsia="Times New Roman" w:cs="Times New Roman" w:ascii="Arial" w:hAnsi="Arial"/>
          <w:sz w:val="21"/>
          <w:szCs w:val="21"/>
          <w:lang w:eastAsia="pt-BR"/>
        </w:rPr>
        <w:t>III. Uso: É a fase principal, em que o consumidor utiliza o produto por um período ou o consome, se for o caso. Considera-se aqui a sua função, facilidade e instruções de uso, quem o utilizará, vida útil e segurança.</w:t>
      </w:r>
    </w:p>
    <w:p>
      <w:pPr>
        <w:pStyle w:val="Normal"/>
        <w:spacing w:lineRule="auto" w:line="360" w:before="142" w:after="142"/>
        <w:ind w:firstLine="709"/>
        <w:jc w:val="both"/>
        <w:rPr/>
      </w:pPr>
      <w:r>
        <w:rPr>
          <w:rFonts w:eastAsia="Times New Roman" w:cs="Times New Roman" w:ascii="Arial" w:hAnsi="Arial"/>
          <w:sz w:val="21"/>
          <w:szCs w:val="21"/>
          <w:lang w:eastAsia="pt-BR"/>
        </w:rPr>
        <w:t>IV. Manutenção: É a fase em que ocorrem as atividades de reparo, armazenagem, limpeza e conservação do produto para mantê-lo funcionando adequadamente e prolongar sua vida útil. Ocorre tanto por parte do usuário do produto, através das informações e suporte técnico a serem fornecidos pelo fabricante/fornecedor, quanto diretamente por este, ao realizar a assistência técnica, o conserto ou mesmo a substituição.</w:t>
      </w:r>
    </w:p>
    <w:p>
      <w:pPr>
        <w:pStyle w:val="Normal"/>
        <w:spacing w:lineRule="auto" w:line="360" w:before="142" w:after="142"/>
        <w:ind w:firstLine="709"/>
        <w:jc w:val="both"/>
        <w:rPr/>
      </w:pPr>
      <w:r>
        <w:rPr>
          <w:rFonts w:eastAsia="Times New Roman" w:cs="Times New Roman" w:ascii="Arial" w:hAnsi="Arial"/>
          <w:sz w:val="21"/>
          <w:szCs w:val="21"/>
          <w:lang w:eastAsia="pt-BR"/>
        </w:rPr>
        <w:t>V. Disposição final: É a última fase do ciclo de vida de um bem, que se refere à forma como o produto é descartado após o fim de sua vida útil. Deve dispor sobre as possibilidades para tal, os meios de realizá-las e os impactos ambientais de cada uma.</w:t>
      </w:r>
    </w:p>
    <w:p>
      <w:pPr>
        <w:pStyle w:val="Normal"/>
        <w:spacing w:lineRule="auto" w:line="360" w:before="142" w:after="142"/>
        <w:ind w:firstLine="709"/>
        <w:jc w:val="both"/>
        <w:rPr/>
      </w:pPr>
      <w:r>
        <w:rPr>
          <w:rFonts w:eastAsia="Times New Roman" w:cs="Times New Roman" w:ascii="Arial" w:hAnsi="Arial"/>
          <w:sz w:val="21"/>
          <w:szCs w:val="21"/>
          <w:lang w:eastAsia="pt-BR"/>
        </w:rPr>
        <w:t>Dessa forma, a contratação da solução apresentada mostra-se adequada ao atendimento do interesse público, proporcionando infraestrutura permanente destinada à valorização dos espaços urbanos, ao fortalecimento das atividades culturais, turísticas e comunitárias e à melhoria da qualidade de vida da população.</w:t>
      </w:r>
    </w:p>
    <w:p>
      <w:pPr>
        <w:pStyle w:val="Normal"/>
        <w:spacing w:lineRule="auto" w:line="360" w:before="142" w:after="142"/>
        <w:jc w:val="both"/>
        <w:rPr/>
      </w:pPr>
      <w:r>
        <w:rPr>
          <w:rFonts w:eastAsia="Arial" w:cs="Arial" w:ascii="Arial" w:hAnsi="Arial"/>
          <w:b/>
          <w:color w:val="000000"/>
          <w:sz w:val="21"/>
          <w:szCs w:val="21"/>
        </w:rPr>
        <w:tab/>
        <w:t xml:space="preserve">VALOR MÁXIMO ADMITIDO: </w:t>
      </w:r>
      <w:r>
        <w:rPr>
          <w:rFonts w:eastAsia="Arial" w:cs="Arial" w:ascii="Arial" w:hAnsi="Arial"/>
          <w:color w:val="000000"/>
          <w:sz w:val="21"/>
          <w:szCs w:val="21"/>
        </w:rPr>
        <w:t>R</w:t>
      </w:r>
      <w:r>
        <w:rPr>
          <w:rFonts w:eastAsia="Arial" w:cs="Arial" w:ascii="Arial" w:hAnsi="Arial"/>
          <w:sz w:val="21"/>
          <w:szCs w:val="21"/>
        </w:rPr>
        <w:t>$ 1.343.349,71 (Um milhão, trezentos e quarenta e três mil, trezentos e quarenta e nove reais, e setenta e um centavos).</w:t>
      </w:r>
    </w:p>
    <w:p>
      <w:pPr>
        <w:pStyle w:val="BodyText"/>
        <w:spacing w:lineRule="auto" w:line="360" w:before="142" w:after="142"/>
        <w:jc w:val="both"/>
        <w:rPr/>
      </w:pPr>
      <w:r>
        <w:rPr>
          <w:sz w:val="21"/>
          <w:szCs w:val="21"/>
        </w:rPr>
        <w:tab/>
      </w:r>
      <w:r>
        <w:rPr>
          <w:rFonts w:eastAsia="Arial"/>
          <w:b/>
          <w:color w:val="000000"/>
          <w:sz w:val="21"/>
          <w:szCs w:val="21"/>
        </w:rPr>
        <w:t>DEFINIÇÃO DO OBJETO</w:t>
      </w:r>
    </w:p>
    <w:p>
      <w:pPr>
        <w:pStyle w:val="Normal"/>
        <w:numPr>
          <w:ilvl w:val="1"/>
          <w:numId w:val="2"/>
        </w:numPr>
        <w:spacing w:lineRule="auto" w:line="360" w:before="142" w:after="142"/>
        <w:jc w:val="both"/>
        <w:rPr/>
      </w:pPr>
      <w:r>
        <w:rPr>
          <w:rFonts w:eastAsia="Arial" w:cs="Times New Roman" w:ascii="Arial" w:hAnsi="Arial"/>
          <w:b/>
          <w:color w:val="000000"/>
          <w:sz w:val="21"/>
          <w:szCs w:val="21"/>
        </w:rPr>
        <w:t>OBJETO</w:t>
      </w:r>
    </w:p>
    <w:p>
      <w:pPr>
        <w:pStyle w:val="Normal"/>
        <w:spacing w:lineRule="auto" w:line="360" w:before="142" w:after="142"/>
        <w:ind w:firstLine="709"/>
        <w:jc w:val="both"/>
        <w:rPr/>
      </w:pPr>
      <w:r>
        <w:rPr>
          <w:rFonts w:cs="Times New Roman" w:ascii="Arial" w:hAnsi="Arial"/>
          <w:sz w:val="21"/>
          <w:szCs w:val="21"/>
        </w:rPr>
        <w:t>O objeto da presente licitação é a contratação de empresa especializada para execução de uma Rua Coberta no Município de Lindóia do Sul/SC, incluindo o fornecimento de materiais, mão de obra, equipamentos e demais insumos necessários à realização da obra, conforme projetos e especificações técnicas constantes no processo licitatório.</w:t>
      </w:r>
    </w:p>
    <w:p>
      <w:pPr>
        <w:pStyle w:val="Normal"/>
        <w:spacing w:lineRule="auto" w:line="360" w:before="142" w:after="142"/>
        <w:ind w:firstLine="709"/>
        <w:jc w:val="both"/>
        <w:rPr/>
      </w:pPr>
      <w:r>
        <w:rPr>
          <w:rFonts w:cs="Times New Roman" w:ascii="Arial" w:hAnsi="Arial"/>
          <w:sz w:val="21"/>
          <w:szCs w:val="21"/>
        </w:rPr>
        <w:t>O texto descritivo completo e informações pertinentes de cada item a ser licitado constam nos autos do processo licitatório em que se insere o presente Termo de Referência e estarão anexas ao Edital, constituindo parte integrante dele.</w:t>
      </w:r>
    </w:p>
    <w:p>
      <w:pPr>
        <w:pStyle w:val="Normal"/>
        <w:numPr>
          <w:ilvl w:val="1"/>
          <w:numId w:val="2"/>
        </w:numPr>
        <w:spacing w:lineRule="auto" w:line="360" w:before="142" w:after="142"/>
        <w:jc w:val="both"/>
        <w:rPr/>
      </w:pPr>
      <w:r>
        <w:rPr>
          <w:rFonts w:eastAsia="Arial" w:cs="Times New Roman" w:ascii="Arial" w:hAnsi="Arial"/>
          <w:b/>
          <w:bCs/>
          <w:color w:val="000000"/>
          <w:sz w:val="21"/>
          <w:szCs w:val="21"/>
        </w:rPr>
        <w:t xml:space="preserve">JUSTIFICATIVA PARA </w:t>
      </w:r>
      <w:r>
        <w:rPr>
          <w:rFonts w:eastAsia="Arial" w:cs="Times New Roman" w:ascii="Arial" w:hAnsi="Arial"/>
          <w:b/>
          <w:color w:val="000000"/>
          <w:sz w:val="21"/>
          <w:szCs w:val="21"/>
        </w:rPr>
        <w:t>O PARCELAMENTO OU NÃO DA CONTRATAÇÃO</w:t>
      </w:r>
    </w:p>
    <w:p>
      <w:pPr>
        <w:pStyle w:val="Normal"/>
        <w:tabs>
          <w:tab w:val="clear" w:pos="709"/>
          <w:tab w:val="left" w:pos="2340" w:leader="none"/>
          <w:tab w:val="left" w:pos="4464" w:leader="none"/>
        </w:tabs>
        <w:spacing w:lineRule="auto" w:line="360" w:before="142" w:after="142"/>
        <w:ind w:firstLine="709"/>
        <w:jc w:val="both"/>
        <w:rPr/>
      </w:pPr>
      <w:r>
        <w:rPr>
          <w:rFonts w:eastAsia="Arial" w:cs="Times New Roman" w:ascii="Arial" w:hAnsi="Arial"/>
          <w:sz w:val="21"/>
          <w:szCs w:val="21"/>
        </w:rPr>
        <w:t>A presente contratação não será parcelada, tendo em vista que o objeto consiste na execução de uma Rua Coberta, compreendendo serviços interdependentes de fundações, estruturas de concreto armado, estrutura metálica, cobertura e demais elementos previstos em projeto, os quais devem ser executados de forma integrada e coordenada.</w:t>
      </w:r>
    </w:p>
    <w:p>
      <w:pPr>
        <w:pStyle w:val="Normal"/>
        <w:tabs>
          <w:tab w:val="clear" w:pos="709"/>
          <w:tab w:val="left" w:pos="2340" w:leader="none"/>
          <w:tab w:val="left" w:pos="4464" w:leader="none"/>
        </w:tabs>
        <w:spacing w:lineRule="auto" w:line="360" w:before="142" w:after="142"/>
        <w:ind w:firstLine="709"/>
        <w:jc w:val="both"/>
        <w:rPr/>
      </w:pPr>
      <w:r>
        <w:rPr>
          <w:rFonts w:eastAsia="Arial" w:cs="Times New Roman" w:ascii="Arial" w:hAnsi="Arial"/>
          <w:sz w:val="21"/>
          <w:szCs w:val="21"/>
        </w:rPr>
        <w:t>O parcelamento da contratação poderia comprometer a compatibilização entre as etapas da obra, dificultar a definição de responsabilidades, gerar interferências entre diferentes contratados e aumentar os riscos de atrasos, retrabalhos e inconsistências na execução dos serviços.</w:t>
      </w:r>
    </w:p>
    <w:p>
      <w:pPr>
        <w:pStyle w:val="Normal"/>
        <w:tabs>
          <w:tab w:val="clear" w:pos="709"/>
          <w:tab w:val="left" w:pos="2340" w:leader="none"/>
          <w:tab w:val="left" w:pos="4464" w:leader="none"/>
        </w:tabs>
        <w:spacing w:lineRule="auto" w:line="360" w:before="142" w:after="142"/>
        <w:ind w:firstLine="709"/>
        <w:jc w:val="both"/>
        <w:rPr/>
      </w:pPr>
      <w:r>
        <w:rPr>
          <w:rFonts w:eastAsia="Arial" w:cs="Times New Roman" w:ascii="Arial" w:hAnsi="Arial"/>
          <w:sz w:val="21"/>
          <w:szCs w:val="21"/>
        </w:rPr>
        <w:t>Além disso, a contratação de uma única empresa responsável pela execução integral do empreendimento proporciona maior eficiência na gestão contratual, melhor controle da qualidade dos serviços, otimização dos prazos de execução e maior segurança quanto ao cumprimento das especificações técnicas estabelecidas.</w:t>
      </w:r>
    </w:p>
    <w:p>
      <w:pPr>
        <w:pStyle w:val="Normal"/>
        <w:tabs>
          <w:tab w:val="clear" w:pos="709"/>
          <w:tab w:val="left" w:pos="2340" w:leader="none"/>
          <w:tab w:val="left" w:pos="4464" w:leader="none"/>
        </w:tabs>
        <w:spacing w:lineRule="auto" w:line="360" w:before="142" w:after="142"/>
        <w:ind w:firstLine="709"/>
        <w:jc w:val="both"/>
        <w:rPr/>
      </w:pPr>
      <w:r>
        <w:rPr>
          <w:rFonts w:eastAsia="Arial" w:cs="Times New Roman" w:ascii="Arial" w:hAnsi="Arial"/>
          <w:sz w:val="21"/>
          <w:szCs w:val="21"/>
        </w:rPr>
        <w:t>Dessa forma, a não divisão do objeto mostra-se a alternativa mais adequada sob os aspectos técnico, econômico e administrativo, garantindo maior eficiência, economicidade e qualidade na execução da obra.</w:t>
      </w:r>
    </w:p>
    <w:p>
      <w:pPr>
        <w:pStyle w:val="Normal"/>
        <w:numPr>
          <w:ilvl w:val="0"/>
          <w:numId w:val="2"/>
        </w:numPr>
        <w:spacing w:lineRule="auto" w:line="360" w:before="142" w:after="142"/>
        <w:jc w:val="both"/>
        <w:rPr/>
      </w:pPr>
      <w:r>
        <w:rPr>
          <w:rFonts w:eastAsia="Arial" w:cs="Times New Roman" w:ascii="Arial" w:hAnsi="Arial"/>
          <w:b/>
          <w:color w:val="000000"/>
          <w:sz w:val="21"/>
          <w:szCs w:val="21"/>
        </w:rPr>
        <w:t>DESCRIÇÃO DA SOLUÇÃO PARA EXECUÇÃO DO PROJETO</w:t>
      </w:r>
    </w:p>
    <w:p>
      <w:pPr>
        <w:pStyle w:val="Normal"/>
        <w:spacing w:lineRule="auto" w:line="360" w:before="142" w:after="142"/>
        <w:ind w:firstLine="709"/>
        <w:jc w:val="both"/>
        <w:rPr/>
      </w:pPr>
      <w:r>
        <w:rPr>
          <w:rFonts w:eastAsia="Arial" w:cs="Times New Roman" w:ascii="Arial" w:hAnsi="Arial"/>
          <w:color w:val="000000"/>
          <w:sz w:val="21"/>
          <w:szCs w:val="21"/>
        </w:rPr>
        <w:t>A solução proposta consiste na contratação de empresa especializada no ramo da construção civil para a execução da Rua Coberta no Município de Lindóia do Sul/SC, contemplando o fornecimento de materiais, mão de obra, equipamentos, ferramentas e demais insumos necessários à completa realização da obra.</w:t>
      </w:r>
    </w:p>
    <w:p>
      <w:pPr>
        <w:pStyle w:val="Normal"/>
        <w:spacing w:lineRule="auto" w:line="360" w:before="142" w:after="142"/>
        <w:ind w:firstLine="709"/>
        <w:jc w:val="both"/>
        <w:rPr/>
      </w:pPr>
      <w:r>
        <w:rPr>
          <w:rFonts w:eastAsia="Arial" w:cs="Times New Roman" w:ascii="Arial" w:hAnsi="Arial"/>
          <w:color w:val="000000"/>
          <w:sz w:val="21"/>
          <w:szCs w:val="21"/>
        </w:rPr>
        <w:t>A contratação abrangerá a execução de todos os serviços previstos nos projetos, memoriais descritivos, planilhas orçamentárias e demais documentos técnicos, incluindo fundações, estruturas de concreto armado, estrutura metálica de cobertura, sistema de captação e drenagem de águas pluviais, guarda-corpos e demais elementos complementares necessários à conclusão do empreendimento.</w:t>
      </w:r>
    </w:p>
    <w:p>
      <w:pPr>
        <w:pStyle w:val="Normal"/>
        <w:spacing w:lineRule="auto" w:line="360" w:before="142" w:after="142"/>
        <w:ind w:firstLine="709"/>
        <w:jc w:val="both"/>
        <w:rPr/>
      </w:pPr>
      <w:r>
        <w:rPr>
          <w:rFonts w:eastAsia="Arial" w:cs="Times New Roman" w:ascii="Arial" w:hAnsi="Arial"/>
          <w:color w:val="000000"/>
          <w:sz w:val="21"/>
          <w:szCs w:val="21"/>
        </w:rPr>
        <w:t>Considerando que a obra possui estrutura mista de concreto armado e metálica, sua execução demanda mão de obra qualificada, equipamentos especializados e acompanhamento técnico adequado, de modo a garantir o cumprimento das especificações de projeto, das normas técnicas vigentes e dos requisitos de segurança aplicáveis.</w:t>
      </w:r>
    </w:p>
    <w:p>
      <w:pPr>
        <w:pStyle w:val="Normal"/>
        <w:spacing w:lineRule="auto" w:line="360" w:before="142" w:after="142"/>
        <w:ind w:firstLine="709"/>
        <w:jc w:val="both"/>
        <w:rPr/>
      </w:pPr>
      <w:r>
        <w:rPr>
          <w:rFonts w:eastAsia="Arial" w:cs="Times New Roman" w:ascii="Arial" w:hAnsi="Arial"/>
          <w:color w:val="000000"/>
          <w:sz w:val="21"/>
          <w:szCs w:val="21"/>
        </w:rPr>
        <w:t>A solução adotada visa assegurar a entrega de uma infraestrutura pública com qualidade, segurança, durabilidade e funcionalidade, apta a atender às necessidades do Município para a realização de eventos, atividades culturais, turísticas e comunitárias, proporcionando maior conforto aos usuários e valorização do espaço urbano.</w:t>
      </w:r>
    </w:p>
    <w:p>
      <w:pPr>
        <w:pStyle w:val="Normal"/>
        <w:spacing w:lineRule="auto" w:line="360" w:before="142" w:after="142"/>
        <w:jc w:val="both"/>
        <w:rPr/>
      </w:pPr>
      <w:r>
        <w:rPr>
          <w:rFonts w:eastAsia="Arial" w:cs="Arial" w:ascii="Arial" w:hAnsi="Arial"/>
          <w:b/>
          <w:bCs/>
          <w:color w:val="000000"/>
          <w:sz w:val="21"/>
          <w:szCs w:val="21"/>
        </w:rPr>
        <w:t>PRAZO DE EXECUÇÃO E VIGÊNCIA</w:t>
      </w:r>
    </w:p>
    <w:p>
      <w:pPr>
        <w:pStyle w:val="Normal"/>
        <w:spacing w:lineRule="auto" w:line="360" w:before="142" w:after="142"/>
        <w:ind w:firstLine="709"/>
        <w:jc w:val="both"/>
        <w:rPr/>
      </w:pPr>
      <w:r>
        <w:rPr>
          <w:rFonts w:eastAsia="Times New Roman" w:cs="Times New Roman" w:ascii="Arial" w:hAnsi="Arial"/>
          <w:sz w:val="21"/>
          <w:szCs w:val="21"/>
          <w:shd w:fill="00FF00" w:val="clear"/>
          <w:lang w:eastAsia="pt-BR"/>
        </w:rPr>
        <w:t>O futuro contrato terá prazo de execução de 150 (cento e cinquenta) dias, contados da emissão da Ordem de Serviço, e vigência de 210 (duzentos e dez) dias, com eficácia a partir da assinatura e respectiva publicação no Portal Nacional de Contratações Públicas – PNCP, nos termos da Lei Federal nº 14.133/2021.</w:t>
      </w:r>
    </w:p>
    <w:p>
      <w:pPr>
        <w:pStyle w:val="Normal"/>
        <w:spacing w:lineRule="auto" w:line="360" w:before="142" w:after="142"/>
        <w:ind w:firstLine="709"/>
        <w:jc w:val="both"/>
        <w:rPr/>
      </w:pPr>
      <w:r>
        <w:rPr>
          <w:rFonts w:eastAsia="Times New Roman" w:cs="Times New Roman" w:ascii="Arial" w:hAnsi="Arial"/>
          <w:sz w:val="21"/>
          <w:szCs w:val="21"/>
          <w:lang w:eastAsia="pt-BR"/>
        </w:rPr>
        <w:t>O prazo de vigência será automaticamente prorrogado quando o objeto não for concluído no período inicialmente previsto, ressalvadas as hipóteses de atraso decorrentes de culpa da contratada, observadas as providências cabíveis.</w:t>
      </w:r>
    </w:p>
    <w:p>
      <w:pPr>
        <w:pStyle w:val="Normal"/>
        <w:spacing w:lineRule="auto" w:line="360" w:before="142" w:after="142"/>
        <w:ind w:firstLine="709"/>
        <w:jc w:val="both"/>
        <w:rPr/>
      </w:pPr>
      <w:r>
        <w:rPr>
          <w:rFonts w:cs="Times New Roman" w:ascii="Arial" w:hAnsi="Arial"/>
          <w:sz w:val="21"/>
          <w:szCs w:val="21"/>
        </w:rPr>
        <w:t>Caso a vigência contratual ultrapasse 01 (um) ano, os preços poderão ser reajustados anualmente, mediante solicitação da contratada, para preservação do equilíbrio econômico-financeiro do contrato, observadas as disposições legais aplicáveis.</w:t>
      </w:r>
    </w:p>
    <w:p>
      <w:pPr>
        <w:pStyle w:val="Normal"/>
        <w:spacing w:lineRule="auto" w:line="360" w:before="142" w:after="142"/>
        <w:ind w:firstLine="709"/>
        <w:jc w:val="both"/>
        <w:rPr/>
      </w:pPr>
      <w:r>
        <w:rPr>
          <w:rFonts w:cs="Times New Roman" w:ascii="Arial" w:hAnsi="Arial"/>
          <w:sz w:val="21"/>
          <w:szCs w:val="21"/>
        </w:rPr>
        <w:t>O reajuste somente será devido após o transcurso de 01 (um) ano, contado a partir da data de apresentação da proposta, vedada a utilização da data da assinatura do contrato como marco inicial, nos termos do art. 25, §7º, da Lei nº 14.133/2021.</w:t>
      </w:r>
    </w:p>
    <w:p>
      <w:pPr>
        <w:pStyle w:val="Normal"/>
        <w:spacing w:lineRule="auto" w:line="360" w:before="142" w:after="142"/>
        <w:jc w:val="both"/>
        <w:rPr/>
      </w:pPr>
      <w:r>
        <w:rPr>
          <w:rFonts w:cs="Times New Roman" w:ascii="Arial" w:hAnsi="Arial"/>
          <w:sz w:val="21"/>
          <w:szCs w:val="21"/>
        </w:rPr>
        <w:tab/>
        <w:t>O reajuste será calculado mediante a aplicação da variação acumulada do Índice Nacional de Preços ao Consumidor – INPC, apurada no período correspondente, ou de outro índice oficial que venha a substituí-lo, mantendo-se as demais condições contratuais inalteradas.</w:t>
      </w:r>
    </w:p>
    <w:p>
      <w:pPr>
        <w:pStyle w:val="Normal"/>
        <w:spacing w:lineRule="auto" w:line="360" w:before="142" w:after="142"/>
        <w:ind w:firstLine="709"/>
        <w:jc w:val="both"/>
        <w:rPr/>
      </w:pPr>
      <w:r>
        <w:rPr>
          <w:rFonts w:eastAsia="Times New Roman" w:cs="Times New Roman" w:ascii="Arial" w:hAnsi="Arial"/>
          <w:b w:val="false"/>
          <w:bCs w:val="false"/>
          <w:sz w:val="21"/>
          <w:szCs w:val="21"/>
          <w:shd w:fill="auto" w:val="clear"/>
          <w:lang w:eastAsia="pt-BR"/>
        </w:rPr>
        <w:t>Ocorrendo desequilíbrio econômico-financeiro do futuro contrato, em face dos aumentos de custo que possam, por vedação legal, serem refletidos por meio de reajuste ou revisão de preços básicos, as partes, de comum acordo, com base no art. 124, inciso II, alínea “d”, da Lei n. 14.133/2021, buscarão uma solução para a questão.</w:t>
      </w:r>
    </w:p>
    <w:p>
      <w:pPr>
        <w:pStyle w:val="BodyText"/>
        <w:spacing w:lineRule="auto" w:line="360" w:before="142" w:after="142"/>
        <w:jc w:val="both"/>
        <w:rPr/>
      </w:pPr>
      <w:r>
        <w:rPr>
          <w:b w:val="false"/>
          <w:bCs w:val="false"/>
          <w:sz w:val="21"/>
          <w:szCs w:val="21"/>
          <w:shd w:fill="auto" w:val="clear"/>
        </w:rPr>
        <w:tab/>
        <w:t>Para fins de responsabilidade técnica, a contratada deverá apresentar a respectiva Anotação de Responsabilidade Técnica – ART referente aos serviços executados, nos termos da legislação profissional aplicável.</w:t>
      </w:r>
    </w:p>
    <w:p>
      <w:pPr>
        <w:pStyle w:val="BodyText"/>
        <w:spacing w:lineRule="auto" w:line="360" w:before="142" w:after="142"/>
        <w:jc w:val="both"/>
        <w:rPr/>
      </w:pPr>
      <w:r>
        <w:rPr>
          <w:b w:val="false"/>
          <w:bCs w:val="false"/>
          <w:sz w:val="21"/>
          <w:szCs w:val="21"/>
          <w:shd w:fill="auto" w:val="clear"/>
        </w:rPr>
        <w:tab/>
        <w:t>Concluída a execução e verificada a conformidade dos serviços pela Administração, proceder-se-á ao atesto e posterior pagamento.</w:t>
      </w:r>
    </w:p>
    <w:p>
      <w:pPr>
        <w:pStyle w:val="Normal"/>
        <w:spacing w:lineRule="auto" w:line="360" w:before="142" w:after="142"/>
        <w:jc w:val="both"/>
        <w:rPr/>
      </w:pPr>
      <w:r>
        <w:rPr>
          <w:rFonts w:eastAsia="Arial" w:cs="Arial" w:ascii="Arial" w:hAnsi="Arial"/>
          <w:b/>
          <w:bCs/>
          <w:color w:val="000000"/>
          <w:sz w:val="21"/>
          <w:szCs w:val="21"/>
        </w:rPr>
        <w:t>DO PARCELAMENTO DO OBJETO</w:t>
      </w:r>
    </w:p>
    <w:p>
      <w:pPr>
        <w:pStyle w:val="Normal"/>
        <w:spacing w:lineRule="auto" w:line="360" w:before="142" w:after="142"/>
        <w:ind w:firstLine="720"/>
        <w:jc w:val="both"/>
        <w:rPr/>
      </w:pPr>
      <w:r>
        <w:rPr>
          <w:rFonts w:eastAsia="Arial" w:cs="Arial" w:ascii="Arial" w:hAnsi="Arial"/>
          <w:color w:val="000000"/>
          <w:sz w:val="21"/>
          <w:szCs w:val="21"/>
        </w:rPr>
        <w:t>Considerando a natureza do objeto, entende-se que o parcelamento da contratação não se mostra vantajoso para a Administração Pública. A execução da Rua Coberta compreende serviços interdependentes de fundações, estruturas de concreto armado, estrutura metálica, cobertura, drenagem pluvial e demais elementos construtivos, cuja integração é fundamental para o adequado desempenho da obra.</w:t>
      </w:r>
    </w:p>
    <w:p>
      <w:pPr>
        <w:pStyle w:val="Normal"/>
        <w:spacing w:lineRule="auto" w:line="360" w:before="142" w:after="142"/>
        <w:ind w:firstLine="720"/>
        <w:jc w:val="both"/>
        <w:rPr/>
      </w:pPr>
      <w:r>
        <w:rPr>
          <w:rFonts w:eastAsia="Arial" w:cs="Arial" w:ascii="Arial" w:hAnsi="Arial"/>
          <w:color w:val="000000"/>
          <w:sz w:val="21"/>
          <w:szCs w:val="21"/>
        </w:rPr>
        <w:t>A contratação de forma global assegura maior coordenação entre as etapas executivas, uniformidade dos procedimentos construtivos, melhor controle de qualidade e definição clara das responsabilidades, evitando incompatibilidades, retrabalhos, atrasos e custos adicionais decorrentes da atuação de múltiplos contratados.</w:t>
      </w:r>
    </w:p>
    <w:p>
      <w:pPr>
        <w:pStyle w:val="Normal"/>
        <w:spacing w:lineRule="auto" w:line="360" w:before="142" w:after="142"/>
        <w:ind w:firstLine="720"/>
        <w:jc w:val="both"/>
        <w:rPr/>
      </w:pPr>
      <w:r>
        <w:rPr>
          <w:rFonts w:eastAsia="Arial" w:cs="Arial" w:ascii="Arial" w:hAnsi="Arial"/>
          <w:color w:val="000000"/>
          <w:sz w:val="21"/>
          <w:szCs w:val="21"/>
        </w:rPr>
        <w:t>Além disso, a execução da obra envolve uma estrutura mista de concreto armado e metálica, demandando planejamento integrado, mão de obra especializada e compatibilização permanente entre os diversos serviços, circunstâncias que recomendam a contratação de uma única empresa responsável pela execução integral do empreendimento.</w:t>
      </w:r>
    </w:p>
    <w:p>
      <w:pPr>
        <w:pStyle w:val="Normal"/>
        <w:spacing w:lineRule="auto" w:line="360" w:before="142" w:after="142"/>
        <w:ind w:firstLine="720"/>
        <w:jc w:val="both"/>
        <w:rPr/>
      </w:pPr>
      <w:r>
        <w:rPr>
          <w:rFonts w:eastAsia="Arial" w:cs="Arial" w:ascii="Arial" w:hAnsi="Arial"/>
          <w:color w:val="000000"/>
          <w:sz w:val="21"/>
          <w:szCs w:val="21"/>
        </w:rPr>
        <w:t>Dessa forma, o julgamento global revela-se a alternativa mais eficiente e econômica, preservando a competitividade do certame e atendendo aos princípios da eficiência, economicidade e planejamento, não configurando fracionamento indevido do objeto, mas sim escolha administrativa devidamente justificada sob os aspectos técnico, operacional e econômico.</w:t>
      </w:r>
    </w:p>
    <w:p>
      <w:pPr>
        <w:pStyle w:val="BodyText"/>
        <w:spacing w:lineRule="auto" w:line="360" w:before="142" w:after="142"/>
        <w:rPr/>
      </w:pPr>
      <w:r>
        <w:rPr>
          <w:rFonts w:eastAsia="Arial"/>
          <w:color w:val="000000"/>
          <w:sz w:val="21"/>
          <w:szCs w:val="21"/>
        </w:rPr>
        <w:t>JUSTIFICATIVA PARA A CONTRATAÇÃO CONJUNTA DOS SERVIÇOS</w:t>
      </w:r>
    </w:p>
    <w:p>
      <w:pPr>
        <w:pStyle w:val="BodyText"/>
        <w:spacing w:lineRule="auto" w:line="360" w:before="142" w:after="142"/>
        <w:jc w:val="both"/>
        <w:rPr/>
      </w:pPr>
      <w:r>
        <w:rPr>
          <w:sz w:val="21"/>
          <w:szCs w:val="21"/>
        </w:rPr>
        <w:tab/>
      </w:r>
      <w:r>
        <w:rPr>
          <w:b w:val="false"/>
          <w:bCs w:val="false"/>
          <w:sz w:val="21"/>
          <w:szCs w:val="21"/>
        </w:rPr>
        <w:t>Os serviços previstos nesta contratação compreendem a execução da Rua Coberta, incluindo fundações, estruturas de concreto armado, estrutura metálica, cobertura, sistemas de drenagem pluvial e demais elementos construtivos previstos nos projetos e documentos técnicos do empreendimento, tratando-se de atividades que possuem natureza integrada e complementar.</w:t>
      </w:r>
    </w:p>
    <w:p>
      <w:pPr>
        <w:pStyle w:val="BodyText"/>
        <w:spacing w:lineRule="auto" w:line="360" w:before="142" w:after="142"/>
        <w:ind w:firstLine="720"/>
        <w:jc w:val="both"/>
        <w:rPr/>
      </w:pPr>
      <w:r>
        <w:rPr>
          <w:b w:val="false"/>
          <w:bCs w:val="false"/>
          <w:sz w:val="21"/>
          <w:szCs w:val="21"/>
        </w:rPr>
        <w:t>A realização conjunta de todos os serviços em um único processo de contratação mostra-se tecnicamente adequada, tendo em vista a elevada interdependência entre as etapas executivas da obra. A segregação dessas atividades poderia comprometer a compatibilização dos serviços, gerar interferências entre contratados, dificultar a coordenação da execução e aumentar os riscos de atrasos, retrabalhos e inconsistências construtivas.</w:t>
      </w:r>
    </w:p>
    <w:p>
      <w:pPr>
        <w:pStyle w:val="BodyText"/>
        <w:spacing w:lineRule="auto" w:line="360" w:before="142" w:after="142"/>
        <w:ind w:firstLine="720"/>
        <w:jc w:val="both"/>
        <w:rPr/>
      </w:pPr>
      <w:r>
        <w:rPr>
          <w:b w:val="false"/>
          <w:bCs w:val="false"/>
          <w:sz w:val="21"/>
          <w:szCs w:val="21"/>
        </w:rPr>
        <w:t>Além disso, a contratação integrada contribui para maior eficiência administrativa, melhor controle da qualidade dos serviços, otimização dos prazos de execução e definição clara das responsabilidades técnicas e contratuais, evitando problemas decorrentes da atuação simultânea de múltiplas empresas.</w:t>
      </w:r>
    </w:p>
    <w:p>
      <w:pPr>
        <w:pStyle w:val="BodyText"/>
        <w:spacing w:lineRule="auto" w:line="360" w:before="142" w:after="142"/>
        <w:ind w:firstLine="720"/>
        <w:jc w:val="both"/>
        <w:rPr/>
      </w:pPr>
      <w:r>
        <w:rPr>
          <w:b w:val="false"/>
          <w:bCs w:val="false"/>
          <w:sz w:val="21"/>
          <w:szCs w:val="21"/>
        </w:rPr>
        <w:t>Sob o aspecto econômico, a centralização da execução em um único contrato tende a reduzir custos indiretos, simplificar a fiscalização e a gestão contratual, além de proporcionar maior economicidade à Administração Pública.</w:t>
      </w:r>
    </w:p>
    <w:p>
      <w:pPr>
        <w:pStyle w:val="BodyText"/>
        <w:spacing w:lineRule="auto" w:line="360" w:before="142" w:after="142"/>
        <w:ind w:firstLine="709"/>
        <w:jc w:val="both"/>
        <w:rPr/>
      </w:pPr>
      <w:r>
        <w:rPr>
          <w:b w:val="false"/>
          <w:bCs w:val="false"/>
          <w:sz w:val="21"/>
          <w:szCs w:val="21"/>
        </w:rPr>
        <w:t>Dessa forma, considerando a natureza integrada da obra, a complementaridade dos serviços e a necessidade de compatibilização permanente entre as estruturas de concreto armado e metálicas, justifica-se a contratação conjunta em um único processo, como medida mais eficiente, segura e vantajosa para a Administração.</w:t>
      </w:r>
    </w:p>
    <w:p>
      <w:pPr>
        <w:pStyle w:val="BodyText"/>
        <w:spacing w:lineRule="auto" w:line="360" w:before="142" w:after="142"/>
        <w:ind w:hanging="0"/>
        <w:jc w:val="both"/>
        <w:rPr/>
      </w:pPr>
      <w:r>
        <w:rPr>
          <w:rFonts w:eastAsia="Arial" w:cs="Arial"/>
          <w:b/>
          <w:bCs/>
          <w:sz w:val="21"/>
          <w:szCs w:val="21"/>
        </w:rPr>
        <w:t>REQUISITOS DA CONTRATAÇÃO</w:t>
      </w:r>
    </w:p>
    <w:p>
      <w:pPr>
        <w:pStyle w:val="Normal"/>
        <w:tabs>
          <w:tab w:val="clear" w:pos="709"/>
          <w:tab w:val="left" w:pos="2340" w:leader="none"/>
          <w:tab w:val="left" w:pos="4464" w:leader="none"/>
        </w:tabs>
        <w:spacing w:lineRule="auto" w:line="360" w:before="142" w:after="142"/>
        <w:ind w:firstLine="737"/>
        <w:jc w:val="both"/>
        <w:rPr/>
      </w:pPr>
      <w:r>
        <w:rPr>
          <w:rFonts w:eastAsia="Arial" w:cs="Arial" w:ascii="Arial" w:hAnsi="Arial"/>
          <w:sz w:val="21"/>
          <w:szCs w:val="21"/>
        </w:rPr>
        <w:t xml:space="preserve">A contratação objeto deste estudo preliminar apresenta os seguintes requisitos: </w:t>
      </w:r>
    </w:p>
    <w:p>
      <w:pPr>
        <w:pStyle w:val="ListParagraph"/>
        <w:suppressAutoHyphens w:val="false"/>
        <w:spacing w:lineRule="auto" w:line="360" w:before="142" w:after="142"/>
        <w:ind w:hanging="0" w:start="720" w:end="0"/>
        <w:contextualSpacing w:val="false"/>
        <w:jc w:val="both"/>
        <w:rPr/>
      </w:pPr>
      <w:r>
        <w:rPr>
          <w:rFonts w:eastAsia="Arial" w:cs="Arial" w:ascii="Arial" w:hAnsi="Arial"/>
          <w:b/>
          <w:bCs/>
          <w:sz w:val="21"/>
          <w:szCs w:val="21"/>
        </w:rPr>
        <w:t>REQUISITOS INTERNOS</w:t>
      </w:r>
    </w:p>
    <w:p>
      <w:pPr>
        <w:pStyle w:val="ListParagraph"/>
        <w:numPr>
          <w:ilvl w:val="0"/>
          <w:numId w:val="3"/>
        </w:numPr>
        <w:suppressAutoHyphens w:val="false"/>
        <w:spacing w:lineRule="auto" w:line="360" w:before="142" w:after="142"/>
        <w:ind w:firstLine="709" w:start="0" w:end="0"/>
        <w:contextualSpacing w:val="false"/>
        <w:jc w:val="both"/>
        <w:rPr/>
      </w:pPr>
      <w:r>
        <w:rPr>
          <w:rFonts w:eastAsia="Arial" w:cs="Arial" w:ascii="Arial" w:hAnsi="Arial"/>
          <w:sz w:val="21"/>
          <w:szCs w:val="21"/>
        </w:rPr>
        <w:t>Definição do local de execução da obra, conforme indicado nos projetos, memoriais descritivos e demais documentos técnicos integrantes do processo licitatório;</w:t>
      </w:r>
    </w:p>
    <w:p>
      <w:pPr>
        <w:pStyle w:val="ListParagraph"/>
        <w:numPr>
          <w:ilvl w:val="0"/>
          <w:numId w:val="3"/>
        </w:numPr>
        <w:suppressAutoHyphens w:val="false"/>
        <w:spacing w:lineRule="auto" w:line="360" w:before="142" w:after="142"/>
        <w:ind w:firstLine="709" w:start="0" w:end="0"/>
        <w:contextualSpacing w:val="false"/>
        <w:jc w:val="both"/>
        <w:rPr/>
      </w:pPr>
      <w:r>
        <w:rPr>
          <w:rFonts w:eastAsia="Arial" w:cs="Arial" w:ascii="Arial" w:hAnsi="Arial"/>
          <w:sz w:val="21"/>
          <w:szCs w:val="21"/>
        </w:rPr>
        <w:t>Definição dos serviços a serem executados, compreendendo a construção da Rua Coberta, incluindo a execução da estrutura, cobertura, fundações, instalações complementares e demais elementos previstos em projeto, bem como dos materiais a serem fornecidos e aplicados, de acordo com as especificações técnicas e memoriais descritivos;</w:t>
      </w:r>
    </w:p>
    <w:p>
      <w:pPr>
        <w:pStyle w:val="ListParagraph"/>
        <w:numPr>
          <w:ilvl w:val="0"/>
          <w:numId w:val="3"/>
        </w:numPr>
        <w:suppressAutoHyphens w:val="false"/>
        <w:spacing w:lineRule="auto" w:line="360" w:before="142" w:after="142"/>
        <w:ind w:firstLine="709" w:start="0" w:end="0"/>
        <w:contextualSpacing w:val="false"/>
        <w:jc w:val="both"/>
        <w:rPr/>
      </w:pPr>
      <w:r>
        <w:rPr>
          <w:rFonts w:eastAsia="Arial" w:cs="Arial" w:ascii="Arial" w:hAnsi="Arial"/>
          <w:sz w:val="21"/>
          <w:szCs w:val="21"/>
        </w:rPr>
        <w:t>Definição da metodologia executiva a ser adotada pela contratada, observando as normas técnicas vigentes, as boas práticas de engenharia, as recomendações dos fabricantes dos materiais e equipamentos empregados e as exigências constantes dos projetos executivos;</w:t>
      </w:r>
    </w:p>
    <w:p>
      <w:pPr>
        <w:pStyle w:val="ListParagraph"/>
        <w:numPr>
          <w:ilvl w:val="0"/>
          <w:numId w:val="3"/>
        </w:numPr>
        <w:suppressAutoHyphens w:val="false"/>
        <w:spacing w:lineRule="auto" w:line="360" w:before="142" w:after="142"/>
        <w:ind w:firstLine="709" w:start="0" w:end="0"/>
        <w:contextualSpacing w:val="false"/>
        <w:jc w:val="both"/>
        <w:rPr/>
      </w:pPr>
      <w:r>
        <w:rPr>
          <w:rFonts w:eastAsia="Arial" w:cs="Arial" w:ascii="Arial" w:hAnsi="Arial"/>
          <w:sz w:val="21"/>
          <w:szCs w:val="21"/>
        </w:rPr>
        <w:t>Definição do orçamento da obra e do prazo de execução, com detalhamento das etapas e respectivos marcos de acompanhamento, conforme estabelecido no cronograma físico-financeiro integrante do processo licitatório;</w:t>
      </w:r>
    </w:p>
    <w:p>
      <w:pPr>
        <w:pStyle w:val="ListParagraph"/>
        <w:numPr>
          <w:ilvl w:val="0"/>
          <w:numId w:val="3"/>
        </w:numPr>
        <w:suppressAutoHyphens w:val="false"/>
        <w:spacing w:lineRule="auto" w:line="360" w:before="142" w:after="142"/>
        <w:ind w:firstLine="709" w:start="0" w:end="0"/>
        <w:contextualSpacing w:val="false"/>
        <w:jc w:val="both"/>
        <w:rPr/>
      </w:pPr>
      <w:r>
        <w:rPr>
          <w:rFonts w:eastAsia="Arial" w:cs="Arial" w:ascii="Arial" w:hAnsi="Arial"/>
          <w:sz w:val="21"/>
          <w:szCs w:val="21"/>
        </w:rPr>
        <w:t>Contratação de empresa especializada na construção civil, com capacidade técnica e operacional para execução de obras de engenharia compatíveis com o objeto da contratação;</w:t>
      </w:r>
    </w:p>
    <w:p>
      <w:pPr>
        <w:pStyle w:val="ListParagraph"/>
        <w:numPr>
          <w:ilvl w:val="0"/>
          <w:numId w:val="3"/>
        </w:numPr>
        <w:suppressAutoHyphens w:val="false"/>
        <w:spacing w:lineRule="auto" w:line="360" w:before="142" w:after="142"/>
        <w:ind w:firstLine="709" w:start="0" w:end="0"/>
        <w:contextualSpacing w:val="false"/>
        <w:jc w:val="both"/>
        <w:rPr/>
      </w:pPr>
      <w:r>
        <w:rPr>
          <w:rFonts w:eastAsia="Arial" w:cs="Arial" w:ascii="Arial" w:hAnsi="Arial"/>
          <w:sz w:val="21"/>
          <w:szCs w:val="21"/>
        </w:rPr>
        <w:t>Definição de cláusulas e condições contratuais que possibilitem à contratada realizar o adequado planejamento executivo da obra, considerando a logística de fornecimento de materiais, mobilização de equipamentos, disponibilidade de mão de obra e demais condições de mercado, visando assegurar a eficiência da execução e a obtenção da proposta mais vantajosa para a Administração Pública;</w:t>
      </w:r>
    </w:p>
    <w:p>
      <w:pPr>
        <w:pStyle w:val="ListParagraph"/>
        <w:numPr>
          <w:ilvl w:val="0"/>
          <w:numId w:val="3"/>
        </w:numPr>
        <w:suppressAutoHyphens w:val="false"/>
        <w:spacing w:lineRule="auto" w:line="360" w:before="142" w:after="142"/>
        <w:ind w:firstLine="709" w:start="0" w:end="0"/>
        <w:contextualSpacing w:val="false"/>
        <w:jc w:val="both"/>
        <w:rPr/>
      </w:pPr>
      <w:r>
        <w:rPr>
          <w:rFonts w:eastAsia="Arial" w:cs="Arial" w:ascii="Arial" w:hAnsi="Arial"/>
          <w:sz w:val="21"/>
          <w:szCs w:val="21"/>
        </w:rPr>
        <w:t>Com vistas à adequada gestão contratual, ao efetivo acompanhamento da execução da obra e à transparência na aplicação dos recursos públicos, optou-se pela formalização da contratação por meio de contrato individualizado, permitindo maior controle administrativo, financeiro e operacional, bem como a correta vinculação dos serviços executados ao objeto contratado.</w:t>
      </w:r>
    </w:p>
    <w:p>
      <w:pPr>
        <w:pStyle w:val="Normal"/>
        <w:tabs>
          <w:tab w:val="clear" w:pos="709"/>
          <w:tab w:val="left" w:pos="2340" w:leader="none"/>
          <w:tab w:val="left" w:pos="4464" w:leader="none"/>
        </w:tabs>
        <w:spacing w:lineRule="auto" w:line="360" w:before="142" w:after="142"/>
        <w:ind w:hanging="0"/>
        <w:jc w:val="both"/>
        <w:rPr/>
      </w:pPr>
      <w:r>
        <w:rPr>
          <w:rFonts w:eastAsia="Arial" w:cs="Arial" w:ascii="Arial" w:hAnsi="Arial"/>
          <w:b/>
          <w:sz w:val="21"/>
          <w:szCs w:val="21"/>
        </w:rPr>
        <w:t>REQUISITOS EXTERNOS</w:t>
      </w:r>
    </w:p>
    <w:p>
      <w:pPr>
        <w:pStyle w:val="ListParagraph"/>
        <w:numPr>
          <w:ilvl w:val="0"/>
          <w:numId w:val="4"/>
        </w:numPr>
        <w:tabs>
          <w:tab w:val="clear" w:pos="709"/>
          <w:tab w:val="left" w:pos="2340" w:leader="none"/>
          <w:tab w:val="left" w:pos="4464" w:leader="none"/>
        </w:tabs>
        <w:suppressAutoHyphens w:val="false"/>
        <w:spacing w:lineRule="auto" w:line="360" w:before="142" w:after="142"/>
        <w:ind w:firstLine="709" w:start="0" w:end="0"/>
        <w:contextualSpacing w:val="false"/>
        <w:jc w:val="both"/>
        <w:rPr/>
      </w:pPr>
      <w:r>
        <w:rPr>
          <w:rFonts w:eastAsia="Arial" w:cs="Arial" w:ascii="Arial" w:hAnsi="Arial"/>
          <w:sz w:val="21"/>
          <w:szCs w:val="21"/>
        </w:rPr>
        <w:t>Lei n° 14.133, de 01 de abril de 2021, que institui normas para licitações e contratos da Administração Pública;</w:t>
      </w:r>
    </w:p>
    <w:p>
      <w:pPr>
        <w:pStyle w:val="ListParagraph"/>
        <w:numPr>
          <w:ilvl w:val="0"/>
          <w:numId w:val="4"/>
        </w:numPr>
        <w:tabs>
          <w:tab w:val="clear" w:pos="709"/>
          <w:tab w:val="left" w:pos="2340" w:leader="none"/>
          <w:tab w:val="left" w:pos="4464" w:leader="none"/>
        </w:tabs>
        <w:suppressAutoHyphens w:val="false"/>
        <w:spacing w:lineRule="auto" w:line="360" w:before="142" w:after="142"/>
        <w:ind w:firstLine="709" w:start="0" w:end="0"/>
        <w:contextualSpacing w:val="false"/>
        <w:jc w:val="both"/>
        <w:rPr/>
      </w:pPr>
      <w:r>
        <w:rPr>
          <w:rFonts w:eastAsia="Arial" w:cs="Arial" w:ascii="Arial" w:hAnsi="Arial"/>
          <w:sz w:val="21"/>
          <w:szCs w:val="21"/>
        </w:rPr>
        <w:t>Lei nº 5.194, DE 24 de dezembro 1966, que regula o exercício das profissões de Engenharia e dá outras providências;</w:t>
      </w:r>
    </w:p>
    <w:p>
      <w:pPr>
        <w:pStyle w:val="ListParagraph"/>
        <w:numPr>
          <w:ilvl w:val="0"/>
          <w:numId w:val="4"/>
        </w:numPr>
        <w:tabs>
          <w:tab w:val="clear" w:pos="709"/>
          <w:tab w:val="left" w:pos="2340" w:leader="none"/>
          <w:tab w:val="left" w:pos="4464" w:leader="none"/>
        </w:tabs>
        <w:suppressAutoHyphens w:val="false"/>
        <w:spacing w:lineRule="auto" w:line="360" w:before="142" w:after="142"/>
        <w:ind w:firstLine="709" w:start="0" w:end="0"/>
        <w:contextualSpacing w:val="false"/>
        <w:jc w:val="both"/>
        <w:rPr/>
      </w:pPr>
      <w:r>
        <w:rPr>
          <w:rFonts w:eastAsia="Arial" w:cs="Arial" w:ascii="Arial" w:hAnsi="Arial"/>
          <w:sz w:val="21"/>
          <w:szCs w:val="21"/>
        </w:rPr>
        <w:t>Lei nº 12.378/2010 regula o exercício da Arquitetura e cria o Conselho de Arquitetura e Urbanismo do Brasil (CAU/BR) e das Unidades da Federação (CAU/UF);</w:t>
      </w:r>
    </w:p>
    <w:p>
      <w:pPr>
        <w:pStyle w:val="ListParagraph"/>
        <w:numPr>
          <w:ilvl w:val="0"/>
          <w:numId w:val="4"/>
        </w:numPr>
        <w:tabs>
          <w:tab w:val="clear" w:pos="709"/>
          <w:tab w:val="left" w:pos="2340" w:leader="none"/>
          <w:tab w:val="left" w:pos="4464" w:leader="none"/>
        </w:tabs>
        <w:suppressAutoHyphens w:val="false"/>
        <w:spacing w:lineRule="auto" w:line="360" w:before="142" w:after="142"/>
        <w:ind w:firstLine="709" w:start="0" w:end="0"/>
        <w:contextualSpacing w:val="false"/>
        <w:jc w:val="both"/>
        <w:rPr/>
      </w:pPr>
      <w:r>
        <w:rPr>
          <w:rFonts w:eastAsia="Arial" w:cs="Arial" w:ascii="Arial" w:hAnsi="Arial"/>
          <w:sz w:val="21"/>
          <w:szCs w:val="21"/>
        </w:rPr>
        <w:t>Lei n° 6.496, DE 07 de dezembro de 1977, que institui a “Anotação de Responsabilidade Técnica” na prestação de serviços de Engenharia, autoriza a criação, pelo Conselho Federal de Engenharia, Arquitetura e Agronomia – CONFEA, de uma mútua de assistência profissional, e dá outras providências;</w:t>
      </w:r>
    </w:p>
    <w:p>
      <w:pPr>
        <w:pStyle w:val="ListParagraph"/>
        <w:numPr>
          <w:ilvl w:val="0"/>
          <w:numId w:val="4"/>
        </w:numPr>
        <w:tabs>
          <w:tab w:val="clear" w:pos="709"/>
          <w:tab w:val="left" w:pos="2340" w:leader="none"/>
          <w:tab w:val="left" w:pos="4464" w:leader="none"/>
        </w:tabs>
        <w:suppressAutoHyphens w:val="false"/>
        <w:spacing w:lineRule="auto" w:line="360" w:before="142" w:after="142"/>
        <w:ind w:firstLine="709" w:start="0" w:end="0"/>
        <w:contextualSpacing w:val="false"/>
        <w:jc w:val="both"/>
        <w:rPr/>
      </w:pPr>
      <w:r>
        <w:rPr>
          <w:rFonts w:eastAsia="Arial" w:cs="Arial" w:ascii="Arial" w:hAnsi="Arial"/>
          <w:sz w:val="21"/>
          <w:szCs w:val="21"/>
        </w:rPr>
        <w:t>NBR 9050/2015 – ABNT, Lei 10.098/2000, Decreto 5.296/2004 e Decreto 6.949/2009 (acessibilidade).</w:t>
      </w:r>
    </w:p>
    <w:p>
      <w:pPr>
        <w:pStyle w:val="ListParagraph"/>
        <w:numPr>
          <w:ilvl w:val="0"/>
          <w:numId w:val="4"/>
        </w:numPr>
        <w:tabs>
          <w:tab w:val="clear" w:pos="709"/>
          <w:tab w:val="left" w:pos="2340" w:leader="none"/>
          <w:tab w:val="left" w:pos="4464" w:leader="none"/>
        </w:tabs>
        <w:suppressAutoHyphens w:val="false"/>
        <w:spacing w:lineRule="auto" w:line="360" w:before="142" w:after="142"/>
        <w:ind w:firstLine="709" w:start="0" w:end="0"/>
        <w:contextualSpacing w:val="false"/>
        <w:jc w:val="both"/>
        <w:rPr/>
      </w:pPr>
      <w:r>
        <w:rPr>
          <w:rFonts w:eastAsia="Arial" w:cs="Arial" w:ascii="Arial" w:hAnsi="Arial"/>
          <w:sz w:val="21"/>
          <w:szCs w:val="21"/>
        </w:rPr>
        <w:t>Certidão de registro/quitação da contratada junto ao CAU/CREA, da qual deverá constar os nomes dos profissionais que poderão atuar como responsáveis técnicos pelos serviços a serem executados, conforme disciplina a Resolução 425/98 do CONFEA, artigo 4º, parágrafo único e Resolução 51 do CAU;</w:t>
      </w:r>
    </w:p>
    <w:p>
      <w:pPr>
        <w:pStyle w:val="ListParagraph"/>
        <w:numPr>
          <w:ilvl w:val="0"/>
          <w:numId w:val="4"/>
        </w:numPr>
        <w:tabs>
          <w:tab w:val="clear" w:pos="709"/>
          <w:tab w:val="left" w:pos="2340" w:leader="none"/>
          <w:tab w:val="left" w:pos="4464" w:leader="none"/>
        </w:tabs>
        <w:suppressAutoHyphens w:val="false"/>
        <w:spacing w:lineRule="auto" w:line="360" w:before="142" w:after="142"/>
        <w:ind w:firstLine="709" w:start="0" w:end="0"/>
        <w:contextualSpacing w:val="false"/>
        <w:jc w:val="both"/>
        <w:rPr/>
      </w:pPr>
      <w:r>
        <w:rPr>
          <w:rFonts w:eastAsia="Arial" w:cs="Arial" w:ascii="Arial" w:hAnsi="Arial"/>
          <w:sz w:val="21"/>
          <w:szCs w:val="21"/>
        </w:rPr>
        <w:t>Comprovação de aptidão técnica, consistente na apresentação de uma ou mais certidões de acervo técnico expedidas pelo CAU/CREA, em nome dos profissionais que exercerão a função de responsáveis técnicos, comprovando a execução de pelo menos uma obra ou serviço com características semelhantes ao objeto a ser contratado;</w:t>
      </w:r>
    </w:p>
    <w:p>
      <w:pPr>
        <w:pStyle w:val="ListParagraph"/>
        <w:numPr>
          <w:ilvl w:val="0"/>
          <w:numId w:val="4"/>
        </w:numPr>
        <w:tabs>
          <w:tab w:val="clear" w:pos="709"/>
          <w:tab w:val="left" w:pos="2340" w:leader="none"/>
          <w:tab w:val="left" w:pos="4464" w:leader="none"/>
        </w:tabs>
        <w:suppressAutoHyphens w:val="false"/>
        <w:spacing w:lineRule="auto" w:line="360" w:before="142" w:after="142"/>
        <w:ind w:firstLine="709" w:start="0" w:end="0"/>
        <w:contextualSpacing w:val="false"/>
        <w:jc w:val="both"/>
        <w:rPr/>
      </w:pPr>
      <w:r>
        <w:rPr>
          <w:rFonts w:eastAsia="Arial" w:cs="Arial" w:ascii="Arial" w:hAnsi="Arial"/>
          <w:sz w:val="21"/>
          <w:szCs w:val="21"/>
        </w:rPr>
        <w:t>Apresentação, por parte da contratada, de pelo menos 01 (um) Atestado de Capacidade Técnico-operacional, comprovando a realização de obras ou serviços com características semelhantes ou superiores ao objeto a ser contratado, por parte da empresa;</w:t>
      </w:r>
    </w:p>
    <w:p>
      <w:pPr>
        <w:pStyle w:val="Normal"/>
        <w:tabs>
          <w:tab w:val="clear" w:pos="709"/>
          <w:tab w:val="left" w:pos="2340" w:leader="none"/>
          <w:tab w:val="left" w:pos="4464" w:leader="none"/>
        </w:tabs>
        <w:spacing w:lineRule="auto" w:line="360" w:before="142" w:after="142"/>
        <w:ind w:firstLine="709"/>
        <w:jc w:val="both"/>
        <w:rPr/>
      </w:pPr>
      <w:r>
        <w:rPr>
          <w:rFonts w:eastAsia="Times New Roman" w:cs="Times New Roman" w:ascii="Arial" w:hAnsi="Arial"/>
          <w:sz w:val="21"/>
          <w:szCs w:val="21"/>
          <w:lang w:val="zh-CN" w:eastAsia="zh-CN"/>
        </w:rPr>
        <w:t>Conforme disposto no Estudo Técnico Preliminar, poderão participar desta licitação todas e quaisquer empresas ou sociedades, regularmente estabelecidas no País – inclusive consórcios de empresas, desde que atendidas as disposições do art. 15 da Lei Federal n. 14.133/2021 , que sejam especializadas e credenciadas no objeto desta licitação e que satisfaçam todas as exigências, especificações e normas previstas nos documentos deste processo licitatório – em especial neste Termo de Referência e no Edital e nos seus anexos – e nos regramentos e normativas existentes no Brasil sobre a área de fornecimento.</w:t>
      </w:r>
    </w:p>
    <w:p>
      <w:pPr>
        <w:pStyle w:val="Normal"/>
        <w:tabs>
          <w:tab w:val="clear" w:pos="709"/>
          <w:tab w:val="left" w:pos="2340" w:leader="none"/>
          <w:tab w:val="left" w:pos="4464" w:leader="none"/>
        </w:tabs>
        <w:spacing w:lineRule="auto" w:line="360" w:before="142" w:after="142"/>
        <w:ind w:firstLine="709"/>
        <w:jc w:val="both"/>
        <w:rPr/>
      </w:pPr>
      <w:r>
        <w:rPr>
          <w:rFonts w:eastAsia="Times New Roman" w:cs="Times New Roman" w:ascii="Arial" w:hAnsi="Arial"/>
          <w:sz w:val="21"/>
          <w:szCs w:val="21"/>
          <w:lang w:val="zh-CN" w:eastAsia="zh-CN"/>
        </w:rPr>
        <w:t>A contratação pressupõe o pleno conhecimento e atendimento às exigências de habilitação e execução do contrato a ser formulado e os requisitos para a contratação constam também do próprio descritivo dos itens a serem licitados e nos descritivos dos itens presentes nos autos deste processo licitatório.</w:t>
      </w:r>
    </w:p>
    <w:p>
      <w:pPr>
        <w:pStyle w:val="Normal"/>
        <w:tabs>
          <w:tab w:val="clear" w:pos="709"/>
          <w:tab w:val="left" w:pos="2340" w:leader="none"/>
          <w:tab w:val="left" w:pos="4464" w:leader="none"/>
        </w:tabs>
        <w:spacing w:lineRule="auto" w:line="360" w:before="142" w:after="142"/>
        <w:ind w:firstLine="709"/>
        <w:jc w:val="both"/>
        <w:rPr/>
      </w:pPr>
      <w:r>
        <w:rPr>
          <w:rFonts w:eastAsia="Times New Roman" w:cs="Times New Roman" w:ascii="Arial" w:hAnsi="Arial"/>
          <w:sz w:val="21"/>
          <w:szCs w:val="21"/>
          <w:lang w:val="zh-CN" w:eastAsia="zh-CN"/>
        </w:rPr>
        <w:t>É necessário manter as condições de habilitação exigidas na licitação e comprovar a regularidade fiscal e trabalhista junto ao Órgão Gerenciador.</w:t>
      </w:r>
    </w:p>
    <w:p>
      <w:pPr>
        <w:pStyle w:val="Normal"/>
        <w:spacing w:lineRule="auto" w:line="360" w:before="142" w:after="142"/>
        <w:jc w:val="both"/>
        <w:rPr/>
      </w:pPr>
      <w:r>
        <w:rPr>
          <w:rFonts w:eastAsia="Times New Roman" w:cs="Times New Roman" w:ascii="Arial" w:hAnsi="Arial"/>
          <w:sz w:val="21"/>
          <w:szCs w:val="21"/>
          <w:lang w:val="zh-CN" w:eastAsia="zh-CN"/>
        </w:rPr>
        <w:tab/>
        <w:t xml:space="preserve">A comprovação da </w:t>
      </w:r>
      <w:r>
        <w:rPr>
          <w:rFonts w:eastAsia="Times New Roman" w:cs="Times New Roman" w:ascii="Arial" w:hAnsi="Arial"/>
          <w:b/>
          <w:bCs/>
          <w:sz w:val="21"/>
          <w:szCs w:val="21"/>
          <w:lang w:val="zh-CN" w:eastAsia="zh-CN"/>
        </w:rPr>
        <w:t>boa situação econômico-financeira</w:t>
      </w:r>
      <w:r>
        <w:rPr>
          <w:rFonts w:eastAsia="Times New Roman" w:cs="Times New Roman" w:ascii="Arial" w:hAnsi="Arial"/>
          <w:sz w:val="21"/>
          <w:szCs w:val="21"/>
          <w:lang w:val="zh-CN" w:eastAsia="zh-CN"/>
        </w:rPr>
        <w:t>, será realizada mediante o cálculo dos índices de Liquidez Corrente (LC), Liquidez Geral (LG) e Solvência Geral (SG), a partir do balanço patrimonial e demonstrações contábeis apresentados pela licitante, devendo os referidos cálculos ser apresentados de forma expressa e assinados por contador legalmente habilitado.</w:t>
      </w:r>
    </w:p>
    <w:p>
      <w:pPr>
        <w:pStyle w:val="BodyText"/>
        <w:spacing w:lineRule="auto" w:line="360" w:before="142" w:after="142"/>
        <w:ind w:firstLine="700"/>
        <w:jc w:val="both"/>
        <w:rPr/>
      </w:pPr>
      <w:r>
        <w:rPr>
          <w:b/>
          <w:bCs/>
          <w:sz w:val="21"/>
          <w:szCs w:val="21"/>
        </w:rPr>
        <w:t>Serão consideradas inabilitadas</w:t>
      </w:r>
      <w:r>
        <w:rPr>
          <w:sz w:val="21"/>
          <w:szCs w:val="21"/>
        </w:rPr>
        <w:t xml:space="preserve"> as licitantes que apresentarem </w:t>
      </w:r>
      <w:r>
        <w:rPr>
          <w:b/>
          <w:bCs/>
          <w:sz w:val="21"/>
          <w:szCs w:val="21"/>
        </w:rPr>
        <w:t>resultado igual ou menor a 1,00 (um)</w:t>
      </w:r>
      <w:r>
        <w:rPr>
          <w:sz w:val="21"/>
          <w:szCs w:val="21"/>
        </w:rPr>
        <w:t xml:space="preserve"> em </w:t>
      </w:r>
      <w:r>
        <w:rPr>
          <w:b/>
          <w:bCs/>
          <w:sz w:val="21"/>
          <w:szCs w:val="21"/>
        </w:rPr>
        <w:t>qualquer</w:t>
      </w:r>
      <w:r>
        <w:rPr>
          <w:sz w:val="21"/>
          <w:szCs w:val="21"/>
        </w:rPr>
        <w:t xml:space="preserve"> dos índices mencionados.</w:t>
      </w:r>
    </w:p>
    <w:p>
      <w:pPr>
        <w:pStyle w:val="Normal"/>
        <w:tabs>
          <w:tab w:val="clear" w:pos="709"/>
          <w:tab w:val="left" w:pos="2259" w:leader="none"/>
          <w:tab w:val="left" w:pos="2340" w:leader="none"/>
        </w:tabs>
        <w:spacing w:lineRule="auto" w:line="360" w:before="0" w:after="0"/>
        <w:ind w:firstLine="700"/>
        <w:jc w:val="center"/>
        <w:rPr>
          <w:rFonts w:ascii="Arial" w:hAnsi="Arial" w:eastAsia="Times New Roman" w:cs="Times New Roman"/>
          <w:sz w:val="21"/>
          <w:szCs w:val="21"/>
          <w:lang w:val="zh-CN" w:eastAsia="zh-CN"/>
        </w:rPr>
      </w:pPr>
      <w:r>
        <w:rPr>
          <w:rFonts w:eastAsia="Times New Roman" w:cs="Times New Roman" w:ascii="Arial" w:hAnsi="Arial"/>
          <w:sz w:val="21"/>
          <w:szCs w:val="21"/>
          <w:lang w:val="zh-CN" w:eastAsia="zh-CN"/>
        </w:rPr>
        <w:t>Ativo Circulante</w:t>
      </w:r>
    </w:p>
    <w:p>
      <w:pPr>
        <w:pStyle w:val="Normal"/>
        <w:tabs>
          <w:tab w:val="clear" w:pos="709"/>
          <w:tab w:val="left" w:pos="2259" w:leader="none"/>
          <w:tab w:val="left" w:pos="2340" w:leader="none"/>
        </w:tabs>
        <w:spacing w:lineRule="auto" w:line="360" w:before="0" w:after="0"/>
        <w:ind w:firstLine="700"/>
        <w:jc w:val="center"/>
        <w:rPr>
          <w:rFonts w:ascii="Arial" w:hAnsi="Arial" w:eastAsia="Times New Roman" w:cs="Times New Roman"/>
          <w:sz w:val="21"/>
          <w:szCs w:val="21"/>
          <w:lang w:val="zh-CN" w:eastAsia="zh-CN"/>
        </w:rPr>
      </w:pPr>
      <w:r>
        <w:rPr>
          <w:rFonts w:eastAsia="Times New Roman" w:cs="Times New Roman" w:ascii="Arial" w:hAnsi="Arial"/>
          <w:sz w:val="21"/>
          <w:szCs w:val="21"/>
          <w:lang w:val="zh-CN" w:eastAsia="zh-CN"/>
        </w:rPr>
        <w:t>LC =    _________________</w:t>
      </w:r>
    </w:p>
    <w:p>
      <w:pPr>
        <w:pStyle w:val="Normal"/>
        <w:tabs>
          <w:tab w:val="clear" w:pos="709"/>
          <w:tab w:val="left" w:pos="2340" w:leader="none"/>
          <w:tab w:val="left" w:pos="4464" w:leader="none"/>
        </w:tabs>
        <w:spacing w:lineRule="auto" w:line="360" w:before="0" w:after="240"/>
        <w:ind w:hanging="20" w:start="1300"/>
        <w:jc w:val="center"/>
        <w:rPr>
          <w:rFonts w:ascii="Arial" w:hAnsi="Arial" w:eastAsia="Times New Roman" w:cs="Times New Roman"/>
          <w:sz w:val="21"/>
          <w:szCs w:val="21"/>
          <w:lang w:val="zh-CN" w:eastAsia="zh-CN"/>
        </w:rPr>
      </w:pPr>
      <w:r>
        <w:rPr>
          <w:rFonts w:eastAsia="Times New Roman" w:cs="Times New Roman" w:ascii="Arial" w:hAnsi="Arial"/>
          <w:sz w:val="21"/>
          <w:szCs w:val="21"/>
          <w:lang w:val="zh-CN" w:eastAsia="zh-CN"/>
        </w:rPr>
        <w:t>Passivo Circulante</w:t>
      </w:r>
    </w:p>
    <w:p>
      <w:pPr>
        <w:pStyle w:val="Normal"/>
        <w:tabs>
          <w:tab w:val="clear" w:pos="709"/>
          <w:tab w:val="left" w:pos="2340" w:leader="none"/>
          <w:tab w:val="left" w:pos="4464" w:leader="none"/>
        </w:tabs>
        <w:spacing w:lineRule="auto" w:line="360" w:before="0" w:after="0"/>
        <w:ind w:firstLine="700"/>
        <w:jc w:val="center"/>
        <w:rPr>
          <w:rFonts w:ascii="Arial" w:hAnsi="Arial" w:eastAsia="Times New Roman" w:cs="Times New Roman"/>
          <w:sz w:val="21"/>
          <w:szCs w:val="21"/>
          <w:lang w:val="zh-CN" w:eastAsia="zh-CN"/>
        </w:rPr>
      </w:pPr>
      <w:r>
        <w:rPr>
          <w:rFonts w:eastAsia="Times New Roman" w:cs="Times New Roman" w:ascii="Arial" w:hAnsi="Arial"/>
          <w:sz w:val="21"/>
          <w:szCs w:val="21"/>
          <w:lang w:val="zh-CN" w:eastAsia="zh-CN"/>
        </w:rPr>
        <w:t>Ativo Circulante + Realizável a Longo Prazo</w:t>
      </w:r>
    </w:p>
    <w:p>
      <w:pPr>
        <w:pStyle w:val="Normal"/>
        <w:tabs>
          <w:tab w:val="clear" w:pos="709"/>
          <w:tab w:val="left" w:pos="2340" w:leader="none"/>
          <w:tab w:val="left" w:pos="4464" w:leader="none"/>
        </w:tabs>
        <w:spacing w:lineRule="auto" w:line="360" w:before="0" w:after="0"/>
        <w:jc w:val="center"/>
        <w:rPr>
          <w:rFonts w:ascii="Arial" w:hAnsi="Arial" w:eastAsia="Times New Roman" w:cs="Times New Roman"/>
          <w:sz w:val="21"/>
          <w:szCs w:val="21"/>
          <w:lang w:val="zh-CN" w:eastAsia="zh-CN"/>
        </w:rPr>
      </w:pPr>
      <w:r>
        <w:rPr>
          <w:rFonts w:eastAsia="Times New Roman" w:cs="Times New Roman" w:ascii="Arial" w:hAnsi="Arial"/>
          <w:sz w:val="21"/>
          <w:szCs w:val="21"/>
          <w:lang w:val="zh-CN" w:eastAsia="zh-CN"/>
        </w:rPr>
        <w:t>LG =     ____________________________________</w:t>
      </w:r>
    </w:p>
    <w:p>
      <w:pPr>
        <w:pStyle w:val="Normal"/>
        <w:tabs>
          <w:tab w:val="clear" w:pos="709"/>
          <w:tab w:val="left" w:pos="2340" w:leader="none"/>
          <w:tab w:val="left" w:pos="4464" w:leader="none"/>
        </w:tabs>
        <w:spacing w:lineRule="auto" w:line="360" w:before="0" w:after="240"/>
        <w:ind w:firstLine="700"/>
        <w:jc w:val="center"/>
        <w:rPr>
          <w:rFonts w:ascii="Arial" w:hAnsi="Arial" w:eastAsia="Times New Roman" w:cs="Times New Roman"/>
          <w:sz w:val="21"/>
          <w:szCs w:val="21"/>
          <w:lang w:val="zh-CN" w:eastAsia="zh-CN"/>
        </w:rPr>
      </w:pPr>
      <w:r>
        <w:rPr>
          <w:rFonts w:eastAsia="Times New Roman" w:cs="Times New Roman" w:ascii="Arial" w:hAnsi="Arial"/>
          <w:sz w:val="21"/>
          <w:szCs w:val="21"/>
          <w:lang w:val="zh-CN" w:eastAsia="zh-CN"/>
        </w:rPr>
        <w:t xml:space="preserve">Passivo Circulante + Exigível a Longo Prazo </w:t>
      </w:r>
    </w:p>
    <w:p>
      <w:pPr>
        <w:pStyle w:val="Normal"/>
        <w:tabs>
          <w:tab w:val="clear" w:pos="709"/>
          <w:tab w:val="left" w:pos="2340" w:leader="none"/>
          <w:tab w:val="left" w:pos="4464" w:leader="none"/>
        </w:tabs>
        <w:spacing w:lineRule="auto" w:line="360" w:before="0" w:after="0"/>
        <w:jc w:val="center"/>
        <w:rPr>
          <w:rFonts w:ascii="Arial" w:hAnsi="Arial" w:eastAsia="Times New Roman" w:cs="Times New Roman"/>
          <w:sz w:val="21"/>
          <w:szCs w:val="21"/>
          <w:lang w:val="zh-CN" w:eastAsia="zh-CN"/>
        </w:rPr>
      </w:pPr>
      <w:r>
        <w:rPr>
          <w:rFonts w:eastAsia="Times New Roman" w:cs="Times New Roman" w:ascii="Arial" w:hAnsi="Arial"/>
          <w:sz w:val="21"/>
          <w:szCs w:val="21"/>
          <w:lang w:val="zh-CN" w:eastAsia="zh-CN"/>
        </w:rPr>
        <w:t>Ativo Total</w:t>
      </w:r>
    </w:p>
    <w:p>
      <w:pPr>
        <w:pStyle w:val="Normal"/>
        <w:tabs>
          <w:tab w:val="clear" w:pos="709"/>
          <w:tab w:val="left" w:pos="2340" w:leader="none"/>
          <w:tab w:val="left" w:pos="4464" w:leader="none"/>
        </w:tabs>
        <w:spacing w:lineRule="auto" w:line="360" w:before="0" w:after="0"/>
        <w:jc w:val="center"/>
        <w:rPr/>
      </w:pPr>
      <w:r>
        <w:rPr>
          <w:rFonts w:eastAsia="Times New Roman" w:cs="Times New Roman" w:ascii="Arial" w:hAnsi="Arial"/>
          <w:sz w:val="21"/>
          <w:szCs w:val="21"/>
          <w:lang w:val="zh-CN" w:eastAsia="zh-CN"/>
        </w:rPr>
        <w:t>SG= _____________________________________</w:t>
      </w:r>
    </w:p>
    <w:p>
      <w:pPr>
        <w:pStyle w:val="Normal"/>
        <w:tabs>
          <w:tab w:val="clear" w:pos="709"/>
          <w:tab w:val="left" w:pos="2340" w:leader="none"/>
          <w:tab w:val="left" w:pos="4464" w:leader="none"/>
        </w:tabs>
        <w:spacing w:lineRule="auto" w:line="360" w:before="240" w:after="240"/>
        <w:ind w:firstLine="700"/>
        <w:jc w:val="center"/>
        <w:rPr>
          <w:rFonts w:ascii="Arial" w:hAnsi="Arial" w:eastAsia="Times New Roman" w:cs="Times New Roman"/>
          <w:sz w:val="21"/>
          <w:szCs w:val="21"/>
          <w:lang w:val="zh-CN" w:eastAsia="zh-CN"/>
        </w:rPr>
      </w:pPr>
      <w:r>
        <w:rPr>
          <w:rFonts w:eastAsia="Times New Roman" w:cs="Times New Roman" w:ascii="Arial" w:hAnsi="Arial"/>
          <w:sz w:val="21"/>
          <w:szCs w:val="21"/>
          <w:lang w:val="zh-CN" w:eastAsia="zh-CN"/>
        </w:rPr>
        <w:t>Passivo Circulante + Exigível a Longo Prazo</w:t>
      </w:r>
    </w:p>
    <w:p>
      <w:pPr>
        <w:pStyle w:val="Normal"/>
        <w:tabs>
          <w:tab w:val="clear" w:pos="709"/>
          <w:tab w:val="left" w:pos="2340" w:leader="none"/>
          <w:tab w:val="left" w:pos="4464" w:leader="none"/>
        </w:tabs>
        <w:spacing w:lineRule="auto" w:line="360" w:before="142" w:after="142"/>
        <w:ind w:firstLine="709" w:start="0" w:end="0"/>
        <w:jc w:val="both"/>
        <w:rPr/>
      </w:pPr>
      <w:r>
        <w:rPr>
          <w:rFonts w:eastAsia="Times New Roman" w:cs="Times New Roman" w:ascii="Arial" w:hAnsi="Arial"/>
          <w:sz w:val="21"/>
          <w:szCs w:val="21"/>
          <w:lang w:val="zh-CN" w:eastAsia="zh-CN"/>
        </w:rPr>
        <w:t>A licitante vencedora, na forma da lei, deverá contratar e apresentar no prazo máximo de 10 (dez) dias contados da assinatura do contrato, para fins de emissão da ordem de serviço, as seguintes comprovações abaixo especificadas nas alíneas “a” a “b”:</w:t>
      </w:r>
    </w:p>
    <w:p>
      <w:pPr>
        <w:pStyle w:val="ListParagraph"/>
        <w:numPr>
          <w:ilvl w:val="0"/>
          <w:numId w:val="5"/>
        </w:numPr>
        <w:tabs>
          <w:tab w:val="clear" w:pos="709"/>
          <w:tab w:val="left" w:pos="2340" w:leader="none"/>
          <w:tab w:val="left" w:pos="4464" w:leader="none"/>
        </w:tabs>
        <w:suppressAutoHyphens w:val="false"/>
        <w:spacing w:lineRule="auto" w:line="360" w:before="142" w:after="142"/>
        <w:ind w:firstLine="709" w:start="0" w:end="0"/>
        <w:contextualSpacing w:val="false"/>
        <w:jc w:val="both"/>
        <w:rPr/>
      </w:pPr>
      <w:r>
        <w:rPr>
          <w:rFonts w:ascii="Arial" w:hAnsi="Arial"/>
          <w:sz w:val="21"/>
          <w:szCs w:val="21"/>
          <w:lang w:val="zh-CN" w:eastAsia="zh-CN" w:bidi="ar-SA"/>
        </w:rPr>
        <w:t>Comprovação de contratação de seguro contra riscos de engenharia com validade para todo o período de execução do serviço, o qual deverá cobrir eventuais prejuízos de origem súbita e imprevista por qualquer causa, inclusive as avarias causadas por erros, desentulho e despesas extraordinárias.</w:t>
      </w:r>
    </w:p>
    <w:p>
      <w:pPr>
        <w:pStyle w:val="ListParagraph"/>
        <w:numPr>
          <w:ilvl w:val="0"/>
          <w:numId w:val="5"/>
        </w:numPr>
        <w:tabs>
          <w:tab w:val="clear" w:pos="709"/>
          <w:tab w:val="left" w:pos="2340" w:leader="none"/>
          <w:tab w:val="left" w:pos="4464" w:leader="none"/>
        </w:tabs>
        <w:suppressAutoHyphens w:val="false"/>
        <w:spacing w:lineRule="auto" w:line="360" w:before="142" w:after="142"/>
        <w:ind w:firstLine="709" w:start="0" w:end="0"/>
        <w:contextualSpacing w:val="false"/>
        <w:jc w:val="both"/>
        <w:rPr/>
      </w:pPr>
      <w:r>
        <w:rPr>
          <w:rFonts w:ascii="Arial" w:hAnsi="Arial"/>
          <w:sz w:val="21"/>
          <w:szCs w:val="21"/>
          <w:lang w:val="zh-CN" w:eastAsia="zh-CN" w:bidi="ar-SA"/>
        </w:rPr>
        <w:t>Apólice de seguro de responsabilidade civil geral e responsabilidade civil cruzada, incluindo coberturas de morte e invalidez dos funcionários e danos contra terceiros, com no mínimo o triplo do valor do contrato, ou até o limite máximo da seguradora, pelo prazo de vigência do contrato, correndo à sua conta as eventuais despesas bem como indenizações não cobertas pela respectiva apólice, em caso de sinistro envolvendo seus funcionários e/ou terceiros, em decorrência da execução contratual.</w:t>
      </w:r>
    </w:p>
    <w:p>
      <w:pPr>
        <w:pStyle w:val="Normal"/>
        <w:tabs>
          <w:tab w:val="clear" w:pos="709"/>
          <w:tab w:val="left" w:pos="2340" w:leader="none"/>
          <w:tab w:val="left" w:pos="4464" w:leader="none"/>
        </w:tabs>
        <w:spacing w:lineRule="auto" w:line="360" w:before="142" w:after="142"/>
        <w:ind w:firstLine="709" w:start="0" w:end="0"/>
        <w:jc w:val="both"/>
        <w:rPr/>
      </w:pPr>
      <w:r>
        <w:rPr>
          <w:rFonts w:eastAsia="Times New Roman" w:cs="Times New Roman" w:ascii="Arial" w:hAnsi="Arial"/>
          <w:sz w:val="21"/>
          <w:szCs w:val="21"/>
          <w:lang w:val="zh-CN" w:eastAsia="zh-CN"/>
        </w:rPr>
        <w:t>A exigência de apresentação de Apólice de Seguro de Responsabilidade Civil Geral e Responsabilidade Civil Cruzada justifica-se em razão dos riscos inerentes à execução dos serviços contratados, que envolvem atividades técnicas desenvolvidas em vias públicas, áreas urbanas e rurais, bem como a atuação de profissionais e equipes em campo para levantamentos, estudos e demais procedimentos necessários à elaboração dos projetos de engenharia. A contratação do seguro visa garantir a cobertura de eventuais danos materiais, corporais ou morais causados a terceiros, à Administração Pública ou aos próprios empregados da contratada durante a execução contratual, assegurando a reparação de prejuízos decorrentes de acidentes, falhas operacionais ou outras ocorrências relacionadas aos serviços prestados. Tal exigência busca resguardar o interesse público, mitigar riscos financeiros para a Administração e garantir maior segurança jurídica na execução do contrato, observando os princípios da eficiência, da prevenção e da proteção ao patrimônio público.</w:t>
      </w:r>
    </w:p>
    <w:p>
      <w:pPr>
        <w:pStyle w:val="Normal"/>
        <w:spacing w:lineRule="auto" w:line="360" w:before="142" w:after="142"/>
        <w:ind w:hanging="0" w:start="0" w:end="0"/>
        <w:jc w:val="both"/>
        <w:rPr>
          <w:rFonts w:ascii="Arial" w:hAnsi="Arial"/>
          <w:sz w:val="21"/>
          <w:szCs w:val="21"/>
        </w:rPr>
      </w:pPr>
      <w:r>
        <w:rPr>
          <w:rFonts w:ascii="Arial" w:hAnsi="Arial"/>
          <w:b/>
          <w:bCs/>
          <w:sz w:val="21"/>
          <w:szCs w:val="21"/>
        </w:rPr>
        <w:t>RELAÇÃO ENTRE A DEMANDA PREVISTA E QUANTIDADES DE CADA ITEM</w:t>
      </w:r>
    </w:p>
    <w:p>
      <w:pPr>
        <w:pStyle w:val="Normal"/>
        <w:tabs>
          <w:tab w:val="clear" w:pos="709"/>
          <w:tab w:val="left" w:pos="2340" w:leader="none"/>
          <w:tab w:val="left" w:pos="4464" w:leader="none"/>
        </w:tabs>
        <w:spacing w:lineRule="auto" w:line="360" w:before="142" w:after="142"/>
        <w:ind w:firstLine="709" w:start="0" w:end="0"/>
        <w:jc w:val="both"/>
        <w:rPr/>
      </w:pPr>
      <w:r>
        <w:rPr>
          <w:rFonts w:eastAsia="Times New Roman" w:cs="Times New Roman" w:ascii="Arial" w:hAnsi="Arial"/>
          <w:sz w:val="21"/>
          <w:szCs w:val="21"/>
          <w:lang w:val="zh-CN" w:eastAsia="zh-CN"/>
        </w:rPr>
        <w:t>A relação entre a demanda prevista e as quantidades de cada item a ser contratado decorre da necessidade de execução integral da Rua Coberta, conforme os projetos, memoriais descritivos, planilhas orçamentárias e demais documentos técnicos elaborados para o empreendimento.</w:t>
      </w:r>
    </w:p>
    <w:p>
      <w:pPr>
        <w:pStyle w:val="Normal"/>
        <w:tabs>
          <w:tab w:val="clear" w:pos="709"/>
          <w:tab w:val="left" w:pos="2340" w:leader="none"/>
          <w:tab w:val="left" w:pos="4464" w:leader="none"/>
        </w:tabs>
        <w:spacing w:lineRule="auto" w:line="360" w:before="142" w:after="142"/>
        <w:ind w:firstLine="709" w:start="0" w:end="0"/>
        <w:jc w:val="both"/>
        <w:rPr/>
      </w:pPr>
      <w:r>
        <w:rPr>
          <w:rFonts w:eastAsia="Times New Roman" w:cs="Times New Roman" w:ascii="Arial" w:hAnsi="Arial"/>
          <w:sz w:val="21"/>
          <w:szCs w:val="21"/>
          <w:lang w:val="zh-CN" w:eastAsia="zh-CN"/>
        </w:rPr>
        <w:t>O dimensionamento dos quantitativos foi fundamentado nos projetos de engenharia desenvolvidos para a obra, contemplando todos os serviços necessários à sua completa execução, incluindo fundações, estruturas de concreto armado, estrutura metálica, cobertura, drenagem pluvial e demais elementos construtivos previstos.</w:t>
      </w:r>
    </w:p>
    <w:p>
      <w:pPr>
        <w:pStyle w:val="Normal"/>
        <w:tabs>
          <w:tab w:val="clear" w:pos="709"/>
          <w:tab w:val="left" w:pos="2340" w:leader="none"/>
          <w:tab w:val="left" w:pos="4464" w:leader="none"/>
        </w:tabs>
        <w:spacing w:lineRule="auto" w:line="360" w:before="142" w:after="142"/>
        <w:ind w:firstLine="709" w:start="0" w:end="0"/>
        <w:jc w:val="both"/>
        <w:rPr/>
      </w:pPr>
      <w:r>
        <w:rPr>
          <w:rFonts w:eastAsia="Times New Roman" w:cs="Times New Roman" w:ascii="Arial" w:hAnsi="Arial"/>
          <w:sz w:val="21"/>
          <w:szCs w:val="21"/>
          <w:lang w:val="zh-CN" w:eastAsia="zh-CN"/>
        </w:rPr>
        <w:t>As quantidades de materiais, serviços e demais insumos foram obtidas a partir dos levantamentos técnicos constantes nos projetos executivos e planilhas orçamentárias, os quais refletem as necessidades reais para implantação da Rua Coberta, garantindo compatibilidade entre o objeto contratado e a solução projetada</w:t>
      </w:r>
      <w:r>
        <w:rPr>
          <w:rFonts w:ascii="Arial" w:hAnsi="Arial"/>
          <w:sz w:val="21"/>
          <w:szCs w:val="21"/>
        </w:rPr>
        <w:t>.</w:t>
      </w:r>
    </w:p>
    <w:p>
      <w:pPr>
        <w:pStyle w:val="Normal"/>
        <w:tabs>
          <w:tab w:val="clear" w:pos="709"/>
          <w:tab w:val="left" w:pos="2340" w:leader="none"/>
          <w:tab w:val="left" w:pos="4464" w:leader="none"/>
        </w:tabs>
        <w:spacing w:lineRule="auto" w:line="360" w:before="142" w:after="142"/>
        <w:ind w:firstLine="709" w:start="0" w:end="0"/>
        <w:jc w:val="both"/>
        <w:rPr/>
      </w:pPr>
      <w:r>
        <w:rPr>
          <w:rFonts w:eastAsia="Times New Roman" w:cs="Times New Roman" w:ascii="Arial" w:hAnsi="Arial"/>
          <w:sz w:val="21"/>
          <w:szCs w:val="21"/>
          <w:lang w:val="zh-CN" w:eastAsia="zh-CN"/>
        </w:rPr>
        <w:t>Dessa forma, os quantitativos previstos representam a totalidade dos serviços necessários para a execução do empreendimento, permitindo a adequada estimativa de custos, o planejamento da obra e a correta aplicação dos recursos públicos</w:t>
      </w:r>
      <w:r>
        <w:rPr>
          <w:rFonts w:ascii="Arial" w:hAnsi="Arial"/>
          <w:sz w:val="21"/>
          <w:szCs w:val="21"/>
        </w:rPr>
        <w:t>.</w:t>
      </w:r>
    </w:p>
    <w:p>
      <w:pPr>
        <w:pStyle w:val="Normal"/>
        <w:spacing w:lineRule="auto" w:line="360" w:before="142" w:after="142"/>
        <w:ind w:hanging="0" w:start="0" w:end="0"/>
        <w:jc w:val="both"/>
        <w:rPr/>
      </w:pPr>
      <w:r>
        <w:rPr>
          <w:rFonts w:eastAsia="Arial" w:cs="Arial" w:ascii="Arial" w:hAnsi="Arial"/>
          <w:b/>
          <w:color w:val="000000"/>
          <w:sz w:val="21"/>
          <w:szCs w:val="21"/>
        </w:rPr>
        <w:t>ATENDIMENTO ÀS NORMAS TÉCNICAS</w:t>
      </w:r>
    </w:p>
    <w:p>
      <w:pPr>
        <w:pStyle w:val="Normal"/>
        <w:tabs>
          <w:tab w:val="clear" w:pos="709"/>
          <w:tab w:val="left" w:pos="2340" w:leader="none"/>
          <w:tab w:val="left" w:pos="4464" w:leader="none"/>
        </w:tabs>
        <w:spacing w:lineRule="auto" w:line="360" w:before="142" w:after="142"/>
        <w:ind w:firstLine="709" w:start="0" w:end="0"/>
        <w:jc w:val="both"/>
        <w:rPr/>
      </w:pPr>
      <w:r>
        <w:rPr>
          <w:rFonts w:eastAsia="Arial" w:cs="Arial" w:ascii="Arial" w:hAnsi="Arial"/>
          <w:sz w:val="21"/>
          <w:szCs w:val="21"/>
        </w:rPr>
        <w:t>A execução da obra deverá observar rigorosamente as normas técnicas aplicáveis, com o objetivo de assegurar elevados padrões de qualidade, segurança, desempenho, funcionalidade, durabilidade e adequada execução dos serviços previstos.</w:t>
      </w:r>
    </w:p>
    <w:p>
      <w:pPr>
        <w:pStyle w:val="Normal"/>
        <w:tabs>
          <w:tab w:val="clear" w:pos="709"/>
          <w:tab w:val="left" w:pos="2340" w:leader="none"/>
          <w:tab w:val="left" w:pos="4464" w:leader="none"/>
        </w:tabs>
        <w:spacing w:lineRule="auto" w:line="360" w:before="142" w:after="142"/>
        <w:ind w:firstLine="709" w:start="0" w:end="0"/>
        <w:jc w:val="both"/>
        <w:rPr/>
      </w:pPr>
      <w:r>
        <w:rPr>
          <w:rFonts w:eastAsia="Arial" w:cs="Arial" w:ascii="Arial" w:hAnsi="Arial"/>
          <w:sz w:val="21"/>
          <w:szCs w:val="21"/>
        </w:rPr>
        <w:t>Serão adotadas como referência as normas brasileiras vigentes, especialmente aquelas publicadas pela Associação Brasileira de Normas Técnicas (ABNT), bem como as especificações técnicas dos projetos, memoriais descritivos, normas regulamentadoras de segurança do trabalho e demais legislações pertinentes à construção civil.</w:t>
      </w:r>
    </w:p>
    <w:p>
      <w:pPr>
        <w:pStyle w:val="Normal"/>
        <w:tabs>
          <w:tab w:val="clear" w:pos="709"/>
          <w:tab w:val="left" w:pos="2340" w:leader="none"/>
          <w:tab w:val="left" w:pos="4464" w:leader="none"/>
        </w:tabs>
        <w:spacing w:lineRule="auto" w:line="360" w:before="142" w:after="142"/>
        <w:ind w:firstLine="709" w:start="0" w:end="0"/>
        <w:jc w:val="both"/>
        <w:rPr/>
      </w:pPr>
      <w:r>
        <w:rPr>
          <w:rFonts w:eastAsia="Arial" w:cs="Arial" w:ascii="Arial" w:hAnsi="Arial"/>
          <w:sz w:val="21"/>
          <w:szCs w:val="21"/>
        </w:rPr>
        <w:t>A execução dos serviços deverá ainda atender às exigências legais e regulamentares dos órgãos competentes, concessionárias de serviços públicos e demais entidades envolvidas, garantindo plena conformidade com os parâmetros técnicos, ambientais, urbanísticos, estruturais e de acessibilidade aplicáveis ao empreendimento.</w:t>
      </w:r>
    </w:p>
    <w:p>
      <w:pPr>
        <w:pStyle w:val="Normal"/>
        <w:tabs>
          <w:tab w:val="clear" w:pos="709"/>
          <w:tab w:val="left" w:pos="2340" w:leader="none"/>
          <w:tab w:val="left" w:pos="4464" w:leader="none"/>
        </w:tabs>
        <w:spacing w:lineRule="auto" w:line="360" w:before="142" w:after="142"/>
        <w:ind w:firstLine="709" w:start="0" w:end="0"/>
        <w:jc w:val="both"/>
        <w:rPr/>
      </w:pPr>
      <w:r>
        <w:rPr>
          <w:rFonts w:eastAsia="Arial" w:cs="Arial" w:ascii="Arial" w:hAnsi="Arial"/>
          <w:sz w:val="21"/>
          <w:szCs w:val="21"/>
        </w:rPr>
        <w:t>Adicionalmente, todos os serviços deverão ser executados de forma compatível e integrada, observando rigorosamente os projetos e especificações técnicas, de modo a prevenir falhas construtivas, incompatibilidades entre sistemas e situações que possam comprometer a qualidade, a segurança e o desempenho da obra.</w:t>
      </w:r>
    </w:p>
    <w:p>
      <w:pPr>
        <w:pStyle w:val="Normal"/>
        <w:spacing w:lineRule="auto" w:line="360" w:before="142" w:after="142"/>
        <w:ind w:hanging="0" w:start="0" w:end="0"/>
        <w:jc w:val="both"/>
        <w:rPr/>
      </w:pPr>
      <w:r>
        <w:rPr>
          <w:rFonts w:eastAsia="Arial" w:cs="Arial" w:ascii="Arial" w:hAnsi="Arial"/>
          <w:b/>
          <w:color w:val="000000"/>
          <w:sz w:val="21"/>
          <w:szCs w:val="21"/>
        </w:rPr>
        <w:t>ESTIMATIVA DO VALOR DA CONTRATAÇÃO</w:t>
      </w:r>
    </w:p>
    <w:p>
      <w:pPr>
        <w:pStyle w:val="ListParagraph"/>
        <w:tabs>
          <w:tab w:val="clear" w:pos="709"/>
          <w:tab w:val="left" w:pos="2340" w:leader="none"/>
          <w:tab w:val="left" w:pos="4464" w:leader="none"/>
        </w:tabs>
        <w:suppressAutoHyphens w:val="false"/>
        <w:spacing w:lineRule="auto" w:line="360" w:before="142" w:after="142"/>
        <w:ind w:firstLine="709" w:start="0" w:end="0"/>
        <w:contextualSpacing w:val="false"/>
        <w:jc w:val="both"/>
        <w:rPr/>
      </w:pPr>
      <w:r>
        <w:rPr>
          <w:rFonts w:eastAsia="Arial" w:ascii="Arial" w:hAnsi="Arial"/>
          <w:sz w:val="21"/>
          <w:szCs w:val="21"/>
        </w:rPr>
        <w:t xml:space="preserve">O valor da contratação fora estimado a partir dos quantitativos já expostos no corpo deste Termo de Referência e da pesquisa de preços realizada nos termos do art. 23, </w:t>
      </w:r>
      <w:r>
        <w:rPr>
          <w:rFonts w:eastAsia="Arial" w:ascii="Arial" w:hAnsi="Arial"/>
          <w:i/>
          <w:sz w:val="21"/>
          <w:szCs w:val="21"/>
        </w:rPr>
        <w:t>caput</w:t>
      </w:r>
      <w:r>
        <w:rPr>
          <w:rFonts w:eastAsia="Arial" w:ascii="Arial" w:hAnsi="Arial"/>
          <w:sz w:val="21"/>
          <w:szCs w:val="21"/>
        </w:rPr>
        <w:t xml:space="preserve"> e § 1º, da Lei Federal n. 14.133/2021.</w:t>
      </w:r>
    </w:p>
    <w:p>
      <w:pPr>
        <w:pStyle w:val="Normal"/>
        <w:tabs>
          <w:tab w:val="clear" w:pos="709"/>
          <w:tab w:val="left" w:pos="2340" w:leader="none"/>
          <w:tab w:val="left" w:pos="4464" w:leader="none"/>
        </w:tabs>
        <w:spacing w:lineRule="auto" w:line="360" w:before="142" w:after="142"/>
        <w:ind w:firstLine="709" w:start="0" w:end="0"/>
        <w:jc w:val="both"/>
        <w:rPr/>
      </w:pPr>
      <w:r>
        <w:rPr>
          <w:rFonts w:eastAsia="Arial" w:cs="Times New Roman" w:ascii="Arial" w:hAnsi="Arial"/>
          <w:sz w:val="21"/>
          <w:szCs w:val="21"/>
        </w:rPr>
        <w:t>Projeto executivo da Rua Coberta, com 1.433,62 m²: R$ 1.343.349,71</w:t>
      </w:r>
    </w:p>
    <w:p>
      <w:pPr>
        <w:pStyle w:val="Normal"/>
        <w:spacing w:lineRule="auto" w:line="360" w:before="142" w:after="142"/>
        <w:ind w:firstLine="709" w:start="0" w:end="0"/>
        <w:jc w:val="both"/>
        <w:rPr/>
      </w:pPr>
      <w:r>
        <w:rPr>
          <w:rFonts w:eastAsia="Arial" w:cs="Times New Roman" w:ascii="Arial" w:hAnsi="Arial"/>
          <w:b/>
          <w:color w:val="000000"/>
          <w:sz w:val="21"/>
          <w:szCs w:val="21"/>
        </w:rPr>
        <w:t xml:space="preserve">VALOR MÁXIMO ADMITIDO: </w:t>
      </w:r>
      <w:r>
        <w:rPr>
          <w:rFonts w:eastAsia="Arial" w:cs="Times New Roman" w:ascii="Arial" w:hAnsi="Arial"/>
          <w:color w:val="000000"/>
          <w:sz w:val="21"/>
          <w:szCs w:val="21"/>
        </w:rPr>
        <w:t>R</w:t>
      </w:r>
      <w:r>
        <w:rPr>
          <w:rFonts w:eastAsia="Arial" w:cs="Times New Roman" w:ascii="Arial" w:hAnsi="Arial"/>
          <w:sz w:val="21"/>
          <w:szCs w:val="21"/>
        </w:rPr>
        <w:t>$ 1.343.349,71 (Um milhão, trezentos e quarenta e três mil, trezentos e quarenta e nove reais, e setenta e um centavos).</w:t>
      </w:r>
    </w:p>
    <w:p>
      <w:pPr>
        <w:pStyle w:val="Normal"/>
        <w:spacing w:lineRule="auto" w:line="360" w:before="142" w:after="142"/>
        <w:ind w:hanging="0" w:start="0" w:end="0"/>
        <w:jc w:val="both"/>
        <w:rPr/>
      </w:pPr>
      <w:r>
        <w:rPr>
          <w:rFonts w:eastAsia="Arial" w:cs="Arial" w:ascii="Arial" w:hAnsi="Arial"/>
          <w:b/>
          <w:color w:val="000000"/>
          <w:sz w:val="21"/>
          <w:szCs w:val="21"/>
          <w:shd w:fill="auto" w:val="clear"/>
        </w:rPr>
        <w:t>ADEQUAÇÃO ORÇAMENTÁRIA</w:t>
      </w:r>
    </w:p>
    <w:p>
      <w:pPr>
        <w:pStyle w:val="Normal"/>
        <w:spacing w:lineRule="auto" w:line="360" w:before="142" w:after="142"/>
        <w:ind w:hanging="0" w:start="0" w:end="0"/>
        <w:jc w:val="both"/>
        <w:rPr/>
      </w:pPr>
      <w:r>
        <w:rPr>
          <w:rFonts w:eastAsia="Arial" w:cs="Arial" w:ascii="Arial" w:hAnsi="Arial"/>
          <w:color w:val="000000"/>
          <w:sz w:val="21"/>
          <w:szCs w:val="21"/>
          <w:shd w:fill="auto" w:val="clear"/>
        </w:rPr>
        <w:tab/>
        <w:t>A(s) despesa(s) decorrente(s) da presente contratação correrão por conta da(s) seguinte(s) dotaçõe(s) orçamentária(s) prevista(s) na Lei Orçamentária do Exercício de 2026:</w:t>
      </w:r>
    </w:p>
    <w:p>
      <w:pPr>
        <w:pStyle w:val="Normal"/>
        <w:spacing w:lineRule="auto" w:line="276" w:before="57" w:after="57"/>
        <w:ind w:hanging="0" w:start="0" w:end="0"/>
        <w:jc w:val="both"/>
        <w:rPr/>
      </w:pPr>
      <w:r>
        <w:rPr>
          <w:rFonts w:eastAsia="Arial" w:cs="Times New Roman" w:ascii="Arial" w:hAnsi="Arial"/>
          <w:b/>
          <w:bCs/>
          <w:color w:val="000000"/>
          <w:sz w:val="21"/>
          <w:szCs w:val="21"/>
          <w:shd w:fill="auto" w:val="clear"/>
          <w:lang w:val="en-US" w:eastAsia="zh-CN"/>
        </w:rPr>
        <w:t xml:space="preserve">Entidade: PREFEITURA MUNICIPAL DE LINDÓIA DO SUL </w:t>
        <w:br/>
        <w:t>06 - Secretaria Municipal de Infraestrutura e Transportes</w:t>
      </w:r>
    </w:p>
    <w:p>
      <w:pPr>
        <w:pStyle w:val="Normal"/>
        <w:spacing w:lineRule="auto" w:line="276" w:before="57" w:after="57"/>
        <w:ind w:hanging="0" w:start="0" w:end="0"/>
        <w:jc w:val="both"/>
        <w:rPr/>
      </w:pPr>
      <w:r>
        <w:rPr>
          <w:rFonts w:eastAsia="Arial" w:cs="Times New Roman" w:ascii="Arial" w:hAnsi="Arial"/>
          <w:b/>
          <w:bCs/>
          <w:color w:val="000000"/>
          <w:sz w:val="21"/>
          <w:szCs w:val="21"/>
          <w:shd w:fill="auto" w:val="clear"/>
          <w:lang w:val="en-US" w:eastAsia="zh-CN"/>
        </w:rPr>
        <w:t>001 – Secretaria Municipal de Infraestrutura e Transportes</w:t>
      </w:r>
    </w:p>
    <w:p>
      <w:pPr>
        <w:pStyle w:val="Normal"/>
        <w:spacing w:lineRule="auto" w:line="276" w:before="57" w:after="57"/>
        <w:ind w:hanging="0" w:start="0" w:end="0"/>
        <w:jc w:val="both"/>
        <w:rPr/>
      </w:pPr>
      <w:r>
        <w:rPr>
          <w:rFonts w:eastAsia="Arial" w:cs="Times New Roman" w:ascii="Arial" w:hAnsi="Arial"/>
          <w:b/>
          <w:bCs/>
          <w:color w:val="000000"/>
          <w:sz w:val="21"/>
          <w:szCs w:val="21"/>
          <w:shd w:fill="auto" w:val="clear"/>
          <w:lang w:val="en-US" w:eastAsia="zh-CN"/>
        </w:rPr>
        <w:t>1.013 - Obras de Infraestrutura Urbana</w:t>
      </w:r>
    </w:p>
    <w:p>
      <w:pPr>
        <w:pStyle w:val="Normal"/>
        <w:spacing w:lineRule="auto" w:line="276" w:before="57" w:after="57"/>
        <w:ind w:hanging="0" w:start="0" w:end="0"/>
        <w:jc w:val="both"/>
        <w:rPr/>
      </w:pPr>
      <w:r>
        <w:rPr>
          <w:rFonts w:eastAsia="Arial" w:cs="Times New Roman" w:ascii="Arial" w:hAnsi="Arial"/>
          <w:b/>
          <w:bCs/>
          <w:color w:val="000000"/>
          <w:sz w:val="21"/>
          <w:szCs w:val="21"/>
          <w:shd w:fill="auto" w:val="clear"/>
          <w:lang w:val="en-US" w:eastAsia="zh-CN"/>
        </w:rPr>
        <w:t>4.4.90.00.00.00.00.00 - Aplicações Diretas</w:t>
      </w:r>
    </w:p>
    <w:p>
      <w:pPr>
        <w:pStyle w:val="Normal"/>
        <w:spacing w:lineRule="auto" w:line="276" w:before="57" w:after="57"/>
        <w:ind w:hanging="0" w:start="0" w:end="0"/>
        <w:jc w:val="both"/>
        <w:rPr/>
      </w:pPr>
      <w:r>
        <w:rPr>
          <w:rFonts w:eastAsia="Arial" w:cs="Times New Roman" w:ascii="Arial" w:hAnsi="Arial"/>
          <w:b/>
          <w:bCs/>
          <w:color w:val="000000"/>
          <w:sz w:val="21"/>
          <w:szCs w:val="21"/>
          <w:shd w:fill="auto" w:val="clear"/>
          <w:lang w:val="en-US" w:eastAsia="zh-CN"/>
        </w:rPr>
        <w:t>1.755.0000.0089 - Alienações de Bens destinados a outros programas....R$ 1.000.000,00</w:t>
        <w:br/>
        <w:t>2.500.0000.0000 - Recursos Ordinários R$ 343.349,71</w:t>
      </w:r>
    </w:p>
    <w:p>
      <w:pPr>
        <w:pStyle w:val="Normal"/>
        <w:spacing w:lineRule="auto" w:line="360" w:before="142" w:after="142"/>
        <w:ind w:firstLine="709" w:start="0" w:end="0"/>
        <w:jc w:val="both"/>
        <w:rPr/>
      </w:pPr>
      <w:r>
        <w:rPr>
          <w:rFonts w:eastAsia="Arial" w:cs="Times New Roman" w:ascii="Arial" w:hAnsi="Arial"/>
          <w:sz w:val="21"/>
          <w:szCs w:val="21"/>
          <w:shd w:fill="auto" w:val="clear"/>
        </w:rPr>
        <w:t xml:space="preserve">Para os exercícios seguintes, as dotações vigentes no período serão apostilados no contrato, devendo a autoridade requisitante verificar a existência de créditos orçamentários. </w:t>
      </w:r>
    </w:p>
    <w:p>
      <w:pPr>
        <w:pStyle w:val="Normal"/>
        <w:spacing w:lineRule="auto" w:line="360" w:before="142" w:after="142"/>
        <w:ind w:hanging="0" w:start="0" w:end="0"/>
        <w:jc w:val="both"/>
        <w:rPr/>
      </w:pPr>
      <w:r>
        <w:rPr>
          <w:rFonts w:eastAsia="Arial" w:cs="Arial" w:ascii="Arial" w:hAnsi="Arial"/>
          <w:b/>
          <w:color w:val="000000"/>
          <w:sz w:val="21"/>
          <w:szCs w:val="21"/>
        </w:rPr>
        <w:t>FORMA E CRITÉRIOS DE SELEÇÃO DO FORNECEDOR</w:t>
      </w:r>
    </w:p>
    <w:p>
      <w:pPr>
        <w:pStyle w:val="Normal"/>
        <w:spacing w:lineRule="auto" w:line="360" w:before="142" w:after="142"/>
        <w:ind w:firstLine="709" w:start="0" w:end="0"/>
        <w:jc w:val="both"/>
        <w:rPr/>
      </w:pPr>
      <w:r>
        <w:rPr>
          <w:rFonts w:eastAsia="Arial" w:cs="Arial" w:ascii="Arial" w:hAnsi="Arial"/>
          <w:sz w:val="21"/>
          <w:szCs w:val="21"/>
        </w:rPr>
        <w:t>A licitação será realizada na modalidade de Concorrência Eletrônica, nos termos da Lei Federal nº 14.133/2021 e da regulamentação municipal vigente, adotando-se o regime de execução por empreitada por preço global, por se tratar de obra de engenharia com escopo definido em projetos, memoriais descritivos, planilhas orçamentárias e demais documentos técnicos integrantes do processo licitatório.</w:t>
      </w:r>
    </w:p>
    <w:p>
      <w:pPr>
        <w:pStyle w:val="Normal"/>
        <w:spacing w:lineRule="auto" w:line="360" w:before="142" w:after="142"/>
        <w:ind w:firstLine="709" w:start="0" w:end="0"/>
        <w:jc w:val="both"/>
        <w:rPr/>
      </w:pPr>
      <w:r>
        <w:rPr>
          <w:rFonts w:eastAsia="Arial" w:cs="Arial" w:ascii="Arial" w:hAnsi="Arial"/>
          <w:sz w:val="21"/>
          <w:szCs w:val="21"/>
        </w:rPr>
        <w:t>O julgamento das propostas ocorrerá pelo critério de MENOR PREÇO GLOBAL, em modo de disputa ABERTO.</w:t>
      </w:r>
    </w:p>
    <w:p>
      <w:pPr>
        <w:pStyle w:val="Normal"/>
        <w:spacing w:lineRule="auto" w:line="360" w:before="142" w:after="142"/>
        <w:ind w:firstLine="709" w:start="0" w:end="0"/>
        <w:jc w:val="both"/>
        <w:rPr/>
      </w:pPr>
      <w:r>
        <w:rPr>
          <w:rFonts w:eastAsia="Arial" w:cs="Arial" w:ascii="Arial" w:hAnsi="Arial"/>
          <w:sz w:val="21"/>
          <w:szCs w:val="21"/>
        </w:rPr>
        <w:t xml:space="preserve">Os licitantes deverão apresentar proposta contemplando o valor global para a execução integral da obra da Rua Coberta, </w:t>
      </w:r>
      <w:r>
        <w:rPr>
          <w:rFonts w:eastAsia="Arial" w:cs="Arial" w:ascii="Arial" w:hAnsi="Arial"/>
          <w:b/>
          <w:bCs/>
          <w:sz w:val="21"/>
          <w:szCs w:val="21"/>
        </w:rPr>
        <w:t>acompanhada obrigatoriamente da respectiva planilha orçamentária, cronograma físico-financeiro, composição de BDI e demais documentos exigidos no Edital.</w:t>
      </w:r>
    </w:p>
    <w:p>
      <w:pPr>
        <w:pStyle w:val="Normal"/>
        <w:spacing w:lineRule="auto" w:line="360" w:before="142" w:after="142"/>
        <w:ind w:firstLine="709" w:start="0" w:end="0"/>
        <w:jc w:val="both"/>
        <w:rPr/>
      </w:pPr>
      <w:r>
        <w:rPr>
          <w:rFonts w:eastAsia="Arial" w:cs="Arial" w:ascii="Arial" w:hAnsi="Arial"/>
          <w:sz w:val="21"/>
          <w:szCs w:val="21"/>
        </w:rPr>
        <w:t>Os valores unitários apresentados não poderão exceder os valores máximos estabelecidos na planilha orçamentária de referência elaborada pela Administração.</w:t>
      </w:r>
    </w:p>
    <w:p>
      <w:pPr>
        <w:pStyle w:val="Normal"/>
        <w:spacing w:lineRule="auto" w:line="360" w:before="142" w:after="142"/>
        <w:ind w:firstLine="709" w:start="0" w:end="0"/>
        <w:jc w:val="both"/>
        <w:rPr/>
      </w:pPr>
      <w:r>
        <w:rPr>
          <w:rFonts w:eastAsia="Arial" w:cs="Arial" w:ascii="Arial" w:hAnsi="Arial"/>
          <w:sz w:val="21"/>
          <w:szCs w:val="21"/>
        </w:rPr>
        <w:t xml:space="preserve">Será declarada vencedora a licitante que apresentar o menor preço global dentre as propostas classificadas e habilitadas, desde que atendidas todas as exigências técnicas, jurídicas, fiscais, econômico-financeiras e de qualificação previstas neste Termo de Referência, no Projeto Básico, nos projetos executivos e no Edital.                                                                                                                                                                                                                                                                                                                                                                                                                                                                                                                                                                                                                                                                                                                                                                                                                                                                                                                                                                                                                                                                                                                                                                                                                                                                                                                                                                                                                                                                                                                                                                                                                                                                                                                                                                                                                                                                                                                                                                                                                                                                                                                                                                                                                                                                                                                                                                                                                                                                                                                                                                                                                                                                                                                                                                                                                                                                                                                      </w:t>
      </w:r>
    </w:p>
    <w:p>
      <w:pPr>
        <w:pStyle w:val="Normal"/>
        <w:spacing w:lineRule="auto" w:line="360" w:before="142" w:after="142"/>
        <w:ind w:hanging="0" w:start="0" w:end="0"/>
        <w:jc w:val="both"/>
        <w:rPr/>
      </w:pPr>
      <w:r>
        <w:rPr>
          <w:rFonts w:eastAsia="Arial" w:cs="Arial" w:ascii="Arial" w:hAnsi="Arial"/>
          <w:b/>
          <w:bCs/>
          <w:color w:val="000000"/>
          <w:sz w:val="21"/>
          <w:szCs w:val="21"/>
        </w:rPr>
        <w:t>JU</w:t>
      </w:r>
      <w:r>
        <w:rPr>
          <w:rFonts w:eastAsia="Arial" w:cs="Arial" w:ascii="Arial" w:hAnsi="Arial"/>
          <w:b/>
          <w:color w:val="000000"/>
          <w:sz w:val="21"/>
          <w:szCs w:val="21"/>
        </w:rPr>
        <w:t>STIFICATIVA PARA ADOÇÃO DO CRITÉRIO DE JULGAMENTO POR MENOR PREÇO GLOBAL</w:t>
      </w:r>
    </w:p>
    <w:p>
      <w:pPr>
        <w:pStyle w:val="Normal"/>
        <w:spacing w:lineRule="auto" w:line="360" w:before="142" w:after="142"/>
        <w:ind w:firstLine="709" w:start="0" w:end="0"/>
        <w:jc w:val="both"/>
        <w:rPr/>
      </w:pPr>
      <w:r>
        <w:rPr>
          <w:rFonts w:eastAsia="Arial" w:cs="Arial" w:ascii="Arial" w:hAnsi="Arial"/>
          <w:bCs/>
          <w:color w:val="000000"/>
          <w:sz w:val="21"/>
          <w:szCs w:val="21"/>
        </w:rPr>
        <w:t>A opção pelo critério de julgamento Menor Preço Global, em detrimento da seleção por item, fundamenta-se na necessidade de garantir maior eficiência operacional, técnica e administrativa na contratação. Considerando que os serviços previstos apresentam interdependência direta entre si, a divisão por itens poderia comprometer a adequada execução do objeto, resultando em dificuldades de gerenciamento, riscos de incompatibilidade de soluções, aumento de custos indiretos e perda de padronização.</w:t>
      </w:r>
    </w:p>
    <w:p>
      <w:pPr>
        <w:pStyle w:val="Normal"/>
        <w:spacing w:lineRule="auto" w:line="360" w:before="142" w:after="142"/>
        <w:ind w:firstLine="709" w:start="0" w:end="0"/>
        <w:jc w:val="both"/>
        <w:rPr/>
      </w:pPr>
      <w:r>
        <w:rPr>
          <w:rFonts w:eastAsia="Arial" w:cs="Arial" w:ascii="Arial" w:hAnsi="Arial"/>
          <w:bCs/>
          <w:color w:val="000000"/>
          <w:sz w:val="21"/>
          <w:szCs w:val="21"/>
        </w:rPr>
        <w:t>Ao adotar o Menor Preço Global, assegura-se que uma única empresa será responsável pela integralidade do escopo, garantindo coerência técnica, uniformidade na execução, melhor coordenação entre as etapas e redução de riscos contratuais. Além disso, essa modalidade proporciona maior previsibilidade orçamentária, evitando a fragmentação do processo e permitindo que a contratada assuma responsabilidade plena pela qualidade final do serviço.</w:t>
      </w:r>
    </w:p>
    <w:p>
      <w:pPr>
        <w:pStyle w:val="Normal"/>
        <w:spacing w:lineRule="auto" w:line="360" w:before="142" w:after="142"/>
        <w:ind w:firstLine="709" w:start="0" w:end="0"/>
        <w:jc w:val="both"/>
        <w:rPr/>
      </w:pPr>
      <w:r>
        <w:rPr>
          <w:rFonts w:eastAsia="Arial" w:cs="Arial" w:ascii="Arial" w:hAnsi="Arial"/>
          <w:bCs/>
          <w:color w:val="000000"/>
          <w:sz w:val="21"/>
          <w:szCs w:val="21"/>
        </w:rPr>
        <w:t>Importante destacar que, ainda assim, nenhum valor unitário poderá ultrapassar os valores de referência, preservando-se a economicidade e a conformidade com os parâmetros estabelecidos no Termo de Referência, no Decreto Municipal e no Edital.</w:t>
      </w:r>
    </w:p>
    <w:p>
      <w:pPr>
        <w:pStyle w:val="Normal"/>
        <w:spacing w:lineRule="auto" w:line="360" w:before="142" w:after="142"/>
        <w:ind w:firstLine="709" w:start="0" w:end="0"/>
        <w:jc w:val="both"/>
        <w:rPr/>
      </w:pPr>
      <w:r>
        <w:rPr>
          <w:rFonts w:eastAsia="Arial" w:cs="Arial" w:ascii="Arial" w:hAnsi="Arial"/>
          <w:bCs/>
          <w:color w:val="000000"/>
          <w:sz w:val="21"/>
          <w:szCs w:val="21"/>
        </w:rPr>
        <w:t>Dessa forma, o critério de Menor Preço Global revela-se o mais adequado para garantir eficiência, economicidade, padronização e segurança técnica na contratação.</w:t>
      </w:r>
    </w:p>
    <w:p>
      <w:pPr>
        <w:pStyle w:val="Normal"/>
        <w:spacing w:lineRule="auto" w:line="360" w:before="142" w:after="142"/>
        <w:ind w:hanging="0" w:start="0" w:end="0"/>
        <w:jc w:val="both"/>
        <w:rPr/>
      </w:pPr>
      <w:r>
        <w:rPr>
          <w:rFonts w:eastAsia="Arial" w:cs="Arial" w:ascii="Arial" w:hAnsi="Arial"/>
          <w:b/>
          <w:color w:val="000000"/>
          <w:sz w:val="21"/>
          <w:szCs w:val="21"/>
        </w:rPr>
        <w:t>CRITÉRIOS DE MEDIÇÃO E PAGAMENTO</w:t>
      </w:r>
    </w:p>
    <w:p>
      <w:pPr>
        <w:pStyle w:val="Normal"/>
        <w:spacing w:lineRule="auto" w:line="360" w:before="142" w:after="142"/>
        <w:ind w:hanging="0" w:start="0" w:end="0"/>
        <w:jc w:val="both"/>
        <w:rPr/>
      </w:pPr>
      <w:r>
        <w:rPr>
          <w:rFonts w:eastAsia="Arial" w:cs="Arial" w:ascii="Arial" w:hAnsi="Arial"/>
          <w:b/>
          <w:color w:val="000000"/>
          <w:sz w:val="21"/>
          <w:szCs w:val="21"/>
        </w:rPr>
        <w:t>CRITÉRIOS DE MEDIÇÃO</w:t>
      </w:r>
    </w:p>
    <w:p>
      <w:pPr>
        <w:pStyle w:val="Normal"/>
        <w:tabs>
          <w:tab w:val="clear" w:pos="709"/>
          <w:tab w:val="left" w:pos="2340" w:leader="none"/>
          <w:tab w:val="left" w:pos="4464" w:leader="none"/>
        </w:tabs>
        <w:spacing w:lineRule="auto" w:line="360" w:before="142" w:after="142"/>
        <w:ind w:firstLine="709" w:start="0" w:end="0"/>
        <w:jc w:val="both"/>
        <w:rPr/>
      </w:pPr>
      <w:r>
        <w:rPr>
          <w:rFonts w:eastAsia="Times New Roman" w:cs="Times New Roman" w:ascii="Arial" w:hAnsi="Arial"/>
          <w:sz w:val="21"/>
          <w:szCs w:val="21"/>
          <w:lang w:val="zh-CN" w:eastAsia="zh-CN"/>
        </w:rPr>
        <w:t>A obra será medida mensalmente de acordo com a evolução da execução dos serviços, observando-se os quantitativos efetivamente executados e os marcos previstos no cronograma físico financeiro integrante dos documentos técnicos da contratação.</w:t>
      </w:r>
    </w:p>
    <w:p>
      <w:pPr>
        <w:pStyle w:val="Normal"/>
        <w:spacing w:lineRule="auto" w:line="360" w:before="142" w:after="142"/>
        <w:ind w:hanging="0" w:start="0" w:end="0"/>
        <w:jc w:val="both"/>
        <w:rPr/>
      </w:pPr>
      <w:r>
        <w:rPr>
          <w:rFonts w:eastAsia="Arial" w:cs="Arial" w:ascii="Arial" w:hAnsi="Arial"/>
          <w:b/>
          <w:color w:val="000000"/>
          <w:sz w:val="21"/>
          <w:szCs w:val="21"/>
        </w:rPr>
        <w:t>CRITÉRIOS DE PAGAMENTO</w:t>
      </w:r>
    </w:p>
    <w:p>
      <w:pPr>
        <w:pStyle w:val="Normal"/>
        <w:tabs>
          <w:tab w:val="clear" w:pos="709"/>
          <w:tab w:val="left" w:pos="2340" w:leader="none"/>
          <w:tab w:val="left" w:pos="4464" w:leader="none"/>
        </w:tabs>
        <w:spacing w:lineRule="auto" w:line="360" w:before="142" w:after="142"/>
        <w:ind w:firstLine="709" w:start="0" w:end="0"/>
        <w:jc w:val="both"/>
        <w:rPr/>
      </w:pPr>
      <w:r>
        <w:rPr>
          <w:rFonts w:eastAsia="Times New Roman" w:cs="Times New Roman" w:ascii="Arial" w:hAnsi="Arial"/>
          <w:sz w:val="21"/>
          <w:szCs w:val="21"/>
          <w:lang w:val="zh-CN" w:eastAsia="zh-CN"/>
        </w:rPr>
        <w:t>O pagamento das medições, a presente licitação, será feito pelo município de Lindóia do Sul em favor do licitante vencedor mediante boleto ou transferência bancária em conta-corrente de titularidade do fornecedor</w:t>
      </w:r>
    </w:p>
    <w:p>
      <w:pPr>
        <w:pStyle w:val="Normal"/>
        <w:tabs>
          <w:tab w:val="clear" w:pos="709"/>
          <w:tab w:val="left" w:pos="2340" w:leader="none"/>
          <w:tab w:val="left" w:pos="4464" w:leader="none"/>
        </w:tabs>
        <w:spacing w:lineRule="auto" w:line="360" w:before="142" w:after="142"/>
        <w:ind w:firstLine="709" w:start="0" w:end="0"/>
        <w:jc w:val="both"/>
        <w:rPr/>
      </w:pPr>
      <w:r>
        <w:rPr>
          <w:rFonts w:eastAsia="Times New Roman" w:cs="Times New Roman" w:ascii="Arial" w:hAnsi="Arial"/>
          <w:sz w:val="21"/>
          <w:szCs w:val="21"/>
          <w:lang w:val="zh-CN" w:eastAsia="zh-CN"/>
        </w:rPr>
        <w:t xml:space="preserve">O município de Lindóia do Sul efetuará o pagamento em até 30 dias após a data da medição desta licitação acompanhado da respectiva Nota Fiscal Eletrônica e arquivo XML. </w:t>
      </w:r>
    </w:p>
    <w:p>
      <w:pPr>
        <w:pStyle w:val="Normal"/>
        <w:tabs>
          <w:tab w:val="clear" w:pos="709"/>
          <w:tab w:val="left" w:pos="2340" w:leader="none"/>
          <w:tab w:val="left" w:pos="4464" w:leader="none"/>
        </w:tabs>
        <w:spacing w:lineRule="auto" w:line="360" w:before="142" w:after="142"/>
        <w:ind w:firstLine="709" w:start="0" w:end="0"/>
        <w:jc w:val="both"/>
        <w:rPr/>
      </w:pPr>
      <w:r>
        <w:rPr>
          <w:rFonts w:eastAsia="Times New Roman" w:cs="Times New Roman" w:ascii="Arial" w:hAnsi="Arial"/>
          <w:sz w:val="21"/>
          <w:szCs w:val="21"/>
          <w:lang w:val="zh-CN" w:eastAsia="zh-CN"/>
        </w:rPr>
        <w:t xml:space="preserve">O número do CNPJ - Cadastro Nacional de Pessoa Jurídica – constante das notas fiscais deverá ser aquele fornecido na fase de habilitação, exceto no caso de participação de empresas em consórcio. </w:t>
      </w:r>
    </w:p>
    <w:p>
      <w:pPr>
        <w:pStyle w:val="Normal"/>
        <w:tabs>
          <w:tab w:val="clear" w:pos="709"/>
          <w:tab w:val="left" w:pos="2340" w:leader="none"/>
          <w:tab w:val="left" w:pos="4464" w:leader="none"/>
        </w:tabs>
        <w:spacing w:lineRule="auto" w:line="360" w:before="142" w:after="142"/>
        <w:ind w:firstLine="709" w:start="0" w:end="0"/>
        <w:jc w:val="both"/>
        <w:rPr/>
      </w:pPr>
      <w:r>
        <w:rPr>
          <w:rFonts w:eastAsia="Times New Roman" w:cs="Times New Roman" w:ascii="Arial" w:hAnsi="Arial"/>
          <w:sz w:val="21"/>
          <w:szCs w:val="21"/>
          <w:lang w:val="zh-CN" w:eastAsia="zh-CN"/>
        </w:rPr>
        <w:t>Nenhum pagamento será efetuado à licitante vencedora enquanto pendente de liquidação qualquer obrigação financeira ou técnica que lhe for imposta, em virtude de penalidade ou inadimplência, sem que isso gere direito ao pleito do reajustamento de preços ou correção monetária</w:t>
      </w:r>
      <w:r>
        <w:rPr>
          <w:rFonts w:eastAsia="Arial" w:cs="Arial" w:ascii="Arial" w:hAnsi="Arial"/>
          <w:sz w:val="21"/>
          <w:szCs w:val="21"/>
        </w:rPr>
        <w:t>.</w:t>
      </w:r>
    </w:p>
    <w:p>
      <w:pPr>
        <w:pStyle w:val="ListParagraph"/>
        <w:suppressAutoHyphens w:val="false"/>
        <w:spacing w:lineRule="auto" w:line="360" w:before="142" w:after="142"/>
        <w:ind w:hanging="0" w:start="0" w:end="0"/>
        <w:contextualSpacing w:val="false"/>
        <w:jc w:val="both"/>
        <w:rPr/>
      </w:pPr>
      <w:r>
        <w:rPr>
          <w:rFonts w:ascii="Arial" w:hAnsi="Arial"/>
          <w:b/>
          <w:bCs/>
          <w:sz w:val="21"/>
          <w:szCs w:val="21"/>
        </w:rPr>
        <w:t>DA GARANTIA CONTRATUAL</w:t>
      </w:r>
    </w:p>
    <w:p>
      <w:pPr>
        <w:pStyle w:val="Normal"/>
        <w:tabs>
          <w:tab w:val="clear" w:pos="709"/>
          <w:tab w:val="left" w:pos="2340" w:leader="none"/>
          <w:tab w:val="left" w:pos="4464" w:leader="none"/>
        </w:tabs>
        <w:spacing w:lineRule="auto" w:line="360" w:before="142" w:after="142"/>
        <w:ind w:firstLine="709" w:start="0" w:end="0"/>
        <w:jc w:val="both"/>
        <w:rPr/>
      </w:pPr>
      <w:r>
        <w:rPr>
          <w:rFonts w:eastAsia="Times New Roman" w:cs="Times New Roman" w:ascii="Arial" w:hAnsi="Arial"/>
          <w:sz w:val="21"/>
          <w:szCs w:val="21"/>
          <w:lang w:val="zh-CN" w:eastAsia="zh-CN"/>
        </w:rPr>
        <w:t>A licitante declarada vencedora deverá, dentro do prazo disponibilizado para assinatura do contrato, sendo requisito indispensável para a assinatura da Ordem de Serviço, prestar garantia de 5% (cinco por cento) do valor do lote, sob pena de decair o direito à contratação.</w:t>
      </w:r>
    </w:p>
    <w:p>
      <w:pPr>
        <w:pStyle w:val="Normal"/>
        <w:tabs>
          <w:tab w:val="clear" w:pos="709"/>
          <w:tab w:val="left" w:pos="2340" w:leader="none"/>
          <w:tab w:val="left" w:pos="4464" w:leader="none"/>
        </w:tabs>
        <w:spacing w:lineRule="auto" w:line="360" w:before="142" w:after="142"/>
        <w:ind w:firstLine="709" w:start="0" w:end="0"/>
        <w:jc w:val="both"/>
        <w:rPr/>
      </w:pPr>
      <w:r>
        <w:rPr>
          <w:rFonts w:eastAsia="Times New Roman" w:cs="Times New Roman" w:ascii="Arial" w:hAnsi="Arial"/>
          <w:sz w:val="21"/>
          <w:szCs w:val="21"/>
          <w:lang w:val="zh-CN" w:eastAsia="zh-CN"/>
        </w:rPr>
        <w:t>Caberá à adjudicatária optar por uma das seguintes modalidades de garantia:</w:t>
      </w:r>
    </w:p>
    <w:p>
      <w:pPr>
        <w:pStyle w:val="ListParagraph"/>
        <w:numPr>
          <w:ilvl w:val="0"/>
          <w:numId w:val="6"/>
        </w:numPr>
        <w:tabs>
          <w:tab w:val="clear" w:pos="709"/>
          <w:tab w:val="left" w:pos="1077" w:leader="none"/>
          <w:tab w:val="left" w:pos="4464" w:leader="none"/>
        </w:tabs>
        <w:suppressAutoHyphens w:val="false"/>
        <w:spacing w:lineRule="auto" w:line="360" w:before="142" w:after="142"/>
        <w:ind w:firstLine="709" w:start="0" w:end="0"/>
        <w:contextualSpacing w:val="false"/>
        <w:jc w:val="both"/>
        <w:rPr/>
      </w:pPr>
      <w:r>
        <w:rPr>
          <w:rFonts w:ascii="Arial" w:hAnsi="Arial"/>
          <w:sz w:val="21"/>
          <w:szCs w:val="21"/>
          <w:lang w:val="zh-CN" w:eastAsia="zh-CN" w:bidi="ar-SA"/>
        </w:rPr>
        <w:t>Caução em dinheiro ou em títulos da dívida pública;</w:t>
      </w:r>
    </w:p>
    <w:p>
      <w:pPr>
        <w:pStyle w:val="ListParagraph"/>
        <w:numPr>
          <w:ilvl w:val="0"/>
          <w:numId w:val="6"/>
        </w:numPr>
        <w:tabs>
          <w:tab w:val="clear" w:pos="709"/>
          <w:tab w:val="left" w:pos="1077" w:leader="none"/>
          <w:tab w:val="left" w:pos="4464" w:leader="none"/>
        </w:tabs>
        <w:suppressAutoHyphens w:val="false"/>
        <w:spacing w:lineRule="auto" w:line="360" w:before="142" w:after="142"/>
        <w:ind w:firstLine="709" w:start="0" w:end="0"/>
        <w:contextualSpacing w:val="false"/>
        <w:jc w:val="both"/>
        <w:rPr/>
      </w:pPr>
      <w:r>
        <w:rPr>
          <w:rFonts w:ascii="Arial" w:hAnsi="Arial"/>
          <w:sz w:val="21"/>
          <w:szCs w:val="21"/>
          <w:lang w:val="zh-CN" w:eastAsia="zh-CN" w:bidi="ar-SA"/>
        </w:rPr>
        <w:t>Seguro-garantia;</w:t>
      </w:r>
    </w:p>
    <w:p>
      <w:pPr>
        <w:pStyle w:val="ListParagraph"/>
        <w:numPr>
          <w:ilvl w:val="0"/>
          <w:numId w:val="6"/>
        </w:numPr>
        <w:tabs>
          <w:tab w:val="clear" w:pos="709"/>
          <w:tab w:val="left" w:pos="1077" w:leader="none"/>
          <w:tab w:val="left" w:pos="4464" w:leader="none"/>
        </w:tabs>
        <w:suppressAutoHyphens w:val="false"/>
        <w:spacing w:lineRule="auto" w:line="360" w:before="142" w:after="142"/>
        <w:ind w:firstLine="709" w:start="0" w:end="0"/>
        <w:contextualSpacing w:val="false"/>
        <w:jc w:val="both"/>
        <w:rPr/>
      </w:pPr>
      <w:r>
        <w:rPr>
          <w:rFonts w:ascii="Arial" w:hAnsi="Arial"/>
          <w:sz w:val="21"/>
          <w:szCs w:val="21"/>
          <w:lang w:val="zh-CN" w:eastAsia="zh-CN" w:bidi="ar-SA"/>
        </w:rPr>
        <w:t>Fiança bancária.</w:t>
      </w:r>
    </w:p>
    <w:p>
      <w:pPr>
        <w:pStyle w:val="ListParagraph"/>
        <w:numPr>
          <w:ilvl w:val="0"/>
          <w:numId w:val="7"/>
        </w:numPr>
        <w:tabs>
          <w:tab w:val="clear" w:pos="709"/>
          <w:tab w:val="left" w:pos="1077" w:leader="none"/>
          <w:tab w:val="left" w:pos="4464" w:leader="none"/>
        </w:tabs>
        <w:suppressAutoHyphens w:val="false"/>
        <w:spacing w:lineRule="auto" w:line="360" w:before="142" w:after="142"/>
        <w:ind w:firstLine="709" w:start="0" w:end="0"/>
        <w:contextualSpacing w:val="false"/>
        <w:jc w:val="both"/>
        <w:rPr/>
      </w:pPr>
      <w:r>
        <w:rPr>
          <w:rFonts w:ascii="Arial" w:hAnsi="Arial"/>
          <w:sz w:val="21"/>
          <w:szCs w:val="21"/>
          <w:lang w:val="zh-CN" w:eastAsia="zh-CN" w:bidi="ar-SA"/>
        </w:rPr>
        <w:t>No caso de a garantia ser prestada na modalidade de seguro-garantia ou fiança bancária, o prazo da mesma deverá cobrir toda a execução do contrato.</w:t>
      </w:r>
    </w:p>
    <w:p>
      <w:pPr>
        <w:pStyle w:val="ListParagraph"/>
        <w:numPr>
          <w:ilvl w:val="0"/>
          <w:numId w:val="7"/>
        </w:numPr>
        <w:tabs>
          <w:tab w:val="clear" w:pos="709"/>
          <w:tab w:val="left" w:pos="1077" w:leader="none"/>
          <w:tab w:val="left" w:pos="4464" w:leader="none"/>
        </w:tabs>
        <w:suppressAutoHyphens w:val="false"/>
        <w:spacing w:lineRule="auto" w:line="360" w:before="142" w:after="142"/>
        <w:ind w:firstLine="709" w:start="0" w:end="0"/>
        <w:contextualSpacing w:val="false"/>
        <w:jc w:val="both"/>
        <w:rPr/>
      </w:pPr>
      <w:r>
        <w:rPr>
          <w:rFonts w:ascii="Arial" w:hAnsi="Arial"/>
          <w:sz w:val="21"/>
          <w:szCs w:val="21"/>
          <w:lang w:val="zh-CN" w:eastAsia="zh-CN" w:bidi="ar-SA"/>
        </w:rPr>
        <w:t>Quando a garantia for efetuada em dinheiro, deverá ser efetuado o seu depósito na conta corrente: Banco do Brasil - AGÊNCIA 5425-9 - CONTA Nº 7522-1;</w:t>
      </w:r>
    </w:p>
    <w:p>
      <w:pPr>
        <w:pStyle w:val="ListParagraph"/>
        <w:numPr>
          <w:ilvl w:val="0"/>
          <w:numId w:val="7"/>
        </w:numPr>
        <w:tabs>
          <w:tab w:val="clear" w:pos="709"/>
          <w:tab w:val="left" w:pos="1077" w:leader="none"/>
          <w:tab w:val="left" w:pos="4464" w:leader="none"/>
        </w:tabs>
        <w:suppressAutoHyphens w:val="false"/>
        <w:spacing w:lineRule="auto" w:line="360" w:before="142" w:after="142"/>
        <w:ind w:firstLine="709" w:start="0" w:end="0"/>
        <w:contextualSpacing w:val="false"/>
        <w:jc w:val="both"/>
        <w:rPr/>
      </w:pPr>
      <w:r>
        <w:rPr>
          <w:rFonts w:ascii="Arial" w:hAnsi="Arial"/>
          <w:sz w:val="21"/>
          <w:szCs w:val="21"/>
          <w:lang w:val="zh-CN" w:eastAsia="zh-CN" w:bidi="ar-SA"/>
        </w:rPr>
        <w:t>A adjudicatária que não prestar a garantia dentro do prazo disponibilizado para assinatura do contrato, ficará sujeita às sanções previstas na legislação vigente;</w:t>
      </w:r>
    </w:p>
    <w:p>
      <w:pPr>
        <w:pStyle w:val="ListParagraph"/>
        <w:numPr>
          <w:ilvl w:val="0"/>
          <w:numId w:val="7"/>
        </w:numPr>
        <w:tabs>
          <w:tab w:val="clear" w:pos="709"/>
          <w:tab w:val="left" w:pos="1077" w:leader="none"/>
          <w:tab w:val="left" w:pos="4464" w:leader="none"/>
        </w:tabs>
        <w:suppressAutoHyphens w:val="false"/>
        <w:spacing w:lineRule="auto" w:line="360" w:before="142" w:after="142"/>
        <w:ind w:firstLine="709" w:start="0" w:end="0"/>
        <w:contextualSpacing w:val="false"/>
        <w:jc w:val="both"/>
        <w:rPr/>
      </w:pPr>
      <w:r>
        <w:rPr>
          <w:rFonts w:ascii="Arial" w:hAnsi="Arial"/>
          <w:sz w:val="21"/>
          <w:szCs w:val="21"/>
          <w:lang w:val="zh-CN" w:eastAsia="zh-CN" w:bidi="ar-SA"/>
        </w:rPr>
        <w:t xml:space="preserve">A garantia prestada será liberada ou restituída à contratada no prazo de 15 (quinze) dias, contados após a emissão do Termo de Recebimento Definitivo da Obra, sendo que, no caso de caução em dinheiro, será restituída acrescida dos juros resultantes da aplicação dos recursos em fundos específicos para governo, vinculados ao Banco do Brasil. </w:t>
      </w:r>
    </w:p>
    <w:p>
      <w:pPr>
        <w:pStyle w:val="ListParagraph"/>
        <w:suppressAutoHyphens w:val="false"/>
        <w:spacing w:lineRule="auto" w:line="360" w:before="142" w:after="142"/>
        <w:ind w:hanging="0" w:start="0" w:end="0"/>
        <w:contextualSpacing w:val="false"/>
        <w:jc w:val="both"/>
        <w:rPr/>
      </w:pPr>
      <w:r>
        <w:rPr>
          <w:rFonts w:ascii="Arial" w:hAnsi="Arial"/>
          <w:b/>
          <w:bCs/>
          <w:sz w:val="21"/>
          <w:szCs w:val="21"/>
        </w:rPr>
        <w:t>DOS RECURSOS, RESPONSABILIDADES, PENALIDADES ADMINISTRATIVAS E EXTINÇÃO DO CONTRATO</w:t>
      </w:r>
    </w:p>
    <w:p>
      <w:pPr>
        <w:pStyle w:val="Normal"/>
        <w:spacing w:lineRule="auto" w:line="360" w:before="142" w:after="142"/>
        <w:ind w:hanging="0" w:start="0" w:end="0"/>
        <w:jc w:val="both"/>
        <w:rPr/>
      </w:pPr>
      <w:r>
        <w:rPr>
          <w:rFonts w:eastAsia="Times New Roman" w:cs="Times New Roman" w:ascii="Arial" w:hAnsi="Arial"/>
          <w:sz w:val="21"/>
          <w:szCs w:val="21"/>
          <w:lang w:val="zh-CN" w:eastAsia="zh-CN"/>
        </w:rPr>
        <w:t>Dos atos da Administração praticados neste certame cabem:</w:t>
      </w:r>
    </w:p>
    <w:p>
      <w:pPr>
        <w:pStyle w:val="Normal"/>
        <w:spacing w:lineRule="auto" w:line="360" w:before="142" w:after="142"/>
        <w:ind w:firstLine="709" w:start="0" w:end="0"/>
        <w:jc w:val="both"/>
        <w:rPr/>
      </w:pPr>
      <w:r>
        <w:rPr>
          <w:rFonts w:eastAsia="Times New Roman" w:cs="Times New Roman" w:ascii="Arial" w:hAnsi="Arial"/>
          <w:sz w:val="21"/>
          <w:szCs w:val="21"/>
          <w:lang w:val="zh-CN" w:eastAsia="zh-CN"/>
        </w:rPr>
        <w:t xml:space="preserve">a) </w:t>
      </w:r>
      <w:r>
        <w:rPr>
          <w:rFonts w:ascii="Arial" w:hAnsi="Arial"/>
          <w:sz w:val="21"/>
          <w:szCs w:val="21"/>
          <w:lang w:val="zh-CN" w:eastAsia="zh-CN"/>
        </w:rPr>
        <w:t>recurso, no prazo de 03 (três) dias úteis, contado da data de intimação ou de lavratura da ata, em face de:</w:t>
      </w:r>
    </w:p>
    <w:p>
      <w:pPr>
        <w:pStyle w:val="Normal"/>
        <w:spacing w:lineRule="auto" w:line="360" w:before="142" w:after="142"/>
        <w:ind w:firstLine="709" w:start="0" w:end="0"/>
        <w:jc w:val="both"/>
        <w:rPr/>
      </w:pPr>
      <w:r>
        <w:rPr>
          <w:rFonts w:eastAsia="Times New Roman" w:cs="Times New Roman" w:ascii="Arial" w:hAnsi="Arial"/>
          <w:sz w:val="21"/>
          <w:szCs w:val="21"/>
          <w:lang w:val="zh-CN" w:eastAsia="zh-CN"/>
        </w:rPr>
        <w:t>a.1) julgamento das propostas;</w:t>
      </w:r>
    </w:p>
    <w:p>
      <w:pPr>
        <w:pStyle w:val="Normal"/>
        <w:spacing w:lineRule="auto" w:line="360" w:before="142" w:after="142"/>
        <w:ind w:firstLine="709" w:start="0" w:end="0"/>
        <w:jc w:val="both"/>
        <w:rPr/>
      </w:pPr>
      <w:r>
        <w:rPr>
          <w:rFonts w:eastAsia="Times New Roman" w:cs="Times New Roman" w:ascii="Arial" w:hAnsi="Arial"/>
          <w:sz w:val="21"/>
          <w:szCs w:val="21"/>
          <w:lang w:val="zh-CN" w:eastAsia="zh-CN"/>
        </w:rPr>
        <w:t>a.2) ato de habilitação ou inabilitação de licitante;</w:t>
      </w:r>
    </w:p>
    <w:p>
      <w:pPr>
        <w:pStyle w:val="Normal"/>
        <w:spacing w:lineRule="auto" w:line="360" w:before="142" w:after="142"/>
        <w:ind w:firstLine="709" w:start="0" w:end="0"/>
        <w:jc w:val="both"/>
        <w:rPr/>
      </w:pPr>
      <w:r>
        <w:rPr>
          <w:rFonts w:eastAsia="Times New Roman" w:cs="Times New Roman" w:ascii="Arial" w:hAnsi="Arial"/>
          <w:sz w:val="21"/>
          <w:szCs w:val="21"/>
          <w:lang w:val="zh-CN" w:eastAsia="zh-CN"/>
        </w:rPr>
        <w:t>a.3) anulação ou revogação da licitação</w:t>
      </w:r>
      <w:r>
        <w:rPr>
          <w:rFonts w:eastAsia="Calibri" w:cs="Arial" w:ascii="Arial" w:hAnsi="Arial"/>
          <w:sz w:val="21"/>
          <w:szCs w:val="21"/>
        </w:rPr>
        <w:t>;</w:t>
      </w:r>
    </w:p>
    <w:p>
      <w:pPr>
        <w:pStyle w:val="Normal"/>
        <w:spacing w:lineRule="auto" w:line="360" w:before="142" w:after="142"/>
        <w:ind w:hanging="0" w:start="0" w:end="0"/>
        <w:jc w:val="both"/>
        <w:rPr/>
      </w:pPr>
      <w:r>
        <w:rPr>
          <w:rFonts w:eastAsia="Times New Roman" w:cs="Times New Roman" w:ascii="Arial" w:hAnsi="Arial"/>
          <w:sz w:val="21"/>
          <w:szCs w:val="21"/>
          <w:lang w:val="zh-CN" w:eastAsia="zh-CN"/>
        </w:rPr>
        <w:t>Quanto ao recurso apresentado com base nos itens a.1 e a.2 da alínea “a”, serão observadas as seguintes disposições:</w:t>
      </w:r>
    </w:p>
    <w:p>
      <w:pPr>
        <w:pStyle w:val="Normal"/>
        <w:spacing w:lineRule="auto" w:line="360" w:before="142" w:after="142"/>
        <w:ind w:firstLine="709" w:start="0" w:end="0"/>
        <w:jc w:val="both"/>
        <w:rPr/>
      </w:pPr>
      <w:r>
        <w:rPr>
          <w:rFonts w:eastAsia="Times New Roman" w:cs="Times New Roman" w:ascii="Arial" w:hAnsi="Arial"/>
          <w:sz w:val="21"/>
          <w:szCs w:val="21"/>
          <w:lang w:val="zh-CN" w:eastAsia="zh-CN"/>
        </w:rPr>
        <w:t>A intenção de recorrer deverá ser manifestada na sessão pública, com início imediato após o término do julgamento das propostas e do ato de habilitação ou inabilitação, sob pena de preclusão;</w:t>
      </w:r>
    </w:p>
    <w:p>
      <w:pPr>
        <w:pStyle w:val="Normal"/>
        <w:spacing w:lineRule="auto" w:line="360" w:before="142" w:after="142"/>
        <w:ind w:firstLine="709" w:start="0" w:end="0"/>
        <w:jc w:val="both"/>
        <w:rPr/>
      </w:pPr>
      <w:r>
        <w:rPr>
          <w:rFonts w:eastAsia="Times New Roman" w:cs="Times New Roman" w:ascii="Arial" w:hAnsi="Arial"/>
          <w:sz w:val="21"/>
          <w:szCs w:val="21"/>
          <w:lang w:val="zh-CN" w:eastAsia="zh-CN"/>
        </w:rPr>
        <w:t>O prazo para apresentação das razões recursais previsto na alínea “a” será iniciado na data de intimação ou de lavratura da ata de habilitação ou inabilitação;</w:t>
      </w:r>
    </w:p>
    <w:p>
      <w:pPr>
        <w:pStyle w:val="Normal"/>
        <w:spacing w:lineRule="auto" w:line="360" w:before="142" w:after="142"/>
        <w:ind w:firstLine="709" w:start="0" w:end="0"/>
        <w:jc w:val="both"/>
        <w:rPr/>
      </w:pPr>
      <w:r>
        <w:rPr>
          <w:rFonts w:eastAsia="Times New Roman" w:cs="Times New Roman" w:ascii="Arial" w:hAnsi="Arial"/>
          <w:sz w:val="21"/>
          <w:szCs w:val="21"/>
          <w:lang w:val="zh-CN" w:eastAsia="zh-CN"/>
        </w:rPr>
        <w:t>A apreciação dar-se-á em fase única.</w:t>
      </w:r>
    </w:p>
    <w:p>
      <w:pPr>
        <w:pStyle w:val="Normal"/>
        <w:spacing w:lineRule="auto" w:line="360" w:before="142" w:after="142"/>
        <w:ind w:hanging="0" w:start="0" w:end="0"/>
        <w:jc w:val="both"/>
        <w:rPr/>
      </w:pPr>
      <w:r>
        <w:rPr>
          <w:rFonts w:eastAsia="Times New Roman" w:cs="Times New Roman" w:ascii="Arial" w:hAnsi="Arial"/>
          <w:sz w:val="21"/>
          <w:szCs w:val="21"/>
          <w:lang w:val="zh-CN" w:eastAsia="zh-CN"/>
        </w:rPr>
        <w:t>O recurso de que trata a alínea “a”,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pPr>
        <w:pStyle w:val="Normal"/>
        <w:spacing w:lineRule="auto" w:line="360" w:before="142" w:after="142"/>
        <w:ind w:firstLine="709" w:start="0" w:end="0"/>
        <w:jc w:val="both"/>
        <w:rPr/>
      </w:pPr>
      <w:r>
        <w:rPr>
          <w:rFonts w:eastAsia="Times New Roman" w:cs="Times New Roman" w:ascii="Arial" w:hAnsi="Arial"/>
          <w:sz w:val="21"/>
          <w:szCs w:val="21"/>
          <w:lang w:val="zh-CN" w:eastAsia="zh-CN"/>
        </w:rPr>
        <w:t>O prazo para contrarrazões será o mesmo do recurso e terá início após encerrado o prazo das razões do recurso.</w:t>
      </w:r>
    </w:p>
    <w:p>
      <w:pPr>
        <w:pStyle w:val="Normal"/>
        <w:spacing w:lineRule="auto" w:line="360" w:before="142" w:after="142"/>
        <w:ind w:firstLine="709" w:start="0" w:end="0"/>
        <w:jc w:val="both"/>
        <w:rPr/>
      </w:pPr>
      <w:r>
        <w:rPr>
          <w:rFonts w:eastAsia="Times New Roman" w:cs="Times New Roman" w:ascii="Arial" w:hAnsi="Arial"/>
          <w:sz w:val="21"/>
          <w:szCs w:val="21"/>
          <w:lang w:val="zh-CN" w:eastAsia="zh-CN"/>
        </w:rPr>
        <w:t>Será assegurado ao licitante vista dos elementos indispensáveis à defesa de seus interesses.</w:t>
      </w:r>
    </w:p>
    <w:p>
      <w:pPr>
        <w:pStyle w:val="Normal"/>
        <w:spacing w:lineRule="auto" w:line="360" w:before="142" w:after="142"/>
        <w:ind w:firstLine="709" w:start="0" w:end="0"/>
        <w:jc w:val="both"/>
        <w:rPr/>
      </w:pPr>
      <w:r>
        <w:rPr>
          <w:rFonts w:eastAsia="Times New Roman" w:cs="Times New Roman" w:ascii="Arial" w:hAnsi="Arial"/>
          <w:sz w:val="21"/>
          <w:szCs w:val="21"/>
          <w:lang w:val="zh-CN" w:eastAsia="zh-CN"/>
        </w:rPr>
        <w:t xml:space="preserve">O recurso ou Pedido de Reconsideração deverá ser interposto por intermédio de meio eletrônico, exclusivamente, através da PLATAFORMA ELETRÔNICA: www.portaldecompraspublicas.com.br “Acesso Identificado”, sendo aceito até as 23:59 h da data limite estipulada pelo pregoeiro(a). </w:t>
      </w:r>
    </w:p>
    <w:p>
      <w:pPr>
        <w:pStyle w:val="Normal"/>
        <w:spacing w:lineRule="auto" w:line="360" w:before="142" w:after="142"/>
        <w:ind w:firstLine="709" w:start="0" w:end="0"/>
        <w:jc w:val="both"/>
        <w:rPr/>
      </w:pPr>
      <w:r>
        <w:rPr>
          <w:rFonts w:eastAsia="Times New Roman" w:cs="Times New Roman" w:ascii="Arial" w:hAnsi="Arial"/>
          <w:sz w:val="21"/>
          <w:szCs w:val="21"/>
          <w:lang w:val="zh-CN" w:eastAsia="zh-CN"/>
        </w:rPr>
        <w:t>O Recurso e o pedido de reconsideração terão efeito suspensivo do ato ou da decisão recorrida até que sobrevenha decisão final da autoridade competente.</w:t>
      </w:r>
    </w:p>
    <w:p>
      <w:pPr>
        <w:pStyle w:val="Normal"/>
        <w:spacing w:lineRule="auto" w:line="360" w:before="142" w:after="142"/>
        <w:ind w:firstLine="709" w:start="0" w:end="0"/>
        <w:jc w:val="both"/>
        <w:rPr/>
      </w:pPr>
      <w:r>
        <w:rPr>
          <w:rFonts w:eastAsia="Times New Roman" w:cs="Times New Roman" w:ascii="Arial" w:hAnsi="Arial"/>
          <w:sz w:val="21"/>
          <w:szCs w:val="21"/>
          <w:lang w:val="zh-CN" w:eastAsia="zh-CN"/>
        </w:rPr>
        <w:t>Não sendo interpostos recursos, ou sendo interposto em desacordo com o Edital, ou decididos os recursos interpostos o Pregoeiro(a) encaminhará o processo licitatório para a Autoridade Competente para os procedimentos de adjudicação do objeto do certame à(s) empresa(s) declarada(s) vencedora(s) e homologação.</w:t>
      </w:r>
    </w:p>
    <w:p>
      <w:pPr>
        <w:pStyle w:val="Normal"/>
        <w:spacing w:lineRule="auto" w:line="360" w:before="142" w:after="142"/>
        <w:ind w:firstLine="709" w:start="0" w:end="0"/>
        <w:jc w:val="both"/>
        <w:rPr/>
      </w:pPr>
      <w:r>
        <w:rPr>
          <w:rFonts w:eastAsia="Times New Roman" w:cs="Times New Roman" w:ascii="Arial" w:hAnsi="Arial"/>
          <w:sz w:val="21"/>
          <w:szCs w:val="21"/>
          <w:lang w:val="zh-CN" w:eastAsia="zh-CN"/>
        </w:rPr>
        <w:t>As causas de rescisão contratual estão estabelecidas no artigo 137, de acordo com as disposições do art. 138 e 139, todos da Lei Federal nº 14.133, de 2021.</w:t>
      </w:r>
    </w:p>
    <w:p>
      <w:pPr>
        <w:pStyle w:val="Normal"/>
        <w:spacing w:lineRule="auto" w:line="360" w:before="142" w:after="142"/>
        <w:ind w:firstLine="709" w:start="0" w:end="0"/>
        <w:jc w:val="both"/>
        <w:rPr/>
      </w:pPr>
      <w:r>
        <w:rPr>
          <w:rFonts w:eastAsia="Times New Roman" w:cs="Times New Roman" w:ascii="Arial" w:hAnsi="Arial"/>
          <w:sz w:val="21"/>
          <w:szCs w:val="21"/>
          <w:lang w:val="zh-CN" w:eastAsia="zh-CN"/>
        </w:rPr>
        <w:t>O licitante ou o contratado será responsabilizado administrativamente pelas infrações previstas no art. 155 da Lei Federal n. 14.133/2021.</w:t>
      </w:r>
    </w:p>
    <w:p>
      <w:pPr>
        <w:pStyle w:val="Normal"/>
        <w:spacing w:lineRule="auto" w:line="360" w:before="142" w:after="142"/>
        <w:ind w:firstLine="709" w:start="0" w:end="0"/>
        <w:jc w:val="both"/>
        <w:rPr/>
      </w:pPr>
      <w:r>
        <w:rPr>
          <w:rFonts w:eastAsia="Times New Roman" w:cs="Times New Roman" w:ascii="Arial" w:hAnsi="Arial"/>
          <w:sz w:val="21"/>
          <w:szCs w:val="21"/>
          <w:lang w:val="zh-CN" w:eastAsia="zh-CN"/>
        </w:rPr>
        <w:t>O Município de Lindóia do Sul poderá, garantido o contraditório e a ampla defesa, aplicar as seguintes sanções administrativas:</w:t>
      </w:r>
    </w:p>
    <w:p>
      <w:pPr>
        <w:pStyle w:val="Normal"/>
        <w:spacing w:lineRule="auto" w:line="360" w:before="142" w:after="142"/>
        <w:ind w:firstLine="709" w:start="0" w:end="0"/>
        <w:jc w:val="both"/>
        <w:rPr/>
      </w:pPr>
      <w:r>
        <w:rPr>
          <w:rFonts w:eastAsia="Times New Roman" w:cs="Times New Roman" w:ascii="Arial" w:hAnsi="Arial"/>
          <w:sz w:val="21"/>
          <w:szCs w:val="21"/>
          <w:lang w:eastAsia="zh-CN"/>
        </w:rPr>
        <w:t xml:space="preserve">- </w:t>
      </w:r>
      <w:r>
        <w:rPr>
          <w:rFonts w:eastAsia="Times New Roman" w:cs="Times New Roman" w:ascii="Arial" w:hAnsi="Arial"/>
          <w:sz w:val="21"/>
          <w:szCs w:val="21"/>
          <w:lang w:val="zh-CN" w:eastAsia="zh-CN"/>
        </w:rPr>
        <w:t>Advertência;</w:t>
      </w:r>
    </w:p>
    <w:p>
      <w:pPr>
        <w:pStyle w:val="Normal"/>
        <w:spacing w:lineRule="auto" w:line="360" w:before="142" w:after="142"/>
        <w:ind w:firstLine="709" w:start="0" w:end="0"/>
        <w:jc w:val="both"/>
        <w:rPr/>
      </w:pPr>
      <w:r>
        <w:rPr>
          <w:rFonts w:eastAsia="Times New Roman" w:cs="Times New Roman" w:ascii="Arial" w:hAnsi="Arial"/>
          <w:sz w:val="21"/>
          <w:szCs w:val="21"/>
          <w:lang w:eastAsia="zh-CN"/>
        </w:rPr>
        <w:t xml:space="preserve">- </w:t>
      </w:r>
      <w:r>
        <w:rPr>
          <w:rFonts w:eastAsia="Times New Roman" w:cs="Times New Roman" w:ascii="Arial" w:hAnsi="Arial"/>
          <w:sz w:val="21"/>
          <w:szCs w:val="21"/>
          <w:lang w:val="zh-CN" w:eastAsia="zh-CN"/>
        </w:rPr>
        <w:t>Multa;</w:t>
      </w:r>
    </w:p>
    <w:p>
      <w:pPr>
        <w:pStyle w:val="Normal"/>
        <w:spacing w:lineRule="auto" w:line="360" w:before="142" w:after="142"/>
        <w:ind w:firstLine="709" w:start="0" w:end="0"/>
        <w:jc w:val="both"/>
        <w:rPr/>
      </w:pPr>
      <w:r>
        <w:rPr>
          <w:rFonts w:eastAsia="Times New Roman" w:cs="Times New Roman" w:ascii="Arial" w:hAnsi="Arial"/>
          <w:sz w:val="21"/>
          <w:szCs w:val="21"/>
          <w:lang w:eastAsia="zh-CN"/>
        </w:rPr>
        <w:t xml:space="preserve">- </w:t>
      </w:r>
      <w:r>
        <w:rPr>
          <w:rFonts w:eastAsia="Times New Roman" w:cs="Times New Roman" w:ascii="Arial" w:hAnsi="Arial"/>
          <w:sz w:val="21"/>
          <w:szCs w:val="21"/>
          <w:lang w:val="zh-CN" w:eastAsia="zh-CN"/>
        </w:rPr>
        <w:t>Impedimento de licitar e contratar com Administração Pública direta e indireta do Município de Lindóia do Sul, pelo prazo máximo de 03 (três) anos;</w:t>
      </w:r>
    </w:p>
    <w:p>
      <w:pPr>
        <w:pStyle w:val="Normal"/>
        <w:spacing w:lineRule="auto" w:line="360" w:before="142" w:after="142"/>
        <w:ind w:firstLine="709" w:start="0" w:end="0"/>
        <w:jc w:val="both"/>
        <w:rPr/>
      </w:pPr>
      <w:r>
        <w:rPr>
          <w:rFonts w:eastAsia="Times New Roman" w:cs="Times New Roman" w:ascii="Arial" w:hAnsi="Arial"/>
          <w:sz w:val="21"/>
          <w:szCs w:val="21"/>
          <w:lang w:eastAsia="zh-CN"/>
        </w:rPr>
        <w:t xml:space="preserve">- </w:t>
      </w:r>
      <w:r>
        <w:rPr>
          <w:rFonts w:eastAsia="Times New Roman" w:cs="Times New Roman" w:ascii="Arial" w:hAnsi="Arial"/>
          <w:sz w:val="21"/>
          <w:szCs w:val="21"/>
          <w:lang w:val="zh-CN" w:eastAsia="zh-CN"/>
        </w:rPr>
        <w:t>Declaração de inidoneidade para licitar ou contratar no âmbito da Administração Pública direta e indireta de todos os entes federativos, pelo prazo mínimo de 3 (três) anos e máximo de 6 (seis) anos.</w:t>
      </w:r>
    </w:p>
    <w:p>
      <w:pPr>
        <w:pStyle w:val="Normal"/>
        <w:spacing w:lineRule="auto" w:line="360" w:before="142" w:after="142"/>
        <w:ind w:firstLine="709" w:start="0" w:end="0"/>
        <w:jc w:val="both"/>
        <w:rPr/>
      </w:pPr>
      <w:r>
        <w:rPr>
          <w:rFonts w:eastAsia="Times New Roman" w:cs="Times New Roman" w:ascii="Arial" w:hAnsi="Arial"/>
          <w:sz w:val="21"/>
          <w:szCs w:val="21"/>
          <w:lang w:val="zh-CN" w:eastAsia="zh-CN"/>
        </w:rPr>
        <w:t>Por qualquer das infrações previstas no art. 155 da Lei Federal n. 14.133/2021, poderá ser aplicada ao licitante ou contratado a sanção administrativa de multa compensatória de 20% (vinte inteiros por cento) sobre o valor total do contrato.</w:t>
      </w:r>
    </w:p>
    <w:p>
      <w:pPr>
        <w:pStyle w:val="Normal"/>
        <w:spacing w:lineRule="auto" w:line="360" w:before="142" w:after="142"/>
        <w:ind w:firstLine="709" w:start="0" w:end="0"/>
        <w:jc w:val="both"/>
        <w:rPr/>
      </w:pPr>
      <w:r>
        <w:rPr>
          <w:rFonts w:eastAsia="Times New Roman" w:cs="Times New Roman" w:ascii="Arial" w:hAnsi="Arial"/>
          <w:sz w:val="21"/>
          <w:szCs w:val="21"/>
          <w:lang w:val="zh-CN" w:eastAsia="zh-CN"/>
        </w:rPr>
        <w:t>A recusa injustificada do adjudicatário em assinar o Contrato, no prazo máximo de 5 (cinco) dias úteis da notificação, implicará a aplicação da multa compensatória prevista no item anterior.</w:t>
      </w:r>
    </w:p>
    <w:p>
      <w:pPr>
        <w:pStyle w:val="Normal"/>
        <w:spacing w:lineRule="auto" w:line="360" w:before="142" w:after="142"/>
        <w:ind w:firstLine="709" w:start="0" w:end="0"/>
        <w:jc w:val="both"/>
        <w:rPr/>
      </w:pPr>
      <w:r>
        <w:rPr>
          <w:rFonts w:eastAsia="Times New Roman" w:cs="Times New Roman" w:ascii="Arial" w:hAnsi="Arial"/>
          <w:sz w:val="21"/>
          <w:szCs w:val="21"/>
          <w:lang w:val="zh-CN" w:eastAsia="zh-CN"/>
        </w:rPr>
        <w:t>A sanção administrativa de multa moratória será aplicada nos casos de atraso injustificado na execução do contrato, nos termos do art. 162 da Lei Federal n. 14.133/2021, possuindo os seguintes parâmetros:</w:t>
      </w:r>
    </w:p>
    <w:p>
      <w:pPr>
        <w:pStyle w:val="Normal"/>
        <w:spacing w:lineRule="auto" w:line="360" w:before="142" w:after="142"/>
        <w:ind w:firstLine="709" w:start="0" w:end="0"/>
        <w:jc w:val="both"/>
        <w:rPr/>
      </w:pPr>
      <w:r>
        <w:rPr>
          <w:rFonts w:eastAsia="Times New Roman" w:cs="Times New Roman" w:ascii="Arial" w:hAnsi="Arial"/>
          <w:sz w:val="21"/>
          <w:szCs w:val="21"/>
          <w:lang w:val="zh-CN" w:eastAsia="zh-CN"/>
        </w:rPr>
        <w:t>Por atraso ou paralisação da execução superior a 10 (dez) dias do prazo de execução dos serviços, fica o contratado sujeito à multa de 0,5% (meio por cento) por dia de atraso, incidente sobre o valor total do contrato, a ser calculado desde o 11º (décimo primeiro) dia de atraso até o efetivo cumprimento da obrigação, limitado a 30 (trinta) dias.</w:t>
      </w:r>
    </w:p>
    <w:p>
      <w:pPr>
        <w:pStyle w:val="Normal"/>
        <w:spacing w:lineRule="auto" w:line="360" w:before="142" w:after="142"/>
        <w:ind w:firstLine="709" w:start="0" w:end="0"/>
        <w:jc w:val="both"/>
        <w:rPr/>
      </w:pPr>
      <w:r>
        <w:rPr>
          <w:rFonts w:eastAsia="Times New Roman" w:cs="Times New Roman" w:ascii="Arial" w:hAnsi="Arial"/>
          <w:sz w:val="21"/>
          <w:szCs w:val="21"/>
          <w:lang w:val="zh-CN" w:eastAsia="zh-CN"/>
        </w:rPr>
        <w:t>Transcorridos 30 (trinta) dias do prazo de execução estabelecido no Contrato, será considerado extinto o Contrato Administrativo, canceladas as ordens de serviços e aplicada multa de 20% (vinte inteiros por cento) por inexecução total, calculada sobre o valor do Contrato.</w:t>
      </w:r>
    </w:p>
    <w:p>
      <w:pPr>
        <w:pStyle w:val="Normal"/>
        <w:spacing w:lineRule="auto" w:line="360" w:before="142" w:after="142"/>
        <w:ind w:firstLine="709" w:start="0" w:end="0"/>
        <w:jc w:val="both"/>
        <w:rPr/>
      </w:pPr>
      <w:r>
        <w:rPr>
          <w:rFonts w:eastAsia="Times New Roman" w:cs="Times New Roman" w:ascii="Arial" w:hAnsi="Arial"/>
          <w:sz w:val="21"/>
          <w:szCs w:val="21"/>
          <w:lang w:val="zh-CN" w:eastAsia="zh-CN"/>
        </w:rPr>
        <w:t>Dependendo do descumprimento, se gerar algum prejuízo ao Município, poderá ser requerido do Contratado o valor de perdas e danos, após Processo Administrativo de reconhecimento da responsabilidade.</w:t>
      </w:r>
    </w:p>
    <w:p>
      <w:pPr>
        <w:pStyle w:val="Normal"/>
        <w:spacing w:lineRule="auto" w:line="360" w:before="142" w:after="142"/>
        <w:ind w:firstLine="709" w:start="0" w:end="0"/>
        <w:jc w:val="both"/>
        <w:rPr/>
      </w:pPr>
      <w:r>
        <w:rPr>
          <w:rFonts w:eastAsia="Times New Roman" w:cs="Times New Roman" w:ascii="Arial" w:hAnsi="Arial"/>
          <w:sz w:val="21"/>
          <w:szCs w:val="21"/>
          <w:lang w:val="zh-CN" w:eastAsia="zh-CN"/>
        </w:rPr>
        <w:t>A sanção administrativa de multa poderá ser aplicada de forma cumulativa com a sanção de advertência, impedimento de licitar e contratar e declaração de inidoneidade para licitar ou contratar.</w:t>
      </w:r>
    </w:p>
    <w:p>
      <w:pPr>
        <w:pStyle w:val="Normal"/>
        <w:spacing w:lineRule="auto" w:line="360" w:before="142" w:after="142"/>
        <w:ind w:firstLine="709" w:start="0" w:end="0"/>
        <w:jc w:val="both"/>
        <w:rPr/>
      </w:pPr>
      <w:r>
        <w:rPr>
          <w:rFonts w:eastAsia="Times New Roman" w:cs="Times New Roman" w:ascii="Arial" w:hAnsi="Arial"/>
          <w:sz w:val="21"/>
          <w:szCs w:val="21"/>
          <w:lang w:val="zh-CN" w:eastAsia="zh-CN"/>
        </w:rPr>
        <w:t>A aplicação das sanções administrativas de impedimento de licitar e contratar e declaração de inidoneidade para licitar e contratar deverão respeitar o trâmite e procedimentos estabelecidos no art. 158 da Lei Federal n. 14.133/2021.</w:t>
      </w:r>
    </w:p>
    <w:p>
      <w:pPr>
        <w:pStyle w:val="Normal"/>
        <w:spacing w:lineRule="auto" w:line="360" w:before="142" w:after="142"/>
        <w:ind w:firstLine="709" w:start="0" w:end="0"/>
        <w:jc w:val="both"/>
        <w:rPr/>
      </w:pPr>
      <w:r>
        <w:rPr>
          <w:rFonts w:eastAsia="Times New Roman" w:cs="Times New Roman" w:ascii="Arial" w:hAnsi="Arial"/>
          <w:sz w:val="21"/>
          <w:szCs w:val="21"/>
          <w:lang w:val="zh-CN" w:eastAsia="zh-CN"/>
        </w:rPr>
        <w:t>As sanções administrativas de impedimento de licitar e contratar e declaração de inidoneidade para licitar e contratar são passíveis de reabilitação, na forma do art. 163 da Lei Federal n. 14.133/2021.</w:t>
      </w:r>
    </w:p>
    <w:p>
      <w:pPr>
        <w:pStyle w:val="Normal"/>
        <w:spacing w:lineRule="auto" w:line="360" w:before="142" w:after="142"/>
        <w:ind w:firstLine="709" w:start="0" w:end="0"/>
        <w:jc w:val="both"/>
        <w:rPr/>
      </w:pPr>
      <w:r>
        <w:rPr>
          <w:rFonts w:eastAsia="Times New Roman" w:cs="Times New Roman" w:ascii="Arial" w:hAnsi="Arial"/>
          <w:sz w:val="21"/>
          <w:szCs w:val="21"/>
          <w:lang w:val="zh-CN" w:eastAsia="zh-CN"/>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nos termos do art. 160 da Lei Federal n. 14.133/2021.</w:t>
      </w:r>
    </w:p>
    <w:p>
      <w:pPr>
        <w:pStyle w:val="Normal"/>
        <w:spacing w:lineRule="auto" w:line="360" w:before="142" w:after="142"/>
        <w:ind w:firstLine="709" w:start="0" w:end="0"/>
        <w:jc w:val="both"/>
        <w:rPr/>
      </w:pPr>
      <w:r>
        <w:rPr>
          <w:rFonts w:eastAsia="Times New Roman" w:cs="Times New Roman" w:ascii="Arial" w:hAnsi="Arial"/>
          <w:sz w:val="21"/>
          <w:szCs w:val="21"/>
          <w:lang w:val="zh-CN" w:eastAsia="zh-CN"/>
        </w:rPr>
        <w:t>O Contratante deverá, no prazo máximo de 15 (quinze) dias úteis, contado da data da aplicação da sanção, informar e manter atualizados os dados relativos às sanções aplicadas, para fins de publicidade no Cadastro Nacional de Empresas Inidôneas e Suspensas (Ceis) e no Cadastro Nacional de Empresas Punidas (Cnep), instituídos no âmbito do Poder Executivo Federal, nos termos do art. 161 da Lei Federal n. 14.133/2021.</w:t>
      </w:r>
    </w:p>
    <w:p>
      <w:pPr>
        <w:pStyle w:val="Normal"/>
        <w:spacing w:lineRule="auto" w:line="360" w:before="142" w:after="142"/>
        <w:ind w:firstLine="709" w:start="0" w:end="0"/>
        <w:jc w:val="both"/>
        <w:rPr/>
      </w:pPr>
      <w:r>
        <w:rPr>
          <w:rFonts w:eastAsia="Times New Roman" w:cs="Times New Roman" w:ascii="Arial" w:hAnsi="Arial"/>
          <w:sz w:val="21"/>
          <w:szCs w:val="21"/>
          <w:lang w:val="zh-CN" w:eastAsia="zh-CN"/>
        </w:rPr>
        <w:t>Os débitos do licitante/contratado com a Administração Pública contratante, resultantes da aplicação de multas e/ou indenizações, poderão ser compensados, total ou parcialmente, nos casos da existência de crédito em favor do licitante/contratado, decorrentes do mesmo contrato ou de outros contratos administrativos firmados com a mesma entidade/órgão público contratante.</w:t>
      </w:r>
    </w:p>
    <w:p>
      <w:pPr>
        <w:pStyle w:val="Normal"/>
        <w:spacing w:lineRule="auto" w:line="360" w:before="142" w:after="142"/>
        <w:ind w:hanging="0" w:start="0" w:end="0"/>
        <w:jc w:val="both"/>
        <w:rPr/>
      </w:pPr>
      <w:r>
        <w:rPr>
          <w:rFonts w:eastAsia="Times New Roman" w:cs="Times New Roman" w:ascii="Arial" w:hAnsi="Arial"/>
          <w:sz w:val="21"/>
          <w:szCs w:val="21"/>
          <w:lang w:val="zh-CN" w:eastAsia="zh-CN"/>
        </w:rPr>
        <w:tab/>
        <w:t>Na hipótese de aplicação de penalidade de multa, após os procedimentos legais, será emitida notificação de cobrança ao licitante, que deverá fazer o recolhimento do valor no prazo estabelecido na decisão do processo administrativo, sob pena de cobrança judicial.</w:t>
      </w:r>
    </w:p>
    <w:p>
      <w:pPr>
        <w:pStyle w:val="Normal"/>
        <w:tabs>
          <w:tab w:val="clear" w:pos="709"/>
          <w:tab w:val="left" w:pos="2340" w:leader="none"/>
          <w:tab w:val="left" w:pos="4464" w:leader="none"/>
        </w:tabs>
        <w:spacing w:lineRule="auto" w:line="360" w:before="142" w:after="142"/>
        <w:ind w:firstLine="709" w:start="0" w:end="0"/>
        <w:jc w:val="both"/>
        <w:rPr>
          <w:rFonts w:ascii="Arial" w:hAnsi="Arial" w:eastAsia="Arial" w:cs="Arial"/>
          <w:sz w:val="21"/>
          <w:szCs w:val="21"/>
          <w:shd w:fill="FFFF00" w:val="clear"/>
        </w:rPr>
      </w:pPr>
      <w:r>
        <w:rPr>
          <w:rFonts w:eastAsia="Arial" w:cs="Arial" w:ascii="Arial" w:hAnsi="Arial"/>
          <w:sz w:val="21"/>
          <w:szCs w:val="21"/>
          <w:shd w:fill="FFFF00" w:val="clear"/>
        </w:rPr>
      </w:r>
    </w:p>
    <w:p>
      <w:pPr>
        <w:pStyle w:val="Normal"/>
        <w:spacing w:lineRule="auto" w:line="360" w:before="142" w:after="142"/>
        <w:ind w:firstLine="709" w:start="0" w:end="0"/>
        <w:jc w:val="end"/>
        <w:rPr/>
      </w:pPr>
      <w:r>
        <w:rPr>
          <w:rFonts w:ascii="Arial" w:hAnsi="Arial"/>
          <w:sz w:val="21"/>
          <w:szCs w:val="21"/>
        </w:rPr>
        <w:tab/>
        <w:t>Lindóia do Sul, 22 de junho de 2026.</w:t>
      </w:r>
    </w:p>
    <w:p>
      <w:pPr>
        <w:pStyle w:val="BodyText"/>
        <w:spacing w:lineRule="auto" w:line="360" w:before="142" w:after="142"/>
        <w:ind w:firstLine="709" w:start="0" w:end="0"/>
        <w:jc w:val="both"/>
        <w:rPr>
          <w:rFonts w:ascii="Arial" w:hAnsi="Arial"/>
          <w:sz w:val="21"/>
          <w:szCs w:val="21"/>
          <w:lang w:val="pt-BR"/>
        </w:rPr>
      </w:pPr>
      <w:r>
        <w:rPr>
          <w:sz w:val="21"/>
          <w:szCs w:val="21"/>
          <w:lang w:val="pt-BR"/>
        </w:rPr>
      </w:r>
    </w:p>
    <w:p>
      <w:pPr>
        <w:pStyle w:val="Footer"/>
        <w:spacing w:lineRule="auto" w:line="276" w:before="0" w:after="0"/>
        <w:ind w:firstLine="709" w:start="0" w:end="0"/>
        <w:jc w:val="center"/>
        <w:rPr>
          <w:sz w:val="21"/>
          <w:szCs w:val="21"/>
        </w:rPr>
      </w:pPr>
      <w:r>
        <mc:AlternateContent>
          <mc:Choice Requires="wps">
            <w:drawing>
              <wp:anchor distT="3175" distB="3175" distL="635" distR="635" simplePos="0" relativeHeight="5" behindDoc="0" locked="0" layoutInCell="1" allowOverlap="1">
                <wp:simplePos x="0" y="0"/>
                <wp:positionH relativeFrom="column">
                  <wp:posOffset>1229995</wp:posOffset>
                </wp:positionH>
                <wp:positionV relativeFrom="paragraph">
                  <wp:posOffset>98425</wp:posOffset>
                </wp:positionV>
                <wp:extent cx="3427095" cy="12700"/>
                <wp:effectExtent l="635" t="3175" r="635" b="3175"/>
                <wp:wrapNone/>
                <wp:docPr id="1" name="Conector Reto 1"/>
                <a:graphic xmlns:a="http://schemas.openxmlformats.org/drawingml/2006/main">
                  <a:graphicData uri="http://schemas.microsoft.com/office/word/2010/wordprocessingShape">
                    <wps:wsp>
                      <wps:cNvSpPr/>
                      <wps:spPr>
                        <a:xfrm flipV="1">
                          <a:off x="0" y="0"/>
                          <a:ext cx="3427200" cy="12600"/>
                        </a:xfrm>
                        <a:prstGeom prst="line">
                          <a:avLst/>
                        </a:prstGeom>
                        <a:ln w="6480">
                          <a:solidFill>
                            <a:srgbClr val="000000"/>
                          </a:solidFill>
                          <a:miter/>
                        </a:ln>
                      </wps:spPr>
                      <wps:style>
                        <a:lnRef idx="0"/>
                        <a:fillRef idx="0"/>
                        <a:effectRef idx="0"/>
                        <a:fontRef idx="minor"/>
                      </wps:style>
                      <wps:bodyPr/>
                    </wps:wsp>
                  </a:graphicData>
                </a:graphic>
              </wp:anchor>
            </w:drawing>
          </mc:Choice>
          <mc:Fallback>
            <w:pict>
              <v:line id="shape_0" from="96.85pt,7.75pt" to="366.65pt,8.7pt" stroked="t" o:allowincell="f" style="position:absolute;flip:y">
                <v:stroke color="black" weight="6480" joinstyle="miter" endcap="flat"/>
                <v:fill o:detectmouseclick="t" on="false"/>
                <w10:wrap type="none"/>
              </v:line>
            </w:pict>
          </mc:Fallback>
        </mc:AlternateContent>
      </w:r>
      <w:r>
        <w:rPr>
          <w:rFonts w:ascii="Arial" w:hAnsi="Arial"/>
          <w:sz w:val="21"/>
          <w:szCs w:val="21"/>
        </w:rPr>
        <w:br/>
        <w:t>Eduarda de Vargas</w:t>
        <w:br/>
        <w:t>Engenheira Civil CREA-SC 207628-1</w:t>
      </w:r>
    </w:p>
    <w:p>
      <w:pPr>
        <w:pStyle w:val="Footer"/>
        <w:spacing w:lineRule="auto" w:line="276" w:before="0" w:after="0"/>
        <w:ind w:hanging="0" w:start="0" w:end="0"/>
        <w:jc w:val="center"/>
        <w:rPr>
          <w:b w:val="false"/>
          <w:bCs w:val="false"/>
          <w:sz w:val="21"/>
          <w:szCs w:val="21"/>
        </w:rPr>
      </w:pPr>
      <w:r>
        <w:rPr>
          <w:rFonts w:ascii="Arial" w:hAnsi="Arial"/>
          <w:b w:val="false"/>
          <w:bCs w:val="false"/>
          <w:sz w:val="21"/>
          <w:szCs w:val="21"/>
        </w:rPr>
        <w:t>Prefeitura Mun. Lindóia do Sul</w:t>
      </w:r>
      <w:r>
        <w:br w:type="page"/>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t>ANEXO II</w:t>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t>DADOS DA PROPONENTE</w:t>
      </w:r>
    </w:p>
    <w:p>
      <w:pPr>
        <w:pStyle w:val="Normal"/>
        <w:widowControl/>
        <w:suppressAutoHyphens w:val="true"/>
        <w:bidi w:val="0"/>
        <w:spacing w:lineRule="auto" w:line="276" w:before="0" w:after="0"/>
        <w:ind w:hanging="0" w:start="0" w:end="0"/>
        <w:jc w:val="both"/>
        <w:rPr>
          <w:rFonts w:ascii="Arial" w:hAnsi="Arial"/>
          <w:b/>
          <w:bCs/>
          <w:sz w:val="21"/>
          <w:szCs w:val="21"/>
        </w:rPr>
      </w:pPr>
      <w:r>
        <w:rPr>
          <w:rFonts w:ascii="Arial" w:hAnsi="Arial"/>
          <w:b/>
          <w:bCs/>
          <w:sz w:val="21"/>
          <w:szCs w:val="21"/>
        </w:rPr>
      </w:r>
    </w:p>
    <w:p>
      <w:pPr>
        <w:pStyle w:val="BodyText"/>
        <w:rPr>
          <w:rFonts w:ascii="Arial" w:hAnsi="Arial"/>
          <w:b/>
          <w:bCs/>
          <w:sz w:val="21"/>
          <w:szCs w:val="21"/>
        </w:rPr>
      </w:pPr>
      <w:r>
        <w:rPr>
          <w:b/>
          <w:bCs/>
          <w:sz w:val="21"/>
          <w:szCs w:val="21"/>
        </w:rPr>
        <w:t>PROCESSO LICITATÓRIO Nº 54/2026</w:t>
      </w:r>
    </w:p>
    <w:p>
      <w:pPr>
        <w:pStyle w:val="BodyText"/>
        <w:rPr>
          <w:rFonts w:ascii="Arial" w:hAnsi="Arial"/>
          <w:b/>
          <w:bCs/>
          <w:i w:val="false"/>
          <w:iCs w:val="false"/>
          <w:strike w:val="false"/>
          <w:dstrike w:val="false"/>
          <w:color w:val="000000"/>
          <w:sz w:val="21"/>
          <w:szCs w:val="21"/>
          <w:u w:val="none"/>
        </w:rPr>
      </w:pPr>
      <w:r>
        <w:rPr>
          <w:b/>
          <w:bCs/>
          <w:i w:val="false"/>
          <w:iCs w:val="false"/>
          <w:strike w:val="false"/>
          <w:dstrike w:val="false"/>
          <w:color w:val="000000"/>
          <w:sz w:val="21"/>
          <w:szCs w:val="21"/>
          <w:u w:val="none"/>
        </w:rPr>
        <w:t>CONCORRÊNCIA ELETRÔNICA Nº 04/2026</w:t>
      </w:r>
    </w:p>
    <w:p>
      <w:pPr>
        <w:pStyle w:val="Normal"/>
        <w:widowControl/>
        <w:suppressAutoHyphens w:val="true"/>
        <w:bidi w:val="0"/>
        <w:spacing w:lineRule="auto" w:line="276" w:before="0" w:after="0"/>
        <w:ind w:hanging="0" w:start="0" w:end="0"/>
        <w:jc w:val="both"/>
        <w:rPr>
          <w:rFonts w:ascii="Arial" w:hAnsi="Arial"/>
          <w:b/>
          <w:bCs/>
          <w:sz w:val="21"/>
          <w:szCs w:val="21"/>
        </w:rPr>
      </w:pPr>
      <w:r>
        <w:rPr>
          <w:rFonts w:ascii="Arial" w:hAnsi="Arial"/>
          <w:b/>
          <w:bCs/>
          <w:sz w:val="21"/>
          <w:szCs w:val="21"/>
        </w:rPr>
      </w:r>
    </w:p>
    <w:p>
      <w:pPr>
        <w:pStyle w:val="Normal"/>
        <w:widowControl/>
        <w:suppressAutoHyphens w:val="true"/>
        <w:bidi w:val="0"/>
        <w:spacing w:lineRule="auto" w:line="276" w:before="0" w:after="0"/>
        <w:ind w:hanging="0" w:start="0" w:end="0"/>
        <w:jc w:val="both"/>
        <w:rPr>
          <w:rFonts w:ascii="Arial" w:hAnsi="Arial"/>
          <w:b/>
          <w:bCs/>
          <w:sz w:val="21"/>
          <w:szCs w:val="21"/>
        </w:rPr>
      </w:pPr>
      <w:r>
        <w:rPr>
          <w:rFonts w:ascii="Arial" w:hAnsi="Arial"/>
          <w:b/>
          <w:bCs/>
          <w:sz w:val="21"/>
          <w:szCs w:val="21"/>
        </w:rPr>
        <w:t>1. DADOS BANCÁRIOS DA EMPRESA</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NOME DO BANCO:</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CIDADE:</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Nº DA AGÊNCIA:</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Nº DA CONTA CORRENTE:</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NOME DA CONTA CORRENTE (em nome da empresa):</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CHAVE PIX:</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b/>
          <w:bCs/>
          <w:sz w:val="21"/>
          <w:szCs w:val="21"/>
        </w:rPr>
      </w:pPr>
      <w:r>
        <w:rPr>
          <w:rFonts w:ascii="Arial" w:hAnsi="Arial"/>
          <w:b/>
          <w:bCs/>
          <w:sz w:val="21"/>
          <w:szCs w:val="21"/>
        </w:rPr>
        <w:t>2. DADOS DO REPRESENTANTE LEGAL RESPONSÁVEL PELA ASSINATURA DOCUMENTOS</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NOME COMPLETO:</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CARGO OU FUNÇÃO:</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IDENTIDADE Nº:</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CPF/MF Nº:</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TELEFONE PARA CONTATO:</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b/>
          <w:bCs/>
          <w:sz w:val="21"/>
          <w:szCs w:val="21"/>
        </w:rPr>
      </w:pPr>
      <w:r>
        <w:rPr>
          <w:rFonts w:ascii="Arial" w:hAnsi="Arial"/>
          <w:b/>
          <w:bCs/>
          <w:sz w:val="21"/>
          <w:szCs w:val="21"/>
        </w:rPr>
        <w:t>3. DECLARAÇÃO DE DOMICÍLIO ELETRÔNICO DA EMPRESA</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Declaramos que o Domicílio Eletrônico da Empresa para o recebimento de autorizações de fornecimento, alerta de avisos, notificações e decisões administrativas, é:</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E-MAIL:</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Obs.: Informar preferencialmente apenas um e-mail como domicílio eletrônico da empresa. Poderá ser informado mais de um e-mail, porém somente será(ão) utilizado(s) se o Município não conseguir contato com o e-mail preferencial (primeiro informado).</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b/>
          <w:bCs/>
          <w:sz w:val="21"/>
          <w:szCs w:val="21"/>
        </w:rPr>
      </w:pPr>
      <w:r>
        <w:rPr>
          <w:rFonts w:ascii="Arial" w:hAnsi="Arial"/>
          <w:b/>
          <w:bCs/>
          <w:sz w:val="21"/>
          <w:szCs w:val="21"/>
        </w:rPr>
        <w:t>4. DECLARAÇÃO DE ASSINATURA POR CERTIFICAÇÃO DIGITAL</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Declaramos estar ciente que o representante legal indicado neste documento será o signatário do “Contrato”, o qual deverá assinar o documento, que poderá ser eletrônico em formato “PDF”, por certificação digital, caso assim solicitado, bem como somente serão autorizados os pagamentos em contas cujo CNPJ de titularidade seja idêntico àquele da habilitação e proposta vinculada, na licitação, salvo em caso de participação em consórcios de empresa.</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t>Local, ______ de ____________________ de 2026.</w:t>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t>(nome e assinatura do responsável legal)</w:t>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t>ANEXO III</w:t>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t>DECLARAÇÃO DE CUMPRIMENTO PLENO DOS REQUISITOS DE HABILITAÇÃO</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BodyText"/>
        <w:rPr>
          <w:rFonts w:ascii="Arial" w:hAnsi="Arial"/>
          <w:b/>
          <w:bCs/>
          <w:sz w:val="21"/>
          <w:szCs w:val="21"/>
        </w:rPr>
      </w:pPr>
      <w:r>
        <w:rPr>
          <w:b/>
          <w:bCs/>
          <w:sz w:val="21"/>
          <w:szCs w:val="21"/>
        </w:rPr>
        <w:t>PROCESSO LICITATÓRIO Nº 54/2026</w:t>
      </w:r>
    </w:p>
    <w:p>
      <w:pPr>
        <w:pStyle w:val="BodyText"/>
        <w:rPr>
          <w:rFonts w:ascii="Arial" w:hAnsi="Arial"/>
          <w:b/>
          <w:bCs/>
          <w:i w:val="false"/>
          <w:iCs w:val="false"/>
          <w:strike w:val="false"/>
          <w:dstrike w:val="false"/>
          <w:color w:val="000000"/>
          <w:sz w:val="21"/>
          <w:szCs w:val="21"/>
          <w:u w:val="none"/>
        </w:rPr>
      </w:pPr>
      <w:r>
        <w:rPr>
          <w:b/>
          <w:bCs/>
          <w:i w:val="false"/>
          <w:iCs w:val="false"/>
          <w:strike w:val="false"/>
          <w:dstrike w:val="false"/>
          <w:color w:val="000000"/>
          <w:sz w:val="21"/>
          <w:szCs w:val="21"/>
          <w:u w:val="none"/>
        </w:rPr>
        <w:t>CONCORRÊNCIA ELETRÔNICA Nº 04/2026</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 xml:space="preserve"> </w:t>
      </w:r>
      <w:r>
        <w:rPr>
          <w:rFonts w:ascii="Arial" w:hAnsi="Arial"/>
          <w:sz w:val="21"/>
          <w:szCs w:val="21"/>
        </w:rPr>
        <w:tab/>
        <w:t>(</w:t>
      </w:r>
      <w:r>
        <w:rPr>
          <w:rFonts w:ascii="Arial" w:hAnsi="Arial"/>
          <w:color w:val="C9211E"/>
          <w:sz w:val="21"/>
          <w:szCs w:val="21"/>
        </w:rPr>
        <w:t>RAZÃO SOCIAL DA EMPRESA</w:t>
      </w:r>
      <w:r>
        <w:rPr>
          <w:rFonts w:ascii="Arial" w:hAnsi="Arial"/>
          <w:sz w:val="21"/>
          <w:szCs w:val="21"/>
        </w:rPr>
        <w:t>)</w:t>
        <w:tab/>
        <w:t>CNPJ nº</w:t>
        <w:tab/>
        <w:t>, sediada em (E</w:t>
      </w:r>
      <w:r>
        <w:rPr>
          <w:rFonts w:ascii="Arial" w:hAnsi="Arial"/>
          <w:color w:val="C9211E"/>
          <w:sz w:val="21"/>
          <w:szCs w:val="21"/>
        </w:rPr>
        <w:t>NDEREÇO COMERCIAL</w:t>
      </w:r>
      <w:r>
        <w:rPr>
          <w:rFonts w:ascii="Arial" w:hAnsi="Arial"/>
          <w:sz w:val="21"/>
          <w:szCs w:val="21"/>
        </w:rPr>
        <w:t>)</w:t>
        <w:tab/>
        <w:t>, declara, sob as penas da Lei Federal nº 14.133, de 2021, que cumpre plenamente os requisitos para sua habilitação no presente processo licitatório.</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 xml:space="preserve">OBS – </w:t>
      </w:r>
      <w:r>
        <w:rPr>
          <w:rFonts w:ascii="Arial" w:hAnsi="Arial"/>
          <w:color w:val="C9211E"/>
          <w:sz w:val="21"/>
          <w:szCs w:val="21"/>
        </w:rPr>
        <w:t>Se for Microempresa ou Empresa de Pequeno Porte – EPP com problemas na habilitação, fazer constar tal ressalva.</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 xml:space="preserve"> </w:t>
      </w:r>
      <w:r>
        <w:rPr>
          <w:rFonts w:ascii="Arial" w:hAnsi="Arial"/>
          <w:sz w:val="21"/>
          <w:szCs w:val="21"/>
        </w:rPr>
        <w:tab/>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t>Local, ______ de ____________________ de 2026.</w:t>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t>(nome e assinatura do responsável legal)</w:t>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t>ANEXO IV</w:t>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t>DECLARAÇÃO DE AUSÊNCIA DE CONDENAÇÃO</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BodyText"/>
        <w:rPr>
          <w:rFonts w:ascii="Arial" w:hAnsi="Arial"/>
          <w:b/>
          <w:bCs/>
          <w:sz w:val="21"/>
          <w:szCs w:val="21"/>
        </w:rPr>
      </w:pPr>
      <w:r>
        <w:rPr>
          <w:b/>
          <w:bCs/>
          <w:sz w:val="21"/>
          <w:szCs w:val="21"/>
        </w:rPr>
        <w:t>PROCESSO LICITATÓRIO Nº 54/2026</w:t>
      </w:r>
    </w:p>
    <w:p>
      <w:pPr>
        <w:pStyle w:val="BodyText"/>
        <w:rPr>
          <w:rFonts w:ascii="Arial" w:hAnsi="Arial"/>
          <w:b/>
          <w:bCs/>
          <w:i w:val="false"/>
          <w:iCs w:val="false"/>
          <w:strike w:val="false"/>
          <w:dstrike w:val="false"/>
          <w:color w:val="000000"/>
          <w:sz w:val="21"/>
          <w:szCs w:val="21"/>
          <w:u w:val="none"/>
          <w:shd w:fill="auto" w:val="clear"/>
        </w:rPr>
      </w:pPr>
      <w:r>
        <w:rPr>
          <w:b/>
          <w:bCs/>
          <w:i w:val="false"/>
          <w:iCs w:val="false"/>
          <w:strike w:val="false"/>
          <w:dstrike w:val="false"/>
          <w:color w:val="000000"/>
          <w:sz w:val="21"/>
          <w:szCs w:val="21"/>
          <w:u w:val="none"/>
          <w:shd w:fill="auto" w:val="clear"/>
        </w:rPr>
        <w:t>CONCORRÊNCIA ELETRÔNICA Nº 04/2026</w:t>
      </w:r>
    </w:p>
    <w:p>
      <w:pPr>
        <w:pStyle w:val="Normal"/>
        <w:widowControl/>
        <w:suppressAutoHyphens w:val="true"/>
        <w:bidi w:val="0"/>
        <w:spacing w:lineRule="auto" w:line="276" w:before="0" w:after="0"/>
        <w:ind w:hanging="0" w:start="0" w:end="0"/>
        <w:jc w:val="both"/>
        <w:rPr>
          <w:rFonts w:ascii="Arial" w:hAnsi="Arial"/>
          <w:sz w:val="21"/>
          <w:szCs w:val="21"/>
          <w:lang w:val="pt-BR"/>
        </w:rPr>
      </w:pPr>
      <w:r>
        <w:rPr>
          <w:rFonts w:ascii="Arial" w:hAnsi="Arial"/>
          <w:sz w:val="21"/>
          <w:szCs w:val="21"/>
          <w:lang w:val="pt-BR"/>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 xml:space="preserve"> </w:t>
      </w:r>
      <w:r>
        <w:rPr>
          <w:rFonts w:ascii="Arial" w:hAnsi="Arial"/>
          <w:sz w:val="21"/>
          <w:szCs w:val="21"/>
        </w:rPr>
        <w:tab/>
        <w:t>(</w:t>
      </w:r>
      <w:r>
        <w:rPr>
          <w:rFonts w:ascii="Arial" w:hAnsi="Arial"/>
          <w:color w:val="C9211E"/>
          <w:sz w:val="21"/>
          <w:szCs w:val="21"/>
        </w:rPr>
        <w:t>RAZÃO SOCIAL DA EMPRESA</w:t>
      </w:r>
      <w:r>
        <w:rPr>
          <w:rFonts w:ascii="Arial" w:hAnsi="Arial"/>
          <w:sz w:val="21"/>
          <w:szCs w:val="21"/>
        </w:rPr>
        <w:t>)</w:t>
        <w:tab/>
        <w:t>CNPJ nº</w:t>
        <w:tab/>
        <w:t>, sediada em (</w:t>
      </w:r>
      <w:r>
        <w:rPr>
          <w:rFonts w:ascii="Arial" w:hAnsi="Arial"/>
          <w:color w:val="C9211E"/>
          <w:sz w:val="21"/>
          <w:szCs w:val="21"/>
        </w:rPr>
        <w:t>ENDEREÇO COMERCIAL</w:t>
      </w:r>
      <w:r>
        <w:rPr>
          <w:rFonts w:ascii="Arial" w:hAnsi="Arial"/>
          <w:sz w:val="21"/>
          <w:szCs w:val="21"/>
        </w:rPr>
        <w:t>)</w:t>
        <w:tab/>
        <w:t>, declara, sob as penas da Lei Federal nº 14.133, 2021,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 xml:space="preserve"> </w:t>
      </w:r>
      <w:r>
        <w:rPr>
          <w:rFonts w:ascii="Arial" w:hAnsi="Arial"/>
          <w:sz w:val="21"/>
          <w:szCs w:val="21"/>
        </w:rPr>
        <w:tab/>
      </w:r>
      <w:r>
        <w:rPr>
          <w:rFonts w:eastAsia="Times New Roman" w:cs="Arial" w:ascii="Arial" w:hAnsi="Arial"/>
          <w:color w:val="000000"/>
          <w:kern w:val="2"/>
          <w:sz w:val="21"/>
          <w:szCs w:val="21"/>
          <w:lang w:eastAsia="zh-CN"/>
        </w:rPr>
        <w:t>Local, ______ de ____________________ de 2026.</w:t>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t>(nome e assinatura do responsável legal)</w:t>
      </w:r>
    </w:p>
    <w:p>
      <w:pPr>
        <w:pStyle w:val="Normal"/>
        <w:widowControl/>
        <w:suppressAutoHyphens w:val="true"/>
        <w:bidi w:val="0"/>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t>ANEXO V</w:t>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t>DECLARAÇÃO DE AUSÊNCIA DE VÍNCULO SOCIAL E FUNCIONAL</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BodyText"/>
        <w:rPr>
          <w:rFonts w:ascii="Arial" w:hAnsi="Arial"/>
          <w:b/>
          <w:bCs/>
          <w:sz w:val="21"/>
          <w:szCs w:val="21"/>
        </w:rPr>
      </w:pPr>
      <w:r>
        <w:rPr>
          <w:b/>
          <w:bCs/>
          <w:sz w:val="21"/>
          <w:szCs w:val="21"/>
        </w:rPr>
        <w:t>PROCESSO LICITATÓRIO Nº 54/2026</w:t>
      </w:r>
    </w:p>
    <w:p>
      <w:pPr>
        <w:pStyle w:val="BodyText"/>
        <w:rPr>
          <w:rFonts w:ascii="Arial" w:hAnsi="Arial"/>
          <w:b/>
          <w:bCs/>
          <w:i w:val="false"/>
          <w:iCs w:val="false"/>
          <w:strike w:val="false"/>
          <w:dstrike w:val="false"/>
          <w:color w:val="000000"/>
          <w:sz w:val="21"/>
          <w:szCs w:val="21"/>
          <w:u w:val="none"/>
          <w:shd w:fill="auto" w:val="clear"/>
        </w:rPr>
      </w:pPr>
      <w:r>
        <w:rPr>
          <w:b/>
          <w:bCs/>
          <w:i w:val="false"/>
          <w:iCs w:val="false"/>
          <w:strike w:val="false"/>
          <w:dstrike w:val="false"/>
          <w:color w:val="000000"/>
          <w:sz w:val="21"/>
          <w:szCs w:val="21"/>
          <w:u w:val="none"/>
          <w:shd w:fill="auto" w:val="clear"/>
        </w:rPr>
        <w:t>CONCORRÊNCIA ELETRÔNICA Nº 04/2026</w:t>
      </w:r>
    </w:p>
    <w:p>
      <w:pPr>
        <w:pStyle w:val="BodyText"/>
        <w:rPr>
          <w:rFonts w:ascii="Arial" w:hAnsi="Arial"/>
          <w:b/>
          <w:bCs/>
          <w:i w:val="false"/>
          <w:iCs w:val="false"/>
          <w:strike w:val="false"/>
          <w:dstrike w:val="false"/>
          <w:color w:val="000000"/>
          <w:sz w:val="21"/>
          <w:szCs w:val="21"/>
          <w:u w:val="none"/>
          <w:shd w:fill="auto" w:val="clear"/>
        </w:rPr>
      </w:pPr>
      <w:r>
        <w:rPr>
          <w:b/>
          <w:bCs/>
          <w:i w:val="false"/>
          <w:iCs w:val="false"/>
          <w:strike w:val="false"/>
          <w:dstrike w:val="false"/>
          <w:color w:val="000000"/>
          <w:sz w:val="21"/>
          <w:szCs w:val="21"/>
          <w:u w:val="none"/>
          <w:shd w:fill="auto" w:val="clear"/>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 xml:space="preserve"> </w:t>
      </w:r>
      <w:r>
        <w:rPr>
          <w:rFonts w:ascii="Arial" w:hAnsi="Arial"/>
          <w:sz w:val="21"/>
          <w:szCs w:val="21"/>
        </w:rPr>
        <w:tab/>
        <w:t>(</w:t>
      </w:r>
      <w:r>
        <w:rPr>
          <w:rFonts w:ascii="Arial" w:hAnsi="Arial"/>
          <w:color w:val="C9211E"/>
          <w:sz w:val="21"/>
          <w:szCs w:val="21"/>
        </w:rPr>
        <w:t>RAZÃO SOCIAL DA EMPRESA</w:t>
      </w:r>
      <w:r>
        <w:rPr>
          <w:rFonts w:ascii="Arial" w:hAnsi="Arial"/>
          <w:sz w:val="21"/>
          <w:szCs w:val="21"/>
        </w:rPr>
        <w:t>)</w:t>
        <w:tab/>
        <w:t>CNPJ nº ____________, sediada em (</w:t>
      </w:r>
      <w:r>
        <w:rPr>
          <w:rFonts w:ascii="Arial" w:hAnsi="Arial"/>
          <w:color w:val="C9211E"/>
          <w:sz w:val="21"/>
          <w:szCs w:val="21"/>
        </w:rPr>
        <w:t>ENDEREÇO COMERCIAL</w:t>
      </w:r>
      <w:r>
        <w:rPr>
          <w:rFonts w:ascii="Arial" w:hAnsi="Arial"/>
          <w:sz w:val="21"/>
          <w:szCs w:val="21"/>
        </w:rPr>
        <w:t>)</w:t>
        <w:tab/>
        <w:t>através de seu representante legal, Sr(a). _________________, declara, sob as penas da Lei Federal nº 14.133, 2021, que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bem como declara</w:t>
      </w:r>
      <w:r>
        <w:rPr>
          <w:rFonts w:eastAsia="Times New Roman" w:cs="Arial" w:ascii="Arial" w:hAnsi="Arial"/>
          <w:kern w:val="0"/>
          <w:sz w:val="21"/>
          <w:szCs w:val="21"/>
          <w:lang w:eastAsia="pt-BR"/>
        </w:rPr>
        <w:t xml:space="preserve"> sob as penas da lei </w:t>
      </w:r>
      <w:r>
        <w:rPr>
          <w:rFonts w:eastAsia="Times New Roman" w:cs="Arial" w:ascii="Arial" w:hAnsi="Arial"/>
          <w:bCs/>
          <w:kern w:val="0"/>
          <w:sz w:val="21"/>
          <w:szCs w:val="21"/>
          <w:lang w:eastAsia="pt-BR"/>
        </w:rPr>
        <w:t>que não integra em seus quadros social e funcional, servidor público da administração direta ou indireta do Município de Lindóia do Sul, e agente político da esfera municipal de Lindóia do Sul, do Estado de Santa Catarina, e da União.</w:t>
      </w:r>
    </w:p>
    <w:p>
      <w:pPr>
        <w:pStyle w:val="Normal"/>
        <w:widowControl/>
        <w:suppressAutoHyphens w:val="true"/>
        <w:bidi w:val="0"/>
        <w:spacing w:lineRule="auto" w:line="276" w:before="0" w:after="0"/>
        <w:ind w:hanging="0" w:start="0" w:end="0"/>
        <w:jc w:val="both"/>
        <w:rPr>
          <w:rFonts w:ascii="Arial" w:hAnsi="Arial"/>
          <w:sz w:val="21"/>
          <w:szCs w:val="21"/>
        </w:rPr>
      </w:pPr>
      <w:r>
        <w:rPr>
          <w:rFonts w:eastAsia="Arial" w:cs="Arial" w:ascii="Arial" w:hAnsi="Arial"/>
          <w:b w:val="false"/>
          <w:bCs w:val="false"/>
          <w:kern w:val="0"/>
          <w:sz w:val="21"/>
          <w:szCs w:val="21"/>
          <w:lang w:eastAsia="pt-BR"/>
        </w:rPr>
        <w:tab/>
      </w:r>
      <w:r>
        <w:rPr>
          <w:rFonts w:eastAsia="Times New Roman" w:cs="Arial" w:ascii="Arial" w:hAnsi="Arial"/>
          <w:b w:val="false"/>
          <w:bCs w:val="false"/>
          <w:kern w:val="0"/>
          <w:sz w:val="21"/>
          <w:szCs w:val="21"/>
          <w:lang w:eastAsia="pt-BR"/>
        </w:rPr>
        <w:t xml:space="preserve">Portanto, inclusive, a empresa declara que também está em conformidade com o que prevê o art. </w:t>
      </w:r>
      <w:r>
        <w:rPr>
          <w:rFonts w:cs="Arial" w:ascii="Arial" w:hAnsi="Arial"/>
          <w:b w:val="false"/>
          <w:bCs w:val="false"/>
          <w:kern w:val="2"/>
          <w:sz w:val="21"/>
          <w:szCs w:val="21"/>
          <w:lang w:eastAsia="zh-CN"/>
        </w:rPr>
        <w:t>54 I “a” da Constituição Federal e art. 43 I ”a” e II “a” da Constituição do Estado de Santa Catarina.</w:t>
      </w:r>
      <w:r>
        <w:rPr>
          <w:rFonts w:eastAsia="Times New Roman" w:cs="Arial" w:ascii="Arial" w:hAnsi="Arial"/>
          <w:b w:val="false"/>
          <w:bCs w:val="false"/>
          <w:kern w:val="0"/>
          <w:sz w:val="21"/>
          <w:szCs w:val="21"/>
          <w:lang w:eastAsia="pt-BR"/>
        </w:rPr>
        <w:t xml:space="preserve"> </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 xml:space="preserve"> </w:t>
      </w:r>
      <w:r>
        <w:rPr>
          <w:rFonts w:ascii="Arial" w:hAnsi="Arial"/>
          <w:sz w:val="21"/>
          <w:szCs w:val="21"/>
        </w:rPr>
        <w:tab/>
      </w:r>
      <w:r>
        <w:rPr>
          <w:rFonts w:eastAsia="Times New Roman" w:cs="Arial" w:ascii="Arial" w:hAnsi="Arial"/>
          <w:color w:val="000000"/>
          <w:kern w:val="2"/>
          <w:sz w:val="21"/>
          <w:szCs w:val="21"/>
          <w:lang w:eastAsia="zh-CN"/>
        </w:rPr>
        <w:t>Local, ______ de ____________________ de 2026.</w:t>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t>(nome e assinatura do responsável legal)</w:t>
      </w:r>
    </w:p>
    <w:p>
      <w:pPr>
        <w:pStyle w:val="Normal"/>
        <w:widowControl/>
        <w:suppressAutoHyphens w:val="true"/>
        <w:bidi w:val="0"/>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t>ANEXO VI</w:t>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t>DECLARAÇÃO DE MICROEMPRESAS E EMPRESAS DE PEQUENO PORTE</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BodyText"/>
        <w:rPr>
          <w:rFonts w:ascii="Arial" w:hAnsi="Arial"/>
          <w:b/>
          <w:bCs/>
          <w:sz w:val="21"/>
          <w:szCs w:val="21"/>
        </w:rPr>
      </w:pPr>
      <w:r>
        <w:rPr>
          <w:b/>
          <w:bCs/>
          <w:sz w:val="21"/>
          <w:szCs w:val="21"/>
        </w:rPr>
      </w:r>
    </w:p>
    <w:p>
      <w:pPr>
        <w:pStyle w:val="BodyText"/>
        <w:rPr>
          <w:rFonts w:ascii="Arial" w:hAnsi="Arial"/>
          <w:b/>
          <w:bCs/>
          <w:sz w:val="21"/>
          <w:szCs w:val="21"/>
        </w:rPr>
      </w:pPr>
      <w:r>
        <w:rPr>
          <w:b/>
          <w:bCs/>
          <w:sz w:val="21"/>
          <w:szCs w:val="21"/>
        </w:rPr>
        <w:t>PROCESSO LICITATÓRIO Nº 54/2026</w:t>
      </w:r>
    </w:p>
    <w:p>
      <w:pPr>
        <w:pStyle w:val="BodyText"/>
        <w:rPr>
          <w:rFonts w:ascii="Arial" w:hAnsi="Arial"/>
          <w:b/>
          <w:bCs/>
          <w:i w:val="false"/>
          <w:iCs w:val="false"/>
          <w:strike w:val="false"/>
          <w:dstrike w:val="false"/>
          <w:color w:val="000000"/>
          <w:sz w:val="21"/>
          <w:szCs w:val="21"/>
          <w:u w:val="none"/>
        </w:rPr>
      </w:pPr>
      <w:r>
        <w:rPr>
          <w:b/>
          <w:bCs/>
          <w:i w:val="false"/>
          <w:iCs w:val="false"/>
          <w:strike w:val="false"/>
          <w:dstrike w:val="false"/>
          <w:color w:val="000000"/>
          <w:sz w:val="21"/>
          <w:szCs w:val="21"/>
          <w:u w:val="none"/>
        </w:rPr>
        <w:t>CONCORRÊNCIA ELETRÔNICA Nº 04/2026</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A empresa</w:t>
        <w:tab/>
        <w:tab/>
        <w:t>, inscrita no CNPJ sob o nº</w:t>
        <w:tab/>
        <w:tab/>
        <w:t>, por intermédio de seu representante legal, o(a) Sr.(a.) ou procurado</w:t>
        <w:tab/>
        <w:tab/>
        <w:t>, portador(a) da Carteira de Identidade nº</w:t>
        <w:tab/>
        <w:t>, do CPF nº</w:t>
        <w:tab/>
        <w:tab/>
        <w:t>, DECLARA, sob as penas elencadas na Lei Federal n° 14.133, de 2021, que em conformidade com o previsto no art. 3° da Lei Complementar n° 123, de 15 de dezembro de 2006, ter a receita bruta equivalente a uma</w:t>
        <w:tab/>
        <w:tab/>
        <w:tab/>
        <w:t>(microempresa ou empresa de pequeno porte). Declara ainda que não há nenhum dos impedimentos previstos no § 4°, art. 3° da LC 123/06.</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t>Local, ______ de ____________________ de 2026.</w:t>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t>(nome e assinatura do responsável legal)</w:t>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t>ANEXO VII</w:t>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t>DECLARAÇÃO DE ENQUADRAMENTO DE RECEITA BRUTA PARA FINS DE BENEFÍCIO PREVISTO NA LEI COMPLEMENTAR FEDERAL 123/2006</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BodyText"/>
        <w:rPr>
          <w:rFonts w:ascii="Arial" w:hAnsi="Arial"/>
          <w:b/>
          <w:bCs/>
          <w:sz w:val="21"/>
          <w:szCs w:val="21"/>
        </w:rPr>
      </w:pPr>
      <w:r>
        <w:rPr>
          <w:b/>
          <w:bCs/>
          <w:sz w:val="21"/>
          <w:szCs w:val="21"/>
        </w:rPr>
        <w:t>PROCESSO LICITATÓRIO Nº 54/2026</w:t>
      </w:r>
    </w:p>
    <w:p>
      <w:pPr>
        <w:pStyle w:val="BodyText"/>
        <w:rPr>
          <w:rFonts w:ascii="Arial" w:hAnsi="Arial"/>
          <w:b/>
          <w:bCs/>
          <w:i w:val="false"/>
          <w:iCs w:val="false"/>
          <w:strike w:val="false"/>
          <w:dstrike w:val="false"/>
          <w:color w:val="000000"/>
          <w:sz w:val="21"/>
          <w:szCs w:val="21"/>
          <w:u w:val="none"/>
          <w:shd w:fill="auto" w:val="clear"/>
        </w:rPr>
      </w:pPr>
      <w:r>
        <w:rPr>
          <w:b/>
          <w:bCs/>
          <w:i w:val="false"/>
          <w:iCs w:val="false"/>
          <w:strike w:val="false"/>
          <w:dstrike w:val="false"/>
          <w:color w:val="000000"/>
          <w:sz w:val="21"/>
          <w:szCs w:val="21"/>
          <w:u w:val="none"/>
          <w:shd w:fill="auto" w:val="clear"/>
        </w:rPr>
        <w:t>CONCORRÊNCIA ELETRÔNICA Nº 04/2026</w:t>
      </w:r>
    </w:p>
    <w:p>
      <w:pPr>
        <w:pStyle w:val="Normal"/>
        <w:widowControl/>
        <w:suppressAutoHyphens w:val="true"/>
        <w:bidi w:val="0"/>
        <w:spacing w:lineRule="auto" w:line="276" w:before="0" w:after="0"/>
        <w:ind w:hanging="0" w:start="0" w:end="0"/>
        <w:jc w:val="both"/>
        <w:rPr>
          <w:rFonts w:ascii="Arial" w:hAnsi="Arial"/>
          <w:b/>
          <w:bCs/>
          <w:sz w:val="21"/>
          <w:szCs w:val="21"/>
        </w:rPr>
      </w:pPr>
      <w:r>
        <w:rPr>
          <w:rFonts w:ascii="Arial" w:hAnsi="Arial"/>
          <w:b/>
          <w:bCs/>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A empresa</w:t>
        <w:tab/>
        <w:tab/>
        <w:t>, inscrita no CNPJ sob o nº</w:t>
        <w:tab/>
        <w:tab/>
        <w:t>, por intermédio de seu representante legal, o(a) Sr.(a.) ou procurador</w:t>
        <w:tab/>
        <w:tab/>
        <w:t>, portador(a) da Carteira de Identidade nº</w:t>
        <w:tab/>
        <w:t>, do CPF nº</w:t>
        <w:tab/>
        <w:tab/>
        <w:t>, DECLARA, sob as penas elencadas na Lei Federal n° 14.133, de 2021, que não celebrou contratos com a Administração Pública cujos valores somados extrapolou a receita bruta máxima admitida para fins de enquadramento como Empresa de Pequeno Porte no ano-calendário desta licitação, em conformidade com o previsto no inciso II, do art. 3° da Lei Complementar n° 123, de 15 de dezembro de 2006 e § 2º, do art. 4º, da Lei Federal nº 14.133, de 2021.</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t>Local, ______ de ____________________ de 2026.</w:t>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t>(nome e assinatura do responsável legal)</w:t>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t>ANEXO VIII</w:t>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t>DECLARAÇÃO DE CUMPRIMENTO DO ARTIGO 7º, INCISO XXXIII, DA CONSTITUIÇÃO DA REPÚBLICA FEDERATIVA DO BRASIL</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b/>
          <w:bCs/>
          <w:sz w:val="21"/>
          <w:szCs w:val="21"/>
        </w:rPr>
      </w:pPr>
      <w:r>
        <w:rPr>
          <w:rFonts w:ascii="Arial" w:hAnsi="Arial"/>
          <w:b/>
          <w:bCs/>
          <w:sz w:val="21"/>
          <w:szCs w:val="21"/>
        </w:rPr>
      </w:r>
    </w:p>
    <w:p>
      <w:pPr>
        <w:pStyle w:val="BodyText"/>
        <w:rPr>
          <w:rFonts w:ascii="Arial" w:hAnsi="Arial"/>
          <w:b/>
          <w:bCs/>
          <w:sz w:val="21"/>
          <w:szCs w:val="21"/>
        </w:rPr>
      </w:pPr>
      <w:r>
        <w:rPr>
          <w:b/>
          <w:bCs/>
          <w:sz w:val="21"/>
          <w:szCs w:val="21"/>
        </w:rPr>
        <w:t>PROCESSO LICITATÓRIO Nº 54/2026</w:t>
      </w:r>
    </w:p>
    <w:p>
      <w:pPr>
        <w:pStyle w:val="BodyText"/>
        <w:rPr>
          <w:rFonts w:ascii="Arial" w:hAnsi="Arial"/>
          <w:b/>
          <w:bCs/>
          <w:i w:val="false"/>
          <w:iCs w:val="false"/>
          <w:strike w:val="false"/>
          <w:dstrike w:val="false"/>
          <w:color w:val="000000"/>
          <w:sz w:val="21"/>
          <w:szCs w:val="21"/>
          <w:u w:val="none"/>
          <w:shd w:fill="auto" w:val="clear"/>
        </w:rPr>
      </w:pPr>
      <w:r>
        <w:rPr>
          <w:b/>
          <w:bCs/>
          <w:i w:val="false"/>
          <w:iCs w:val="false"/>
          <w:strike w:val="false"/>
          <w:dstrike w:val="false"/>
          <w:color w:val="000000"/>
          <w:sz w:val="21"/>
          <w:szCs w:val="21"/>
          <w:u w:val="none"/>
          <w:shd w:fill="auto" w:val="clear"/>
        </w:rPr>
        <w:t>CONCORRÊNCIA ELETRÔNICA Nº 04/2026</w:t>
      </w:r>
    </w:p>
    <w:p>
      <w:pPr>
        <w:pStyle w:val="Normal"/>
        <w:widowControl/>
        <w:suppressAutoHyphens w:val="true"/>
        <w:bidi w:val="0"/>
        <w:spacing w:lineRule="auto" w:line="276" w:before="0" w:after="0"/>
        <w:ind w:hanging="0" w:start="0" w:end="0"/>
        <w:jc w:val="both"/>
        <w:rPr>
          <w:rFonts w:ascii="Arial" w:hAnsi="Arial"/>
          <w:b/>
          <w:bCs/>
          <w:sz w:val="21"/>
          <w:szCs w:val="21"/>
        </w:rPr>
      </w:pPr>
      <w:r>
        <w:rPr>
          <w:rFonts w:ascii="Arial" w:hAnsi="Arial"/>
          <w:b/>
          <w:bCs/>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 xml:space="preserve"> </w:t>
      </w:r>
      <w:r>
        <w:rPr>
          <w:rFonts w:ascii="Arial" w:hAnsi="Arial"/>
          <w:sz w:val="21"/>
          <w:szCs w:val="21"/>
        </w:rPr>
        <w:tab/>
        <w:t>Nome da Empresa</w:t>
        <w:tab/>
        <w:t>, inscrito no CNPJ n°</w:t>
        <w:tab/>
        <w:t>, por intermédio de seu representante    legal o(a) Sr(a).</w:t>
        <w:tab/>
        <w:tab/>
        <w:t>, portador(a) da Carteira de Identidade nº</w:t>
        <w:tab/>
        <w:t>e do CPF nº</w:t>
        <w:tab/>
        <w:tab/>
        <w:tab/>
        <w:t>, DECLARA, para fins do disposto no inciso V do artigo 68, da Lei Federal nº 14.133, de 2021, que não emprega menor de dezoito anos em trabalho noturno, perigoso ou insalubre, e não emprega menor de dezesseis anos (art. 7º, inciso XXXIII, da Constituição Federal).</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Ressalva: emprega menor, a partir de quatorze anos, na condição de aprendiz (   ).</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(Observação: em caso afirmativo, assinalar a ressalva acima)</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 xml:space="preserve"> </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ab/>
      </w:r>
      <w:r>
        <w:rPr>
          <w:rFonts w:eastAsia="Times New Roman" w:cs="Arial" w:ascii="Arial" w:hAnsi="Arial"/>
          <w:color w:val="000000"/>
          <w:kern w:val="2"/>
          <w:sz w:val="21"/>
          <w:szCs w:val="21"/>
          <w:lang w:eastAsia="zh-CN"/>
        </w:rPr>
        <w:t>Local, ______ de ____________________ de 2026.</w:t>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t>(nome e assinatura do responsável legal)</w:t>
      </w:r>
    </w:p>
    <w:p>
      <w:pPr>
        <w:pStyle w:val="Normal"/>
        <w:widowControl/>
        <w:suppressAutoHyphens w:val="true"/>
        <w:bidi w:val="0"/>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t>ANEXO IX</w:t>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t>DECLARAÇÃO DE RESERVA DE CARGOS</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BodyText"/>
        <w:rPr>
          <w:rFonts w:ascii="Arial" w:hAnsi="Arial"/>
          <w:b/>
          <w:bCs/>
          <w:sz w:val="21"/>
          <w:szCs w:val="21"/>
        </w:rPr>
      </w:pPr>
      <w:r>
        <w:rPr>
          <w:b/>
          <w:bCs/>
          <w:sz w:val="21"/>
          <w:szCs w:val="21"/>
        </w:rPr>
        <w:t>PROCESSO LICITATÓRIO Nº 54/2026</w:t>
      </w:r>
    </w:p>
    <w:p>
      <w:pPr>
        <w:pStyle w:val="BodyText"/>
        <w:rPr>
          <w:rFonts w:ascii="Arial" w:hAnsi="Arial"/>
          <w:b/>
          <w:bCs/>
          <w:i w:val="false"/>
          <w:iCs w:val="false"/>
          <w:strike w:val="false"/>
          <w:dstrike w:val="false"/>
          <w:color w:val="000000"/>
          <w:sz w:val="21"/>
          <w:szCs w:val="21"/>
          <w:u w:val="none"/>
          <w:shd w:fill="auto" w:val="clear"/>
        </w:rPr>
      </w:pPr>
      <w:r>
        <w:rPr>
          <w:b/>
          <w:bCs/>
          <w:i w:val="false"/>
          <w:iCs w:val="false"/>
          <w:strike w:val="false"/>
          <w:dstrike w:val="false"/>
          <w:color w:val="000000"/>
          <w:sz w:val="21"/>
          <w:szCs w:val="21"/>
          <w:u w:val="none"/>
          <w:shd w:fill="auto" w:val="clear"/>
        </w:rPr>
        <w:t>CONCORRÊNCIA ELETRÔNICA Nº 04/2026</w:t>
      </w:r>
    </w:p>
    <w:p>
      <w:pPr>
        <w:pStyle w:val="Normal"/>
        <w:widowControl/>
        <w:suppressAutoHyphens w:val="true"/>
        <w:bidi w:val="0"/>
        <w:spacing w:lineRule="auto" w:line="276" w:before="0" w:after="0"/>
        <w:ind w:hanging="0" w:start="0" w:end="0"/>
        <w:jc w:val="both"/>
        <w:rPr>
          <w:rFonts w:ascii="Arial" w:hAnsi="Arial"/>
          <w:b/>
          <w:bCs/>
          <w:sz w:val="21"/>
          <w:szCs w:val="21"/>
        </w:rPr>
      </w:pPr>
      <w:r>
        <w:rPr>
          <w:rFonts w:ascii="Arial" w:hAnsi="Arial"/>
          <w:b/>
          <w:bCs/>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 xml:space="preserve"> </w:t>
      </w:r>
      <w:r>
        <w:rPr>
          <w:rFonts w:ascii="Arial" w:hAnsi="Arial"/>
          <w:sz w:val="21"/>
          <w:szCs w:val="21"/>
        </w:rPr>
        <w:tab/>
        <w:t>(</w:t>
      </w:r>
      <w:r>
        <w:rPr>
          <w:rFonts w:ascii="Arial" w:hAnsi="Arial"/>
          <w:color w:val="C9211E"/>
          <w:sz w:val="21"/>
          <w:szCs w:val="21"/>
        </w:rPr>
        <w:t>RAZÃO SOCIAL DA EMPRESA</w:t>
      </w:r>
      <w:r>
        <w:rPr>
          <w:rFonts w:ascii="Arial" w:hAnsi="Arial"/>
          <w:sz w:val="21"/>
          <w:szCs w:val="21"/>
        </w:rPr>
        <w:t>)</w:t>
        <w:tab/>
        <w:t>CNPJ nº</w:t>
        <w:tab/>
        <w:t>, sediada em (</w:t>
      </w:r>
      <w:r>
        <w:rPr>
          <w:rFonts w:ascii="Arial" w:hAnsi="Arial"/>
          <w:color w:val="C9211E"/>
          <w:sz w:val="21"/>
          <w:szCs w:val="21"/>
        </w:rPr>
        <w:t>ENDEREÇO COMERCIAL</w:t>
      </w:r>
      <w:r>
        <w:rPr>
          <w:rFonts w:ascii="Arial" w:hAnsi="Arial"/>
          <w:sz w:val="21"/>
          <w:szCs w:val="21"/>
        </w:rPr>
        <w:t>), declara, sob as penas da Lei Federal nº 14.133, de 2021, que cumpre as exigências de reserva de cargos para pessoa com deficiência e para reabilitado da Previdência Social, previstas em lei e em outras normas específicas.</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 xml:space="preserve">Observação: </w:t>
      </w:r>
      <w:r>
        <w:rPr>
          <w:rFonts w:ascii="Arial" w:hAnsi="Arial"/>
          <w:sz w:val="21"/>
          <w:szCs w:val="21"/>
          <w:shd w:fill="FFFF00" w:val="clear"/>
        </w:rPr>
        <w:t>Os licitantes que, por sua natureza ou por força de lei, estiverem dispensados do cumprimento da reserva de cargos descrito nesta declaração, deverão apresentar declaração identificando a situação e citando os dispositivos legais pertinentes.</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 xml:space="preserve"> </w:t>
      </w:r>
      <w:r>
        <w:rPr>
          <w:rFonts w:eastAsia="Times New Roman" w:cs="Arial" w:ascii="Arial" w:hAnsi="Arial"/>
          <w:color w:val="000000"/>
          <w:kern w:val="2"/>
          <w:sz w:val="21"/>
          <w:szCs w:val="21"/>
          <w:lang w:eastAsia="zh-CN"/>
        </w:rPr>
        <w:t>Local, ______ de ____________________ de 2026.</w:t>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t>(nome e assinatura do responsável legal)</w:t>
      </w:r>
    </w:p>
    <w:p>
      <w:pPr>
        <w:pStyle w:val="Normal"/>
        <w:widowControl/>
        <w:suppressAutoHyphens w:val="true"/>
        <w:bidi w:val="0"/>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t>ANEXO X</w:t>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t>DECLARAÇÃO DE INTEGRALIDADE DE CUSTOS</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b/>
          <w:bCs/>
          <w:sz w:val="21"/>
          <w:szCs w:val="21"/>
        </w:rPr>
      </w:pPr>
      <w:r>
        <w:rPr>
          <w:rFonts w:ascii="Arial" w:hAnsi="Arial"/>
          <w:b/>
          <w:bCs/>
          <w:sz w:val="21"/>
          <w:szCs w:val="21"/>
        </w:rPr>
      </w:r>
    </w:p>
    <w:p>
      <w:pPr>
        <w:pStyle w:val="BodyText"/>
        <w:rPr>
          <w:rFonts w:ascii="Arial" w:hAnsi="Arial"/>
          <w:b/>
          <w:bCs/>
          <w:sz w:val="21"/>
          <w:szCs w:val="21"/>
        </w:rPr>
      </w:pPr>
      <w:r>
        <w:rPr>
          <w:b/>
          <w:bCs/>
          <w:sz w:val="21"/>
          <w:szCs w:val="21"/>
        </w:rPr>
        <w:t>PROCESSO LICITATÓRIO Nº 54/2026</w:t>
      </w:r>
    </w:p>
    <w:p>
      <w:pPr>
        <w:pStyle w:val="BodyText"/>
        <w:rPr>
          <w:rFonts w:ascii="Arial" w:hAnsi="Arial"/>
          <w:b/>
          <w:bCs/>
          <w:i w:val="false"/>
          <w:iCs w:val="false"/>
          <w:strike w:val="false"/>
          <w:dstrike w:val="false"/>
          <w:color w:val="000000"/>
          <w:sz w:val="21"/>
          <w:szCs w:val="21"/>
          <w:u w:val="none"/>
          <w:shd w:fill="auto" w:val="clear"/>
        </w:rPr>
      </w:pPr>
      <w:r>
        <w:rPr>
          <w:b/>
          <w:bCs/>
          <w:i w:val="false"/>
          <w:iCs w:val="false"/>
          <w:strike w:val="false"/>
          <w:dstrike w:val="false"/>
          <w:color w:val="000000"/>
          <w:sz w:val="21"/>
          <w:szCs w:val="21"/>
          <w:u w:val="none"/>
          <w:shd w:fill="auto" w:val="clear"/>
        </w:rPr>
        <w:t>CONCORRÊNCIA ELETRÔNICA Nº 04/2026</w:t>
      </w:r>
    </w:p>
    <w:p>
      <w:pPr>
        <w:pStyle w:val="Normal"/>
        <w:widowControl/>
        <w:suppressAutoHyphens w:val="true"/>
        <w:bidi w:val="0"/>
        <w:spacing w:lineRule="auto" w:line="276" w:before="0" w:after="0"/>
        <w:ind w:hanging="0" w:start="0" w:end="0"/>
        <w:jc w:val="both"/>
        <w:rPr>
          <w:rFonts w:ascii="Arial" w:hAnsi="Arial"/>
          <w:b/>
          <w:bCs/>
          <w:sz w:val="21"/>
          <w:szCs w:val="21"/>
        </w:rPr>
      </w:pPr>
      <w:r>
        <w:rPr>
          <w:rFonts w:ascii="Arial" w:hAnsi="Arial"/>
          <w:b/>
          <w:bCs/>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 xml:space="preserve"> </w:t>
      </w:r>
      <w:r>
        <w:rPr>
          <w:rFonts w:ascii="Arial" w:hAnsi="Arial"/>
          <w:sz w:val="21"/>
          <w:szCs w:val="21"/>
        </w:rPr>
        <w:tab/>
        <w:t>(</w:t>
      </w:r>
      <w:r>
        <w:rPr>
          <w:rFonts w:ascii="Arial" w:hAnsi="Arial"/>
          <w:color w:val="C9211E"/>
          <w:sz w:val="21"/>
          <w:szCs w:val="21"/>
        </w:rPr>
        <w:t>RAZÃO SOCIAL DA EMPRESA</w:t>
      </w:r>
      <w:r>
        <w:rPr>
          <w:rFonts w:ascii="Arial" w:hAnsi="Arial"/>
          <w:sz w:val="21"/>
          <w:szCs w:val="21"/>
        </w:rPr>
        <w:t>)</w:t>
        <w:tab/>
        <w:t>CNPJ nº</w:t>
        <w:tab/>
        <w:t>, sediada em (</w:t>
      </w:r>
      <w:r>
        <w:rPr>
          <w:rFonts w:ascii="Arial" w:hAnsi="Arial"/>
          <w:color w:val="C9211E"/>
          <w:sz w:val="21"/>
          <w:szCs w:val="21"/>
        </w:rPr>
        <w:t>ENDEREÇO COMERCIAL</w:t>
      </w:r>
      <w:r>
        <w:rPr>
          <w:rFonts w:ascii="Arial" w:hAnsi="Arial"/>
          <w:sz w:val="21"/>
          <w:szCs w:val="21"/>
        </w:rPr>
        <w:t>)</w:t>
        <w:tab/>
        <w:t>, declara, sob as penas da Lei Federal nº 14.133, de 2021, que a proposta econômica compreende a integralidade dos custos para atendimento dos direitos trabalhistas assegurados na Constituição da República Federativa do Brasil, nas leis trabalhistas, nas normas infralegais, nas convenções coletivas de trabalho e nos termos de ajustamento de conduta vigentes na data de entrega das propostas, sob pena de desclassificação.</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 xml:space="preserve"> </w:t>
      </w:r>
      <w:r>
        <w:rPr>
          <w:rFonts w:ascii="Arial" w:hAnsi="Arial"/>
          <w:sz w:val="21"/>
          <w:szCs w:val="21"/>
        </w:rPr>
        <w:tab/>
      </w:r>
      <w:r>
        <w:rPr>
          <w:rFonts w:eastAsia="Times New Roman" w:cs="Arial" w:ascii="Arial" w:hAnsi="Arial"/>
          <w:color w:val="000000"/>
          <w:kern w:val="2"/>
          <w:sz w:val="21"/>
          <w:szCs w:val="21"/>
          <w:lang w:eastAsia="zh-CN"/>
        </w:rPr>
        <w:t>Local, ______ de ____________________ de 2026.</w:t>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t>(nome e assinatura do responsável legal)</w:t>
      </w:r>
    </w:p>
    <w:p>
      <w:pPr>
        <w:pStyle w:val="Normal"/>
        <w:widowControl/>
        <w:suppressAutoHyphens w:val="true"/>
        <w:bidi w:val="0"/>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t>ANEXO XI</w:t>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t>MODELO DE DECLARAÇÃO DE CONHECIMENTO DAS ESPECIFICAÇÕES E NORMAS PERTINENTES À EXECUÇÃO DOS SERVIÇOS</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b/>
          <w:bCs/>
          <w:sz w:val="21"/>
          <w:szCs w:val="21"/>
        </w:rPr>
      </w:pPr>
      <w:r>
        <w:rPr>
          <w:rFonts w:ascii="Arial" w:hAnsi="Arial"/>
          <w:b/>
          <w:bCs/>
          <w:sz w:val="21"/>
          <w:szCs w:val="21"/>
        </w:rPr>
      </w:r>
    </w:p>
    <w:p>
      <w:pPr>
        <w:pStyle w:val="BodyText"/>
        <w:rPr>
          <w:rFonts w:ascii="Arial" w:hAnsi="Arial"/>
          <w:b/>
          <w:bCs/>
          <w:sz w:val="21"/>
          <w:szCs w:val="21"/>
        </w:rPr>
      </w:pPr>
      <w:r>
        <w:rPr>
          <w:b/>
          <w:bCs/>
          <w:sz w:val="21"/>
          <w:szCs w:val="21"/>
        </w:rPr>
        <w:t>PROCESSO LICITATÓRIO Nº 54/2026</w:t>
      </w:r>
    </w:p>
    <w:p>
      <w:pPr>
        <w:pStyle w:val="BodyText"/>
        <w:rPr>
          <w:rFonts w:ascii="Arial" w:hAnsi="Arial"/>
          <w:b/>
          <w:bCs/>
          <w:i w:val="false"/>
          <w:iCs w:val="false"/>
          <w:strike w:val="false"/>
          <w:dstrike w:val="false"/>
          <w:color w:val="000000"/>
          <w:sz w:val="21"/>
          <w:szCs w:val="21"/>
          <w:u w:val="none"/>
          <w:shd w:fill="auto" w:val="clear"/>
        </w:rPr>
      </w:pPr>
      <w:r>
        <w:rPr>
          <w:b/>
          <w:bCs/>
          <w:i w:val="false"/>
          <w:iCs w:val="false"/>
          <w:strike w:val="false"/>
          <w:dstrike w:val="false"/>
          <w:color w:val="000000"/>
          <w:sz w:val="21"/>
          <w:szCs w:val="21"/>
          <w:u w:val="none"/>
          <w:shd w:fill="auto" w:val="clear"/>
        </w:rPr>
        <w:t>CONCORRÊNCIA ELETRÔNICA Nº 04/2026</w:t>
      </w:r>
    </w:p>
    <w:p>
      <w:pPr>
        <w:pStyle w:val="BodyText"/>
        <w:rPr>
          <w:rFonts w:ascii="Arial" w:hAnsi="Arial"/>
          <w:b/>
          <w:bCs/>
          <w:i w:val="false"/>
          <w:iCs w:val="false"/>
          <w:strike w:val="false"/>
          <w:dstrike w:val="false"/>
          <w:color w:val="000000"/>
          <w:sz w:val="21"/>
          <w:szCs w:val="21"/>
          <w:u w:val="none"/>
          <w:shd w:fill="auto" w:val="clear"/>
        </w:rPr>
      </w:pPr>
      <w:r>
        <w:rPr>
          <w:b/>
          <w:bCs/>
          <w:i w:val="false"/>
          <w:iCs w:val="false"/>
          <w:strike w:val="false"/>
          <w:dstrike w:val="false"/>
          <w:color w:val="000000"/>
          <w:sz w:val="21"/>
          <w:szCs w:val="21"/>
          <w:u w:val="none"/>
          <w:shd w:fill="auto" w:val="clear"/>
        </w:rPr>
      </w:r>
    </w:p>
    <w:p>
      <w:pPr>
        <w:pStyle w:val="Normal"/>
        <w:widowControl/>
        <w:suppressAutoHyphens w:val="true"/>
        <w:bidi w:val="0"/>
        <w:spacing w:lineRule="auto" w:line="276" w:before="0" w:after="0"/>
        <w:ind w:hanging="0" w:start="0" w:end="0"/>
        <w:jc w:val="both"/>
        <w:rPr>
          <w:rFonts w:ascii="Arial" w:hAnsi="Arial"/>
          <w:b/>
          <w:bCs/>
          <w:sz w:val="21"/>
          <w:szCs w:val="21"/>
        </w:rPr>
      </w:pPr>
      <w:r>
        <w:rPr>
          <w:rFonts w:ascii="Arial" w:hAnsi="Arial"/>
          <w:b/>
          <w:bCs/>
          <w:sz w:val="21"/>
          <w:szCs w:val="21"/>
        </w:rPr>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t>DECLARAÇÃO</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Declaro, para os devidos fins da Licitação referente a Concorrência, na forma Eletrônica – Edital nº /2026, que a empresa</w:t>
        <w:tab/>
        <w:t>_________________, tomou conhecimento de todas as normas, especificações e informações necessárias e obrigatórias para a perfeita consecução do objeto do Edital supra, nos termos do art. 67, VI, da Lei Federal nº 14.133, de 2021.</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t>Local, ______ de ____________________ de 2026.</w:t>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t>(nome e assinatura do responsável legal)</w:t>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t>ANEXO XII</w:t>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r>
    </w:p>
    <w:p>
      <w:pPr>
        <w:pStyle w:val="Normal"/>
        <w:widowControl/>
        <w:suppressAutoHyphens w:val="true"/>
        <w:bidi w:val="0"/>
        <w:spacing w:lineRule="auto" w:line="276" w:before="0" w:after="0"/>
        <w:ind w:hanging="0" w:start="0" w:end="0"/>
        <w:jc w:val="both"/>
        <w:rPr>
          <w:rFonts w:ascii="Arial" w:hAnsi="Arial"/>
          <w:b/>
          <w:bCs/>
          <w:sz w:val="21"/>
          <w:szCs w:val="21"/>
        </w:rPr>
      </w:pPr>
      <w:r>
        <w:rPr>
          <w:rFonts w:ascii="Arial" w:hAnsi="Arial"/>
          <w:b/>
          <w:bCs/>
          <w:sz w:val="21"/>
          <w:szCs w:val="21"/>
        </w:rPr>
      </w:r>
    </w:p>
    <w:p>
      <w:pPr>
        <w:pStyle w:val="BodyText"/>
        <w:rPr>
          <w:rFonts w:ascii="Arial" w:hAnsi="Arial"/>
          <w:b/>
          <w:bCs/>
          <w:sz w:val="21"/>
          <w:szCs w:val="21"/>
        </w:rPr>
      </w:pPr>
      <w:r>
        <w:rPr>
          <w:b/>
          <w:bCs/>
          <w:sz w:val="21"/>
          <w:szCs w:val="21"/>
        </w:rPr>
        <w:t>PROCESSO LICITATÓRIO Nº 54/2026</w:t>
      </w:r>
    </w:p>
    <w:p>
      <w:pPr>
        <w:pStyle w:val="BodyText"/>
        <w:rPr>
          <w:rFonts w:ascii="Arial" w:hAnsi="Arial"/>
          <w:b/>
          <w:bCs/>
          <w:i w:val="false"/>
          <w:iCs w:val="false"/>
          <w:strike w:val="false"/>
          <w:dstrike w:val="false"/>
          <w:color w:val="000000"/>
          <w:sz w:val="21"/>
          <w:szCs w:val="21"/>
          <w:u w:val="none"/>
        </w:rPr>
      </w:pPr>
      <w:r>
        <w:rPr>
          <w:b/>
          <w:bCs/>
          <w:i w:val="false"/>
          <w:iCs w:val="false"/>
          <w:strike w:val="false"/>
          <w:dstrike w:val="false"/>
          <w:color w:val="000000"/>
          <w:sz w:val="21"/>
          <w:szCs w:val="21"/>
          <w:u w:val="none"/>
        </w:rPr>
        <w:t>CONCORRÊNCIA ELETRÔNICA Nº 04/2026</w:t>
      </w:r>
    </w:p>
    <w:p>
      <w:pPr>
        <w:pStyle w:val="Normal"/>
        <w:widowControl/>
        <w:suppressAutoHyphens w:val="true"/>
        <w:bidi w:val="0"/>
        <w:spacing w:lineRule="auto" w:line="276" w:before="0" w:after="0"/>
        <w:ind w:hanging="0" w:start="0" w:end="0"/>
        <w:jc w:val="both"/>
        <w:rPr>
          <w:rFonts w:ascii="Arial" w:hAnsi="Arial"/>
          <w:b/>
          <w:bCs/>
          <w:sz w:val="21"/>
          <w:szCs w:val="21"/>
        </w:rPr>
      </w:pPr>
      <w:r>
        <w:rPr>
          <w:rFonts w:ascii="Arial" w:hAnsi="Arial"/>
          <w:b/>
          <w:bCs/>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b/>
          <w:bCs/>
          <w:sz w:val="21"/>
          <w:szCs w:val="21"/>
        </w:rPr>
        <w:t>MINUTA CONTRATO Nº ......./2026</w:t>
      </w:r>
    </w:p>
    <w:p>
      <w:pPr>
        <w:pStyle w:val="Normal"/>
        <w:widowControl/>
        <w:suppressAutoHyphens w:val="true"/>
        <w:bidi w:val="0"/>
        <w:spacing w:lineRule="auto" w:line="276" w:before="0" w:after="0"/>
        <w:ind w:hanging="0" w:start="0" w:end="0"/>
        <w:jc w:val="both"/>
        <w:rPr>
          <w:rFonts w:ascii="Arial" w:hAnsi="Arial"/>
          <w:b/>
          <w:bCs/>
          <w:sz w:val="21"/>
          <w:szCs w:val="21"/>
        </w:rPr>
      </w:pPr>
      <w:r>
        <w:rPr>
          <w:rFonts w:ascii="Arial" w:hAnsi="Arial"/>
          <w:b/>
          <w:bCs/>
          <w:sz w:val="21"/>
          <w:szCs w:val="21"/>
        </w:rPr>
      </w:r>
    </w:p>
    <w:p>
      <w:pPr>
        <w:pStyle w:val="Normal"/>
        <w:widowControl/>
        <w:suppressAutoHyphens w:val="true"/>
        <w:bidi w:val="0"/>
        <w:spacing w:lineRule="auto" w:line="276" w:before="0" w:after="0"/>
        <w:ind w:hanging="0" w:start="0" w:end="0"/>
        <w:jc w:val="both"/>
        <w:rPr>
          <w:rFonts w:ascii="Arial" w:hAnsi="Arial"/>
          <w:b/>
          <w:bCs/>
          <w:sz w:val="21"/>
          <w:szCs w:val="21"/>
        </w:rPr>
      </w:pPr>
      <w:r>
        <w:rPr>
          <w:rFonts w:ascii="Arial" w:hAnsi="Arial"/>
          <w:b/>
          <w:bCs/>
          <w:sz w:val="21"/>
          <w:szCs w:val="21"/>
        </w:rPr>
      </w:r>
    </w:p>
    <w:p>
      <w:pPr>
        <w:pStyle w:val="Normal"/>
        <w:spacing w:lineRule="auto" w:line="360"/>
        <w:ind w:hanging="0" w:start="2835" w:end="0"/>
        <w:jc w:val="both"/>
        <w:rPr/>
      </w:pPr>
      <w:r>
        <w:rPr>
          <w:rFonts w:eastAsia="Times New Roman" w:cs="Arial" w:ascii="Arial" w:hAnsi="Arial"/>
          <w:color w:val="000000"/>
          <w:kern w:val="0"/>
          <w:sz w:val="21"/>
          <w:szCs w:val="21"/>
          <w:lang w:eastAsia="zh-CN"/>
        </w:rPr>
        <w:t xml:space="preserve">CONTRATO QUE ENTRE SI CELEBRAM O </w:t>
      </w:r>
      <w:r>
        <w:rPr>
          <w:rFonts w:eastAsia="Times New Roman" w:cs="Arial" w:ascii="Arial" w:hAnsi="Arial"/>
          <w:b/>
          <w:bCs/>
          <w:color w:val="000000"/>
          <w:kern w:val="0"/>
          <w:sz w:val="21"/>
          <w:szCs w:val="21"/>
          <w:lang w:eastAsia="zh-CN"/>
        </w:rPr>
        <w:t>MUNICÍPIO DE LINDÓIA DO SUL</w:t>
      </w:r>
      <w:r>
        <w:rPr>
          <w:rFonts w:eastAsia="Times New Roman" w:cs="Arial" w:ascii="Arial" w:hAnsi="Arial"/>
          <w:color w:val="000000"/>
          <w:kern w:val="0"/>
          <w:sz w:val="21"/>
          <w:szCs w:val="21"/>
          <w:lang w:eastAsia="zh-CN"/>
        </w:rPr>
        <w:t xml:space="preserve"> E A EMPRESA </w:t>
      </w:r>
      <w:r>
        <w:rPr>
          <w:rFonts w:eastAsia="Times New Roman" w:cs="Arial" w:ascii="Arial" w:hAnsi="Arial"/>
          <w:b/>
          <w:bCs/>
          <w:color w:val="000000"/>
          <w:kern w:val="0"/>
          <w:sz w:val="21"/>
          <w:szCs w:val="21"/>
          <w:lang w:eastAsia="zh-CN"/>
        </w:rPr>
        <w:t>________________________________</w:t>
      </w:r>
      <w:r>
        <w:rPr>
          <w:rFonts w:eastAsia="Times New Roman" w:cs="Arial" w:ascii="Arial" w:hAnsi="Arial"/>
          <w:color w:val="000000"/>
          <w:kern w:val="0"/>
          <w:sz w:val="21"/>
          <w:szCs w:val="21"/>
          <w:lang w:eastAsia="zh-CN"/>
        </w:rPr>
        <w:t>, OBJETIVANDO A ……………………………………..</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142" w:after="142"/>
        <w:ind w:hanging="0" w:start="0" w:end="0"/>
        <w:jc w:val="both"/>
        <w:rPr/>
      </w:pPr>
      <w:r>
        <w:rPr>
          <w:rFonts w:eastAsia="Times New Roman" w:cs="Arial" w:ascii="Arial" w:hAnsi="Arial"/>
          <w:bCs/>
          <w:color w:val="000000"/>
          <w:kern w:val="0"/>
          <w:sz w:val="21"/>
          <w:szCs w:val="21"/>
          <w:lang w:eastAsia="zh-CN"/>
        </w:rPr>
        <w:t xml:space="preserve">O </w:t>
      </w:r>
      <w:r>
        <w:rPr>
          <w:rFonts w:eastAsia="Times New Roman" w:cs="Arial" w:ascii="Arial" w:hAnsi="Arial"/>
          <w:b/>
          <w:bCs/>
          <w:color w:val="000000"/>
          <w:kern w:val="0"/>
          <w:sz w:val="21"/>
          <w:szCs w:val="21"/>
          <w:lang w:eastAsia="zh-CN"/>
        </w:rPr>
        <w:t>MUNICÍPIO DE LINDÓIA DO SUL</w:t>
      </w:r>
      <w:r>
        <w:rPr>
          <w:rFonts w:eastAsia="Times New Roman" w:cs="Arial" w:ascii="Arial" w:hAnsi="Arial"/>
          <w:bCs/>
          <w:color w:val="000000"/>
          <w:kern w:val="0"/>
          <w:sz w:val="21"/>
          <w:szCs w:val="21"/>
          <w:lang w:eastAsia="zh-CN"/>
        </w:rPr>
        <w:t xml:space="preserve">, pessoa jurídica de direito público interno, inscrita no CNPJ-MF sob o nº 78.510.112/0001-80, com sede na Rua Tamandaré, 98, Centro, Lindóia do Sul, SC, CEP 89.735-000, neste ato representado pelo Prefeito Municipal, </w:t>
      </w:r>
      <w:r>
        <w:rPr>
          <w:rFonts w:eastAsia="Times New Roman" w:cs="Arial" w:ascii="Arial" w:hAnsi="Arial"/>
          <w:b/>
          <w:bCs/>
          <w:color w:val="000000"/>
          <w:kern w:val="0"/>
          <w:sz w:val="21"/>
          <w:szCs w:val="21"/>
          <w:lang w:eastAsia="zh-CN"/>
        </w:rPr>
        <w:t>Flávio Luiz Benini</w:t>
      </w:r>
      <w:r>
        <w:rPr>
          <w:rFonts w:eastAsia="Times New Roman" w:cs="Arial" w:ascii="Arial" w:hAnsi="Arial"/>
          <w:bCs/>
          <w:color w:val="000000"/>
          <w:kern w:val="0"/>
          <w:sz w:val="21"/>
          <w:szCs w:val="21"/>
          <w:lang w:eastAsia="zh-CN"/>
        </w:rPr>
        <w:t xml:space="preserve">, doravante denominada simplesmente </w:t>
      </w:r>
      <w:r>
        <w:rPr>
          <w:rFonts w:eastAsia="Times New Roman" w:cs="Arial" w:ascii="Arial" w:hAnsi="Arial"/>
          <w:b/>
          <w:bCs/>
          <w:color w:val="000000"/>
          <w:kern w:val="0"/>
          <w:sz w:val="21"/>
          <w:szCs w:val="21"/>
          <w:lang w:eastAsia="zh-CN"/>
        </w:rPr>
        <w:t>CONTRATANTE</w:t>
      </w:r>
      <w:r>
        <w:rPr>
          <w:rFonts w:ascii="Arial" w:hAnsi="Arial"/>
          <w:sz w:val="21"/>
          <w:szCs w:val="21"/>
        </w:rPr>
        <w:t xml:space="preserve"> e de outro lado a empresa …….., pessoa jurídica de direito privado, situada na …….., na cidade de …..., inscrita no CNPJ sob o nº …....., neste ato representada pelo(a) .........., Sr(a). …………., doravante denominada CONTRATADA, ajustam e contratam a execução do objeto descrito abaixo, que se regerá pelo disposto no Edital de Concorrência Eletrônica nº xx/2026, neste Contrato, nas disposições do Decreto Municipal nº 4.072/2024, na Lei Federal 14.133/21 e alterações posteriores, aplicando-se os preceitos de direito público, as normas e princípios de direito administrativo e supletivamente, os princípios da teoria geral dos contratos e as disposições do direito privado.</w:t>
      </w:r>
    </w:p>
    <w:p>
      <w:pPr>
        <w:pStyle w:val="Normal"/>
        <w:widowControl/>
        <w:suppressAutoHyphens w:val="true"/>
        <w:bidi w:val="0"/>
        <w:spacing w:lineRule="auto" w:line="360" w:before="142" w:after="142"/>
        <w:ind w:hanging="0" w:start="0" w:end="0"/>
        <w:jc w:val="both"/>
        <w:rPr/>
      </w:pPr>
      <w:r>
        <w:rPr>
          <w:rFonts w:ascii="Arial" w:hAnsi="Arial"/>
          <w:b/>
          <w:bCs/>
          <w:sz w:val="21"/>
          <w:szCs w:val="21"/>
        </w:rPr>
        <w:t>CLÁUSULA PRIMEIRA – DO OBJETO</w:t>
      </w:r>
    </w:p>
    <w:p>
      <w:pPr>
        <w:pStyle w:val="Normal"/>
        <w:widowControl/>
        <w:suppressAutoHyphens w:val="true"/>
        <w:bidi w:val="0"/>
        <w:spacing w:lineRule="auto" w:line="360" w:before="142" w:after="142"/>
        <w:ind w:hanging="0" w:start="0" w:end="0"/>
        <w:jc w:val="both"/>
        <w:rPr/>
      </w:pPr>
      <w:r>
        <w:rPr>
          <w:rFonts w:ascii="Arial" w:hAnsi="Arial"/>
          <w:sz w:val="21"/>
          <w:szCs w:val="21"/>
        </w:rPr>
        <w:t xml:space="preserve">1.1. </w:t>
      </w:r>
      <w:r>
        <w:rPr>
          <w:rFonts w:eastAsia="Arial" w:cs="Arial" w:ascii="Arial" w:hAnsi="Arial"/>
          <w:bCs/>
          <w:sz w:val="21"/>
          <w:szCs w:val="21"/>
        </w:rPr>
        <w:t>O objeto deste contrato é a construção</w:t>
      </w:r>
      <w:r>
        <w:rPr>
          <w:rFonts w:eastAsia="SimSun" w:cs="Times New Roman" w:ascii="Arial" w:hAnsi="Arial"/>
          <w:bCs/>
          <w:sz w:val="21"/>
          <w:szCs w:val="21"/>
          <w:lang w:val="pt-BR"/>
        </w:rPr>
        <w:t xml:space="preserve"> de Rua Coberta no Município de Lindóia do Sul/SC, incluindo o fornecimento de materiais, mão de obra, equipamentos e demais insumos necessários à realização da obra, conforme projetos e especificações técnicas constantes no processo licitatório.</w:t>
      </w:r>
    </w:p>
    <w:p>
      <w:pPr>
        <w:pStyle w:val="Normal"/>
        <w:widowControl/>
        <w:suppressAutoHyphens w:val="true"/>
        <w:bidi w:val="0"/>
        <w:spacing w:lineRule="auto" w:line="360" w:before="142" w:after="142"/>
        <w:ind w:hanging="0" w:start="0" w:end="0"/>
        <w:jc w:val="both"/>
        <w:rPr/>
      </w:pPr>
      <w:r>
        <w:rPr>
          <w:rFonts w:cs="Arial" w:ascii="Arial" w:hAnsi="Arial"/>
          <w:bCs/>
          <w:sz w:val="21"/>
          <w:szCs w:val="21"/>
        </w:rPr>
        <w:t>1.2. O texto descritivo completo e informações pertinentes de cada item constam nos autos do processo licitatório constituindo parte integrante deste contrato.</w:t>
      </w:r>
    </w:p>
    <w:p>
      <w:pPr>
        <w:pStyle w:val="Normal"/>
        <w:widowControl/>
        <w:suppressAutoHyphens w:val="true"/>
        <w:bidi w:val="0"/>
        <w:spacing w:lineRule="auto" w:line="360" w:before="142" w:after="142"/>
        <w:ind w:hanging="0" w:start="0" w:end="0"/>
        <w:jc w:val="both"/>
        <w:rPr/>
      </w:pPr>
      <w:r>
        <w:rPr>
          <w:rFonts w:ascii="Arial" w:hAnsi="Arial"/>
          <w:b/>
          <w:bCs/>
          <w:sz w:val="21"/>
          <w:szCs w:val="21"/>
        </w:rPr>
        <w:t>CLÁUSULA SEGUNDA – DA EXECUÇÃO</w:t>
      </w:r>
    </w:p>
    <w:p>
      <w:pPr>
        <w:pStyle w:val="Normal"/>
        <w:widowControl/>
        <w:suppressAutoHyphens w:val="true"/>
        <w:bidi w:val="0"/>
        <w:spacing w:lineRule="auto" w:line="360" w:before="142" w:after="142"/>
        <w:ind w:hanging="0" w:start="0" w:end="0"/>
        <w:jc w:val="both"/>
        <w:rPr/>
      </w:pPr>
      <w:r>
        <w:rPr>
          <w:rFonts w:ascii="Arial" w:hAnsi="Arial"/>
          <w:sz w:val="21"/>
          <w:szCs w:val="21"/>
        </w:rPr>
        <w:t>2.1. A Contratada deverá</w:t>
      </w:r>
      <w:r>
        <w:rPr>
          <w:rFonts w:eastAsia="Arial" w:cs="Arial" w:ascii="Arial" w:hAnsi="Arial"/>
          <w:bCs/>
          <w:sz w:val="21"/>
          <w:szCs w:val="21"/>
        </w:rPr>
        <w:t xml:space="preserve"> executar os serviços seguindo rigorosamente as especificações técnicas descritas no Termo de Referência, Anexo I do Edital, bem como os projetos de engenharia, planilhas orçamentárias e cronogramas físico-financeiros que integram o processo.</w:t>
      </w:r>
    </w:p>
    <w:p>
      <w:pPr>
        <w:pStyle w:val="Normal"/>
        <w:widowControl/>
        <w:suppressAutoHyphens w:val="true"/>
        <w:bidi w:val="0"/>
        <w:spacing w:lineRule="auto" w:line="360" w:before="142" w:after="142"/>
        <w:ind w:hanging="0" w:start="0" w:end="0"/>
        <w:jc w:val="both"/>
        <w:rPr/>
      </w:pPr>
      <w:r>
        <w:rPr>
          <w:rFonts w:eastAsia="Calibri" w:ascii="Arial" w:hAnsi="Arial"/>
          <w:color w:val="000000"/>
          <w:sz w:val="21"/>
          <w:szCs w:val="21"/>
          <w:shd w:fill="auto" w:val="clear"/>
        </w:rPr>
        <w:t>2.1.1. O objeto deste contrato deverá ser entregue acabado, em conformidade com o Memorial Descritivo, no prazo máximo de 150 (cento e cinquenta) dias consecutivos, após a assinatura da Ordem de Serviço.</w:t>
      </w:r>
    </w:p>
    <w:p>
      <w:pPr>
        <w:pStyle w:val="Normal"/>
        <w:widowControl/>
        <w:suppressAutoHyphens w:val="true"/>
        <w:bidi w:val="0"/>
        <w:spacing w:lineRule="auto" w:line="360" w:before="142" w:after="142"/>
        <w:ind w:hanging="0" w:start="0" w:end="0"/>
        <w:jc w:val="both"/>
        <w:rPr/>
      </w:pPr>
      <w:r>
        <w:rPr>
          <w:rFonts w:ascii="Arial" w:hAnsi="Arial"/>
          <w:sz w:val="21"/>
          <w:szCs w:val="21"/>
        </w:rPr>
        <w:t xml:space="preserve">2.1.2. </w:t>
      </w:r>
      <w:r>
        <w:rPr>
          <w:rFonts w:eastAsia="Times New Roman" w:cs="Arial" w:ascii="Arial" w:hAnsi="Arial"/>
          <w:bCs/>
          <w:color w:val="000000"/>
          <w:kern w:val="0"/>
          <w:sz w:val="21"/>
          <w:szCs w:val="21"/>
          <w:lang w:eastAsia="zh-CN"/>
        </w:rPr>
        <w:t>O descumprimento dos prazos supracitados implicará a aplicação das penalidades previstas neste edital e Lei 14.133/2021;</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2.2. O contrato será executado pelo regime de execução indireta.</w:t>
      </w:r>
    </w:p>
    <w:p>
      <w:pPr>
        <w:pStyle w:val="Normal"/>
        <w:widowControl/>
        <w:suppressAutoHyphens w:val="true"/>
        <w:bidi w:val="0"/>
        <w:spacing w:lineRule="auto" w:line="360" w:before="142" w:after="142"/>
        <w:ind w:hanging="0" w:start="0" w:end="0"/>
        <w:jc w:val="both"/>
        <w:rPr/>
      </w:pPr>
      <w:r>
        <w:rPr>
          <w:rFonts w:ascii="Arial" w:hAnsi="Arial"/>
          <w:sz w:val="21"/>
          <w:szCs w:val="21"/>
        </w:rPr>
        <w:t>2.3. A CONTRATADA deverá manter preposto responsável pelo Contrato, aceito pela Administração Pública, no local da prestação do serviço, para representá-la na execução do contrato.</w:t>
      </w:r>
    </w:p>
    <w:p>
      <w:pPr>
        <w:pStyle w:val="Normal"/>
        <w:widowControl/>
        <w:suppressAutoHyphens w:val="true"/>
        <w:bidi w:val="0"/>
        <w:spacing w:lineRule="auto" w:line="360" w:before="142" w:after="142"/>
        <w:ind w:hanging="0" w:start="0" w:end="0"/>
        <w:jc w:val="both"/>
        <w:rPr/>
      </w:pPr>
      <w:r>
        <w:rPr>
          <w:rFonts w:ascii="Arial" w:hAnsi="Arial"/>
          <w:sz w:val="21"/>
          <w:szCs w:val="21"/>
        </w:rPr>
        <w:t>2.4. Os serviços deverão ser prestados de acordo com as determinações da CONTRATANTE, observadas as normas e procedimentos técnicos, de qualidade, de segurança e de preservação do meio ambiente.</w:t>
      </w:r>
    </w:p>
    <w:p>
      <w:pPr>
        <w:pStyle w:val="Normal"/>
        <w:spacing w:lineRule="auto" w:line="360" w:before="142" w:after="142"/>
        <w:ind w:hanging="0" w:start="0" w:end="0"/>
        <w:jc w:val="both"/>
        <w:rPr/>
      </w:pPr>
      <w:r>
        <w:rPr>
          <w:rFonts w:eastAsia="Times New Roman" w:cs="Arial" w:ascii="Arial" w:hAnsi="Arial"/>
          <w:bCs/>
          <w:color w:val="000000"/>
          <w:kern w:val="0"/>
          <w:sz w:val="21"/>
          <w:szCs w:val="21"/>
          <w:lang w:eastAsia="zh-CN"/>
        </w:rPr>
        <w:t>2.5. Todos os custos com o objeto, frete, deslocamento, entrega, serão de responsabilidade exclusiva da licitante. Sendo proibida a cobrança de qualquer outra despesa que venha a interferir no valor licitado e aprovado;</w:t>
      </w:r>
    </w:p>
    <w:p>
      <w:pPr>
        <w:pStyle w:val="Normal"/>
        <w:spacing w:lineRule="auto" w:line="360" w:before="142" w:after="142"/>
        <w:ind w:hanging="0" w:start="0" w:end="0"/>
        <w:jc w:val="both"/>
        <w:rPr/>
      </w:pPr>
      <w:r>
        <w:rPr>
          <w:rFonts w:eastAsia="Times New Roman" w:cs="Arial" w:ascii="Arial" w:hAnsi="Arial"/>
          <w:bCs/>
          <w:color w:val="000000"/>
          <w:kern w:val="0"/>
          <w:sz w:val="21"/>
          <w:szCs w:val="21"/>
          <w:lang w:eastAsia="zh-CN"/>
        </w:rPr>
        <w:t>2.6. O ato de recebimento não implica a aceitação do produto e/ou serviço;</w:t>
      </w:r>
    </w:p>
    <w:p>
      <w:pPr>
        <w:pStyle w:val="Normal"/>
        <w:spacing w:lineRule="auto" w:line="360" w:before="142" w:after="142"/>
        <w:ind w:hanging="0" w:start="0" w:end="0"/>
        <w:jc w:val="both"/>
        <w:rPr/>
      </w:pPr>
      <w:r>
        <w:rPr>
          <w:rFonts w:eastAsia="Times New Roman" w:cs="Arial" w:ascii="Arial" w:hAnsi="Arial"/>
          <w:bCs/>
          <w:color w:val="000000"/>
          <w:kern w:val="0"/>
          <w:sz w:val="21"/>
          <w:szCs w:val="21"/>
          <w:lang w:eastAsia="zh-CN"/>
        </w:rPr>
        <w:t>2.7. Os materiais e/ou serviços poderão ser rejeitados, no todo ou em parte, quando em desacordo com as especificações constantes no Anexo “I” do Edital e/ou na proposta, devendo ser substituídos/refeitos após recebimento da notificação da contratada, às suas custas, sem prejuízo da aplicação das penalidades;</w:t>
      </w:r>
    </w:p>
    <w:p>
      <w:pPr>
        <w:pStyle w:val="Normal"/>
        <w:spacing w:lineRule="auto" w:line="360" w:before="142" w:after="142"/>
        <w:ind w:hanging="0" w:start="0" w:end="0"/>
        <w:jc w:val="both"/>
        <w:rPr/>
      </w:pPr>
      <w:r>
        <w:rPr>
          <w:rFonts w:eastAsia="Times New Roman" w:cs="Arial" w:ascii="Arial" w:hAnsi="Arial"/>
          <w:bCs/>
          <w:color w:val="000000"/>
          <w:kern w:val="0"/>
          <w:sz w:val="21"/>
          <w:szCs w:val="21"/>
          <w:lang w:eastAsia="zh-CN"/>
        </w:rPr>
        <w:t>2.8. Caso seja constatado que o objeto executado não corresponde em qualidade, descrição e especificação ao estabelecido neste edital de licitação ou à quantidade solicitada, será exigido do CONTRATADO sua substituição ou rejeitado o fornecimento, sem qualquer ônus para a o Município de Lindóia do Sul/SC.</w:t>
      </w:r>
    </w:p>
    <w:p>
      <w:pPr>
        <w:pStyle w:val="Normal"/>
        <w:spacing w:lineRule="auto" w:line="360" w:before="142" w:after="142"/>
        <w:ind w:hanging="0" w:start="0" w:end="0"/>
        <w:jc w:val="both"/>
        <w:rPr/>
      </w:pPr>
      <w:r>
        <w:rPr>
          <w:rFonts w:eastAsia="Times New Roman" w:cs="Arial" w:ascii="Arial" w:hAnsi="Arial"/>
          <w:bCs/>
          <w:color w:val="000000"/>
          <w:kern w:val="0"/>
          <w:sz w:val="21"/>
          <w:szCs w:val="21"/>
          <w:shd w:fill="auto" w:val="clear"/>
          <w:lang w:eastAsia="zh-CN"/>
        </w:rPr>
        <w:t>2.9. A empresa vencedora deve executar as manutenções necessárias.</w:t>
      </w:r>
    </w:p>
    <w:p>
      <w:pPr>
        <w:pStyle w:val="Normal"/>
        <w:spacing w:lineRule="auto" w:line="360" w:before="142" w:after="142"/>
        <w:ind w:hanging="0" w:start="0" w:end="0"/>
        <w:jc w:val="both"/>
        <w:rPr/>
      </w:pPr>
      <w:r>
        <w:rPr>
          <w:rFonts w:eastAsia="Times New Roman" w:cs="Arial" w:ascii="Arial" w:hAnsi="Arial"/>
          <w:bCs/>
          <w:color w:val="000000"/>
          <w:kern w:val="0"/>
          <w:sz w:val="21"/>
          <w:szCs w:val="21"/>
          <w:shd w:fill="auto" w:val="clear"/>
          <w:lang w:eastAsia="zh-CN"/>
        </w:rPr>
        <w:t>2.9.1. Todos os custos relacionados à execução da substituição de materiais correrão por conta exclusiva do fornecedor, incluídos aqueles relacionados ao transporte, à substituição de materiais e/ou outras que sejam necessárias.</w:t>
      </w:r>
    </w:p>
    <w:p>
      <w:pPr>
        <w:pStyle w:val="Normal"/>
        <w:spacing w:lineRule="auto" w:line="360" w:before="142" w:after="142"/>
        <w:ind w:hanging="0" w:start="0" w:end="0"/>
        <w:jc w:val="both"/>
        <w:rPr/>
      </w:pPr>
      <w:r>
        <w:rPr>
          <w:rFonts w:eastAsia="Times New Roman" w:cs="Arial" w:ascii="Arial" w:hAnsi="Arial"/>
          <w:bCs/>
          <w:color w:val="000000"/>
          <w:kern w:val="0"/>
          <w:sz w:val="21"/>
          <w:szCs w:val="21"/>
          <w:lang w:eastAsia="zh-CN"/>
        </w:rPr>
        <w:t>2.10. Responder pelos danos causados diretamente a Administração Pública Municipal de Lindóia do Sul/SC ou a seus aos bens, ou ainda a terceiros, decorrentes de sua culpa ou dolo na execução do objeto.</w:t>
      </w:r>
    </w:p>
    <w:p>
      <w:pPr>
        <w:pStyle w:val="Normal"/>
        <w:widowControl/>
        <w:suppressAutoHyphens w:val="true"/>
        <w:bidi w:val="0"/>
        <w:spacing w:lineRule="auto" w:line="360" w:before="142" w:after="142"/>
        <w:ind w:hanging="0" w:start="0" w:end="0"/>
        <w:jc w:val="both"/>
        <w:rPr/>
      </w:pPr>
      <w:r>
        <w:rPr>
          <w:rFonts w:ascii="Arial" w:hAnsi="Arial"/>
          <w:b/>
          <w:bCs/>
          <w:sz w:val="21"/>
          <w:szCs w:val="21"/>
        </w:rPr>
        <w:t>CLÁUSULA TERCEIRA – DO VALOR TOTAL E DO PAGAMENTO</w:t>
      </w:r>
    </w:p>
    <w:p>
      <w:pPr>
        <w:pStyle w:val="Normal"/>
        <w:widowControl/>
        <w:suppressAutoHyphens w:val="true"/>
        <w:bidi w:val="0"/>
        <w:spacing w:lineRule="auto" w:line="360" w:before="142" w:after="142"/>
        <w:ind w:hanging="0" w:start="0" w:end="0"/>
        <w:jc w:val="both"/>
        <w:rPr/>
      </w:pPr>
      <w:r>
        <w:rPr>
          <w:rFonts w:ascii="Arial" w:hAnsi="Arial"/>
          <w:sz w:val="21"/>
          <w:szCs w:val="21"/>
        </w:rPr>
        <w:t>3.1. O valor total do presente Contrato é de R$ 0,00 (</w:t>
        <w:tab/>
        <w:t>) sendo R$ _____ (_____) referente aos materiais e R$ ___ (____), correspondente a mão de obra, para entrega do objeto licitado.</w:t>
      </w:r>
    </w:p>
    <w:p>
      <w:pPr>
        <w:pStyle w:val="Normal"/>
        <w:widowControl/>
        <w:suppressAutoHyphens w:val="true"/>
        <w:bidi w:val="0"/>
        <w:spacing w:lineRule="auto" w:line="360" w:before="142" w:after="142"/>
        <w:ind w:hanging="0" w:start="0" w:end="0"/>
        <w:jc w:val="both"/>
        <w:rPr/>
      </w:pPr>
      <w:r>
        <w:rPr>
          <w:rFonts w:ascii="Arial" w:hAnsi="Arial"/>
          <w:sz w:val="21"/>
          <w:szCs w:val="21"/>
        </w:rPr>
        <w:t>3.2. O pagamento objeto do presente contrato, será feito em favor do licitante vencedor, através de boleto bancário ou mediante transferência bancária em conta-corrente de titularidade do Fornecedor, cujos dados devem ser idênticos ao da sua proposta.</w:t>
      </w:r>
    </w:p>
    <w:p>
      <w:pPr>
        <w:pStyle w:val="Normal"/>
        <w:widowControl/>
        <w:suppressAutoHyphens w:val="true"/>
        <w:bidi w:val="0"/>
        <w:spacing w:lineRule="auto" w:line="360" w:before="142" w:after="142"/>
        <w:ind w:hanging="0" w:start="0" w:end="0"/>
        <w:jc w:val="both"/>
        <w:rPr/>
      </w:pPr>
      <w:r>
        <w:rPr>
          <w:rFonts w:ascii="Arial" w:hAnsi="Arial"/>
          <w:sz w:val="21"/>
          <w:szCs w:val="21"/>
        </w:rPr>
        <w:t>3.2.1. Somente serão autorizados os pagamentos em contas cujo CNPJ de titularidade seja idêntico àquele da habilitação e proposta vinculada, exceto no caso de participação de empresas em consórcio ou de solicitação de alteração, entre matriz e filiais ou entre filiais, mediante comprovação do preenchimento dos requisitos de habilitação pelo novo CNPJ, sendo responsabilidade da contratada manter a identidade de informação no momento do cadastro e durante a execução.</w:t>
      </w:r>
    </w:p>
    <w:p>
      <w:pPr>
        <w:pStyle w:val="Normal"/>
        <w:widowControl/>
        <w:suppressAutoHyphens w:val="true"/>
        <w:bidi w:val="0"/>
        <w:spacing w:lineRule="auto" w:line="360" w:before="142" w:after="142"/>
        <w:ind w:hanging="0" w:start="0" w:end="0"/>
        <w:jc w:val="both"/>
        <w:rPr/>
      </w:pPr>
      <w:r>
        <w:rPr>
          <w:rFonts w:ascii="Arial" w:hAnsi="Arial"/>
          <w:sz w:val="21"/>
          <w:szCs w:val="21"/>
        </w:rPr>
        <w:t xml:space="preserve">3.2.2. O Município efetuará o pagamento </w:t>
      </w:r>
      <w:r>
        <w:rPr>
          <w:rFonts w:eastAsia="Arial" w:cs="Arial" w:ascii="Arial" w:hAnsi="Arial"/>
          <w:sz w:val="21"/>
          <w:szCs w:val="21"/>
        </w:rPr>
        <w:t xml:space="preserve">em até 30 (trinta) dias após cada medição, acompanhada da respectiva </w:t>
      </w:r>
      <w:r>
        <w:rPr>
          <w:rFonts w:ascii="Arial" w:hAnsi="Arial"/>
          <w:sz w:val="21"/>
          <w:szCs w:val="21"/>
        </w:rPr>
        <w:t>Nota Fiscal Eletrônica e arquivo XML, atestada por servidor responsável.</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3.3. A execução dos serviços será mediante o regime de empreitada por preço global.</w:t>
      </w:r>
    </w:p>
    <w:p>
      <w:pPr>
        <w:pStyle w:val="Normal"/>
        <w:widowControl/>
        <w:suppressAutoHyphens w:val="true"/>
        <w:bidi w:val="0"/>
        <w:spacing w:lineRule="auto" w:line="360" w:before="142" w:after="142"/>
        <w:ind w:hanging="0" w:start="0" w:end="0"/>
        <w:jc w:val="both"/>
        <w:rPr/>
      </w:pPr>
      <w:r>
        <w:rPr>
          <w:rFonts w:ascii="Arial" w:hAnsi="Arial"/>
          <w:sz w:val="21"/>
          <w:szCs w:val="21"/>
        </w:rPr>
        <w:t>3.4. Será pago a contratada somente o valor dos serviços efetivamente executados de acordo com objeto do Edital e com os critérios de medição previstos no Termo de Referência, conforme relatório, após aprovação/aceite do Contratante.</w:t>
      </w:r>
    </w:p>
    <w:p>
      <w:pPr>
        <w:pStyle w:val="Normal"/>
        <w:widowControl/>
        <w:suppressAutoHyphens w:val="true"/>
        <w:bidi w:val="0"/>
        <w:spacing w:lineRule="auto" w:line="360" w:before="142" w:after="142"/>
        <w:ind w:hanging="0" w:start="0" w:end="0"/>
        <w:jc w:val="both"/>
        <w:rPr/>
      </w:pPr>
      <w:r>
        <w:rPr>
          <w:rFonts w:ascii="Arial" w:hAnsi="Arial"/>
          <w:sz w:val="21"/>
          <w:szCs w:val="21"/>
        </w:rPr>
        <w:t>3.5. Nenhum pagamento será efetuado à Contratada enquanto pendente de liquidação qualquer obrigação financeira ou técnica que lhe for imposta, em virtude de penalidade ou inadimplência, sem que isso gere direito ao pleito do reajustamento de preços ou correção monetária.</w:t>
      </w:r>
    </w:p>
    <w:p>
      <w:pPr>
        <w:pStyle w:val="Normal"/>
        <w:widowControl/>
        <w:suppressAutoHyphens w:val="true"/>
        <w:bidi w:val="0"/>
        <w:spacing w:lineRule="auto" w:line="360" w:before="142" w:after="142"/>
        <w:ind w:hanging="0" w:start="0" w:end="0"/>
        <w:jc w:val="both"/>
        <w:rPr/>
      </w:pPr>
      <w:r>
        <w:rPr>
          <w:rFonts w:ascii="Arial" w:hAnsi="Arial"/>
          <w:sz w:val="21"/>
          <w:szCs w:val="21"/>
        </w:rPr>
        <w:t>3.6. De modo a assegurar o cumprimento de obrigações trabalhistas pelo contratado, nos termos do art. 121, § 3º, inciso II, da Lei Federal n. 14.133/2021, a Administração condicionará o pagamento à comprovação de quitação das obrigações trabalhistas vencidas relativas ao contrato.</w:t>
      </w:r>
    </w:p>
    <w:p>
      <w:pPr>
        <w:pStyle w:val="Normal"/>
        <w:widowControl/>
        <w:suppressAutoHyphens w:val="true"/>
        <w:bidi w:val="0"/>
        <w:spacing w:lineRule="auto" w:line="360" w:before="142" w:after="142"/>
        <w:ind w:hanging="0" w:start="0" w:end="0"/>
        <w:jc w:val="both"/>
        <w:rPr/>
      </w:pPr>
      <w:r>
        <w:rPr>
          <w:rFonts w:ascii="Arial" w:hAnsi="Arial"/>
          <w:sz w:val="21"/>
          <w:szCs w:val="21"/>
        </w:rPr>
        <w:t>3.6.1. Para tanto, juntamente com a nota fiscal deverá ser entregue os comprovantes do recolhimento das contribuições sociais (Fundo de Garantia do Tempo de Serviço e Previdência Social) e de adimplemento com as demais obrigações trabalhistas, correspondentes ao mês da última competência vencida, referente a seus empregados que atuam na execução dos serviços contratados.</w:t>
      </w:r>
    </w:p>
    <w:p>
      <w:pPr>
        <w:pStyle w:val="Normal"/>
        <w:widowControl/>
        <w:suppressAutoHyphens w:val="true"/>
        <w:bidi w:val="0"/>
        <w:spacing w:lineRule="auto" w:line="360" w:before="142" w:after="142"/>
        <w:ind w:hanging="0" w:start="0" w:end="0"/>
        <w:jc w:val="both"/>
        <w:rPr/>
      </w:pPr>
      <w:r>
        <w:rPr>
          <w:rFonts w:ascii="Arial" w:hAnsi="Arial"/>
          <w:sz w:val="21"/>
          <w:szCs w:val="21"/>
        </w:rPr>
        <w:t>3.6.2. A não apresentação dos documentos enumerados nas cláusulas acima implicará suspensão do pagamento da nota até a sua apresentação, não incidindo, neste caso, quaisquer acréscimos de valores referentes a juros, multa ou correção monetária.</w:t>
      </w:r>
    </w:p>
    <w:p>
      <w:pPr>
        <w:pStyle w:val="Normal"/>
        <w:widowControl/>
        <w:suppressAutoHyphens w:val="true"/>
        <w:bidi w:val="0"/>
        <w:spacing w:lineRule="auto" w:line="360" w:before="142" w:after="142"/>
        <w:ind w:hanging="0" w:start="0" w:end="0"/>
        <w:jc w:val="both"/>
        <w:rPr/>
      </w:pPr>
      <w:r>
        <w:rPr>
          <w:rFonts w:ascii="Arial" w:hAnsi="Arial"/>
          <w:sz w:val="21"/>
          <w:szCs w:val="21"/>
        </w:rPr>
        <w:t>3.7. A Administração poderá deduzir do pagamento devido qualquer multa imposta, sem prejuízo das demais penalidades previstas em Lei, assim como verbas trabalhistas não adimplidas pela contratada, para fins de efetuar diretamente o seu pagamento, nos termos do art. 121, § 3º, inciso IV, da Lei Federal n. 14.133/2021.</w:t>
      </w:r>
    </w:p>
    <w:p>
      <w:pPr>
        <w:pStyle w:val="Normal"/>
        <w:widowControl/>
        <w:suppressAutoHyphens w:val="true"/>
        <w:bidi w:val="0"/>
        <w:spacing w:lineRule="auto" w:line="360" w:before="142" w:after="142"/>
        <w:ind w:hanging="0" w:start="0" w:end="0"/>
        <w:jc w:val="both"/>
        <w:rPr/>
      </w:pPr>
      <w:r>
        <w:rPr>
          <w:rFonts w:ascii="Arial" w:hAnsi="Arial"/>
          <w:sz w:val="21"/>
          <w:szCs w:val="21"/>
        </w:rPr>
        <w:t>3.8. O pagamento poderá ser sustado pela CONTRATANTE quando os serviços não estiverem de acordo com o estipulado, ou por inadimplemento de qualquer Cláusula Contratual.</w:t>
      </w:r>
    </w:p>
    <w:p>
      <w:pPr>
        <w:pStyle w:val="Normal"/>
        <w:widowControl/>
        <w:suppressAutoHyphens w:val="true"/>
        <w:bidi w:val="0"/>
        <w:spacing w:lineRule="auto" w:line="360" w:before="142" w:after="142"/>
        <w:ind w:hanging="0" w:start="0" w:end="0"/>
        <w:jc w:val="both"/>
        <w:rPr/>
      </w:pPr>
      <w:r>
        <w:rPr>
          <w:rFonts w:ascii="Arial" w:hAnsi="Arial"/>
          <w:sz w:val="21"/>
          <w:szCs w:val="21"/>
        </w:rPr>
        <w:t>3.9. De cada valor, será feito o pagamento, mediante nota fiscal, em moeda corrente do País.</w:t>
      </w:r>
    </w:p>
    <w:p>
      <w:pPr>
        <w:pStyle w:val="Normal"/>
        <w:widowControl/>
        <w:suppressAutoHyphens w:val="true"/>
        <w:bidi w:val="0"/>
        <w:spacing w:lineRule="auto" w:line="360" w:before="142" w:after="142"/>
        <w:ind w:hanging="0" w:start="0" w:end="0"/>
        <w:jc w:val="both"/>
        <w:rPr/>
      </w:pPr>
      <w:r>
        <w:rPr>
          <w:rFonts w:ascii="Arial" w:hAnsi="Arial"/>
          <w:sz w:val="21"/>
          <w:szCs w:val="21"/>
        </w:rPr>
        <w:t>3.10. Considerando que os quantitativos previstos para cada um dos itens foram estimados, poderá ocorrer sobras (saldos de itens não utilizados), assim os valores correspondentes serão cancelados após o atingimento das quantidades previstas ou com o fim da vigência do contrato.</w:t>
      </w:r>
    </w:p>
    <w:p>
      <w:pPr>
        <w:pStyle w:val="Normal"/>
        <w:widowControl/>
        <w:suppressAutoHyphens w:val="true"/>
        <w:bidi w:val="0"/>
        <w:spacing w:lineRule="auto" w:line="360" w:before="142" w:after="142"/>
        <w:ind w:hanging="0" w:start="0" w:end="0"/>
        <w:jc w:val="both"/>
        <w:rPr/>
      </w:pPr>
      <w:r>
        <w:rPr>
          <w:rFonts w:ascii="Arial" w:hAnsi="Arial"/>
          <w:sz w:val="21"/>
          <w:szCs w:val="21"/>
        </w:rPr>
        <w:t>3.11. O presente Contrato Administrativo poderá ser alterado para reestabelecimento do equilíbrio econômico-financeiro inicial em caso de força maior, caso fortuito ou fato do príncipe, ou em decorrência de fatos imprevisíveis ou previsíveis de consequências incalculáveis que, efetivamente, inviabilizem a execução contratual tal como pactuado, nos termos do art. 124, inciso II, alínea “d”, da Lei Federal nº 14.133/2021.</w:t>
      </w:r>
    </w:p>
    <w:p>
      <w:pPr>
        <w:pStyle w:val="Normal"/>
        <w:widowControl/>
        <w:suppressAutoHyphens w:val="true"/>
        <w:bidi w:val="0"/>
        <w:spacing w:lineRule="auto" w:line="360" w:before="142" w:after="142"/>
        <w:ind w:hanging="0" w:start="0" w:end="0"/>
        <w:jc w:val="both"/>
        <w:rPr/>
      </w:pPr>
      <w:r>
        <w:rPr>
          <w:rFonts w:ascii="Arial" w:hAnsi="Arial"/>
          <w:sz w:val="21"/>
          <w:szCs w:val="21"/>
        </w:rPr>
        <w:t>3.11.1. Os eventos devem ser excepcionais, imprevisíveis ou previsíveis de consequências incalculáveis, sendo que os eventos usuais, comuns e inerentes à própria execução do Contrato Administrativo ou a própria atividade desenvolvida pela contratada, não são aptos, por si só, a comprovar efetivamente e objetivamente o desequilíbrio econômico-financeiro alegado.</w:t>
      </w:r>
    </w:p>
    <w:p>
      <w:pPr>
        <w:pStyle w:val="Normal"/>
        <w:widowControl/>
        <w:suppressAutoHyphens w:val="true"/>
        <w:bidi w:val="0"/>
        <w:spacing w:lineRule="auto" w:line="360" w:before="142" w:after="142"/>
        <w:ind w:hanging="0" w:start="0" w:end="0"/>
        <w:jc w:val="both"/>
        <w:rPr/>
      </w:pPr>
      <w:r>
        <w:rPr>
          <w:rFonts w:ascii="Arial" w:hAnsi="Arial"/>
          <w:sz w:val="21"/>
          <w:szCs w:val="21"/>
        </w:rPr>
        <w:t>3.11.2. Os eventos, também, devem ser supervenientes à formulação da proposta, sob pena de presunção relativa de que a contratada possui plenas condições de cumprir o contrato administrativo mesmo com as condições adversas eventualmente verificadas/constatadas, visto que formulou sua proposta ciente dos eventos e seus efeitos econômicos.</w:t>
      </w:r>
    </w:p>
    <w:p>
      <w:pPr>
        <w:pStyle w:val="Normal"/>
        <w:widowControl/>
        <w:suppressAutoHyphens w:val="true"/>
        <w:bidi w:val="0"/>
        <w:spacing w:lineRule="auto" w:line="360" w:before="142" w:after="142"/>
        <w:ind w:hanging="0" w:start="0" w:end="0"/>
        <w:jc w:val="both"/>
        <w:rPr/>
      </w:pPr>
      <w:r>
        <w:rPr>
          <w:rFonts w:ascii="Arial" w:hAnsi="Arial"/>
          <w:sz w:val="21"/>
          <w:szCs w:val="21"/>
        </w:rPr>
        <w:t>3.11.3. A constatação da inexequibilidade de preço unitário durante a execução do Contrato Administrativo não é motivo, por si só, para ensejar reequilíbrio econômico-financeiro, haja vista que a oferta de preço inexequível na licitação onera, exclusivamente, a contratada.</w:t>
      </w:r>
    </w:p>
    <w:p>
      <w:pPr>
        <w:pStyle w:val="Normal"/>
        <w:widowControl/>
        <w:suppressAutoHyphens w:val="true"/>
        <w:bidi w:val="0"/>
        <w:spacing w:lineRule="auto" w:line="360" w:before="142" w:after="142"/>
        <w:ind w:hanging="0" w:start="0" w:end="0"/>
        <w:jc w:val="both"/>
        <w:rPr/>
      </w:pPr>
      <w:r>
        <w:rPr>
          <w:rFonts w:ascii="Arial" w:hAnsi="Arial"/>
          <w:sz w:val="21"/>
          <w:szCs w:val="21"/>
        </w:rPr>
        <w:t>3.11.4. A mera variação da taxa cambial, para mais ou para menos, por si só, não é suficiente para fundamentar a necessidade de reequilíbrio econômico-financeiro.</w:t>
      </w:r>
    </w:p>
    <w:p>
      <w:pPr>
        <w:pStyle w:val="Normal"/>
        <w:widowControl/>
        <w:tabs>
          <w:tab w:val="clear" w:pos="709"/>
          <w:tab w:val="left" w:pos="4387" w:leader="none"/>
          <w:tab w:val="left" w:pos="4560" w:leader="none"/>
        </w:tabs>
        <w:suppressAutoHyphens w:val="true"/>
        <w:bidi w:val="0"/>
        <w:spacing w:lineRule="auto" w:line="360" w:before="142" w:after="142"/>
        <w:ind w:hanging="0" w:start="0" w:end="0"/>
        <w:jc w:val="both"/>
        <w:rPr/>
      </w:pPr>
      <w:r>
        <w:rPr>
          <w:rFonts w:ascii="Arial" w:hAnsi="Arial"/>
          <w:sz w:val="21"/>
          <w:szCs w:val="21"/>
        </w:rPr>
        <w:t>3.12. Caberá à Contratante os recebimentos provisório e definitivo do objeto.</w:t>
      </w:r>
    </w:p>
    <w:p>
      <w:pPr>
        <w:pStyle w:val="Normal"/>
        <w:tabs>
          <w:tab w:val="clear" w:pos="709"/>
          <w:tab w:val="left" w:pos="4387" w:leader="none"/>
          <w:tab w:val="left" w:pos="4560" w:leader="none"/>
        </w:tabs>
        <w:spacing w:lineRule="auto" w:line="360" w:before="142" w:after="142"/>
        <w:ind w:hanging="0" w:start="0" w:end="0"/>
        <w:jc w:val="both"/>
        <w:rPr/>
      </w:pPr>
      <w:r>
        <w:rPr>
          <w:rFonts w:eastAsia="Times New Roman" w:cs="Arial" w:ascii="Arial" w:hAnsi="Arial"/>
          <w:bCs/>
          <w:color w:val="000000"/>
          <w:kern w:val="0"/>
          <w:sz w:val="21"/>
          <w:szCs w:val="21"/>
          <w:lang w:eastAsia="zh-CN"/>
        </w:rPr>
        <w:t>3.13. Os preços cotados não serão reajustados.</w:t>
      </w:r>
    </w:p>
    <w:p>
      <w:pPr>
        <w:pStyle w:val="Normal"/>
        <w:widowControl/>
        <w:tabs>
          <w:tab w:val="clear" w:pos="709"/>
          <w:tab w:val="left" w:pos="4387" w:leader="none"/>
          <w:tab w:val="left" w:pos="4560" w:leader="none"/>
        </w:tabs>
        <w:suppressAutoHyphens w:val="true"/>
        <w:bidi w:val="0"/>
        <w:spacing w:lineRule="auto" w:line="360" w:before="142" w:after="142"/>
        <w:ind w:hanging="0" w:start="0" w:end="0"/>
        <w:jc w:val="both"/>
        <w:rPr/>
      </w:pPr>
      <w:r>
        <w:rPr>
          <w:rFonts w:ascii="Arial" w:hAnsi="Arial"/>
          <w:b/>
          <w:bCs/>
          <w:sz w:val="21"/>
          <w:szCs w:val="21"/>
        </w:rPr>
        <w:t>CLÁUSULA QUARTA – DA DOTAÇÃO ORÇAMENTÁRIA</w:t>
      </w:r>
    </w:p>
    <w:p>
      <w:pPr>
        <w:pStyle w:val="Normal"/>
        <w:widowControl/>
        <w:tabs>
          <w:tab w:val="clear" w:pos="709"/>
          <w:tab w:val="left" w:pos="4387" w:leader="none"/>
          <w:tab w:val="left" w:pos="4560" w:leader="none"/>
        </w:tabs>
        <w:suppressAutoHyphens w:val="true"/>
        <w:bidi w:val="0"/>
        <w:spacing w:lineRule="auto" w:line="360" w:before="142" w:after="142"/>
        <w:ind w:hanging="0" w:start="0" w:end="0"/>
        <w:jc w:val="both"/>
        <w:rPr/>
      </w:pPr>
      <w:r>
        <w:rPr>
          <w:rFonts w:ascii="Arial" w:hAnsi="Arial"/>
          <w:sz w:val="21"/>
          <w:szCs w:val="21"/>
        </w:rPr>
        <w:t>4.1. As despesas para a execução do objeto da presente contratação correrão a conta de dotação orçamentária, prevista na Lei Orçamentária Anual do exercício corrente e terão a seguinte classificação:</w:t>
      </w:r>
    </w:p>
    <w:p>
      <w:pPr>
        <w:pStyle w:val="Normal"/>
        <w:tabs>
          <w:tab w:val="clear" w:pos="709"/>
          <w:tab w:val="left" w:pos="4387" w:leader="none"/>
          <w:tab w:val="left" w:pos="4560" w:leader="none"/>
        </w:tabs>
        <w:spacing w:lineRule="auto" w:line="360"/>
        <w:jc w:val="start"/>
        <w:rPr>
          <w:rFonts w:ascii="Arial" w:hAnsi="Arial" w:eastAsia="Arial" w:cs="Times New Roman"/>
          <w:b/>
          <w:bCs/>
          <w:color w:val="000000"/>
          <w:sz w:val="21"/>
          <w:szCs w:val="21"/>
          <w:shd w:fill="auto" w:val="clear"/>
          <w:lang w:val="en-US" w:eastAsia="zh-CN"/>
        </w:rPr>
      </w:pPr>
      <w:r>
        <w:rPr>
          <w:rFonts w:eastAsia="Arial" w:cs="Times New Roman" w:ascii="Arial" w:hAnsi="Arial"/>
          <w:b/>
          <w:bCs/>
          <w:color w:val="000000"/>
          <w:sz w:val="21"/>
          <w:szCs w:val="21"/>
          <w:shd w:fill="auto" w:val="clear"/>
          <w:lang w:val="en-US" w:eastAsia="zh-CN"/>
        </w:rPr>
        <w:t xml:space="preserve">Entidade: PREFEITURA MUNICIPAL DE LINDÓIA DO SUL </w:t>
        <w:br/>
        <w:t>06 - Secretaria Municipal de Infraestrutura e Transportes</w:t>
        <w:br/>
        <w:t>001 – Secretaria Municipal de Infraestrutura e Transportes</w:t>
        <w:br/>
        <w:t xml:space="preserve">1.013 - </w:t>
      </w:r>
      <w:r>
        <w:rPr>
          <w:rFonts w:eastAsia="Arial" w:cs="Times New Roman" w:ascii="Arial" w:hAnsi="Arial"/>
          <w:b w:val="false"/>
          <w:bCs w:val="false"/>
          <w:color w:val="000000"/>
          <w:sz w:val="21"/>
          <w:szCs w:val="21"/>
          <w:shd w:fill="auto" w:val="clear"/>
          <w:lang w:val="en-US" w:eastAsia="zh-CN"/>
        </w:rPr>
        <w:t>Obras de Infraestrutura Urbana</w:t>
        <w:br/>
        <w:t xml:space="preserve">4.4.90.00.00.00.00.00 - Aplicações Diretas </w:t>
        <w:br/>
        <w:t>1.755.0000.0089 - Alienações de Bens destinados a outros programas</w:t>
        <w:br/>
        <w:t>2.500.0000.0000 - Recursos Ordinários</w:t>
      </w:r>
    </w:p>
    <w:p>
      <w:pPr>
        <w:pStyle w:val="Normal"/>
        <w:tabs>
          <w:tab w:val="clear" w:pos="709"/>
          <w:tab w:val="left" w:pos="4387" w:leader="none"/>
          <w:tab w:val="left" w:pos="4560" w:leader="none"/>
        </w:tabs>
        <w:spacing w:lineRule="auto" w:line="360" w:before="142" w:after="142"/>
        <w:jc w:val="both"/>
        <w:rPr/>
      </w:pPr>
      <w:r>
        <w:rPr>
          <w:rFonts w:cs="Times New Roman" w:ascii="Arial" w:hAnsi="Arial"/>
          <w:sz w:val="21"/>
          <w:szCs w:val="21"/>
          <w:shd w:fill="auto" w:val="clear"/>
        </w:rPr>
        <w:t xml:space="preserve">Para os exercícios seguintes, as dotações vigentes no período serão apostilados no contrato, devendo a autoridade requisitante verificar a existência de créditos orçamentários. </w:t>
      </w:r>
    </w:p>
    <w:p>
      <w:pPr>
        <w:pStyle w:val="Normal"/>
        <w:widowControl/>
        <w:suppressAutoHyphens w:val="true"/>
        <w:bidi w:val="0"/>
        <w:spacing w:lineRule="auto" w:line="360" w:before="142" w:after="142"/>
        <w:ind w:hanging="0" w:start="0" w:end="0"/>
        <w:jc w:val="both"/>
        <w:rPr/>
      </w:pPr>
      <w:r>
        <w:rPr>
          <w:rFonts w:ascii="Arial" w:hAnsi="Arial"/>
          <w:b/>
          <w:bCs/>
          <w:sz w:val="21"/>
          <w:szCs w:val="21"/>
        </w:rPr>
        <w:t>CLÁUSULA QUINTA – DAS PENALIDADES</w:t>
      </w:r>
    </w:p>
    <w:p>
      <w:pPr>
        <w:pStyle w:val="Normal"/>
        <w:widowControl/>
        <w:suppressAutoHyphens w:val="true"/>
        <w:bidi w:val="0"/>
        <w:spacing w:lineRule="auto" w:line="360" w:before="142" w:after="142"/>
        <w:ind w:hanging="0" w:start="0" w:end="0"/>
        <w:jc w:val="both"/>
        <w:rPr/>
      </w:pPr>
      <w:r>
        <w:rPr>
          <w:rFonts w:ascii="Arial" w:hAnsi="Arial"/>
          <w:sz w:val="21"/>
          <w:szCs w:val="21"/>
        </w:rPr>
        <w:t>5.1. O licitante ou o contratado será responsabilizado administrativamente pelas infrações previstas no art. 155 da Lei Federal n. 14.133/2021.</w:t>
      </w:r>
    </w:p>
    <w:p>
      <w:pPr>
        <w:pStyle w:val="Normal"/>
        <w:widowControl/>
        <w:suppressAutoHyphens w:val="true"/>
        <w:bidi w:val="0"/>
        <w:spacing w:lineRule="auto" w:line="360" w:before="142" w:after="142"/>
        <w:ind w:hanging="0" w:start="0" w:end="0"/>
        <w:jc w:val="both"/>
        <w:rPr/>
      </w:pPr>
      <w:r>
        <w:rPr>
          <w:rFonts w:ascii="Arial" w:hAnsi="Arial"/>
          <w:sz w:val="21"/>
          <w:szCs w:val="21"/>
        </w:rPr>
        <w:t>5.2. O Município de Lindóia do Sul poderá, garantido o contraditório e a ampla defesa, aplicar as seguintes sanções administrativas:</w:t>
      </w:r>
    </w:p>
    <w:p>
      <w:pPr>
        <w:pStyle w:val="Normal"/>
        <w:widowControl/>
        <w:suppressAutoHyphens w:val="true"/>
        <w:bidi w:val="0"/>
        <w:spacing w:lineRule="auto" w:line="360" w:before="142" w:after="142"/>
        <w:ind w:hanging="0" w:start="0" w:end="0"/>
        <w:jc w:val="both"/>
        <w:rPr/>
      </w:pPr>
      <w:r>
        <w:rPr>
          <w:rFonts w:ascii="Arial" w:hAnsi="Arial"/>
          <w:sz w:val="21"/>
          <w:szCs w:val="21"/>
        </w:rPr>
        <w:tab/>
        <w:t>I – advertência;</w:t>
      </w:r>
    </w:p>
    <w:p>
      <w:pPr>
        <w:pStyle w:val="Normal"/>
        <w:widowControl/>
        <w:suppressAutoHyphens w:val="true"/>
        <w:bidi w:val="0"/>
        <w:spacing w:lineRule="auto" w:line="360" w:before="142" w:after="142"/>
        <w:ind w:hanging="0" w:start="0" w:end="0"/>
        <w:jc w:val="both"/>
        <w:rPr/>
      </w:pPr>
      <w:r>
        <w:rPr>
          <w:rFonts w:ascii="Arial" w:hAnsi="Arial"/>
          <w:sz w:val="21"/>
          <w:szCs w:val="21"/>
        </w:rPr>
        <w:tab/>
        <w:t>II – multa;</w:t>
      </w:r>
    </w:p>
    <w:p>
      <w:pPr>
        <w:pStyle w:val="Normal"/>
        <w:widowControl/>
        <w:suppressAutoHyphens w:val="true"/>
        <w:bidi w:val="0"/>
        <w:spacing w:lineRule="auto" w:line="360" w:before="142" w:after="142"/>
        <w:ind w:hanging="0" w:start="0" w:end="0"/>
        <w:jc w:val="both"/>
        <w:rPr/>
      </w:pPr>
      <w:r>
        <w:rPr>
          <w:rFonts w:ascii="Arial" w:hAnsi="Arial"/>
          <w:sz w:val="21"/>
          <w:szCs w:val="21"/>
        </w:rPr>
        <w:tab/>
        <w:t xml:space="preserve">III – </w:t>
      </w:r>
      <w:r>
        <w:rPr>
          <w:rFonts w:eastAsia="Calibri" w:ascii="Arial" w:hAnsi="Arial"/>
          <w:sz w:val="21"/>
          <w:szCs w:val="21"/>
          <w:shd w:fill="FFFFFF" w:val="clear"/>
        </w:rPr>
        <w:t>impedimento de licitar e contratar com Administração Pública direta e indireta do Município de Lindóia do Sul, pelo prazo máximo de 03 (três anos);</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ab/>
        <w:t>IV – declaração de inidoneidade para licitar ou contratar no âmbito da Administração Pública direta e indireta de todos os entes federativos, pelo prazo mínimo de 3 (três) anos e máximo de 6 (seis) anos.</w:t>
      </w:r>
    </w:p>
    <w:p>
      <w:pPr>
        <w:pStyle w:val="Normal"/>
        <w:widowControl/>
        <w:suppressAutoHyphens w:val="true"/>
        <w:bidi w:val="0"/>
        <w:spacing w:lineRule="auto" w:line="360" w:before="142" w:after="142"/>
        <w:ind w:hanging="0" w:start="0" w:end="0"/>
        <w:jc w:val="both"/>
        <w:rPr/>
      </w:pPr>
      <w:r>
        <w:rPr>
          <w:rFonts w:ascii="Arial" w:hAnsi="Arial"/>
          <w:sz w:val="21"/>
          <w:szCs w:val="21"/>
        </w:rPr>
        <w:t>5.3. Por qualquer das infrações previstas no art. 155 da Lei Federal n. 14.133/2021, poderá ser aplicada ao licitante ou contratado a sanção administrativa de multa compensatória de 20% (vinte inteiros por cento) sobre o valor total do contrato.</w:t>
      </w:r>
    </w:p>
    <w:p>
      <w:pPr>
        <w:pStyle w:val="Normal"/>
        <w:widowControl/>
        <w:suppressAutoHyphens w:val="true"/>
        <w:bidi w:val="0"/>
        <w:spacing w:lineRule="auto" w:line="360" w:before="142" w:after="142"/>
        <w:ind w:hanging="0" w:start="0" w:end="0"/>
        <w:jc w:val="both"/>
        <w:rPr/>
      </w:pPr>
      <w:r>
        <w:rPr>
          <w:rFonts w:ascii="Arial" w:hAnsi="Arial"/>
          <w:sz w:val="21"/>
          <w:szCs w:val="21"/>
        </w:rPr>
        <w:t>5.4. A recusa injustificada do adjudicatário em assinar o Contrato, no prazo máximo de 5 (cinco) dias úteis da notificação, implicará a aplicação da multa compensatória prevista no item anterior.</w:t>
      </w:r>
    </w:p>
    <w:p>
      <w:pPr>
        <w:pStyle w:val="Normal"/>
        <w:widowControl/>
        <w:suppressAutoHyphens w:val="true"/>
        <w:bidi w:val="0"/>
        <w:spacing w:lineRule="auto" w:line="360" w:before="142" w:after="142"/>
        <w:ind w:hanging="0" w:start="0" w:end="0"/>
        <w:jc w:val="both"/>
        <w:rPr/>
      </w:pPr>
      <w:r>
        <w:rPr>
          <w:rFonts w:ascii="Arial" w:hAnsi="Arial"/>
          <w:sz w:val="21"/>
          <w:szCs w:val="21"/>
        </w:rPr>
        <w:t>5.5. A sanção administrativa de multa moratória será aplicada nos casos de atraso injustificado na execução do contrato, nos termos do art. 162 da Lei Federal n. 14.133/2021, possuindo os seguintes parâmetros:</w:t>
      </w:r>
    </w:p>
    <w:p>
      <w:pPr>
        <w:pStyle w:val="Normal"/>
        <w:widowControl/>
        <w:suppressAutoHyphens w:val="true"/>
        <w:bidi w:val="0"/>
        <w:spacing w:lineRule="auto" w:line="360" w:before="142" w:after="142"/>
        <w:ind w:hanging="0" w:start="0" w:end="0"/>
        <w:jc w:val="both"/>
        <w:rPr/>
      </w:pPr>
      <w:r>
        <w:rPr>
          <w:rFonts w:ascii="Arial" w:hAnsi="Arial"/>
          <w:sz w:val="21"/>
          <w:szCs w:val="21"/>
        </w:rPr>
        <w:tab/>
        <w:t>I – por atraso ou paralisação da execução superior a 10 (dez) dias do prazo de execução dos serviços, fica o contratado sujeito à multa de 0,5% (meio por cento) por dia de atraso, incidente sobre o valor total do contrato, a ser calculado desde o 11º (décimo primeiro) dia de atraso até o efetivo cumprimento da obrigação, limitado a 30 (trinta) dias.</w:t>
      </w:r>
    </w:p>
    <w:p>
      <w:pPr>
        <w:pStyle w:val="Normal"/>
        <w:widowControl/>
        <w:suppressAutoHyphens w:val="true"/>
        <w:bidi w:val="0"/>
        <w:spacing w:lineRule="auto" w:line="360" w:before="142" w:after="142"/>
        <w:ind w:hanging="0" w:start="0" w:end="0"/>
        <w:jc w:val="both"/>
        <w:rPr/>
      </w:pPr>
      <w:r>
        <w:rPr>
          <w:rFonts w:ascii="Arial" w:hAnsi="Arial"/>
          <w:sz w:val="21"/>
          <w:szCs w:val="21"/>
        </w:rPr>
        <w:tab/>
        <w:t>II – transcorridos 30 (trinta) dias do prazo de execução estabelecido no contrato, será considerado extinto o Contrato Administrativo, canceladas as ordens de serviços e aplicada multa de 20% (vinte inteiros por cento) por inexecução total, calculada sobre o valor do contrato.</w:t>
      </w:r>
    </w:p>
    <w:p>
      <w:pPr>
        <w:pStyle w:val="Normal"/>
        <w:widowControl/>
        <w:suppressAutoHyphens w:val="true"/>
        <w:bidi w:val="0"/>
        <w:spacing w:lineRule="auto" w:line="360" w:before="142" w:after="142"/>
        <w:ind w:hanging="0" w:start="0" w:end="0"/>
        <w:jc w:val="both"/>
        <w:rPr/>
      </w:pPr>
      <w:r>
        <w:rPr>
          <w:rFonts w:ascii="Arial" w:hAnsi="Arial"/>
          <w:sz w:val="21"/>
          <w:szCs w:val="21"/>
        </w:rPr>
        <w:t>5.6. Dependendo do descumprimento, se gerar algum prejuízo ao Município de Lindóia do Sul, poderá ser requerido do Contratado o valor de perdas e danos, após Processo Administrativo de reconhecimento da responsabilidade.</w:t>
      </w:r>
    </w:p>
    <w:p>
      <w:pPr>
        <w:pStyle w:val="Normal"/>
        <w:widowControl/>
        <w:suppressAutoHyphens w:val="true"/>
        <w:bidi w:val="0"/>
        <w:spacing w:lineRule="auto" w:line="360" w:before="142" w:after="142"/>
        <w:ind w:hanging="0" w:start="0" w:end="0"/>
        <w:jc w:val="both"/>
        <w:rPr/>
      </w:pPr>
      <w:r>
        <w:rPr>
          <w:rFonts w:ascii="Arial" w:hAnsi="Arial"/>
          <w:sz w:val="21"/>
          <w:szCs w:val="21"/>
        </w:rPr>
        <w:t>5.7. A sanção administrativa de multa poderá ser aplicada de forma cumulativa com a sanção de advertência, impedimento de licitar e contratar e declaração de inidoneidade para licitar ou contratar.</w:t>
      </w:r>
    </w:p>
    <w:p>
      <w:pPr>
        <w:pStyle w:val="Normal"/>
        <w:widowControl/>
        <w:suppressAutoHyphens w:val="true"/>
        <w:bidi w:val="0"/>
        <w:spacing w:lineRule="auto" w:line="360" w:before="142" w:after="142"/>
        <w:ind w:hanging="0" w:start="0" w:end="0"/>
        <w:jc w:val="both"/>
        <w:rPr/>
      </w:pPr>
      <w:r>
        <w:rPr>
          <w:rFonts w:ascii="Arial" w:hAnsi="Arial"/>
          <w:sz w:val="21"/>
          <w:szCs w:val="21"/>
        </w:rPr>
        <w:t>5.8. A aplicação das sanções administrativas de impedimento de licitar e contratar e declaração de inidoneidade para licitar e contratar deverão respeitar o trâmite e procedimentos estabelecidos no art. 158 da Lei Federal n. 14.133/2021.</w:t>
      </w:r>
    </w:p>
    <w:p>
      <w:pPr>
        <w:pStyle w:val="Normal"/>
        <w:widowControl/>
        <w:suppressAutoHyphens w:val="true"/>
        <w:bidi w:val="0"/>
        <w:spacing w:lineRule="auto" w:line="360" w:before="142" w:after="142"/>
        <w:ind w:hanging="0" w:start="0" w:end="0"/>
        <w:jc w:val="both"/>
        <w:rPr/>
      </w:pPr>
      <w:r>
        <w:rPr>
          <w:rFonts w:ascii="Arial" w:hAnsi="Arial"/>
          <w:sz w:val="21"/>
          <w:szCs w:val="21"/>
        </w:rPr>
        <w:t>5.9. As sanções administrativas de impedimento de licitar e contratar e declaração de inidoneidade para licitar e contratar são passíveis de reabilitação, na forma do art. 163 da Lei Federal n. 14.133/2021.</w:t>
      </w:r>
    </w:p>
    <w:p>
      <w:pPr>
        <w:pStyle w:val="Normal"/>
        <w:widowControl/>
        <w:suppressAutoHyphens w:val="true"/>
        <w:bidi w:val="0"/>
        <w:spacing w:lineRule="auto" w:line="360" w:before="142" w:after="142"/>
        <w:ind w:hanging="0" w:start="0" w:end="0"/>
        <w:jc w:val="both"/>
        <w:rPr/>
      </w:pPr>
      <w:r>
        <w:rPr>
          <w:rFonts w:ascii="Arial" w:hAnsi="Arial"/>
          <w:sz w:val="21"/>
          <w:szCs w:val="21"/>
        </w:rPr>
        <w:t>5.10.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nos termos do art. 160 da Lei Federal n. 14.133/2021.</w:t>
      </w:r>
    </w:p>
    <w:p>
      <w:pPr>
        <w:pStyle w:val="Normal"/>
        <w:widowControl/>
        <w:suppressAutoHyphens w:val="true"/>
        <w:bidi w:val="0"/>
        <w:spacing w:lineRule="auto" w:line="360" w:before="142" w:after="142"/>
        <w:ind w:hanging="0" w:start="0" w:end="0"/>
        <w:jc w:val="both"/>
        <w:rPr/>
      </w:pPr>
      <w:r>
        <w:rPr>
          <w:rFonts w:ascii="Arial" w:hAnsi="Arial"/>
          <w:sz w:val="21"/>
          <w:szCs w:val="21"/>
        </w:rPr>
        <w:t>5.11. O Contratante deverá, no prazo máximo de 15 (quinze) dias úteis, contado da data da aplicação da sanção, informar e manter atualizados os dados relativos às sanções aplicadas, para fins de publicidade no Cadastro Nacional de Empresas Inidôneas e Suspensas (Ceis) e no Cadastro Nacional de Empresas Punidas (Cnep), instituídos no âmbito do Poder Executivo Federal, nos termos do art. 161 da Lei Federal n. 14.133/2021.</w:t>
      </w:r>
    </w:p>
    <w:p>
      <w:pPr>
        <w:pStyle w:val="Normal"/>
        <w:widowControl/>
        <w:suppressAutoHyphens w:val="true"/>
        <w:bidi w:val="0"/>
        <w:spacing w:lineRule="auto" w:line="360" w:before="142" w:after="142"/>
        <w:ind w:hanging="0" w:start="0" w:end="0"/>
        <w:jc w:val="both"/>
        <w:rPr/>
      </w:pPr>
      <w:r>
        <w:rPr>
          <w:rFonts w:ascii="Arial" w:hAnsi="Arial"/>
          <w:sz w:val="21"/>
          <w:szCs w:val="21"/>
        </w:rPr>
        <w:t>5.12. Os débitos do licitante/contratado com a Administração Pública contratante, resultantes da aplicação de multas e/ou indenizações, poderão ser compensados, total ou parcialmente, nos casos da existência de crédito em favor do licitante/contratado, decorrentes do mesmo contrato ou de outros contratos administrativos firmados com a mesma entidade/órgão público contratante.</w:t>
      </w:r>
    </w:p>
    <w:p>
      <w:pPr>
        <w:pStyle w:val="Normal"/>
        <w:widowControl/>
        <w:suppressAutoHyphens w:val="true"/>
        <w:bidi w:val="0"/>
        <w:spacing w:lineRule="auto" w:line="360" w:before="142" w:after="142"/>
        <w:ind w:hanging="0" w:start="0" w:end="0"/>
        <w:jc w:val="both"/>
        <w:rPr/>
      </w:pPr>
      <w:r>
        <w:rPr>
          <w:rFonts w:ascii="Arial" w:hAnsi="Arial"/>
          <w:sz w:val="21"/>
          <w:szCs w:val="21"/>
        </w:rPr>
        <w:t>5.13. Na hipótese de aplicação de penalidade de multa, após os procedimentos legais, será emitida notificação de cobrança ao licitante, que deverá fazer o recolhimento do valor no prazo estabelecido na decisão do processo administrativo, sob pena de cobrança judicial.</w:t>
      </w:r>
    </w:p>
    <w:p>
      <w:pPr>
        <w:pStyle w:val="Normal"/>
        <w:widowControl/>
        <w:suppressAutoHyphens w:val="true"/>
        <w:bidi w:val="0"/>
        <w:spacing w:lineRule="auto" w:line="360" w:before="142" w:after="142"/>
        <w:ind w:hanging="0" w:start="0" w:end="0"/>
        <w:jc w:val="both"/>
        <w:rPr/>
      </w:pPr>
      <w:r>
        <w:rPr>
          <w:rFonts w:ascii="Arial" w:hAnsi="Arial"/>
          <w:b/>
          <w:bCs/>
          <w:sz w:val="21"/>
          <w:szCs w:val="21"/>
        </w:rPr>
        <w:t>CLÁUSULA SEXTA – DA EXTINÇÃO</w:t>
      </w:r>
    </w:p>
    <w:p>
      <w:pPr>
        <w:pStyle w:val="Normal"/>
        <w:widowControl/>
        <w:suppressAutoHyphens w:val="true"/>
        <w:bidi w:val="0"/>
        <w:spacing w:lineRule="auto" w:line="360" w:before="142" w:after="142"/>
        <w:ind w:hanging="0" w:start="0" w:end="0"/>
        <w:jc w:val="both"/>
        <w:rPr/>
      </w:pPr>
      <w:r>
        <w:rPr>
          <w:rFonts w:ascii="Arial" w:hAnsi="Arial"/>
          <w:sz w:val="21"/>
          <w:szCs w:val="21"/>
        </w:rPr>
        <w:t>6.1. O presente Contrato poderá ser extinto, independentemente de qualquer notificação judicial ou extrajudicial, no caso de inexecução total ou parcial, e pelos demais motivos enumerados no art. 137 da Lei Federal n. 14.133/2021, mediante decisão formalmente motivada nos autos do processo, assegurados o contraditório e ampla defesa.</w:t>
      </w:r>
    </w:p>
    <w:p>
      <w:pPr>
        <w:pStyle w:val="Normal"/>
        <w:widowControl/>
        <w:suppressAutoHyphens w:val="true"/>
        <w:bidi w:val="0"/>
        <w:spacing w:lineRule="auto" w:line="360" w:before="142" w:after="142"/>
        <w:ind w:hanging="0" w:start="0" w:end="0"/>
        <w:jc w:val="both"/>
        <w:rPr/>
      </w:pPr>
      <w:r>
        <w:rPr>
          <w:rFonts w:ascii="Arial" w:hAnsi="Arial"/>
          <w:sz w:val="21"/>
          <w:szCs w:val="21"/>
        </w:rPr>
        <w:t>6.2. A extinção contratual deverá observar as disposições da Lei Federal nº 14.133, de 2021.</w:t>
      </w:r>
    </w:p>
    <w:p>
      <w:pPr>
        <w:pStyle w:val="Normal"/>
        <w:widowControl/>
        <w:suppressAutoHyphens w:val="true"/>
        <w:bidi w:val="0"/>
        <w:spacing w:lineRule="auto" w:line="360" w:before="142" w:after="142"/>
        <w:ind w:hanging="0" w:start="0" w:end="0"/>
        <w:jc w:val="both"/>
        <w:rPr/>
      </w:pPr>
      <w:r>
        <w:rPr>
          <w:rFonts w:ascii="Arial" w:hAnsi="Arial"/>
          <w:sz w:val="21"/>
          <w:szCs w:val="21"/>
        </w:rPr>
        <w:t>6.3. Nos termos do § 7º, do art. 90, da Lei Federal nº 14.133, de 2021, fica facultada à Administração a convocação dos demais licitantes classificados segundo o cadastro de reservas para a contratação do remanescente dos serviços em consequência de rescisão contratual, observados os critérios estabelecidos nos § § 2º e 4º, do mesmo artigo.</w:t>
      </w:r>
    </w:p>
    <w:p>
      <w:pPr>
        <w:pStyle w:val="Normal"/>
        <w:widowControl/>
        <w:suppressAutoHyphens w:val="true"/>
        <w:bidi w:val="0"/>
        <w:spacing w:lineRule="auto" w:line="360" w:before="142" w:after="142"/>
        <w:ind w:hanging="0" w:start="0" w:end="0"/>
        <w:jc w:val="both"/>
        <w:rPr/>
      </w:pPr>
      <w:r>
        <w:rPr>
          <w:rFonts w:ascii="Arial" w:hAnsi="Arial"/>
          <w:b/>
          <w:bCs/>
          <w:sz w:val="21"/>
          <w:szCs w:val="21"/>
        </w:rPr>
        <w:t>CLÁUSULA SÉTIMA – DA VIGÊNCIA E DO PRAZO</w:t>
      </w:r>
    </w:p>
    <w:p>
      <w:pPr>
        <w:pStyle w:val="Normal"/>
        <w:widowControl/>
        <w:suppressAutoHyphens w:val="true"/>
        <w:bidi w:val="0"/>
        <w:spacing w:lineRule="auto" w:line="360" w:before="142" w:after="142"/>
        <w:ind w:hanging="0" w:start="0" w:end="0"/>
        <w:jc w:val="both"/>
        <w:rPr/>
      </w:pPr>
      <w:r>
        <w:rPr>
          <w:rFonts w:ascii="Arial" w:hAnsi="Arial"/>
          <w:sz w:val="21"/>
          <w:szCs w:val="21"/>
          <w:shd w:fill="auto" w:val="clear"/>
        </w:rPr>
        <w:t xml:space="preserve">7.1. </w:t>
      </w:r>
      <w:r>
        <w:rPr>
          <w:rFonts w:eastAsia="Times New Roman" w:cs="Times New Roman" w:ascii="Arial" w:hAnsi="Arial"/>
          <w:sz w:val="21"/>
          <w:szCs w:val="21"/>
          <w:shd w:fill="auto" w:val="clear"/>
          <w:lang w:eastAsia="pt-BR"/>
        </w:rPr>
        <w:t>O contrato terá prazo de execução de 150 (cento e cinquenta) dias, contados da emissão da Ordem de Serviço, e vigência de 210 (duzentos e dez) dias, com eficácia a partir da assinatura e respectiva publicação no Portal Nacional de Contratações Públicas – PNCP, nos termos da Lei Federal nº 14.133/2021.</w:t>
      </w:r>
    </w:p>
    <w:p>
      <w:pPr>
        <w:pStyle w:val="Normal"/>
        <w:spacing w:lineRule="auto" w:line="360" w:before="142" w:after="142"/>
        <w:ind w:hanging="0"/>
        <w:jc w:val="both"/>
        <w:rPr/>
      </w:pPr>
      <w:r>
        <w:rPr>
          <w:rFonts w:eastAsia="Times New Roman" w:cs="Times New Roman" w:ascii="Arial" w:hAnsi="Arial"/>
          <w:sz w:val="21"/>
          <w:szCs w:val="21"/>
          <w:lang w:eastAsia="pt-BR"/>
        </w:rPr>
        <w:t>7.2. O prazo de vigência será automaticamente prorrogado quando o objeto não for concluído no período inicialmente previsto, ressalvadas as hipóteses de atraso decorrentes de culpa da contratada, observadas as providências cabíveis.</w:t>
      </w:r>
    </w:p>
    <w:p>
      <w:pPr>
        <w:pStyle w:val="Normal"/>
        <w:spacing w:lineRule="auto" w:line="360" w:before="142" w:after="142"/>
        <w:ind w:hanging="0"/>
        <w:jc w:val="both"/>
        <w:rPr/>
      </w:pPr>
      <w:r>
        <w:rPr>
          <w:rFonts w:cs="Times New Roman" w:ascii="Arial" w:hAnsi="Arial"/>
          <w:sz w:val="21"/>
          <w:szCs w:val="21"/>
        </w:rPr>
        <w:t>7.3. Caso a vigência contratual ultrapasse 01 (um) ano, os preços poderão ser reajustados anualmente, mediante solicitação da contratada, para preservação do equilíbrio econômico-financeiro do contrato, observadas as disposições legais aplicáveis.</w:t>
      </w:r>
    </w:p>
    <w:p>
      <w:pPr>
        <w:pStyle w:val="Normal"/>
        <w:widowControl/>
        <w:suppressAutoHyphens w:val="true"/>
        <w:bidi w:val="0"/>
        <w:spacing w:lineRule="auto" w:line="360" w:before="142" w:after="142"/>
        <w:ind w:hanging="0" w:start="0" w:end="0"/>
        <w:jc w:val="both"/>
        <w:rPr/>
      </w:pPr>
      <w:r>
        <w:rPr>
          <w:rFonts w:eastAsia="Arial" w:cs="Times New Roman" w:ascii="Arial" w:hAnsi="Arial"/>
          <w:b w:val="false"/>
          <w:bCs/>
          <w:i w:val="false"/>
          <w:caps w:val="false"/>
          <w:smallCaps w:val="false"/>
          <w:strike w:val="false"/>
          <w:dstrike w:val="false"/>
          <w:color w:val="000000"/>
          <w:kern w:val="0"/>
          <w:position w:val="0"/>
          <w:sz w:val="21"/>
          <w:szCs w:val="21"/>
          <w:u w:val="none"/>
          <w:shd w:fill="auto" w:val="clear"/>
          <w:vertAlign w:val="baseline"/>
          <w:lang w:eastAsia="zh-CN"/>
        </w:rPr>
        <w:t>7.4. O reajuste somente será devido após o transcurso de 01 (um) ano, contado a partir da data de apresentação da proposta, vedada a utilização da data da assinatura do contrato como marco inicial, nos termos do art. 25, §7º, da Lei nº 14.133/2021.</w:t>
      </w:r>
    </w:p>
    <w:p>
      <w:pPr>
        <w:pStyle w:val="Normal"/>
        <w:spacing w:lineRule="auto" w:line="360" w:before="142" w:after="142"/>
        <w:jc w:val="both"/>
        <w:rPr/>
      </w:pPr>
      <w:r>
        <w:rPr>
          <w:rFonts w:cs="Times New Roman" w:ascii="Arial" w:hAnsi="Arial"/>
          <w:sz w:val="21"/>
          <w:szCs w:val="21"/>
        </w:rPr>
        <w:t>7.5. O reajuste será calculado mediante a aplicação da variação acumulada do Índice Nacional de Preços ao Consumidor – INPC, apurada no período correspondente, ou de outro índice oficial que venha a substituí-lo, mantendo-se as demais condições contratuais inalteradas.</w:t>
      </w:r>
    </w:p>
    <w:p>
      <w:pPr>
        <w:pStyle w:val="Normal"/>
        <w:spacing w:lineRule="auto" w:line="360" w:before="142" w:after="142"/>
        <w:ind w:hanging="0"/>
        <w:jc w:val="both"/>
        <w:rPr/>
      </w:pPr>
      <w:r>
        <w:rPr>
          <w:rFonts w:eastAsia="Arial" w:cs="Times New Roman" w:ascii="Arial" w:hAnsi="Arial"/>
          <w:b w:val="false"/>
          <w:bCs/>
          <w:i w:val="false"/>
          <w:caps w:val="false"/>
          <w:smallCaps w:val="false"/>
          <w:strike w:val="false"/>
          <w:dstrike w:val="false"/>
          <w:color w:val="000000"/>
          <w:kern w:val="0"/>
          <w:position w:val="0"/>
          <w:sz w:val="21"/>
          <w:szCs w:val="21"/>
          <w:u w:val="none"/>
          <w:shd w:fill="auto" w:val="clear"/>
          <w:vertAlign w:val="baseline"/>
          <w:lang w:eastAsia="zh-CN"/>
        </w:rPr>
        <w:t>7.6. Ocorrendo desequilíbrio econômico-financeiro do futuro contrato, em face dos aumentos de custo que possam, por vedação legal, serem refletidos por meio de reajuste ou revisão de preços básicos, as partes, de comum acordo, com base no art. 124, inciso II, alínea “d”, da Lei n. 14.133/2021, buscarão uma solução para a questão.</w:t>
      </w:r>
    </w:p>
    <w:p>
      <w:pPr>
        <w:pStyle w:val="Normal"/>
        <w:widowControl/>
        <w:suppressAutoHyphens w:val="true"/>
        <w:bidi w:val="0"/>
        <w:spacing w:lineRule="auto" w:line="360" w:before="142" w:after="142"/>
        <w:ind w:hanging="0" w:start="0" w:end="0"/>
        <w:jc w:val="both"/>
        <w:rPr/>
      </w:pPr>
      <w:r>
        <w:rPr>
          <w:rFonts w:ascii="Arial" w:hAnsi="Arial"/>
          <w:sz w:val="21"/>
          <w:szCs w:val="21"/>
        </w:rPr>
        <w:t>7.7. O presente Contrato deverá ser divulgado no sítio eletrônico oficial do Contratante na internet, nos termos do art. 91, caput, da Lei Federal nº 14.133, de 2021.</w:t>
      </w:r>
    </w:p>
    <w:p>
      <w:pPr>
        <w:pStyle w:val="Normal"/>
        <w:widowControl/>
        <w:suppressAutoHyphens w:val="true"/>
        <w:bidi w:val="0"/>
        <w:spacing w:lineRule="auto" w:line="360" w:before="142" w:after="142"/>
        <w:ind w:hanging="0" w:start="0" w:end="0"/>
        <w:jc w:val="both"/>
        <w:rPr/>
      </w:pPr>
      <w:r>
        <w:rPr>
          <w:rFonts w:ascii="Arial" w:hAnsi="Arial"/>
          <w:b/>
          <w:bCs/>
          <w:sz w:val="21"/>
          <w:szCs w:val="21"/>
        </w:rPr>
        <w:t>CLÁUSULA OITAVA – DA VINCULAÇÃO AO PROCESSO LICITATÓRIO</w:t>
      </w:r>
    </w:p>
    <w:p>
      <w:pPr>
        <w:pStyle w:val="Normal"/>
        <w:widowControl/>
        <w:suppressAutoHyphens w:val="true"/>
        <w:bidi w:val="0"/>
        <w:spacing w:lineRule="auto" w:line="360" w:before="142" w:after="142"/>
        <w:ind w:hanging="0" w:start="0" w:end="0"/>
        <w:jc w:val="both"/>
        <w:rPr/>
      </w:pPr>
      <w:r>
        <w:rPr>
          <w:rFonts w:ascii="Arial" w:hAnsi="Arial"/>
          <w:sz w:val="21"/>
          <w:szCs w:val="21"/>
        </w:rPr>
        <w:t>8.1. O presente instrumento encontra-se vinculado ao Processo Administrativo Licitatório nº xx, Edital de Concorrência, na forma Eletrônica nº xx.</w:t>
      </w:r>
    </w:p>
    <w:p>
      <w:pPr>
        <w:pStyle w:val="Normal"/>
        <w:widowControl/>
        <w:suppressAutoHyphens w:val="true"/>
        <w:bidi w:val="0"/>
        <w:spacing w:lineRule="auto" w:line="360" w:before="142" w:after="142"/>
        <w:ind w:hanging="0" w:start="0" w:end="0"/>
        <w:jc w:val="both"/>
        <w:rPr/>
      </w:pPr>
      <w:r>
        <w:rPr>
          <w:rFonts w:ascii="Arial" w:hAnsi="Arial"/>
          <w:b/>
          <w:bCs/>
          <w:sz w:val="21"/>
          <w:szCs w:val="21"/>
        </w:rPr>
        <w:t>CLÁUSULA NONA – DAS OBRIGAÇÕES DA CONTRATADA</w:t>
      </w:r>
    </w:p>
    <w:p>
      <w:pPr>
        <w:pStyle w:val="Normal"/>
        <w:widowControl/>
        <w:suppressAutoHyphens w:val="true"/>
        <w:bidi w:val="0"/>
        <w:spacing w:lineRule="auto" w:line="360" w:before="142" w:after="142"/>
        <w:ind w:hanging="0" w:start="0" w:end="0"/>
        <w:jc w:val="both"/>
        <w:rPr/>
      </w:pPr>
      <w:r>
        <w:rPr>
          <w:rFonts w:ascii="Arial" w:hAnsi="Arial"/>
          <w:sz w:val="21"/>
          <w:szCs w:val="21"/>
        </w:rPr>
        <w:t>9.1. Será de responsabilidade da CONTRATADA, sob pena de aplicação das sanções previstas neste Edital e no Contrato, cumprir todas as obrigações constantes no Contrato, Edital, seus anexos e sua proposta, assumindo exclusivamente os riscos e as despesas decorrentes da boa e perfeita execução do objeto e, ainda:</w:t>
      </w:r>
    </w:p>
    <w:p>
      <w:pPr>
        <w:pStyle w:val="Normal"/>
        <w:widowControl/>
        <w:suppressAutoHyphens w:val="true"/>
        <w:bidi w:val="0"/>
        <w:spacing w:lineRule="auto" w:line="360" w:before="142" w:after="142"/>
        <w:ind w:hanging="0" w:start="0" w:end="0"/>
        <w:jc w:val="both"/>
        <w:rPr/>
      </w:pPr>
      <w:r>
        <w:rPr>
          <w:rFonts w:ascii="Arial" w:hAnsi="Arial"/>
          <w:sz w:val="21"/>
          <w:szCs w:val="21"/>
        </w:rPr>
        <w:tab/>
        <w:t>a) Executar os serviços conforme este Edital, Termo de Referência e seus Anexos e conforme normas extra-editalícias que sejam pertinentes a sua área;</w:t>
      </w:r>
    </w:p>
    <w:p>
      <w:pPr>
        <w:pStyle w:val="Normal"/>
        <w:widowControl/>
        <w:suppressAutoHyphens w:val="true"/>
        <w:bidi w:val="0"/>
        <w:spacing w:lineRule="auto" w:line="360" w:before="142" w:after="142"/>
        <w:ind w:hanging="0" w:start="0" w:end="0"/>
        <w:jc w:val="both"/>
        <w:rPr/>
      </w:pPr>
      <w:r>
        <w:rPr>
          <w:rFonts w:ascii="Arial" w:hAnsi="Arial"/>
          <w:sz w:val="21"/>
          <w:szCs w:val="21"/>
        </w:rPr>
        <w:tab/>
        <w:t>b) Fornecer o objeto desta licitação, na forma, nos locais, nos prazos e nos preços estipulados na sua proposta;</w:t>
      </w:r>
    </w:p>
    <w:p>
      <w:pPr>
        <w:pStyle w:val="Normal"/>
        <w:widowControl/>
        <w:suppressAutoHyphens w:val="true"/>
        <w:bidi w:val="0"/>
        <w:spacing w:lineRule="auto" w:line="360" w:before="142" w:after="142"/>
        <w:ind w:hanging="0" w:start="0" w:end="0"/>
        <w:jc w:val="both"/>
        <w:rPr/>
      </w:pPr>
      <w:r>
        <w:rPr>
          <w:rFonts w:ascii="Arial" w:hAnsi="Arial"/>
          <w:sz w:val="21"/>
          <w:szCs w:val="21"/>
        </w:rPr>
        <w:tab/>
        <w:t>c) Responsabilizar-se por todas as despesas oriundas de suas atividades;</w:t>
      </w:r>
    </w:p>
    <w:p>
      <w:pPr>
        <w:pStyle w:val="Normal"/>
        <w:widowControl/>
        <w:suppressAutoHyphens w:val="true"/>
        <w:bidi w:val="0"/>
        <w:spacing w:lineRule="auto" w:line="360" w:before="142" w:after="142"/>
        <w:ind w:hanging="0" w:start="0" w:end="0"/>
        <w:jc w:val="both"/>
        <w:rPr/>
      </w:pPr>
      <w:r>
        <w:rPr>
          <w:rFonts w:ascii="Arial" w:hAnsi="Arial"/>
          <w:sz w:val="21"/>
          <w:szCs w:val="21"/>
        </w:rPr>
        <w:tab/>
        <w:t>d) Manter, durante a vigência do contrato, em compatibilidade com as obrigações trabalhistas, as condições de habilitação e qualificação exigidas na licitação, devendo comunicar ao Município de Lindóia do Sul a superveniência de fato impeditivo da manutenção dessas condições;</w:t>
      </w:r>
    </w:p>
    <w:p>
      <w:pPr>
        <w:pStyle w:val="Normal"/>
        <w:widowControl/>
        <w:suppressAutoHyphens w:val="true"/>
        <w:bidi w:val="0"/>
        <w:spacing w:lineRule="auto" w:line="360" w:before="142" w:after="142"/>
        <w:ind w:hanging="0" w:start="0" w:end="0"/>
        <w:jc w:val="both"/>
        <w:rPr/>
      </w:pPr>
      <w:r>
        <w:rPr>
          <w:rFonts w:ascii="Arial" w:hAnsi="Arial"/>
          <w:sz w:val="21"/>
          <w:szCs w:val="21"/>
        </w:rPr>
        <w:tab/>
        <w:t>e) Acusar o recebimento da Ordem de Serviço, bem como de qualquer outra notificação enviada por meio eletrônico, no prazo máximo de 24 (vinte e quatro) horas, ressalvando-se que, se o prazo final deste item recair em final de semana ou feriado, será prorrogado ao próximo dia útil;</w:t>
      </w:r>
    </w:p>
    <w:p>
      <w:pPr>
        <w:pStyle w:val="Normal"/>
        <w:widowControl/>
        <w:suppressAutoHyphens w:val="true"/>
        <w:bidi w:val="0"/>
        <w:spacing w:lineRule="auto" w:line="360" w:before="142" w:after="142"/>
        <w:ind w:hanging="0" w:start="0" w:end="0"/>
        <w:jc w:val="both"/>
        <w:rPr/>
      </w:pPr>
      <w:r>
        <w:rPr>
          <w:rFonts w:ascii="Arial" w:hAnsi="Arial"/>
          <w:sz w:val="21"/>
          <w:szCs w:val="21"/>
        </w:rPr>
        <w:tab/>
        <w:t>f) Nomear responsável para, durante o período de vigência, representá-lo na execução do contrato;</w:t>
      </w:r>
    </w:p>
    <w:p>
      <w:pPr>
        <w:pStyle w:val="Normal"/>
        <w:widowControl/>
        <w:suppressAutoHyphens w:val="true"/>
        <w:bidi w:val="0"/>
        <w:spacing w:lineRule="auto" w:line="360" w:before="142" w:after="142"/>
        <w:ind w:hanging="0" w:start="0" w:end="0"/>
        <w:jc w:val="both"/>
        <w:rPr/>
      </w:pPr>
      <w:r>
        <w:rPr>
          <w:rFonts w:ascii="Arial" w:hAnsi="Arial"/>
          <w:sz w:val="21"/>
          <w:szCs w:val="21"/>
        </w:rPr>
        <w:tab/>
        <w:t>g) Responsabilizar-se por todo e qualquer dano que, por dolo ou culpa, os seus profissionais causarem ao CONTRATANTE ou a terceiros, sendo descontado no primeiro pagamento subsequente à ocorrência, o valor correspondente ao dano e/ou prejuízo causado;</w:t>
      </w:r>
    </w:p>
    <w:p>
      <w:pPr>
        <w:pStyle w:val="Normal"/>
        <w:widowControl/>
        <w:suppressAutoHyphens w:val="true"/>
        <w:bidi w:val="0"/>
        <w:spacing w:lineRule="auto" w:line="360" w:before="142" w:after="142"/>
        <w:ind w:hanging="0" w:start="0" w:end="0"/>
        <w:jc w:val="both"/>
        <w:rPr/>
      </w:pPr>
      <w:r>
        <w:rPr>
          <w:rFonts w:ascii="Arial" w:hAnsi="Arial"/>
          <w:sz w:val="21"/>
          <w:szCs w:val="21"/>
        </w:rPr>
        <w:tab/>
        <w:t>h) Comunicar à Administração da CONTRATANTE qualquer anormalidade constatada e prestar os esclarecimentos solicitados;</w:t>
      </w:r>
    </w:p>
    <w:p>
      <w:pPr>
        <w:pStyle w:val="Normal"/>
        <w:widowControl/>
        <w:suppressAutoHyphens w:val="true"/>
        <w:bidi w:val="0"/>
        <w:spacing w:lineRule="auto" w:line="360" w:before="142" w:after="142"/>
        <w:ind w:hanging="0" w:start="0" w:end="0"/>
        <w:jc w:val="both"/>
        <w:rPr/>
      </w:pPr>
      <w:r>
        <w:rPr>
          <w:rFonts w:ascii="Arial" w:hAnsi="Arial"/>
          <w:sz w:val="21"/>
          <w:szCs w:val="21"/>
        </w:rPr>
        <w:tab/>
        <w:t>i) A CONTRATADA ficará obrigada a aceitar nas mesmas condições do edital, as supressões que se fizerem necessários, até 25% (vinte e cinco por cento) do valor inicial atualizado do Contrato, devendo acima desse limite ser resultantes de acordo entre as partes; ou no caso de reforma de edifício ou de equipamento, o limite para os acréscimos será de 50% (cinquenta por cento), de acordo com o Art. 125, da Lei 14.133/2021.</w:t>
      </w:r>
    </w:p>
    <w:p>
      <w:pPr>
        <w:pStyle w:val="Normal"/>
        <w:widowControl/>
        <w:suppressAutoHyphens w:val="true"/>
        <w:bidi w:val="0"/>
        <w:spacing w:lineRule="auto" w:line="360" w:before="142" w:after="142"/>
        <w:ind w:hanging="0" w:start="0" w:end="0"/>
        <w:jc w:val="both"/>
        <w:rPr/>
      </w:pPr>
      <w:r>
        <w:rPr>
          <w:rFonts w:ascii="Arial" w:hAnsi="Arial"/>
          <w:sz w:val="21"/>
          <w:szCs w:val="21"/>
        </w:rPr>
        <w:tab/>
        <w:t>j) Responsabilizar-se pelos vícios e danos decorrentes do objeto, de acordo com os artigo</w:t>
      </w:r>
      <w:r>
        <w:rPr>
          <w:rFonts w:ascii="Arial" w:hAnsi="Arial"/>
          <w:b w:val="false"/>
          <w:bCs w:val="false"/>
          <w:sz w:val="21"/>
          <w:szCs w:val="21"/>
        </w:rPr>
        <w:t>s 12, 13 e 17 a 27, do Código de Defesa do Consumidor (Lei Federal nº 8.078, de 1990);</w:t>
      </w:r>
    </w:p>
    <w:p>
      <w:pPr>
        <w:pStyle w:val="Normal"/>
        <w:widowControl/>
        <w:suppressAutoHyphens w:val="true"/>
        <w:bidi w:val="0"/>
        <w:spacing w:lineRule="auto" w:line="360" w:before="142" w:after="142"/>
        <w:ind w:hanging="0" w:start="0" w:end="0"/>
        <w:jc w:val="both"/>
        <w:rPr/>
      </w:pPr>
      <w:r>
        <w:rPr>
          <w:rFonts w:ascii="Arial" w:hAnsi="Arial"/>
          <w:b w:val="false"/>
          <w:bCs w:val="false"/>
          <w:sz w:val="21"/>
          <w:szCs w:val="21"/>
        </w:rPr>
        <w:tab/>
        <w:t>k) Outras obrigações previstas no Edital, Termo de Referência, Memorial Descritivo, Contrato e na Lei.</w:t>
      </w:r>
    </w:p>
    <w:p>
      <w:pPr>
        <w:pStyle w:val="Normal"/>
        <w:widowControl/>
        <w:suppressAutoHyphens w:val="true"/>
        <w:bidi w:val="0"/>
        <w:spacing w:lineRule="auto" w:line="360" w:before="142" w:after="142"/>
        <w:ind w:hanging="0" w:start="0" w:end="0"/>
        <w:jc w:val="both"/>
        <w:rPr/>
      </w:pPr>
      <w:r>
        <w:rPr>
          <w:rFonts w:ascii="Arial" w:hAnsi="Arial"/>
          <w:sz w:val="21"/>
          <w:szCs w:val="21"/>
        </w:rPr>
        <w:t>9.2. São expressamente vedadas à CONTRATADA:</w:t>
      </w:r>
    </w:p>
    <w:p>
      <w:pPr>
        <w:pStyle w:val="Normal"/>
        <w:widowControl/>
        <w:suppressAutoHyphens w:val="true"/>
        <w:bidi w:val="0"/>
        <w:spacing w:lineRule="auto" w:line="360" w:before="142" w:after="142"/>
        <w:ind w:hanging="0" w:start="0" w:end="0"/>
        <w:jc w:val="both"/>
        <w:rPr/>
      </w:pPr>
      <w:r>
        <w:rPr>
          <w:rFonts w:ascii="Arial" w:hAnsi="Arial"/>
          <w:sz w:val="21"/>
          <w:szCs w:val="21"/>
        </w:rPr>
        <w:tab/>
        <w:t>a) A veiculação de publicidade acerca deste contrato, salvo se houver prévia autorização da CONTRATANTE;</w:t>
      </w:r>
    </w:p>
    <w:p>
      <w:pPr>
        <w:pStyle w:val="Normal"/>
        <w:widowControl/>
        <w:suppressAutoHyphens w:val="true"/>
        <w:bidi w:val="0"/>
        <w:spacing w:lineRule="auto" w:line="360" w:before="142" w:after="142"/>
        <w:ind w:hanging="0" w:start="0" w:end="0"/>
        <w:jc w:val="both"/>
        <w:rPr/>
      </w:pPr>
      <w:r>
        <w:rPr>
          <w:rFonts w:ascii="Arial" w:hAnsi="Arial"/>
          <w:sz w:val="21"/>
          <w:szCs w:val="21"/>
        </w:rPr>
        <w:tab/>
        <w:t>b) A subcontratação para a execução do objeto deste contrato; e</w:t>
      </w:r>
    </w:p>
    <w:p>
      <w:pPr>
        <w:pStyle w:val="Normal"/>
        <w:widowControl/>
        <w:suppressAutoHyphens w:val="true"/>
        <w:bidi w:val="0"/>
        <w:spacing w:lineRule="auto" w:line="360" w:before="142" w:after="142"/>
        <w:ind w:hanging="0" w:start="0" w:end="0"/>
        <w:jc w:val="both"/>
        <w:rPr/>
      </w:pPr>
      <w:r>
        <w:rPr>
          <w:rFonts w:ascii="Arial" w:hAnsi="Arial"/>
          <w:sz w:val="21"/>
          <w:szCs w:val="21"/>
        </w:rPr>
        <w:t>9.3. A CONTRATANTE, além das obrigações estabelecidas no Edital e seus anexos, deve:</w:t>
      </w:r>
    </w:p>
    <w:p>
      <w:pPr>
        <w:pStyle w:val="Normal"/>
        <w:widowControl/>
        <w:suppressAutoHyphens w:val="true"/>
        <w:bidi w:val="0"/>
        <w:spacing w:lineRule="auto" w:line="360" w:before="142" w:after="142"/>
        <w:ind w:hanging="0" w:start="0" w:end="0"/>
        <w:jc w:val="both"/>
        <w:rPr/>
      </w:pPr>
      <w:r>
        <w:rPr>
          <w:rFonts w:ascii="Arial" w:hAnsi="Arial"/>
          <w:sz w:val="21"/>
          <w:szCs w:val="21"/>
        </w:rPr>
        <w:tab/>
        <w:t>a) Expedir a ordem de serviço;</w:t>
      </w:r>
    </w:p>
    <w:p>
      <w:pPr>
        <w:pStyle w:val="Normal"/>
        <w:widowControl/>
        <w:suppressAutoHyphens w:val="true"/>
        <w:bidi w:val="0"/>
        <w:spacing w:lineRule="auto" w:line="360" w:before="142" w:after="142"/>
        <w:ind w:hanging="0" w:start="0" w:end="0"/>
        <w:jc w:val="both"/>
        <w:rPr/>
      </w:pPr>
      <w:r>
        <w:rPr>
          <w:rFonts w:ascii="Arial" w:hAnsi="Arial"/>
          <w:sz w:val="21"/>
          <w:szCs w:val="21"/>
        </w:rPr>
        <w:tab/>
        <w:t>b) Prestar as informações e os esclarecimentos pertinentes que venham a ser solicitados pelo representante ou preposto da CONTRATADA;</w:t>
      </w:r>
    </w:p>
    <w:p>
      <w:pPr>
        <w:pStyle w:val="Normal"/>
        <w:widowControl/>
        <w:suppressAutoHyphens w:val="true"/>
        <w:bidi w:val="0"/>
        <w:spacing w:lineRule="auto" w:line="360" w:before="142" w:after="142"/>
        <w:ind w:hanging="0" w:start="0" w:end="0"/>
        <w:jc w:val="both"/>
        <w:rPr/>
      </w:pPr>
      <w:r>
        <w:rPr>
          <w:rFonts w:ascii="Arial" w:hAnsi="Arial"/>
          <w:sz w:val="21"/>
          <w:szCs w:val="21"/>
        </w:rPr>
        <w:tab/>
        <w:t>c) Comunicar oficialmente à CONTRATADA quaisquer falhas verificadas no cumprimento do contrato;</w:t>
      </w:r>
    </w:p>
    <w:p>
      <w:pPr>
        <w:pStyle w:val="Normal"/>
        <w:widowControl/>
        <w:suppressAutoHyphens w:val="true"/>
        <w:bidi w:val="0"/>
        <w:spacing w:lineRule="auto" w:line="360" w:before="142" w:after="142"/>
        <w:ind w:hanging="0" w:start="0" w:end="0"/>
        <w:jc w:val="both"/>
        <w:rPr/>
      </w:pPr>
      <w:r>
        <w:rPr>
          <w:rFonts w:ascii="Arial" w:hAnsi="Arial"/>
          <w:sz w:val="21"/>
          <w:szCs w:val="21"/>
        </w:rPr>
        <w:tab/>
        <w:t>d) Publicar o extrato do contrato e de seus aditivos, se ocorrerem, no Diário Oficial dos Municípios de Santa Catarina, órgão oficial de divulgação dos atos administrativos da CONTRATANTE, veiculado no endereço www.diariomunicipal.sc.gov.br.</w:t>
      </w:r>
    </w:p>
    <w:p>
      <w:pPr>
        <w:pStyle w:val="Normal"/>
        <w:widowControl/>
        <w:suppressAutoHyphens w:val="true"/>
        <w:bidi w:val="0"/>
        <w:spacing w:lineRule="auto" w:line="360" w:before="142" w:after="142"/>
        <w:ind w:hanging="0" w:start="0" w:end="0"/>
        <w:jc w:val="both"/>
        <w:rPr/>
      </w:pPr>
      <w:r>
        <w:rPr>
          <w:rFonts w:ascii="Arial" w:hAnsi="Arial"/>
          <w:b/>
          <w:bCs/>
          <w:sz w:val="21"/>
          <w:szCs w:val="21"/>
        </w:rPr>
        <w:t>CLÁUSULA DÉCIMA – ANTICORRUPÇÃO</w:t>
      </w:r>
    </w:p>
    <w:p>
      <w:pPr>
        <w:pStyle w:val="Normal"/>
        <w:widowControl/>
        <w:suppressAutoHyphens w:val="true"/>
        <w:bidi w:val="0"/>
        <w:spacing w:lineRule="auto" w:line="360" w:before="142" w:after="142"/>
        <w:ind w:hanging="0" w:start="0" w:end="0"/>
        <w:jc w:val="both"/>
        <w:rPr/>
      </w:pPr>
      <w:r>
        <w:rPr>
          <w:rFonts w:ascii="Arial" w:hAnsi="Arial"/>
          <w:sz w:val="21"/>
          <w:szCs w:val="21"/>
        </w:rPr>
        <w:t>10.1. As partes declaram conhecer as normas de prevenção à corrupção prevista na legislação brasileira, dentre elas, a Lei de Improbidade Administrativa (Lei Federal nº 8.429/1992), a Lei Federal nº 12.846/2013 e seus regulamentos, e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pPr>
        <w:pStyle w:val="Normal"/>
        <w:widowControl/>
        <w:suppressAutoHyphens w:val="true"/>
        <w:bidi w:val="0"/>
        <w:spacing w:lineRule="auto" w:line="360" w:before="142" w:after="142"/>
        <w:ind w:hanging="0" w:start="0" w:end="0"/>
        <w:jc w:val="both"/>
        <w:rPr/>
      </w:pPr>
      <w:r>
        <w:rPr>
          <w:rFonts w:ascii="Arial" w:hAnsi="Arial"/>
          <w:b/>
          <w:bCs/>
          <w:sz w:val="21"/>
          <w:szCs w:val="21"/>
        </w:rPr>
        <w:t>CLÁUSULA DÉCIMA PRIMEIRA – DO REAJUSTE E REVISÃO DO CONTRATO</w:t>
      </w:r>
    </w:p>
    <w:p>
      <w:pPr>
        <w:pStyle w:val="Normal"/>
        <w:widowControl/>
        <w:suppressAutoHyphens w:val="true"/>
        <w:bidi w:val="0"/>
        <w:spacing w:lineRule="auto" w:line="360" w:before="142" w:after="142"/>
        <w:ind w:hanging="0" w:start="0" w:end="0"/>
        <w:jc w:val="both"/>
        <w:rPr/>
      </w:pPr>
      <w:r>
        <w:rPr>
          <w:rFonts w:ascii="Arial" w:hAnsi="Arial"/>
          <w:sz w:val="21"/>
          <w:szCs w:val="21"/>
        </w:rPr>
        <w:t xml:space="preserve">11.1. </w:t>
      </w:r>
      <w:r>
        <w:rPr>
          <w:rStyle w:val="Strong"/>
          <w:rFonts w:eastAsia="Arial" w:cs="Arial" w:ascii="Arial" w:hAnsi="Arial"/>
          <w:b w:val="false"/>
          <w:bCs w:val="false"/>
          <w:i w:val="false"/>
          <w:caps w:val="false"/>
          <w:smallCaps w:val="false"/>
          <w:strike w:val="false"/>
          <w:dstrike w:val="false"/>
          <w:color w:val="000000"/>
          <w:position w:val="0"/>
          <w:sz w:val="21"/>
          <w:szCs w:val="21"/>
          <w:u w:val="none"/>
          <w:shd w:fill="auto" w:val="clear"/>
          <w:vertAlign w:val="baseline"/>
          <w:lang w:val="pt-BR"/>
        </w:rPr>
        <w:t>Caso o contrato venha a exceder o prazo de 01 (um) ano e sua vigência seja prorrogada, os preços contratados poderão ser reajustados anualmente, mediante solicitação formal da contratada, com o objetivo de preservar o equilíbrio econômico-financeiro do contrato, observada a legislação vigente.</w:t>
      </w:r>
    </w:p>
    <w:p>
      <w:pPr>
        <w:pStyle w:val="Normal"/>
        <w:widowControl/>
        <w:suppressAutoHyphens w:val="true"/>
        <w:bidi w:val="0"/>
        <w:spacing w:lineRule="auto" w:line="360" w:before="142" w:after="142"/>
        <w:ind w:hanging="0" w:start="0" w:end="0"/>
        <w:jc w:val="both"/>
        <w:rPr/>
      </w:pPr>
      <w:r>
        <w:rPr>
          <w:rStyle w:val="Strong"/>
          <w:rFonts w:eastAsia="Arial" w:cs="Arial" w:ascii="Arial" w:hAnsi="Arial"/>
          <w:b w:val="false"/>
          <w:bCs w:val="false"/>
          <w:i w:val="false"/>
          <w:caps w:val="false"/>
          <w:smallCaps w:val="false"/>
          <w:strike w:val="false"/>
          <w:dstrike w:val="false"/>
          <w:color w:val="000000"/>
          <w:position w:val="0"/>
          <w:sz w:val="21"/>
          <w:szCs w:val="21"/>
          <w:u w:val="none"/>
          <w:shd w:fill="auto" w:val="clear"/>
          <w:vertAlign w:val="baseline"/>
          <w:lang w:val="pt-BR"/>
        </w:rPr>
        <w:t xml:space="preserve">11.2. </w:t>
      </w:r>
      <w:r>
        <w:rPr>
          <w:rFonts w:ascii="Arial" w:hAnsi="Arial"/>
          <w:b w:val="false"/>
          <w:bCs w:val="false"/>
          <w:sz w:val="21"/>
          <w:szCs w:val="21"/>
        </w:rPr>
        <w:t xml:space="preserve">O reajuste somente será devido </w:t>
      </w:r>
      <w:r>
        <w:rPr>
          <w:rStyle w:val="Strong"/>
          <w:rFonts w:ascii="Arial" w:hAnsi="Arial"/>
          <w:b w:val="false"/>
          <w:bCs w:val="false"/>
          <w:sz w:val="21"/>
          <w:szCs w:val="21"/>
        </w:rPr>
        <w:t>após o transcurso de 01 (um) ano</w:t>
      </w:r>
      <w:r>
        <w:rPr>
          <w:rFonts w:ascii="Arial" w:hAnsi="Arial"/>
          <w:b w:val="false"/>
          <w:bCs w:val="false"/>
          <w:sz w:val="21"/>
          <w:szCs w:val="21"/>
        </w:rPr>
        <w:t xml:space="preserve">, contado a partir da </w:t>
      </w:r>
      <w:r>
        <w:rPr>
          <w:rStyle w:val="Strong"/>
          <w:rFonts w:ascii="Arial" w:hAnsi="Arial"/>
          <w:b w:val="false"/>
          <w:bCs w:val="false"/>
          <w:sz w:val="21"/>
          <w:szCs w:val="21"/>
        </w:rPr>
        <w:t>data de apresentação da proposta</w:t>
      </w:r>
      <w:r>
        <w:rPr>
          <w:rFonts w:ascii="Arial" w:hAnsi="Arial"/>
          <w:b w:val="false"/>
          <w:bCs w:val="false"/>
          <w:sz w:val="21"/>
          <w:szCs w:val="21"/>
        </w:rPr>
        <w:t xml:space="preserve">, vedada a utilização da data da assinatura do contrato como marco inicial, nos termos do </w:t>
      </w:r>
      <w:r>
        <w:rPr>
          <w:rStyle w:val="Strong"/>
          <w:rFonts w:ascii="Arial" w:hAnsi="Arial"/>
          <w:b w:val="false"/>
          <w:bCs w:val="false"/>
          <w:sz w:val="21"/>
          <w:szCs w:val="21"/>
        </w:rPr>
        <w:t>art. 25, §7º, da Lei nº 14.133/2021.</w:t>
      </w:r>
    </w:p>
    <w:p>
      <w:pPr>
        <w:pStyle w:val="Normal"/>
        <w:widowControl/>
        <w:suppressAutoHyphens w:val="true"/>
        <w:bidi w:val="0"/>
        <w:spacing w:lineRule="auto" w:line="360" w:before="142" w:after="142"/>
        <w:ind w:hanging="0" w:start="0" w:end="0"/>
        <w:jc w:val="both"/>
        <w:rPr/>
      </w:pPr>
      <w:r>
        <w:rPr>
          <w:rStyle w:val="Strong"/>
          <w:rFonts w:ascii="Arial" w:hAnsi="Arial"/>
          <w:b w:val="false"/>
          <w:bCs w:val="false"/>
          <w:sz w:val="21"/>
          <w:szCs w:val="21"/>
        </w:rPr>
        <w:t xml:space="preserve">11.3. </w:t>
      </w:r>
      <w:r>
        <w:rPr>
          <w:rFonts w:ascii="Arial" w:hAnsi="Arial"/>
          <w:b w:val="false"/>
          <w:bCs w:val="false"/>
          <w:sz w:val="21"/>
          <w:szCs w:val="21"/>
        </w:rPr>
        <w:t xml:space="preserve">O reajuste será calculado mediante a aplicação da </w:t>
      </w:r>
      <w:r>
        <w:rPr>
          <w:rStyle w:val="Strong"/>
          <w:rFonts w:ascii="Arial" w:hAnsi="Arial"/>
          <w:b w:val="false"/>
          <w:bCs w:val="false"/>
          <w:sz w:val="21"/>
          <w:szCs w:val="21"/>
        </w:rPr>
        <w:t>variação acumulada do Índice Nacional de Preços ao Consumidor – INPC</w:t>
      </w:r>
      <w:r>
        <w:rPr>
          <w:rFonts w:ascii="Arial" w:hAnsi="Arial"/>
          <w:b w:val="false"/>
          <w:bCs w:val="false"/>
          <w:sz w:val="21"/>
          <w:szCs w:val="21"/>
        </w:rPr>
        <w:t xml:space="preserve">, apurada no período correspondente, ou de </w:t>
      </w:r>
      <w:r>
        <w:rPr>
          <w:rStyle w:val="Strong"/>
          <w:rFonts w:ascii="Arial" w:hAnsi="Arial"/>
          <w:b w:val="false"/>
          <w:bCs w:val="false"/>
          <w:sz w:val="21"/>
          <w:szCs w:val="21"/>
        </w:rPr>
        <w:t>outro índice oficial que venha a substituí-lo</w:t>
      </w:r>
      <w:r>
        <w:rPr>
          <w:rFonts w:ascii="Arial" w:hAnsi="Arial"/>
          <w:b w:val="false"/>
          <w:bCs w:val="false"/>
          <w:sz w:val="21"/>
          <w:szCs w:val="21"/>
        </w:rPr>
        <w:t>, mantendo-se as demais condições contratuais inalteradas.</w:t>
      </w:r>
    </w:p>
    <w:p>
      <w:pPr>
        <w:pStyle w:val="Normal"/>
        <w:widowControl/>
        <w:suppressAutoHyphens w:val="true"/>
        <w:bidi w:val="0"/>
        <w:spacing w:lineRule="auto" w:line="360" w:before="142" w:after="142"/>
        <w:ind w:hanging="0" w:start="0" w:end="0"/>
        <w:jc w:val="both"/>
        <w:rPr/>
      </w:pPr>
      <w:r>
        <w:rPr>
          <w:rFonts w:ascii="Arial" w:hAnsi="Arial"/>
          <w:b w:val="false"/>
          <w:bCs w:val="false"/>
          <w:sz w:val="21"/>
          <w:szCs w:val="21"/>
        </w:rPr>
        <w:t xml:space="preserve">11.4. </w:t>
      </w:r>
      <w:r>
        <w:rPr>
          <w:rFonts w:eastAsia="Calibri" w:cs="Arial" w:ascii="Arial" w:hAnsi="Arial"/>
          <w:b w:val="false"/>
          <w:bCs w:val="false"/>
          <w:sz w:val="21"/>
          <w:szCs w:val="21"/>
          <w:lang w:eastAsia="zh-CN"/>
        </w:rPr>
        <w:t xml:space="preserve">Ocorrendo desequilíbrio econômico-financeiro do futuro contrato, em face dos aumentos de custo que possam, por vedação legal, serem refletidos por meio de reajuste ou revisão de preços básicos, as partes, de comum acordo, com base no art. 124, inciso II, alínea “d”, da Lei n. 14.133/2021, buscarão uma solução para a questão. </w:t>
      </w:r>
    </w:p>
    <w:p>
      <w:pPr>
        <w:pStyle w:val="Normal"/>
        <w:widowControl/>
        <w:suppressAutoHyphens w:val="true"/>
        <w:bidi w:val="0"/>
        <w:spacing w:lineRule="auto" w:line="360" w:before="142" w:after="142"/>
        <w:ind w:hanging="0" w:start="0" w:end="0"/>
        <w:jc w:val="both"/>
        <w:rPr/>
      </w:pPr>
      <w:r>
        <w:rPr>
          <w:rFonts w:ascii="Arial" w:hAnsi="Arial"/>
          <w:sz w:val="21"/>
          <w:szCs w:val="21"/>
        </w:rPr>
        <w:t>11.5. Este contrato poderá ser revisto para restabelecer a relação que as partes pactuaram inicialmente entre os encargos da CONTRATADA e a retribuição da CONTRATANTE para justa remuneração dos serviços, objetivando a manutenção do equilíbrio econômico-financeiro inicial do contrato, na hipótese de sobrevierem fatos imprevisíveis, ou previsíveis, porém de consequências incalculáveis, retardadores ou impeditivos da execução do ajustado, ou ainda, em caso de força maior, caso fortuito ou fato do príncipe, configurando álea econômica extraordinária e extracontratual ou ainda em razão de acordo ou convenção coletiva de trabalho que fixar novo salário normativo da categoria profissional.</w:t>
      </w:r>
    </w:p>
    <w:p>
      <w:pPr>
        <w:pStyle w:val="Normal"/>
        <w:widowControl/>
        <w:suppressAutoHyphens w:val="true"/>
        <w:bidi w:val="0"/>
        <w:spacing w:lineRule="auto" w:line="360" w:before="142" w:after="142"/>
        <w:ind w:hanging="0" w:start="0" w:end="0"/>
        <w:jc w:val="both"/>
        <w:rPr/>
      </w:pPr>
      <w:r>
        <w:rPr>
          <w:rFonts w:ascii="Arial" w:hAnsi="Arial"/>
          <w:sz w:val="21"/>
          <w:szCs w:val="21"/>
        </w:rPr>
        <w:t>11.6. O pedido, fundamentado e devidamente instruído com provas que evidenciem a necessidade da revisão de preço, deverá ser encaminhado ao Município de Lindóia do Sul, não sendo apreciado o pedido de revisão de preços que não comprovar o desequilíbrio sofrido.</w:t>
      </w:r>
    </w:p>
    <w:p>
      <w:pPr>
        <w:pStyle w:val="Normal"/>
        <w:widowControl/>
        <w:suppressAutoHyphens w:val="true"/>
        <w:bidi w:val="0"/>
        <w:spacing w:lineRule="auto" w:line="360" w:before="142" w:after="142"/>
        <w:ind w:hanging="0" w:start="0" w:end="0"/>
        <w:jc w:val="both"/>
        <w:rPr/>
      </w:pPr>
      <w:r>
        <w:rPr>
          <w:rFonts w:ascii="Arial" w:hAnsi="Arial"/>
          <w:b/>
          <w:bCs/>
          <w:sz w:val="21"/>
          <w:szCs w:val="21"/>
        </w:rPr>
        <w:t>CLÁUSULA DÉCIMA SEGUNDA – DA ATUALIZAÇÃO MONETÁRIA</w:t>
      </w:r>
    </w:p>
    <w:p>
      <w:pPr>
        <w:pStyle w:val="Normal"/>
        <w:widowControl/>
        <w:suppressAutoHyphens w:val="true"/>
        <w:bidi w:val="0"/>
        <w:spacing w:lineRule="auto" w:line="360" w:before="142" w:after="142"/>
        <w:ind w:hanging="0" w:start="0" w:end="0"/>
        <w:jc w:val="both"/>
        <w:rPr/>
      </w:pPr>
      <w:r>
        <w:rPr>
          <w:rFonts w:ascii="Arial" w:hAnsi="Arial"/>
          <w:sz w:val="21"/>
          <w:szCs w:val="21"/>
        </w:rPr>
        <w:t>12.1. Se o CONTRATANTE não efetuar o pagamento no prazo previsto neste Contrato, e tendo a CONTRATADA, à época, adimplido integralmente as obrigações avençadas, inclusive quanto aos documentos que devem acompanhar a Nota Fiscal, os valores devidos serão monetariamente atualizados, a partir do dia de seu vencimento e até o dia de sua liquidação, segundo os mesmos critérios adotados para atualização de obrigações tributárias, conforme estabelecido no artigo 92, inciso V, da Lei Federal nº 14.133, de 1º de abril de 2021.</w:t>
      </w:r>
    </w:p>
    <w:p>
      <w:pPr>
        <w:pStyle w:val="Normal"/>
        <w:widowControl/>
        <w:suppressAutoHyphens w:val="true"/>
        <w:bidi w:val="0"/>
        <w:spacing w:lineRule="auto" w:line="360" w:before="142" w:after="142"/>
        <w:ind w:hanging="0" w:start="0" w:end="0"/>
        <w:jc w:val="both"/>
        <w:rPr/>
      </w:pPr>
      <w:r>
        <w:rPr>
          <w:rFonts w:ascii="Arial" w:hAnsi="Arial"/>
          <w:b/>
          <w:bCs/>
          <w:sz w:val="21"/>
          <w:szCs w:val="21"/>
        </w:rPr>
        <w:t>CLÁUSULA DÉCIMA TERCEIRA – DAS NORMAS E PRECEITOS COMPLEMENTARES</w:t>
      </w:r>
    </w:p>
    <w:p>
      <w:pPr>
        <w:pStyle w:val="Normal"/>
        <w:widowControl/>
        <w:suppressAutoHyphens w:val="true"/>
        <w:bidi w:val="0"/>
        <w:spacing w:lineRule="auto" w:line="360" w:before="142" w:after="142"/>
        <w:ind w:hanging="0" w:start="0" w:end="0"/>
        <w:jc w:val="both"/>
        <w:rPr/>
      </w:pPr>
      <w:r>
        <w:rPr>
          <w:rFonts w:ascii="Arial" w:hAnsi="Arial"/>
          <w:sz w:val="21"/>
          <w:szCs w:val="21"/>
        </w:rPr>
        <w:t>13.1. Aplicam-se à execução deste Contrato e aos casos omissos as normas da Lei Federal nº 14.133/21 e alterações, os preceitos do direito público, os princípios da teoria geral dos Contratos e as disposições do direito privado.</w:t>
      </w:r>
    </w:p>
    <w:p>
      <w:pPr>
        <w:pStyle w:val="Normal"/>
        <w:widowControl/>
        <w:suppressAutoHyphens w:val="true"/>
        <w:bidi w:val="0"/>
        <w:spacing w:lineRule="auto" w:line="360" w:before="142" w:after="142"/>
        <w:ind w:hanging="0" w:start="0" w:end="0"/>
        <w:jc w:val="both"/>
        <w:rPr/>
      </w:pPr>
      <w:r>
        <w:rPr>
          <w:rFonts w:ascii="Arial" w:hAnsi="Arial"/>
          <w:b/>
          <w:bCs/>
          <w:sz w:val="21"/>
          <w:szCs w:val="21"/>
        </w:rPr>
        <w:t>CLÁUSULA DÉCIMA QUARTA – ALTERAÇÕES</w:t>
      </w:r>
    </w:p>
    <w:p>
      <w:pPr>
        <w:pStyle w:val="Normal"/>
        <w:widowControl/>
        <w:suppressAutoHyphens w:val="true"/>
        <w:bidi w:val="0"/>
        <w:spacing w:lineRule="auto" w:line="360" w:before="142" w:after="142"/>
        <w:ind w:hanging="0" w:start="0" w:end="0"/>
        <w:jc w:val="both"/>
        <w:rPr/>
      </w:pPr>
      <w:r>
        <w:rPr>
          <w:rFonts w:ascii="Arial" w:hAnsi="Arial"/>
          <w:sz w:val="21"/>
          <w:szCs w:val="21"/>
        </w:rPr>
        <w:t>14.1. Eventuais alterações contratuais reger-se-ão pela disciplina dos artigos 124 e seguintes da Lei Federal nº 14.133, de 2021.</w:t>
      </w:r>
    </w:p>
    <w:p>
      <w:pPr>
        <w:pStyle w:val="Normal"/>
        <w:widowControl/>
        <w:suppressAutoHyphens w:val="true"/>
        <w:bidi w:val="0"/>
        <w:spacing w:lineRule="auto" w:line="360" w:before="142" w:after="142"/>
        <w:ind w:hanging="0" w:start="0" w:end="0"/>
        <w:jc w:val="both"/>
        <w:rPr/>
      </w:pPr>
      <w:r>
        <w:rPr>
          <w:rFonts w:ascii="Arial" w:hAnsi="Arial"/>
          <w:sz w:val="21"/>
          <w:szCs w:val="21"/>
        </w:rPr>
        <w:t>14.2. A CONTRATADA ficará obrigada a aceitar nas mesmas condições do edital, as supressões que se fizerem necessários, até 25% (vinte e cinco por cento) do valor inicial atualizado do Contrato, devendo acima desse limite ser resultantes de acordo entre as partes; ou no caso de reforma de edifício ou de equipamento, o limite para os acréscimos será de 50% (cinquenta por cento), de acordo com o Art. 125, da Lei 14.133/2021.</w:t>
      </w:r>
    </w:p>
    <w:p>
      <w:pPr>
        <w:pStyle w:val="Normal"/>
        <w:widowControl/>
        <w:suppressAutoHyphens w:val="true"/>
        <w:bidi w:val="0"/>
        <w:spacing w:lineRule="auto" w:line="360" w:before="142" w:after="142"/>
        <w:ind w:hanging="0" w:start="0" w:end="0"/>
        <w:jc w:val="both"/>
        <w:rPr/>
      </w:pPr>
      <w:r>
        <w:rPr>
          <w:rFonts w:ascii="Arial" w:hAnsi="Arial"/>
          <w:sz w:val="21"/>
          <w:szCs w:val="21"/>
        </w:rPr>
        <w:t>14.3. As alterações contratuais deverão ser promovidas mediante celebração de termo aditivo, submetido à prévia aprovação da assessoria jurídica do contratante, salvo nos casos de justificada necessidade de antecipação de seus efeitos, hipótese em que a formalização do aditivo deverá ocorrer no prazo máximo de 1 (um) mês (art. 132 da Lei Federal nº 14.133, de 2021).</w:t>
      </w:r>
    </w:p>
    <w:p>
      <w:pPr>
        <w:pStyle w:val="Normal"/>
        <w:widowControl/>
        <w:suppressAutoHyphens w:val="true"/>
        <w:bidi w:val="0"/>
        <w:spacing w:lineRule="auto" w:line="360" w:before="142" w:after="142"/>
        <w:ind w:hanging="0" w:start="0" w:end="0"/>
        <w:jc w:val="both"/>
        <w:rPr/>
      </w:pPr>
      <w:r>
        <w:rPr>
          <w:rFonts w:ascii="Arial" w:hAnsi="Arial"/>
          <w:sz w:val="21"/>
          <w:szCs w:val="21"/>
        </w:rPr>
        <w:t>14.4. Registros que não caracterizam alteração do contrato podem ser realizados por simples apostila, dispensada a celebração de termo aditivo, na forma do art. 136 da Lei Federal nº 14.133, de 2021.</w:t>
      </w:r>
    </w:p>
    <w:p>
      <w:pPr>
        <w:pStyle w:val="Normal"/>
        <w:widowControl/>
        <w:suppressAutoHyphens w:val="true"/>
        <w:bidi w:val="0"/>
        <w:spacing w:lineRule="auto" w:line="360" w:before="142" w:after="142"/>
        <w:ind w:hanging="0" w:start="0" w:end="0"/>
        <w:jc w:val="both"/>
        <w:rPr/>
      </w:pPr>
      <w:r>
        <w:rPr>
          <w:rFonts w:ascii="Arial" w:hAnsi="Arial"/>
          <w:b/>
          <w:bCs/>
          <w:sz w:val="21"/>
          <w:szCs w:val="21"/>
        </w:rPr>
        <w:t>CLÁUSULA DÉCIMA QUINTA – DA PROTEÇÃO DE DADOS</w:t>
      </w:r>
    </w:p>
    <w:p>
      <w:pPr>
        <w:pStyle w:val="Normal"/>
        <w:widowControl/>
        <w:suppressAutoHyphens w:val="true"/>
        <w:bidi w:val="0"/>
        <w:spacing w:lineRule="auto" w:line="360" w:before="142" w:after="142"/>
        <w:ind w:hanging="0" w:start="0" w:end="0"/>
        <w:jc w:val="both"/>
        <w:rPr/>
      </w:pPr>
      <w:r>
        <w:rPr>
          <w:rFonts w:ascii="Arial" w:hAnsi="Arial"/>
          <w:sz w:val="21"/>
          <w:szCs w:val="21"/>
        </w:rPr>
        <w:t>15.1. As Partes comprometem-se a observar o disposto na Lei Federal nº 13.709/2018 (Lei Geral de Proteção de Dados – LGPD) quanto ao tratamento de dados pessoais e dados pessoais sensíveis aos quais tiverem acesso em decorrência deste contrato, compatibilizando-a com o que estabelece a Lei Federal nº 12.527 (Lei de Acesso à Informação – LAI), tendo em vista o caráter público desta contratação.</w:t>
      </w:r>
    </w:p>
    <w:p>
      <w:pPr>
        <w:pStyle w:val="Normal"/>
        <w:widowControl/>
        <w:suppressAutoHyphens w:val="true"/>
        <w:bidi w:val="0"/>
        <w:spacing w:lineRule="auto" w:line="360" w:before="142" w:after="142"/>
        <w:ind w:hanging="0" w:start="0" w:end="0"/>
        <w:jc w:val="both"/>
        <w:rPr/>
      </w:pPr>
      <w:r>
        <w:rPr>
          <w:rFonts w:ascii="Arial" w:hAnsi="Arial"/>
          <w:sz w:val="21"/>
          <w:szCs w:val="21"/>
        </w:rPr>
        <w:t>15.2. As Partes terão acesso a dados pessoais dos respectivos representantes, tais como número e cópia de documentos de identificação (Cadastro de Pessoa Física e Registro Geral), endereços eletrônico e residencial, documentos relativos à habilitação profissional e outros dados que sejam imprescindíveis para a formação e execução deste contrato, sendo-lhes vedado utilizá-los para finalidade distinta daquela do objeto da contratação, sob pena de responsabilização administrativa, civil e criminal.</w:t>
      </w:r>
    </w:p>
    <w:p>
      <w:pPr>
        <w:pStyle w:val="Normal"/>
        <w:widowControl/>
        <w:suppressAutoHyphens w:val="true"/>
        <w:bidi w:val="0"/>
        <w:spacing w:lineRule="auto" w:line="360" w:before="142" w:after="142"/>
        <w:ind w:hanging="0" w:start="0" w:end="0"/>
        <w:jc w:val="both"/>
        <w:rPr/>
      </w:pPr>
      <w:r>
        <w:rPr>
          <w:rFonts w:ascii="Arial" w:hAnsi="Arial"/>
          <w:sz w:val="21"/>
          <w:szCs w:val="21"/>
        </w:rPr>
        <w:t>15.3. Considerando o caráter público desta contratação, o compartilhamento de dados observará ao disposto no Capítulo IV da LGPD.</w:t>
      </w:r>
    </w:p>
    <w:p>
      <w:pPr>
        <w:pStyle w:val="Normal"/>
        <w:widowControl/>
        <w:suppressAutoHyphens w:val="true"/>
        <w:bidi w:val="0"/>
        <w:spacing w:lineRule="auto" w:line="360" w:before="142" w:after="142"/>
        <w:ind w:hanging="0" w:start="0" w:end="0"/>
        <w:jc w:val="both"/>
        <w:rPr/>
      </w:pPr>
      <w:r>
        <w:rPr>
          <w:rFonts w:ascii="Arial" w:hAnsi="Arial"/>
          <w:sz w:val="21"/>
          <w:szCs w:val="21"/>
        </w:rPr>
        <w:t>15.4. A CONTRATADA declara adotar medidas de segurança eficazes para proteger os dados pessoais de acessos não autorizados e de situações acidentais ou ilícitas, comprometendo-se a comunicar à CONTRATANTE, no prazo de 48 (quarenta e oito horas), a ocorrência de incidente de segurança que possa acarretar risco ou dano relevante aos titulares e responsabilizando-se pelos danos de qualquer natureza ocorridos em caso de violação à legislação de proteção de dados pessoais.</w:t>
      </w:r>
    </w:p>
    <w:p>
      <w:pPr>
        <w:pStyle w:val="Normal"/>
        <w:widowControl/>
        <w:suppressAutoHyphens w:val="true"/>
        <w:bidi w:val="0"/>
        <w:spacing w:lineRule="auto" w:line="360" w:before="142" w:after="142"/>
        <w:ind w:hanging="0" w:start="0" w:end="0"/>
        <w:jc w:val="both"/>
        <w:rPr/>
      </w:pPr>
      <w:r>
        <w:rPr>
          <w:rFonts w:ascii="Arial" w:hAnsi="Arial"/>
          <w:b/>
          <w:bCs/>
          <w:sz w:val="21"/>
          <w:szCs w:val="21"/>
        </w:rPr>
        <w:t>CLÁUSULA DÉCIMA SEXTA – DO FORO</w:t>
      </w:r>
    </w:p>
    <w:p>
      <w:pPr>
        <w:pStyle w:val="Normal"/>
        <w:widowControl/>
        <w:suppressAutoHyphens w:val="true"/>
        <w:bidi w:val="0"/>
        <w:spacing w:lineRule="auto" w:line="360" w:before="142" w:after="142"/>
        <w:ind w:hanging="0" w:start="0" w:end="0"/>
        <w:jc w:val="both"/>
        <w:rPr/>
      </w:pPr>
      <w:r>
        <w:rPr>
          <w:rFonts w:ascii="Arial" w:hAnsi="Arial"/>
          <w:sz w:val="21"/>
          <w:szCs w:val="21"/>
        </w:rPr>
        <w:t>16.1. É competente o foro da Comarca de Ipumirim, no Estado de Santa Catarina, para dirimir quaisquer dúvidas, porventura, oriundas do presente contrato.</w:t>
      </w:r>
    </w:p>
    <w:p>
      <w:pPr>
        <w:pStyle w:val="Normal"/>
        <w:spacing w:lineRule="auto" w:line="360" w:before="142" w:after="142"/>
        <w:ind w:hanging="0" w:start="2835" w:end="0"/>
        <w:jc w:val="both"/>
        <w:rPr>
          <w:rFonts w:ascii="Arial" w:hAnsi="Arial" w:cs="Arial"/>
          <w:color w:val="000000"/>
          <w:sz w:val="21"/>
          <w:szCs w:val="21"/>
          <w:lang w:val="pt-BR" w:eastAsia="ar-SA"/>
        </w:rPr>
      </w:pPr>
      <w:r>
        <w:rPr>
          <w:rFonts w:cs="Arial" w:ascii="Arial" w:hAnsi="Arial"/>
          <w:color w:val="000000"/>
          <w:sz w:val="21"/>
          <w:szCs w:val="21"/>
          <w:lang w:val="pt-BR" w:eastAsia="ar-SA"/>
        </w:rPr>
      </w:r>
    </w:p>
    <w:p>
      <w:pPr>
        <w:pStyle w:val="Normal"/>
        <w:spacing w:lineRule="auto" w:line="360" w:before="142" w:after="142"/>
        <w:ind w:hanging="0" w:start="2835" w:end="0"/>
        <w:jc w:val="both"/>
        <w:rPr/>
      </w:pPr>
      <w:r>
        <w:rPr>
          <w:rFonts w:cs="Arial" w:ascii="Arial" w:hAnsi="Arial"/>
          <w:color w:val="000000"/>
          <w:sz w:val="21"/>
          <w:szCs w:val="21"/>
          <w:lang w:val="pt-BR" w:eastAsia="ar-SA"/>
        </w:rPr>
        <w:t>E, por estarem justas e compromissadas, as partes assinam o presente contrato em 02 (duas) vias de igual teor, que, depois de lido e achado conforme, é assinado pelas partes contratantes e por duas testemunhas.</w:t>
      </w:r>
    </w:p>
    <w:p>
      <w:pPr>
        <w:pStyle w:val="Normal"/>
        <w:spacing w:lineRule="auto" w:line="360" w:before="142" w:after="142"/>
        <w:jc w:val="both"/>
        <w:rPr>
          <w:rFonts w:ascii="Arial" w:hAnsi="Arial" w:cs="Arial"/>
          <w:color w:val="000000"/>
          <w:sz w:val="21"/>
          <w:szCs w:val="21"/>
          <w:lang w:val="pt-BR" w:eastAsia="ar-SA"/>
        </w:rPr>
      </w:pPr>
      <w:r>
        <w:rPr>
          <w:rFonts w:cs="Arial" w:ascii="Arial" w:hAnsi="Arial"/>
          <w:color w:val="000000"/>
          <w:sz w:val="21"/>
          <w:szCs w:val="21"/>
          <w:lang w:val="pt-BR" w:eastAsia="ar-SA"/>
        </w:rPr>
      </w:r>
    </w:p>
    <w:p>
      <w:pPr>
        <w:pStyle w:val="Normal"/>
        <w:spacing w:lineRule="auto" w:line="360" w:before="142" w:after="142"/>
        <w:ind w:hanging="0" w:start="2835" w:end="0"/>
        <w:jc w:val="both"/>
        <w:rPr>
          <w:rFonts w:ascii="Arial" w:hAnsi="Arial" w:cs="Arial"/>
          <w:color w:val="000000"/>
          <w:sz w:val="21"/>
          <w:szCs w:val="21"/>
          <w:lang w:val="pt-BR" w:eastAsia="ar-SA"/>
        </w:rPr>
      </w:pPr>
      <w:r>
        <w:rPr>
          <w:rFonts w:cs="Arial" w:ascii="Arial" w:hAnsi="Arial"/>
          <w:color w:val="000000"/>
          <w:sz w:val="21"/>
          <w:szCs w:val="21"/>
          <w:lang w:val="pt-BR" w:eastAsia="ar-SA"/>
        </w:rPr>
        <w:t>Lindóia do Sul, SC, __ de ______ de 2026.</w:t>
      </w:r>
    </w:p>
    <w:p>
      <w:pPr>
        <w:pStyle w:val="Normal"/>
        <w:spacing w:lineRule="auto" w:line="276" w:before="0" w:after="0"/>
        <w:ind w:hanging="0" w:start="0" w:end="0"/>
        <w:jc w:val="both"/>
        <w:rPr>
          <w:rFonts w:ascii="Arial" w:hAnsi="Arial" w:cs="Arial"/>
          <w:color w:val="000000"/>
          <w:sz w:val="21"/>
          <w:szCs w:val="21"/>
          <w:lang w:val="pt-BR" w:eastAsia="ar-SA"/>
        </w:rPr>
      </w:pPr>
      <w:r>
        <w:rPr>
          <w:rFonts w:cs="Arial" w:ascii="Arial" w:hAnsi="Arial"/>
          <w:color w:val="000000"/>
          <w:sz w:val="21"/>
          <w:szCs w:val="21"/>
          <w:lang w:val="pt-BR" w:eastAsia="ar-SA"/>
        </w:rPr>
      </w:r>
    </w:p>
    <w:tbl>
      <w:tblPr>
        <w:tblW w:w="9072" w:type="dxa"/>
        <w:jc w:val="start"/>
        <w:tblInd w:w="0" w:type="dxa"/>
        <w:tblLayout w:type="fixed"/>
        <w:tblCellMar>
          <w:top w:w="0" w:type="dxa"/>
          <w:start w:w="108" w:type="dxa"/>
          <w:bottom w:w="0" w:type="dxa"/>
          <w:end w:w="108" w:type="dxa"/>
        </w:tblCellMar>
      </w:tblPr>
      <w:tblGrid>
        <w:gridCol w:w="4536"/>
        <w:gridCol w:w="4536"/>
      </w:tblGrid>
      <w:tr>
        <w:trPr/>
        <w:tc>
          <w:tcPr>
            <w:tcW w:w="4536" w:type="dxa"/>
            <w:tcBorders/>
          </w:tcPr>
          <w:p>
            <w:pPr>
              <w:pStyle w:val="Normal"/>
              <w:widowControl w:val="false"/>
              <w:spacing w:lineRule="auto" w:line="276" w:before="0" w:after="0"/>
              <w:ind w:hanging="0" w:start="0" w:end="0"/>
              <w:jc w:val="center"/>
              <w:rPr>
                <w:rFonts w:ascii="Arial" w:hAnsi="Arial"/>
                <w:b/>
                <w:bCs/>
                <w:sz w:val="21"/>
                <w:szCs w:val="21"/>
                <w:shd w:fill="auto" w:val="clear"/>
              </w:rPr>
            </w:pPr>
            <w:r>
              <w:rPr>
                <w:rFonts w:ascii="Arial" w:hAnsi="Arial"/>
                <w:b/>
                <w:bCs/>
                <w:sz w:val="21"/>
                <w:szCs w:val="21"/>
                <w:shd w:fill="auto" w:val="clear"/>
              </w:rPr>
              <w:t>FLÁVIO LUIZ BENINI</w:t>
            </w:r>
          </w:p>
          <w:p>
            <w:pPr>
              <w:pStyle w:val="Normal"/>
              <w:widowControl w:val="false"/>
              <w:spacing w:lineRule="auto" w:line="276" w:before="0" w:after="0"/>
              <w:ind w:hanging="0" w:start="0" w:end="0"/>
              <w:jc w:val="center"/>
              <w:rPr>
                <w:rFonts w:ascii="Arial" w:hAnsi="Arial" w:cs="Arial"/>
                <w:b/>
                <w:color w:val="000000"/>
                <w:sz w:val="21"/>
                <w:szCs w:val="21"/>
                <w:lang w:val="pt-BR" w:eastAsia="ar-SA"/>
              </w:rPr>
            </w:pPr>
            <w:r>
              <w:rPr>
                <w:rFonts w:cs="Arial" w:ascii="Arial" w:hAnsi="Arial"/>
                <w:b/>
                <w:color w:val="000000"/>
                <w:sz w:val="21"/>
                <w:szCs w:val="21"/>
                <w:lang w:val="pt-BR" w:eastAsia="ar-SA"/>
              </w:rPr>
              <w:t>Prefeito Municipal</w:t>
            </w:r>
          </w:p>
          <w:p>
            <w:pPr>
              <w:pStyle w:val="Normal"/>
              <w:widowControl w:val="false"/>
              <w:spacing w:lineRule="auto" w:line="276" w:before="0" w:after="0"/>
              <w:ind w:hanging="0" w:start="0" w:end="0"/>
              <w:jc w:val="center"/>
              <w:rPr>
                <w:rFonts w:ascii="Arial" w:hAnsi="Arial" w:cs="Arial"/>
                <w:b/>
                <w:color w:val="000000"/>
                <w:sz w:val="21"/>
                <w:szCs w:val="21"/>
                <w:lang w:val="pt-BR" w:eastAsia="ar-SA"/>
              </w:rPr>
            </w:pPr>
            <w:r>
              <w:rPr>
                <w:rFonts w:cs="Arial" w:ascii="Arial" w:hAnsi="Arial"/>
                <w:b/>
                <w:color w:val="000000"/>
                <w:sz w:val="21"/>
                <w:szCs w:val="21"/>
                <w:lang w:val="pt-BR" w:eastAsia="ar-SA"/>
              </w:rPr>
              <w:t>CONTRATANTE</w:t>
            </w:r>
          </w:p>
        </w:tc>
        <w:tc>
          <w:tcPr>
            <w:tcW w:w="4536" w:type="dxa"/>
            <w:tcBorders/>
          </w:tcPr>
          <w:p>
            <w:pPr>
              <w:pStyle w:val="Normal"/>
              <w:widowControl w:val="false"/>
              <w:spacing w:lineRule="auto" w:line="276" w:before="0" w:after="0"/>
              <w:ind w:hanging="0" w:start="0" w:end="0"/>
              <w:jc w:val="center"/>
              <w:rPr>
                <w:rFonts w:ascii="Arial" w:hAnsi="Arial"/>
                <w:b/>
                <w:bCs/>
                <w:sz w:val="21"/>
                <w:szCs w:val="21"/>
                <w:lang w:val="pt-BR"/>
              </w:rPr>
            </w:pPr>
            <w:r>
              <w:rPr>
                <w:rFonts w:ascii="Arial" w:hAnsi="Arial"/>
                <w:b/>
                <w:bCs/>
                <w:sz w:val="21"/>
                <w:szCs w:val="21"/>
                <w:lang w:val="pt-BR"/>
              </w:rPr>
            </w:r>
          </w:p>
          <w:p>
            <w:pPr>
              <w:pStyle w:val="Normal"/>
              <w:widowControl w:val="false"/>
              <w:spacing w:lineRule="auto" w:line="276" w:before="0" w:after="0"/>
              <w:ind w:hanging="0" w:start="0" w:end="0"/>
              <w:jc w:val="center"/>
              <w:rPr>
                <w:rFonts w:ascii="Arial" w:hAnsi="Arial" w:cs="Arial"/>
                <w:b/>
                <w:color w:val="000000"/>
                <w:sz w:val="21"/>
                <w:szCs w:val="21"/>
                <w:lang w:val="pt-BR" w:eastAsia="ar-SA"/>
              </w:rPr>
            </w:pPr>
            <w:r>
              <w:rPr>
                <w:rFonts w:cs="Arial" w:ascii="Arial" w:hAnsi="Arial"/>
                <w:b/>
                <w:color w:val="000000"/>
                <w:sz w:val="21"/>
                <w:szCs w:val="21"/>
                <w:lang w:val="pt-BR" w:eastAsia="ar-SA"/>
              </w:rPr>
              <w:t>CONTRATADA</w:t>
            </w:r>
          </w:p>
        </w:tc>
      </w:tr>
    </w:tbl>
    <w:p>
      <w:pPr>
        <w:pStyle w:val="Normal"/>
        <w:spacing w:lineRule="auto" w:line="276" w:before="0" w:after="0"/>
        <w:ind w:hanging="0" w:start="0" w:end="0"/>
        <w:jc w:val="both"/>
        <w:rPr>
          <w:rFonts w:ascii="Arial" w:hAnsi="Arial" w:cs="Arial"/>
          <w:color w:val="000000"/>
          <w:sz w:val="21"/>
          <w:szCs w:val="21"/>
          <w:lang w:val="pt-BR" w:eastAsia="ar-SA"/>
        </w:rPr>
      </w:pPr>
      <w:r>
        <w:rPr>
          <w:rFonts w:cs="Arial" w:ascii="Arial" w:hAnsi="Arial"/>
          <w:color w:val="000000"/>
          <w:sz w:val="21"/>
          <w:szCs w:val="21"/>
          <w:lang w:val="pt-BR" w:eastAsia="ar-SA"/>
        </w:rPr>
      </w:r>
    </w:p>
    <w:p>
      <w:pPr>
        <w:pStyle w:val="Normal"/>
        <w:spacing w:lineRule="auto" w:line="276" w:before="0" w:after="0"/>
        <w:ind w:hanging="0" w:start="0" w:end="0"/>
        <w:jc w:val="both"/>
        <w:rPr>
          <w:rFonts w:ascii="Arial" w:hAnsi="Arial" w:cs="Arial"/>
          <w:color w:val="000000"/>
          <w:sz w:val="21"/>
          <w:szCs w:val="21"/>
          <w:lang w:val="pt-BR" w:eastAsia="ar-SA"/>
        </w:rPr>
      </w:pPr>
      <w:r>
        <w:rPr>
          <w:rFonts w:cs="Arial" w:ascii="Arial" w:hAnsi="Arial"/>
          <w:color w:val="000000"/>
          <w:sz w:val="21"/>
          <w:szCs w:val="21"/>
          <w:lang w:val="pt-BR" w:eastAsia="ar-SA"/>
        </w:rPr>
        <w:t>Testemunhas:</w:t>
      </w:r>
    </w:p>
    <w:p>
      <w:pPr>
        <w:pStyle w:val="Normal"/>
        <w:tabs>
          <w:tab w:val="clear" w:pos="709"/>
          <w:tab w:val="left" w:pos="4536" w:leader="none"/>
        </w:tabs>
        <w:spacing w:lineRule="auto" w:line="276" w:before="0" w:after="0"/>
        <w:ind w:hanging="0" w:start="0" w:end="0"/>
        <w:jc w:val="both"/>
        <w:rPr>
          <w:rFonts w:ascii="Arial" w:hAnsi="Arial" w:cs="Arial"/>
          <w:color w:val="000000"/>
          <w:sz w:val="21"/>
          <w:szCs w:val="21"/>
          <w:lang w:val="pt-BR" w:eastAsia="ar-SA"/>
        </w:rPr>
      </w:pPr>
      <w:r>
        <w:rPr>
          <w:rFonts w:cs="Arial" w:ascii="Arial" w:hAnsi="Arial"/>
          <w:color w:val="000000"/>
          <w:sz w:val="21"/>
          <w:szCs w:val="21"/>
          <w:lang w:val="pt-BR" w:eastAsia="ar-SA"/>
        </w:rPr>
        <w:t>01. ______________________________</w:t>
        <w:tab/>
        <w:t>02. ______________________________</w:t>
      </w:r>
    </w:p>
    <w:p>
      <w:pPr>
        <w:pStyle w:val="Normal"/>
        <w:tabs>
          <w:tab w:val="left" w:pos="709" w:leader="none"/>
          <w:tab w:val="left" w:pos="4536" w:leader="none"/>
          <w:tab w:val="left" w:pos="5245" w:leader="none"/>
        </w:tabs>
        <w:spacing w:lineRule="auto" w:line="276" w:before="0" w:after="0"/>
        <w:ind w:hanging="0" w:start="0" w:end="0"/>
        <w:jc w:val="both"/>
        <w:rPr>
          <w:rFonts w:ascii="Arial" w:hAnsi="Arial" w:cs="Arial"/>
          <w:color w:val="000000"/>
          <w:sz w:val="21"/>
          <w:szCs w:val="21"/>
          <w:lang w:val="pt-BR" w:eastAsia="ar-SA"/>
        </w:rPr>
      </w:pPr>
      <w:r>
        <w:rPr>
          <w:rFonts w:cs="Arial" w:ascii="Arial" w:hAnsi="Arial"/>
          <w:color w:val="000000"/>
          <w:sz w:val="21"/>
          <w:szCs w:val="21"/>
          <w:lang w:val="pt-BR" w:eastAsia="ar-SA"/>
        </w:rPr>
        <w:t>Nome:</w:t>
        <w:tab/>
        <w:tab/>
        <w:t>Nome:</w:t>
        <w:tab/>
      </w:r>
    </w:p>
    <w:p>
      <w:pPr>
        <w:pStyle w:val="Normal"/>
        <w:tabs>
          <w:tab w:val="left" w:pos="709" w:leader="none"/>
          <w:tab w:val="left" w:pos="4536" w:leader="none"/>
          <w:tab w:val="left" w:pos="5245" w:leader="none"/>
        </w:tabs>
        <w:spacing w:lineRule="auto" w:line="276" w:before="0" w:after="0"/>
        <w:ind w:hanging="0" w:start="0" w:end="0"/>
        <w:jc w:val="both"/>
        <w:rPr>
          <w:rFonts w:ascii="Arial" w:hAnsi="Arial" w:cs="Arial"/>
          <w:color w:val="000000"/>
          <w:sz w:val="21"/>
          <w:szCs w:val="21"/>
          <w:lang w:val="pt-BR" w:eastAsia="ar-SA"/>
        </w:rPr>
      </w:pPr>
      <w:r>
        <w:rPr>
          <w:rFonts w:cs="Arial" w:ascii="Arial" w:hAnsi="Arial"/>
          <w:color w:val="000000"/>
          <w:sz w:val="21"/>
          <w:szCs w:val="21"/>
          <w:lang w:val="pt-BR" w:eastAsia="ar-SA"/>
        </w:rPr>
        <w:t xml:space="preserve">CPF: </w:t>
        <w:tab/>
        <w:tab/>
        <w:t xml:space="preserve">CPF: </w:t>
      </w:r>
    </w:p>
    <w:p>
      <w:pPr>
        <w:pStyle w:val="Normal"/>
        <w:spacing w:lineRule="auto" w:line="276" w:before="0" w:after="0"/>
        <w:ind w:hanging="0" w:start="0" w:end="0"/>
        <w:rPr>
          <w:rFonts w:ascii="Arial" w:hAnsi="Arial" w:cs="Arial"/>
          <w:sz w:val="21"/>
          <w:szCs w:val="21"/>
          <w:lang w:val="pt-BR" w:eastAsia="ar-SA"/>
        </w:rPr>
      </w:pPr>
      <w:r>
        <w:rPr>
          <w:rFonts w:cs="Arial" w:ascii="Arial" w:hAnsi="Arial"/>
          <w:sz w:val="21"/>
          <w:szCs w:val="21"/>
          <w:lang w:val="pt-BR" w:eastAsia="ar-SA"/>
        </w:rPr>
      </w:r>
    </w:p>
    <w:p>
      <w:pPr>
        <w:pStyle w:val="Normal"/>
        <w:spacing w:lineRule="auto" w:line="276" w:before="0" w:after="0"/>
        <w:ind w:hanging="0" w:start="0" w:end="0"/>
        <w:rPr>
          <w:rFonts w:ascii="Arial" w:hAnsi="Arial" w:cs="Arial"/>
          <w:sz w:val="21"/>
          <w:szCs w:val="21"/>
          <w:lang w:val="pt-BR" w:eastAsia="ar-SA"/>
        </w:rPr>
      </w:pPr>
      <w:r>
        <w:rPr>
          <w:rFonts w:cs="Arial" w:ascii="Arial" w:hAnsi="Arial"/>
          <w:sz w:val="21"/>
          <w:szCs w:val="21"/>
          <w:lang w:val="pt-BR" w:eastAsia="ar-SA"/>
        </w:rPr>
      </w:r>
    </w:p>
    <w:p>
      <w:pPr>
        <w:pStyle w:val="Normal"/>
        <w:spacing w:lineRule="auto" w:line="276" w:before="0" w:after="0"/>
        <w:ind w:hanging="0" w:start="0" w:end="0"/>
        <w:rPr>
          <w:rFonts w:ascii="Arial" w:hAnsi="Arial" w:eastAsia="Times New Roman" w:cs="Arial"/>
          <w:b/>
          <w:bCs/>
          <w:sz w:val="21"/>
          <w:szCs w:val="21"/>
          <w:lang w:val="pt-BR" w:eastAsia="ar-SA"/>
        </w:rPr>
      </w:pPr>
      <w:r>
        <w:rPr>
          <w:rFonts w:eastAsia="Times New Roman" w:cs="Arial" w:ascii="Arial" w:hAnsi="Arial"/>
          <w:b/>
          <w:bCs/>
          <w:sz w:val="21"/>
          <w:szCs w:val="21"/>
          <w:lang w:val="pt-BR" w:eastAsia="ar-SA"/>
        </w:rPr>
        <w:t>Nome:</w:t>
        <w:tab/>
        <w:tab/>
        <w:tab/>
        <w:tab/>
        <w:tab/>
        <w:tab/>
        <w:tab/>
        <w:t>Nome:</w:t>
      </w:r>
    </w:p>
    <w:p>
      <w:pPr>
        <w:pStyle w:val="Normal"/>
        <w:spacing w:lineRule="auto" w:line="276" w:before="0" w:after="0"/>
        <w:ind w:hanging="0" w:start="0" w:end="0"/>
        <w:rPr>
          <w:rFonts w:ascii="Arial" w:hAnsi="Arial" w:eastAsia="Times New Roman" w:cs="Arial"/>
          <w:b/>
          <w:bCs/>
          <w:sz w:val="21"/>
          <w:szCs w:val="21"/>
          <w:lang w:val="pt-BR" w:eastAsia="ar-SA"/>
        </w:rPr>
      </w:pPr>
      <w:r>
        <w:rPr>
          <w:rFonts w:eastAsia="Times New Roman" w:cs="Arial" w:ascii="Arial" w:hAnsi="Arial"/>
          <w:b/>
          <w:bCs/>
          <w:sz w:val="21"/>
          <w:szCs w:val="21"/>
          <w:lang w:val="pt-BR" w:eastAsia="ar-SA"/>
        </w:rPr>
        <w:t>Gestor do Contrato</w:t>
        <w:tab/>
        <w:tab/>
        <w:tab/>
        <w:tab/>
        <w:tab/>
        <w:t>Fiscal do Contrato</w:t>
      </w:r>
    </w:p>
    <w:sectPr>
      <w:headerReference w:type="even" r:id="rId11"/>
      <w:headerReference w:type="default" r:id="rId12"/>
      <w:headerReference w:type="first" r:id="rId13"/>
      <w:footerReference w:type="even" r:id="rId14"/>
      <w:footerReference w:type="default" r:id="rId15"/>
      <w:footerReference w:type="first" r:id="rId16"/>
      <w:type w:val="nextPage"/>
      <w:pgSz w:w="11906" w:h="16838"/>
      <w:pgMar w:left="1701" w:right="1134" w:gutter="0" w:header="709" w:top="1701" w:footer="709" w:bottom="1134"/>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Garamond">
    <w:charset w:val="00" w:characterSet="windows-1252"/>
    <w:family w:val="roman"/>
    <w:pitch w:val="variable"/>
  </w:font>
  <w:font w:name="Trebuchet MS">
    <w:charset w:val="00" w:characterSet="windows-1252"/>
    <w:family w:val="roman"/>
    <w:pitch w:val="variable"/>
  </w:font>
  <w:font w:name="Calibri">
    <w:charset w:val="00" w:characterSet="windows-1252"/>
    <w:family w:val="roman"/>
    <w:pitch w:val="variable"/>
  </w:font>
  <w:font w:name="Tahoma">
    <w:charset w:val="00" w:characterSet="windows-1252"/>
    <w:family w:val="roman"/>
    <w:pitch w:val="variable"/>
  </w:font>
  <w:font w:name="Courier New">
    <w:charset w:val="00" w:characterSet="windows-1252"/>
    <w:family w:val="roman"/>
    <w:pitch w:val="variable"/>
  </w:font>
  <w:font w:name="Wingdings">
    <w:charset w:val="00" w:characterSet="windows-1252"/>
    <w:family w:val="roman"/>
    <w:pitch w:val="variable"/>
  </w:font>
  <w:font w:name="Times">
    <w:altName w:val="Times New Roman"/>
    <w:charset w:val="00" w:characterSet="windows-1252"/>
    <w:family w:val="roman"/>
    <w:pitch w:val="variable"/>
  </w:font>
  <w:font w:name="Arial Unicode MS">
    <w:charset w:val="00" w:characterSet="windows-1252"/>
    <w:family w:val="roman"/>
    <w:pitch w:val="variable"/>
  </w:font>
  <w:font w:name="Consolas">
    <w:charset w:val="00" w:characterSet="windows-1252"/>
    <w:family w:val="roman"/>
    <w:pitch w:val="variable"/>
  </w:font>
  <w:font w:name="OpenSymbol">
    <w:altName w:val="Arial Unicode MS"/>
    <w:charset w:val="02"/>
    <w:family w:val="roman"/>
    <w:pitch w:val="variable"/>
  </w:font>
  <w:font w:name="Liberation Sans">
    <w:altName w:val="Arial"/>
    <w:charset w:val="00" w:characterSet="windows-1252"/>
    <w:family w:val="swiss"/>
    <w:pitch w:val="variable"/>
  </w:font>
  <w:font w:name="Verdana">
    <w:charset w:val="00" w:characterSet="windows-1252"/>
    <w:family w:val="roman"/>
    <w:pitch w:val="variable"/>
  </w:font>
  <w:font w:name="Roboto">
    <w:charset w:val="00" w:characterSet="windows-1252"/>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end"/>
      <w:rPr>
        <w:sz w:val="20"/>
        <w:szCs w:val="20"/>
      </w:rPr>
    </w:pPr>
    <w:r>
      <w:rPr>
        <w:sz w:val="20"/>
        <w:szCs w:val="20"/>
      </w:rPr>
      <w:fldChar w:fldCharType="begin"/>
    </w:r>
    <w:r>
      <w:rPr>
        <w:sz w:val="20"/>
        <w:szCs w:val="20"/>
      </w:rPr>
      <w:instrText xml:space="preserve"> PAGE </w:instrText>
    </w:r>
    <w:r>
      <w:rPr>
        <w:sz w:val="20"/>
        <w:szCs w:val="20"/>
      </w:rPr>
      <w:fldChar w:fldCharType="separate"/>
    </w:r>
    <w:r>
      <w:rPr>
        <w:sz w:val="20"/>
        <w:szCs w:val="20"/>
      </w:rPr>
      <w:t>70</w:t>
    </w:r>
    <w:r>
      <w:rPr>
        <w:sz w:val="20"/>
        <w:szCs w:val="20"/>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end"/>
      <w:rPr>
        <w:sz w:val="20"/>
        <w:szCs w:val="20"/>
      </w:rPr>
    </w:pPr>
    <w:r>
      <w:rPr>
        <w:sz w:val="20"/>
        <w:szCs w:val="20"/>
      </w:rPr>
      <w:t>Rua Tamandaré, 98 - Centro</w:t>
    </w:r>
  </w:p>
  <w:p>
    <w:pPr>
      <w:pStyle w:val="Footer"/>
      <w:jc w:val="end"/>
      <w:rPr>
        <w:sz w:val="20"/>
        <w:szCs w:val="20"/>
      </w:rPr>
    </w:pPr>
    <w:r>
      <w:rPr>
        <w:sz w:val="20"/>
        <w:szCs w:val="20"/>
      </w:rPr>
      <w:t xml:space="preserve">89735-000 - Lindóia do Sul - SC </w:t>
    </w:r>
  </w:p>
  <w:p>
    <w:pPr>
      <w:pStyle w:val="Footer"/>
      <w:jc w:val="end"/>
      <w:rPr>
        <w:sz w:val="20"/>
        <w:szCs w:val="20"/>
      </w:rPr>
    </w:pPr>
    <w:r>
      <w:rPr>
        <w:sz w:val="20"/>
        <w:szCs w:val="20"/>
      </w:rPr>
      <w:t>(49) 3446-1177 | www.lindoiadosul.sc.gov.br</w:t>
    </w:r>
  </w:p>
  <w:p>
    <w:pPr>
      <w:pStyle w:val="Footer"/>
      <w:jc w:val="end"/>
      <w:rPr>
        <w:sz w:val="20"/>
        <w:szCs w:val="20"/>
      </w:rPr>
    </w:pPr>
    <w:r>
      <w:rPr>
        <w:sz w:val="20"/>
        <w:szCs w:val="20"/>
      </w:rPr>
      <w:t>1</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both"/>
      <w:rPr>
        <w:rFonts w:ascii="Arial" w:hAnsi="Arial" w:cs="Arial"/>
        <w:sz w:val="16"/>
      </w:rPr>
    </w:pPr>
    <w:r>
      <w:rPr>
        <w:rFonts w:cs="Arial" w:ascii="Arial" w:hAnsi="Arial"/>
        <w:sz w:val="16"/>
      </w:rPr>
      <w:t xml:space="preserve"> </w:t>
    </w:r>
  </w:p>
  <w:p>
    <w:pPr>
      <w:pStyle w:val="Header"/>
      <w:tabs>
        <w:tab w:val="clear" w:pos="4419"/>
        <w:tab w:val="clear" w:pos="8838"/>
        <w:tab w:val="left" w:pos="2445" w:leader="none"/>
      </w:tabs>
      <w:jc w:val="both"/>
      <w:rPr>
        <w:rFonts w:ascii="Trebuchet MS" w:hAnsi="Trebuchet MS" w:cs="Arial"/>
        <w:b/>
        <w:bCs/>
      </w:rPr>
    </w:pPr>
    <w:r>
      <w:rPr>
        <w:rFonts w:cs="Arial" w:ascii="Trebuchet MS" w:hAnsi="Trebuchet MS"/>
        <w:b/>
        <w:bCs/>
      </w:rPr>
      <w:tab/>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clear" w:pos="4419"/>
        <w:tab w:val="clear" w:pos="8838"/>
        <w:tab w:val="center" w:pos="4536" w:leader="none"/>
      </w:tabs>
      <w:jc w:val="both"/>
      <w:rPr/>
    </w:pPr>
    <w:r>
      <w:rPr/>
      <mc:AlternateContent>
        <mc:Choice Requires="wps">
          <w:drawing>
            <wp:anchor distT="5715" distB="4445" distL="5715" distR="4445" simplePos="0" relativeHeight="2" behindDoc="1" locked="0" layoutInCell="1" allowOverlap="1">
              <wp:simplePos x="0" y="0"/>
              <wp:positionH relativeFrom="column">
                <wp:posOffset>1165860</wp:posOffset>
              </wp:positionH>
              <wp:positionV relativeFrom="paragraph">
                <wp:posOffset>238125</wp:posOffset>
              </wp:positionV>
              <wp:extent cx="3162935" cy="556895"/>
              <wp:effectExtent l="5715" t="5715" r="4445" b="4445"/>
              <wp:wrapNone/>
              <wp:docPr id="2" name="Text Box 43"/>
              <a:graphic xmlns:a="http://schemas.openxmlformats.org/drawingml/2006/main">
                <a:graphicData uri="http://schemas.microsoft.com/office/word/2010/wordprocessingShape">
                  <wps:wsp>
                    <wps:cNvSpPr/>
                    <wps:spPr>
                      <a:xfrm>
                        <a:off x="0" y="0"/>
                        <a:ext cx="3162960" cy="556920"/>
                      </a:xfrm>
                      <a:prstGeom prst="rect">
                        <a:avLst/>
                      </a:prstGeom>
                      <a:solidFill>
                        <a:srgbClr val="FFFFFF"/>
                      </a:solidFill>
                      <a:ln w="9360">
                        <a:solidFill>
                          <a:srgbClr val="FFFFFF"/>
                        </a:solidFill>
                        <a:miter/>
                      </a:ln>
                    </wps:spPr>
                    <wps:style>
                      <a:lnRef idx="0"/>
                      <a:fillRef idx="0"/>
                      <a:effectRef idx="0"/>
                      <a:fontRef idx="minor"/>
                    </wps:style>
                    <wps:txbx>
                      <w:txbxContent>
                        <w:p>
                          <w:pPr>
                            <w:pStyle w:val="Contedodoquadro"/>
                            <w:jc w:val="center"/>
                            <w:rPr>
                              <w:b/>
                              <w:color w:val="000000"/>
                              <w:sz w:val="28"/>
                              <w:szCs w:val="28"/>
                            </w:rPr>
                          </w:pPr>
                          <w:r>
                            <w:rPr>
                              <w:b/>
                              <w:color w:val="000000"/>
                              <w:sz w:val="28"/>
                              <w:szCs w:val="28"/>
                            </w:rPr>
                            <w:t>MUNICÍPIO DE LINDÓIA DO SUL</w:t>
                          </w:r>
                        </w:p>
                        <w:p>
                          <w:pPr>
                            <w:pStyle w:val="Contedodoquadro"/>
                            <w:jc w:val="center"/>
                            <w:rPr/>
                          </w:pPr>
                          <w:r>
                            <w:rPr>
                              <w:b/>
                              <w:color w:val="000000"/>
                              <w:sz w:val="28"/>
                              <w:szCs w:val="28"/>
                            </w:rPr>
                            <w:t>ESTADO DE SANTA CATARINA</w:t>
                          </w:r>
                        </w:p>
                      </w:txbxContent>
                    </wps:txbx>
                    <wps:bodyPr anchor="t">
                      <a:noAutofit/>
                    </wps:bodyPr>
                  </wps:wsp>
                </a:graphicData>
              </a:graphic>
            </wp:anchor>
          </w:drawing>
        </mc:Choice>
        <mc:Fallback>
          <w:pict>
            <v:rect id="shape_0" fillcolor="white" stroked="t" o:allowincell="f" style="position:absolute;margin-left:91.8pt;margin-top:18.75pt;width:249pt;height:43.8pt;mso-wrap-style:square;v-text-anchor:top">
              <v:fill o:detectmouseclick="t" type="solid" color2="black"/>
              <v:stroke color="white" weight="9360" joinstyle="miter" endcap="flat"/>
              <v:textbox>
                <w:txbxContent>
                  <w:p>
                    <w:pPr>
                      <w:pStyle w:val="Contedodoquadro"/>
                      <w:jc w:val="center"/>
                      <w:rPr>
                        <w:b/>
                        <w:color w:val="000000"/>
                        <w:sz w:val="28"/>
                        <w:szCs w:val="28"/>
                      </w:rPr>
                    </w:pPr>
                    <w:r>
                      <w:rPr>
                        <w:b/>
                        <w:color w:val="000000"/>
                        <w:sz w:val="28"/>
                        <w:szCs w:val="28"/>
                      </w:rPr>
                      <w:t>MUNICÍPIO DE LINDÓIA DO SUL</w:t>
                    </w:r>
                  </w:p>
                  <w:p>
                    <w:pPr>
                      <w:pStyle w:val="Contedodoquadro"/>
                      <w:jc w:val="center"/>
                      <w:rPr/>
                    </w:pPr>
                    <w:r>
                      <w:rPr>
                        <w:b/>
                        <w:color w:val="000000"/>
                        <w:sz w:val="28"/>
                        <w:szCs w:val="28"/>
                      </w:rPr>
                      <w:t>ESTADO DE SANTA CATARINA</w:t>
                    </w:r>
                  </w:p>
                </w:txbxContent>
              </v:textbox>
              <w10:wrap type="none"/>
            </v:rect>
          </w:pict>
        </mc:Fallback>
      </mc:AlternateContent>
      <w:drawing>
        <wp:inline distT="0" distB="0" distL="0" distR="0">
          <wp:extent cx="1171575" cy="914400"/>
          <wp:effectExtent l="0" t="0" r="0" b="0"/>
          <wp:docPr id="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pic:cNvPicPr>
                    <a:picLocks noChangeAspect="1" noChangeArrowheads="1"/>
                  </pic:cNvPicPr>
                </pic:nvPicPr>
                <pic:blipFill>
                  <a:blip r:embed="rId1">
                    <a:biLevel thresh="50000"/>
                  </a:blip>
                  <a:stretch>
                    <a:fillRect/>
                  </a:stretch>
                </pic:blipFill>
                <pic:spPr bwMode="auto">
                  <a:xfrm>
                    <a:off x="0" y="0"/>
                    <a:ext cx="1171575" cy="914400"/>
                  </a:xfrm>
                  <a:prstGeom prst="rect">
                    <a:avLst/>
                  </a:prstGeom>
                  <a:noFill/>
                </pic:spPr>
              </pic:pic>
            </a:graphicData>
          </a:graphic>
        </wp:inline>
      </w:drawing>
    </w:r>
  </w:p>
  <w:p>
    <w:pPr>
      <w:pStyle w:val="Header"/>
      <w:tabs>
        <w:tab w:val="clear" w:pos="4419"/>
        <w:tab w:val="clear" w:pos="8838"/>
      </w:tabs>
      <w:jc w:val="end"/>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360"/>
        </w:tabs>
        <w:ind w:start="360" w:hanging="360"/>
      </w:pPr>
      <w:rPr>
        <w:rFonts w:ascii="Symbol" w:hAnsi="Symbol" w:cs="Symbol" w:hint="default"/>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2">
    <w:lvl w:ilvl="0">
      <w:start w:val="1"/>
      <w:numFmt w:val="none"/>
      <w:suff w:val="nothing"/>
      <w:lvlText w:val="%1"/>
      <w:lvlJc w:val="start"/>
      <w:pPr>
        <w:tabs>
          <w:tab w:val="num" w:pos="0"/>
        </w:tabs>
        <w:ind w:start="0" w:hanging="0"/>
      </w:pPr>
      <w:rPr/>
    </w:lvl>
    <w:lvl w:ilvl="1">
      <w:start w:val="1"/>
      <w:numFmt w:val="none"/>
      <w:suff w:val="nothing"/>
      <w:lvlText w:val="%2"/>
      <w:lvlJc w:val="start"/>
      <w:pPr>
        <w:tabs>
          <w:tab w:val="num" w:pos="0"/>
        </w:tabs>
        <w:ind w:start="0" w:hanging="0"/>
      </w:pPr>
      <w:rPr/>
    </w:lvl>
    <w:lvl w:ilvl="2">
      <w:start w:val="1"/>
      <w:numFmt w:val="none"/>
      <w:suff w:val="nothing"/>
      <w:lvlText w:val="%3"/>
      <w:lvlJc w:val="start"/>
      <w:pPr>
        <w:tabs>
          <w:tab w:val="num" w:pos="0"/>
        </w:tabs>
        <w:ind w:start="0" w:hanging="0"/>
      </w:pPr>
      <w:rPr/>
    </w:lvl>
    <w:lvl w:ilvl="3">
      <w:start w:val="1"/>
      <w:numFmt w:val="none"/>
      <w:suff w:val="nothing"/>
      <w:lvlText w:val="%4"/>
      <w:lvlJc w:val="start"/>
      <w:pPr>
        <w:tabs>
          <w:tab w:val="num" w:pos="0"/>
        </w:tabs>
        <w:ind w:start="0" w:hanging="0"/>
      </w:pPr>
      <w:rPr/>
    </w:lvl>
    <w:lvl w:ilvl="4">
      <w:start w:val="1"/>
      <w:numFmt w:val="none"/>
      <w:suff w:val="nothing"/>
      <w:lvlText w:val="%5"/>
      <w:lvlJc w:val="start"/>
      <w:pPr>
        <w:tabs>
          <w:tab w:val="num" w:pos="0"/>
        </w:tabs>
        <w:ind w:start="0" w:hanging="0"/>
      </w:pPr>
      <w:rPr/>
    </w:lvl>
    <w:lvl w:ilvl="5">
      <w:start w:val="1"/>
      <w:numFmt w:val="none"/>
      <w:suff w:val="nothing"/>
      <w:lvlText w:val="%6"/>
      <w:lvlJc w:val="start"/>
      <w:pPr>
        <w:tabs>
          <w:tab w:val="num" w:pos="0"/>
        </w:tabs>
        <w:ind w:start="0" w:hanging="0"/>
      </w:pPr>
      <w:rPr/>
    </w:lvl>
    <w:lvl w:ilvl="6">
      <w:start w:val="1"/>
      <w:numFmt w:val="none"/>
      <w:suff w:val="nothing"/>
      <w:lvlText w:val="%7"/>
      <w:lvlJc w:val="start"/>
      <w:pPr>
        <w:tabs>
          <w:tab w:val="num" w:pos="0"/>
        </w:tabs>
        <w:ind w:start="0" w:hanging="0"/>
      </w:pPr>
      <w:rPr/>
    </w:lvl>
    <w:lvl w:ilvl="7">
      <w:start w:val="1"/>
      <w:numFmt w:val="none"/>
      <w:suff w:val="nothing"/>
      <w:lvlText w:val="%8"/>
      <w:lvlJc w:val="start"/>
      <w:pPr>
        <w:tabs>
          <w:tab w:val="num" w:pos="0"/>
        </w:tabs>
        <w:ind w:start="0" w:hanging="0"/>
      </w:pPr>
      <w:rPr/>
    </w:lvl>
    <w:lvl w:ilvl="8">
      <w:start w:val="1"/>
      <w:numFmt w:val="none"/>
      <w:suff w:val="nothing"/>
      <w:lvlText w:val="%9"/>
      <w:lvlJc w:val="start"/>
      <w:pPr>
        <w:tabs>
          <w:tab w:val="num" w:pos="0"/>
        </w:tabs>
        <w:ind w:start="0" w:hanging="0"/>
      </w:pPr>
      <w:rPr/>
    </w:lvl>
  </w:abstractNum>
  <w:abstractNum w:abstractNumId="3">
    <w:lvl w:ilvl="0">
      <w:start w:val="1"/>
      <w:numFmt w:val="decimal"/>
      <w:lvlText w:val="%1."/>
      <w:lvlJc w:val="start"/>
      <w:pPr>
        <w:tabs>
          <w:tab w:val="num" w:pos="0"/>
        </w:tabs>
        <w:ind w:start="720" w:hanging="360"/>
      </w:pPr>
      <w:rPr>
        <w:rFonts w:ascii="Roboto" w:hAnsi="Roboto" w:eastAsia="Roboto" w:cs="Roboto"/>
        <w:color w:val="0D0D0D"/>
        <w:sz w:val="24"/>
        <w:szCs w:val="24"/>
        <w:u w:val="none"/>
      </w:rPr>
    </w:lvl>
    <w:lvl w:ilvl="1">
      <w:start w:val="1"/>
      <w:numFmt w:val="lowerLetter"/>
      <w:lvlText w:val="%2."/>
      <w:lvlJc w:val="start"/>
      <w:pPr>
        <w:tabs>
          <w:tab w:val="num" w:pos="0"/>
        </w:tabs>
        <w:ind w:start="1440" w:hanging="360"/>
      </w:pPr>
      <w:rPr>
        <w:u w:val="none"/>
      </w:rPr>
    </w:lvl>
    <w:lvl w:ilvl="2">
      <w:start w:val="1"/>
      <w:numFmt w:val="lowerRoman"/>
      <w:lvlText w:val="%3."/>
      <w:lvlJc w:val="start"/>
      <w:pPr>
        <w:tabs>
          <w:tab w:val="num" w:pos="0"/>
        </w:tabs>
        <w:ind w:start="2160" w:hanging="360"/>
      </w:pPr>
      <w:rPr>
        <w:u w:val="none"/>
      </w:rPr>
    </w:lvl>
    <w:lvl w:ilvl="3">
      <w:start w:val="1"/>
      <w:numFmt w:val="decimal"/>
      <w:lvlText w:val="%4."/>
      <w:lvlJc w:val="start"/>
      <w:pPr>
        <w:tabs>
          <w:tab w:val="num" w:pos="0"/>
        </w:tabs>
        <w:ind w:start="2880" w:hanging="360"/>
      </w:pPr>
      <w:rPr>
        <w:u w:val="none"/>
      </w:rPr>
    </w:lvl>
    <w:lvl w:ilvl="4">
      <w:start w:val="1"/>
      <w:numFmt w:val="lowerLetter"/>
      <w:lvlText w:val="%5."/>
      <w:lvlJc w:val="start"/>
      <w:pPr>
        <w:tabs>
          <w:tab w:val="num" w:pos="0"/>
        </w:tabs>
        <w:ind w:start="3600" w:hanging="360"/>
      </w:pPr>
      <w:rPr>
        <w:u w:val="none"/>
      </w:rPr>
    </w:lvl>
    <w:lvl w:ilvl="5">
      <w:start w:val="1"/>
      <w:numFmt w:val="lowerRoman"/>
      <w:lvlText w:val="%6."/>
      <w:lvlJc w:val="start"/>
      <w:pPr>
        <w:tabs>
          <w:tab w:val="num" w:pos="0"/>
        </w:tabs>
        <w:ind w:start="4320" w:hanging="360"/>
      </w:pPr>
      <w:rPr>
        <w:u w:val="none"/>
      </w:rPr>
    </w:lvl>
    <w:lvl w:ilvl="6">
      <w:start w:val="1"/>
      <w:numFmt w:val="decimal"/>
      <w:lvlText w:val="%7."/>
      <w:lvlJc w:val="start"/>
      <w:pPr>
        <w:tabs>
          <w:tab w:val="num" w:pos="0"/>
        </w:tabs>
        <w:ind w:start="5040" w:hanging="360"/>
      </w:pPr>
      <w:rPr>
        <w:u w:val="none"/>
      </w:rPr>
    </w:lvl>
    <w:lvl w:ilvl="7">
      <w:start w:val="1"/>
      <w:numFmt w:val="lowerLetter"/>
      <w:lvlText w:val="%8."/>
      <w:lvlJc w:val="start"/>
      <w:pPr>
        <w:tabs>
          <w:tab w:val="num" w:pos="0"/>
        </w:tabs>
        <w:ind w:start="5760" w:hanging="360"/>
      </w:pPr>
      <w:rPr>
        <w:u w:val="none"/>
      </w:rPr>
    </w:lvl>
    <w:lvl w:ilvl="8">
      <w:start w:val="1"/>
      <w:numFmt w:val="lowerRoman"/>
      <w:lvlText w:val="%9."/>
      <w:lvlJc w:val="start"/>
      <w:pPr>
        <w:tabs>
          <w:tab w:val="num" w:pos="0"/>
        </w:tabs>
        <w:ind w:start="6480" w:hanging="360"/>
      </w:pPr>
      <w:rPr>
        <w:u w:val="none"/>
      </w:rPr>
    </w:lvl>
  </w:abstractNum>
  <w:abstractNum w:abstractNumId="4">
    <w:lvl w:ilvl="0">
      <w:start w:val="1"/>
      <w:numFmt w:val="none"/>
      <w:suff w:val="nothing"/>
      <w:lvlText w:val="%1"/>
      <w:lvlJc w:val="start"/>
      <w:pPr>
        <w:tabs>
          <w:tab w:val="num" w:pos="0"/>
        </w:tabs>
        <w:ind w:start="0" w:hanging="0"/>
      </w:pPr>
      <w:rPr/>
    </w:lvl>
    <w:lvl w:ilvl="1">
      <w:start w:val="1"/>
      <w:numFmt w:val="none"/>
      <w:suff w:val="nothing"/>
      <w:lvlText w:val="%2"/>
      <w:lvlJc w:val="start"/>
      <w:pPr>
        <w:tabs>
          <w:tab w:val="num" w:pos="0"/>
        </w:tabs>
        <w:ind w:start="0" w:hanging="0"/>
      </w:pPr>
      <w:rPr/>
    </w:lvl>
    <w:lvl w:ilvl="2">
      <w:start w:val="1"/>
      <w:numFmt w:val="none"/>
      <w:suff w:val="nothing"/>
      <w:lvlText w:val="%3"/>
      <w:lvlJc w:val="start"/>
      <w:pPr>
        <w:tabs>
          <w:tab w:val="num" w:pos="0"/>
        </w:tabs>
        <w:ind w:start="0" w:hanging="0"/>
      </w:pPr>
      <w:rPr/>
    </w:lvl>
    <w:lvl w:ilvl="3">
      <w:start w:val="1"/>
      <w:numFmt w:val="none"/>
      <w:suff w:val="nothing"/>
      <w:lvlText w:val="%4"/>
      <w:lvlJc w:val="start"/>
      <w:pPr>
        <w:tabs>
          <w:tab w:val="num" w:pos="0"/>
        </w:tabs>
        <w:ind w:start="0" w:hanging="0"/>
      </w:pPr>
      <w:rPr/>
    </w:lvl>
    <w:lvl w:ilvl="4">
      <w:start w:val="1"/>
      <w:numFmt w:val="none"/>
      <w:suff w:val="nothing"/>
      <w:lvlText w:val="%5"/>
      <w:lvlJc w:val="start"/>
      <w:pPr>
        <w:tabs>
          <w:tab w:val="num" w:pos="0"/>
        </w:tabs>
        <w:ind w:start="0" w:hanging="0"/>
      </w:pPr>
      <w:rPr/>
    </w:lvl>
    <w:lvl w:ilvl="5">
      <w:start w:val="1"/>
      <w:numFmt w:val="none"/>
      <w:suff w:val="nothing"/>
      <w:lvlText w:val="%6"/>
      <w:lvlJc w:val="start"/>
      <w:pPr>
        <w:tabs>
          <w:tab w:val="num" w:pos="0"/>
        </w:tabs>
        <w:ind w:start="0" w:hanging="0"/>
      </w:pPr>
      <w:rPr/>
    </w:lvl>
    <w:lvl w:ilvl="6">
      <w:start w:val="1"/>
      <w:numFmt w:val="none"/>
      <w:suff w:val="nothing"/>
      <w:lvlText w:val="%7"/>
      <w:lvlJc w:val="start"/>
      <w:pPr>
        <w:tabs>
          <w:tab w:val="num" w:pos="0"/>
        </w:tabs>
        <w:ind w:start="0" w:hanging="0"/>
      </w:pPr>
      <w:rPr/>
    </w:lvl>
    <w:lvl w:ilvl="7">
      <w:start w:val="1"/>
      <w:numFmt w:val="none"/>
      <w:suff w:val="nothing"/>
      <w:lvlText w:val="%8"/>
      <w:lvlJc w:val="start"/>
      <w:pPr>
        <w:tabs>
          <w:tab w:val="num" w:pos="0"/>
        </w:tabs>
        <w:ind w:start="0" w:hanging="0"/>
      </w:pPr>
      <w:rPr/>
    </w:lvl>
    <w:lvl w:ilvl="8">
      <w:start w:val="1"/>
      <w:numFmt w:val="none"/>
      <w:suff w:val="nothing"/>
      <w:lvlText w:val="%9"/>
      <w:lvlJc w:val="start"/>
      <w:pPr>
        <w:tabs>
          <w:tab w:val="num" w:pos="0"/>
        </w:tabs>
        <w:ind w:start="0" w:hanging="0"/>
      </w:pPr>
      <w:rPr/>
    </w:lvl>
  </w:abstractNum>
  <w:abstractNum w:abstractNumId="5">
    <w:lvl w:ilvl="0">
      <w:start w:val="1"/>
      <w:numFmt w:val="lowerLetter"/>
      <w:suff w:val="space"/>
      <w:lvlText w:val="%1)"/>
      <w:lvlJc w:val="start"/>
      <w:pPr>
        <w:tabs>
          <w:tab w:val="num" w:pos="0"/>
        </w:tabs>
        <w:ind w:start="0" w:hanging="0"/>
      </w:pPr>
      <w:rPr>
        <w:rFonts w:ascii="Arial" w:hAnsi="Arial" w:cs="Arial"/>
        <w:sz w:val="21"/>
        <w:szCs w:val="21"/>
      </w:rPr>
    </w:lvl>
    <w:lvl w:ilvl="1">
      <w:start w:val="1"/>
      <w:numFmt w:val="decimal"/>
      <w:lvlText w:val="%2."/>
      <w:lvlJc w:val="start"/>
      <w:pPr>
        <w:tabs>
          <w:tab w:val="num" w:pos="1080"/>
        </w:tabs>
        <w:ind w:start="1080" w:hanging="360"/>
      </w:pPr>
      <w:rPr>
        <w:rFonts w:ascii="Arial" w:hAnsi="Arial"/>
        <w:sz w:val="21"/>
        <w:szCs w:val="21"/>
      </w:rPr>
    </w:lvl>
    <w:lvl w:ilvl="2">
      <w:start w:val="1"/>
      <w:numFmt w:val="decimal"/>
      <w:lvlText w:val="%3."/>
      <w:lvlJc w:val="start"/>
      <w:pPr>
        <w:tabs>
          <w:tab w:val="num" w:pos="1440"/>
        </w:tabs>
        <w:ind w:start="1440" w:hanging="360"/>
      </w:pPr>
      <w:rPr>
        <w:rFonts w:ascii="Arial" w:hAnsi="Arial" w:eastAsia="Times New Roman" w:cs="Arial"/>
        <w:bCs/>
        <w:kern w:val="0"/>
        <w:sz w:val="21"/>
        <w:szCs w:val="21"/>
        <w:lang w:eastAsia="zh-CN"/>
      </w:rPr>
    </w:lvl>
    <w:lvl w:ilvl="3">
      <w:start w:val="1"/>
      <w:numFmt w:val="decimal"/>
      <w:lvlText w:val="%4."/>
      <w:lvlJc w:val="start"/>
      <w:pPr>
        <w:tabs>
          <w:tab w:val="num" w:pos="1800"/>
        </w:tabs>
        <w:ind w:start="1800" w:hanging="360"/>
      </w:pPr>
      <w:rPr>
        <w:rFonts w:ascii="Arial" w:hAnsi="Arial" w:eastAsia="Times New Roman" w:cs="Arial"/>
        <w:bCs/>
        <w:color w:val="000000"/>
        <w:kern w:val="0"/>
        <w:sz w:val="21"/>
        <w:szCs w:val="21"/>
        <w:lang w:eastAsia="zh-CN"/>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6">
    <w:lvl w:ilvl="0">
      <w:start w:val="1"/>
      <w:numFmt w:val="lowerLetter"/>
      <w:lvlText w:val="%1)"/>
      <w:lvlJc w:val="start"/>
      <w:pPr>
        <w:tabs>
          <w:tab w:val="num" w:pos="0"/>
        </w:tabs>
        <w:ind w:start="1069" w:hanging="360"/>
      </w:pPr>
      <w:rPr/>
    </w:lvl>
    <w:lvl w:ilvl="1">
      <w:start w:val="1"/>
      <w:numFmt w:val="lowerLetter"/>
      <w:lvlText w:val="%2."/>
      <w:lvlJc w:val="start"/>
      <w:pPr>
        <w:tabs>
          <w:tab w:val="num" w:pos="0"/>
        </w:tabs>
        <w:ind w:start="1789" w:hanging="360"/>
      </w:pPr>
      <w:rPr/>
    </w:lvl>
    <w:lvl w:ilvl="2">
      <w:start w:val="1"/>
      <w:numFmt w:val="lowerRoman"/>
      <w:lvlText w:val="%3."/>
      <w:lvlJc w:val="end"/>
      <w:pPr>
        <w:tabs>
          <w:tab w:val="num" w:pos="0"/>
        </w:tabs>
        <w:ind w:start="2509" w:hanging="180"/>
      </w:pPr>
      <w:rPr/>
    </w:lvl>
    <w:lvl w:ilvl="3">
      <w:start w:val="1"/>
      <w:numFmt w:val="decimal"/>
      <w:lvlText w:val="%4."/>
      <w:lvlJc w:val="start"/>
      <w:pPr>
        <w:tabs>
          <w:tab w:val="num" w:pos="0"/>
        </w:tabs>
        <w:ind w:start="3229" w:hanging="360"/>
      </w:pPr>
      <w:rPr/>
    </w:lvl>
    <w:lvl w:ilvl="4">
      <w:start w:val="1"/>
      <w:numFmt w:val="lowerLetter"/>
      <w:lvlText w:val="%5."/>
      <w:lvlJc w:val="start"/>
      <w:pPr>
        <w:tabs>
          <w:tab w:val="num" w:pos="0"/>
        </w:tabs>
        <w:ind w:start="3949" w:hanging="360"/>
      </w:pPr>
      <w:rPr/>
    </w:lvl>
    <w:lvl w:ilvl="5">
      <w:start w:val="1"/>
      <w:numFmt w:val="lowerRoman"/>
      <w:lvlText w:val="%6."/>
      <w:lvlJc w:val="end"/>
      <w:pPr>
        <w:tabs>
          <w:tab w:val="num" w:pos="0"/>
        </w:tabs>
        <w:ind w:start="4669" w:hanging="180"/>
      </w:pPr>
      <w:rPr/>
    </w:lvl>
    <w:lvl w:ilvl="6">
      <w:start w:val="1"/>
      <w:numFmt w:val="decimal"/>
      <w:lvlText w:val="%7."/>
      <w:lvlJc w:val="start"/>
      <w:pPr>
        <w:tabs>
          <w:tab w:val="num" w:pos="0"/>
        </w:tabs>
        <w:ind w:start="5389" w:hanging="360"/>
      </w:pPr>
      <w:rPr/>
    </w:lvl>
    <w:lvl w:ilvl="7">
      <w:start w:val="1"/>
      <w:numFmt w:val="lowerLetter"/>
      <w:lvlText w:val="%8."/>
      <w:lvlJc w:val="start"/>
      <w:pPr>
        <w:tabs>
          <w:tab w:val="num" w:pos="0"/>
        </w:tabs>
        <w:ind w:start="6109" w:hanging="360"/>
      </w:pPr>
      <w:rPr/>
    </w:lvl>
    <w:lvl w:ilvl="8">
      <w:start w:val="1"/>
      <w:numFmt w:val="lowerRoman"/>
      <w:lvlText w:val="%9."/>
      <w:lvlJc w:val="end"/>
      <w:pPr>
        <w:tabs>
          <w:tab w:val="num" w:pos="0"/>
        </w:tabs>
        <w:ind w:start="6829" w:hanging="180"/>
      </w:pPr>
      <w:rPr/>
    </w:lvl>
  </w:abstractNum>
  <w:abstractNum w:abstractNumId="7">
    <w:lvl w:ilvl="0">
      <w:start w:val="1"/>
      <w:numFmt w:val="bullet"/>
      <w:lvlText w:val=""/>
      <w:lvlJc w:val="start"/>
      <w:pPr>
        <w:tabs>
          <w:tab w:val="num" w:pos="0"/>
        </w:tabs>
        <w:ind w:start="1429" w:hanging="360"/>
      </w:pPr>
      <w:rPr>
        <w:rFonts w:ascii="Symbol" w:hAnsi="Symbol" w:cs="Symbol" w:hint="default"/>
      </w:rPr>
    </w:lvl>
    <w:lvl w:ilvl="1">
      <w:start w:val="1"/>
      <w:numFmt w:val="bullet"/>
      <w:lvlText w:val="o"/>
      <w:lvlJc w:val="start"/>
      <w:pPr>
        <w:tabs>
          <w:tab w:val="num" w:pos="0"/>
        </w:tabs>
        <w:ind w:start="2149" w:hanging="360"/>
      </w:pPr>
      <w:rPr>
        <w:rFonts w:ascii="Courier New" w:hAnsi="Courier New" w:cs="Courier New" w:hint="default"/>
      </w:rPr>
    </w:lvl>
    <w:lvl w:ilvl="2">
      <w:start w:val="1"/>
      <w:numFmt w:val="bullet"/>
      <w:lvlText w:val=""/>
      <w:lvlJc w:val="start"/>
      <w:pPr>
        <w:tabs>
          <w:tab w:val="num" w:pos="0"/>
        </w:tabs>
        <w:ind w:start="2869" w:hanging="360"/>
      </w:pPr>
      <w:rPr>
        <w:rFonts w:ascii="Wingdings" w:hAnsi="Wingdings" w:cs="Wingdings" w:hint="default"/>
      </w:rPr>
    </w:lvl>
    <w:lvl w:ilvl="3">
      <w:start w:val="1"/>
      <w:numFmt w:val="bullet"/>
      <w:lvlText w:val=""/>
      <w:lvlJc w:val="start"/>
      <w:pPr>
        <w:tabs>
          <w:tab w:val="num" w:pos="0"/>
        </w:tabs>
        <w:ind w:start="3589" w:hanging="360"/>
      </w:pPr>
      <w:rPr>
        <w:rFonts w:ascii="Symbol" w:hAnsi="Symbol" w:cs="Symbol" w:hint="default"/>
      </w:rPr>
    </w:lvl>
    <w:lvl w:ilvl="4">
      <w:start w:val="1"/>
      <w:numFmt w:val="bullet"/>
      <w:lvlText w:val="o"/>
      <w:lvlJc w:val="start"/>
      <w:pPr>
        <w:tabs>
          <w:tab w:val="num" w:pos="0"/>
        </w:tabs>
        <w:ind w:start="4309" w:hanging="360"/>
      </w:pPr>
      <w:rPr>
        <w:rFonts w:ascii="Courier New" w:hAnsi="Courier New" w:cs="Courier New" w:hint="default"/>
      </w:rPr>
    </w:lvl>
    <w:lvl w:ilvl="5">
      <w:start w:val="1"/>
      <w:numFmt w:val="bullet"/>
      <w:lvlText w:val=""/>
      <w:lvlJc w:val="start"/>
      <w:pPr>
        <w:tabs>
          <w:tab w:val="num" w:pos="0"/>
        </w:tabs>
        <w:ind w:start="5029" w:hanging="360"/>
      </w:pPr>
      <w:rPr>
        <w:rFonts w:ascii="Wingdings" w:hAnsi="Wingdings" w:cs="Wingdings" w:hint="default"/>
      </w:rPr>
    </w:lvl>
    <w:lvl w:ilvl="6">
      <w:start w:val="1"/>
      <w:numFmt w:val="bullet"/>
      <w:lvlText w:val=""/>
      <w:lvlJc w:val="start"/>
      <w:pPr>
        <w:tabs>
          <w:tab w:val="num" w:pos="0"/>
        </w:tabs>
        <w:ind w:start="5749" w:hanging="360"/>
      </w:pPr>
      <w:rPr>
        <w:rFonts w:ascii="Symbol" w:hAnsi="Symbol" w:cs="Symbol" w:hint="default"/>
      </w:rPr>
    </w:lvl>
    <w:lvl w:ilvl="7">
      <w:start w:val="1"/>
      <w:numFmt w:val="bullet"/>
      <w:lvlText w:val="o"/>
      <w:lvlJc w:val="start"/>
      <w:pPr>
        <w:tabs>
          <w:tab w:val="num" w:pos="0"/>
        </w:tabs>
        <w:ind w:start="6469" w:hanging="360"/>
      </w:pPr>
      <w:rPr>
        <w:rFonts w:ascii="Courier New" w:hAnsi="Courier New" w:cs="Courier New" w:hint="default"/>
      </w:rPr>
    </w:lvl>
    <w:lvl w:ilvl="8">
      <w:start w:val="1"/>
      <w:numFmt w:val="bullet"/>
      <w:lvlText w:val=""/>
      <w:lvlJc w:val="start"/>
      <w:pPr>
        <w:tabs>
          <w:tab w:val="num" w:pos="0"/>
        </w:tabs>
        <w:ind w:start="7189" w:hanging="360"/>
      </w:pPr>
      <w:rPr>
        <w:rFonts w:ascii="Wingdings" w:hAnsi="Wingdings" w:cs="Wingdings" w:hint="default"/>
      </w:rPr>
    </w:lvl>
  </w:abstractNum>
  <w:abstractNum w:abstractNumId="8">
    <w:lvl w:ilvl="0">
      <w:start w:val="1"/>
      <w:numFmt w:val="lowerLetter"/>
      <w:lvlText w:val="%1)"/>
      <w:lvlJc w:val="start"/>
      <w:pPr>
        <w:tabs>
          <w:tab w:val="num" w:pos="720"/>
        </w:tabs>
        <w:ind w:start="720" w:hanging="360"/>
      </w:pPr>
      <w:rPr/>
    </w:lvl>
    <w:lvl w:ilvl="1">
      <w:start w:val="1"/>
      <w:numFmt w:val="lowerLetter"/>
      <w:lvlText w:val="%2)"/>
      <w:lvlJc w:val="start"/>
      <w:pPr>
        <w:tabs>
          <w:tab w:val="num" w:pos="1080"/>
        </w:tabs>
        <w:ind w:start="1080" w:hanging="360"/>
      </w:pPr>
      <w:rPr/>
    </w:lvl>
    <w:lvl w:ilvl="2">
      <w:start w:val="1"/>
      <w:numFmt w:val="lowerLetter"/>
      <w:lvlText w:val="%3)"/>
      <w:lvlJc w:val="start"/>
      <w:pPr>
        <w:tabs>
          <w:tab w:val="num" w:pos="1440"/>
        </w:tabs>
        <w:ind w:start="1440" w:hanging="360"/>
      </w:pPr>
      <w:rPr/>
    </w:lvl>
    <w:lvl w:ilvl="3">
      <w:start w:val="1"/>
      <w:numFmt w:val="lowerLetter"/>
      <w:lvlText w:val="%4)"/>
      <w:lvlJc w:val="start"/>
      <w:pPr>
        <w:tabs>
          <w:tab w:val="num" w:pos="1800"/>
        </w:tabs>
        <w:ind w:start="1800" w:hanging="360"/>
      </w:pPr>
      <w:rPr/>
    </w:lvl>
    <w:lvl w:ilvl="4">
      <w:start w:val="1"/>
      <w:numFmt w:val="lowerLetter"/>
      <w:lvlText w:val="%5)"/>
      <w:lvlJc w:val="start"/>
      <w:pPr>
        <w:tabs>
          <w:tab w:val="num" w:pos="2160"/>
        </w:tabs>
        <w:ind w:start="2160" w:hanging="360"/>
      </w:pPr>
      <w:rPr/>
    </w:lvl>
    <w:lvl w:ilvl="5">
      <w:start w:val="1"/>
      <w:numFmt w:val="lowerLetter"/>
      <w:lvlText w:val="%6)"/>
      <w:lvlJc w:val="start"/>
      <w:pPr>
        <w:tabs>
          <w:tab w:val="num" w:pos="2520"/>
        </w:tabs>
        <w:ind w:start="2520" w:hanging="360"/>
      </w:pPr>
      <w:rPr/>
    </w:lvl>
    <w:lvl w:ilvl="6">
      <w:start w:val="1"/>
      <w:numFmt w:val="lowerLetter"/>
      <w:lvlText w:val="%7)"/>
      <w:lvlJc w:val="start"/>
      <w:pPr>
        <w:tabs>
          <w:tab w:val="num" w:pos="2880"/>
        </w:tabs>
        <w:ind w:start="2880" w:hanging="360"/>
      </w:pPr>
      <w:rPr/>
    </w:lvl>
    <w:lvl w:ilvl="7">
      <w:start w:val="1"/>
      <w:numFmt w:val="lowerLetter"/>
      <w:lvlText w:val="%8)"/>
      <w:lvlJc w:val="start"/>
      <w:pPr>
        <w:tabs>
          <w:tab w:val="num" w:pos="3240"/>
        </w:tabs>
        <w:ind w:start="3240" w:hanging="360"/>
      </w:pPr>
      <w:rPr/>
    </w:lvl>
    <w:lvl w:ilvl="8">
      <w:start w:val="1"/>
      <w:numFmt w:val="lowerLetter"/>
      <w:lvlText w:val="%9)"/>
      <w:lvlJc w:val="start"/>
      <w:pPr>
        <w:tabs>
          <w:tab w:val="num" w:pos="3600"/>
        </w:tabs>
        <w:ind w:start="3600" w:hanging="360"/>
      </w:pPr>
      <w:rPr/>
    </w:lvl>
  </w:abstractNum>
  <w:abstractNum w:abstractNumId="9">
    <w:lvl w:ilvl="0">
      <w:start w:val="21"/>
      <w:numFmt w:val="lowerLetter"/>
      <w:lvlText w:val="%1)"/>
      <w:lvlJc w:val="start"/>
      <w:pPr>
        <w:tabs>
          <w:tab w:val="num" w:pos="720"/>
        </w:tabs>
        <w:ind w:start="720" w:hanging="360"/>
      </w:pPr>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10">
    <w:lvl w:ilvl="0">
      <w:start w:val="25"/>
      <w:numFmt w:val="lowerLetter"/>
      <w:lvlText w:val="%1)"/>
      <w:lvlJc w:val="start"/>
      <w:pPr>
        <w:tabs>
          <w:tab w:val="num" w:pos="720"/>
        </w:tabs>
        <w:ind w:start="720" w:hanging="360"/>
      </w:pPr>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11">
    <w:lvl w:ilvl="0">
      <w:start w:val="1"/>
      <w:numFmt w:val="lowerLetter"/>
      <w:lvlText w:val="%1)"/>
      <w:lvlJc w:val="start"/>
      <w:pPr>
        <w:tabs>
          <w:tab w:val="num" w:pos="720"/>
        </w:tabs>
        <w:ind w:start="720" w:hanging="360"/>
      </w:pPr>
      <w:rPr/>
    </w:lvl>
    <w:lvl w:ilvl="1">
      <w:start w:val="1"/>
      <w:numFmt w:val="lowerLetter"/>
      <w:lvlText w:val="%2)"/>
      <w:lvlJc w:val="start"/>
      <w:pPr>
        <w:tabs>
          <w:tab w:val="num" w:pos="1080"/>
        </w:tabs>
        <w:ind w:start="1080" w:hanging="360"/>
      </w:pPr>
      <w:rPr/>
    </w:lvl>
    <w:lvl w:ilvl="2">
      <w:start w:val="1"/>
      <w:numFmt w:val="lowerLetter"/>
      <w:lvlText w:val="%3)"/>
      <w:lvlJc w:val="start"/>
      <w:pPr>
        <w:tabs>
          <w:tab w:val="num" w:pos="1440"/>
        </w:tabs>
        <w:ind w:start="1440" w:hanging="360"/>
      </w:pPr>
      <w:rPr/>
    </w:lvl>
    <w:lvl w:ilvl="3">
      <w:start w:val="1"/>
      <w:numFmt w:val="lowerLetter"/>
      <w:lvlText w:val="%4)"/>
      <w:lvlJc w:val="start"/>
      <w:pPr>
        <w:tabs>
          <w:tab w:val="num" w:pos="1800"/>
        </w:tabs>
        <w:ind w:start="1800" w:hanging="360"/>
      </w:pPr>
      <w:rPr/>
    </w:lvl>
    <w:lvl w:ilvl="4">
      <w:start w:val="1"/>
      <w:numFmt w:val="lowerLetter"/>
      <w:lvlText w:val="%5)"/>
      <w:lvlJc w:val="start"/>
      <w:pPr>
        <w:tabs>
          <w:tab w:val="num" w:pos="2160"/>
        </w:tabs>
        <w:ind w:start="2160" w:hanging="360"/>
      </w:pPr>
      <w:rPr/>
    </w:lvl>
    <w:lvl w:ilvl="5">
      <w:start w:val="1"/>
      <w:numFmt w:val="lowerLetter"/>
      <w:lvlText w:val="%6)"/>
      <w:lvlJc w:val="start"/>
      <w:pPr>
        <w:tabs>
          <w:tab w:val="num" w:pos="2520"/>
        </w:tabs>
        <w:ind w:start="2520" w:hanging="360"/>
      </w:pPr>
      <w:rPr/>
    </w:lvl>
    <w:lvl w:ilvl="6">
      <w:start w:val="1"/>
      <w:numFmt w:val="lowerLetter"/>
      <w:lvlText w:val="%7)"/>
      <w:lvlJc w:val="start"/>
      <w:pPr>
        <w:tabs>
          <w:tab w:val="num" w:pos="2880"/>
        </w:tabs>
        <w:ind w:start="2880" w:hanging="360"/>
      </w:pPr>
      <w:rPr/>
    </w:lvl>
    <w:lvl w:ilvl="7">
      <w:start w:val="1"/>
      <w:numFmt w:val="lowerLetter"/>
      <w:lvlText w:val="%8)"/>
      <w:lvlJc w:val="start"/>
      <w:pPr>
        <w:tabs>
          <w:tab w:val="num" w:pos="3240"/>
        </w:tabs>
        <w:ind w:start="3240" w:hanging="360"/>
      </w:pPr>
      <w:rPr/>
    </w:lvl>
    <w:lvl w:ilvl="8">
      <w:start w:val="1"/>
      <w:numFmt w:val="lowerLetter"/>
      <w:lvlText w:val="%9)"/>
      <w:lvlJc w:val="start"/>
      <w:pPr>
        <w:tabs>
          <w:tab w:val="num" w:pos="3600"/>
        </w:tabs>
        <w:ind w:start="3600" w:hanging="360"/>
      </w:pPr>
      <w:rPr/>
    </w:lvl>
  </w:abstractNum>
  <w:abstractNum w:abstractNumId="12">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w="http://schemas.openxmlformats.org/wordprocessingml/2006/main">
  <w:zoom w:percent="110"/>
  <w:defaultTabStop w:val="709"/>
  <w:autoHyphenation w:val="true"/>
  <w:hyphenationZone w:val="360"/>
  <w:compat>
    <w:compatSetting w:name="compatibilityMode" w:uri="http://schemas.microsoft.com/office/word" w:val="15"/>
    <w:compatSetting w:name="useWord2013TrackBottomHyphenation" w:uri="http://schemas.microsoft.com/office/word" w:val="1"/>
    <w:compatSetting w:name="allowHyphenationAtTrackBottom"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style w:type="paragraph" w:styleId="Normal">
    <w:name w:val="Normal"/>
    <w:qFormat/>
    <w:pPr>
      <w:widowControl/>
      <w:suppressAutoHyphens w:val="true"/>
      <w:overflowPunct w:val="true"/>
      <w:bidi w:val="0"/>
      <w:spacing w:before="0" w:after="0"/>
      <w:jc w:val="start"/>
    </w:pPr>
    <w:rPr>
      <w:rFonts w:ascii="Times New Roman" w:hAnsi="Times New Roman" w:eastAsia="Times New Roman" w:cs="Times New Roman"/>
      <w:color w:val="auto"/>
      <w:kern w:val="0"/>
      <w:sz w:val="24"/>
      <w:szCs w:val="24"/>
      <w:lang w:val="pt-BR" w:eastAsia="pt-BR" w:bidi="ar-SA"/>
    </w:rPr>
  </w:style>
  <w:style w:type="paragraph" w:styleId="Heading1">
    <w:name w:val="heading 1"/>
    <w:basedOn w:val="Normal"/>
    <w:next w:val="Normal"/>
    <w:link w:val="Ttulo1Char"/>
    <w:qFormat/>
    <w:pPr>
      <w:keepNext w:val="true"/>
      <w:numPr>
        <w:ilvl w:val="0"/>
        <w:numId w:val="0"/>
      </w:numPr>
      <w:jc w:val="both"/>
      <w:outlineLvl w:val="0"/>
    </w:pPr>
    <w:rPr>
      <w:rFonts w:ascii="Garamond" w:hAnsi="Garamond"/>
      <w:b/>
      <w:bCs/>
      <w:spacing w:val="60"/>
      <w:w w:val="150"/>
      <w:sz w:val="28"/>
    </w:rPr>
  </w:style>
  <w:style w:type="paragraph" w:styleId="Heading2">
    <w:name w:val="heading 2"/>
    <w:basedOn w:val="Normal"/>
    <w:next w:val="Normal"/>
    <w:link w:val="Ttulo2Char"/>
    <w:qFormat/>
    <w:pPr>
      <w:keepNext w:val="true"/>
      <w:numPr>
        <w:ilvl w:val="0"/>
        <w:numId w:val="0"/>
      </w:numPr>
      <w:jc w:val="center"/>
      <w:outlineLvl w:val="1"/>
    </w:pPr>
    <w:rPr>
      <w:rFonts w:ascii="Garamond" w:hAnsi="Garamond"/>
      <w:b/>
      <w:bCs/>
      <w:spacing w:val="60"/>
      <w:w w:val="150"/>
      <w:sz w:val="28"/>
    </w:rPr>
  </w:style>
  <w:style w:type="paragraph" w:styleId="Heading3">
    <w:name w:val="heading 3"/>
    <w:basedOn w:val="Normal"/>
    <w:next w:val="Normal"/>
    <w:link w:val="Ttulo3Char"/>
    <w:qFormat/>
    <w:pPr>
      <w:keepNext w:val="true"/>
      <w:numPr>
        <w:ilvl w:val="0"/>
        <w:numId w:val="0"/>
      </w:numPr>
      <w:jc w:val="center"/>
      <w:outlineLvl w:val="2"/>
    </w:pPr>
    <w:rPr>
      <w:b/>
      <w:bCs/>
      <w:spacing w:val="60"/>
      <w:w w:val="150"/>
    </w:rPr>
  </w:style>
  <w:style w:type="paragraph" w:styleId="Heading4">
    <w:name w:val="heading 4"/>
    <w:basedOn w:val="Normal"/>
    <w:next w:val="Normal"/>
    <w:link w:val="Ttulo4Char"/>
    <w:qFormat/>
    <w:pPr>
      <w:keepNext w:val="true"/>
      <w:numPr>
        <w:ilvl w:val="0"/>
        <w:numId w:val="0"/>
      </w:numPr>
      <w:jc w:val="center"/>
      <w:outlineLvl w:val="3"/>
    </w:pPr>
    <w:rPr>
      <w:rFonts w:ascii="Trebuchet MS" w:hAnsi="Trebuchet MS" w:cs="Arial"/>
      <w:b/>
      <w:color w:val="FFFFFF"/>
      <w:sz w:val="18"/>
      <w:szCs w:val="36"/>
    </w:rPr>
  </w:style>
  <w:style w:type="paragraph" w:styleId="Heading5">
    <w:name w:val="heading 5"/>
    <w:basedOn w:val="Normal"/>
    <w:next w:val="Normal"/>
    <w:link w:val="Ttulo5Char"/>
    <w:qFormat/>
    <w:pPr>
      <w:keepNext w:val="true"/>
      <w:numPr>
        <w:ilvl w:val="0"/>
        <w:numId w:val="0"/>
      </w:numPr>
      <w:jc w:val="center"/>
      <w:outlineLvl w:val="4"/>
    </w:pPr>
    <w:rPr>
      <w:rFonts w:ascii="Trebuchet MS" w:hAnsi="Trebuchet MS" w:cs="Arial"/>
      <w:b/>
      <w:color w:val="808080"/>
      <w:szCs w:val="36"/>
    </w:rPr>
  </w:style>
  <w:style w:type="paragraph" w:styleId="Heading6">
    <w:name w:val="heading 6"/>
    <w:basedOn w:val="Normal"/>
    <w:next w:val="Normal"/>
    <w:link w:val="Ttulo6Char"/>
    <w:qFormat/>
    <w:pPr>
      <w:keepNext w:val="true"/>
      <w:numPr>
        <w:ilvl w:val="0"/>
        <w:numId w:val="0"/>
      </w:numPr>
      <w:jc w:val="center"/>
      <w:outlineLvl w:val="5"/>
    </w:pPr>
    <w:rPr>
      <w:rFonts w:ascii="Trebuchet MS" w:hAnsi="Trebuchet MS"/>
      <w:color w:val="808080"/>
      <w:spacing w:val="60"/>
      <w:w w:val="200"/>
      <w:sz w:val="52"/>
      <w:szCs w:val="36"/>
    </w:rPr>
  </w:style>
  <w:style w:type="paragraph" w:styleId="Heading7">
    <w:name w:val="heading 7"/>
    <w:basedOn w:val="Normal"/>
    <w:next w:val="Normal"/>
    <w:link w:val="Ttulo7Char"/>
    <w:qFormat/>
    <w:pPr>
      <w:numPr>
        <w:ilvl w:val="0"/>
        <w:numId w:val="0"/>
      </w:numPr>
      <w:spacing w:before="240" w:after="60"/>
      <w:outlineLvl w:val="6"/>
    </w:pPr>
    <w:rPr>
      <w:rFonts w:ascii="Calibri" w:hAnsi="Calibri"/>
    </w:rPr>
  </w:style>
  <w:style w:type="character" w:styleId="DefaultParagraphFont">
    <w:name w:val="Default Paragraph Font"/>
    <w:qFormat/>
    <w:rPr/>
  </w:style>
  <w:style w:type="character" w:styleId="InternetLink">
    <w:name w:val="Internet Link"/>
    <w:basedOn w:val="DefaultParagraphFont"/>
    <w:qFormat/>
    <w:rPr>
      <w:color w:val="0000FF"/>
      <w:u w:val="single"/>
    </w:rPr>
  </w:style>
  <w:style w:type="character" w:styleId="CabealhoChar">
    <w:name w:val="Cabeçalho Char"/>
    <w:basedOn w:val="DefaultParagraphFont"/>
    <w:qFormat/>
    <w:rPr>
      <w:sz w:val="24"/>
      <w:szCs w:val="24"/>
    </w:rPr>
  </w:style>
  <w:style w:type="character" w:styleId="Ttulo6Char">
    <w:name w:val="Título 6 Char"/>
    <w:basedOn w:val="DefaultParagraphFont"/>
    <w:qFormat/>
    <w:rPr>
      <w:rFonts w:ascii="Trebuchet MS" w:hAnsi="Trebuchet MS"/>
      <w:color w:val="808080"/>
      <w:spacing w:val="60"/>
      <w:w w:val="200"/>
      <w:sz w:val="52"/>
      <w:szCs w:val="36"/>
    </w:rPr>
  </w:style>
  <w:style w:type="character" w:styleId="Ttulo4Char">
    <w:name w:val="Título 4 Char"/>
    <w:basedOn w:val="DefaultParagraphFont"/>
    <w:qFormat/>
    <w:rPr>
      <w:rFonts w:ascii="Trebuchet MS" w:hAnsi="Trebuchet MS" w:cs="Arial"/>
      <w:b/>
      <w:color w:val="FFFFFF"/>
      <w:sz w:val="18"/>
      <w:szCs w:val="36"/>
    </w:rPr>
  </w:style>
  <w:style w:type="character" w:styleId="Ttulo5Char">
    <w:name w:val="Título 5 Char"/>
    <w:basedOn w:val="DefaultParagraphFont"/>
    <w:qFormat/>
    <w:rPr>
      <w:rFonts w:ascii="Trebuchet MS" w:hAnsi="Trebuchet MS" w:cs="Arial"/>
      <w:b/>
      <w:color w:val="808080"/>
      <w:sz w:val="24"/>
      <w:szCs w:val="36"/>
    </w:rPr>
  </w:style>
  <w:style w:type="character" w:styleId="TextodenotaderodapChar">
    <w:name w:val="Texto de nota de rodapé Char"/>
    <w:basedOn w:val="DefaultParagraphFont"/>
    <w:qFormat/>
    <w:rPr/>
  </w:style>
  <w:style w:type="character" w:styleId="Caracteresdenotaderodapuser">
    <w:name w:val="Caracteres de nota de rodapé (user)"/>
    <w:qFormat/>
    <w:rPr>
      <w:vertAlign w:val="superscript"/>
    </w:rPr>
  </w:style>
  <w:style w:type="character" w:styleId="Caracteresdenotaderodap">
    <w:name w:val="Caracteres de nota de rodapé"/>
    <w:qFormat/>
    <w:rPr/>
  </w:style>
  <w:style w:type="character" w:styleId="FootnoteReference">
    <w:name w:val="footnote reference"/>
    <w:rPr>
      <w:vertAlign w:val="superscript"/>
    </w:rPr>
  </w:style>
  <w:style w:type="character" w:styleId="FootnoteCharacters">
    <w:name w:val="Footnote Characters"/>
    <w:qFormat/>
    <w:rPr>
      <w:vertAlign w:val="superscript"/>
    </w:rPr>
  </w:style>
  <w:style w:type="character" w:styleId="FootnoteCharacters1">
    <w:name w:val="Footnote Characters1"/>
    <w:basedOn w:val="DefaultParagraphFont"/>
    <w:qFormat/>
    <w:rPr>
      <w:vertAlign w:val="superscript"/>
    </w:rPr>
  </w:style>
  <w:style w:type="character" w:styleId="Ttulo7Char">
    <w:name w:val="Título 7 Char"/>
    <w:basedOn w:val="DefaultParagraphFont"/>
    <w:qFormat/>
    <w:rPr>
      <w:rFonts w:ascii="Calibri" w:hAnsi="Calibri" w:eastAsia="Times New Roman" w:cs="Times New Roman"/>
      <w:sz w:val="24"/>
      <w:szCs w:val="24"/>
    </w:rPr>
  </w:style>
  <w:style w:type="character" w:styleId="Ttulo1Char">
    <w:name w:val="Título 1 Char"/>
    <w:basedOn w:val="DefaultParagraphFont"/>
    <w:qFormat/>
    <w:rPr>
      <w:rFonts w:ascii="Garamond" w:hAnsi="Garamond"/>
      <w:b/>
      <w:bCs/>
      <w:spacing w:val="60"/>
      <w:w w:val="150"/>
      <w:sz w:val="28"/>
      <w:szCs w:val="24"/>
    </w:rPr>
  </w:style>
  <w:style w:type="character" w:styleId="TtuloChar">
    <w:name w:val="Título Char"/>
    <w:basedOn w:val="DefaultParagraphFont"/>
    <w:qFormat/>
    <w:rPr>
      <w:rFonts w:ascii="Garamond" w:hAnsi="Garamond"/>
      <w:b/>
      <w:bCs/>
      <w:spacing w:val="60"/>
      <w:w w:val="150"/>
      <w:sz w:val="36"/>
      <w:szCs w:val="24"/>
    </w:rPr>
  </w:style>
  <w:style w:type="character" w:styleId="RodapChar">
    <w:name w:val="Rodapé Char"/>
    <w:basedOn w:val="DefaultParagraphFont"/>
    <w:qFormat/>
    <w:rPr>
      <w:sz w:val="24"/>
      <w:szCs w:val="24"/>
    </w:rPr>
  </w:style>
  <w:style w:type="character" w:styleId="TextodebaloChar">
    <w:name w:val="Texto de balão Char"/>
    <w:basedOn w:val="DefaultParagraphFont"/>
    <w:link w:val="BalloonText"/>
    <w:qFormat/>
    <w:rPr>
      <w:rFonts w:ascii="Tahoma" w:hAnsi="Tahoma" w:cs="Tahoma"/>
      <w:sz w:val="16"/>
      <w:szCs w:val="16"/>
    </w:rPr>
  </w:style>
  <w:style w:type="character" w:styleId="apple-converted-space">
    <w:name w:val="apple-converted-space"/>
    <w:basedOn w:val="DefaultParagraphFont"/>
    <w:qFormat/>
    <w:rPr/>
  </w:style>
  <w:style w:type="character" w:styleId="Emphasis">
    <w:name w:val="Emphasis"/>
    <w:basedOn w:val="DefaultParagraphFont"/>
    <w:qFormat/>
    <w:rPr>
      <w:i/>
      <w:iCs/>
    </w:rPr>
  </w:style>
  <w:style w:type="character" w:styleId="Strong">
    <w:name w:val="Strong"/>
    <w:basedOn w:val="DefaultParagraphFont"/>
    <w:qFormat/>
    <w:rPr>
      <w:b/>
      <w:bCs/>
    </w:rPr>
  </w:style>
  <w:style w:type="character" w:styleId="RecuodecorpodetextoChar">
    <w:name w:val="Recuo de corpo de texto Char"/>
    <w:basedOn w:val="DefaultParagraphFont"/>
    <w:qFormat/>
    <w:rPr>
      <w:rFonts w:ascii="Calibri" w:hAnsi="Calibri"/>
      <w:sz w:val="24"/>
      <w:szCs w:val="24"/>
      <w:lang w:eastAsia="en-US" w:bidi="en-US"/>
    </w:rPr>
  </w:style>
  <w:style w:type="character" w:styleId="Ttulo2Char">
    <w:name w:val="Título 2 Char"/>
    <w:basedOn w:val="DefaultParagraphFont"/>
    <w:qFormat/>
    <w:rPr>
      <w:rFonts w:ascii="Garamond" w:hAnsi="Garamond"/>
      <w:b/>
      <w:bCs/>
      <w:spacing w:val="60"/>
      <w:w w:val="150"/>
      <w:sz w:val="28"/>
      <w:szCs w:val="24"/>
    </w:rPr>
  </w:style>
  <w:style w:type="character" w:styleId="Ttulo3Char">
    <w:name w:val="Título 3 Char"/>
    <w:basedOn w:val="DefaultParagraphFont"/>
    <w:qFormat/>
    <w:rPr>
      <w:b/>
      <w:bCs/>
      <w:spacing w:val="60"/>
      <w:w w:val="150"/>
      <w:sz w:val="24"/>
      <w:szCs w:val="24"/>
    </w:rPr>
  </w:style>
  <w:style w:type="character" w:styleId="Recuodecorpodetexto2Char">
    <w:name w:val="Recuo de corpo de texto 2 Char"/>
    <w:basedOn w:val="DefaultParagraphFont"/>
    <w:link w:val="BodyTextIndent2"/>
    <w:qFormat/>
    <w:rPr>
      <w:sz w:val="24"/>
      <w:szCs w:val="24"/>
    </w:rPr>
  </w:style>
  <w:style w:type="character" w:styleId="url">
    <w:name w:val="url"/>
    <w:basedOn w:val="DefaultParagraphFont"/>
    <w:qFormat/>
    <w:rPr/>
  </w:style>
  <w:style w:type="character" w:styleId="SubttuloChar">
    <w:name w:val="Subtítulo Char"/>
    <w:basedOn w:val="DefaultParagraphFont"/>
    <w:qFormat/>
    <w:rPr>
      <w:rFonts w:ascii="Arial" w:hAnsi="Arial" w:cs="Arial"/>
      <w:b/>
      <w:bCs/>
      <w:sz w:val="22"/>
      <w:szCs w:val="24"/>
    </w:rPr>
  </w:style>
  <w:style w:type="character" w:styleId="CorpodetextoChar">
    <w:name w:val="Corpo de texto Char"/>
    <w:basedOn w:val="DefaultParagraphFont"/>
    <w:qFormat/>
    <w:rPr>
      <w:rFonts w:ascii="Arial" w:hAnsi="Arial" w:cs="Arial"/>
      <w:b/>
      <w:bCs/>
      <w:sz w:val="22"/>
      <w:szCs w:val="24"/>
    </w:rPr>
  </w:style>
  <w:style w:type="character" w:styleId="Caracteresdenotadefimuser">
    <w:name w:val="Caracteres de nota de fim (user)"/>
    <w:qFormat/>
    <w:rPr>
      <w:vertAlign w:val="superscript"/>
    </w:rPr>
  </w:style>
  <w:style w:type="character" w:styleId="Caracteresdenotadefim">
    <w:name w:val="Caracteres de nota de fim"/>
    <w:qFormat/>
    <w:rPr/>
  </w:style>
  <w:style w:type="character" w:styleId="EndnoteReference">
    <w:name w:val="endnote reference"/>
    <w:rPr>
      <w:vertAlign w:val="superscript"/>
    </w:rPr>
  </w:style>
  <w:style w:type="character" w:styleId="EndnoteCharacters">
    <w:name w:val="Endnote Characters"/>
    <w:qFormat/>
    <w:rPr>
      <w:vertAlign w:val="superscript"/>
    </w:rPr>
  </w:style>
  <w:style w:type="character" w:styleId="EndnoteCharacters1">
    <w:name w:val="Endnote Characters1"/>
    <w:qFormat/>
    <w:rPr>
      <w:vertAlign w:val="superscript"/>
    </w:rPr>
  </w:style>
  <w:style w:type="character" w:styleId="WW8Num2z1">
    <w:name w:val="WW8Num2z1"/>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2">
    <w:name w:val="WW8Num3z2"/>
    <w:qFormat/>
    <w:rPr/>
  </w:style>
  <w:style w:type="character" w:styleId="WW8Num3z3">
    <w:name w:val="WW8Num3z3"/>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Fontepargpadro">
    <w:name w:val="Fonte parág. padrão"/>
    <w:qFormat/>
    <w:rPr/>
  </w:style>
  <w:style w:type="character" w:styleId="TtuloChar1">
    <w:name w:val="Título Char1"/>
    <w:basedOn w:val="Fontepargpadro"/>
    <w:qFormat/>
    <w:rPr>
      <w:rFonts w:ascii="Arial" w:hAnsi="Arial" w:eastAsia="Arial" w:cs="Arial"/>
      <w:color w:val="000000"/>
      <w:sz w:val="52"/>
      <w:szCs w:val="52"/>
      <w:lang w:val="en-US" w:eastAsia="zh-CN" w:bidi="hi-IN"/>
    </w:rPr>
  </w:style>
  <w:style w:type="character" w:styleId="TextosemFormataoChar1">
    <w:name w:val="Texto sem Formatação Char1"/>
    <w:qFormat/>
    <w:rPr>
      <w:rFonts w:ascii="Courier New" w:hAnsi="Courier New"/>
    </w:rPr>
  </w:style>
  <w:style w:type="character" w:styleId="Refdecomentrio1">
    <w:name w:val="Ref. de comentário1"/>
    <w:qFormat/>
    <w:rPr>
      <w:sz w:val="16"/>
      <w:szCs w:val="16"/>
    </w:rPr>
  </w:style>
  <w:style w:type="character" w:styleId="WW8NumSt11z0">
    <w:name w:val="WW8NumSt11z0"/>
    <w:qFormat/>
    <w:rPr>
      <w:rFonts w:ascii="Arial" w:hAnsi="Arial" w:cs="Arial"/>
    </w:rPr>
  </w:style>
  <w:style w:type="character" w:styleId="WW8Num48z0">
    <w:name w:val="WW8Num48z0"/>
    <w:qFormat/>
    <w:rPr>
      <w:rFonts w:ascii="Arial" w:hAnsi="Arial" w:cs="Arial"/>
    </w:rPr>
  </w:style>
  <w:style w:type="character" w:styleId="WW8Num47z8">
    <w:name w:val="WW8Num47z8"/>
    <w:qFormat/>
    <w:rPr/>
  </w:style>
  <w:style w:type="character" w:styleId="WW8Num47z7">
    <w:name w:val="WW8Num47z7"/>
    <w:qFormat/>
    <w:rPr/>
  </w:style>
  <w:style w:type="character" w:styleId="WW8Num47z6">
    <w:name w:val="WW8Num47z6"/>
    <w:qFormat/>
    <w:rPr/>
  </w:style>
  <w:style w:type="character" w:styleId="WW8Num47z5">
    <w:name w:val="WW8Num47z5"/>
    <w:qFormat/>
    <w:rPr/>
  </w:style>
  <w:style w:type="character" w:styleId="WW8Num47z4">
    <w:name w:val="WW8Num47z4"/>
    <w:qFormat/>
    <w:rPr/>
  </w:style>
  <w:style w:type="character" w:styleId="WW8Num47z3">
    <w:name w:val="WW8Num47z3"/>
    <w:qFormat/>
    <w:rPr/>
  </w:style>
  <w:style w:type="character" w:styleId="WW8Num47z2">
    <w:name w:val="WW8Num47z2"/>
    <w:qFormat/>
    <w:rPr/>
  </w:style>
  <w:style w:type="character" w:styleId="WW8Num47z1">
    <w:name w:val="WW8Num47z1"/>
    <w:qFormat/>
    <w:rPr/>
  </w:style>
  <w:style w:type="character" w:styleId="WW8Num47z0">
    <w:name w:val="WW8Num47z0"/>
    <w:qFormat/>
    <w:rPr/>
  </w:style>
  <w:style w:type="character" w:styleId="WW8Num46z8">
    <w:name w:val="WW8Num46z8"/>
    <w:qFormat/>
    <w:rPr/>
  </w:style>
  <w:style w:type="character" w:styleId="WW8Num46z7">
    <w:name w:val="WW8Num46z7"/>
    <w:qFormat/>
    <w:rPr/>
  </w:style>
  <w:style w:type="character" w:styleId="WW8Num46z6">
    <w:name w:val="WW8Num46z6"/>
    <w:qFormat/>
    <w:rPr/>
  </w:style>
  <w:style w:type="character" w:styleId="WW8Num46z5">
    <w:name w:val="WW8Num46z5"/>
    <w:qFormat/>
    <w:rPr/>
  </w:style>
  <w:style w:type="character" w:styleId="WW8Num46z4">
    <w:name w:val="WW8Num46z4"/>
    <w:qFormat/>
    <w:rPr/>
  </w:style>
  <w:style w:type="character" w:styleId="WW8Num46z3">
    <w:name w:val="WW8Num46z3"/>
    <w:qFormat/>
    <w:rPr/>
  </w:style>
  <w:style w:type="character" w:styleId="WW8Num46z2">
    <w:name w:val="WW8Num46z2"/>
    <w:qFormat/>
    <w:rPr/>
  </w:style>
  <w:style w:type="character" w:styleId="WW8Num46z1">
    <w:name w:val="WW8Num46z1"/>
    <w:qFormat/>
    <w:rPr/>
  </w:style>
  <w:style w:type="character" w:styleId="WW8Num46z0">
    <w:name w:val="WW8Num46z0"/>
    <w:qFormat/>
    <w:rPr/>
  </w:style>
  <w:style w:type="character" w:styleId="WW8Num45z2">
    <w:name w:val="WW8Num45z2"/>
    <w:qFormat/>
    <w:rPr>
      <w:rFonts w:ascii="Wingdings" w:hAnsi="Wingdings" w:cs="Wingdings"/>
    </w:rPr>
  </w:style>
  <w:style w:type="character" w:styleId="WW8Num45z1">
    <w:name w:val="WW8Num45z1"/>
    <w:qFormat/>
    <w:rPr>
      <w:rFonts w:ascii="Courier New" w:hAnsi="Courier New" w:cs="Courier New"/>
    </w:rPr>
  </w:style>
  <w:style w:type="character" w:styleId="WW8Num45z0">
    <w:name w:val="WW8Num45z0"/>
    <w:qFormat/>
    <w:rPr>
      <w:rFonts w:ascii="Symbol" w:hAnsi="Symbol" w:cs="Symbol"/>
    </w:rPr>
  </w:style>
  <w:style w:type="character" w:styleId="WW8Num44z2">
    <w:name w:val="WW8Num44z2"/>
    <w:qFormat/>
    <w:rPr>
      <w:rFonts w:ascii="Wingdings" w:hAnsi="Wingdings" w:cs="Wingdings"/>
    </w:rPr>
  </w:style>
  <w:style w:type="character" w:styleId="WW8Num44z1">
    <w:name w:val="WW8Num44z1"/>
    <w:qFormat/>
    <w:rPr>
      <w:rFonts w:ascii="Courier New" w:hAnsi="Courier New" w:cs="Courier New"/>
    </w:rPr>
  </w:style>
  <w:style w:type="character" w:styleId="WW8Num44z0">
    <w:name w:val="WW8Num44z0"/>
    <w:qFormat/>
    <w:rPr>
      <w:rFonts w:ascii="Symbol" w:hAnsi="Symbol" w:cs="Symbol"/>
    </w:rPr>
  </w:style>
  <w:style w:type="character" w:styleId="WW8Num43z8">
    <w:name w:val="WW8Num43z8"/>
    <w:qFormat/>
    <w:rPr/>
  </w:style>
  <w:style w:type="character" w:styleId="WW8Num43z7">
    <w:name w:val="WW8Num43z7"/>
    <w:qFormat/>
    <w:rPr/>
  </w:style>
  <w:style w:type="character" w:styleId="WW8Num43z6">
    <w:name w:val="WW8Num43z6"/>
    <w:qFormat/>
    <w:rPr/>
  </w:style>
  <w:style w:type="character" w:styleId="WW8Num43z5">
    <w:name w:val="WW8Num43z5"/>
    <w:qFormat/>
    <w:rPr/>
  </w:style>
  <w:style w:type="character" w:styleId="WW8Num43z4">
    <w:name w:val="WW8Num43z4"/>
    <w:qFormat/>
    <w:rPr/>
  </w:style>
  <w:style w:type="character" w:styleId="WW8Num43z3">
    <w:name w:val="WW8Num43z3"/>
    <w:qFormat/>
    <w:rPr/>
  </w:style>
  <w:style w:type="character" w:styleId="WW8Num43z2">
    <w:name w:val="WW8Num43z2"/>
    <w:qFormat/>
    <w:rPr/>
  </w:style>
  <w:style w:type="character" w:styleId="WW8Num43z1">
    <w:name w:val="WW8Num43z1"/>
    <w:qFormat/>
    <w:rPr/>
  </w:style>
  <w:style w:type="character" w:styleId="WW8Num43z0">
    <w:name w:val="WW8Num43z0"/>
    <w:qFormat/>
    <w:rPr/>
  </w:style>
  <w:style w:type="character" w:styleId="WW8Num42z8">
    <w:name w:val="WW8Num42z8"/>
    <w:qFormat/>
    <w:rPr/>
  </w:style>
  <w:style w:type="character" w:styleId="WW8Num42z7">
    <w:name w:val="WW8Num42z7"/>
    <w:qFormat/>
    <w:rPr/>
  </w:style>
  <w:style w:type="character" w:styleId="WW8Num42z6">
    <w:name w:val="WW8Num42z6"/>
    <w:qFormat/>
    <w:rPr/>
  </w:style>
  <w:style w:type="character" w:styleId="WW8Num42z5">
    <w:name w:val="WW8Num42z5"/>
    <w:qFormat/>
    <w:rPr/>
  </w:style>
  <w:style w:type="character" w:styleId="WW8Num42z4">
    <w:name w:val="WW8Num42z4"/>
    <w:qFormat/>
    <w:rPr/>
  </w:style>
  <w:style w:type="character" w:styleId="WW8Num42z3">
    <w:name w:val="WW8Num42z3"/>
    <w:qFormat/>
    <w:rPr/>
  </w:style>
  <w:style w:type="character" w:styleId="WW8Num42z2">
    <w:name w:val="WW8Num42z2"/>
    <w:qFormat/>
    <w:rPr/>
  </w:style>
  <w:style w:type="character" w:styleId="WW8Num42z1">
    <w:name w:val="WW8Num42z1"/>
    <w:qFormat/>
    <w:rPr/>
  </w:style>
  <w:style w:type="character" w:styleId="WW8Num42z0">
    <w:name w:val="WW8Num42z0"/>
    <w:qFormat/>
    <w:rPr/>
  </w:style>
  <w:style w:type="character" w:styleId="WW8Num41z8">
    <w:name w:val="WW8Num41z8"/>
    <w:qFormat/>
    <w:rPr/>
  </w:style>
  <w:style w:type="character" w:styleId="WW8Num41z7">
    <w:name w:val="WW8Num41z7"/>
    <w:qFormat/>
    <w:rPr/>
  </w:style>
  <w:style w:type="character" w:styleId="WW8Num41z6">
    <w:name w:val="WW8Num41z6"/>
    <w:qFormat/>
    <w:rPr/>
  </w:style>
  <w:style w:type="character" w:styleId="WW8Num41z5">
    <w:name w:val="WW8Num41z5"/>
    <w:qFormat/>
    <w:rPr/>
  </w:style>
  <w:style w:type="character" w:styleId="WW8Num41z4">
    <w:name w:val="WW8Num41z4"/>
    <w:qFormat/>
    <w:rPr/>
  </w:style>
  <w:style w:type="character" w:styleId="WW8Num41z3">
    <w:name w:val="WW8Num41z3"/>
    <w:qFormat/>
    <w:rPr/>
  </w:style>
  <w:style w:type="character" w:styleId="WW8Num41z2">
    <w:name w:val="WW8Num41z2"/>
    <w:qFormat/>
    <w:rPr/>
  </w:style>
  <w:style w:type="character" w:styleId="WW8Num41z1">
    <w:name w:val="WW8Num41z1"/>
    <w:qFormat/>
    <w:rPr/>
  </w:style>
  <w:style w:type="character" w:styleId="WW8Num41z0">
    <w:name w:val="WW8Num41z0"/>
    <w:qFormat/>
    <w:rPr/>
  </w:style>
  <w:style w:type="character" w:styleId="WW8Num40z2">
    <w:name w:val="WW8Num40z2"/>
    <w:qFormat/>
    <w:rPr>
      <w:rFonts w:ascii="Wingdings" w:hAnsi="Wingdings" w:cs="Wingdings"/>
    </w:rPr>
  </w:style>
  <w:style w:type="character" w:styleId="WW8Num40z1">
    <w:name w:val="WW8Num40z1"/>
    <w:qFormat/>
    <w:rPr>
      <w:rFonts w:ascii="Courier New" w:hAnsi="Courier New" w:cs="Courier New"/>
    </w:rPr>
  </w:style>
  <w:style w:type="character" w:styleId="WW8Num40z0">
    <w:name w:val="WW8Num40z0"/>
    <w:qFormat/>
    <w:rPr>
      <w:rFonts w:ascii="Symbol" w:hAnsi="Symbol" w:cs="Symbol"/>
    </w:rPr>
  </w:style>
  <w:style w:type="character" w:styleId="WW8Num39z0">
    <w:name w:val="WW8Num39z0"/>
    <w:qFormat/>
    <w:rPr/>
  </w:style>
  <w:style w:type="character" w:styleId="WW8Num38z2">
    <w:name w:val="WW8Num38z2"/>
    <w:qFormat/>
    <w:rPr>
      <w:rFonts w:ascii="Wingdings" w:hAnsi="Wingdings" w:cs="Wingdings"/>
    </w:rPr>
  </w:style>
  <w:style w:type="character" w:styleId="WW8Num38z1">
    <w:name w:val="WW8Num38z1"/>
    <w:qFormat/>
    <w:rPr>
      <w:rFonts w:ascii="Courier New" w:hAnsi="Courier New" w:cs="Courier New"/>
    </w:rPr>
  </w:style>
  <w:style w:type="character" w:styleId="WW8Num38z0">
    <w:name w:val="WW8Num38z0"/>
    <w:qFormat/>
    <w:rPr>
      <w:rFonts w:ascii="Symbol" w:hAnsi="Symbol" w:cs="Symbol"/>
    </w:rPr>
  </w:style>
  <w:style w:type="character" w:styleId="WW8Num37z0">
    <w:name w:val="WW8Num37z0"/>
    <w:qFormat/>
    <w:rPr/>
  </w:style>
  <w:style w:type="character" w:styleId="WW8Num36z8">
    <w:name w:val="WW8Num36z8"/>
    <w:qFormat/>
    <w:rPr/>
  </w:style>
  <w:style w:type="character" w:styleId="WW8Num36z7">
    <w:name w:val="WW8Num36z7"/>
    <w:qFormat/>
    <w:rPr/>
  </w:style>
  <w:style w:type="character" w:styleId="WW8Num36z6">
    <w:name w:val="WW8Num36z6"/>
    <w:qFormat/>
    <w:rPr/>
  </w:style>
  <w:style w:type="character" w:styleId="WW8Num36z5">
    <w:name w:val="WW8Num36z5"/>
    <w:qFormat/>
    <w:rPr/>
  </w:style>
  <w:style w:type="character" w:styleId="WW8Num36z4">
    <w:name w:val="WW8Num36z4"/>
    <w:qFormat/>
    <w:rPr/>
  </w:style>
  <w:style w:type="character" w:styleId="WW8Num36z3">
    <w:name w:val="WW8Num36z3"/>
    <w:qFormat/>
    <w:rPr/>
  </w:style>
  <w:style w:type="character" w:styleId="WW8Num36z2">
    <w:name w:val="WW8Num36z2"/>
    <w:qFormat/>
    <w:rPr/>
  </w:style>
  <w:style w:type="character" w:styleId="WW8Num36z1">
    <w:name w:val="WW8Num36z1"/>
    <w:qFormat/>
    <w:rPr/>
  </w:style>
  <w:style w:type="character" w:styleId="WW8Num36z0">
    <w:name w:val="WW8Num36z0"/>
    <w:qFormat/>
    <w:rPr/>
  </w:style>
  <w:style w:type="character" w:styleId="WW8Num35z8">
    <w:name w:val="WW8Num35z8"/>
    <w:qFormat/>
    <w:rPr/>
  </w:style>
  <w:style w:type="character" w:styleId="WW8Num35z7">
    <w:name w:val="WW8Num35z7"/>
    <w:qFormat/>
    <w:rPr/>
  </w:style>
  <w:style w:type="character" w:styleId="WW8Num35z6">
    <w:name w:val="WW8Num35z6"/>
    <w:qFormat/>
    <w:rPr/>
  </w:style>
  <w:style w:type="character" w:styleId="WW8Num35z5">
    <w:name w:val="WW8Num35z5"/>
    <w:qFormat/>
    <w:rPr/>
  </w:style>
  <w:style w:type="character" w:styleId="WW8Num35z4">
    <w:name w:val="WW8Num35z4"/>
    <w:qFormat/>
    <w:rPr/>
  </w:style>
  <w:style w:type="character" w:styleId="WW8Num35z3">
    <w:name w:val="WW8Num35z3"/>
    <w:qFormat/>
    <w:rPr/>
  </w:style>
  <w:style w:type="character" w:styleId="WW8Num35z2">
    <w:name w:val="WW8Num35z2"/>
    <w:qFormat/>
    <w:rPr/>
  </w:style>
  <w:style w:type="character" w:styleId="WW8Num35z1">
    <w:name w:val="WW8Num35z1"/>
    <w:qFormat/>
    <w:rPr/>
  </w:style>
  <w:style w:type="character" w:styleId="WW8Num35z0">
    <w:name w:val="WW8Num35z0"/>
    <w:qFormat/>
    <w:rPr>
      <w:rFonts w:ascii="Times" w:hAnsi="Times" w:cs="Times"/>
      <w:b w:val="false"/>
    </w:rPr>
  </w:style>
  <w:style w:type="character" w:styleId="WW8Num34z2">
    <w:name w:val="WW8Num34z2"/>
    <w:qFormat/>
    <w:rPr>
      <w:rFonts w:ascii="Wingdings" w:hAnsi="Wingdings" w:cs="Wingdings"/>
    </w:rPr>
  </w:style>
  <w:style w:type="character" w:styleId="WW8Num34z1">
    <w:name w:val="WW8Num34z1"/>
    <w:qFormat/>
    <w:rPr>
      <w:rFonts w:ascii="Courier New" w:hAnsi="Courier New" w:cs="Courier New"/>
    </w:rPr>
  </w:style>
  <w:style w:type="character" w:styleId="WW8Num34z0">
    <w:name w:val="WW8Num34z0"/>
    <w:qFormat/>
    <w:rPr>
      <w:rFonts w:ascii="Symbol" w:hAnsi="Symbol" w:cs="Symbol"/>
    </w:rPr>
  </w:style>
  <w:style w:type="character" w:styleId="WW8Num33z2">
    <w:name w:val="WW8Num33z2"/>
    <w:qFormat/>
    <w:rPr>
      <w:rFonts w:ascii="Wingdings" w:hAnsi="Wingdings" w:cs="Wingdings"/>
    </w:rPr>
  </w:style>
  <w:style w:type="character" w:styleId="WW8Num33z1">
    <w:name w:val="WW8Num33z1"/>
    <w:qFormat/>
    <w:rPr>
      <w:rFonts w:ascii="Courier New" w:hAnsi="Courier New" w:cs="Courier New"/>
    </w:rPr>
  </w:style>
  <w:style w:type="character" w:styleId="WW8Num33z0">
    <w:name w:val="WW8Num33z0"/>
    <w:qFormat/>
    <w:rPr>
      <w:rFonts w:ascii="Symbol" w:hAnsi="Symbol" w:cs="Symbol"/>
    </w:rPr>
  </w:style>
  <w:style w:type="character" w:styleId="WW8Num32z0">
    <w:name w:val="WW8Num32z0"/>
    <w:qFormat/>
    <w:rPr/>
  </w:style>
  <w:style w:type="character" w:styleId="WW8Num31z2">
    <w:name w:val="WW8Num31z2"/>
    <w:qFormat/>
    <w:rPr>
      <w:rFonts w:ascii="Wingdings" w:hAnsi="Wingdings" w:cs="Wingdings"/>
    </w:rPr>
  </w:style>
  <w:style w:type="character" w:styleId="WW8Num31z1">
    <w:name w:val="WW8Num31z1"/>
    <w:qFormat/>
    <w:rPr>
      <w:rFonts w:ascii="Courier New" w:hAnsi="Courier New" w:cs="Courier New"/>
    </w:rPr>
  </w:style>
  <w:style w:type="character" w:styleId="WW8Num31z0">
    <w:name w:val="WW8Num31z0"/>
    <w:qFormat/>
    <w:rPr>
      <w:rFonts w:ascii="Symbol" w:hAnsi="Symbol" w:cs="Symbol"/>
    </w:rPr>
  </w:style>
  <w:style w:type="character" w:styleId="WW8Num30z2">
    <w:name w:val="WW8Num30z2"/>
    <w:qFormat/>
    <w:rPr>
      <w:rFonts w:ascii="Wingdings" w:hAnsi="Wingdings" w:cs="Wingdings"/>
    </w:rPr>
  </w:style>
  <w:style w:type="character" w:styleId="WW8Num30z1">
    <w:name w:val="WW8Num30z1"/>
    <w:qFormat/>
    <w:rPr>
      <w:rFonts w:ascii="Courier New" w:hAnsi="Courier New" w:cs="Courier New"/>
    </w:rPr>
  </w:style>
  <w:style w:type="character" w:styleId="WW8Num30z0">
    <w:name w:val="WW8Num30z0"/>
    <w:qFormat/>
    <w:rPr>
      <w:rFonts w:ascii="Symbol" w:hAnsi="Symbol" w:cs="Symbol"/>
    </w:rPr>
  </w:style>
  <w:style w:type="character" w:styleId="WW8Num29z0">
    <w:name w:val="WW8Num29z0"/>
    <w:qFormat/>
    <w:rPr/>
  </w:style>
  <w:style w:type="character" w:styleId="WW8Num28z0">
    <w:name w:val="WW8Num28z0"/>
    <w:qFormat/>
    <w:rPr/>
  </w:style>
  <w:style w:type="character" w:styleId="WW8Num27z8">
    <w:name w:val="WW8Num27z8"/>
    <w:qFormat/>
    <w:rPr/>
  </w:style>
  <w:style w:type="character" w:styleId="WW8Num27z7">
    <w:name w:val="WW8Num27z7"/>
    <w:qFormat/>
    <w:rPr/>
  </w:style>
  <w:style w:type="character" w:styleId="WW8Num27z6">
    <w:name w:val="WW8Num27z6"/>
    <w:qFormat/>
    <w:rPr/>
  </w:style>
  <w:style w:type="character" w:styleId="WW8Num27z5">
    <w:name w:val="WW8Num27z5"/>
    <w:qFormat/>
    <w:rPr/>
  </w:style>
  <w:style w:type="character" w:styleId="WW8Num27z4">
    <w:name w:val="WW8Num27z4"/>
    <w:qFormat/>
    <w:rPr/>
  </w:style>
  <w:style w:type="character" w:styleId="WW8Num27z3">
    <w:name w:val="WW8Num27z3"/>
    <w:qFormat/>
    <w:rPr/>
  </w:style>
  <w:style w:type="character" w:styleId="WW8Num27z2">
    <w:name w:val="WW8Num27z2"/>
    <w:qFormat/>
    <w:rPr/>
  </w:style>
  <w:style w:type="character" w:styleId="WW8Num27z1">
    <w:name w:val="WW8Num27z1"/>
    <w:qFormat/>
    <w:rPr/>
  </w:style>
  <w:style w:type="character" w:styleId="WW8Num27z0">
    <w:name w:val="WW8Num27z0"/>
    <w:qFormat/>
    <w:rPr/>
  </w:style>
  <w:style w:type="character" w:styleId="WW8Num26z2">
    <w:name w:val="WW8Num26z2"/>
    <w:qFormat/>
    <w:rPr>
      <w:rFonts w:ascii="Wingdings" w:hAnsi="Wingdings" w:cs="Wingdings"/>
    </w:rPr>
  </w:style>
  <w:style w:type="character" w:styleId="WW8Num26z1">
    <w:name w:val="WW8Num26z1"/>
    <w:qFormat/>
    <w:rPr>
      <w:rFonts w:ascii="Courier New" w:hAnsi="Courier New" w:cs="Courier New"/>
    </w:rPr>
  </w:style>
  <w:style w:type="character" w:styleId="WW8Num26z0">
    <w:name w:val="WW8Num26z0"/>
    <w:qFormat/>
    <w:rPr>
      <w:rFonts w:ascii="Symbol" w:hAnsi="Symbol" w:cs="Symbol"/>
    </w:rPr>
  </w:style>
  <w:style w:type="character" w:styleId="WW8Num25z8">
    <w:name w:val="WW8Num25z8"/>
    <w:qFormat/>
    <w:rPr/>
  </w:style>
  <w:style w:type="character" w:styleId="WW8Num25z7">
    <w:name w:val="WW8Num25z7"/>
    <w:qFormat/>
    <w:rPr/>
  </w:style>
  <w:style w:type="character" w:styleId="WW8Num25z6">
    <w:name w:val="WW8Num25z6"/>
    <w:qFormat/>
    <w:rPr/>
  </w:style>
  <w:style w:type="character" w:styleId="WW8Num25z5">
    <w:name w:val="WW8Num25z5"/>
    <w:qFormat/>
    <w:rPr/>
  </w:style>
  <w:style w:type="character" w:styleId="WW8Num25z4">
    <w:name w:val="WW8Num25z4"/>
    <w:qFormat/>
    <w:rPr/>
  </w:style>
  <w:style w:type="character" w:styleId="WW8Num25z3">
    <w:name w:val="WW8Num25z3"/>
    <w:qFormat/>
    <w:rPr/>
  </w:style>
  <w:style w:type="character" w:styleId="WW8Num25z2">
    <w:name w:val="WW8Num25z2"/>
    <w:qFormat/>
    <w:rPr/>
  </w:style>
  <w:style w:type="character" w:styleId="WW8Num25z1">
    <w:name w:val="WW8Num25z1"/>
    <w:qFormat/>
    <w:rPr/>
  </w:style>
  <w:style w:type="character" w:styleId="WW8Num25z0">
    <w:name w:val="WW8Num25z0"/>
    <w:qFormat/>
    <w:rPr/>
  </w:style>
  <w:style w:type="character" w:styleId="WW8Num24z8">
    <w:name w:val="WW8Num24z8"/>
    <w:qFormat/>
    <w:rPr/>
  </w:style>
  <w:style w:type="character" w:styleId="WW8Num24z7">
    <w:name w:val="WW8Num24z7"/>
    <w:qFormat/>
    <w:rPr/>
  </w:style>
  <w:style w:type="character" w:styleId="WW8Num24z6">
    <w:name w:val="WW8Num24z6"/>
    <w:qFormat/>
    <w:rPr/>
  </w:style>
  <w:style w:type="character" w:styleId="WW8Num24z5">
    <w:name w:val="WW8Num24z5"/>
    <w:qFormat/>
    <w:rPr/>
  </w:style>
  <w:style w:type="character" w:styleId="WW8Num24z4">
    <w:name w:val="WW8Num24z4"/>
    <w:qFormat/>
    <w:rPr/>
  </w:style>
  <w:style w:type="character" w:styleId="WW8Num24z3">
    <w:name w:val="WW8Num24z3"/>
    <w:qFormat/>
    <w:rPr/>
  </w:style>
  <w:style w:type="character" w:styleId="WW8Num24z2">
    <w:name w:val="WW8Num24z2"/>
    <w:qFormat/>
    <w:rPr/>
  </w:style>
  <w:style w:type="character" w:styleId="WW8Num24z1">
    <w:name w:val="WW8Num24z1"/>
    <w:qFormat/>
    <w:rPr/>
  </w:style>
  <w:style w:type="character" w:styleId="WW8Num24z0">
    <w:name w:val="WW8Num24z0"/>
    <w:qFormat/>
    <w:rPr/>
  </w:style>
  <w:style w:type="character" w:styleId="WW8Num23z0">
    <w:name w:val="WW8Num23z0"/>
    <w:qFormat/>
    <w:rPr/>
  </w:style>
  <w:style w:type="character" w:styleId="WW8Num22z2">
    <w:name w:val="WW8Num22z2"/>
    <w:qFormat/>
    <w:rPr>
      <w:rFonts w:ascii="Wingdings" w:hAnsi="Wingdings" w:cs="Wingdings"/>
    </w:rPr>
  </w:style>
  <w:style w:type="character" w:styleId="WW8Num22z1">
    <w:name w:val="WW8Num22z1"/>
    <w:qFormat/>
    <w:rPr>
      <w:rFonts w:ascii="Courier New" w:hAnsi="Courier New" w:cs="Courier New"/>
    </w:rPr>
  </w:style>
  <w:style w:type="character" w:styleId="WW8Num22z0">
    <w:name w:val="WW8Num22z0"/>
    <w:qFormat/>
    <w:rPr>
      <w:rFonts w:ascii="Symbol" w:hAnsi="Symbol" w:cs="Symbol"/>
    </w:rPr>
  </w:style>
  <w:style w:type="character" w:styleId="WW8Num21z0">
    <w:name w:val="WW8Num21z0"/>
    <w:qFormat/>
    <w:rPr>
      <w:rFonts w:ascii="Arial Unicode MS" w:hAnsi="Arial Unicode MS" w:cs="Arial Unicode MS"/>
    </w:rPr>
  </w:style>
  <w:style w:type="character" w:styleId="WW8Num20z2">
    <w:name w:val="WW8Num20z2"/>
    <w:qFormat/>
    <w:rPr>
      <w:rFonts w:ascii="Wingdings" w:hAnsi="Wingdings" w:cs="Wingdings"/>
    </w:rPr>
  </w:style>
  <w:style w:type="character" w:styleId="WW8Num20z1">
    <w:name w:val="WW8Num20z1"/>
    <w:qFormat/>
    <w:rPr>
      <w:rFonts w:ascii="Courier New" w:hAnsi="Courier New" w:cs="Courier New"/>
    </w:rPr>
  </w:style>
  <w:style w:type="character" w:styleId="WW8Num20z0">
    <w:name w:val="WW8Num20z0"/>
    <w:qFormat/>
    <w:rPr>
      <w:rFonts w:ascii="Symbol" w:hAnsi="Symbol" w:cs="Symbol"/>
    </w:rPr>
  </w:style>
  <w:style w:type="character" w:styleId="WW8Num19z8">
    <w:name w:val="WW8Num19z8"/>
    <w:qFormat/>
    <w:rPr/>
  </w:style>
  <w:style w:type="character" w:styleId="WW8Num19z7">
    <w:name w:val="WW8Num19z7"/>
    <w:qFormat/>
    <w:rPr/>
  </w:style>
  <w:style w:type="character" w:styleId="WW8Num19z6">
    <w:name w:val="WW8Num19z6"/>
    <w:qFormat/>
    <w:rPr/>
  </w:style>
  <w:style w:type="character" w:styleId="WW8Num19z5">
    <w:name w:val="WW8Num19z5"/>
    <w:qFormat/>
    <w:rPr/>
  </w:style>
  <w:style w:type="character" w:styleId="WW8Num19z4">
    <w:name w:val="WW8Num19z4"/>
    <w:qFormat/>
    <w:rPr/>
  </w:style>
  <w:style w:type="character" w:styleId="WW8Num19z3">
    <w:name w:val="WW8Num19z3"/>
    <w:qFormat/>
    <w:rPr/>
  </w:style>
  <w:style w:type="character" w:styleId="WW8Num19z2">
    <w:name w:val="WW8Num19z2"/>
    <w:qFormat/>
    <w:rPr/>
  </w:style>
  <w:style w:type="character" w:styleId="WW8Num19z1">
    <w:name w:val="WW8Num19z1"/>
    <w:qFormat/>
    <w:rPr/>
  </w:style>
  <w:style w:type="character" w:styleId="WW8Num19z0">
    <w:name w:val="WW8Num19z0"/>
    <w:qFormat/>
    <w:rPr/>
  </w:style>
  <w:style w:type="character" w:styleId="WW8Num18z8">
    <w:name w:val="WW8Num18z8"/>
    <w:qFormat/>
    <w:rPr/>
  </w:style>
  <w:style w:type="character" w:styleId="WW8Num18z7">
    <w:name w:val="WW8Num18z7"/>
    <w:qFormat/>
    <w:rPr/>
  </w:style>
  <w:style w:type="character" w:styleId="WW8Num18z6">
    <w:name w:val="WW8Num18z6"/>
    <w:qFormat/>
    <w:rPr/>
  </w:style>
  <w:style w:type="character" w:styleId="WW8Num18z5">
    <w:name w:val="WW8Num18z5"/>
    <w:qFormat/>
    <w:rPr/>
  </w:style>
  <w:style w:type="character" w:styleId="WW8Num18z4">
    <w:name w:val="WW8Num18z4"/>
    <w:qFormat/>
    <w:rPr/>
  </w:style>
  <w:style w:type="character" w:styleId="WW8Num18z3">
    <w:name w:val="WW8Num18z3"/>
    <w:qFormat/>
    <w:rPr/>
  </w:style>
  <w:style w:type="character" w:styleId="WW8Num18z2">
    <w:name w:val="WW8Num18z2"/>
    <w:qFormat/>
    <w:rPr/>
  </w:style>
  <w:style w:type="character" w:styleId="WW8Num18z1">
    <w:name w:val="WW8Num18z1"/>
    <w:qFormat/>
    <w:rPr/>
  </w:style>
  <w:style w:type="character" w:styleId="WW8Num18z0">
    <w:name w:val="WW8Num18z0"/>
    <w:qFormat/>
    <w:rPr/>
  </w:style>
  <w:style w:type="character" w:styleId="WW8Num17z8">
    <w:name w:val="WW8Num17z8"/>
    <w:qFormat/>
    <w:rPr/>
  </w:style>
  <w:style w:type="character" w:styleId="WW8Num17z7">
    <w:name w:val="WW8Num17z7"/>
    <w:qFormat/>
    <w:rPr/>
  </w:style>
  <w:style w:type="character" w:styleId="WW8Num17z6">
    <w:name w:val="WW8Num17z6"/>
    <w:qFormat/>
    <w:rPr/>
  </w:style>
  <w:style w:type="character" w:styleId="WW8Num17z5">
    <w:name w:val="WW8Num17z5"/>
    <w:qFormat/>
    <w:rPr/>
  </w:style>
  <w:style w:type="character" w:styleId="WW8Num17z4">
    <w:name w:val="WW8Num17z4"/>
    <w:qFormat/>
    <w:rPr/>
  </w:style>
  <w:style w:type="character" w:styleId="WW8Num17z3">
    <w:name w:val="WW8Num17z3"/>
    <w:qFormat/>
    <w:rPr/>
  </w:style>
  <w:style w:type="character" w:styleId="WW8Num17z2">
    <w:name w:val="WW8Num17z2"/>
    <w:qFormat/>
    <w:rPr/>
  </w:style>
  <w:style w:type="character" w:styleId="WW8Num17z1">
    <w:name w:val="WW8Num17z1"/>
    <w:qFormat/>
    <w:rPr/>
  </w:style>
  <w:style w:type="character" w:styleId="WW8Num17z0">
    <w:name w:val="WW8Num17z0"/>
    <w:qFormat/>
    <w:rPr/>
  </w:style>
  <w:style w:type="character" w:styleId="WW8Num16z8">
    <w:name w:val="WW8Num16z8"/>
    <w:qFormat/>
    <w:rPr/>
  </w:style>
  <w:style w:type="character" w:styleId="WW8Num16z7">
    <w:name w:val="WW8Num16z7"/>
    <w:qFormat/>
    <w:rPr/>
  </w:style>
  <w:style w:type="character" w:styleId="WW8Num16z6">
    <w:name w:val="WW8Num16z6"/>
    <w:qFormat/>
    <w:rPr/>
  </w:style>
  <w:style w:type="character" w:styleId="WW8Num16z5">
    <w:name w:val="WW8Num16z5"/>
    <w:qFormat/>
    <w:rPr/>
  </w:style>
  <w:style w:type="character" w:styleId="WW8Num16z4">
    <w:name w:val="WW8Num16z4"/>
    <w:qFormat/>
    <w:rPr/>
  </w:style>
  <w:style w:type="character" w:styleId="WW8Num16z3">
    <w:name w:val="WW8Num16z3"/>
    <w:qFormat/>
    <w:rPr/>
  </w:style>
  <w:style w:type="character" w:styleId="WW8Num16z2">
    <w:name w:val="WW8Num16z2"/>
    <w:qFormat/>
    <w:rPr/>
  </w:style>
  <w:style w:type="character" w:styleId="WW8Num16z1">
    <w:name w:val="WW8Num16z1"/>
    <w:qFormat/>
    <w:rPr/>
  </w:style>
  <w:style w:type="character" w:styleId="WW8Num16z0">
    <w:name w:val="WW8Num16z0"/>
    <w:qFormat/>
    <w:rPr/>
  </w:style>
  <w:style w:type="character" w:styleId="WW8Num15z0">
    <w:name w:val="WW8Num15z0"/>
    <w:qFormat/>
    <w:rPr/>
  </w:style>
  <w:style w:type="character" w:styleId="WW8Num14z8">
    <w:name w:val="WW8Num14z8"/>
    <w:qFormat/>
    <w:rPr/>
  </w:style>
  <w:style w:type="character" w:styleId="WW8Num14z7">
    <w:name w:val="WW8Num14z7"/>
    <w:qFormat/>
    <w:rPr/>
  </w:style>
  <w:style w:type="character" w:styleId="WW8Num14z6">
    <w:name w:val="WW8Num14z6"/>
    <w:qFormat/>
    <w:rPr/>
  </w:style>
  <w:style w:type="character" w:styleId="WW8Num14z5">
    <w:name w:val="WW8Num14z5"/>
    <w:qFormat/>
    <w:rPr/>
  </w:style>
  <w:style w:type="character" w:styleId="WW8Num14z4">
    <w:name w:val="WW8Num14z4"/>
    <w:qFormat/>
    <w:rPr/>
  </w:style>
  <w:style w:type="character" w:styleId="WW8Num14z3">
    <w:name w:val="WW8Num14z3"/>
    <w:qFormat/>
    <w:rPr/>
  </w:style>
  <w:style w:type="character" w:styleId="WW8Num14z2">
    <w:name w:val="WW8Num14z2"/>
    <w:qFormat/>
    <w:rPr/>
  </w:style>
  <w:style w:type="character" w:styleId="WW8Num14z1">
    <w:name w:val="WW8Num14z1"/>
    <w:qFormat/>
    <w:rPr/>
  </w:style>
  <w:style w:type="character" w:styleId="WW8Num14z0">
    <w:name w:val="WW8Num14z0"/>
    <w:qFormat/>
    <w:rPr/>
  </w:style>
  <w:style w:type="character" w:styleId="WW8Num13z2">
    <w:name w:val="WW8Num13z2"/>
    <w:qFormat/>
    <w:rPr>
      <w:rFonts w:ascii="Wingdings" w:hAnsi="Wingdings" w:cs="Wingdings"/>
    </w:rPr>
  </w:style>
  <w:style w:type="character" w:styleId="WW8Num13z1">
    <w:name w:val="WW8Num13z1"/>
    <w:qFormat/>
    <w:rPr>
      <w:rFonts w:ascii="Courier New" w:hAnsi="Courier New" w:cs="Courier New"/>
    </w:rPr>
  </w:style>
  <w:style w:type="character" w:styleId="WW8Num13z0">
    <w:name w:val="WW8Num13z0"/>
    <w:qFormat/>
    <w:rPr>
      <w:rFonts w:ascii="Symbol" w:hAnsi="Symbol" w:cs="Symbol"/>
    </w:rPr>
  </w:style>
  <w:style w:type="character" w:styleId="WW8Num12z8">
    <w:name w:val="WW8Num12z8"/>
    <w:qFormat/>
    <w:rPr/>
  </w:style>
  <w:style w:type="character" w:styleId="WW8Num12z7">
    <w:name w:val="WW8Num12z7"/>
    <w:qFormat/>
    <w:rPr/>
  </w:style>
  <w:style w:type="character" w:styleId="WW8Num12z6">
    <w:name w:val="WW8Num12z6"/>
    <w:qFormat/>
    <w:rPr/>
  </w:style>
  <w:style w:type="character" w:styleId="WW8Num12z5">
    <w:name w:val="WW8Num12z5"/>
    <w:qFormat/>
    <w:rPr/>
  </w:style>
  <w:style w:type="character" w:styleId="WW8Num12z4">
    <w:name w:val="WW8Num12z4"/>
    <w:qFormat/>
    <w:rPr/>
  </w:style>
  <w:style w:type="character" w:styleId="WW8Num12z3">
    <w:name w:val="WW8Num12z3"/>
    <w:qFormat/>
    <w:rPr/>
  </w:style>
  <w:style w:type="character" w:styleId="WW8Num12z2">
    <w:name w:val="WW8Num12z2"/>
    <w:qFormat/>
    <w:rPr/>
  </w:style>
  <w:style w:type="character" w:styleId="WW8Num12z1">
    <w:name w:val="WW8Num12z1"/>
    <w:qFormat/>
    <w:rPr/>
  </w:style>
  <w:style w:type="character" w:styleId="WW8Num12z0">
    <w:name w:val="WW8Num12z0"/>
    <w:qFormat/>
    <w:rPr/>
  </w:style>
  <w:style w:type="character" w:styleId="WW8Num11z2">
    <w:name w:val="WW8Num11z2"/>
    <w:qFormat/>
    <w:rPr>
      <w:rFonts w:ascii="Wingdings" w:hAnsi="Wingdings" w:cs="Wingdings"/>
    </w:rPr>
  </w:style>
  <w:style w:type="character" w:styleId="WW8Num11z1">
    <w:name w:val="WW8Num11z1"/>
    <w:qFormat/>
    <w:rPr>
      <w:rFonts w:ascii="Courier New" w:hAnsi="Courier New" w:cs="Courier New"/>
    </w:rPr>
  </w:style>
  <w:style w:type="character" w:styleId="WW8Num11z0">
    <w:name w:val="WW8Num11z0"/>
    <w:qFormat/>
    <w:rPr>
      <w:rFonts w:ascii="Symbol" w:hAnsi="Symbol" w:cs="Symbol"/>
    </w:rPr>
  </w:style>
  <w:style w:type="character" w:styleId="WW8Num10z0">
    <w:name w:val="WW8Num10z0"/>
    <w:qFormat/>
    <w:rPr/>
  </w:style>
  <w:style w:type="character" w:styleId="WW8Num9z8">
    <w:name w:val="WW8Num9z8"/>
    <w:qFormat/>
    <w:rPr/>
  </w:style>
  <w:style w:type="character" w:styleId="WW8Num9z7">
    <w:name w:val="WW8Num9z7"/>
    <w:qFormat/>
    <w:rPr/>
  </w:style>
  <w:style w:type="character" w:styleId="WW8Num9z6">
    <w:name w:val="WW8Num9z6"/>
    <w:qFormat/>
    <w:rPr/>
  </w:style>
  <w:style w:type="character" w:styleId="WW8Num9z5">
    <w:name w:val="WW8Num9z5"/>
    <w:qFormat/>
    <w:rPr/>
  </w:style>
  <w:style w:type="character" w:styleId="WW8Num9z4">
    <w:name w:val="WW8Num9z4"/>
    <w:qFormat/>
    <w:rPr/>
  </w:style>
  <w:style w:type="character" w:styleId="WW8Num9z3">
    <w:name w:val="WW8Num9z3"/>
    <w:qFormat/>
    <w:rPr/>
  </w:style>
  <w:style w:type="character" w:styleId="WW8Num9z2">
    <w:name w:val="WW8Num9z2"/>
    <w:qFormat/>
    <w:rPr/>
  </w:style>
  <w:style w:type="character" w:styleId="WW8Num9z1">
    <w:name w:val="WW8Num9z1"/>
    <w:qFormat/>
    <w:rPr/>
  </w:style>
  <w:style w:type="character" w:styleId="WW8Num9z0">
    <w:name w:val="WW8Num9z0"/>
    <w:qFormat/>
    <w:rPr/>
  </w:style>
  <w:style w:type="character" w:styleId="WW8Num8z3">
    <w:name w:val="WW8Num8z3"/>
    <w:qFormat/>
    <w:rPr>
      <w:rFonts w:ascii="Symbol" w:hAnsi="Symbol" w:cs="Symbol"/>
    </w:rPr>
  </w:style>
  <w:style w:type="character" w:styleId="WW8Num8z1">
    <w:name w:val="WW8Num8z1"/>
    <w:qFormat/>
    <w:rPr>
      <w:rFonts w:ascii="Courier New" w:hAnsi="Courier New" w:cs="Courier New"/>
    </w:rPr>
  </w:style>
  <w:style w:type="character" w:styleId="WW8Num8z0">
    <w:name w:val="WW8Num8z0"/>
    <w:qFormat/>
    <w:rPr>
      <w:rFonts w:ascii="Wingdings" w:hAnsi="Wingdings" w:cs="Wingdings"/>
    </w:rPr>
  </w:style>
  <w:style w:type="character" w:styleId="WW8Num7z0">
    <w:name w:val="WW8Num7z0"/>
    <w:qFormat/>
    <w:rPr/>
  </w:style>
  <w:style w:type="character" w:styleId="WW8Num6z2">
    <w:name w:val="WW8Num6z2"/>
    <w:qFormat/>
    <w:rPr>
      <w:rFonts w:ascii="Wingdings" w:hAnsi="Wingdings" w:cs="Wingdings"/>
    </w:rPr>
  </w:style>
  <w:style w:type="character" w:styleId="WW8Num6z1">
    <w:name w:val="WW8Num6z1"/>
    <w:qFormat/>
    <w:rPr>
      <w:rFonts w:ascii="Courier New" w:hAnsi="Courier New" w:cs="Courier New"/>
    </w:rPr>
  </w:style>
  <w:style w:type="character" w:styleId="WW8Num6z0">
    <w:name w:val="WW8Num6z0"/>
    <w:qFormat/>
    <w:rPr>
      <w:rFonts w:ascii="Symbol" w:hAnsi="Symbol" w:cs="Symbol"/>
    </w:rPr>
  </w:style>
  <w:style w:type="character" w:styleId="WW8Num5z2">
    <w:name w:val="WW8Num5z2"/>
    <w:qFormat/>
    <w:rPr>
      <w:rFonts w:ascii="Wingdings" w:hAnsi="Wingdings" w:cs="Wingdings"/>
    </w:rPr>
  </w:style>
  <w:style w:type="character" w:styleId="WW8Num5z1">
    <w:name w:val="WW8Num5z1"/>
    <w:qFormat/>
    <w:rPr>
      <w:rFonts w:ascii="Courier New" w:hAnsi="Courier New" w:cs="Courier New"/>
    </w:rPr>
  </w:style>
  <w:style w:type="character" w:styleId="WW8Num5z0">
    <w:name w:val="WW8Num5z0"/>
    <w:qFormat/>
    <w:rPr>
      <w:rFonts w:ascii="Symbol" w:hAnsi="Symbol" w:cs="Symbol"/>
    </w:rPr>
  </w:style>
  <w:style w:type="character" w:styleId="WW8Num4z2">
    <w:name w:val="WW8Num4z2"/>
    <w:qFormat/>
    <w:rPr>
      <w:rFonts w:ascii="Wingdings" w:hAnsi="Wingdings" w:cs="Wingdings"/>
    </w:rPr>
  </w:style>
  <w:style w:type="character" w:styleId="WW8Num4z1">
    <w:name w:val="WW8Num4z1"/>
    <w:qFormat/>
    <w:rPr>
      <w:rFonts w:ascii="Courier New" w:hAnsi="Courier New" w:cs="Courier New"/>
    </w:rPr>
  </w:style>
  <w:style w:type="character" w:styleId="WW8Num4z0">
    <w:name w:val="WW8Num4z0"/>
    <w:qFormat/>
    <w:rPr>
      <w:rFonts w:ascii="Symbol" w:hAnsi="Symbol" w:cs="Symbol"/>
    </w:rPr>
  </w:style>
  <w:style w:type="character" w:styleId="WW8Num3z4">
    <w:name w:val="WW8Num3z4"/>
    <w:qFormat/>
    <w:rPr>
      <w:rFonts w:ascii="Courier New" w:hAnsi="Courier New" w:cs="Courier New"/>
    </w:rPr>
  </w:style>
  <w:style w:type="character" w:styleId="WW8Num3z1">
    <w:name w:val="WW8Num3z1"/>
    <w:qFormat/>
    <w:rPr>
      <w:rFonts w:ascii="Wingdings" w:hAnsi="Wingdings" w:cs="Wingdings"/>
    </w:rPr>
  </w:style>
  <w:style w:type="character" w:styleId="WW8Num3z0">
    <w:name w:val="WW8Num3z0"/>
    <w:qFormat/>
    <w:rPr>
      <w:rFonts w:ascii="Symbol" w:hAnsi="Symbol" w:cs="Symbol"/>
    </w:rPr>
  </w:style>
  <w:style w:type="character" w:styleId="WW8Num2z2">
    <w:name w:val="WW8Num2z2"/>
    <w:qFormat/>
    <w:rPr>
      <w:sz w:val="22"/>
      <w:szCs w:val="22"/>
    </w:rPr>
  </w:style>
  <w:style w:type="character" w:styleId="WW8Num2z0">
    <w:name w:val="WW8Num2z0"/>
    <w:qFormat/>
    <w:rPr/>
  </w:style>
  <w:style w:type="character" w:styleId="WW8Num1z8">
    <w:name w:val="WW8Num1z8"/>
    <w:qFormat/>
    <w:rPr/>
  </w:style>
  <w:style w:type="character" w:styleId="WW8Num1z7">
    <w:name w:val="WW8Num1z7"/>
    <w:qFormat/>
    <w:rPr/>
  </w:style>
  <w:style w:type="character" w:styleId="WW8Num1z6">
    <w:name w:val="WW8Num1z6"/>
    <w:qFormat/>
    <w:rPr/>
  </w:style>
  <w:style w:type="character" w:styleId="WW8Num1z5">
    <w:name w:val="WW8Num1z5"/>
    <w:qFormat/>
    <w:rPr/>
  </w:style>
  <w:style w:type="character" w:styleId="WW8Num1z4">
    <w:name w:val="WW8Num1z4"/>
    <w:qFormat/>
    <w:rPr/>
  </w:style>
  <w:style w:type="character" w:styleId="WW8Num1z3">
    <w:name w:val="WW8Num1z3"/>
    <w:qFormat/>
    <w:rPr/>
  </w:style>
  <w:style w:type="character" w:styleId="WW8Num1z2">
    <w:name w:val="WW8Num1z2"/>
    <w:qFormat/>
    <w:rPr/>
  </w:style>
  <w:style w:type="character" w:styleId="WW8Num1z1">
    <w:name w:val="WW8Num1z1"/>
    <w:qFormat/>
    <w:rPr/>
  </w:style>
  <w:style w:type="character" w:styleId="WW8Num1z0">
    <w:name w:val="WW8Num1z0"/>
    <w:qFormat/>
    <w:rPr/>
  </w:style>
  <w:style w:type="character" w:styleId="UnresolvedMention">
    <w:name w:val="Unresolved Mention"/>
    <w:qFormat/>
    <w:rPr>
      <w:color w:val="605E5C"/>
      <w:shd w:fill="E1DFDD" w:val="clear"/>
    </w:rPr>
  </w:style>
  <w:style w:type="character" w:styleId="MapadoDocumentoChar">
    <w:name w:val="Mapa do Documento Char"/>
    <w:qFormat/>
    <w:rPr>
      <w:rFonts w:eastAsia="Times New Roman" w:cs="Times New Roman"/>
      <w:sz w:val="16"/>
      <w:szCs w:val="16"/>
      <w:lang w:val="x-none" w:eastAsia="x-none"/>
    </w:rPr>
  </w:style>
  <w:style w:type="character" w:styleId="st">
    <w:name w:val="st"/>
    <w:qFormat/>
    <w:rPr/>
  </w:style>
  <w:style w:type="character" w:styleId="hlon3">
    <w:name w:val="hlon3"/>
    <w:qFormat/>
    <w:rPr>
      <w:shd w:fill="DDE7C8" w:val="clear"/>
    </w:rPr>
  </w:style>
  <w:style w:type="character" w:styleId="Fontepargpadro1">
    <w:name w:val="Fonte parág. padrão1"/>
    <w:qFormat/>
    <w:rPr/>
  </w:style>
  <w:style w:type="character" w:styleId="WW-Absatz-Standardschriftart1111">
    <w:name w:val="WW-Absatz-Standardschriftart1111"/>
    <w:qFormat/>
    <w:rPr/>
  </w:style>
  <w:style w:type="character" w:styleId="WW-Absatz-Standardschriftart111">
    <w:name w:val="WW-Absatz-Standardschriftart111"/>
    <w:qFormat/>
    <w:rPr/>
  </w:style>
  <w:style w:type="character" w:styleId="WW-Absatz-Standardschriftart11">
    <w:name w:val="WW-Absatz-Standardschriftart11"/>
    <w:qFormat/>
    <w:rPr/>
  </w:style>
  <w:style w:type="character" w:styleId="Fontepargpadro2">
    <w:name w:val="Fonte parág. padrão2"/>
    <w:qFormat/>
    <w:rPr/>
  </w:style>
  <w:style w:type="character" w:styleId="WW-Absatz-Standardschriftart1">
    <w:name w:val="WW-Absatz-Standardschriftart1"/>
    <w:qFormat/>
    <w:rPr/>
  </w:style>
  <w:style w:type="character" w:styleId="WW-Absatz-Standardschriftart">
    <w:name w:val="WW-Absatz-Standardschriftart"/>
    <w:qFormat/>
    <w:rPr/>
  </w:style>
  <w:style w:type="character" w:styleId="Absatz-Standardschriftart">
    <w:name w:val="Absatz-Standardschriftart"/>
    <w:qFormat/>
    <w:rPr/>
  </w:style>
  <w:style w:type="character" w:styleId="Corpodetexto2Char1">
    <w:name w:val="Corpo de texto 2 Char1"/>
    <w:qFormat/>
    <w:rPr>
      <w:rFonts w:ascii="Times New Roman" w:hAnsi="Times New Roman" w:eastAsia="Times New Roman" w:cs="Times New Roman"/>
      <w:color w:val="000000"/>
      <w:sz w:val="24"/>
      <w:szCs w:val="24"/>
    </w:rPr>
  </w:style>
  <w:style w:type="character" w:styleId="Corpodetexto2Char">
    <w:name w:val="Corpo de texto 2 Char"/>
    <w:qFormat/>
    <w:rPr>
      <w:bCs/>
      <w:sz w:val="24"/>
    </w:rPr>
  </w:style>
  <w:style w:type="character" w:styleId="Pr-formataoHTMLChar1">
    <w:name w:val="Pré-formatação HTML Char1"/>
    <w:qFormat/>
    <w:rPr>
      <w:rFonts w:ascii="Consolas" w:hAnsi="Consolas"/>
      <w:sz w:val="20"/>
      <w:szCs w:val="20"/>
    </w:rPr>
  </w:style>
  <w:style w:type="character" w:styleId="Pr-formataoHTMLChar">
    <w:name w:val="Pré-formatação HTML Char"/>
    <w:qFormat/>
    <w:rPr>
      <w:rFonts w:ascii="Courier New" w:hAnsi="Courier New"/>
      <w:color w:val="29387B"/>
      <w:sz w:val="18"/>
      <w:szCs w:val="18"/>
    </w:rPr>
  </w:style>
  <w:style w:type="character" w:styleId="Ttulo8Char">
    <w:name w:val="Título 8 Char"/>
    <w:qFormat/>
    <w:rPr>
      <w:rFonts w:ascii="Arial" w:hAnsi="Arial" w:eastAsia="Times New Roman" w:cs="Times New Roman"/>
      <w:color w:val="000000"/>
      <w:sz w:val="28"/>
      <w:szCs w:val="20"/>
      <w:lang w:val="x-none" w:eastAsia="ar-SA"/>
    </w:rPr>
  </w:style>
  <w:style w:type="character" w:styleId="mainwindow1">
    <w:name w:val="mainwindow1"/>
    <w:qFormat/>
    <w:rPr>
      <w:rFonts w:ascii="Times New Roman" w:hAnsi="Times New Roman" w:eastAsia="Times New Roman" w:cs="Times New Roman"/>
      <w:color w:val="000000"/>
      <w:sz w:val="24"/>
      <w:szCs w:val="24"/>
    </w:rPr>
  </w:style>
  <w:style w:type="character" w:styleId="AssuntodocomentrioChar">
    <w:name w:val="Assunto do comentário Char"/>
    <w:qFormat/>
    <w:rPr>
      <w:rFonts w:ascii="Times New Roman" w:hAnsi="Times New Roman" w:eastAsia="Times New Roman" w:cs="Times New Roman"/>
      <w:b/>
      <w:bCs/>
      <w:sz w:val="20"/>
      <w:szCs w:val="20"/>
      <w:lang w:eastAsia="pt-BR"/>
    </w:rPr>
  </w:style>
  <w:style w:type="character" w:styleId="TextodecomentrioChar">
    <w:name w:val="Texto de comentário Char"/>
    <w:qFormat/>
    <w:rPr>
      <w:rFonts w:ascii="Times New Roman" w:hAnsi="Times New Roman" w:eastAsia="Times New Roman" w:cs="Times New Roman"/>
      <w:sz w:val="20"/>
      <w:szCs w:val="20"/>
      <w:lang w:eastAsia="pt-BR"/>
    </w:rPr>
  </w:style>
  <w:style w:type="character" w:styleId="CommentReference">
    <w:name w:val="annotation reference"/>
    <w:qFormat/>
    <w:rPr>
      <w:sz w:val="16"/>
      <w:szCs w:val="16"/>
    </w:rPr>
  </w:style>
  <w:style w:type="character" w:styleId="descricao1">
    <w:name w:val="descricao1"/>
    <w:qFormat/>
    <w:rPr>
      <w:color w:val="666666"/>
      <w:sz w:val="15"/>
      <w:szCs w:val="15"/>
    </w:rPr>
  </w:style>
  <w:style w:type="character" w:styleId="PageNumber">
    <w:name w:val="page number"/>
    <w:qFormat/>
    <w:rPr>
      <w:rFonts w:ascii="Times New Roman" w:hAnsi="Times New Roman" w:eastAsia="Times New Roman" w:cs="Times New Roman"/>
      <w:color w:val="000000"/>
      <w:sz w:val="24"/>
      <w:szCs w:val="24"/>
    </w:rPr>
  </w:style>
  <w:style w:type="character" w:styleId="TextosemFormataoChar">
    <w:name w:val="Texto sem Formatação Char"/>
    <w:qFormat/>
    <w:rPr>
      <w:rFonts w:ascii="Courier New" w:hAnsi="Courier New" w:eastAsia="Times New Roman" w:cs="Times New Roman"/>
      <w:sz w:val="20"/>
      <w:szCs w:val="20"/>
      <w:lang w:eastAsia="pt-BR"/>
    </w:rPr>
  </w:style>
  <w:style w:type="character" w:styleId="Recuodecorpodetexto3Char">
    <w:name w:val="Recuo de corpo de texto 3 Char"/>
    <w:qFormat/>
    <w:rPr>
      <w:rFonts w:ascii="Times New Roman" w:hAnsi="Times New Roman" w:eastAsia="Times New Roman" w:cs="Times New Roman"/>
      <w:sz w:val="16"/>
      <w:szCs w:val="16"/>
      <w:lang w:eastAsia="pt-BR"/>
    </w:rPr>
  </w:style>
  <w:style w:type="character" w:styleId="Corpodetexto3Char">
    <w:name w:val="Corpo de texto 3 Char"/>
    <w:qFormat/>
    <w:rPr>
      <w:rFonts w:ascii="Times New Roman" w:hAnsi="Times New Roman" w:eastAsia="Times New Roman" w:cs="Times New Roman"/>
      <w:sz w:val="16"/>
      <w:szCs w:val="16"/>
      <w:lang w:eastAsia="pt-BR"/>
    </w:rPr>
  </w:style>
  <w:style w:type="character" w:styleId="Ttulo9Char">
    <w:name w:val="Título 9 Char"/>
    <w:qFormat/>
    <w:rPr>
      <w:rFonts w:ascii="Arial" w:hAnsi="Arial" w:eastAsia="Times New Roman" w:cs="Arial"/>
      <w:lang w:eastAsia="pt-BR"/>
    </w:rPr>
  </w:style>
  <w:style w:type="character" w:styleId="FollowedHyperlink">
    <w:name w:val="FollowedHyperlink"/>
    <w:rPr>
      <w:color w:val="800080"/>
      <w:u w:val="single"/>
    </w:rPr>
  </w:style>
  <w:style w:type="character" w:styleId="Hyperlink">
    <w:name w:val="Hyperlink"/>
    <w:rPr>
      <w:color w:val="000080"/>
      <w:u w:val="single"/>
    </w:rPr>
  </w:style>
  <w:style w:type="character" w:styleId="pagenumber1">
    <w:name w:val="page number1"/>
    <w:qFormat/>
    <w:rPr>
      <w:rFonts w:ascii="Times New Roman" w:hAnsi="Times New Roman" w:eastAsia="Times New Roman" w:cs="Times New Roman"/>
      <w:color w:val="000000"/>
      <w:sz w:val="24"/>
      <w:szCs w:val="24"/>
    </w:rPr>
  </w:style>
  <w:style w:type="character" w:styleId="Strong1">
    <w:name w:val="Strong1"/>
    <w:basedOn w:val="DefaultParagraphFont"/>
    <w:qFormat/>
    <w:rPr>
      <w:b/>
      <w:bCs/>
    </w:rPr>
  </w:style>
  <w:style w:type="character" w:styleId="Smbolosdenumerao">
    <w:name w:val="Símbolos de numeração"/>
    <w:qFormat/>
    <w:rPr/>
  </w:style>
  <w:style w:type="character" w:styleId="Marcadores">
    <w:name w:val="Marcadores"/>
    <w:qFormat/>
    <w:rPr>
      <w:rFonts w:ascii="OpenSymbol" w:hAnsi="OpenSymbol" w:eastAsia="OpenSymbol" w:cs="OpenSymbol"/>
    </w:rPr>
  </w:style>
  <w:style w:type="paragraph" w:styleId="Ttulo">
    <w:name w:val="Título"/>
    <w:basedOn w:val="Normal"/>
    <w:next w:val="BodyText"/>
    <w:qFormat/>
    <w:pPr>
      <w:keepNext w:val="true"/>
      <w:spacing w:before="240" w:after="120"/>
    </w:pPr>
    <w:rPr>
      <w:rFonts w:ascii="Liberation Sans" w:hAnsi="Liberation Sans" w:eastAsia="Microsoft YaHei" w:cs="Mangal"/>
      <w:sz w:val="28"/>
      <w:szCs w:val="28"/>
    </w:rPr>
  </w:style>
  <w:style w:type="paragraph" w:styleId="BodyText">
    <w:name w:val="Body Text"/>
    <w:basedOn w:val="Normal"/>
    <w:link w:val="CorpodetextoChar"/>
    <w:pPr>
      <w:jc w:val="both"/>
    </w:pPr>
    <w:rPr>
      <w:rFonts w:ascii="Arial" w:hAnsi="Arial" w:cs="Arial"/>
      <w:b/>
      <w:bCs/>
      <w:sz w:val="22"/>
    </w:rPr>
  </w:style>
  <w:style w:type="paragraph" w:styleId="List">
    <w:name w:val="List"/>
    <w:basedOn w:val="BodyText"/>
    <w:pPr/>
    <w:rPr>
      <w:rFonts w:cs="Mangal"/>
    </w:rPr>
  </w:style>
  <w:style w:type="paragraph" w:styleId="Caption">
    <w:name w:val="caption"/>
    <w:basedOn w:val="Normal"/>
    <w:next w:val="Normal"/>
    <w:qFormat/>
    <w:pPr>
      <w:pBdr>
        <w:top w:val="single" w:sz="6" w:space="1" w:color="000000"/>
        <w:left w:val="single" w:sz="6" w:space="1" w:color="000000"/>
        <w:bottom w:val="single" w:sz="6" w:space="1" w:color="000000"/>
        <w:right w:val="single" w:sz="6" w:space="1" w:color="000000"/>
      </w:pBdr>
      <w:spacing w:lineRule="exact" w:line="240" w:before="0" w:after="0"/>
      <w:jc w:val="both"/>
    </w:pPr>
    <w:rPr>
      <w:rFonts w:ascii="Arial" w:hAnsi="Arial" w:eastAsia="Times New Roman" w:cs="Arial"/>
      <w:szCs w:val="20"/>
      <w:lang w:eastAsia="pt-BR"/>
    </w:rPr>
  </w:style>
  <w:style w:type="paragraph" w:styleId="ndice">
    <w:name w:val="Índice"/>
    <w:basedOn w:val="Normal"/>
    <w:qFormat/>
    <w:pPr>
      <w:suppressLineNumbers/>
    </w:pPr>
    <w:rPr>
      <w:rFonts w:cs="Mangal"/>
      <w:lang w:val="zxx" w:eastAsia="zxx" w:bidi="zxx"/>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name w:val="Índice (user)"/>
    <w:basedOn w:val="Normal"/>
    <w:qFormat/>
    <w:pPr>
      <w:suppressLineNumbers/>
    </w:pPr>
    <w:rPr>
      <w:rFonts w:cs="Lucida Sans"/>
    </w:rPr>
  </w:style>
  <w:style w:type="paragraph" w:styleId="Title">
    <w:name w:val="Title"/>
    <w:basedOn w:val="Normal"/>
    <w:link w:val="TtuloChar"/>
    <w:qFormat/>
    <w:pPr>
      <w:jc w:val="center"/>
    </w:pPr>
    <w:rPr>
      <w:rFonts w:ascii="Garamond" w:hAnsi="Garamond"/>
      <w:b/>
      <w:bCs/>
      <w:spacing w:val="60"/>
      <w:w w:val="150"/>
      <w:sz w:val="36"/>
    </w:rPr>
  </w:style>
  <w:style w:type="paragraph" w:styleId="Cabealhoerodap">
    <w:name w:val="Cabeçalho e rodapé"/>
    <w:basedOn w:val="Normal"/>
    <w:qFormat/>
    <w:pPr/>
    <w:rPr/>
  </w:style>
  <w:style w:type="paragraph" w:styleId="CabealhoeRodap1">
    <w:name w:val="Cabeçalho e Rodapé1"/>
    <w:basedOn w:val="Normal"/>
    <w:qFormat/>
    <w:pPr/>
    <w:rPr/>
  </w:style>
  <w:style w:type="paragraph" w:styleId="Cabealhoerodap11">
    <w:name w:val="Cabeçalho e rodapé11"/>
    <w:basedOn w:val="Normal"/>
    <w:qFormat/>
    <w:pPr/>
    <w:rPr/>
  </w:style>
  <w:style w:type="paragraph" w:styleId="Header">
    <w:name w:val="header"/>
    <w:basedOn w:val="Normal"/>
    <w:link w:val="CabealhoChar"/>
    <w:pPr>
      <w:tabs>
        <w:tab w:val="clear" w:pos="709"/>
        <w:tab w:val="center" w:pos="4419" w:leader="none"/>
        <w:tab w:val="right" w:pos="8838" w:leader="none"/>
      </w:tabs>
    </w:pPr>
    <w:rPr/>
  </w:style>
  <w:style w:type="paragraph" w:styleId="Footer">
    <w:name w:val="footer"/>
    <w:basedOn w:val="Normal"/>
    <w:link w:val="RodapChar"/>
    <w:pPr>
      <w:tabs>
        <w:tab w:val="clear" w:pos="709"/>
        <w:tab w:val="center" w:pos="4419" w:leader="none"/>
        <w:tab w:val="right" w:pos="8838" w:leader="none"/>
      </w:tabs>
    </w:pPr>
    <w:rPr/>
  </w:style>
  <w:style w:type="paragraph" w:styleId="Subtitle">
    <w:name w:val="Subtitle"/>
    <w:basedOn w:val="Normal"/>
    <w:link w:val="SubttuloChar"/>
    <w:qFormat/>
    <w:pPr>
      <w:ind w:hanging="0" w:start="2340" w:end="0"/>
      <w:jc w:val="end"/>
    </w:pPr>
    <w:rPr>
      <w:rFonts w:ascii="Arial" w:hAnsi="Arial" w:cs="Arial"/>
      <w:b/>
      <w:bCs/>
      <w:sz w:val="22"/>
    </w:rPr>
  </w:style>
  <w:style w:type="paragraph" w:styleId="FootnoteText">
    <w:name w:val="footnote text"/>
    <w:basedOn w:val="Normal"/>
    <w:link w:val="TextodenotaderodapChar"/>
    <w:pPr/>
    <w:rPr>
      <w:sz w:val="20"/>
      <w:szCs w:val="20"/>
    </w:rPr>
  </w:style>
  <w:style w:type="paragraph" w:styleId="NormalWeb">
    <w:name w:val="Normal (Web)"/>
    <w:basedOn w:val="Normal"/>
    <w:qFormat/>
    <w:pPr>
      <w:spacing w:before="280" w:after="280"/>
    </w:pPr>
    <w:rPr/>
  </w:style>
  <w:style w:type="paragraph" w:styleId="Recuodecorpodetexto31">
    <w:name w:val="Recuo de corpo de texto 31"/>
    <w:basedOn w:val="Normal"/>
    <w:qFormat/>
    <w:pPr>
      <w:overflowPunct w:val="false"/>
      <w:ind w:firstLine="1678" w:start="0" w:end="0"/>
      <w:jc w:val="both"/>
      <w:textAlignment w:val="baseline"/>
    </w:pPr>
    <w:rPr>
      <w:szCs w:val="20"/>
    </w:rPr>
  </w:style>
  <w:style w:type="paragraph" w:styleId="BalloonText">
    <w:name w:val="Balloon Text"/>
    <w:basedOn w:val="Normal"/>
    <w:link w:val="TextodebaloChar"/>
    <w:qFormat/>
    <w:pPr/>
    <w:rPr>
      <w:rFonts w:ascii="Tahoma" w:hAnsi="Tahoma" w:cs="Tahoma"/>
      <w:sz w:val="16"/>
      <w:szCs w:val="16"/>
    </w:rPr>
  </w:style>
  <w:style w:type="paragraph" w:styleId="artigo">
    <w:name w:val="artigo"/>
    <w:basedOn w:val="Normal"/>
    <w:qFormat/>
    <w:pPr>
      <w:spacing w:before="280" w:after="280"/>
    </w:pPr>
    <w:rPr/>
  </w:style>
  <w:style w:type="paragraph" w:styleId="BodyTextIndented">
    <w:name w:val="Body Text, Indented"/>
    <w:basedOn w:val="Normal"/>
    <w:link w:val="RecuodecorpodetextoChar"/>
    <w:qFormat/>
    <w:pPr>
      <w:spacing w:before="0" w:after="120"/>
      <w:ind w:hanging="0" w:start="283" w:end="0"/>
    </w:pPr>
    <w:rPr>
      <w:rFonts w:ascii="Calibri" w:hAnsi="Calibri"/>
      <w:lang w:eastAsia="en-US" w:bidi="en-US"/>
    </w:rPr>
  </w:style>
  <w:style w:type="paragraph" w:styleId="ListParagraph">
    <w:name w:val="List Paragraph"/>
    <w:basedOn w:val="Normal"/>
    <w:qFormat/>
    <w:pPr>
      <w:spacing w:before="0" w:after="0"/>
      <w:ind w:hanging="0" w:start="720" w:end="0"/>
      <w:contextualSpacing/>
    </w:pPr>
    <w:rPr/>
  </w:style>
  <w:style w:type="paragraph" w:styleId="BodyTextIndent2">
    <w:name w:val="Body Text Indent 2"/>
    <w:basedOn w:val="Normal"/>
    <w:link w:val="Recuodecorpodetexto2Char"/>
    <w:qFormat/>
    <w:pPr>
      <w:spacing w:lineRule="auto" w:line="480" w:before="0" w:after="120"/>
      <w:ind w:hanging="0" w:start="283" w:end="0"/>
    </w:pPr>
    <w:rPr/>
  </w:style>
  <w:style w:type="paragraph" w:styleId="ListBullet">
    <w:name w:val="List Bullet"/>
    <w:basedOn w:val="Normal"/>
    <w:qFormat/>
    <w:pPr>
      <w:numPr>
        <w:ilvl w:val="0"/>
        <w:numId w:val="1"/>
      </w:numPr>
      <w:spacing w:before="0" w:after="0"/>
      <w:contextualSpacing/>
    </w:pPr>
    <w:rPr/>
  </w:style>
  <w:style w:type="paragraph" w:styleId="A260173">
    <w:name w:val="_A260173"/>
    <w:basedOn w:val="Normal"/>
    <w:qFormat/>
    <w:pPr>
      <w:ind w:firstLine="3000" w:start="0" w:end="2400"/>
      <w:jc w:val="both"/>
    </w:pPr>
    <w:rPr>
      <w:sz w:val="20"/>
      <w:szCs w:val="20"/>
    </w:rPr>
  </w:style>
  <w:style w:type="paragraph" w:styleId="Contedodatabela">
    <w:name w:val="Conteúdo da tabela"/>
    <w:basedOn w:val="Normal"/>
    <w:qFormat/>
    <w:pPr>
      <w:suppressLineNumbers/>
      <w:suppressAutoHyphens w:val="true"/>
      <w:spacing w:lineRule="auto" w:line="276"/>
    </w:pPr>
    <w:rPr>
      <w:rFonts w:ascii="Arial" w:hAnsi="Arial" w:eastAsia="Arial" w:cs="Arial"/>
      <w:kern w:val="2"/>
      <w:sz w:val="22"/>
      <w:szCs w:val="22"/>
      <w:lang w:eastAsia="zh-CN" w:bidi="hi-IN"/>
    </w:rPr>
  </w:style>
  <w:style w:type="paragraph" w:styleId="Contedodoquadro">
    <w:name w:val="Conteúdo do quadro"/>
    <w:basedOn w:val="Normal"/>
    <w:qFormat/>
    <w:pPr/>
    <w:rPr/>
  </w:style>
  <w:style w:type="paragraph" w:styleId="Default">
    <w:name w:val="Default"/>
    <w:qFormat/>
    <w:pPr>
      <w:widowControl/>
      <w:suppressAutoHyphens w:val="true"/>
      <w:overflowPunct w:val="true"/>
      <w:bidi w:val="0"/>
      <w:spacing w:before="0" w:after="0"/>
      <w:jc w:val="start"/>
    </w:pPr>
    <w:rPr>
      <w:rFonts w:ascii="Calibri" w:hAnsi="Calibri" w:eastAsia="Times New Roman" w:cs="Calibri"/>
      <w:color w:val="000000"/>
      <w:kern w:val="0"/>
      <w:sz w:val="24"/>
      <w:szCs w:val="24"/>
      <w:lang w:val="pt-BR" w:eastAsia="pt-BR" w:bidi="ar-SA"/>
    </w:rPr>
  </w:style>
  <w:style w:type="paragraph" w:styleId="LO-normal">
    <w:name w:val="LO-normal"/>
    <w:qFormat/>
    <w:pPr>
      <w:widowControl/>
      <w:suppressAutoHyphens w:val="true"/>
      <w:overflowPunct w:val="true"/>
      <w:bidi w:val="0"/>
      <w:spacing w:lineRule="auto" w:line="276" w:before="0" w:after="0"/>
      <w:jc w:val="start"/>
    </w:pPr>
    <w:rPr>
      <w:rFonts w:ascii="Arial" w:hAnsi="Arial" w:eastAsia="Arial" w:cs="Arial"/>
      <w:color w:val="auto"/>
      <w:kern w:val="2"/>
      <w:sz w:val="22"/>
      <w:szCs w:val="22"/>
      <w:lang w:val="en-US" w:eastAsia="zh-CN" w:bidi="hi-IN"/>
    </w:rPr>
  </w:style>
  <w:style w:type="paragraph" w:styleId="xmsonormal">
    <w:name w:val="x_msonormal"/>
    <w:basedOn w:val="Normal"/>
    <w:qFormat/>
    <w:pPr>
      <w:suppressAutoHyphens w:val="false"/>
      <w:spacing w:lineRule="exact" w:line="240" w:before="0" w:after="0"/>
    </w:pPr>
    <w:rPr>
      <w:rFonts w:ascii="Times New Roman" w:hAnsi="Times New Roman" w:cs="Times New Roman"/>
    </w:rPr>
  </w:style>
  <w:style w:type="paragraph" w:styleId="PargrafodaLista">
    <w:name w:val="Parágrafo da Lista"/>
    <w:basedOn w:val="Normal"/>
    <w:qFormat/>
    <w:pPr>
      <w:ind w:hanging="0" w:start="708" w:end="0"/>
    </w:pPr>
    <w:rPr>
      <w:szCs w:val="21"/>
    </w:rPr>
  </w:style>
  <w:style w:type="paragraph" w:styleId="Normalofc">
    <w:name w:val="Normal ofc"/>
    <w:basedOn w:val="Normal"/>
    <w:qFormat/>
    <w:pPr>
      <w:spacing w:lineRule="exact" w:line="360" w:before="0" w:after="0"/>
      <w:jc w:val="both"/>
    </w:pPr>
    <w:rPr>
      <w:rFonts w:ascii="Arial" w:hAnsi="Arial" w:eastAsia="Times New Roman" w:cs="Arial"/>
      <w:color w:val="000000"/>
      <w:szCs w:val="20"/>
      <w:lang w:eastAsia="pt-BR"/>
    </w:rPr>
  </w:style>
  <w:style w:type="paragraph" w:styleId="xl76">
    <w:name w:val="xl76"/>
    <w:basedOn w:val="Normal"/>
    <w:qFormat/>
    <w:pPr>
      <w:pBdr>
        <w:top w:val="single" w:sz="8" w:space="0" w:color="000000"/>
        <w:bottom w:val="single" w:sz="8" w:space="0" w:color="000000"/>
        <w:right w:val="single" w:sz="4" w:space="0" w:color="000000"/>
      </w:pBdr>
      <w:spacing w:lineRule="exact" w:line="240" w:before="280" w:after="280"/>
      <w:jc w:val="center"/>
      <w:textAlignment w:val="center"/>
    </w:pPr>
    <w:rPr>
      <w:rFonts w:ascii="Arial" w:hAnsi="Arial" w:eastAsia="Times New Roman" w:cs="Arial"/>
      <w:b/>
      <w:bCs/>
      <w:lang w:eastAsia="pt-BR"/>
    </w:rPr>
  </w:style>
  <w:style w:type="paragraph" w:styleId="xl75">
    <w:name w:val="xl75"/>
    <w:basedOn w:val="Normal"/>
    <w:qFormat/>
    <w:pPr>
      <w:pBdr>
        <w:top w:val="single" w:sz="8" w:space="0" w:color="000000"/>
        <w:bottom w:val="single" w:sz="8" w:space="0" w:color="000000"/>
      </w:pBdr>
      <w:spacing w:lineRule="exact" w:line="240" w:before="280" w:after="280"/>
      <w:jc w:val="center"/>
      <w:textAlignment w:val="center"/>
    </w:pPr>
    <w:rPr>
      <w:rFonts w:ascii="Arial" w:hAnsi="Arial" w:eastAsia="Times New Roman" w:cs="Arial"/>
      <w:b/>
      <w:bCs/>
      <w:lang w:eastAsia="pt-BR"/>
    </w:rPr>
  </w:style>
  <w:style w:type="paragraph" w:styleId="xl74">
    <w:name w:val="xl74"/>
    <w:basedOn w:val="Normal"/>
    <w:qFormat/>
    <w:pPr>
      <w:pBdr>
        <w:top w:val="single" w:sz="8" w:space="0" w:color="000000"/>
        <w:left w:val="single" w:sz="8" w:space="0" w:color="000000"/>
        <w:bottom w:val="single" w:sz="8" w:space="0" w:color="000000"/>
      </w:pBdr>
      <w:spacing w:lineRule="exact" w:line="240" w:before="280" w:after="280"/>
      <w:jc w:val="center"/>
      <w:textAlignment w:val="center"/>
    </w:pPr>
    <w:rPr>
      <w:rFonts w:ascii="Arial" w:hAnsi="Arial" w:eastAsia="Times New Roman" w:cs="Arial"/>
      <w:b/>
      <w:bCs/>
      <w:lang w:eastAsia="pt-BR"/>
    </w:rPr>
  </w:style>
  <w:style w:type="paragraph" w:styleId="xl73">
    <w:name w:val="xl73"/>
    <w:basedOn w:val="Normal"/>
    <w:qFormat/>
    <w:pPr>
      <w:pBdr>
        <w:top w:val="single" w:sz="4" w:space="0" w:color="000000"/>
        <w:left w:val="single" w:sz="4" w:space="0" w:color="000000"/>
        <w:bottom w:val="single" w:sz="4" w:space="0" w:color="000000"/>
        <w:right w:val="single" w:sz="4" w:space="0" w:color="000000"/>
      </w:pBdr>
      <w:spacing w:lineRule="exact" w:line="240" w:before="280" w:after="280"/>
      <w:jc w:val="center"/>
      <w:textAlignment w:val="center"/>
    </w:pPr>
    <w:rPr>
      <w:rFonts w:ascii="Arial" w:hAnsi="Arial" w:eastAsia="Times New Roman" w:cs="Arial"/>
      <w:sz w:val="20"/>
      <w:szCs w:val="20"/>
      <w:lang w:eastAsia="pt-BR"/>
    </w:rPr>
  </w:style>
  <w:style w:type="paragraph" w:styleId="xl72">
    <w:name w:val="xl72"/>
    <w:basedOn w:val="Normal"/>
    <w:qFormat/>
    <w:pPr>
      <w:pBdr>
        <w:left w:val="single" w:sz="4" w:space="0" w:color="000000"/>
        <w:bottom w:val="single" w:sz="4" w:space="0" w:color="000000"/>
        <w:right w:val="single" w:sz="4" w:space="0" w:color="000000"/>
      </w:pBdr>
      <w:spacing w:lineRule="exact" w:line="240" w:before="280" w:after="280"/>
      <w:jc w:val="center"/>
      <w:textAlignment w:val="center"/>
    </w:pPr>
    <w:rPr>
      <w:rFonts w:ascii="Arial" w:hAnsi="Arial" w:eastAsia="Times New Roman" w:cs="Arial"/>
      <w:sz w:val="20"/>
      <w:szCs w:val="20"/>
      <w:lang w:eastAsia="pt-BR"/>
    </w:rPr>
  </w:style>
  <w:style w:type="paragraph" w:styleId="xl71">
    <w:name w:val="xl71"/>
    <w:basedOn w:val="Normal"/>
    <w:qFormat/>
    <w:pPr>
      <w:pBdr>
        <w:left w:val="single" w:sz="4" w:space="0" w:color="000000"/>
        <w:right w:val="single" w:sz="4" w:space="0" w:color="000000"/>
      </w:pBdr>
      <w:spacing w:lineRule="exact" w:line="240" w:before="280" w:after="280"/>
      <w:jc w:val="center"/>
      <w:textAlignment w:val="center"/>
    </w:pPr>
    <w:rPr>
      <w:rFonts w:ascii="Arial" w:hAnsi="Arial" w:eastAsia="Times New Roman" w:cs="Arial"/>
      <w:sz w:val="20"/>
      <w:szCs w:val="20"/>
      <w:lang w:eastAsia="pt-BR"/>
    </w:rPr>
  </w:style>
  <w:style w:type="paragraph" w:styleId="xl70">
    <w:name w:val="xl70"/>
    <w:basedOn w:val="Normal"/>
    <w:qFormat/>
    <w:pPr>
      <w:pBdr>
        <w:top w:val="single" w:sz="4" w:space="0" w:color="000000"/>
        <w:left w:val="single" w:sz="4" w:space="0" w:color="000000"/>
        <w:right w:val="single" w:sz="4" w:space="0" w:color="000000"/>
      </w:pBdr>
      <w:spacing w:lineRule="exact" w:line="240" w:before="280" w:after="280"/>
      <w:jc w:val="center"/>
      <w:textAlignment w:val="center"/>
    </w:pPr>
    <w:rPr>
      <w:rFonts w:ascii="Arial" w:hAnsi="Arial" w:eastAsia="Times New Roman" w:cs="Arial"/>
      <w:sz w:val="20"/>
      <w:szCs w:val="20"/>
      <w:lang w:eastAsia="pt-BR"/>
    </w:rPr>
  </w:style>
  <w:style w:type="paragraph" w:styleId="xl69">
    <w:name w:val="xl69"/>
    <w:basedOn w:val="Normal"/>
    <w:qFormat/>
    <w:pPr>
      <w:pBdr>
        <w:top w:val="single" w:sz="4" w:space="0" w:color="000000"/>
        <w:left w:val="single" w:sz="4" w:space="0" w:color="000000"/>
        <w:bottom w:val="single" w:sz="4" w:space="0" w:color="000000"/>
        <w:right w:val="single" w:sz="4" w:space="0" w:color="000000"/>
      </w:pBdr>
      <w:spacing w:lineRule="exact" w:line="240" w:before="280" w:after="280"/>
      <w:jc w:val="center"/>
      <w:textAlignment w:val="center"/>
    </w:pPr>
    <w:rPr>
      <w:rFonts w:ascii="Arial" w:hAnsi="Arial" w:eastAsia="Times New Roman" w:cs="Arial"/>
      <w:sz w:val="20"/>
      <w:szCs w:val="20"/>
      <w:lang w:eastAsia="pt-BR"/>
    </w:rPr>
  </w:style>
  <w:style w:type="paragraph" w:styleId="xl68">
    <w:name w:val="xl68"/>
    <w:basedOn w:val="Normal"/>
    <w:qFormat/>
    <w:pPr>
      <w:pBdr>
        <w:left w:val="single" w:sz="4" w:space="0" w:color="000000"/>
        <w:bottom w:val="single" w:sz="4" w:space="0" w:color="000000"/>
        <w:right w:val="single" w:sz="4" w:space="0" w:color="000000"/>
      </w:pBdr>
      <w:spacing w:lineRule="exact" w:line="240" w:before="280" w:after="280"/>
      <w:jc w:val="center"/>
      <w:textAlignment w:val="center"/>
    </w:pPr>
    <w:rPr>
      <w:rFonts w:ascii="Arial" w:hAnsi="Arial" w:eastAsia="Times New Roman" w:cs="Arial"/>
      <w:sz w:val="20"/>
      <w:szCs w:val="20"/>
      <w:lang w:eastAsia="pt-BR"/>
    </w:rPr>
  </w:style>
  <w:style w:type="paragraph" w:styleId="xl67">
    <w:name w:val="xl67"/>
    <w:basedOn w:val="Normal"/>
    <w:qFormat/>
    <w:pPr>
      <w:pBdr>
        <w:left w:val="single" w:sz="4" w:space="0" w:color="000000"/>
        <w:right w:val="single" w:sz="4" w:space="0" w:color="000000"/>
      </w:pBdr>
      <w:spacing w:lineRule="exact" w:line="240" w:before="280" w:after="280"/>
      <w:jc w:val="center"/>
      <w:textAlignment w:val="center"/>
    </w:pPr>
    <w:rPr>
      <w:rFonts w:ascii="Arial" w:hAnsi="Arial" w:eastAsia="Times New Roman" w:cs="Arial"/>
      <w:sz w:val="20"/>
      <w:szCs w:val="20"/>
      <w:lang w:eastAsia="pt-BR"/>
    </w:rPr>
  </w:style>
  <w:style w:type="paragraph" w:styleId="xl66">
    <w:name w:val="xl66"/>
    <w:basedOn w:val="Normal"/>
    <w:qFormat/>
    <w:pPr>
      <w:pBdr>
        <w:top w:val="single" w:sz="4" w:space="0" w:color="000000"/>
        <w:left w:val="single" w:sz="4" w:space="0" w:color="000000"/>
        <w:right w:val="single" w:sz="4" w:space="0" w:color="000000"/>
      </w:pBdr>
      <w:spacing w:lineRule="exact" w:line="240" w:before="280" w:after="280"/>
      <w:jc w:val="center"/>
      <w:textAlignment w:val="center"/>
    </w:pPr>
    <w:rPr>
      <w:rFonts w:ascii="Arial" w:hAnsi="Arial" w:eastAsia="Times New Roman" w:cs="Arial"/>
      <w:sz w:val="20"/>
      <w:szCs w:val="20"/>
      <w:lang w:eastAsia="pt-BR"/>
    </w:rPr>
  </w:style>
  <w:style w:type="paragraph" w:styleId="xl65">
    <w:name w:val="xl65"/>
    <w:basedOn w:val="Normal"/>
    <w:qFormat/>
    <w:pPr>
      <w:pBdr>
        <w:top w:val="single" w:sz="4" w:space="0" w:color="000000"/>
        <w:left w:val="single" w:sz="4" w:space="0" w:color="000000"/>
        <w:bottom w:val="single" w:sz="4" w:space="0" w:color="000000"/>
        <w:right w:val="single" w:sz="4" w:space="0" w:color="000000"/>
      </w:pBdr>
      <w:spacing w:lineRule="exact" w:line="240" w:before="280" w:after="280"/>
      <w:textAlignment w:val="center"/>
    </w:pPr>
    <w:rPr>
      <w:rFonts w:ascii="Arial" w:hAnsi="Arial" w:eastAsia="Times New Roman" w:cs="Arial"/>
      <w:sz w:val="20"/>
      <w:szCs w:val="20"/>
      <w:lang w:eastAsia="pt-BR"/>
    </w:rPr>
  </w:style>
  <w:style w:type="paragraph" w:styleId="xl64">
    <w:name w:val="xl64"/>
    <w:basedOn w:val="Normal"/>
    <w:qFormat/>
    <w:pPr>
      <w:pBdr>
        <w:top w:val="single" w:sz="4" w:space="0" w:color="000000"/>
        <w:left w:val="single" w:sz="4" w:space="0" w:color="000000"/>
        <w:bottom w:val="single" w:sz="4" w:space="0" w:color="000000"/>
        <w:right w:val="single" w:sz="4" w:space="0" w:color="000000"/>
      </w:pBdr>
      <w:spacing w:lineRule="exact" w:line="240" w:before="280" w:after="280"/>
      <w:jc w:val="center"/>
      <w:textAlignment w:val="center"/>
    </w:pPr>
    <w:rPr>
      <w:rFonts w:ascii="Arial" w:hAnsi="Arial" w:eastAsia="Times New Roman" w:cs="Arial"/>
      <w:b/>
      <w:bCs/>
      <w:sz w:val="20"/>
      <w:szCs w:val="20"/>
      <w:lang w:eastAsia="pt-BR"/>
    </w:rPr>
  </w:style>
  <w:style w:type="paragraph" w:styleId="xl63">
    <w:name w:val="xl63"/>
    <w:basedOn w:val="Normal"/>
    <w:qFormat/>
    <w:pPr>
      <w:spacing w:lineRule="exact" w:line="240" w:before="280" w:after="280"/>
      <w:textAlignment w:val="center"/>
    </w:pPr>
    <w:rPr>
      <w:rFonts w:ascii="Arial" w:hAnsi="Arial" w:eastAsia="Times New Roman" w:cs="Arial"/>
      <w:sz w:val="20"/>
      <w:szCs w:val="20"/>
      <w:lang w:eastAsia="pt-BR"/>
    </w:rPr>
  </w:style>
  <w:style w:type="paragraph" w:styleId="msonormal">
    <w:name w:val="msonormal"/>
    <w:basedOn w:val="Normal"/>
    <w:qFormat/>
    <w:pPr>
      <w:spacing w:lineRule="exact" w:line="240" w:before="280" w:after="280"/>
    </w:pPr>
    <w:rPr>
      <w:rFonts w:ascii="Times New Roman" w:hAnsi="Times New Roman" w:eastAsia="Times New Roman" w:cs="Times New Roman"/>
      <w:lang w:eastAsia="pt-BR"/>
    </w:rPr>
  </w:style>
  <w:style w:type="paragraph" w:styleId="Textodecomentrio1">
    <w:name w:val="Texto de comentário1"/>
    <w:basedOn w:val="Normal"/>
    <w:qFormat/>
    <w:pPr>
      <w:spacing w:lineRule="exact" w:line="240" w:before="0" w:after="0"/>
    </w:pPr>
    <w:rPr>
      <w:rFonts w:ascii="Times New Roman" w:hAnsi="Times New Roman" w:eastAsia="Times New Roman" w:cs="Times New Roman"/>
      <w:sz w:val="20"/>
      <w:szCs w:val="20"/>
      <w:lang w:eastAsia="zh-CN"/>
    </w:rPr>
  </w:style>
  <w:style w:type="paragraph" w:styleId="Recuodecorpodetexto21">
    <w:name w:val="Recuo de corpo de texto 21"/>
    <w:basedOn w:val="Normal"/>
    <w:qFormat/>
    <w:pPr>
      <w:spacing w:lineRule="exact" w:line="480" w:before="0" w:after="120"/>
      <w:ind w:hanging="0" w:start="283" w:end="0"/>
    </w:pPr>
    <w:rPr>
      <w:rFonts w:ascii="Times New Roman" w:hAnsi="Times New Roman" w:eastAsia="Times New Roman" w:cs="Times New Roman"/>
      <w:lang w:eastAsia="zh-CN"/>
    </w:rPr>
  </w:style>
  <w:style w:type="paragraph" w:styleId="Corpodetexto22">
    <w:name w:val="Corpo de texto 22"/>
    <w:basedOn w:val="Normal"/>
    <w:qFormat/>
    <w:pPr>
      <w:spacing w:lineRule="exact" w:line="240" w:before="0" w:after="0"/>
      <w:jc w:val="both"/>
    </w:pPr>
    <w:rPr>
      <w:rFonts w:ascii="Arial" w:hAnsi="Arial" w:eastAsia="Times New Roman" w:cs="Arial"/>
      <w:szCs w:val="20"/>
      <w:lang w:eastAsia="zh-CN"/>
    </w:rPr>
  </w:style>
  <w:style w:type="paragraph" w:styleId="Corpodetexto31">
    <w:name w:val="Corpo de texto 31"/>
    <w:basedOn w:val="Normal"/>
    <w:qFormat/>
    <w:pPr>
      <w:spacing w:lineRule="exact" w:line="240" w:before="0" w:after="120"/>
    </w:pPr>
    <w:rPr>
      <w:rFonts w:ascii="Times New Roman" w:hAnsi="Times New Roman" w:eastAsia="Times New Roman" w:cs="Times New Roman"/>
      <w:sz w:val="16"/>
      <w:szCs w:val="16"/>
      <w:lang w:eastAsia="zh-CN"/>
    </w:rPr>
  </w:style>
  <w:style w:type="paragraph" w:styleId="Ttulo1">
    <w:name w:val="Título1"/>
    <w:basedOn w:val="Normal"/>
    <w:qFormat/>
    <w:pPr>
      <w:keepNext w:val="true"/>
      <w:spacing w:lineRule="exact" w:line="240" w:before="240" w:after="120"/>
    </w:pPr>
    <w:rPr>
      <w:rFonts w:ascii="Arial" w:hAnsi="Arial" w:eastAsia="Tahoma"/>
      <w:sz w:val="28"/>
      <w:szCs w:val="28"/>
      <w:lang w:eastAsia="zh-CN"/>
    </w:rPr>
  </w:style>
  <w:style w:type="paragraph" w:styleId="TxBrp9">
    <w:name w:val="TxBr_p9"/>
    <w:basedOn w:val="Normal"/>
    <w:qFormat/>
    <w:pPr>
      <w:widowControl w:val="false"/>
      <w:tabs>
        <w:tab w:val="clear" w:pos="709"/>
        <w:tab w:val="left" w:pos="204" w:leader="none"/>
      </w:tabs>
      <w:spacing w:lineRule="atLeast" w:line="240" w:before="0" w:after="0"/>
      <w:jc w:val="both"/>
    </w:pPr>
    <w:rPr>
      <w:rFonts w:ascii="Times New Roman" w:hAnsi="Times New Roman" w:eastAsia="Times New Roman" w:cs="Times New Roman"/>
      <w:lang w:eastAsia="pt-BR"/>
    </w:rPr>
  </w:style>
  <w:style w:type="paragraph" w:styleId="TableParagraph">
    <w:name w:val="Table Paragraph"/>
    <w:basedOn w:val="Normal"/>
    <w:qFormat/>
    <w:pPr>
      <w:widowControl w:val="false"/>
      <w:spacing w:lineRule="exact" w:line="240" w:before="0" w:after="0"/>
    </w:pPr>
    <w:rPr>
      <w:rFonts w:ascii="Times New Roman" w:hAnsi="Times New Roman" w:eastAsia="Times New Roman" w:cs="Times New Roman"/>
      <w:lang w:val="en-US" w:bidi="en-US"/>
    </w:rPr>
  </w:style>
  <w:style w:type="paragraph" w:styleId="TextosemFormatao1">
    <w:name w:val="Texto sem Formatação1"/>
    <w:basedOn w:val="Normal"/>
    <w:qFormat/>
    <w:pPr/>
    <w:rPr>
      <w:rFonts w:ascii="Courier New" w:hAnsi="Courier New" w:eastAsia="Times New Roman" w:cs="Times New Roman"/>
      <w:lang w:eastAsia="pt-BR"/>
    </w:rPr>
  </w:style>
  <w:style w:type="paragraph" w:styleId="DocumentMap">
    <w:name w:val="Document Map"/>
    <w:basedOn w:val="Normal"/>
    <w:qFormat/>
    <w:pPr>
      <w:spacing w:lineRule="exact" w:line="240" w:before="0" w:after="0"/>
    </w:pPr>
    <w:rPr>
      <w:rFonts w:eastAsia="Times New Roman" w:cs="Times New Roman"/>
      <w:sz w:val="16"/>
      <w:szCs w:val="16"/>
      <w:lang w:val="x-none" w:eastAsia="x-none"/>
    </w:rPr>
  </w:style>
  <w:style w:type="paragraph" w:styleId="BodyText2">
    <w:name w:val="Body Text 2"/>
    <w:basedOn w:val="Normal"/>
    <w:qFormat/>
    <w:pPr>
      <w:spacing w:lineRule="exact" w:line="240" w:before="0" w:after="0"/>
    </w:pPr>
    <w:rPr>
      <w:rFonts w:cs="Times New Roman"/>
      <w:bCs/>
      <w:szCs w:val="20"/>
      <w:lang w:val="x-none" w:eastAsia="x-none"/>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exact" w:line="240" w:before="0" w:after="0"/>
    </w:pPr>
    <w:rPr>
      <w:rFonts w:ascii="Courier New" w:hAnsi="Courier New" w:cs="Times New Roman"/>
      <w:color w:val="29387B"/>
      <w:sz w:val="18"/>
      <w:szCs w:val="18"/>
      <w:lang w:val="x-none" w:eastAsia="x-none"/>
    </w:rPr>
  </w:style>
  <w:style w:type="paragraph" w:styleId="NoSpacing">
    <w:name w:val="No Spacing"/>
    <w:qFormat/>
    <w:pPr>
      <w:widowControl/>
      <w:suppressAutoHyphens w:val="true"/>
      <w:overflowPunct w:val="true"/>
      <w:bidi w:val="0"/>
      <w:spacing w:before="0" w:after="0"/>
      <w:jc w:val="start"/>
    </w:pPr>
    <w:rPr>
      <w:rFonts w:ascii="Times New Roman" w:hAnsi="Times New Roman" w:eastAsia="Times New Roman" w:cs="Times New Roman"/>
      <w:color w:val="auto"/>
      <w:kern w:val="0"/>
      <w:sz w:val="24"/>
      <w:szCs w:val="24"/>
      <w:lang w:val="pt-BR" w:eastAsia="ar-SA" w:bidi="ar-SA"/>
    </w:rPr>
  </w:style>
  <w:style w:type="paragraph" w:styleId="Standard">
    <w:name w:val="Standard"/>
    <w:qFormat/>
    <w:pPr>
      <w:widowControl w:val="false"/>
      <w:suppressAutoHyphens w:val="true"/>
      <w:overflowPunct w:val="true"/>
      <w:bidi w:val="0"/>
      <w:spacing w:before="0" w:after="0"/>
      <w:jc w:val="start"/>
    </w:pPr>
    <w:rPr>
      <w:rFonts w:ascii="Liberation Serif" w:hAnsi="Liberation Serif" w:eastAsia="SimSun" w:cs="Mangal"/>
      <w:color w:val="auto"/>
      <w:kern w:val="2"/>
      <w:sz w:val="24"/>
      <w:szCs w:val="24"/>
      <w:lang w:val="pt-BR" w:eastAsia="zh-CN" w:bidi="hi-IN"/>
    </w:rPr>
  </w:style>
  <w:style w:type="paragraph" w:styleId="Pa6">
    <w:name w:val="Pa6"/>
    <w:basedOn w:val="Normal"/>
    <w:next w:val="Normal"/>
    <w:qFormat/>
    <w:pPr>
      <w:spacing w:lineRule="atLeast" w:line="181" w:before="0" w:after="0"/>
    </w:pPr>
    <w:rPr>
      <w:rFonts w:eastAsia="Times New Roman"/>
    </w:rPr>
  </w:style>
  <w:style w:type="paragraph" w:styleId="Revision">
    <w:name w:val="Revision"/>
    <w:qFormat/>
    <w:pPr>
      <w:widowControl/>
      <w:suppressAutoHyphens w:val="true"/>
      <w:overflowPunct w:val="true"/>
      <w:bidi w:val="0"/>
      <w:spacing w:before="0" w:after="0"/>
      <w:jc w:val="start"/>
    </w:pPr>
    <w:rPr>
      <w:rFonts w:ascii="Times New Roman" w:hAnsi="Times New Roman" w:eastAsia="Times New Roman" w:cs="Times New Roman"/>
      <w:color w:val="auto"/>
      <w:kern w:val="0"/>
      <w:sz w:val="24"/>
      <w:szCs w:val="24"/>
      <w:lang w:val="pt-BR" w:eastAsia="pt-BR" w:bidi="ar-SA"/>
    </w:rPr>
  </w:style>
  <w:style w:type="paragraph" w:styleId="mainwindow">
    <w:name w:val="mainwindow"/>
    <w:basedOn w:val="Normal"/>
    <w:qFormat/>
    <w:pPr>
      <w:spacing w:lineRule="exact" w:line="240" w:before="280" w:after="280"/>
    </w:pPr>
    <w:rPr>
      <w:rFonts w:ascii="Times New Roman" w:hAnsi="Times New Roman" w:eastAsia="Times New Roman" w:cs="Times New Roman"/>
      <w:lang w:eastAsia="pt-BR"/>
    </w:rPr>
  </w:style>
  <w:style w:type="paragraph" w:styleId="western">
    <w:name w:val="western"/>
    <w:basedOn w:val="Normal"/>
    <w:qFormat/>
    <w:pPr>
      <w:spacing w:lineRule="exact" w:line="240" w:before="280" w:after="0"/>
      <w:jc w:val="both"/>
    </w:pPr>
    <w:rPr>
      <w:rFonts w:ascii="Verdana" w:hAnsi="Verdana" w:eastAsia="Times New Roman" w:cs="Times New Roman"/>
      <w:color w:val="000000"/>
      <w:lang w:eastAsia="pt-BR"/>
    </w:rPr>
  </w:style>
  <w:style w:type="paragraph" w:styleId="annotationsubject">
    <w:name w:val="annotation subject"/>
    <w:qFormat/>
    <w:pPr>
      <w:widowControl/>
      <w:suppressAutoHyphens w:val="true"/>
      <w:overflowPunct w:val="true"/>
      <w:bidi w:val="0"/>
      <w:spacing w:lineRule="exact" w:line="240" w:before="0" w:after="0"/>
      <w:jc w:val="start"/>
    </w:pPr>
    <w:rPr>
      <w:rFonts w:ascii="Times New Roman" w:hAnsi="Times New Roman" w:eastAsia="Times New Roman" w:cs="Times New Roman"/>
      <w:b/>
      <w:bCs/>
      <w:color w:val="auto"/>
      <w:kern w:val="0"/>
      <w:sz w:val="20"/>
      <w:szCs w:val="20"/>
      <w:lang w:val="x-none" w:eastAsia="pt-BR" w:bidi="ar-SA"/>
    </w:rPr>
  </w:style>
  <w:style w:type="paragraph" w:styleId="CommentText">
    <w:name w:val="annotation text"/>
    <w:basedOn w:val="Normal"/>
    <w:qFormat/>
    <w:pPr>
      <w:spacing w:lineRule="exact" w:line="240" w:before="0" w:after="0"/>
    </w:pPr>
    <w:rPr>
      <w:rFonts w:ascii="Times New Roman" w:hAnsi="Times New Roman" w:eastAsia="Times New Roman" w:cs="Times New Roman"/>
      <w:sz w:val="20"/>
      <w:szCs w:val="20"/>
      <w:lang w:val="x-none" w:eastAsia="pt-BR"/>
    </w:rPr>
  </w:style>
  <w:style w:type="paragraph" w:styleId="Textopadro">
    <w:name w:val="Texto padrão"/>
    <w:basedOn w:val="Normal"/>
    <w:qFormat/>
    <w:pPr>
      <w:widowControl w:val="false"/>
      <w:spacing w:lineRule="exact" w:line="240" w:before="0" w:after="0"/>
    </w:pPr>
    <w:rPr>
      <w:rFonts w:ascii="Times New Roman" w:hAnsi="Times New Roman" w:eastAsia="Times New Roman" w:cs="Times New Roman"/>
      <w:szCs w:val="20"/>
      <w:lang w:val="en-US" w:eastAsia="pt-BR"/>
    </w:rPr>
  </w:style>
  <w:style w:type="paragraph" w:styleId="xl27">
    <w:name w:val="xl27"/>
    <w:basedOn w:val="Normal"/>
    <w:qFormat/>
    <w:pPr>
      <w:pBdr>
        <w:top w:val="single" w:sz="4" w:space="0" w:color="000000"/>
        <w:left w:val="single" w:sz="4" w:space="0" w:color="000000"/>
        <w:bottom w:val="single" w:sz="4" w:space="0" w:color="000000"/>
        <w:right w:val="single" w:sz="4" w:space="0" w:color="000000"/>
      </w:pBdr>
      <w:spacing w:lineRule="exact" w:line="240" w:before="280" w:after="280"/>
      <w:jc w:val="center"/>
      <w:textAlignment w:val="center"/>
    </w:pPr>
    <w:rPr>
      <w:rFonts w:ascii="Arial" w:hAnsi="Arial" w:eastAsia="Times New Roman" w:cs="Arial"/>
      <w:lang w:eastAsia="pt-BR"/>
    </w:rPr>
  </w:style>
  <w:style w:type="paragraph" w:styleId="xl26">
    <w:name w:val="xl26"/>
    <w:basedOn w:val="Normal"/>
    <w:qFormat/>
    <w:pPr>
      <w:pBdr>
        <w:top w:val="single" w:sz="4" w:space="0" w:color="000000"/>
        <w:left w:val="single" w:sz="4" w:space="0" w:color="000000"/>
        <w:bottom w:val="single" w:sz="4" w:space="0" w:color="000000"/>
        <w:right w:val="single" w:sz="4" w:space="0" w:color="000000"/>
      </w:pBdr>
      <w:spacing w:lineRule="exact" w:line="240" w:before="280" w:after="280"/>
    </w:pPr>
    <w:rPr>
      <w:rFonts w:ascii="Arial" w:hAnsi="Arial" w:eastAsia="Times New Roman" w:cs="Arial"/>
      <w:b/>
      <w:bCs/>
      <w:sz w:val="19"/>
      <w:szCs w:val="19"/>
      <w:lang w:eastAsia="pt-BR"/>
    </w:rPr>
  </w:style>
  <w:style w:type="paragraph" w:styleId="xl25">
    <w:name w:val="xl25"/>
    <w:basedOn w:val="Normal"/>
    <w:qFormat/>
    <w:pPr>
      <w:pBdr>
        <w:top w:val="single" w:sz="4" w:space="0" w:color="000000"/>
        <w:left w:val="single" w:sz="4" w:space="0" w:color="000000"/>
        <w:bottom w:val="single" w:sz="4" w:space="0" w:color="000000"/>
        <w:right w:val="single" w:sz="4" w:space="0" w:color="000000"/>
      </w:pBdr>
      <w:spacing w:lineRule="exact" w:line="240" w:before="280" w:after="280"/>
    </w:pPr>
    <w:rPr>
      <w:rFonts w:ascii="Arial" w:hAnsi="Arial" w:eastAsia="Times New Roman" w:cs="Arial"/>
      <w:lang w:eastAsia="pt-BR"/>
    </w:rPr>
  </w:style>
  <w:style w:type="paragraph" w:styleId="xl24">
    <w:name w:val="xl24"/>
    <w:basedOn w:val="Normal"/>
    <w:qFormat/>
    <w:pPr>
      <w:pBdr>
        <w:top w:val="single" w:sz="4" w:space="0" w:color="000000"/>
        <w:left w:val="single" w:sz="4" w:space="0" w:color="000000"/>
        <w:bottom w:val="single" w:sz="4" w:space="0" w:color="000000"/>
        <w:right w:val="single" w:sz="4" w:space="0" w:color="000000"/>
      </w:pBdr>
      <w:spacing w:lineRule="exact" w:line="240" w:before="280" w:after="280"/>
    </w:pPr>
    <w:rPr>
      <w:rFonts w:ascii="Arial" w:hAnsi="Arial" w:eastAsia="Times New Roman" w:cs="Arial"/>
      <w:b/>
      <w:bCs/>
      <w:sz w:val="19"/>
      <w:szCs w:val="19"/>
      <w:lang w:eastAsia="pt-BR"/>
    </w:rPr>
  </w:style>
  <w:style w:type="paragraph" w:styleId="xl23">
    <w:name w:val="xl23"/>
    <w:basedOn w:val="Normal"/>
    <w:qFormat/>
    <w:pPr>
      <w:pBdr>
        <w:top w:val="single" w:sz="4" w:space="0" w:color="000000"/>
        <w:left w:val="single" w:sz="4" w:space="0" w:color="000000"/>
        <w:bottom w:val="single" w:sz="4" w:space="0" w:color="000000"/>
        <w:right w:val="single" w:sz="4" w:space="0" w:color="000000"/>
      </w:pBdr>
      <w:spacing w:lineRule="exact" w:line="240" w:before="280" w:after="280"/>
    </w:pPr>
    <w:rPr>
      <w:rFonts w:ascii="Arial" w:hAnsi="Arial" w:eastAsia="Times New Roman" w:cs="Arial"/>
      <w:sz w:val="19"/>
      <w:szCs w:val="19"/>
      <w:lang w:eastAsia="pt-BR"/>
    </w:rPr>
  </w:style>
  <w:style w:type="paragraph" w:styleId="xl22">
    <w:name w:val="xl22"/>
    <w:basedOn w:val="Normal"/>
    <w:qFormat/>
    <w:pPr>
      <w:pBdr>
        <w:top w:val="single" w:sz="4" w:space="0" w:color="000000"/>
        <w:left w:val="single" w:sz="4" w:space="0" w:color="000000"/>
        <w:bottom w:val="single" w:sz="4" w:space="0" w:color="000000"/>
        <w:right w:val="single" w:sz="4" w:space="0" w:color="000000"/>
      </w:pBdr>
      <w:spacing w:lineRule="exact" w:line="240" w:before="280" w:after="280"/>
    </w:pPr>
    <w:rPr>
      <w:rFonts w:ascii="Arial" w:hAnsi="Arial" w:eastAsia="Times New Roman" w:cs="Arial"/>
      <w:b/>
      <w:bCs/>
      <w:sz w:val="19"/>
      <w:szCs w:val="19"/>
      <w:lang w:eastAsia="pt-BR"/>
    </w:rPr>
  </w:style>
  <w:style w:type="paragraph" w:styleId="xl21">
    <w:name w:val="xl21"/>
    <w:basedOn w:val="Normal"/>
    <w:qFormat/>
    <w:pPr>
      <w:pBdr>
        <w:top w:val="single" w:sz="4" w:space="0" w:color="000000"/>
        <w:left w:val="single" w:sz="4" w:space="0" w:color="000000"/>
        <w:bottom w:val="single" w:sz="4" w:space="0" w:color="000000"/>
        <w:right w:val="single" w:sz="4" w:space="0" w:color="000000"/>
      </w:pBdr>
      <w:spacing w:lineRule="exact" w:line="240" w:before="280" w:after="280"/>
    </w:pPr>
    <w:rPr>
      <w:rFonts w:ascii="Arial" w:hAnsi="Arial" w:eastAsia="Times New Roman" w:cs="Arial"/>
      <w:b/>
      <w:bCs/>
      <w:lang w:eastAsia="pt-BR"/>
    </w:rPr>
  </w:style>
  <w:style w:type="paragraph" w:styleId="xl20">
    <w:name w:val="xl20"/>
    <w:basedOn w:val="Normal"/>
    <w:qFormat/>
    <w:pPr>
      <w:pBdr>
        <w:top w:val="single" w:sz="4" w:space="0" w:color="000000"/>
        <w:left w:val="single" w:sz="4" w:space="0" w:color="000000"/>
        <w:bottom w:val="single" w:sz="4" w:space="0" w:color="000000"/>
        <w:right w:val="single" w:sz="4" w:space="0" w:color="000000"/>
      </w:pBdr>
      <w:spacing w:lineRule="exact" w:line="240" w:before="280" w:after="280"/>
    </w:pPr>
    <w:rPr>
      <w:rFonts w:ascii="Arial" w:hAnsi="Arial" w:eastAsia="Times New Roman" w:cs="Arial"/>
      <w:b/>
      <w:bCs/>
      <w:lang w:eastAsia="pt-BR"/>
    </w:rPr>
  </w:style>
  <w:style w:type="paragraph" w:styleId="xl19">
    <w:name w:val="xl19"/>
    <w:basedOn w:val="Normal"/>
    <w:qFormat/>
    <w:pPr>
      <w:pBdr>
        <w:top w:val="single" w:sz="4" w:space="0" w:color="000000"/>
        <w:left w:val="single" w:sz="4" w:space="0" w:color="000000"/>
        <w:bottom w:val="single" w:sz="4" w:space="0" w:color="000000"/>
        <w:right w:val="single" w:sz="4" w:space="0" w:color="000000"/>
      </w:pBdr>
      <w:spacing w:lineRule="exact" w:line="240" w:before="280" w:after="280"/>
      <w:jc w:val="center"/>
      <w:textAlignment w:val="center"/>
    </w:pPr>
    <w:rPr>
      <w:rFonts w:ascii="Arial" w:hAnsi="Arial" w:eastAsia="Times New Roman" w:cs="Arial"/>
      <w:lang w:eastAsia="pt-BR"/>
    </w:rPr>
  </w:style>
  <w:style w:type="paragraph" w:styleId="font10">
    <w:name w:val="font10"/>
    <w:basedOn w:val="Normal"/>
    <w:qFormat/>
    <w:pPr>
      <w:spacing w:lineRule="exact" w:line="240" w:before="280" w:after="280"/>
    </w:pPr>
    <w:rPr>
      <w:rFonts w:ascii="Arial" w:hAnsi="Arial" w:eastAsia="Times New Roman" w:cs="Arial"/>
      <w:sz w:val="19"/>
      <w:szCs w:val="19"/>
      <w:lang w:eastAsia="pt-BR"/>
    </w:rPr>
  </w:style>
  <w:style w:type="paragraph" w:styleId="font9">
    <w:name w:val="font9"/>
    <w:basedOn w:val="Normal"/>
    <w:qFormat/>
    <w:pPr>
      <w:spacing w:lineRule="exact" w:line="240" w:before="280" w:after="280"/>
    </w:pPr>
    <w:rPr>
      <w:rFonts w:ascii="Arial" w:hAnsi="Arial" w:eastAsia="Times New Roman" w:cs="Arial"/>
      <w:b/>
      <w:bCs/>
      <w:sz w:val="19"/>
      <w:szCs w:val="19"/>
      <w:lang w:eastAsia="pt-BR"/>
    </w:rPr>
  </w:style>
  <w:style w:type="paragraph" w:styleId="font8">
    <w:name w:val="font8"/>
    <w:basedOn w:val="Normal"/>
    <w:qFormat/>
    <w:pPr>
      <w:spacing w:lineRule="exact" w:line="240" w:before="280" w:after="280"/>
    </w:pPr>
    <w:rPr>
      <w:rFonts w:ascii="Arial" w:hAnsi="Arial" w:eastAsia="Times New Roman" w:cs="Arial"/>
      <w:color w:val="000000"/>
      <w:sz w:val="19"/>
      <w:szCs w:val="19"/>
      <w:lang w:eastAsia="pt-BR"/>
    </w:rPr>
  </w:style>
  <w:style w:type="paragraph" w:styleId="font7">
    <w:name w:val="font7"/>
    <w:basedOn w:val="Normal"/>
    <w:qFormat/>
    <w:pPr>
      <w:spacing w:lineRule="exact" w:line="240" w:before="280" w:after="280"/>
    </w:pPr>
    <w:rPr>
      <w:rFonts w:ascii="Arial" w:hAnsi="Arial" w:eastAsia="Times New Roman" w:cs="Arial"/>
      <w:b/>
      <w:bCs/>
      <w:color w:val="000000"/>
      <w:sz w:val="19"/>
      <w:szCs w:val="19"/>
      <w:lang w:eastAsia="pt-BR"/>
    </w:rPr>
  </w:style>
  <w:style w:type="paragraph" w:styleId="font6">
    <w:name w:val="font6"/>
    <w:basedOn w:val="Normal"/>
    <w:qFormat/>
    <w:pPr>
      <w:spacing w:lineRule="exact" w:line="240" w:before="280" w:after="280"/>
    </w:pPr>
    <w:rPr>
      <w:rFonts w:ascii="Arial" w:hAnsi="Arial" w:eastAsia="Times New Roman" w:cs="Arial"/>
      <w:sz w:val="20"/>
      <w:szCs w:val="20"/>
      <w:lang w:eastAsia="pt-BR"/>
    </w:rPr>
  </w:style>
  <w:style w:type="paragraph" w:styleId="font5">
    <w:name w:val="font5"/>
    <w:basedOn w:val="Normal"/>
    <w:qFormat/>
    <w:pPr>
      <w:spacing w:lineRule="exact" w:line="240" w:before="280" w:after="280"/>
    </w:pPr>
    <w:rPr>
      <w:rFonts w:ascii="Arial" w:hAnsi="Arial" w:eastAsia="Times New Roman" w:cs="Arial"/>
      <w:b/>
      <w:bCs/>
      <w:sz w:val="20"/>
      <w:szCs w:val="20"/>
      <w:lang w:eastAsia="pt-BR"/>
    </w:rPr>
  </w:style>
  <w:style w:type="paragraph" w:styleId="WW-Corpodetexto3">
    <w:name w:val="WW-Corpo de texto 3"/>
    <w:basedOn w:val="Normal"/>
    <w:qFormat/>
    <w:pPr>
      <w:spacing w:lineRule="exact" w:line="240" w:before="0" w:after="0"/>
      <w:jc w:val="both"/>
    </w:pPr>
    <w:rPr>
      <w:rFonts w:ascii="Times New Roman" w:hAnsi="Times New Roman" w:eastAsia="Times New Roman" w:cs="Times New Roman"/>
      <w:szCs w:val="20"/>
      <w:lang w:eastAsia="ar-SA"/>
    </w:rPr>
  </w:style>
  <w:style w:type="paragraph" w:styleId="PlainText">
    <w:name w:val="Plain Text"/>
    <w:basedOn w:val="Normal"/>
    <w:qFormat/>
    <w:pPr>
      <w:spacing w:lineRule="exact" w:line="240" w:before="0" w:after="0"/>
    </w:pPr>
    <w:rPr>
      <w:rFonts w:ascii="Courier New" w:hAnsi="Courier New" w:eastAsia="Times New Roman" w:cs="Times New Roman"/>
      <w:sz w:val="20"/>
      <w:szCs w:val="20"/>
      <w:lang w:val="x-none" w:eastAsia="pt-BR"/>
    </w:rPr>
  </w:style>
  <w:style w:type="paragraph" w:styleId="BodyTextIndent3">
    <w:name w:val="Body Text Indent 3"/>
    <w:basedOn w:val="Normal"/>
    <w:qFormat/>
    <w:pPr>
      <w:spacing w:lineRule="exact" w:line="240" w:before="0" w:after="120"/>
      <w:ind w:hanging="0" w:start="283" w:end="0"/>
    </w:pPr>
    <w:rPr>
      <w:rFonts w:ascii="Times New Roman" w:hAnsi="Times New Roman" w:eastAsia="Times New Roman" w:cs="Times New Roman"/>
      <w:sz w:val="16"/>
      <w:szCs w:val="16"/>
      <w:lang w:val="x-none" w:eastAsia="pt-BR"/>
    </w:rPr>
  </w:style>
  <w:style w:type="paragraph" w:styleId="Corpodetexto21">
    <w:name w:val="Corpo de texto 21"/>
    <w:basedOn w:val="Normal"/>
    <w:qFormat/>
    <w:pPr>
      <w:spacing w:lineRule="exact" w:line="240" w:before="0" w:after="0"/>
      <w:jc w:val="both"/>
    </w:pPr>
    <w:rPr>
      <w:rFonts w:ascii="Arial" w:hAnsi="Arial" w:eastAsia="Times New Roman" w:cs="Times New Roman"/>
      <w:szCs w:val="20"/>
      <w:lang w:eastAsia="pt-BR"/>
    </w:rPr>
  </w:style>
  <w:style w:type="paragraph" w:styleId="BodyText3">
    <w:name w:val="Body Text 3"/>
    <w:basedOn w:val="Normal"/>
    <w:qFormat/>
    <w:pPr>
      <w:spacing w:lineRule="exact" w:line="240" w:before="0" w:after="120"/>
    </w:pPr>
    <w:rPr>
      <w:rFonts w:ascii="Times New Roman" w:hAnsi="Times New Roman" w:eastAsia="Times New Roman" w:cs="Times New Roman"/>
      <w:sz w:val="16"/>
      <w:szCs w:val="16"/>
      <w:lang w:val="x-none" w:eastAsia="pt-BR"/>
    </w:rPr>
  </w:style>
  <w:style w:type="paragraph" w:styleId="p4">
    <w:name w:val="p4"/>
    <w:basedOn w:val="Normal"/>
    <w:qFormat/>
    <w:pPr>
      <w:spacing w:lineRule="exact" w:line="240" w:before="280" w:after="280"/>
    </w:pPr>
    <w:rPr>
      <w:rFonts w:ascii="Arial Unicode MS" w:hAnsi="Arial Unicode MS" w:eastAsia="Arial Unicode MS" w:cs="Arial Unicode MS"/>
      <w:lang w:eastAsia="pt-BR"/>
    </w:rPr>
  </w:style>
  <w:style w:type="paragraph" w:styleId="Contedodetabela">
    <w:name w:val="Conteúdo de tabela"/>
    <w:basedOn w:val="Normal"/>
    <w:qFormat/>
    <w:pPr>
      <w:suppressLineNumbers/>
      <w:suppressAutoHyphens w:val="true"/>
      <w:spacing w:lineRule="auto" w:line="276"/>
    </w:pPr>
    <w:rPr>
      <w:rFonts w:ascii="Arial" w:hAnsi="Arial" w:eastAsia="Arial" w:cs="Arial"/>
      <w:sz w:val="22"/>
      <w:szCs w:val="22"/>
      <w:lang w:eastAsia="zh-CN" w:bidi="hi-IN"/>
    </w:rPr>
  </w:style>
  <w:style w:type="paragraph" w:styleId="Ttulodetabela">
    <w:name w:val="Título de tabela"/>
    <w:basedOn w:val="Contedodatabela"/>
    <w:qFormat/>
    <w:pPr>
      <w:suppressLineNumbers/>
      <w:jc w:val="center"/>
    </w:pPr>
    <w:rPr>
      <w:b/>
      <w:bCs/>
    </w:rPr>
  </w:style>
  <w:style w:type="paragraph" w:styleId="LO-normal1">
    <w:name w:val="LO-normal1"/>
    <w:qFormat/>
    <w:pPr>
      <w:widowControl/>
      <w:suppressAutoHyphens w:val="true"/>
      <w:overflowPunct w:val="true"/>
      <w:bidi w:val="0"/>
      <w:spacing w:lineRule="auto" w:line="259" w:before="0" w:after="160"/>
      <w:jc w:val="start"/>
    </w:pPr>
    <w:rPr>
      <w:rFonts w:ascii="Tahoma" w:hAnsi="Tahoma" w:eastAsia="Calibri" w:cs="Tahoma"/>
      <w:color w:val="auto"/>
      <w:kern w:val="0"/>
      <w:sz w:val="22"/>
      <w:szCs w:val="22"/>
      <w:lang w:val="pt-BR" w:eastAsia="en-US" w:bidi="ar-SA"/>
    </w:rPr>
  </w:style>
  <w:style w:type="paragraph" w:styleId="caption1">
    <w:name w:val="caption1"/>
    <w:basedOn w:val="Normal"/>
    <w:next w:val="Normal"/>
    <w:qFormat/>
    <w:pPr>
      <w:pBdr>
        <w:top w:val="single" w:sz="6" w:space="1" w:color="000000"/>
        <w:left w:val="single" w:sz="6" w:space="1" w:color="000000"/>
        <w:bottom w:val="single" w:sz="6" w:space="1" w:color="000000"/>
        <w:right w:val="single" w:sz="6" w:space="1" w:color="000000"/>
      </w:pBdr>
      <w:spacing w:lineRule="exact" w:line="240" w:before="0" w:after="0"/>
      <w:jc w:val="both"/>
    </w:pPr>
    <w:rPr>
      <w:rFonts w:ascii="Arial" w:hAnsi="Arial" w:eastAsia="Times New Roman" w:cs="Arial"/>
      <w:szCs w:val="20"/>
      <w:lang w:eastAsia="pt-BR"/>
    </w:rPr>
  </w:style>
  <w:style w:type="paragraph" w:styleId="annotationtext1">
    <w:name w:val="annotation text1"/>
    <w:basedOn w:val="Normal"/>
    <w:qFormat/>
    <w:pPr>
      <w:spacing w:lineRule="exact" w:line="240" w:before="0" w:after="0"/>
    </w:pPr>
    <w:rPr>
      <w:rFonts w:ascii="Times New Roman" w:hAnsi="Times New Roman" w:eastAsia="Times New Roman" w:cs="Times New Roman"/>
      <w:sz w:val="20"/>
      <w:szCs w:val="20"/>
      <w:lang w:val="x-none" w:eastAsia="pt-BR"/>
    </w:rPr>
  </w:style>
  <w:style w:type="paragraph" w:styleId="Standard1">
    <w:name w:val="Standard1"/>
    <w:qFormat/>
    <w:pPr>
      <w:widowControl w:val="false"/>
      <w:suppressAutoHyphens w:val="true"/>
      <w:overflowPunct w:val="true"/>
      <w:bidi w:val="0"/>
      <w:spacing w:before="0" w:after="0"/>
      <w:jc w:val="start"/>
    </w:pPr>
    <w:rPr>
      <w:rFonts w:ascii="Liberation Serif" w:hAnsi="Liberation Serif" w:eastAsia="SimSun" w:cs="Mangal"/>
      <w:color w:val="auto"/>
      <w:kern w:val="2"/>
      <w:sz w:val="24"/>
      <w:szCs w:val="24"/>
      <w:lang w:val="pt-BR" w:eastAsia="zh-CN" w:bidi="hi-IN"/>
    </w:rPr>
  </w:style>
  <w:style w:type="paragraph" w:styleId="ListBullet1">
    <w:name w:val="List Bullet1"/>
    <w:basedOn w:val="Normal"/>
    <w:qFormat/>
    <w:pPr>
      <w:numPr>
        <w:ilvl w:val="0"/>
        <w:numId w:val="1"/>
      </w:numPr>
      <w:spacing w:before="0" w:after="0"/>
      <w:contextualSpacing/>
    </w:pPr>
    <w:rPr/>
  </w:style>
  <w:style w:type="paragraph" w:styleId="BodyTextIndent">
    <w:name w:val="Body Text Indent"/>
    <w:basedOn w:val="Normal"/>
    <w:pPr>
      <w:spacing w:before="0" w:after="120"/>
      <w:ind w:hanging="0" w:start="283" w:end="0"/>
    </w:pPr>
    <w:rPr>
      <w:rFonts w:ascii="Calibri" w:hAnsi="Calibri"/>
      <w:lang w:eastAsia="en-US" w:bidi="en-US"/>
    </w:rPr>
  </w:style>
  <w:style w:type="paragraph" w:styleId="Contedodoquadrouser">
    <w:name w:val="Conteúdo do quadro (user)"/>
    <w:basedOn w:val="Normal"/>
    <w:qFormat/>
    <w:pPr/>
    <w:rPr/>
  </w:style>
  <w:style w:type="numbering" w:styleId="Semlista">
    <w:name w:val="Sem lista"/>
    <w:qFormat/>
  </w:style>
  <w:style w:type="numbering" w:styleId="WW8Num2">
    <w:name w:val="WW8Num2"/>
    <w:qFormat/>
  </w:style>
  <w:style w:type="numbering" w:styleId="WW8Num4">
    <w:name w:val="WW8Num4"/>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ortaldecompraspublicas.com.br/" TargetMode="External"/><Relationship Id="rId3" Type="http://schemas.openxmlformats.org/officeDocument/2006/relationships/hyperlink" Target="http://www.portaldecompraspublicas.com.br/" TargetMode="External"/><Relationship Id="rId4" Type="http://schemas.openxmlformats.org/officeDocument/2006/relationships/hyperlink" Target="http://www.portaldecompraspublicas.com.br/" TargetMode="External"/><Relationship Id="rId5" Type="http://schemas.openxmlformats.org/officeDocument/2006/relationships/hyperlink" Target="https://lindoiadosul.sc.gov.br/licitacoes/" TargetMode="External"/><Relationship Id="rId6" Type="http://schemas.openxmlformats.org/officeDocument/2006/relationships/hyperlink" Target="http://www.portaldecompraspublicas.com.br/" TargetMode="External"/><Relationship Id="rId7" Type="http://schemas.openxmlformats.org/officeDocument/2006/relationships/hyperlink" Target="../2022/Edital/PMLDS/PL%2050-2022%20EDITAL%20PREG&#195;O%20ELETR&#212;NICO%20motoniveladora/www.portaldecompraspublicas.com.br" TargetMode="External"/><Relationship Id="rId8" Type="http://schemas.openxmlformats.org/officeDocument/2006/relationships/hyperlink" Target="https://contas.tcu.gov.br/ords/f?p=1660:3:118310746749897::::P3_TIPO_RELACAO:INIDONEO" TargetMode="External"/><Relationship Id="rId9" Type="http://schemas.openxmlformats.org/officeDocument/2006/relationships/hyperlink" Target="https://www.cnj.jus.br/improbidade_adm/consultar_requerido.php" TargetMode="External"/><Relationship Id="rId10" Type="http://schemas.openxmlformats.org/officeDocument/2006/relationships/hyperlink" Target="https://portaldatransparencia.gov.br/sancoes/consulta?ordenarPor=nomeSancionado&amp;direcao=asc" TargetMode="External"/><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header" Target="header3.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oter" Target="footer3.xml"/><Relationship Id="rId17" Type="http://schemas.openxmlformats.org/officeDocument/2006/relationships/numbering" Target="numbering.xml"/><Relationship Id="rId18" Type="http://schemas.openxmlformats.org/officeDocument/2006/relationships/fontTable" Target="fontTable.xml"/><Relationship Id="rId19" Type="http://schemas.openxmlformats.org/officeDocument/2006/relationships/settings" Target="settings.xml"/><Relationship Id="rId20" Type="http://schemas.openxmlformats.org/officeDocument/2006/relationships/theme" Target="theme/theme1.xml"/>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1478</TotalTime>
  <Application>LibreOffice/26.2.4.2$Windows_X86_64 LibreOffice_project/0229ac93fcf0d7cbc6376066c6f35021cef002dc</Application>
  <AppVersion>15.0000</AppVersion>
  <Pages>70</Pages>
  <Words>22886</Words>
  <Characters>131166</Characters>
  <CharactersWithSpaces>156276</CharactersWithSpaces>
  <Paragraphs>832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 Frare Grandi</dc:creator>
  <dc:description/>
  <dc:language>pt-BR</dc:language>
  <cp:lastModifiedBy/>
  <cp:lastPrinted>2026-08-06T10:55:12Z</cp:lastPrinted>
  <dcterms:modified xsi:type="dcterms:W3CDTF">2026-08-06T10:40:22Z</dcterms:modified>
  <cp:revision>219</cp:revision>
  <dc:subject/>
  <dc:title>CONTRATO DE HONORÁRIOS ADVOCATÍCIOS</dc:title>
</cp:coreProperties>
</file>

<file path=docProps/custom.xml><?xml version="1.0" encoding="utf-8"?>
<Properties xmlns="http://schemas.openxmlformats.org/officeDocument/2006/custom-properties" xmlns:vt="http://schemas.openxmlformats.org/officeDocument/2006/docPropsVTypes"/>
</file>