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0" w:type="dxa"/>
              <w:left w:w="0" w:type="dxa"/>
              <w:bottom w:w="200" w:type="dxa"/>
              <w:right w:w="0" w:type="dxa"/>
            </w:tcMar>
            <w:vAlign w:val="top"/>
          </w:tcPr>
          <w:bookmarkStart w:id="0" w:name="__bookmark_6"/>
          <w:bookmarkEnd w:id="0"/>
          <w:p>
            <w:pPr>
              <w:bidi w:val="0"/>
              <w:spacing w:before="0" w:after="0"/>
              <w:jc w:val="center"/>
            </w:pPr>
            <w:r>
              <w:rPr>
                <w:rFonts w:ascii="Times New Roman" w:eastAsia="Times New Roman" w:hAnsi="Times New Roman" w:cs="Times New Roman"/>
                <w:b/>
                <w:bCs/>
                <w:color w:val="000000"/>
                <w:spacing w:val="0"/>
                <w:sz w:val="60"/>
                <w:szCs w:val="60"/>
              </w:rPr>
              <w:t>EDITAL DE LICITAÇÃO 9/2024</w:t>
            </w:r>
          </w:p>
        </w:tc>
      </w:tr>
    </w:tbl>
    <w:p/>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0" w:type="dxa"/>
              <w:left w:w="0" w:type="dxa"/>
              <w:bottom w:w="0" w:type="dxa"/>
              <w:right w:w="0" w:type="dxa"/>
            </w:tcMar>
            <w:vAlign w:val="top"/>
          </w:tcPr>
          <w:bookmarkStart w:id="1" w:name="__bookmark_7"/>
          <w:bookmarkEnd w:id="1"/>
          <w:p>
            <w:pPr>
              <w:bidi w:val="0"/>
              <w:spacing w:before="0" w:after="0"/>
              <w:jc w:val="center"/>
            </w:pPr>
            <w:r>
              <w:rPr>
                <w:rFonts w:ascii="Times New Roman" w:eastAsia="Times New Roman" w:hAnsi="Times New Roman" w:cs="Times New Roman"/>
                <w:b/>
                <w:bCs/>
                <w:color w:val="000000"/>
                <w:spacing w:val="0"/>
                <w:sz w:val="24"/>
                <w:szCs w:val="24"/>
              </w:rPr>
              <w:t>AVISO DE PREGÃO PRESENCIAL Nº 5/2024</w:t>
            </w:r>
          </w:p>
        </w:tc>
      </w:tr>
    </w:tbl>
    <w:p>
      <w:pPr>
        <w:bidi w:val="0"/>
        <w:jc w:val="center"/>
        <w:rPr>
          <w:rFonts w:ascii="Times New Roman" w:eastAsia="Times New Roman" w:hAnsi="Times New Roman" w:cs="Times New Roman"/>
          <w:b/>
          <w:bCs/>
          <w:color w:val="000000"/>
          <w:spacing w:val="0"/>
          <w:sz w:val="24"/>
          <w:szCs w:val="24"/>
        </w:rPr>
      </w:pPr>
      <w:r>
        <w:rPr>
          <w:rFonts w:ascii="Times New Roman" w:eastAsia="Times New Roman" w:hAnsi="Times New Roman" w:cs="Times New Roman"/>
          <w:b/>
          <w:bCs/>
          <w:color w:val="000000"/>
          <w:spacing w:val="0"/>
          <w:sz w:val="24"/>
          <w:szCs w:val="24"/>
        </w:rPr>
        <w:t>REGISTRO DE PREÇO</w:t>
      </w: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400" w:type="dxa"/>
              <w:right w:w="20" w:type="dxa"/>
            </w:tcMar>
            <w:vAlign w:val="top"/>
          </w:tcPr>
          <w:bookmarkStart w:id="2" w:name="__bookmark_8"/>
          <w:bookmarkEnd w:id="2"/>
          <w:p>
            <w:pPr>
              <w:bidi w:val="0"/>
              <w:spacing w:before="0" w:after="0"/>
              <w:jc w:val="both"/>
            </w:pPr>
            <w:r>
              <w:rPr>
                <w:rFonts w:ascii="Times New Roman" w:eastAsia="Times New Roman" w:hAnsi="Times New Roman" w:cs="Times New Roman"/>
                <w:b/>
                <w:bCs/>
                <w:color w:val="000000"/>
                <w:spacing w:val="0"/>
                <w:sz w:val="24"/>
                <w:szCs w:val="24"/>
              </w:rPr>
              <w:t>EXCLUSIVO PARA MICROEMPRESAS E EMPRESAS DE PEQUENO PORTE DE ACORDO COM O ARTIGO 48, INCISO I DA LEI COMPLEMENTAR N° 147/2014</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A Comissão de Licitação do Município de Vitor Meireles – Santa Catarina, situada na Rua Santa Catarina, n° 2.266, Centro, informa que se encontra aberta </w:t>
            </w:r>
            <w:r>
              <w:rPr>
                <w:rFonts w:ascii="Times New Roman" w:eastAsia="Times New Roman" w:hAnsi="Times New Roman" w:cs="Times New Roman"/>
                <w:b/>
                <w:bCs/>
                <w:color w:val="000000"/>
                <w:spacing w:val="0"/>
                <w:sz w:val="24"/>
                <w:szCs w:val="24"/>
                <w:u w:val="single"/>
              </w:rPr>
              <w:t>licitação na modalidade dispensa de licitação</w:t>
            </w:r>
            <w:r>
              <w:rPr>
                <w:rFonts w:ascii="Times New Roman" w:eastAsia="Times New Roman" w:hAnsi="Times New Roman" w:cs="Times New Roman"/>
                <w:color w:val="000000"/>
                <w:spacing w:val="0"/>
                <w:sz w:val="24"/>
                <w:szCs w:val="24"/>
              </w:rPr>
              <w:t xml:space="preserve">, do tipo, , por item, com a finalidade de selecionar propostas para </w:t>
            </w:r>
            <w:r>
              <w:rPr>
                <w:rFonts w:ascii="Times New Roman" w:eastAsia="Times New Roman" w:hAnsi="Times New Roman" w:cs="Times New Roman"/>
                <w:b/>
                <w:bCs/>
                <w:color w:val="000000"/>
                <w:spacing w:val="0"/>
                <w:sz w:val="24"/>
                <w:szCs w:val="24"/>
              </w:rPr>
              <w:t>CONTRATAÇÃO DE EMPRESA ESPECIALIZADA PARA TRANSPORTE DA TERCEIRA IDADE DO MUNICÍPIO DE VITOR MEIRELES/SC</w:t>
            </w:r>
            <w:r>
              <w:rPr>
                <w:rFonts w:ascii="Times New Roman" w:eastAsia="Times New Roman" w:hAnsi="Times New Roman" w:cs="Times New Roman"/>
                <w:color w:val="000000"/>
                <w:spacing w:val="0"/>
                <w:sz w:val="24"/>
                <w:szCs w:val="24"/>
              </w:rPr>
              <w:t>, cujas especificações detalhadas encontram-se no Anexo I que acompanha o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Rege a presente licitação, a Lei Federal 10.520/2002, Lei Federal nº 8.666/93, observadas as alterações posteriores, o Decreto Municipal nº 092/2006, Lei Complementar 123/2006 e Lei Complementar nº 147/2014 e demais legislações aplicáveis.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Serão observados os seguintes horários e datas para os procedimentos que seguem:</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Recebimento das Propostas: às </w:t>
            </w:r>
            <w:r>
              <w:rPr>
                <w:rFonts w:ascii="Times New Roman" w:eastAsia="Times New Roman" w:hAnsi="Times New Roman" w:cs="Times New Roman"/>
                <w:b/>
                <w:bCs/>
                <w:color w:val="000000"/>
                <w:spacing w:val="0"/>
                <w:sz w:val="24"/>
                <w:szCs w:val="24"/>
              </w:rPr>
              <w:t>do dia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Início da Sessão de Disputa de Preços: às 09h00min do dia 23/02/2024, no AUDITÓRIO DA PREFEITURA MUNICIPAL DE VITOR MEIRELES, horário de Brasília - DF.</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Poderão participar da licitação pessoas jurídicas que atuam no ramo pertinente ao objeto licitado, observadas as condições constantes do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O Edital completo poderá ser obtido pelos interessados na Secretaria de Administração da Prefeitura Municipal de Vitor Meireles ou pelo site </w:t>
            </w:r>
            <w:r>
              <w:rPr>
                <w:rFonts w:ascii="Times New Roman" w:eastAsia="Times New Roman" w:hAnsi="Times New Roman" w:cs="Times New Roman"/>
                <w:color w:val="0000FF"/>
                <w:spacing w:val="0"/>
                <w:sz w:val="24"/>
                <w:szCs w:val="24"/>
                <w:u w:val="single"/>
              </w:rPr>
              <w:t>www.vitormeireles.sc.gov.br</w:t>
            </w:r>
            <w:r>
              <w:rPr>
                <w:rFonts w:ascii="Times New Roman" w:eastAsia="Times New Roman" w:hAnsi="Times New Roman" w:cs="Times New Roman"/>
                <w:color w:val="000000"/>
                <w:spacing w:val="0"/>
                <w:sz w:val="24"/>
                <w:szCs w:val="24"/>
              </w:rPr>
              <w:t>.</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As dúvidas pertinentes a presente licitação poderão ser esclarecidas da seguinte maneira:</w:t>
            </w:r>
          </w:p>
          <w:p>
            <w:pPr>
              <w:bidi w:val="0"/>
              <w:spacing w:before="0" w:after="0"/>
              <w:jc w:val="both"/>
            </w:pPr>
          </w:p>
          <w:p>
            <w:pPr>
              <w:bidi w:val="0"/>
              <w:spacing w:before="0" w:after="0"/>
              <w:ind w:firstLine="500"/>
              <w:jc w:val="both"/>
            </w:pPr>
            <w:r>
              <w:rPr>
                <w:rFonts w:ascii="Times New Roman" w:eastAsia="Times New Roman" w:hAnsi="Times New Roman" w:cs="Times New Roman"/>
                <w:b/>
                <w:bCs/>
                <w:color w:val="000000"/>
                <w:spacing w:val="0"/>
                <w:sz w:val="24"/>
                <w:szCs w:val="24"/>
              </w:rPr>
              <w:t>Telefone: (47) 3258-0211/0017</w:t>
            </w:r>
          </w:p>
          <w:p>
            <w:pPr>
              <w:bidi w:val="0"/>
              <w:spacing w:before="0" w:after="0"/>
              <w:ind w:firstLine="500"/>
              <w:jc w:val="both"/>
            </w:pPr>
            <w:r>
              <w:rPr>
                <w:rFonts w:ascii="Times New Roman" w:eastAsia="Times New Roman" w:hAnsi="Times New Roman" w:cs="Times New Roman"/>
                <w:b/>
                <w:bCs/>
                <w:color w:val="000000"/>
                <w:spacing w:val="0"/>
                <w:sz w:val="24"/>
                <w:szCs w:val="24"/>
              </w:rPr>
              <w:t xml:space="preserve">E-mail: </w:t>
            </w:r>
            <w:r>
              <w:rPr>
                <w:rFonts w:ascii="Times New Roman" w:eastAsia="Times New Roman" w:hAnsi="Times New Roman" w:cs="Times New Roman"/>
                <w:b/>
                <w:bCs/>
                <w:color w:val="0000FF"/>
                <w:spacing w:val="0"/>
                <w:sz w:val="24"/>
                <w:szCs w:val="24"/>
                <w:u w:val="single"/>
              </w:rPr>
              <w:t>compras@vitormeireles.sc.gov.br</w:t>
            </w:r>
          </w:p>
          <w:p>
            <w:pPr>
              <w:bidi w:val="0"/>
              <w:spacing w:before="0" w:after="0"/>
              <w:ind w:firstLine="500"/>
              <w:jc w:val="both"/>
            </w:pPr>
            <w:r>
              <w:rPr>
                <w:rFonts w:ascii="Times New Roman" w:eastAsia="Times New Roman" w:hAnsi="Times New Roman" w:cs="Times New Roman"/>
                <w:b/>
                <w:bCs/>
                <w:color w:val="000000"/>
                <w:spacing w:val="0"/>
                <w:sz w:val="24"/>
                <w:szCs w:val="24"/>
              </w:rPr>
              <w:t>Endereço: Rua Santa Catarina, 2.266 - Centro, CEP 89.148-000 Vitor Meireles/SC</w:t>
            </w:r>
          </w:p>
        </w:tc>
      </w:tr>
    </w:tbl>
    <w:p/>
    <w:tbl>
      <w:tblPr>
        <w:tblStyle w:val="TableNormal"/>
        <w:tblOverlap w:val="never"/>
        <w:tblW w:w="9072" w:type="dxa"/>
        <w:jc w:val="right"/>
        <w:tblInd w:w="0" w:type="dxa"/>
        <w:tblLayout w:type="fixed"/>
        <w:tblCellMar>
          <w:top w:w="0" w:type="dxa"/>
          <w:left w:w="0" w:type="dxa"/>
          <w:bottom w:w="0" w:type="dxa"/>
          <w:right w:w="0" w:type="dxa"/>
        </w:tblCellMar>
        <w:tblLook w:val="01E0"/>
      </w:tblPr>
      <w:tblGrid>
        <w:gridCol w:w="9072"/>
      </w:tblGrid>
      <w:tr>
        <w:tblPrEx>
          <w:tblW w:w="9072" w:type="dxa"/>
          <w:jc w:val="right"/>
          <w:tblInd w:w="0" w:type="dxa"/>
          <w:tblLayout w:type="fixed"/>
          <w:tblCellMar>
            <w:top w:w="0" w:type="dxa"/>
            <w:left w:w="0" w:type="dxa"/>
            <w:bottom w:w="0" w:type="dxa"/>
            <w:right w:w="0" w:type="dxa"/>
          </w:tblCellMar>
          <w:tblLook w:val="01E0"/>
        </w:tblPrEx>
        <w:trPr>
          <w:jc w:val="right"/>
        </w:trPr>
        <w:tc>
          <w:tcPr>
            <w:tcW w:w="9072" w:type="dxa"/>
            <w:noWrap w:val="0"/>
            <w:tcMar>
              <w:top w:w="20" w:type="dxa"/>
              <w:left w:w="20" w:type="dxa"/>
              <w:bottom w:w="1000" w:type="dxa"/>
              <w:right w:w="20" w:type="dxa"/>
            </w:tcMar>
            <w:vAlign w:val="top"/>
          </w:tcPr>
          <w:bookmarkStart w:id="3" w:name="__bookmark_9"/>
          <w:bookmarkEnd w:id="3"/>
          <w:p>
            <w:pPr>
              <w:bidi w:val="0"/>
              <w:spacing w:before="0" w:after="0"/>
              <w:jc w:val="right"/>
            </w:pPr>
            <w:r>
              <w:rPr>
                <w:rFonts w:ascii="Times New Roman" w:eastAsia="Times New Roman" w:hAnsi="Times New Roman" w:cs="Times New Roman"/>
                <w:color w:val="000000"/>
                <w:spacing w:val="0"/>
                <w:sz w:val="24"/>
                <w:szCs w:val="24"/>
              </w:rPr>
              <w:t>Vitor Meireles (SC), 19 de fevereiro de 2024.</w:t>
            </w:r>
          </w:p>
        </w:tc>
      </w:tr>
    </w:tbl>
    <w:p/>
    <w:tbl>
      <w:tblPr>
        <w:tblStyle w:val="TableNormal"/>
        <w:tblOverlap w:val="never"/>
        <w:tblW w:w="9032" w:type="dxa"/>
        <w:tblInd w:w="20" w:type="dxa"/>
        <w:tblLayout w:type="fixed"/>
        <w:tblLook w:val="01E0"/>
      </w:tblPr>
      <w:tblGrid>
        <w:gridCol w:w="4093"/>
        <w:gridCol w:w="846"/>
        <w:gridCol w:w="4093"/>
      </w:tblGrid>
      <w:tr>
        <w:tblPrEx>
          <w:tblW w:w="9032" w:type="dxa"/>
          <w:tblInd w:w="20" w:type="dxa"/>
          <w:tblLayout w:type="fixed"/>
          <w:tblLook w:val="01E0"/>
        </w:tblPrEx>
        <w:tc>
          <w:tcPr>
            <w:tcW w:w="4111" w:type="dxa"/>
            <w:noWrap w:val="0"/>
            <w:tcMar>
              <w:top w:w="0" w:type="dxa"/>
              <w:left w:w="0" w:type="dxa"/>
              <w:bottom w:w="0" w:type="dxa"/>
              <w:right w:w="0" w:type="dxa"/>
            </w:tcMar>
            <w:vAlign w:val="top"/>
          </w:tcPr>
          <w:tbl>
            <w:tblPr>
              <w:tblStyle w:val="TableNormal"/>
              <w:tblOverlap w:val="never"/>
              <w:tblW w:w="4111" w:type="dxa"/>
              <w:jc w:val="center"/>
              <w:tblInd w:w="0" w:type="dxa"/>
              <w:tblLayout w:type="fixed"/>
              <w:tblCellMar>
                <w:top w:w="0" w:type="dxa"/>
                <w:left w:w="0" w:type="dxa"/>
                <w:bottom w:w="0" w:type="dxa"/>
                <w:right w:w="0" w:type="dxa"/>
              </w:tblCellMar>
              <w:tblLook w:val="01E0"/>
            </w:tblPr>
            <w:tblGrid>
              <w:gridCol w:w="4111"/>
            </w:tblGrid>
            <w:tr>
              <w:tblPrEx>
                <w:tblW w:w="4111" w:type="dxa"/>
                <w:jc w:val="center"/>
                <w:tblInd w:w="0" w:type="dxa"/>
                <w:tblLayout w:type="fixed"/>
                <w:tblCellMar>
                  <w:top w:w="0" w:type="dxa"/>
                  <w:left w:w="0" w:type="dxa"/>
                  <w:bottom w:w="0" w:type="dxa"/>
                  <w:right w:w="0" w:type="dxa"/>
                </w:tblCellMar>
                <w:tblLook w:val="01E0"/>
              </w:tblPrEx>
              <w:trPr>
                <w:jc w:val="center"/>
              </w:trPr>
              <w:tc>
                <w:tcPr>
                  <w:tcW w:w="4111"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i/>
                      <w:iCs/>
                      <w:color w:val="000000"/>
                      <w:spacing w:val="0"/>
                      <w:sz w:val="24"/>
                      <w:szCs w:val="24"/>
                    </w:rPr>
                    <w:t>BENTO FRANCISCO SILVY</w:t>
                  </w:r>
                </w:p>
                <w:p>
                  <w:pPr>
                    <w:bidi w:val="0"/>
                    <w:spacing w:before="0" w:after="0"/>
                    <w:jc w:val="center"/>
                  </w:pPr>
                  <w:r>
                    <w:rPr>
                      <w:rFonts w:ascii="Times New Roman" w:eastAsia="Times New Roman" w:hAnsi="Times New Roman" w:cs="Times New Roman"/>
                      <w:b/>
                      <w:bCs/>
                      <w:i/>
                      <w:iCs/>
                      <w:color w:val="000000"/>
                      <w:spacing w:val="0"/>
                      <w:sz w:val="24"/>
                      <w:szCs w:val="24"/>
                    </w:rPr>
                    <w:t>Prefeito Municipal</w:t>
                  </w:r>
                </w:p>
              </w:tc>
            </w:tr>
          </w:tbl>
          <w:p>
            <w:pPr>
              <w:spacing w:line="1" w:lineRule="auto"/>
            </w:pPr>
          </w:p>
        </w:tc>
        <w:tc>
          <w:tcPr>
            <w:tcW w:w="850"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tbl>
            <w:tblPr>
              <w:tblStyle w:val="TableNormal"/>
              <w:tblOverlap w:val="never"/>
              <w:tblW w:w="4111" w:type="dxa"/>
              <w:jc w:val="center"/>
              <w:tblInd w:w="0" w:type="dxa"/>
              <w:tblLayout w:type="fixed"/>
              <w:tblCellMar>
                <w:top w:w="0" w:type="dxa"/>
                <w:left w:w="0" w:type="dxa"/>
                <w:bottom w:w="0" w:type="dxa"/>
                <w:right w:w="0" w:type="dxa"/>
              </w:tblCellMar>
              <w:tblLook w:val="01E0"/>
            </w:tblPr>
            <w:tblGrid>
              <w:gridCol w:w="4111"/>
            </w:tblGrid>
            <w:tr>
              <w:tblPrEx>
                <w:tblW w:w="4111" w:type="dxa"/>
                <w:jc w:val="center"/>
                <w:tblInd w:w="0" w:type="dxa"/>
                <w:tblLayout w:type="fixed"/>
                <w:tblCellMar>
                  <w:top w:w="0" w:type="dxa"/>
                  <w:left w:w="0" w:type="dxa"/>
                  <w:bottom w:w="0" w:type="dxa"/>
                  <w:right w:w="0" w:type="dxa"/>
                </w:tblCellMar>
                <w:tblLook w:val="01E0"/>
              </w:tblPrEx>
              <w:trPr>
                <w:jc w:val="center"/>
              </w:trPr>
              <w:tc>
                <w:tcPr>
                  <w:tcW w:w="4111"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Times New Roman" w:eastAsia="Times New Roman" w:hAnsi="Times New Roman" w:cs="Times New Roman"/>
                      <w:b/>
                      <w:bCs/>
                      <w:i/>
                      <w:iCs/>
                      <w:color w:val="000000"/>
                      <w:spacing w:val="0"/>
                      <w:sz w:val="24"/>
                      <w:szCs w:val="24"/>
                    </w:rPr>
                    <w:t>Pregoeiro(a)</w:t>
                  </w:r>
                </w:p>
              </w:tc>
            </w:tr>
          </w:tbl>
          <w:p>
            <w:pPr>
              <w:spacing w:line="1" w:lineRule="auto"/>
            </w:pPr>
          </w:p>
        </w:tc>
      </w:tr>
    </w:tbl>
    <w:p>
      <w:pPr>
        <w:sectPr>
          <w:headerReference w:type="default" r:id="rId4"/>
          <w:footerReference w:type="default" r:id="rId5"/>
          <w:pgSz w:w="11905" w:h="16837" w:orient="portrait"/>
          <w:pgMar w:top="1700" w:right="1133" w:bottom="1133" w:left="1700" w:header="1700" w:footer="1133"/>
          <w:cols w:space="708"/>
        </w:sectPr>
      </w:pP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0" w:type="dxa"/>
              <w:right w:w="20" w:type="dxa"/>
            </w:tcMar>
            <w:vAlign w:val="top"/>
          </w:tcPr>
          <w:bookmarkStart w:id="4" w:name="__bookmark_10"/>
          <w:bookmarkEnd w:id="4"/>
          <w:p>
            <w:pPr>
              <w:bidi w:val="0"/>
              <w:spacing w:before="0" w:after="0"/>
              <w:jc w:val="center"/>
            </w:pPr>
            <w:r>
              <w:rPr>
                <w:rFonts w:ascii="Times New Roman" w:eastAsia="Times New Roman" w:hAnsi="Times New Roman" w:cs="Times New Roman"/>
                <w:b/>
                <w:bCs/>
                <w:color w:val="000000"/>
                <w:spacing w:val="0"/>
                <w:sz w:val="24"/>
                <w:szCs w:val="24"/>
              </w:rPr>
              <w:t>DISPENSA DE LICITAÇÃO Nº 5/2024</w:t>
            </w: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O Município de Vitor Meireles, por intermédio do Pregoeiro, nomeado pela Portaria nº null/, de , torna público, para conhecimento dos interessados que, conforme dispõe a Lei Federal n° 10.520 de 17 de julho de 2002 e do Decreto Municipal regulamentar nº 92/2006, Lei Complementar 123/2006 e Lei Complementar nº 147/2014 e com aplicação subsidiária da Lei 8.666/93, fará realizar licitação na modalidade DISPENSA DE LICITAÇÃO, do tipo /por item.</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A documentação e proposta relativas à licitação serão recebidas, às do dia , ou caso não haja expediente nesta data, no primeiro dia útil subsequente, na sede da Prefeitura Municipal de Vitor Meireles, Rua Santa Catarina, nº 2.266, bairro centro, município de Vitor Meireles. Telefone (047) 3258-0211.</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Os licitantes deverão apresentar, na data e horário acima, dois envelopes devidamente fechados, contendo no ENVELOPE Nº 01 a proposta comercial, conforme solicitado no item 04 deste Edital, e no ENVELOPE Nº 02 a documentação comprobatória de sua habilitação, solicitada no item 04 deste Edital, sendo que, ambos deverão conter, na parte externa, os seguintes dizeres:</w:t>
            </w:r>
          </w:p>
        </w:tc>
      </w:tr>
    </w:tbl>
    <w:p/>
    <w:tbl>
      <w:tblPr>
        <w:tblStyle w:val="TableNormal"/>
        <w:tblOverlap w:val="never"/>
        <w:tblW w:w="8941" w:type="dxa"/>
        <w:jc w:val="left"/>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4470"/>
        <w:gridCol w:w="4471"/>
      </w:tblGrid>
      <w:tr>
        <w:tblPrEx>
          <w:tblW w:w="8941" w:type="dxa"/>
          <w:jc w:val="left"/>
          <w:tblInd w:w="20" w:type="dxa"/>
          <w:tblBorders>
            <w:top w:val="single" w:sz="6" w:space="0" w:color="000000"/>
            <w:left w:val="single" w:sz="6" w:space="0" w:color="000000"/>
            <w:bottom w:val="single" w:sz="6" w:space="0" w:color="000000"/>
            <w:right w:val="single" w:sz="6" w:space="0" w:color="000000"/>
          </w:tblBorders>
          <w:tblLayout w:type="fixed"/>
          <w:tblLook w:val="01E0"/>
        </w:tblPrEx>
        <w:trPr>
          <w:jc w:val="left"/>
        </w:trPr>
        <w:tc>
          <w:tcPr>
            <w:tcW w:w="4490"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A PREFEITURA MUNICIPAL DE VITOR MEIRELES</w:t>
            </w:r>
          </w:p>
        </w:tc>
        <w:tc>
          <w:tcPr>
            <w:tcW w:w="4491" w:type="dxa"/>
            <w:tcBorders>
              <w:lef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A PREFEITURA MUNICIPAL DE VITOR MEIRELES</w:t>
            </w:r>
          </w:p>
        </w:tc>
      </w:tr>
      <w:tr>
        <w:tblPrEx>
          <w:tblW w:w="8941" w:type="dxa"/>
          <w:jc w:val="left"/>
          <w:tblInd w:w="20" w:type="dxa"/>
          <w:tblLayout w:type="fixed"/>
          <w:tblLook w:val="01E0"/>
        </w:tblPrEx>
        <w:trPr>
          <w:jc w:val="left"/>
        </w:trPr>
        <w:tc>
          <w:tcPr>
            <w:tcW w:w="4490"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RAZÃO SOCIAL DA LICITANTE</w:t>
            </w:r>
          </w:p>
        </w:tc>
        <w:tc>
          <w:tcPr>
            <w:tcW w:w="4491" w:type="dxa"/>
            <w:tcBorders>
              <w:left w:val="single" w:sz="6" w:space="0" w:color="000000"/>
            </w:tcBorders>
            <w:noWrap w:val="0"/>
            <w:tcMar>
              <w:top w:w="0" w:type="dxa"/>
              <w:left w:w="0" w:type="dxa"/>
              <w:bottom w:w="0" w:type="dxa"/>
              <w:right w:w="0" w:type="dxa"/>
            </w:tcMar>
            <w:vAlign w:val="top"/>
          </w:tcPr>
          <w:p>
            <w:pPr>
              <w:spacing w:line="1" w:lineRule="auto"/>
            </w:pPr>
          </w:p>
        </w:tc>
      </w:tr>
      <w:tr>
        <w:tblPrEx>
          <w:tblW w:w="8941" w:type="dxa"/>
          <w:jc w:val="left"/>
          <w:tblInd w:w="20" w:type="dxa"/>
          <w:tblLayout w:type="fixed"/>
          <w:tblLook w:val="01E0"/>
        </w:tblPrEx>
        <w:trPr>
          <w:jc w:val="left"/>
        </w:trPr>
        <w:tc>
          <w:tcPr>
            <w:tcW w:w="4490" w:type="dxa"/>
            <w:noWrap w:val="0"/>
            <w:tcMar>
              <w:top w:w="0" w:type="dxa"/>
              <w:left w:w="0" w:type="dxa"/>
              <w:bottom w:w="0" w:type="dxa"/>
              <w:right w:w="0" w:type="dxa"/>
            </w:tcMar>
            <w:vAlign w:val="top"/>
          </w:tcPr>
          <w:tbl>
            <w:tblPr>
              <w:tblStyle w:val="TableNormal"/>
              <w:tblOverlap w:val="never"/>
              <w:tblW w:w="4490" w:type="dxa"/>
              <w:jc w:val="left"/>
              <w:tblInd w:w="0" w:type="dxa"/>
              <w:tblLayout w:type="fixed"/>
              <w:tblCellMar>
                <w:top w:w="0" w:type="dxa"/>
                <w:left w:w="0" w:type="dxa"/>
                <w:bottom w:w="0" w:type="dxa"/>
                <w:right w:w="0" w:type="dxa"/>
              </w:tblCellMar>
              <w:tblLook w:val="01E0"/>
            </w:tblPr>
            <w:tblGrid>
              <w:gridCol w:w="4490"/>
            </w:tblGrid>
            <w:tr>
              <w:tblPrEx>
                <w:tblW w:w="4490" w:type="dxa"/>
                <w:jc w:val="left"/>
                <w:tblInd w:w="0" w:type="dxa"/>
                <w:tblLayout w:type="fixed"/>
                <w:tblCellMar>
                  <w:top w:w="0" w:type="dxa"/>
                  <w:left w:w="0" w:type="dxa"/>
                  <w:bottom w:w="0" w:type="dxa"/>
                  <w:right w:w="0" w:type="dxa"/>
                </w:tblCellMar>
                <w:tblLook w:val="01E0"/>
              </w:tblPrEx>
              <w:trPr>
                <w:jc w:val="left"/>
              </w:trPr>
              <w:tc>
                <w:tcPr>
                  <w:tcW w:w="4490" w:type="dxa"/>
                  <w:noWrap w:val="0"/>
                  <w:tcMar>
                    <w:top w:w="0" w:type="dxa"/>
                    <w:left w:w="0" w:type="dxa"/>
                    <w:bottom w:w="0" w:type="dxa"/>
                    <w:right w:w="0" w:type="dxa"/>
                  </w:tcMar>
                  <w:vAlign w:val="top"/>
                </w:tcPr>
                <w:bookmarkStart w:id="5" w:name="__bookmark_11"/>
                <w:bookmarkEnd w:id="5"/>
                <w:p>
                  <w:pPr>
                    <w:bidi w:val="0"/>
                    <w:spacing w:before="0" w:after="0"/>
                    <w:jc w:val="left"/>
                  </w:pPr>
                  <w:r>
                    <w:rPr>
                      <w:rFonts w:ascii="Times New Roman" w:eastAsia="Times New Roman" w:hAnsi="Times New Roman" w:cs="Times New Roman"/>
                      <w:color w:val="000000"/>
                      <w:spacing w:val="0"/>
                      <w:sz w:val="24"/>
                      <w:szCs w:val="24"/>
                    </w:rPr>
                    <w:t>DISPENSA DE LICITAÇÃO Nº 5/2024</w:t>
                  </w:r>
                </w:p>
              </w:tc>
            </w:tr>
          </w:tbl>
          <w:p>
            <w:pPr>
              <w:spacing w:line="1" w:lineRule="auto"/>
            </w:pPr>
          </w:p>
        </w:tc>
        <w:tc>
          <w:tcPr>
            <w:tcW w:w="4491" w:type="dxa"/>
            <w:tcBorders>
              <w:left w:val="single" w:sz="6" w:space="0" w:color="000000"/>
            </w:tcBorders>
            <w:noWrap w:val="0"/>
            <w:tcMar>
              <w:top w:w="0" w:type="dxa"/>
              <w:left w:w="0" w:type="dxa"/>
              <w:bottom w:w="0" w:type="dxa"/>
              <w:right w:w="0" w:type="dxa"/>
            </w:tcMar>
            <w:vAlign w:val="top"/>
          </w:tcPr>
          <w:p/>
          <w:tbl>
            <w:tblPr>
              <w:tblStyle w:val="TableNormal"/>
              <w:tblOverlap w:val="never"/>
              <w:tblW w:w="4491" w:type="dxa"/>
              <w:jc w:val="left"/>
              <w:tblInd w:w="0" w:type="dxa"/>
              <w:tblLayout w:type="fixed"/>
              <w:tblCellMar>
                <w:top w:w="0" w:type="dxa"/>
                <w:left w:w="0" w:type="dxa"/>
                <w:bottom w:w="0" w:type="dxa"/>
                <w:right w:w="0" w:type="dxa"/>
              </w:tblCellMar>
              <w:tblLook w:val="01E0"/>
            </w:tblPr>
            <w:tblGrid>
              <w:gridCol w:w="4491"/>
            </w:tblGrid>
            <w:tr>
              <w:tblPrEx>
                <w:tblW w:w="4491" w:type="dxa"/>
                <w:jc w:val="left"/>
                <w:tblInd w:w="0" w:type="dxa"/>
                <w:tblLayout w:type="fixed"/>
                <w:tblCellMar>
                  <w:top w:w="0" w:type="dxa"/>
                  <w:left w:w="0" w:type="dxa"/>
                  <w:bottom w:w="0" w:type="dxa"/>
                  <w:right w:w="0" w:type="dxa"/>
                </w:tblCellMar>
                <w:tblLook w:val="01E0"/>
              </w:tblPrEx>
              <w:trPr>
                <w:jc w:val="left"/>
              </w:trPr>
              <w:tc>
                <w:tcPr>
                  <w:tcW w:w="4491" w:type="dxa"/>
                  <w:noWrap w:val="0"/>
                  <w:tcMar>
                    <w:top w:w="0" w:type="dxa"/>
                    <w:left w:w="0" w:type="dxa"/>
                    <w:bottom w:w="0" w:type="dxa"/>
                    <w:right w:w="0" w:type="dxa"/>
                  </w:tcMar>
                  <w:vAlign w:val="top"/>
                </w:tcPr>
                <w:bookmarkStart w:id="6" w:name="__bookmark_12"/>
                <w:bookmarkEnd w:id="6"/>
                <w:p>
                  <w:pPr>
                    <w:bidi w:val="0"/>
                    <w:spacing w:before="0" w:after="0"/>
                    <w:jc w:val="left"/>
                  </w:pPr>
                  <w:r>
                    <w:rPr>
                      <w:rFonts w:ascii="Times New Roman" w:eastAsia="Times New Roman" w:hAnsi="Times New Roman" w:cs="Times New Roman"/>
                      <w:color w:val="000000"/>
                      <w:spacing w:val="0"/>
                      <w:sz w:val="24"/>
                      <w:szCs w:val="24"/>
                    </w:rPr>
                    <w:t>DISPENSA DE LICITAÇÃO Nº 5/2024</w:t>
                  </w:r>
                </w:p>
              </w:tc>
            </w:tr>
          </w:tbl>
          <w:p>
            <w:pPr>
              <w:spacing w:line="1" w:lineRule="auto"/>
            </w:pPr>
          </w:p>
        </w:tc>
      </w:tr>
      <w:tr>
        <w:tblPrEx>
          <w:tblW w:w="8941" w:type="dxa"/>
          <w:jc w:val="left"/>
          <w:tblInd w:w="20" w:type="dxa"/>
          <w:tblLayout w:type="fixed"/>
          <w:tblLook w:val="01E0"/>
        </w:tblPrEx>
        <w:trPr>
          <w:jc w:val="left"/>
        </w:trPr>
        <w:tc>
          <w:tcPr>
            <w:tcW w:w="4490"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ENVELOPE Nº 01 – PROPOSTA COMERCIAL</w:t>
            </w:r>
          </w:p>
        </w:tc>
        <w:tc>
          <w:tcPr>
            <w:tcW w:w="4491" w:type="dxa"/>
            <w:tcBorders>
              <w:lef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4"/>
                <w:szCs w:val="24"/>
              </w:rPr>
            </w:pPr>
            <w:r>
              <w:rPr>
                <w:rFonts w:ascii="Times New Roman" w:eastAsia="Times New Roman" w:hAnsi="Times New Roman" w:cs="Times New Roman"/>
                <w:color w:val="000000"/>
                <w:spacing w:val="0"/>
                <w:sz w:val="24"/>
                <w:szCs w:val="24"/>
              </w:rPr>
              <w:t xml:space="preserve">ENVELOPE Nº 02 – DOCUMENTAÇÃO </w:t>
            </w: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0" w:type="dxa"/>
              <w:left w:w="20" w:type="dxa"/>
              <w:bottom w:w="200" w:type="dxa"/>
              <w:right w:w="20" w:type="dxa"/>
            </w:tcMar>
            <w:vAlign w:val="top"/>
          </w:tcPr>
          <w:bookmarkStart w:id="7" w:name="__bookmark_13"/>
          <w:bookmarkEnd w:id="7"/>
          <w:p>
            <w:pPr>
              <w:bidi w:val="0"/>
              <w:spacing w:before="0" w:after="0"/>
              <w:jc w:val="center"/>
            </w:pPr>
            <w:r>
              <w:rPr>
                <w:rFonts w:ascii="Times New Roman" w:eastAsia="Times New Roman" w:hAnsi="Times New Roman" w:cs="Times New Roman"/>
                <w:b/>
                <w:bCs/>
                <w:color w:val="000000"/>
                <w:spacing w:val="0"/>
                <w:sz w:val="24"/>
                <w:szCs w:val="24"/>
              </w:rPr>
              <w:t>CONDIÇÕES PARA PARTICIPAÇÃO NA LICITAÇÃO</w:t>
            </w:r>
          </w:p>
          <w:p>
            <w:pPr>
              <w:bidi w:val="0"/>
              <w:spacing w:before="0" w:after="0"/>
              <w:jc w:val="both"/>
            </w:pPr>
            <w:r>
              <w:rPr>
                <w:rFonts w:ascii="Times New Roman" w:eastAsia="Times New Roman" w:hAnsi="Times New Roman" w:cs="Times New Roman"/>
                <w:color w:val="000000"/>
                <w:spacing w:val="0"/>
                <w:sz w:val="24"/>
                <w:szCs w:val="24"/>
              </w:rPr>
              <w:t>Poderão participar deste Pregão os licitantes interessados que atenderem a todas as exigências, inclusive quanto à habilitação, constantes neste Edital e seus anexos.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Será vedada a participação de empresas declaradas inidôneas por ato do Poder Público, ou que estejam temporariamente impedidas de licitar, contratar ou transacionar com a Administração Pública ou quaisquer de seus órgãos descentralizados.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Este Processo Licitatório é exclusivo para empresas que usufruírem dos privilégios estabelecidos pela Lei Complementar nº. 123, de 14 de dezembro de 2006 e Lei Complementar nº 147, de 7 de agosto de 2014, no tocante à regularidade fiscal e ao direito de preferência, aos microempreendedores individuais(MEI), as microempresas(ME) e empresas de pequeno porte (EPP), e deverão apresentar no credenciamento, a seguinte documentação: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w:t>
            </w:r>
            <w:r>
              <w:rPr>
                <w:rFonts w:ascii="Times New Roman" w:eastAsia="Times New Roman" w:hAnsi="Times New Roman" w:cs="Times New Roman"/>
                <w:b/>
                <w:bCs/>
                <w:color w:val="000000"/>
                <w:spacing w:val="0"/>
                <w:sz w:val="24"/>
                <w:szCs w:val="24"/>
              </w:rPr>
              <w:t>Certidão de enquadramento</w:t>
            </w:r>
            <w:r>
              <w:rPr>
                <w:rFonts w:ascii="Times New Roman" w:eastAsia="Times New Roman" w:hAnsi="Times New Roman" w:cs="Times New Roman"/>
                <w:color w:val="000000"/>
                <w:spacing w:val="0"/>
                <w:sz w:val="24"/>
                <w:szCs w:val="24"/>
              </w:rPr>
              <w:t xml:space="preserve"> no Estatuto Nacional da Microempresa e Empresa de Pequeno Porte, fornecida pela Junta Comercial da sede do licitante, de acordo com a Instrução Normativa DNRC nº 103/2007, e </w:t>
            </w:r>
            <w:r>
              <w:rPr>
                <w:rFonts w:ascii="Times New Roman" w:eastAsia="Times New Roman" w:hAnsi="Times New Roman" w:cs="Times New Roman"/>
                <w:b/>
                <w:bCs/>
                <w:color w:val="000000"/>
                <w:spacing w:val="0"/>
                <w:sz w:val="24"/>
                <w:szCs w:val="24"/>
              </w:rPr>
              <w:t>declaração de enquadramento</w:t>
            </w:r>
            <w:r>
              <w:rPr>
                <w:rFonts w:ascii="Times New Roman" w:eastAsia="Times New Roman" w:hAnsi="Times New Roman" w:cs="Times New Roman"/>
                <w:color w:val="000000"/>
                <w:spacing w:val="0"/>
                <w:sz w:val="24"/>
                <w:szCs w:val="24"/>
              </w:rPr>
              <w:t xml:space="preserve"> em conformidade com o art. 3º da Lei Complementar nº 123/2006 e Lei Complementar nº 147/2014, afirmando ainda que não se enquadram em nenhuma das hipóteses do § 4º do art. 3º da Lei Complementar nº 123/2006 e Lei Complementar nº 147/2014. (Anexo V).</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Este certame ficará limitado a participação dos microempreendedores individuais (MEI), das microempresas (ME) e das empresas de pequeno porte (EPP).</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Não havendo no mínimo 3 (três) microempresas e/ou empresas de pequeno porte participantes no certame, será aceita a participação de grandes empresas que se enquadrem no ramo de atividade relacionado no objeto da licitação, seguindo o tramite normal do Pregão Presencial, deixando-se de aplicar o artigo 48, inciso I da Lei Complementar n° 147/2014.</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w:t>
            </w:r>
            <w:r>
              <w:rPr>
                <w:rFonts w:ascii="Times New Roman" w:eastAsia="Times New Roman" w:hAnsi="Times New Roman" w:cs="Times New Roman"/>
                <w:b/>
                <w:bCs/>
                <w:color w:val="000000"/>
                <w:spacing w:val="0"/>
                <w:sz w:val="24"/>
                <w:szCs w:val="24"/>
              </w:rPr>
              <w:t>1.0 DO OBJETO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1.1 A presente licitação tem como objeto o </w:t>
            </w:r>
            <w:r>
              <w:rPr>
                <w:rFonts w:ascii="Times New Roman" w:eastAsia="Times New Roman" w:hAnsi="Times New Roman" w:cs="Times New Roman"/>
                <w:color w:val="000000"/>
                <w:spacing w:val="0"/>
                <w:sz w:val="24"/>
                <w:szCs w:val="24"/>
              </w:rPr>
              <w:t>Registro De Preço</w:t>
            </w:r>
            <w:r>
              <w:rPr>
                <w:rFonts w:ascii="Times New Roman" w:eastAsia="Times New Roman" w:hAnsi="Times New Roman" w:cs="Times New Roman"/>
                <w:color w:val="000000"/>
                <w:spacing w:val="0"/>
                <w:sz w:val="24"/>
                <w:szCs w:val="24"/>
              </w:rPr>
              <w:t xml:space="preserve"> para </w:t>
            </w:r>
            <w:r>
              <w:rPr>
                <w:rFonts w:ascii="Times New Roman" w:eastAsia="Times New Roman" w:hAnsi="Times New Roman" w:cs="Times New Roman"/>
                <w:b/>
                <w:bCs/>
                <w:color w:val="000000"/>
                <w:spacing w:val="0"/>
                <w:sz w:val="24"/>
                <w:szCs w:val="24"/>
              </w:rPr>
              <w:t>CONTRATAÇÃO DE EMPRESA ESPECIALIZADA PARA TRANSPORTE DA TERCEIRA IDADE DO MUNICÍPIO DE VITOR MEIRELES/SC</w:t>
            </w:r>
            <w:r>
              <w:rPr>
                <w:rFonts w:ascii="Times New Roman" w:eastAsia="Times New Roman" w:hAnsi="Times New Roman" w:cs="Times New Roman"/>
                <w:color w:val="000000"/>
                <w:spacing w:val="0"/>
                <w:sz w:val="24"/>
                <w:szCs w:val="24"/>
              </w:rPr>
              <w:t>, conforme especificações e quantitativos constantes do ANEXO I.</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1.2 A existência de preços, registrados, não obriga o a Prefeitura Municipal de Vitor Meireles firmar contratações que deles poderão advir facultando-se a realização de licitação específica para o objeto pretendido, sendo assegurada ao beneficiário do registro a preferência na contratação, em igualdade de condições, nos termos do Artigo 15, Parágrafo 4º. da Lei nº.8.666/93.</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2.0 DA HABILITAÇÃO</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2.1 habilitação jurídica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 Poderão participar desta licitação quaisquer interessados, desde que para habilitação entreguem os seguintes documentos: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2.1.2 Registro Comercial, no caso de empresa individual, ou Ato constitutivo, Estatuto ou Contrato Social em vigor, devidamente registrado, em se tratando de sociedades comerciais e, no caso de sociedades por ações, acompanhado de documentos de eleição de seus administradores, ou ainda, inscrição do ato constitutivo, no caso de sociedades civis, acompanhada de prova da diretoria em exercício.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2.1.3 Decreto de autorização, em se tratando de empresa ou sociedade estrangeira em funcionamento no País, e ato de registro ou autorização para funcionamento expedido pelo órgão competente, quando a atividade assim o exigir.</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2.2 Regularidade Fiscal e Trabalhista: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2.2.1 Prova de inscrição no Cadastro Nacional de Pessoa Jurídica (CNPJ).</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2.2.2 Prova de regularidade fiscal com as Fazendas Federal, Estadual e Municipal, do domicílio ou sede da empresa;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2.2.3 Prova de regularidade fiscal perante o FGTS;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2.2.4 Certidão Negativa de Débitos Trabalhistas – CNDT, expedida pela Justiça do Trabalho;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2.3 Os documentos de habilitação deverão ser entregues em original, por qualquer processo de cópia autenticada por cartório competente ou por servidor da Administração, ou publicação na imprensa oficial, nos termos da legislação </w:t>
            </w:r>
            <w:r>
              <w:rPr>
                <w:rFonts w:ascii="Times New Roman" w:eastAsia="Times New Roman" w:hAnsi="Times New Roman" w:cs="Times New Roman"/>
                <w:b/>
                <w:bCs/>
                <w:i/>
                <w:iCs/>
                <w:color w:val="000000"/>
                <w:spacing w:val="0"/>
                <w:sz w:val="24"/>
                <w:szCs w:val="24"/>
              </w:rPr>
              <w:t>(não serão autenticados documentos no dia da sessão do dispensa de licitação)</w:t>
            </w:r>
            <w:r>
              <w:rPr>
                <w:rFonts w:ascii="Times New Roman" w:eastAsia="Times New Roman" w:hAnsi="Times New Roman" w:cs="Times New Roman"/>
                <w:color w:val="000000"/>
                <w:spacing w:val="0"/>
                <w:sz w:val="24"/>
                <w:szCs w:val="24"/>
              </w:rPr>
              <w:t>.</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2.4 No caso de comprovante de regularidade fiscal ou de cadastramento, será aceito o documento obtido na rede de Internet, condicionando-se que o mesmo venha a ter sua autenticidade confirmada pela Equipe de Apoio (em sessão pública), consoante legislação.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2.5 A documentação prevista nos subitens 2.1, 2.1.2, 2.1.3 poderá ser substituída por Certificado de Registro Cadastral, emitido por órgão ou entidade pública, nos termos do artigo 32 §3º da Lei nº 8666/93.</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2.6 Atendam às condições deste Pregão e apresentem os documentos nela exigidos;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2.7 Qualificação Econômico-Financeira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2.7.1 Certidão negativa de falência ou concordata expedida pelo distribuidor da sede ou do domicílio do licitante.</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2.8 Cumprimento do disposto no inciso XXXIII do art. 7º da Constituição Federal: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a) Declaração do licitante de que não possuir em seu quadro de pessoal empregado(s) com menos de 18 (dezoito) anos em trabalho noturno, perigoso ou insalubre e de 16 (dezesseis) anos em qualquer trabalho, salvo na condição de aprendiz, a partir de 14 (quatorze) anos, nos termos do inciso XXXIII do art. 7º da Constituição Federal de 1988 (Lei nº 9.854/99) (ANEXO IV).</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2.9 Declaração de inexistência de fato superveniente impeditivo de sua habilitação (ANEXO III);</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2.10 Os documentos apresentados para o credenciamento dos proponentes durante a sessão pública do pregão serão dispensados de apresentação na fase de habilitação da licitação.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2.11 Serão consideradas inabilitadas as licitantes que deixarem de apresentar a documentação solicitada ou apresentarem-na com vícios.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3.0 DO CREDENCIAMENTO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3.1 Os proponentes deverão se apresentar para credenciamento junto ao Pregoeiro com apenas um representante legal que, devidamente munido de documento que o credencie a participar deste procedimento licitatório, será o único admitido a intervir nas fases do dispensa de licitação, respondendo por sua representada, devendo ainda, no ato de entrega dos envelopes, identificar se exibindo a Carteira de Identidade ou outro documento equivalente.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3.2 Por credencial entende se: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3.2.1 Habilitação do representante com poderes para formular ofertas e lances de preços e praticar todos os demais atos pertinentes ao certame, em nome do proponente, mediante instrumento público de procuração ou instrumento particular com firma reconhecida (Anexo II), </w:t>
            </w:r>
            <w:r>
              <w:rPr>
                <w:rFonts w:ascii="Times New Roman" w:eastAsia="Times New Roman" w:hAnsi="Times New Roman" w:cs="Times New Roman"/>
                <w:b/>
                <w:bCs/>
                <w:color w:val="000000"/>
                <w:spacing w:val="0"/>
                <w:sz w:val="24"/>
                <w:szCs w:val="24"/>
              </w:rPr>
              <w:t>acompanhado do documento, descrito na alínea a seguir</w:t>
            </w:r>
            <w:r>
              <w:rPr>
                <w:rFonts w:ascii="Times New Roman" w:eastAsia="Times New Roman" w:hAnsi="Times New Roman" w:cs="Times New Roman"/>
                <w:color w:val="000000"/>
                <w:spacing w:val="0"/>
                <w:sz w:val="24"/>
                <w:szCs w:val="24"/>
              </w:rPr>
              <w:t>, para aferir-se a capacidade do outorgante;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3.2.2 Documento comprobatório de capacidade para representar a empresa </w:t>
            </w:r>
            <w:r>
              <w:rPr>
                <w:rFonts w:ascii="Times New Roman" w:eastAsia="Times New Roman" w:hAnsi="Times New Roman" w:cs="Times New Roman"/>
                <w:b/>
                <w:bCs/>
                <w:color w:val="000000"/>
                <w:spacing w:val="0"/>
                <w:sz w:val="24"/>
                <w:szCs w:val="24"/>
              </w:rPr>
              <w:t>(CONTRATO SOCIAL OU EQUIVALENTE)</w:t>
            </w:r>
            <w:r>
              <w:rPr>
                <w:rFonts w:ascii="Times New Roman" w:eastAsia="Times New Roman" w:hAnsi="Times New Roman" w:cs="Times New Roman"/>
                <w:color w:val="000000"/>
                <w:spacing w:val="0"/>
                <w:sz w:val="24"/>
                <w:szCs w:val="24"/>
              </w:rPr>
              <w:t xml:space="preserve">, no qual estejam </w:t>
            </w:r>
            <w:r>
              <w:rPr>
                <w:rFonts w:ascii="Times New Roman" w:eastAsia="Times New Roman" w:hAnsi="Times New Roman" w:cs="Times New Roman"/>
                <w:b/>
                <w:bCs/>
                <w:color w:val="000000"/>
                <w:spacing w:val="0"/>
                <w:sz w:val="24"/>
                <w:szCs w:val="24"/>
              </w:rPr>
              <w:t>expressos seus poderes para exercer direitos e assumir obrigações em decorrência de tal investidura</w:t>
            </w:r>
            <w:r>
              <w:rPr>
                <w:rFonts w:ascii="Times New Roman" w:eastAsia="Times New Roman" w:hAnsi="Times New Roman" w:cs="Times New Roman"/>
                <w:color w:val="000000"/>
                <w:spacing w:val="0"/>
                <w:sz w:val="24"/>
                <w:szCs w:val="24"/>
              </w:rPr>
              <w:t>, no caso de titular da mesma.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3.3 O documento que credencia o representante deverá ser entregue separadamente dos envelopes "PROPOSTA DE PREÇO" e "DOCUMENTAÇÃO DE HABILITAÇÃO".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3.4 A não apresentação do documento de titularidade (CONTRATO SOCIAL OU EQUIVALENTE) ou credenciamento ou a incorreção desses impedirá a empresa de participar da etapa de lances no dia da licitação.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3.5 Não será desclassificada a proposta em função do não credenciamento do proponente, porém o mesmo ficará impedido de participar da etapa de lances ou manifestar intenção de recurso.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3.6 Na hipótese do representante legal da empresa licitante apresentar procuração pública, ainda assim deverá apresentar o CONTRATO SOCIAL OU EQUIVALENTE.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3.7 Para fins de gozo dos benefícios dispostos na Lei Complementar nº 123/2006 e Lei Complementar nº 147/2014, os representantes de microempresas e empresas de pequeno porte deverão apresentar </w:t>
            </w:r>
            <w:r>
              <w:rPr>
                <w:rFonts w:ascii="Times New Roman" w:eastAsia="Times New Roman" w:hAnsi="Times New Roman" w:cs="Times New Roman"/>
                <w:b/>
                <w:bCs/>
                <w:color w:val="000000"/>
                <w:spacing w:val="0"/>
                <w:sz w:val="24"/>
                <w:szCs w:val="24"/>
              </w:rPr>
              <w:t>certidão de enquadramento</w:t>
            </w:r>
            <w:r>
              <w:rPr>
                <w:rFonts w:ascii="Times New Roman" w:eastAsia="Times New Roman" w:hAnsi="Times New Roman" w:cs="Times New Roman"/>
                <w:color w:val="000000"/>
                <w:spacing w:val="0"/>
                <w:sz w:val="24"/>
                <w:szCs w:val="24"/>
              </w:rPr>
              <w:t xml:space="preserve"> no Estatuto Nacional da Microempresa e Empresa de Pequeno Porte, fornecida pela Junta Comercial da sede do licitante, de acordo com a Instrução Normativa DNRC nº 103/2007, e </w:t>
            </w:r>
            <w:r>
              <w:rPr>
                <w:rFonts w:ascii="Times New Roman" w:eastAsia="Times New Roman" w:hAnsi="Times New Roman" w:cs="Times New Roman"/>
                <w:b/>
                <w:bCs/>
                <w:color w:val="000000"/>
                <w:spacing w:val="0"/>
                <w:sz w:val="24"/>
                <w:szCs w:val="24"/>
              </w:rPr>
              <w:t>declaração de enquadramento</w:t>
            </w:r>
            <w:r>
              <w:rPr>
                <w:rFonts w:ascii="Times New Roman" w:eastAsia="Times New Roman" w:hAnsi="Times New Roman" w:cs="Times New Roman"/>
                <w:color w:val="000000"/>
                <w:spacing w:val="0"/>
                <w:sz w:val="24"/>
                <w:szCs w:val="24"/>
              </w:rPr>
              <w:t xml:space="preserve"> em conformidade com o art. 3º da Lei Complementar nº 123/2006 e Lei Complementar nº 147/2014, afirmando ainda que não se enquadram em nenhuma das hipóteses do § 4º do art. 3º da Lei Complementar nº 123/2006 e Lei Complementar nº 147/2014. (Anexo V)</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3.8 As microempresas e empresas de pequeno porte deverão apresentar toda a documentação exigida para efeito de comprovação de regularidade fiscal, mesmo que este apresente alguma restrição, conforme artigo 43 da Lei Complementar 123/2006 e Lei Complementar nº 147/2014.</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3.9 Havendo alguma restrição na comprovação da regularidade fiscal, a microempresa ou empresa de pequeno porte poderá requerer a suspensão da sessão pelo prazo de 5 (cinco) dias úteis, prorrogáveis por igual período a critério da Administração, para regularização dos documentos relativos à regularidade fiscal.</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4.0 DA PROPOSTA.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4.1 A proposta deverá ser redigida em língua portuguesa, salvo quanto às expressões técnicas de uso corrente, sem rasuras, emendas, borrões ou entrelinhas e ser datada, carimbada e assinada pelo representante legal da licitante ou pelo procurador, juntando-se a procuração.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4.2 A proposta de preços deverá ser apresentada em 02 (duas) vias, sendo 01 (uma) via impressa em papel timbrado, de preferência, em língua nacional, sem cotações alternativas, sem emendas, rasuras ou entrelinhas, sendo assinada e datada pelo representante legal da licitante ou pelo procurador, juntando-se a procuração, e a outra via cadastrada no Portal do Cidadão, conforme orientações abaixo:</w:t>
            </w:r>
          </w:p>
          <w:p>
            <w:pPr>
              <w:bidi w:val="0"/>
              <w:spacing w:before="0" w:after="0"/>
              <w:jc w:val="both"/>
            </w:pPr>
          </w:p>
          <w:p>
            <w:pPr>
              <w:bidi w:val="0"/>
              <w:spacing w:before="0" w:after="0"/>
              <w:ind w:firstLine="900"/>
              <w:jc w:val="both"/>
            </w:pPr>
            <w:r>
              <w:rPr>
                <w:rFonts w:ascii="Times New Roman" w:eastAsia="Times New Roman" w:hAnsi="Times New Roman" w:cs="Times New Roman"/>
                <w:color w:val="000000"/>
                <w:spacing w:val="0"/>
                <w:sz w:val="24"/>
                <w:szCs w:val="24"/>
              </w:rPr>
              <w:t>4.2.1 - As propostas deverão ser digitadas/cadastradas no portal do cidadão, no seguinte endereço eletrônico: vitormeireles.atende.net</w:t>
            </w:r>
          </w:p>
          <w:p>
            <w:pPr>
              <w:bidi w:val="0"/>
              <w:spacing w:before="0" w:after="0"/>
              <w:ind w:firstLine="900"/>
              <w:jc w:val="both"/>
            </w:pPr>
            <w:r>
              <w:rPr>
                <w:rFonts w:ascii="Times New Roman" w:eastAsia="Times New Roman" w:hAnsi="Times New Roman" w:cs="Times New Roman"/>
                <w:color w:val="000000"/>
                <w:spacing w:val="0"/>
                <w:sz w:val="24"/>
                <w:szCs w:val="24"/>
              </w:rPr>
              <w:t>4.2.2 - Deverá ser acessado, preferencialmente, pelo navegador Google Chrome, desativando-se os “pop-ups” na barra de ferramentas antes de iniciar o cadastro da proposta.</w:t>
            </w:r>
          </w:p>
          <w:p>
            <w:pPr>
              <w:bidi w:val="0"/>
              <w:spacing w:before="0" w:after="0"/>
              <w:ind w:firstLine="900"/>
              <w:jc w:val="both"/>
            </w:pPr>
            <w:r>
              <w:rPr>
                <w:rFonts w:ascii="Times New Roman" w:eastAsia="Times New Roman" w:hAnsi="Times New Roman" w:cs="Times New Roman"/>
                <w:color w:val="000000"/>
                <w:spacing w:val="0"/>
                <w:sz w:val="24"/>
                <w:szCs w:val="24"/>
              </w:rPr>
              <w:t>4.2.3 - Para fazer o cadastro da proposta, o usuário/fornecedor deve acessar vitormeireles.atende.net &gt; Fornecedores &gt; Enviar Proposta de Licitações.</w:t>
            </w:r>
          </w:p>
          <w:p>
            <w:pPr>
              <w:bidi w:val="0"/>
              <w:spacing w:before="0" w:after="0"/>
              <w:ind w:firstLine="900"/>
              <w:jc w:val="both"/>
            </w:pPr>
            <w:r>
              <w:rPr>
                <w:rFonts w:ascii="Times New Roman" w:eastAsia="Times New Roman" w:hAnsi="Times New Roman" w:cs="Times New Roman"/>
                <w:b/>
                <w:bCs/>
                <w:color w:val="000000"/>
                <w:spacing w:val="0"/>
                <w:sz w:val="24"/>
                <w:szCs w:val="24"/>
              </w:rPr>
              <w:t>4.2.4 - A falta de apresentação de proposta digital, nos moldes estabelecidos neste item, acarretará a desclassificação da licitante.</w:t>
            </w:r>
          </w:p>
          <w:p>
            <w:pPr>
              <w:bidi w:val="0"/>
              <w:spacing w:before="0" w:after="0"/>
              <w:ind w:firstLine="1200"/>
              <w:jc w:val="both"/>
            </w:pPr>
            <w:r>
              <w:rPr>
                <w:rFonts w:ascii="Times New Roman" w:eastAsia="Times New Roman" w:hAnsi="Times New Roman" w:cs="Times New Roman"/>
                <w:color w:val="000000"/>
                <w:spacing w:val="0"/>
                <w:sz w:val="24"/>
                <w:szCs w:val="24"/>
              </w:rPr>
              <w:t>4.2.4.1 - Considera-se a apresentação impressa do protocolo/proposta gerado a partir do sistema, por conter os dados para importação na sessão pública.</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NOTA: a empresa que não possuir cadastro no município deverá solicitar o acesso com antecedência mínima de 24 (vinte e quatro) horas, sob pena de não liberação do acesso em tempo hábil para realização do cadastro da proposta.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4.3 - A proposta de preço deverá conter os seguintes elementos:</w:t>
            </w: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a) Nome do proponente, endereço completo, telefone, e-mail, CNPJ e inscrição estadual;</w:t>
            </w:r>
          </w:p>
          <w:p>
            <w:pPr>
              <w:bidi w:val="0"/>
              <w:spacing w:before="0" w:after="0"/>
              <w:ind w:firstLine="700"/>
              <w:jc w:val="both"/>
            </w:pPr>
            <w:r>
              <w:rPr>
                <w:rFonts w:ascii="Times New Roman" w:eastAsia="Times New Roman" w:hAnsi="Times New Roman" w:cs="Times New Roman"/>
                <w:color w:val="000000"/>
                <w:spacing w:val="0"/>
                <w:sz w:val="24"/>
                <w:szCs w:val="24"/>
              </w:rPr>
              <w:t>b) Número do Pregão Presencial;</w:t>
            </w:r>
          </w:p>
          <w:p>
            <w:pPr>
              <w:bidi w:val="0"/>
              <w:spacing w:before="0" w:after="0"/>
              <w:ind w:firstLine="700"/>
              <w:jc w:val="both"/>
            </w:pPr>
            <w:r>
              <w:rPr>
                <w:rFonts w:ascii="Times New Roman" w:eastAsia="Times New Roman" w:hAnsi="Times New Roman" w:cs="Times New Roman"/>
                <w:color w:val="000000"/>
                <w:spacing w:val="0"/>
                <w:sz w:val="24"/>
                <w:szCs w:val="24"/>
              </w:rPr>
              <w:t>c) Descrição do objeto da licitação em conformidade com o Anexo I, devendo a licitante mencionar em sua proposta a MARCA dos materiais ofertados, dos preços cotados já estão incluídas eventuais vantagens e/ou abatimentos, impostos, taxas e encargos sociais, obrigações trabalhistas, previdenciárias, fiscais e comerciais, assim como despesas com transportes, deslocamentos, instalação e outras quaisquer que incidam sobre a contratação.</w:t>
            </w:r>
          </w:p>
          <w:p>
            <w:pPr>
              <w:bidi w:val="0"/>
              <w:spacing w:before="0" w:after="0"/>
              <w:ind w:firstLine="700"/>
              <w:jc w:val="both"/>
            </w:pPr>
            <w:r>
              <w:rPr>
                <w:rFonts w:ascii="Times New Roman" w:eastAsia="Times New Roman" w:hAnsi="Times New Roman" w:cs="Times New Roman"/>
                <w:color w:val="000000"/>
                <w:spacing w:val="0"/>
                <w:sz w:val="24"/>
                <w:szCs w:val="24"/>
              </w:rPr>
              <w:t>d) Número do Banco, Agência e Conta Corrente para depósito dos pagamentos em nome da proponente;</w:t>
            </w:r>
          </w:p>
          <w:p>
            <w:pPr>
              <w:bidi w:val="0"/>
              <w:spacing w:before="0" w:after="0"/>
              <w:ind w:firstLine="700"/>
              <w:jc w:val="both"/>
            </w:pPr>
            <w:r>
              <w:rPr>
                <w:rFonts w:ascii="Times New Roman" w:eastAsia="Times New Roman" w:hAnsi="Times New Roman" w:cs="Times New Roman"/>
                <w:color w:val="000000"/>
                <w:spacing w:val="0"/>
                <w:sz w:val="24"/>
                <w:szCs w:val="24"/>
              </w:rPr>
              <w:t>e) Preço unitário em moeda corrente nacional, com até 02 (duas) casas decimais após a vírgula e havendo divergência entre o preço unitário e total, prevalecerá o unitário e, existindo divergência entre o preço em algarismo e por extenso, prevalecerá este último.</w:t>
            </w:r>
          </w:p>
          <w:p>
            <w:pPr>
              <w:bidi w:val="0"/>
              <w:spacing w:before="0" w:after="0"/>
              <w:ind w:firstLine="700"/>
              <w:jc w:val="both"/>
            </w:pPr>
            <w:r>
              <w:rPr>
                <w:rFonts w:ascii="Times New Roman" w:eastAsia="Times New Roman" w:hAnsi="Times New Roman" w:cs="Times New Roman"/>
                <w:color w:val="000000"/>
                <w:spacing w:val="0"/>
                <w:sz w:val="24"/>
                <w:szCs w:val="24"/>
              </w:rPr>
              <w:t>f) Prazo de validade da proposta: 60 (sessenta) dias contados da data da abertura da mesma;</w:t>
            </w:r>
          </w:p>
          <w:p>
            <w:pPr>
              <w:bidi w:val="0"/>
              <w:spacing w:before="0" w:after="0"/>
              <w:ind w:firstLine="700"/>
              <w:jc w:val="both"/>
            </w:pPr>
            <w:r>
              <w:rPr>
                <w:rFonts w:ascii="Times New Roman" w:eastAsia="Times New Roman" w:hAnsi="Times New Roman" w:cs="Times New Roman"/>
                <w:color w:val="000000"/>
                <w:spacing w:val="0"/>
                <w:sz w:val="24"/>
                <w:szCs w:val="24"/>
              </w:rPr>
              <w:t>g) Declaração do licitante de que, desde já, fica obrigado a cumprir o prazo de entrega rigorosamente em dia, sob pena de sofrer penalidades aplicadas por esta Administração;</w:t>
            </w:r>
          </w:p>
          <w:p>
            <w:pPr>
              <w:bidi w:val="0"/>
              <w:spacing w:before="0" w:after="0"/>
              <w:ind w:firstLine="700"/>
              <w:jc w:val="both"/>
            </w:pPr>
            <w:r>
              <w:rPr>
                <w:rFonts w:ascii="Times New Roman" w:eastAsia="Times New Roman" w:hAnsi="Times New Roman" w:cs="Times New Roman"/>
                <w:color w:val="000000"/>
                <w:spacing w:val="0"/>
                <w:sz w:val="24"/>
                <w:szCs w:val="24"/>
              </w:rPr>
              <w:t>h) As informações para formalizar o contrato/Ata de Registro de Preço, em especial a qualificação completa do representante da empresa que assina o contrato/ata de registro de preço deverá conter, no mínimo, o seguinte: nome completo, estado civil, CPF, RG e endereço residencial;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4.4 - Será desclassificada a proposta que:</w:t>
            </w: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a) Deixar de atender alguma exigência deste edital, em especial a forma digital da proposta, nos moldes do item 4.2;</w:t>
            </w:r>
          </w:p>
          <w:p>
            <w:pPr>
              <w:bidi w:val="0"/>
              <w:spacing w:before="0" w:after="0"/>
              <w:ind w:firstLine="700"/>
              <w:jc w:val="both"/>
            </w:pPr>
            <w:r>
              <w:rPr>
                <w:rFonts w:ascii="Times New Roman" w:eastAsia="Times New Roman" w:hAnsi="Times New Roman" w:cs="Times New Roman"/>
                <w:color w:val="000000"/>
                <w:spacing w:val="0"/>
                <w:sz w:val="24"/>
                <w:szCs w:val="24"/>
              </w:rPr>
              <w:t>b) Oferecer vantagem não prevista neste edital ou ainda preço e/ou vantagem baseada em propostas das demais licitantes;</w:t>
            </w:r>
          </w:p>
          <w:p>
            <w:pPr>
              <w:bidi w:val="0"/>
              <w:spacing w:before="0" w:after="0"/>
              <w:ind w:firstLine="700"/>
              <w:jc w:val="both"/>
            </w:pPr>
            <w:r>
              <w:rPr>
                <w:rFonts w:ascii="Times New Roman" w:eastAsia="Times New Roman" w:hAnsi="Times New Roman" w:cs="Times New Roman"/>
                <w:color w:val="000000"/>
                <w:spacing w:val="0"/>
                <w:sz w:val="24"/>
                <w:szCs w:val="24"/>
              </w:rPr>
              <w:t>c) Apresentar documentos em envelopes trocados.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5.0 DO PROCEDIMENTO E JULGAMENTO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 Apresentação do Pregoeiro e a Equipe de Apoio.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5.2 Credenciamento das empresas.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5.3 Abertura da sessão, sendo esta declarada pelo pregoeiro. A partir desse momento não será permitida a participação de licitantes retardatários.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5.4 Recebimento dos envelopes de propostas de preço e de documentação de habilitação.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5.5 Abertura dos envelopes contendo as propostas comerciais, análise da conformidade das propostas, cujos preços as possibilitem passar à fase de lances, com os requisitos estabelecidos no Edital e posterior rubrica das folhas.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5.6 Divulgação, pelo Pregoeiro, dos preços para registro em ata, bem como para conhecimento e acompanhamento por todos os presentes.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5.7 Divulgação, pelo Pregoeiro, das propostas classificadas. Propostas de melhor preço e as com preços até 10% (dez por cento) superiores a de . Não havendo pelo menos três propostas nessas condições, serão escolhidas as três melhores propostas, quaisquer que sejam os preços oferecidos.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5.7.1 Caso haja empate o sistema determinara a ordem dos lances.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5.8 Em seguida o Pregoeiro dará início à etapa de lances verbais, convocando os licitantes classificados a apresentar lances verbais, os quais deverão ser formulados de forma sucessiva, em valores distintos e decrescentes, iniciando-se pela última empresa classificada.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5.8.1 É vedada a oferta de lances com vista ao empate, bem como superior ao praticado no momento do lance.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5.8.2 Dos lances ofertados não caberá retratação, poderá o Pregoeiro estabelecer redução mínima em cada lance, bem como estabelecer tempo máximo para o proponente ofertar seu lance.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5.8.3 A apresentação dos lances é facultativa, sendo que a desistência por parte do(s) licitante(s), quando da convocação pelo pregoeiro, implicará na manutenção do último preço praticado.</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5.8.4 Caso não tenha no mínimo 3 (três) ME e EPP participantes e entrem na disputa empresas de grande porte e neste caso ocorrendo o empate previsto no § 2º do art. 44 da Lei Complementar nº 123/2006, será assegurado o direito de preferência de contratação para as microempresas e empresas de pequeno porte, desde que a melhor oferta inicial não tiver sido apresentada por ME ou EPP.</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5.9 Encerrada a etapa competitiva e ordenadas as propostas, de acordo com o apresentado, o pregoeiro examinará a aceitabilidade da primeira classificada, quanto ao objeto e valor, decidindo motivadamente a respeito da sua aceitabilidade.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5.10 Abertura do envelope e análise da documentação de habilitação da empresa que ofertou o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5.11 Se a proposta não for aceitável ou se o licitante desatender as exigências de habilitação, o Pregoeiro examinará a oferta subseqüente, verificando a aceitabilidade e procedendo a habilitação do proponente na ordem de classificação.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5.12 O Pregoeiro informa o resultado da análise e comunica que a proposta e a documentação da licitante vencedora encontram-se à disposição dos licitantes.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5.13 Ocorrendo empate previsto no art. 44, § 2º da Lei Complementar nº 123/06 será assegurada a preferência de contratação para as microempresas e empresas de pequeno porte, desde que a melhor oferta inicial não tiver sido apresentada por microempresa ou empresa de pequeno porte.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5.13.1 Entende-se por empate as situações em que as propostas apresentadas pelas microempresas e empresas de pequeno porte sejam iguais ou até 5% (cinco por cento) superiores à proposta mais bem classificada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5.13.2 Para fins de desempate, proceder-se-á da seguinte forma: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 - a micro empresa ou empresa de pequeno porte mais bem classificada poderá apresentar proposta de preço inferior àquela considerada vencedora do certame, situação em que será adjudicado em seu favor o objeto licitado.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II - não ocorrendo a contratação da microempresa ou empresa de pequeno porte, na forma do item 5.13 – I, serão convocadas as remanescentes que porventura se enquadrem na hipótese do item 5.14, na ordem classificatória, para o exercício do mesmo direito;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III - no caso de equivalência dos valores apresentados pelas microempresas e empresas de pequeno porte que se encontrem no intervalo previsto, será realizado sorteio, entre elas para que se identifique aquela que primeiro poderá apresentar melhor oferta.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5.14 Para as empresa de pequeno porte mais bem classificada será convocada para apresentar nova proposta no prazo máximo de 05 minutos.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5.15 Nas situações previstas nos subitens 5.9 e 5.11, o pregoeiro poderá negociar diretamente como o proponente para que seja obtido preço melhor.</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5.16 Não havendo manifestação oportuna de intenção de recorrer, o Pregoeiro adjudicará o objeto.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5.17 Devolução dos envelopes de documentação de habilitação dos licitantes não participantes da fase de lances.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5.18 Leitura da Ata e assinatura pelos licitantes presentes, pregoeiro e equipe.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5.19 Encerramento da sessão.</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6.0 DO JULGAMENTO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6.1 No julgamento das propostas, será adotado o critério de menor preço por item, observadas as exigências estabelecidas neste Edital.</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7.0 DA IMPUGNAÇÃO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7.1 Até 2 (dois) dias úteis anteriores à data fixada para recebimento das propostas qualquer pessoa poderá solicitar esclarecimentos, providências ou impugnar o presente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7.2 Caberá ao Pregoeiro decidir sobre a impugnação no prazo de 48 (quarenta e oito) horas.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8.0 DA DOTAÇÃO ORÇAMENTÁRIA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As despesas decorrentes da presente licitação correrão por conta da seguinte dotação orçamentária:</w:t>
            </w:r>
          </w:p>
          <w:p>
            <w:pPr>
              <w:bidi w:val="0"/>
              <w:spacing w:before="0" w:after="0"/>
              <w:jc w:val="both"/>
            </w:pPr>
          </w:p>
          <w:p>
            <w:pPr>
              <w:bidi w:val="0"/>
              <w:spacing w:before="0" w:after="0"/>
              <w:jc w:val="both"/>
            </w:pPr>
          </w:p>
        </w:tc>
      </w:tr>
    </w:tbl>
    <w:bookmarkStart w:id="8" w:name="__bookmark_14"/>
    <w:bookmarkEnd w:id="8"/>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bookmarkStart w:id="9" w:name="__bookmark_15"/>
          <w:bookmarkEnd w:id="9"/>
          <w:tbl>
            <w:tblPr>
              <w:tblStyle w:val="TableNormal"/>
              <w:tblOverlap w:val="never"/>
              <w:tblW w:w="8941" w:type="dxa"/>
              <w:tblInd w:w="20" w:type="dxa"/>
              <w:tblLayout w:type="fixed"/>
              <w:tblLook w:val="01E0"/>
            </w:tblPr>
            <w:tblGrid>
              <w:gridCol w:w="2821"/>
              <w:gridCol w:w="6120"/>
            </w:tblGrid>
            <w:tr>
              <w:tblPrEx>
                <w:tblW w:w="8941" w:type="dxa"/>
                <w:tblInd w:w="20" w:type="dxa"/>
                <w:tblLayout w:type="fixed"/>
                <w:tblLook w:val="01E0"/>
              </w:tblPrEx>
              <w:trPr>
                <w:tblHeader/>
              </w:trPr>
              <w:tc>
                <w:tcPr>
                  <w:tcW w:w="2834"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Times New Roman" w:eastAsia="Times New Roman" w:hAnsi="Times New Roman" w:cs="Times New Roman"/>
                      <w:b/>
                      <w:bCs/>
                      <w:color w:val="000000"/>
                      <w:spacing w:val="0"/>
                      <w:sz w:val="21"/>
                      <w:szCs w:val="21"/>
                    </w:rPr>
                  </w:pPr>
                  <w:r>
                    <w:rPr>
                      <w:rFonts w:ascii="Times New Roman" w:eastAsia="Times New Roman" w:hAnsi="Times New Roman" w:cs="Times New Roman"/>
                      <w:b/>
                      <w:bCs/>
                      <w:color w:val="000000"/>
                      <w:spacing w:val="0"/>
                      <w:sz w:val="21"/>
                      <w:szCs w:val="21"/>
                    </w:rPr>
                    <w:t>Código</w:t>
                  </w:r>
                </w:p>
              </w:tc>
              <w:tc>
                <w:tcPr>
                  <w:tcW w:w="614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Times New Roman" w:eastAsia="Times New Roman" w:hAnsi="Times New Roman" w:cs="Times New Roman"/>
                      <w:b/>
                      <w:bCs/>
                      <w:color w:val="000000"/>
                      <w:spacing w:val="0"/>
                      <w:sz w:val="21"/>
                      <w:szCs w:val="21"/>
                    </w:rPr>
                  </w:pPr>
                  <w:r>
                    <w:rPr>
                      <w:rFonts w:ascii="Times New Roman" w:eastAsia="Times New Roman" w:hAnsi="Times New Roman" w:cs="Times New Roman"/>
                      <w:b/>
                      <w:bCs/>
                      <w:color w:val="000000"/>
                      <w:spacing w:val="0"/>
                      <w:sz w:val="21"/>
                      <w:szCs w:val="21"/>
                    </w:rPr>
                    <w:t>Descrição</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2024</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113</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Referência</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11</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Secretaria de Esporte, Cultura e Turismo</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001</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Secretaria de Esporte, Cultura e Turismo</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2041</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INTEGRAÇÃO DA TERCEIRA IDADE</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3339039990000000000</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Outros serviços de terceiros - pessoa jurídica</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150070000000</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Recursos não vinculados de Impostos</w:t>
                  </w:r>
                </w:p>
              </w:tc>
            </w:tr>
            <w:tr>
              <w:tblPrEx>
                <w:tblW w:w="8941" w:type="dxa"/>
                <w:tblInd w:w="20" w:type="dxa"/>
                <w:tblLayout w:type="fixed"/>
                <w:tblLook w:val="01E0"/>
              </w:tblPrEx>
              <w:trPr>
                <w:trHeight w:hRule="exact" w:val="170"/>
              </w:trPr>
              <w:tc>
                <w:tcPr>
                  <w:tcW w:w="2834" w:type="dxa"/>
                  <w:noWrap w:val="0"/>
                  <w:tcMar>
                    <w:top w:w="0" w:type="dxa"/>
                    <w:left w:w="0" w:type="dxa"/>
                    <w:bottom w:w="0" w:type="dxa"/>
                    <w:right w:w="0" w:type="dxa"/>
                  </w:tcMar>
                  <w:vAlign w:val="top"/>
                </w:tcPr>
                <w:p>
                  <w:pPr>
                    <w:spacing w:line="1" w:lineRule="auto"/>
                  </w:pPr>
                </w:p>
              </w:tc>
              <w:tc>
                <w:tcPr>
                  <w:tcW w:w="6147" w:type="dxa"/>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2024</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13</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Referência</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03</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Secretaria de Administração e Finanças</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001</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Secretaria de Administracao e Financas</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2003</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MANUTENCAO DA ADMINISTRACAO E FINANCAS</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3339039050000000000</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Servicos técnicos profissionais</w:t>
                  </w:r>
                </w:p>
              </w:tc>
            </w:tr>
            <w:tr>
              <w:tblPrEx>
                <w:tblW w:w="8941" w:type="dxa"/>
                <w:tblInd w:w="20" w:type="dxa"/>
                <w:tblLayout w:type="fixed"/>
                <w:tblLook w:val="01E0"/>
              </w:tblPrEx>
              <w:tc>
                <w:tcPr>
                  <w:tcW w:w="283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150070000000</w:t>
                  </w:r>
                </w:p>
              </w:tc>
              <w:tc>
                <w:tcPr>
                  <w:tcW w:w="61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1"/>
                      <w:szCs w:val="21"/>
                    </w:rPr>
                  </w:pPr>
                  <w:r>
                    <w:rPr>
                      <w:rFonts w:ascii="Times New Roman" w:eastAsia="Times New Roman" w:hAnsi="Times New Roman" w:cs="Times New Roman"/>
                      <w:color w:val="000000"/>
                      <w:spacing w:val="0"/>
                      <w:sz w:val="21"/>
                      <w:szCs w:val="21"/>
                    </w:rPr>
                    <w:t>Recursos não vinculados de Impostos</w:t>
                  </w:r>
                </w:p>
              </w:tc>
            </w:tr>
            <w:tr>
              <w:tblPrEx>
                <w:tblW w:w="8941" w:type="dxa"/>
                <w:tblInd w:w="20" w:type="dxa"/>
                <w:tblLayout w:type="fixed"/>
                <w:tblLook w:val="01E0"/>
              </w:tblPrEx>
              <w:trPr>
                <w:trHeight w:hRule="exact" w:val="170"/>
              </w:trPr>
              <w:tc>
                <w:tcPr>
                  <w:tcW w:w="2834" w:type="dxa"/>
                  <w:noWrap w:val="0"/>
                  <w:tcMar>
                    <w:top w:w="0" w:type="dxa"/>
                    <w:left w:w="0" w:type="dxa"/>
                    <w:bottom w:w="0" w:type="dxa"/>
                    <w:right w:w="0" w:type="dxa"/>
                  </w:tcMar>
                  <w:vAlign w:val="top"/>
                </w:tcPr>
                <w:p>
                  <w:pPr>
                    <w:spacing w:line="1" w:lineRule="auto"/>
                  </w:pPr>
                </w:p>
              </w:tc>
              <w:tc>
                <w:tcPr>
                  <w:tcW w:w="6147" w:type="dxa"/>
                  <w:noWrap w:val="0"/>
                  <w:tcMar>
                    <w:top w:w="0" w:type="dxa"/>
                    <w:left w:w="0" w:type="dxa"/>
                    <w:bottom w:w="0" w:type="dxa"/>
                    <w:right w:w="0" w:type="dxa"/>
                  </w:tcMar>
                  <w:vAlign w:val="top"/>
                </w:tcPr>
                <w:p>
                  <w:pPr>
                    <w:spacing w:line="1" w:lineRule="auto"/>
                  </w:pPr>
                </w:p>
              </w:tc>
            </w:tr>
          </w:tbl>
          <w:p>
            <w:pPr>
              <w:spacing w:line="1" w:lineRule="auto"/>
            </w:pP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0" w:type="dxa"/>
              <w:left w:w="20" w:type="dxa"/>
              <w:bottom w:w="400" w:type="dxa"/>
              <w:right w:w="20" w:type="dxa"/>
            </w:tcMar>
            <w:vAlign w:val="top"/>
          </w:tcPr>
          <w:bookmarkStart w:id="10" w:name="__bookmark_16"/>
          <w:bookmarkEnd w:id="10"/>
          <w:p>
            <w:pPr>
              <w:bidi w:val="0"/>
              <w:spacing w:before="0" w:after="0"/>
              <w:jc w:val="both"/>
            </w:pPr>
            <w:r>
              <w:rPr>
                <w:rFonts w:ascii="Times New Roman" w:eastAsia="Times New Roman" w:hAnsi="Times New Roman" w:cs="Times New Roman"/>
                <w:b/>
                <w:bCs/>
                <w:color w:val="000000"/>
                <w:spacing w:val="0"/>
                <w:sz w:val="24"/>
                <w:szCs w:val="24"/>
              </w:rPr>
              <w:t>9 DAS DESPESAS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9.1 As despesas com a execução do objeto desta licitação correrão à conta das Dotações à cima citadas.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9.2 Para fazer face às despesas, serão emitidas Notas de Empenho pelo Departamento de Administração, Planejamento e Controle.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 </w:t>
            </w:r>
            <w:r>
              <w:rPr>
                <w:rFonts w:ascii="Times New Roman" w:eastAsia="Times New Roman" w:hAnsi="Times New Roman" w:cs="Times New Roman"/>
                <w:b/>
                <w:bCs/>
                <w:color w:val="000000"/>
                <w:spacing w:val="0"/>
                <w:sz w:val="24"/>
                <w:szCs w:val="24"/>
              </w:rPr>
              <w:t>10 DO PAGAMENTO E REAJUSTE</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10.1 O pagamento será realizado em até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10.2 Os preços serão irreajustáveis.</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11 DAS CONDIÇÕES DE ENTREGA E RECEBIMENTO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11.1 - A entrega dos produtos será na , e O(s) licitante(s) contratado(s) disporá(ão) do prazo de 5 (cinco) dias úteis para entregar o material, objeto do presente Processo Licitatório, conforme solicitação efetuada pelas Secretarias Municipais.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11.2 – A Comissão disporá do prazo de 5 (cinco) dias para conferir o material e autorizar o pagamento, caso aceito, ou notificar a Contratada, no caso de não aceitação.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11.3 - Na hipótese da não aceitação do objeto, o mesmo deverá ser retirado pelo licitante vencedor no prazo de 5 (cinco) dias, contados da notificação da não aceitação, para reposição no prazo máximo de 10 (dez) dias, sob pena de aplicação de multa e demais cominações previstas em Lei e neste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11.4 - Não poderá ser realizada troca de marcas de produtos sem a apresentação de nova amostra, caso o produto licitado esteja em falta.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11.4.1 - As amostras deverão ser encaminhadas à secretaria de Obras. Será desclassificada, caso apresente amostra fora das especificações técnicas previstas neste edital, sendo a próxima licitante chamada.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11.5 Sob pena de desclassificação, mesmo que os fatores impeditivos tenham sido conhecidos após a adjudicação, jamais serão aceitos propostas:</w:t>
            </w: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 Com oferta de produtos que não sejam de primeira qualidade;</w:t>
            </w:r>
          </w:p>
          <w:p>
            <w:pPr>
              <w:bidi w:val="0"/>
              <w:spacing w:before="0" w:after="0"/>
              <w:ind w:firstLine="700"/>
              <w:jc w:val="both"/>
            </w:pPr>
            <w:r>
              <w:rPr>
                <w:rFonts w:ascii="Times New Roman" w:eastAsia="Times New Roman" w:hAnsi="Times New Roman" w:cs="Times New Roman"/>
                <w:color w:val="000000"/>
                <w:spacing w:val="0"/>
                <w:sz w:val="24"/>
                <w:szCs w:val="24"/>
              </w:rPr>
              <w:t>- Com quantitativo diferente do exigido neste edital;</w:t>
            </w:r>
          </w:p>
          <w:p>
            <w:pPr>
              <w:bidi w:val="0"/>
              <w:spacing w:before="0" w:after="0"/>
              <w:ind w:firstLine="700"/>
              <w:jc w:val="both"/>
            </w:pPr>
            <w:r>
              <w:rPr>
                <w:rFonts w:ascii="Times New Roman" w:eastAsia="Times New Roman" w:hAnsi="Times New Roman" w:cs="Times New Roman"/>
                <w:color w:val="000000"/>
                <w:spacing w:val="0"/>
                <w:sz w:val="24"/>
                <w:szCs w:val="24"/>
              </w:rPr>
              <w:t>- Com oferta de produto constituído de componente usado ou reaproveitado.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11.6 - A licitante que vier a ser contratada ficará obrigada a aceitar, nas mesmas condições contratuais, os acréscimos ou supressões sobre o valor inicial do contrato que se fizerem necessários, por conveniência da Contratante, dentro do limite permitido pelo artigo 65 § 1o, da Lei no 8.666/93.</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12. DA ATA DE REGISTRO DE PREÇOS E DA CONTRATAÇÃO: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12.1 A Ata de Registro de Preços não obriga a PMVM a firmar contratações nas quantidades estimadas, podendo ocorrer licitações específicas para aquisição do(s) objeto(s), obedecida a legislação pertinente, sendo assegurada ao detentor do registro a preferência de fornecimento, em igualdade de condições.</w:t>
            </w:r>
          </w:p>
          <w:p>
            <w:pPr>
              <w:bidi w:val="0"/>
              <w:spacing w:before="0" w:after="0"/>
              <w:jc w:val="both"/>
            </w:pPr>
            <w:r>
              <w:rPr>
                <w:rFonts w:ascii="Times New Roman" w:eastAsia="Times New Roman" w:hAnsi="Times New Roman" w:cs="Times New Roman"/>
                <w:color w:val="000000"/>
                <w:spacing w:val="0"/>
                <w:sz w:val="24"/>
                <w:szCs w:val="24"/>
              </w:rPr>
              <w:t>12.2 Constam da Minuta da Ata de Registro de Preços as condições e a forma de pagamento, as sanções para o caso de inadimplemento e as demais obrigações das partes, integrando este Edital.</w:t>
            </w:r>
          </w:p>
          <w:p>
            <w:pPr>
              <w:bidi w:val="0"/>
              <w:spacing w:before="0" w:after="0"/>
              <w:jc w:val="both"/>
            </w:pPr>
            <w:r>
              <w:rPr>
                <w:rFonts w:ascii="Times New Roman" w:eastAsia="Times New Roman" w:hAnsi="Times New Roman" w:cs="Times New Roman"/>
                <w:color w:val="000000"/>
                <w:spacing w:val="0"/>
                <w:sz w:val="24"/>
                <w:szCs w:val="24"/>
              </w:rPr>
              <w:t>12.3 A Ata de Registro de Preços terá vigência de 12 (doze) meses, nos termos do § 3º., Inciso III do Artigo 15 da Lei nº. 8.666/93 e Artigo 4º.</w:t>
            </w:r>
          </w:p>
          <w:p>
            <w:pPr>
              <w:bidi w:val="0"/>
              <w:spacing w:before="0" w:after="0"/>
              <w:jc w:val="both"/>
            </w:pPr>
            <w:r>
              <w:rPr>
                <w:rFonts w:ascii="Times New Roman" w:eastAsia="Times New Roman" w:hAnsi="Times New Roman" w:cs="Times New Roman"/>
                <w:color w:val="000000"/>
                <w:spacing w:val="0"/>
                <w:sz w:val="24"/>
                <w:szCs w:val="24"/>
              </w:rPr>
              <w:t xml:space="preserve">12.3.1 A empresa </w:t>
            </w:r>
            <w:r>
              <w:rPr>
                <w:rFonts w:ascii="Times New Roman" w:eastAsia="Times New Roman" w:hAnsi="Times New Roman" w:cs="Times New Roman"/>
                <w:b/>
                <w:bCs/>
                <w:color w:val="000000"/>
                <w:spacing w:val="0"/>
                <w:sz w:val="24"/>
                <w:szCs w:val="24"/>
              </w:rPr>
              <w:t>VENCEDORA</w:t>
            </w:r>
            <w:r>
              <w:rPr>
                <w:rFonts w:ascii="Times New Roman" w:eastAsia="Times New Roman" w:hAnsi="Times New Roman" w:cs="Times New Roman"/>
                <w:color w:val="000000"/>
                <w:spacing w:val="0"/>
                <w:sz w:val="24"/>
                <w:szCs w:val="24"/>
              </w:rPr>
              <w:t xml:space="preserve"> terá o prazo de 03 (três) dias úteis, contados a partir da convocação, para assinar a Ata de Registro de Preços, quando deverá comparecer à Unidade Compras/Licitação, localizado a </w:t>
            </w:r>
            <w:r>
              <w:rPr>
                <w:rFonts w:ascii="Times New Roman" w:eastAsia="Times New Roman" w:hAnsi="Times New Roman" w:cs="Times New Roman"/>
                <w:b/>
                <w:bCs/>
                <w:color w:val="000000"/>
                <w:spacing w:val="0"/>
                <w:sz w:val="24"/>
                <w:szCs w:val="24"/>
              </w:rPr>
              <w:t>Rua Santa Catarina, 2.266 - Centro, CEP 89.148-000 Vitor Meireles/SC</w:t>
            </w:r>
            <w:r>
              <w:rPr>
                <w:rFonts w:ascii="Times New Roman" w:eastAsia="Times New Roman" w:hAnsi="Times New Roman" w:cs="Times New Roman"/>
                <w:color w:val="000000"/>
                <w:spacing w:val="0"/>
                <w:sz w:val="24"/>
                <w:szCs w:val="24"/>
              </w:rPr>
              <w:t xml:space="preserve"> ou, no caso de empresas de outras localidades, será encaminhado via correio eletrônico, arquivo em PDF, para assinatura, reconhecimento de firma em cartório seguido de envio à Prefeitura do Município, via SEDEX. 12.3.2 A recusa injustificada dos convocados em assinar a Ata dentro do prazo estabelecido no presente instrumento, os sujeitará à aplicação das penalidades previstas nos itens 13.1 e 13.2, deste Edital; 12.3.3 No ato da assinatura da Ata de Registro de Preços, o proponente VENCEDOR deverá apresentar documento comprobatório de ser pessoa indicada como assinante do documento</w:t>
            </w:r>
          </w:p>
          <w:p>
            <w:pPr>
              <w:bidi w:val="0"/>
              <w:spacing w:before="0" w:after="0"/>
              <w:jc w:val="both"/>
            </w:pPr>
            <w:r>
              <w:rPr>
                <w:rFonts w:ascii="Times New Roman" w:eastAsia="Times New Roman" w:hAnsi="Times New Roman" w:cs="Times New Roman"/>
                <w:color w:val="000000"/>
                <w:spacing w:val="0"/>
                <w:sz w:val="24"/>
                <w:szCs w:val="24"/>
              </w:rPr>
              <w:t>12.4. A PMVM, pelo menos trimestralmente, os preços dos materiais, avaliará o mercado constantemente e poderá rever os preços registrados a qualquer tempo, em decorrência da redução dos preços praticados no mercado ou de fato que eleve os custos dos bens registrados.</w:t>
            </w:r>
          </w:p>
          <w:p>
            <w:pPr>
              <w:bidi w:val="0"/>
              <w:spacing w:before="0" w:after="0"/>
              <w:jc w:val="both"/>
            </w:pPr>
            <w:r>
              <w:rPr>
                <w:rFonts w:ascii="Times New Roman" w:eastAsia="Times New Roman" w:hAnsi="Times New Roman" w:cs="Times New Roman"/>
                <w:color w:val="000000"/>
                <w:spacing w:val="0"/>
                <w:sz w:val="24"/>
                <w:szCs w:val="24"/>
              </w:rPr>
              <w:t>12.4.1.A PMVM convocará o fornecedor para negociar o preço registrado e adequá-lo ao preço de mercado, sempre que verificar que o preço registrado está acima do preço de mercado. Caso seja frustrada a negociação para redução do preço, o fornecedor será liberado do compromisso assumido.</w:t>
            </w:r>
          </w:p>
          <w:p>
            <w:pPr>
              <w:bidi w:val="0"/>
              <w:spacing w:before="0" w:after="0"/>
              <w:jc w:val="both"/>
            </w:pPr>
            <w:r>
              <w:rPr>
                <w:rFonts w:ascii="Times New Roman" w:eastAsia="Times New Roman" w:hAnsi="Times New Roman" w:cs="Times New Roman"/>
                <w:color w:val="000000"/>
                <w:spacing w:val="0"/>
                <w:sz w:val="24"/>
                <w:szCs w:val="24"/>
              </w:rPr>
              <w:t>12.4.2. No caso de desequilíbrio econômico-financeiro (preço de mercado tornar-se superior ao preço registrado, e mantendo-se a diferença percentual apurada entre o valor originalmente constante da proposta do fornecedor e aquele vigente no mercado à época do registro - equação econômico-financeira), sendo frustrada a negociação entre as partes, o fornecedor poderá ser liberado do compromisso assumido.</w:t>
            </w:r>
          </w:p>
          <w:p>
            <w:pPr>
              <w:bidi w:val="0"/>
              <w:spacing w:before="0" w:after="0"/>
              <w:jc w:val="both"/>
            </w:pPr>
            <w:r>
              <w:rPr>
                <w:rFonts w:ascii="Times New Roman" w:eastAsia="Times New Roman" w:hAnsi="Times New Roman" w:cs="Times New Roman"/>
                <w:color w:val="000000"/>
                <w:spacing w:val="0"/>
                <w:sz w:val="24"/>
                <w:szCs w:val="24"/>
              </w:rPr>
              <w:t>12.4.3. Havendo negociação entre as partes, o aumento para recomposição dos preços unitários em razão de desequilíbrio econômico-financeiro do Contrato somente poderá ser dado se a sua ocorrência era imprevisível no momento da licitação, nos termos do Artigo 65, Inciso II, Alínea "d" da Lei nº. 8.666/93 e, se houver a efetiva comprovação do aumento pelo Fornecedor (requerimento, planilha de custos e documentação de suporte).</w:t>
            </w:r>
          </w:p>
          <w:p>
            <w:pPr>
              <w:bidi w:val="0"/>
              <w:spacing w:before="0" w:after="0"/>
              <w:jc w:val="both"/>
            </w:pPr>
            <w:r>
              <w:rPr>
                <w:rFonts w:ascii="Times New Roman" w:eastAsia="Times New Roman" w:hAnsi="Times New Roman" w:cs="Times New Roman"/>
                <w:color w:val="000000"/>
                <w:spacing w:val="0"/>
                <w:sz w:val="24"/>
                <w:szCs w:val="24"/>
              </w:rPr>
              <w:t>12.4.4. As alterações de preços oriundos da revisão dos mesmos, no caso de desequilíbrio econômico-financeiro, serão publicadas na imprensa oficial, sem prejuízo do cumprimento da obrigação contida no Artigo 15, Parágrafo 2º. da Lei nº. 8.666/93 (publicação trimestral dos preços registrados).</w:t>
            </w:r>
          </w:p>
          <w:p>
            <w:pPr>
              <w:bidi w:val="0"/>
              <w:spacing w:before="0" w:after="0"/>
              <w:jc w:val="both"/>
            </w:pPr>
            <w:r>
              <w:rPr>
                <w:rFonts w:ascii="Times New Roman" w:eastAsia="Times New Roman" w:hAnsi="Times New Roman" w:cs="Times New Roman"/>
                <w:color w:val="000000"/>
                <w:spacing w:val="0"/>
                <w:sz w:val="24"/>
                <w:szCs w:val="24"/>
              </w:rPr>
              <w:t>12.5. A contratação com os fornecedores registrados, após a indicação pelo órgão gerenciador do registro de preços, será formalizada por instrumento contratual, autorização de compra ou outro instrumento similar, conforme o disposto no Artigo 62 da Lei nº. 8.666/93.</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13 DAS SANÇÕES</w:t>
            </w:r>
          </w:p>
          <w:p>
            <w:pPr>
              <w:bidi w:val="0"/>
              <w:spacing w:before="0" w:after="0"/>
              <w:jc w:val="both"/>
            </w:pPr>
            <w:r>
              <w:rPr>
                <w:rFonts w:ascii="Times New Roman" w:eastAsia="Times New Roman" w:hAnsi="Times New Roman" w:cs="Times New Roman"/>
                <w:color w:val="000000"/>
                <w:spacing w:val="0"/>
                <w:sz w:val="24"/>
                <w:szCs w:val="24"/>
              </w:rPr>
              <w:t>13.1 Pela inexecução total ou parcial das condições estabelecidas nesta ata estará a empresa fornecedora sujeita às seguintes penalidades: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 – Advertência;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II – Multa: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 De 1,0% (um) por dia de atraso, no caso de não cumprimento do prazo de entrega ou de execução do serviço contratado, até o limite de 20% (vinte por cento) do valor global dos objetos registrados na Ata (do respectivo fornecedor);</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2- De até 40% (quarenta por cento) sobre o valor global dos objetos registrados nesta Ata (do respectivo fornecedor), no caso de descumprimento das disposições contidas na ata e no edital, ressalvado o disposto no item 1 (um) acima citado;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III – Suspensão temporária do direito de licitar e contratar com a Administração não superior a 05 (cinco) anos, na modalidade Pregão, aplicada segundo a natureza e gravidade da falta cometida, com a consequente rescisão contratual;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IV – Declaração de inidoneidade para licitar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com base no inciso III, com a consequente rescisão contratual.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Parágrafo Único: As sanções previstas nos incisos I, III e IV poderão ser aplicadas juntamente com a do inciso II, facultada a defesa prévia do interessado no respectivo processo administrativo, no prazo de 05 (cinco) dias úteis contados da notificação.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13.2 As eventuais multas aplicadas por força do disposto nos subitens precedentes não terão caráter compensatório, mas simplesmente moratório e, portanto, não eximem a empresa fornecedora da reparação de possíveis danos, perdas ou prejuízos que os seus atos venham a acarretar, nem impedem a declaração da rescisão do pacto em apreço.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13.3 Os valores pertinentes às multas aplicadas serão descontados dos créditos a que a fornecedora tiver direito, ou cobrados judicialmente.</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14 DOS RECURSOS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 xml:space="preserve">14.1 Declarado o vencedor, qualquer licitante poderá manifestar imediata e </w:t>
            </w:r>
            <w:r>
              <w:rPr>
                <w:rFonts w:ascii="Times New Roman" w:eastAsia="Times New Roman" w:hAnsi="Times New Roman" w:cs="Times New Roman"/>
                <w:b/>
                <w:bCs/>
                <w:color w:val="000000"/>
                <w:spacing w:val="0"/>
                <w:sz w:val="24"/>
                <w:szCs w:val="24"/>
              </w:rPr>
              <w:t>motivadamente</w:t>
            </w:r>
            <w:r>
              <w:rPr>
                <w:rFonts w:ascii="Times New Roman" w:eastAsia="Times New Roman" w:hAnsi="Times New Roman" w:cs="Times New Roman"/>
                <w:color w:val="000000"/>
                <w:spacing w:val="0"/>
                <w:sz w:val="24"/>
                <w:szCs w:val="24"/>
              </w:rPr>
              <w:t xml:space="preserve"> a intenção de recorrer, quando lhe será concedido o prazo de cinco dias úteis para apresentação das razões do recurso, ficando os demais licitantes desde logo intimados para apresentar contra-razões em igual número de dias, que começarão a correr do término do prazo do recorrente, sendo-lhes assegurada vista imediata dos autos.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14.2 Decairá do direito de recorrer, o licitante que não se manifestar imediatamente e motivadamente no momento em que o Pregoeiro declarar o vencedor.</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14.3 O acolhimento do recurso importará a invalidação apenas dos atos insuscetíveis de aproveitamento.</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4"/>
                <w:szCs w:val="24"/>
              </w:rPr>
              <w:t>15 DAS CONSIDERAÇÕES FINAIS</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15.1 A autoridade competente para a aprovação do procedimento somente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 assegurado o contraditório e a ampla defesa.</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15.2 No interesse do Município de Vitor Meireles, sem que caiba aos participantes qualquer recurso ou indenização, poderá a licitação ter:</w:t>
            </w:r>
          </w:p>
          <w:p>
            <w:pPr>
              <w:bidi w:val="0"/>
              <w:spacing w:before="0" w:after="0"/>
              <w:jc w:val="both"/>
            </w:pPr>
            <w:r>
              <w:rPr>
                <w:rFonts w:ascii="Times New Roman" w:eastAsia="Times New Roman" w:hAnsi="Times New Roman" w:cs="Times New Roman"/>
                <w:color w:val="000000"/>
                <w:spacing w:val="0"/>
                <w:sz w:val="24"/>
                <w:szCs w:val="24"/>
              </w:rPr>
              <w:t>a) Adiada sua abertura;</w:t>
            </w:r>
          </w:p>
          <w:p>
            <w:pPr>
              <w:bidi w:val="0"/>
              <w:spacing w:before="0" w:after="0"/>
              <w:jc w:val="both"/>
            </w:pPr>
            <w:r>
              <w:rPr>
                <w:rFonts w:ascii="Times New Roman" w:eastAsia="Times New Roman" w:hAnsi="Times New Roman" w:cs="Times New Roman"/>
                <w:color w:val="000000"/>
                <w:spacing w:val="0"/>
                <w:sz w:val="24"/>
                <w:szCs w:val="24"/>
              </w:rPr>
              <w:t>b) Alterado o Edital, com fixação de novo prazo para a realização da licitação.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15.3 É vedada a subcontratação, parcial ou total, de empresa para o fornecimento do objeto deste Edital.</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15.4 Na contagem dos prazos, excluir-se-á o dia de início e incluir-se-á o do vencimento.</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15.5 O objeto deste Edital poderá sofrer acréscimos ou supressões de até 25% (vinte e cinco por cento), de acordo com o art. 65, da Lei 8.666/93.</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15.6 Qualquer esclarecimento sobre o presente Edital poderá ser obtido no horário de 08:00 às 12:00 horas e das 14:00 às 17:00 horas, com o Pregoeiro, na Prefeitura Municipal de Vitor Meireles, à Rua Santa Catarina, nº 2.266 – ou pelo telefone (47) 3258-0211.</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4"/>
                <w:szCs w:val="24"/>
              </w:rPr>
              <w:t>15.7 Os ANEXOS I, II, III, IV e V, são partes integrantes deste Edital, independente de transcrição.</w:t>
            </w:r>
          </w:p>
          <w:p>
            <w:pPr>
              <w:bidi w:val="0"/>
              <w:spacing w:before="0" w:after="0"/>
              <w:jc w:val="both"/>
            </w:pPr>
          </w:p>
          <w:p>
            <w:pPr>
              <w:bidi w:val="0"/>
              <w:spacing w:before="0" w:after="0"/>
              <w:jc w:val="both"/>
            </w:pPr>
          </w:p>
        </w:tc>
      </w:tr>
    </w:tbl>
    <w:p/>
    <w:tbl>
      <w:tblPr>
        <w:tblStyle w:val="TableNormal"/>
        <w:tblOverlap w:val="never"/>
        <w:tblW w:w="9072" w:type="dxa"/>
        <w:jc w:val="right"/>
        <w:tblInd w:w="0" w:type="dxa"/>
        <w:tblLayout w:type="fixed"/>
        <w:tblCellMar>
          <w:top w:w="0" w:type="dxa"/>
          <w:left w:w="0" w:type="dxa"/>
          <w:bottom w:w="0" w:type="dxa"/>
          <w:right w:w="0" w:type="dxa"/>
        </w:tblCellMar>
        <w:tblLook w:val="01E0"/>
      </w:tblPr>
      <w:tblGrid>
        <w:gridCol w:w="9072"/>
      </w:tblGrid>
      <w:tr>
        <w:tblPrEx>
          <w:tblW w:w="9072" w:type="dxa"/>
          <w:jc w:val="right"/>
          <w:tblInd w:w="0" w:type="dxa"/>
          <w:tblLayout w:type="fixed"/>
          <w:tblCellMar>
            <w:top w:w="0" w:type="dxa"/>
            <w:left w:w="0" w:type="dxa"/>
            <w:bottom w:w="0" w:type="dxa"/>
            <w:right w:w="0" w:type="dxa"/>
          </w:tblCellMar>
          <w:tblLook w:val="01E0"/>
        </w:tblPrEx>
        <w:trPr>
          <w:jc w:val="right"/>
        </w:trPr>
        <w:tc>
          <w:tcPr>
            <w:tcW w:w="9072" w:type="dxa"/>
            <w:noWrap w:val="0"/>
            <w:tcMar>
              <w:top w:w="20" w:type="dxa"/>
              <w:left w:w="20" w:type="dxa"/>
              <w:bottom w:w="1000" w:type="dxa"/>
              <w:right w:w="20" w:type="dxa"/>
            </w:tcMar>
            <w:vAlign w:val="top"/>
          </w:tcPr>
          <w:bookmarkStart w:id="11" w:name="__bookmark_17"/>
          <w:bookmarkEnd w:id="11"/>
          <w:p>
            <w:pPr>
              <w:bidi w:val="0"/>
              <w:spacing w:before="0" w:after="0"/>
              <w:jc w:val="right"/>
            </w:pPr>
            <w:r>
              <w:rPr>
                <w:rFonts w:ascii="Times New Roman" w:eastAsia="Times New Roman" w:hAnsi="Times New Roman" w:cs="Times New Roman"/>
                <w:color w:val="000000"/>
                <w:spacing w:val="0"/>
                <w:sz w:val="24"/>
                <w:szCs w:val="24"/>
              </w:rPr>
              <w:t>Vitor Meireles (SC), 19 de fevereiro de 2024.</w:t>
            </w:r>
          </w:p>
        </w:tc>
      </w:tr>
    </w:tbl>
    <w:p/>
    <w:tbl>
      <w:tblPr>
        <w:tblStyle w:val="TableNormal"/>
        <w:tblOverlap w:val="never"/>
        <w:tblW w:w="9032" w:type="dxa"/>
        <w:tblInd w:w="20" w:type="dxa"/>
        <w:tblLayout w:type="fixed"/>
        <w:tblLook w:val="01E0"/>
      </w:tblPr>
      <w:tblGrid>
        <w:gridCol w:w="3669"/>
        <w:gridCol w:w="1693"/>
        <w:gridCol w:w="3670"/>
      </w:tblGrid>
      <w:tr>
        <w:tblPrEx>
          <w:tblW w:w="9032" w:type="dxa"/>
          <w:tblInd w:w="20" w:type="dxa"/>
          <w:tblLayout w:type="fixed"/>
          <w:tblLook w:val="01E0"/>
        </w:tblPrEx>
        <w:tc>
          <w:tcPr>
            <w:tcW w:w="3686" w:type="dxa"/>
            <w:noWrap w:val="0"/>
            <w:tcMar>
              <w:top w:w="0" w:type="dxa"/>
              <w:left w:w="0" w:type="dxa"/>
              <w:bottom w:w="0" w:type="dxa"/>
              <w:right w:w="0" w:type="dxa"/>
            </w:tcMar>
            <w:vAlign w:val="top"/>
          </w:tcPr>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i/>
                      <w:iCs/>
                      <w:color w:val="000000"/>
                      <w:spacing w:val="0"/>
                      <w:sz w:val="24"/>
                      <w:szCs w:val="24"/>
                    </w:rPr>
                    <w:t>BENTO FRANCISCO SILVY</w:t>
                  </w:r>
                </w:p>
                <w:p>
                  <w:pPr>
                    <w:bidi w:val="0"/>
                    <w:spacing w:before="0" w:after="0"/>
                    <w:jc w:val="center"/>
                  </w:pPr>
                  <w:r>
                    <w:rPr>
                      <w:rFonts w:ascii="Times New Roman" w:eastAsia="Times New Roman" w:hAnsi="Times New Roman" w:cs="Times New Roman"/>
                      <w:b/>
                      <w:bCs/>
                      <w:i/>
                      <w:iCs/>
                      <w:color w:val="000000"/>
                      <w:spacing w:val="0"/>
                      <w:sz w:val="24"/>
                      <w:szCs w:val="24"/>
                    </w:rPr>
                    <w:t>Prefeito Municipal</w:t>
                  </w:r>
                </w:p>
              </w:tc>
            </w:tr>
          </w:tbl>
          <w:p>
            <w:pPr>
              <w:spacing w:line="1" w:lineRule="auto"/>
            </w:pPr>
          </w:p>
        </w:tc>
        <w:tc>
          <w:tcPr>
            <w:tcW w:w="1700" w:type="dxa"/>
            <w:noWrap w:val="0"/>
            <w:tcMar>
              <w:top w:w="0" w:type="dxa"/>
              <w:left w:w="0" w:type="dxa"/>
              <w:bottom w:w="0" w:type="dxa"/>
              <w:right w:w="0" w:type="dxa"/>
            </w:tcMar>
            <w:vAlign w:val="top"/>
          </w:tcPr>
          <w:p>
            <w:pPr>
              <w:spacing w:line="1" w:lineRule="auto"/>
            </w:pPr>
          </w:p>
        </w:tc>
        <w:tc>
          <w:tcPr>
            <w:tcW w:w="3686" w:type="dxa"/>
            <w:noWrap w:val="0"/>
            <w:tcMar>
              <w:top w:w="0" w:type="dxa"/>
              <w:left w:w="0" w:type="dxa"/>
              <w:bottom w:w="0" w:type="dxa"/>
              <w:right w:w="0" w:type="dxa"/>
            </w:tcMar>
            <w:vAlign w:val="top"/>
          </w:tcPr>
          <w:p/>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Times New Roman" w:eastAsia="Times New Roman" w:hAnsi="Times New Roman" w:cs="Times New Roman"/>
                      <w:b/>
                      <w:bCs/>
                      <w:i/>
                      <w:iCs/>
                      <w:color w:val="000000"/>
                      <w:spacing w:val="0"/>
                      <w:sz w:val="24"/>
                      <w:szCs w:val="24"/>
                    </w:rPr>
                    <w:t>Pregoeiro(a)</w:t>
                  </w:r>
                </w:p>
              </w:tc>
            </w:tr>
          </w:tbl>
          <w:p>
            <w:pPr>
              <w:spacing w:line="1" w:lineRule="auto"/>
            </w:pPr>
          </w:p>
        </w:tc>
      </w:tr>
    </w:tbl>
    <w:p>
      <w:pPr>
        <w:sectPr>
          <w:headerReference w:type="default" r:id="rId6"/>
          <w:footerReference w:type="default" r:id="rId7"/>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ANEXO I</w:t>
      </w:r>
    </w:p>
    <w:p>
      <w:pPr>
        <w:bidi w:val="0"/>
        <w:jc w:val="center"/>
        <w:rPr>
          <w:rFonts w:ascii="Times New Roman" w:eastAsia="Times New Roman" w:hAnsi="Times New Roman" w:cs="Times New Roman"/>
          <w:b/>
          <w:bCs/>
          <w:color w:val="000000"/>
          <w:spacing w:val="0"/>
          <w:sz w:val="24"/>
          <w:szCs w:val="24"/>
        </w:rPr>
      </w:pPr>
      <w:r>
        <w:rPr>
          <w:rFonts w:ascii="Times New Roman" w:eastAsia="Times New Roman" w:hAnsi="Times New Roman" w:cs="Times New Roman"/>
          <w:b/>
          <w:bCs/>
          <w:color w:val="000000"/>
          <w:spacing w:val="0"/>
          <w:sz w:val="24"/>
          <w:szCs w:val="24"/>
        </w:rPr>
        <w:t xml:space="preserve">TERMO DE REFERÊNCIA </w:t>
      </w:r>
    </w:p>
    <w:p>
      <w:pPr>
        <w:bidi w:val="0"/>
        <w:jc w:val="center"/>
        <w:rPr>
          <w:rFonts w:ascii="Times New Roman" w:eastAsia="Times New Roman" w:hAnsi="Times New Roman" w:cs="Times New Roman"/>
          <w:b/>
          <w:bCs/>
          <w:color w:val="000000"/>
          <w:spacing w:val="0"/>
          <w:sz w:val="24"/>
          <w:szCs w:val="24"/>
        </w:rPr>
      </w:pPr>
      <w:r>
        <w:rPr>
          <w:rFonts w:ascii="Times New Roman" w:eastAsia="Times New Roman" w:hAnsi="Times New Roman" w:cs="Times New Roman"/>
          <w:b/>
          <w:bCs/>
          <w:color w:val="000000"/>
          <w:spacing w:val="0"/>
          <w:sz w:val="24"/>
          <w:szCs w:val="24"/>
        </w:rPr>
        <w:t>ESPECIFICAÇÕES DO OBJETO</w:t>
      </w:r>
    </w:p>
    <w:bookmarkStart w:id="12" w:name="__bookmark_18"/>
    <w:bookmarkEnd w:id="12"/>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bookmarkStart w:id="13" w:name="__bookmark_19"/>
          <w:bookmarkEnd w:id="13"/>
          <w:tbl>
            <w:tblPr>
              <w:tblStyle w:val="TableNormal"/>
              <w:tblOverlap w:val="never"/>
              <w:tblW w:w="8850" w:type="dxa"/>
              <w:tblInd w:w="20" w:type="dxa"/>
              <w:tblLayout w:type="fixed"/>
              <w:tblLook w:val="01E0"/>
            </w:tblPr>
            <w:tblGrid>
              <w:gridCol w:w="846"/>
              <w:gridCol w:w="1411"/>
              <w:gridCol w:w="1411"/>
              <w:gridCol w:w="5182"/>
            </w:tblGrid>
            <w:tr>
              <w:tblPrEx>
                <w:tblW w:w="8850"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rPr>
                      <w:rFonts w:ascii="Times New Roman" w:eastAsia="Times New Roman" w:hAnsi="Times New Roman" w:cs="Times New Roman"/>
                      <w:b/>
                      <w:bCs/>
                      <w:i/>
                      <w:iCs/>
                      <w:color w:val="000000"/>
                      <w:spacing w:val="0"/>
                      <w:sz w:val="20"/>
                      <w:szCs w:val="20"/>
                    </w:rPr>
                  </w:pPr>
                  <w:r>
                    <w:rPr>
                      <w:rFonts w:ascii="Times New Roman" w:eastAsia="Times New Roman" w:hAnsi="Times New Roman" w:cs="Times New Roman"/>
                      <w:b/>
                      <w:bCs/>
                      <w:i/>
                      <w:iCs/>
                      <w:color w:val="000000"/>
                      <w:spacing w:val="0"/>
                      <w:sz w:val="20"/>
                      <w:szCs w:val="20"/>
                    </w:rPr>
                    <w:t>Item</w:t>
                  </w:r>
                </w:p>
              </w:tc>
              <w:tc>
                <w:tcPr>
                  <w:tcW w:w="14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Times New Roman" w:eastAsia="Times New Roman" w:hAnsi="Times New Roman" w:cs="Times New Roman"/>
                      <w:b/>
                      <w:bCs/>
                      <w:i/>
                      <w:iCs/>
                      <w:color w:val="000000"/>
                      <w:spacing w:val="0"/>
                      <w:sz w:val="20"/>
                      <w:szCs w:val="20"/>
                    </w:rPr>
                  </w:pPr>
                  <w:r>
                    <w:rPr>
                      <w:rFonts w:ascii="Times New Roman" w:eastAsia="Times New Roman" w:hAnsi="Times New Roman" w:cs="Times New Roman"/>
                      <w:b/>
                      <w:bCs/>
                      <w:i/>
                      <w:iCs/>
                      <w:color w:val="000000"/>
                      <w:spacing w:val="0"/>
                      <w:sz w:val="20"/>
                      <w:szCs w:val="20"/>
                    </w:rPr>
                    <w:t>Quantidade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Times New Roman" w:eastAsia="Times New Roman" w:hAnsi="Times New Roman" w:cs="Times New Roman"/>
                      <w:b/>
                      <w:bCs/>
                      <w:i/>
                      <w:iCs/>
                      <w:color w:val="000000"/>
                      <w:spacing w:val="0"/>
                      <w:sz w:val="20"/>
                      <w:szCs w:val="20"/>
                    </w:rPr>
                  </w:pPr>
                  <w:r>
                    <w:rPr>
                      <w:rFonts w:ascii="Times New Roman" w:eastAsia="Times New Roman" w:hAnsi="Times New Roman" w:cs="Times New Roman"/>
                      <w:b/>
                      <w:bCs/>
                      <w:i/>
                      <w:iCs/>
                      <w:color w:val="000000"/>
                      <w:spacing w:val="0"/>
                      <w:sz w:val="20"/>
                      <w:szCs w:val="20"/>
                    </w:rPr>
                    <w:t>Unidade</w:t>
                  </w:r>
                </w:p>
              </w:tc>
              <w:tc>
                <w:tcPr>
                  <w:tcW w:w="5206"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Times New Roman" w:eastAsia="Times New Roman" w:hAnsi="Times New Roman" w:cs="Times New Roman"/>
                      <w:b/>
                      <w:bCs/>
                      <w:i/>
                      <w:iCs/>
                      <w:color w:val="000000"/>
                      <w:spacing w:val="0"/>
                      <w:sz w:val="20"/>
                      <w:szCs w:val="20"/>
                    </w:rPr>
                  </w:pPr>
                  <w:r>
                    <w:rPr>
                      <w:rFonts w:ascii="Times New Roman" w:eastAsia="Times New Roman" w:hAnsi="Times New Roman" w:cs="Times New Roman"/>
                      <w:b/>
                      <w:bCs/>
                      <w:i/>
                      <w:iCs/>
                      <w:color w:val="000000"/>
                      <w:spacing w:val="0"/>
                      <w:sz w:val="20"/>
                      <w:szCs w:val="20"/>
                    </w:rPr>
                    <w:t>Descrição</w:t>
                  </w:r>
                </w:p>
              </w:tc>
            </w:tr>
            <w:tr>
              <w:tblPrEx>
                <w:tblW w:w="8850"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w:t>
                  </w:r>
                </w:p>
              </w:tc>
              <w:tc>
                <w:tcPr>
                  <w:tcW w:w="14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24</w:t>
                  </w:r>
                </w:p>
              </w:tc>
              <w:tc>
                <w:tcPr>
                  <w:tcW w:w="14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520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EMPRESA DE TRANSPORTE PARA TERCEIRA IDADE</w:t>
                  </w:r>
                </w:p>
              </w:tc>
            </w:tr>
            <w:tr>
              <w:tblPrEx>
                <w:tblW w:w="8850" w:type="dxa"/>
                <w:tblInd w:w="20" w:type="dxa"/>
                <w:tblLayout w:type="fixed"/>
                <w:tblLook w:val="01E0"/>
              </w:tblPrEx>
              <w:tc>
                <w:tcPr>
                  <w:tcW w:w="3684" w:type="dxa"/>
                  <w:gridSpan w:val="3"/>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Vlr Máx.Unit:</w:t>
                  </w:r>
                </w:p>
              </w:tc>
              <w:tc>
                <w:tcPr>
                  <w:tcW w:w="520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791,67</w:t>
                  </w:r>
                </w:p>
              </w:tc>
            </w:tr>
            <w:tr>
              <w:tblPrEx>
                <w:tblW w:w="8850" w:type="dxa"/>
                <w:tblInd w:w="20" w:type="dxa"/>
                <w:tblLayout w:type="fixed"/>
                <w:tblLook w:val="01E0"/>
              </w:tblPrEx>
              <w:tc>
                <w:tcPr>
                  <w:tcW w:w="3684" w:type="dxa"/>
                  <w:gridSpan w:val="3"/>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Cotação Máx.:</w:t>
                  </w:r>
                </w:p>
              </w:tc>
              <w:tc>
                <w:tcPr>
                  <w:tcW w:w="520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19000,08</w:t>
                  </w:r>
                </w:p>
              </w:tc>
            </w:tr>
            <w:tr>
              <w:tblPrEx>
                <w:tblW w:w="8850" w:type="dxa"/>
                <w:tblInd w:w="20" w:type="dxa"/>
                <w:tblLayout w:type="fixed"/>
                <w:tblLook w:val="01E0"/>
              </w:tblPrEx>
              <w:trPr>
                <w:trHeight w:hRule="exact" w:val="170"/>
              </w:trPr>
              <w:tc>
                <w:tcPr>
                  <w:tcW w:w="850"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5206" w:type="dxa"/>
                  <w:noWrap w:val="0"/>
                  <w:tcMar>
                    <w:top w:w="0" w:type="dxa"/>
                    <w:left w:w="0" w:type="dxa"/>
                    <w:bottom w:w="0" w:type="dxa"/>
                    <w:right w:w="0" w:type="dxa"/>
                  </w:tcMar>
                  <w:vAlign w:val="top"/>
                </w:tcPr>
                <w:p>
                  <w:pPr>
                    <w:spacing w:line="1" w:lineRule="auto"/>
                  </w:pPr>
                </w:p>
              </w:tc>
            </w:tr>
          </w:tbl>
          <w:p>
            <w:pPr>
              <w:spacing w:line="1" w:lineRule="auto"/>
            </w:pPr>
          </w:p>
        </w:tc>
      </w:tr>
    </w:tbl>
    <w:p>
      <w:pPr>
        <w:sectPr>
          <w:headerReference w:type="default" r:id="rId8"/>
          <w:footerReference w:type="default" r:id="rId9"/>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ANEXO II</w:t>
      </w:r>
    </w:p>
    <w:tbl>
      <w:tblPr>
        <w:tblStyle w:val="TableNormal"/>
        <w:tblOverlap w:val="never"/>
        <w:tblW w:w="9032" w:type="dxa"/>
        <w:tblInd w:w="20" w:type="dxa"/>
        <w:tblLayout w:type="fixed"/>
        <w:tblLook w:val="01E0"/>
      </w:tblPr>
      <w:tblGrid>
        <w:gridCol w:w="4232"/>
        <w:gridCol w:w="4800"/>
      </w:tblGrid>
      <w:tr>
        <w:tblPrEx>
          <w:tblW w:w="9032" w:type="dxa"/>
          <w:tblInd w:w="20" w:type="dxa"/>
          <w:tblLayout w:type="fixed"/>
          <w:tblLook w:val="01E0"/>
        </w:tblPrEx>
        <w:tc>
          <w:tcPr>
            <w:tcW w:w="4251" w:type="dxa"/>
            <w:noWrap w:val="0"/>
            <w:tcMar>
              <w:top w:w="0" w:type="dxa"/>
              <w:left w:w="0" w:type="dxa"/>
              <w:bottom w:w="0" w:type="dxa"/>
              <w:right w:w="0" w:type="dxa"/>
            </w:tcMar>
            <w:vAlign w:val="top"/>
          </w:tcPr>
          <w:p>
            <w:pPr>
              <w:spacing w:line="1" w:lineRule="auto"/>
            </w:pPr>
          </w:p>
        </w:tc>
        <w:tc>
          <w:tcPr>
            <w:tcW w:w="4821" w:type="dxa"/>
            <w:noWrap w:val="0"/>
            <w:tcMar>
              <w:top w:w="0" w:type="dxa"/>
              <w:left w:w="0" w:type="dxa"/>
              <w:bottom w:w="0" w:type="dxa"/>
              <w:right w:w="0" w:type="dxa"/>
            </w:tcMar>
            <w:vAlign w:val="top"/>
          </w:tcPr>
          <w:p>
            <w:pPr>
              <w:bidi w:val="0"/>
              <w:rPr>
                <w:rFonts w:ascii="Times New Roman" w:eastAsia="Times New Roman" w:hAnsi="Times New Roman" w:cs="Times New Roman"/>
                <w:b/>
                <w:bCs/>
                <w:color w:val="000000"/>
                <w:spacing w:val="0"/>
                <w:sz w:val="24"/>
                <w:szCs w:val="24"/>
              </w:rPr>
            </w:pPr>
            <w:r>
              <w:rPr>
                <w:rFonts w:ascii="Times New Roman" w:eastAsia="Times New Roman" w:hAnsi="Times New Roman" w:cs="Times New Roman"/>
                <w:b/>
                <w:bCs/>
                <w:color w:val="000000"/>
                <w:spacing w:val="0"/>
                <w:sz w:val="24"/>
                <w:szCs w:val="24"/>
              </w:rPr>
              <w:t>MODELO PROCURAÇÃO</w:t>
            </w:r>
          </w:p>
        </w:tc>
      </w:tr>
      <w:tr>
        <w:tblPrEx>
          <w:tblW w:w="9032" w:type="dxa"/>
          <w:tblInd w:w="20" w:type="dxa"/>
          <w:tblLayout w:type="fixed"/>
          <w:tblLook w:val="01E0"/>
        </w:tblPrEx>
        <w:tc>
          <w:tcPr>
            <w:tcW w:w="4251" w:type="dxa"/>
            <w:noWrap w:val="0"/>
            <w:tcMar>
              <w:top w:w="0" w:type="dxa"/>
              <w:left w:w="0" w:type="dxa"/>
              <w:bottom w:w="0" w:type="dxa"/>
              <w:right w:w="0" w:type="dxa"/>
            </w:tcMar>
            <w:vAlign w:val="top"/>
          </w:tcPr>
          <w:p>
            <w:pPr>
              <w:spacing w:line="1" w:lineRule="auto"/>
            </w:pPr>
          </w:p>
        </w:tc>
        <w:tc>
          <w:tcPr>
            <w:tcW w:w="4821" w:type="dxa"/>
            <w:noWrap w:val="0"/>
            <w:tcMar>
              <w:top w:w="0" w:type="dxa"/>
              <w:left w:w="0" w:type="dxa"/>
              <w:bottom w:w="0" w:type="dxa"/>
              <w:right w:w="0" w:type="dxa"/>
            </w:tcMar>
            <w:vAlign w:val="top"/>
          </w:tcPr>
          <w:tbl>
            <w:tblPr>
              <w:tblStyle w:val="TableNormal"/>
              <w:tblOverlap w:val="never"/>
              <w:tblW w:w="4821" w:type="dxa"/>
              <w:tblInd w:w="0" w:type="dxa"/>
              <w:tblLayout w:type="fixed"/>
              <w:tblCellMar>
                <w:top w:w="0" w:type="dxa"/>
                <w:left w:w="0" w:type="dxa"/>
                <w:bottom w:w="0" w:type="dxa"/>
                <w:right w:w="0" w:type="dxa"/>
              </w:tblCellMar>
              <w:tblLook w:val="01E0"/>
            </w:tblPr>
            <w:tblGrid>
              <w:gridCol w:w="4821"/>
            </w:tblGrid>
            <w:tr>
              <w:tblPrEx>
                <w:tblW w:w="4821" w:type="dxa"/>
                <w:tblInd w:w="0" w:type="dxa"/>
                <w:tblLayout w:type="fixed"/>
                <w:tblCellMar>
                  <w:top w:w="0" w:type="dxa"/>
                  <w:left w:w="0" w:type="dxa"/>
                  <w:bottom w:w="0" w:type="dxa"/>
                  <w:right w:w="0" w:type="dxa"/>
                </w:tblCellMar>
                <w:tblLook w:val="01E0"/>
              </w:tblPrEx>
              <w:tc>
                <w:tcPr>
                  <w:tcW w:w="4821" w:type="dxa"/>
                  <w:noWrap w:val="0"/>
                  <w:tcMar>
                    <w:top w:w="0" w:type="dxa"/>
                    <w:left w:w="0" w:type="dxa"/>
                    <w:bottom w:w="200" w:type="dxa"/>
                    <w:right w:w="0" w:type="dxa"/>
                  </w:tcMar>
                  <w:vAlign w:val="top"/>
                </w:tcPr>
                <w:bookmarkStart w:id="14" w:name="__bookmark_20"/>
                <w:bookmarkEnd w:id="14"/>
                <w:p>
                  <w:pPr>
                    <w:bidi w:val="0"/>
                    <w:spacing w:before="0" w:after="0"/>
                  </w:pPr>
                  <w:r>
                    <w:rPr>
                      <w:rFonts w:ascii="Times New Roman" w:eastAsia="Times New Roman" w:hAnsi="Times New Roman" w:cs="Times New Roman"/>
                      <w:b/>
                      <w:bCs/>
                      <w:color w:val="000000"/>
                      <w:spacing w:val="0"/>
                      <w:sz w:val="24"/>
                      <w:szCs w:val="24"/>
                    </w:rPr>
                    <w:t>DISPENSA DE LICITAÇÃO N° 5/2024</w:t>
                  </w:r>
                </w:p>
              </w:tc>
            </w:tr>
          </w:tbl>
          <w:p>
            <w:pPr>
              <w:spacing w:line="1" w:lineRule="auto"/>
            </w:pP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5" w:name="__bookmark_21"/>
          <w:bookmarkEnd w:id="15"/>
          <w:p>
            <w:pPr>
              <w:bidi w:val="0"/>
              <w:spacing w:before="0" w:after="0"/>
              <w:ind w:firstLine="1600"/>
              <w:jc w:val="both"/>
            </w:pPr>
            <w:r>
              <w:rPr>
                <w:rFonts w:ascii="Times New Roman" w:eastAsia="Times New Roman" w:hAnsi="Times New Roman" w:cs="Times New Roman"/>
                <w:color w:val="000000"/>
                <w:spacing w:val="0"/>
                <w:sz w:val="24"/>
                <w:szCs w:val="24"/>
              </w:rPr>
              <w:t xml:space="preserve">Pelo presente instrumento particular de procuração __________________ (nome da empresa), nomeia e constitui seu bastante procurador o Sr. ________________________ (nome do outorgado, profissão, nº da carteira de identidade), com poderes para representá-lo perante o Município de Vitor Meireles, no </w:t>
            </w:r>
            <w:r>
              <w:rPr>
                <w:rFonts w:ascii="Times New Roman" w:eastAsia="Times New Roman" w:hAnsi="Times New Roman" w:cs="Times New Roman"/>
                <w:color w:val="000000"/>
                <w:spacing w:val="0"/>
                <w:sz w:val="24"/>
                <w:szCs w:val="24"/>
              </w:rPr>
              <w:t>Dispensa De Licitação</w:t>
            </w:r>
            <w:r>
              <w:rPr>
                <w:rFonts w:ascii="Times New Roman" w:eastAsia="Times New Roman" w:hAnsi="Times New Roman" w:cs="Times New Roman"/>
                <w:color w:val="000000"/>
                <w:spacing w:val="0"/>
                <w:sz w:val="24"/>
                <w:szCs w:val="24"/>
              </w:rPr>
              <w:t xml:space="preserve"> nº 5/2024, podendo participar das sessões realizadas, assinar propostas, bem como formular propostas verbais, decidir sobre desistência ou interposição de recursos, assinar atas, enfim, praticar todos os atos que se façam necessários ao cumprimento regular do presente mandato.</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Local e Data.</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4"/>
                <w:szCs w:val="24"/>
              </w:rPr>
              <w:t>ASSINATURA DO REPRESENTANTE LEGAL DA EMPRESA</w:t>
            </w:r>
          </w:p>
        </w:tc>
      </w:tr>
    </w:tbl>
    <w:p>
      <w:pPr>
        <w:sectPr>
          <w:headerReference w:type="default" r:id="rId10"/>
          <w:footerReference w:type="default" r:id="rId11"/>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ANEXO III</w:t>
      </w: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6" w:name="__bookmark_22"/>
          <w:bookmarkEnd w:id="16"/>
          <w:p>
            <w:pPr>
              <w:bidi w:val="0"/>
              <w:spacing w:before="0" w:after="0"/>
              <w:jc w:val="center"/>
            </w:pPr>
            <w:r>
              <w:rPr>
                <w:rFonts w:ascii="Times New Roman" w:eastAsia="Times New Roman" w:hAnsi="Times New Roman" w:cs="Times New Roman"/>
                <w:b/>
                <w:bCs/>
                <w:color w:val="000000"/>
                <w:spacing w:val="0"/>
                <w:sz w:val="24"/>
                <w:szCs w:val="24"/>
                <w:u w:val="single"/>
              </w:rPr>
              <w:t>MODELO</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4"/>
                <w:szCs w:val="24"/>
              </w:rPr>
              <w:t>DECLARAÇÃO DE INEXISTÊNCIA DE FATO SUPERVENIENTE IMPEDITIVO DA HABILITAÇÃO</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ind w:firstLine="1600"/>
              <w:jc w:val="both"/>
            </w:pPr>
            <w:r>
              <w:rPr>
                <w:rFonts w:ascii="Times New Roman" w:eastAsia="Times New Roman" w:hAnsi="Times New Roman" w:cs="Times New Roman"/>
                <w:color w:val="000000"/>
                <w:spacing w:val="0"/>
                <w:sz w:val="24"/>
                <w:szCs w:val="24"/>
              </w:rPr>
              <w:t>(Nome da Empresa) ....................................., CNPJ nº ......................., estabelecida à ..................................... (endereço completo) .............., declara, sob as penas da Lei que até a presente data inexistem fatos impeditivos para sua habilitação no presente processo licitatório, ciente da obrigatoriedade de declarar ocorrências posteriores.</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ind w:firstLine="1600"/>
              <w:jc w:val="both"/>
            </w:pPr>
            <w:r>
              <w:rPr>
                <w:rFonts w:ascii="Times New Roman" w:eastAsia="Times New Roman" w:hAnsi="Times New Roman" w:cs="Times New Roman"/>
                <w:color w:val="000000"/>
                <w:spacing w:val="0"/>
                <w:sz w:val="24"/>
                <w:szCs w:val="24"/>
              </w:rPr>
              <w:t>___________, _____ de _______ de 20XX.</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4"/>
                <w:szCs w:val="24"/>
              </w:rPr>
              <w:t>NOME DO REPRESENTANTE LEGAL DA EMPRESA E ASSINATURA</w:t>
            </w:r>
          </w:p>
        </w:tc>
      </w:tr>
    </w:tbl>
    <w:p>
      <w:pPr>
        <w:sectPr>
          <w:headerReference w:type="default" r:id="rId12"/>
          <w:footerReference w:type="default" r:id="rId13"/>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ANEXO IV</w:t>
      </w: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7" w:name="__bookmark_23"/>
          <w:bookmarkEnd w:id="17"/>
          <w:p>
            <w:pPr>
              <w:bidi w:val="0"/>
              <w:spacing w:before="0" w:after="0"/>
              <w:jc w:val="center"/>
            </w:pPr>
            <w:r>
              <w:rPr>
                <w:rFonts w:ascii="Times New Roman" w:eastAsia="Times New Roman" w:hAnsi="Times New Roman" w:cs="Times New Roman"/>
                <w:b/>
                <w:bCs/>
                <w:color w:val="000000"/>
                <w:spacing w:val="0"/>
                <w:sz w:val="24"/>
                <w:szCs w:val="24"/>
              </w:rPr>
              <w:t>MODELO</w:t>
            </w:r>
          </w:p>
          <w:p>
            <w:pPr>
              <w:bidi w:val="0"/>
              <w:spacing w:before="0" w:after="0"/>
              <w:jc w:val="center"/>
            </w:pPr>
          </w:p>
          <w:p>
            <w:pPr>
              <w:bidi w:val="0"/>
              <w:spacing w:before="0" w:after="0"/>
              <w:jc w:val="center"/>
            </w:pPr>
          </w:p>
          <w:p>
            <w:pPr>
              <w:bidi w:val="0"/>
              <w:spacing w:before="0" w:after="0"/>
              <w:jc w:val="center"/>
            </w:pPr>
            <w:r>
              <w:rPr>
                <w:rFonts w:ascii="Times New Roman" w:eastAsia="Times New Roman" w:hAnsi="Times New Roman" w:cs="Times New Roman"/>
                <w:b/>
                <w:bCs/>
                <w:color w:val="000000"/>
                <w:spacing w:val="0"/>
                <w:sz w:val="24"/>
                <w:szCs w:val="24"/>
              </w:rPr>
              <w:t>DECLARAÇÃO DE CUMPRIMENTO DO DISPOSTO NO INCISO XXXIII DO ART. 7º DA C.F.</w:t>
            </w:r>
          </w:p>
          <w:p>
            <w:pPr>
              <w:bidi w:val="0"/>
              <w:spacing w:before="0" w:after="0"/>
              <w:jc w:val="both"/>
            </w:pPr>
          </w:p>
          <w:p>
            <w:pPr>
              <w:bidi w:val="0"/>
              <w:spacing w:before="0" w:after="0"/>
              <w:jc w:val="both"/>
            </w:pPr>
          </w:p>
          <w:p>
            <w:pPr>
              <w:bidi w:val="0"/>
              <w:spacing w:before="0" w:after="0"/>
              <w:jc w:val="both"/>
            </w:pPr>
          </w:p>
          <w:p>
            <w:pPr>
              <w:bidi w:val="0"/>
              <w:spacing w:before="0" w:after="0"/>
              <w:ind w:firstLine="1600"/>
              <w:jc w:val="both"/>
            </w:pPr>
            <w:r>
              <w:rPr>
                <w:rFonts w:ascii="Times New Roman" w:eastAsia="Times New Roman" w:hAnsi="Times New Roman" w:cs="Times New Roman"/>
                <w:color w:val="000000"/>
                <w:spacing w:val="0"/>
                <w:sz w:val="24"/>
                <w:szCs w:val="24"/>
              </w:rPr>
              <w:t>(Nome da Empresa) ....................................., CNPJ nº ......................., estabelecida à ..................................... (endereço completo) .............., declara, sob as penas da Lei que não possui em seu quadro de pessoal, empregado menor de 18 (dezoito) anos em trabalho noturno, perigoso ou insalubre e de 16 (dezesseis) anos em qualquer trabalho, salvo na condição de aprendiz, a partir de 14 (quatorze) anos, nos termos do inciso XXXIII do art. 7º da Constituição Federal de 1988 (Lei nº 9.854/99).</w:t>
            </w:r>
          </w:p>
          <w:p>
            <w:pPr>
              <w:bidi w:val="0"/>
              <w:spacing w:before="0" w:after="0"/>
              <w:ind w:firstLine="1600"/>
              <w:jc w:val="both"/>
            </w:pPr>
            <w:r>
              <w:rPr>
                <w:rFonts w:ascii="Times New Roman" w:eastAsia="Times New Roman" w:hAnsi="Times New Roman" w:cs="Times New Roman"/>
                <w:color w:val="000000"/>
                <w:spacing w:val="0"/>
                <w:sz w:val="24"/>
                <w:szCs w:val="24"/>
              </w:rPr>
              <w:t>___________, _____ de _______ de 20XX.</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4"/>
                <w:szCs w:val="24"/>
              </w:rPr>
              <w:t>NOME DO REPRESENTANTE LEGAL DA EMPRESA E ASSINATURA</w:t>
            </w:r>
          </w:p>
        </w:tc>
      </w:tr>
    </w:tbl>
    <w:p>
      <w:pPr>
        <w:sectPr>
          <w:headerReference w:type="default" r:id="rId14"/>
          <w:footerReference w:type="default" r:id="rId15"/>
          <w:pgSz w:w="11905" w:h="16837" w:orient="portrait"/>
          <w:pgMar w:top="1700" w:right="1133" w:bottom="1133" w:left="1700" w:header="1700" w:footer="1133"/>
          <w:cols w:space="708"/>
        </w:sectPr>
      </w:pPr>
    </w:p>
    <w:p>
      <w:pPr>
        <w:bidi w:val="0"/>
        <w:jc w:val="center"/>
        <w:rPr>
          <w:rFonts w:ascii="Times New Roman" w:eastAsia="Times New Roman" w:hAnsi="Times New Roman" w:cs="Times New Roman"/>
          <w:b/>
          <w:bCs/>
          <w:color w:val="000000"/>
          <w:spacing w:val="0"/>
          <w:sz w:val="72"/>
          <w:szCs w:val="72"/>
        </w:rPr>
      </w:pPr>
      <w:r>
        <w:rPr>
          <w:rFonts w:ascii="Times New Roman" w:eastAsia="Times New Roman" w:hAnsi="Times New Roman" w:cs="Times New Roman"/>
          <w:b/>
          <w:bCs/>
          <w:color w:val="000000"/>
          <w:spacing w:val="0"/>
          <w:sz w:val="72"/>
          <w:szCs w:val="72"/>
        </w:rPr>
        <w:t xml:space="preserve">ANEXO V </w:t>
      </w:r>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8" w:name="__bookmark_24"/>
          <w:bookmarkEnd w:id="18"/>
          <w:p>
            <w:pPr>
              <w:bidi w:val="0"/>
              <w:spacing w:before="0" w:after="0"/>
              <w:jc w:val="center"/>
            </w:pPr>
            <w:r>
              <w:rPr>
                <w:rFonts w:ascii="Times New Roman" w:eastAsia="Times New Roman" w:hAnsi="Times New Roman" w:cs="Times New Roman"/>
                <w:color w:val="000000"/>
                <w:spacing w:val="0"/>
                <w:sz w:val="24"/>
                <w:szCs w:val="24"/>
              </w:rPr>
              <w:t>DECLARAÇÃO DE ENQUADRAMENTO</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ind w:firstLine="700"/>
              <w:jc w:val="both"/>
            </w:pPr>
            <w:r>
              <w:rPr>
                <w:rFonts w:ascii="Times New Roman" w:eastAsia="Times New Roman" w:hAnsi="Times New Roman" w:cs="Times New Roman"/>
                <w:color w:val="000000"/>
                <w:spacing w:val="0"/>
                <w:sz w:val="24"/>
                <w:szCs w:val="24"/>
              </w:rPr>
              <w:t>DECLARA para fins do disposto no Edital de Pregão Presencial referenciado acima, sob as sanções administrativas cabíveis e sob as penas da lei, que esta empresa, na presente data, se enquadra como:</w:t>
            </w:r>
          </w:p>
          <w:p>
            <w:pPr>
              <w:bidi w:val="0"/>
              <w:spacing w:before="0" w:after="0"/>
              <w:ind w:firstLine="700"/>
              <w:jc w:val="both"/>
            </w:pPr>
            <w:r>
              <w:rPr>
                <w:rFonts w:ascii="Times New Roman" w:eastAsia="Times New Roman" w:hAnsi="Times New Roman" w:cs="Times New Roman"/>
                <w:color w:val="000000"/>
                <w:spacing w:val="0"/>
                <w:sz w:val="24"/>
                <w:szCs w:val="24"/>
              </w:rPr>
              <w:t>( ) Microempreendedor individual;</w:t>
            </w:r>
          </w:p>
          <w:p>
            <w:pPr>
              <w:bidi w:val="0"/>
              <w:spacing w:before="0" w:after="0"/>
              <w:ind w:firstLine="700"/>
              <w:jc w:val="both"/>
            </w:pPr>
            <w:r>
              <w:rPr>
                <w:rFonts w:ascii="Times New Roman" w:eastAsia="Times New Roman" w:hAnsi="Times New Roman" w:cs="Times New Roman"/>
                <w:color w:val="000000"/>
                <w:spacing w:val="0"/>
                <w:sz w:val="24"/>
                <w:szCs w:val="24"/>
              </w:rPr>
              <w:t>( ) Microempresa;</w:t>
            </w:r>
          </w:p>
          <w:p>
            <w:pPr>
              <w:bidi w:val="0"/>
              <w:spacing w:before="0" w:after="0"/>
              <w:ind w:firstLine="700"/>
              <w:jc w:val="both"/>
            </w:pPr>
            <w:r>
              <w:rPr>
                <w:rFonts w:ascii="Times New Roman" w:eastAsia="Times New Roman" w:hAnsi="Times New Roman" w:cs="Times New Roman"/>
                <w:color w:val="000000"/>
                <w:spacing w:val="0"/>
                <w:sz w:val="24"/>
                <w:szCs w:val="24"/>
              </w:rPr>
              <w:t>( ) Empresa de Pequeno Porte;</w:t>
            </w:r>
          </w:p>
          <w:p>
            <w:pPr>
              <w:bidi w:val="0"/>
              <w:spacing w:before="0" w:after="0"/>
              <w:ind w:firstLine="700"/>
              <w:jc w:val="both"/>
            </w:pPr>
            <w:r>
              <w:rPr>
                <w:rFonts w:ascii="Times New Roman" w:eastAsia="Times New Roman" w:hAnsi="Times New Roman" w:cs="Times New Roman"/>
                <w:color w:val="000000"/>
                <w:spacing w:val="0"/>
                <w:sz w:val="24"/>
                <w:szCs w:val="24"/>
              </w:rPr>
              <w:t>Conforme inciso I e II do art. 3.º da Lei Complementar nº 123, de 14 de dezembro de 2006. Declara ainda que a empresa não se enquadra em nenhuma das hipóteses do § 4º do art. 3º da Lei Complementar nº 123/2006, de 14 de dezembro de 2006 e Lei Complementar nº 147/2014, de 07 de agosto de 2014.</w:t>
            </w:r>
          </w:p>
        </w:tc>
      </w:tr>
    </w:tbl>
    <w:p/>
    <w:sectPr>
      <w:headerReference w:type="default" r:id="rId16"/>
      <w:footerReference w:type="default" r:id="rId17"/>
      <w:pgSz w:w="11905" w:h="16837" w:orient="portrait"/>
      <w:pgMar w:top="1700" w:right="1133" w:bottom="1133" w:left="1700" w:header="1700" w:footer="113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0"/>
      </w:trPr>
      <w:tc>
        <w:tcPr>
          <w:tcW w:w="9287" w:type="dxa"/>
        </w:tcPr>
        <w:p>
          <w:pPr>
            <w:bidi w:val="0"/>
            <w:rPr>
              <w:rFonts w:ascii="Arial" w:eastAsia="Arial" w:hAnsi="Arial" w:cs="Arial"/>
              <w:color w:val="000000"/>
              <w:spacing w:val="0"/>
              <w:sz w:val="16"/>
              <w:szCs w:val="16"/>
            </w:rPr>
          </w:pPr>
        </w:p>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595.28pt;height:836.22pt;margin-top:-85pt;margin-left:-85pt;position:absolute;z-index:-251658240">
                <v:imagedata r:id="rId1" o:title=""/>
              </v:shape>
            </w:pict>
          </w:r>
        </w:p>
        <w:p>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595.28pt;height:836.22pt;margin-top:-85pt;margin-left:-85pt;position:absolute;z-index:-251657216">
                <v:imagedata r:id="rId1" o:title=""/>
              </v:shape>
            </w:pict>
          </w:r>
        </w:p>
        <w:p>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595.28pt;height:836.22pt;margin-top:-85pt;margin-left:-85pt;position:absolute;z-index:-251656192">
                <v:imagedata r:id="rId1" o:title=""/>
              </v:shape>
            </w:pict>
          </w:r>
        </w:p>
        <w:p>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width:595.28pt;height:836.22pt;margin-top:-85pt;margin-left:-85pt;position:absolute;z-index:-251655168">
                <v:imagedata r:id="rId1" o:title=""/>
              </v:shape>
            </w:pict>
          </w:r>
        </w:p>
        <w:p>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595.28pt;height:836.22pt;margin-top:-85pt;margin-left:-85pt;position:absolute;z-index:-251654144">
                <v:imagedata r:id="rId1" o:title=""/>
              </v:shape>
            </w:pict>
          </w:r>
        </w:p>
        <w:p>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width:595.28pt;height:836.22pt;margin-top:-85pt;margin-left:-85pt;position:absolute;z-index:-251653120">
                <v:imagedata r:id="rId1" o:title=""/>
              </v:shape>
            </w:pict>
          </w:r>
        </w:p>
        <w:p>
          <w:pPr>
            <w:spacing w:line="1" w:lineRule="auto"/>
          </w:pPr>
        </w:p>
      </w:tc>
    </w:tr>
  </w:tbl>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720"/>
      </w:trPr>
      <w:tc>
        <w:tcPr>
          <w:tcW w:w="9287"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595.28pt;height:836.22pt;margin-top:-85pt;margin-left:-85pt;position:absolute;z-index:-251652096">
                <v:imagedata r:id="rId1" o:title=""/>
              </v:shape>
            </w:pict>
          </w:r>
        </w:p>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