
<file path=[Content_Types].xml><?xml version="1.0" encoding="utf-8"?>
<Types xmlns="http://schemas.openxmlformats.org/package/2006/content-types">
  <Default Extension="png" ContentType="image/png"/>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60"/>
        <w:spacing w:before="0" w:after="0"/>
        <w:rPr>
          <w:rFonts w:ascii="Calibri" w:hAnsi="Calibri"/>
          <w:sz w:val="24"/>
          <w:szCs w:val="24"/>
        </w:rPr>
      </w:pPr>
      <w:r>
        <w:drawing>
          <wp:inline distT="0" distB="0" distL="0" distR="0">
            <wp:extent cx="732155" cy="626745"/>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pic:cNvPicPr>
                      <a:picLocks noChangeAspect="1" noChangeArrowheads="1"/>
                    </pic:cNvPicPr>
                  </pic:nvPicPr>
                  <pic:blipFill>
                    <a:blip r:embed="rId7"/>
                    <a:srcRect l="-1912" t="-2197" r="-1912" b="-2197"/>
                    <a:stretch>
                      <a:fillRect/>
                    </a:stretch>
                  </pic:blipFill>
                  <pic:spPr>
                    <a:xfrm>
                      <a:off x="0" y="0"/>
                      <a:ext cx="732155" cy="626745"/>
                    </a:xfrm>
                    <a:prstGeom prst="rect">
                      <a:avLst/>
                    </a:prstGeom>
                  </pic:spPr>
                </pic:pic>
              </a:graphicData>
            </a:graphic>
          </wp:inline>
        </w:drawing>
      </w:r>
    </w:p>
    <w:p>
      <w:pPr>
        <w:jc w:val="center"/>
        <w:rPr>
          <w:rFonts w:ascii="Calibri" w:hAnsi="Calibri"/>
          <w:sz w:val="24"/>
          <w:szCs w:val="24"/>
        </w:rPr>
      </w:pPr>
      <w:r>
        <w:rPr>
          <w:rFonts w:ascii="Calibri" w:hAnsi="Calibri" w:cs="Calibri"/>
          <w:b/>
          <w:color w:val="000000"/>
          <w:sz w:val="24"/>
          <w:szCs w:val="24"/>
        </w:rPr>
        <w:t>ESTADO DE SANTA CATARINA</w:t>
      </w:r>
    </w:p>
    <w:p>
      <w:pPr>
        <w:jc w:val="center"/>
        <w:rPr>
          <w:rFonts w:ascii="Calibri" w:hAnsi="Calibri"/>
          <w:sz w:val="24"/>
          <w:szCs w:val="24"/>
        </w:rPr>
      </w:pPr>
      <w:r>
        <w:rPr>
          <w:rFonts w:ascii="Calibri" w:hAnsi="Calibri" w:cs="Calibri"/>
          <w:b/>
          <w:color w:val="000000"/>
          <w:sz w:val="24"/>
          <w:szCs w:val="24"/>
        </w:rPr>
        <w:t>SECRETARIA DE ESTADO DA SAÚDE</w:t>
      </w:r>
    </w:p>
    <w:p>
      <w:pPr>
        <w:jc w:val="center"/>
        <w:rPr>
          <w:rFonts w:ascii="Calibri" w:hAnsi="Calibri"/>
          <w:sz w:val="24"/>
          <w:szCs w:val="24"/>
        </w:rPr>
      </w:pPr>
      <w:r>
        <w:rPr>
          <w:rFonts w:ascii="Calibri" w:hAnsi="Calibri" w:cs="Calibri"/>
          <w:b/>
          <w:color w:val="000000"/>
          <w:sz w:val="24"/>
          <w:szCs w:val="24"/>
        </w:rPr>
        <w:t>FUNDO ESTADUAL DE SAÚDE</w:t>
      </w:r>
    </w:p>
    <w:p>
      <w:pPr>
        <w:jc w:val="center"/>
        <w:rPr>
          <w:rFonts w:ascii="Calibri" w:hAnsi="Calibri"/>
          <w:sz w:val="24"/>
          <w:szCs w:val="24"/>
        </w:rPr>
      </w:pPr>
      <w:r>
        <w:rPr>
          <w:rFonts w:ascii="Calibri" w:hAnsi="Calibri" w:cs="Calibri"/>
          <w:b/>
          <w:color w:val="000000"/>
          <w:sz w:val="24"/>
          <w:szCs w:val="24"/>
        </w:rPr>
        <w:t xml:space="preserve">Rua Esteves Júnior, 160 </w:t>
      </w:r>
    </w:p>
    <w:p>
      <w:pPr>
        <w:jc w:val="center"/>
        <w:rPr>
          <w:rFonts w:ascii="Calibri" w:hAnsi="Calibri"/>
          <w:sz w:val="24"/>
          <w:szCs w:val="24"/>
        </w:rPr>
      </w:pPr>
      <w:r>
        <w:rPr>
          <w:rFonts w:ascii="Calibri" w:hAnsi="Calibri" w:cs="Calibri"/>
          <w:b/>
          <w:color w:val="000000"/>
          <w:sz w:val="24"/>
          <w:szCs w:val="24"/>
        </w:rPr>
        <w:t xml:space="preserve"> Centro</w:t>
      </w:r>
      <w:r>
        <w:rPr>
          <w:rFonts w:ascii="Calibri" w:hAnsi="Calibri" w:cs="Calibri"/>
          <w:b/>
          <w:color w:val="000000"/>
          <w:sz w:val="24"/>
          <w:szCs w:val="24"/>
          <w:lang w:val="pt-BR"/>
        </w:rPr>
        <w:t xml:space="preserve"> – </w:t>
      </w:r>
      <w:r>
        <w:rPr>
          <w:rFonts w:ascii="Calibri" w:hAnsi="Calibri" w:cs="Calibri"/>
          <w:b/>
          <w:color w:val="000000"/>
          <w:sz w:val="24"/>
          <w:szCs w:val="24"/>
        </w:rPr>
        <w:t>Florianópolis – SC</w:t>
      </w:r>
      <w:r>
        <w:rPr>
          <w:rFonts w:ascii="Calibri" w:hAnsi="Calibri" w:cs="Calibri"/>
          <w:b/>
          <w:color w:val="000000"/>
          <w:sz w:val="24"/>
          <w:szCs w:val="24"/>
          <w:lang w:val="pt-BR"/>
        </w:rPr>
        <w:t xml:space="preserve"> – </w:t>
      </w:r>
      <w:r>
        <w:rPr>
          <w:rFonts w:ascii="Calibri" w:hAnsi="Calibri" w:cs="Calibri"/>
          <w:b/>
          <w:color w:val="000000"/>
          <w:sz w:val="24"/>
          <w:szCs w:val="24"/>
        </w:rPr>
        <w:t>CEP</w:t>
      </w:r>
      <w:r>
        <w:rPr>
          <w:rFonts w:ascii="Calibri" w:hAnsi="Calibri" w:cs="Calibri"/>
          <w:b/>
          <w:color w:val="000000"/>
          <w:sz w:val="24"/>
          <w:szCs w:val="24"/>
          <w:lang w:val="pt-BR"/>
        </w:rPr>
        <w:t>.</w:t>
      </w:r>
      <w:r>
        <w:rPr>
          <w:rFonts w:ascii="Calibri" w:hAnsi="Calibri" w:cs="Calibri"/>
          <w:b/>
          <w:color w:val="000000"/>
          <w:sz w:val="24"/>
          <w:szCs w:val="24"/>
        </w:rPr>
        <w:t xml:space="preserve"> 88015-130</w:t>
      </w:r>
    </w:p>
    <w:p>
      <w:pPr>
        <w:jc w:val="center"/>
      </w:pPr>
      <w:r>
        <w:rPr>
          <w:rFonts w:ascii="Calibri" w:hAnsi="Calibri" w:cs="Calibri"/>
          <w:b/>
          <w:color w:val="000000"/>
          <w:sz w:val="24"/>
          <w:szCs w:val="24"/>
        </w:rPr>
        <w:t xml:space="preserve">Site: </w:t>
      </w:r>
      <w:r>
        <w:fldChar w:fldCharType="begin"/>
      </w:r>
      <w:r>
        <w:instrText xml:space="preserve"> HYPERLINK "http://www.portaldecompras.sc.gov.br/" \h </w:instrText>
      </w:r>
      <w:r>
        <w:fldChar w:fldCharType="separate"/>
      </w:r>
      <w:r>
        <w:rPr>
          <w:rStyle w:val="41"/>
          <w:rFonts w:ascii="Calibri" w:hAnsi="Calibri" w:cs="Calibri"/>
          <w:b/>
          <w:sz w:val="24"/>
          <w:szCs w:val="24"/>
        </w:rPr>
        <w:t>http://www.portaldecompras.sc.gov.br/</w:t>
      </w:r>
      <w:r>
        <w:rPr>
          <w:rStyle w:val="41"/>
          <w:rFonts w:ascii="Calibri" w:hAnsi="Calibri" w:cs="Calibri"/>
          <w:b/>
          <w:sz w:val="24"/>
          <w:szCs w:val="24"/>
        </w:rPr>
        <w:fldChar w:fldCharType="end"/>
      </w:r>
    </w:p>
    <w:p>
      <w:pPr>
        <w:rPr>
          <w:rFonts w:ascii="Calibri" w:hAnsi="Calibri" w:cs="Calibri"/>
          <w:b/>
          <w:bCs/>
          <w:color w:val="000000"/>
          <w:sz w:val="24"/>
          <w:szCs w:val="24"/>
        </w:rPr>
      </w:pPr>
    </w:p>
    <w:p>
      <w:pPr>
        <w:rPr>
          <w:rFonts w:ascii="Calibri" w:hAnsi="Calibri" w:cs="Calibri"/>
          <w:b/>
          <w:bCs/>
          <w:color w:val="000000"/>
          <w:sz w:val="24"/>
          <w:szCs w:val="24"/>
        </w:rPr>
      </w:pPr>
    </w:p>
    <w:p>
      <w:pPr>
        <w:jc w:val="center"/>
        <w:rPr>
          <w:rFonts w:ascii="Calibri" w:hAnsi="Calibri"/>
          <w:sz w:val="24"/>
          <w:szCs w:val="24"/>
        </w:rPr>
      </w:pPr>
      <w:r>
        <w:rPr>
          <w:rFonts w:ascii="Calibri" w:hAnsi="Calibri" w:cs="Calibri"/>
          <w:b/>
          <w:bCs/>
          <w:sz w:val="24"/>
          <w:szCs w:val="24"/>
        </w:rPr>
        <w:t xml:space="preserve">PREGÃO ELETRÔNICO EDITAL Nº </w:t>
      </w:r>
      <w:r>
        <w:rPr>
          <w:rFonts w:ascii="Calibri" w:hAnsi="Calibri" w:cs="Calibri"/>
          <w:b/>
          <w:bCs/>
          <w:sz w:val="24"/>
          <w:szCs w:val="24"/>
          <w:lang w:val="pt-BR"/>
        </w:rPr>
        <w:t>1176/2023</w:t>
      </w:r>
    </w:p>
    <w:p>
      <w:pPr>
        <w:jc w:val="center"/>
        <w:rPr>
          <w:rFonts w:ascii="Calibri" w:hAnsi="Calibri"/>
          <w:sz w:val="24"/>
          <w:szCs w:val="24"/>
        </w:rPr>
      </w:pPr>
      <w:r>
        <w:rPr>
          <w:rFonts w:ascii="Calibri" w:hAnsi="Calibri" w:cs="Calibri"/>
          <w:b/>
          <w:bCs/>
          <w:sz w:val="24"/>
          <w:szCs w:val="24"/>
        </w:rPr>
        <w:t xml:space="preserve">SES </w:t>
      </w:r>
      <w:r>
        <w:rPr>
          <w:rFonts w:ascii="Calibri" w:hAnsi="Calibri" w:cs="Calibri"/>
          <w:b/>
          <w:bCs/>
          <w:sz w:val="24"/>
          <w:szCs w:val="24"/>
          <w:lang w:val="pt-BR"/>
        </w:rPr>
        <w:t>58793/2023</w:t>
      </w:r>
    </w:p>
    <w:p>
      <w:pPr>
        <w:pStyle w:val="2"/>
        <w:jc w:val="center"/>
        <w:rPr>
          <w:rFonts w:ascii="Calibri" w:hAnsi="Calibri" w:cs="Calibri"/>
          <w:b/>
          <w:bCs/>
          <w:sz w:val="24"/>
          <w:szCs w:val="24"/>
          <w:lang w:val="pt-BR"/>
        </w:rPr>
      </w:pPr>
    </w:p>
    <w:p>
      <w:pPr>
        <w:pStyle w:val="16"/>
        <w:overflowPunct/>
        <w:bidi w:val="0"/>
        <w:spacing w:before="147" w:after="0"/>
        <w:ind w:left="0" w:right="0" w:firstLine="0"/>
        <w:rPr>
          <w:rFonts w:ascii="Calibri" w:hAnsi="Calibri"/>
          <w:sz w:val="24"/>
          <w:szCs w:val="24"/>
        </w:rPr>
      </w:pPr>
      <w:r>
        <w:rPr>
          <w:rFonts w:ascii="Calibri" w:hAnsi="Calibri"/>
          <w:sz w:val="24"/>
          <w:szCs w:val="24"/>
        </w:rPr>
        <w:t xml:space="preserve">A </w:t>
      </w:r>
      <w:r>
        <w:rPr>
          <w:rFonts w:ascii="Calibri" w:hAnsi="Calibri"/>
          <w:b/>
          <w:sz w:val="24"/>
          <w:szCs w:val="24"/>
        </w:rPr>
        <w:t xml:space="preserve">Secretaria de Estado da </w:t>
      </w:r>
      <w:r>
        <w:rPr>
          <w:rFonts w:ascii="Calibri" w:hAnsi="Calibri" w:eastAsia="SimSun" w:cs="Times New Roman"/>
          <w:b/>
          <w:color w:val="000000"/>
          <w:sz w:val="24"/>
          <w:szCs w:val="24"/>
          <w:lang w:val="pt-BR" w:eastAsia="zh-CN" w:bidi="ar-SA"/>
        </w:rPr>
        <w:t>Saúde</w:t>
      </w:r>
      <w:r>
        <w:rPr>
          <w:rFonts w:ascii="Calibri" w:hAnsi="Calibri"/>
          <w:sz w:val="24"/>
          <w:szCs w:val="24"/>
        </w:rPr>
        <w:t xml:space="preserve">, com sede </w:t>
      </w:r>
      <w:r>
        <w:rPr>
          <w:rFonts w:ascii="Calibri" w:hAnsi="Calibri" w:eastAsia="SimSun" w:cs="Times New Roman"/>
          <w:color w:val="000000"/>
          <w:sz w:val="24"/>
          <w:szCs w:val="24"/>
          <w:lang w:val="pt-BR" w:eastAsia="zh-CN" w:bidi="ar-SA"/>
        </w:rPr>
        <w:t>na Rua Esteves Júnior</w:t>
      </w:r>
      <w:r>
        <w:rPr>
          <w:rFonts w:ascii="Calibri" w:hAnsi="Calibri"/>
          <w:sz w:val="24"/>
          <w:szCs w:val="24"/>
        </w:rPr>
        <w:t xml:space="preserve">, nº </w:t>
      </w:r>
      <w:r>
        <w:rPr>
          <w:rFonts w:ascii="Calibri" w:hAnsi="Calibri" w:eastAsia="SimSun" w:cs="Times New Roman"/>
          <w:color w:val="000000"/>
          <w:sz w:val="24"/>
          <w:szCs w:val="24"/>
          <w:lang w:val="pt-BR" w:eastAsia="zh-CN" w:bidi="ar-SA"/>
        </w:rPr>
        <w:t>160</w:t>
      </w:r>
      <w:r>
        <w:rPr>
          <w:rFonts w:ascii="Calibri" w:hAnsi="Calibri"/>
          <w:sz w:val="24"/>
          <w:szCs w:val="24"/>
        </w:rPr>
        <w:t>,</w:t>
      </w:r>
      <w:r>
        <w:rPr>
          <w:rFonts w:ascii="Calibri" w:hAnsi="Calibri"/>
          <w:spacing w:val="1"/>
          <w:sz w:val="24"/>
          <w:szCs w:val="24"/>
        </w:rPr>
        <w:t xml:space="preserve"> </w:t>
      </w:r>
      <w:r>
        <w:rPr>
          <w:rFonts w:ascii="Calibri" w:hAnsi="Calibri"/>
          <w:sz w:val="24"/>
          <w:szCs w:val="24"/>
        </w:rPr>
        <w:t xml:space="preserve">Bairro </w:t>
      </w:r>
      <w:r>
        <w:rPr>
          <w:rFonts w:ascii="Calibri" w:hAnsi="Calibri" w:eastAsia="SimSun" w:cs="Times New Roman"/>
          <w:color w:val="000000"/>
          <w:sz w:val="24"/>
          <w:szCs w:val="24"/>
          <w:lang w:val="pt-BR" w:eastAsia="zh-CN" w:bidi="ar-SA"/>
        </w:rPr>
        <w:t>Centro</w:t>
      </w:r>
      <w:r>
        <w:rPr>
          <w:rFonts w:ascii="Calibri" w:hAnsi="Calibri"/>
          <w:sz w:val="24"/>
          <w:szCs w:val="24"/>
        </w:rPr>
        <w:t>, Florianópolis/SC, inscrita no CNPJ sob o nº 80.673.411/0001-87, por intermédio da</w:t>
      </w:r>
      <w:r>
        <w:rPr>
          <w:rFonts w:ascii="Calibri" w:hAnsi="Calibri"/>
          <w:spacing w:val="1"/>
          <w:sz w:val="24"/>
          <w:szCs w:val="24"/>
        </w:rPr>
        <w:t xml:space="preserve"> </w:t>
      </w:r>
      <w:r>
        <w:rPr>
          <w:rFonts w:ascii="Calibri" w:hAnsi="Calibri"/>
          <w:sz w:val="24"/>
          <w:szCs w:val="24"/>
        </w:rPr>
        <w:t>Diretoria de Licitações e Contratos – D</w:t>
      </w:r>
      <w:r>
        <w:rPr>
          <w:rFonts w:ascii="Calibri" w:hAnsi="Calibri" w:eastAsia="SimSun" w:cs="Times New Roman"/>
          <w:color w:val="000000"/>
          <w:sz w:val="24"/>
          <w:szCs w:val="24"/>
          <w:lang w:val="pt-BR" w:eastAsia="zh-CN" w:bidi="ar-SA"/>
        </w:rPr>
        <w:t>LIC</w:t>
      </w:r>
      <w:r>
        <w:rPr>
          <w:rFonts w:ascii="Calibri" w:hAnsi="Calibri"/>
          <w:sz w:val="24"/>
          <w:szCs w:val="24"/>
        </w:rPr>
        <w:t xml:space="preserve">, torna público que fará realizar licitação na </w:t>
      </w:r>
      <w:r>
        <w:rPr>
          <w:rFonts w:ascii="Calibri" w:hAnsi="Calibri"/>
          <w:b/>
          <w:sz w:val="24"/>
          <w:szCs w:val="24"/>
        </w:rPr>
        <w:t>modalidade</w:t>
      </w:r>
      <w:r>
        <w:rPr>
          <w:rFonts w:ascii="Calibri" w:hAnsi="Calibri"/>
          <w:b/>
          <w:spacing w:val="1"/>
          <w:sz w:val="24"/>
          <w:szCs w:val="24"/>
        </w:rPr>
        <w:t xml:space="preserve"> </w:t>
      </w:r>
      <w:r>
        <w:rPr>
          <w:rFonts w:ascii="Calibri" w:hAnsi="Calibri"/>
          <w:b/>
          <w:sz w:val="24"/>
          <w:szCs w:val="24"/>
        </w:rPr>
        <w:t>pregão,</w:t>
      </w:r>
      <w:r>
        <w:rPr>
          <w:rFonts w:ascii="Calibri" w:hAnsi="Calibri"/>
          <w:b/>
          <w:spacing w:val="1"/>
          <w:sz w:val="24"/>
          <w:szCs w:val="24"/>
        </w:rPr>
        <w:t xml:space="preserve"> </w:t>
      </w:r>
      <w:r>
        <w:rPr>
          <w:rFonts w:ascii="Calibri" w:hAnsi="Calibri"/>
          <w:sz w:val="24"/>
          <w:szCs w:val="24"/>
        </w:rPr>
        <w:t>tipo</w:t>
      </w:r>
      <w:r>
        <w:rPr>
          <w:rFonts w:ascii="Calibri" w:hAnsi="Calibri"/>
          <w:spacing w:val="1"/>
          <w:sz w:val="24"/>
          <w:szCs w:val="24"/>
        </w:rPr>
        <w:t xml:space="preserve"> </w:t>
      </w:r>
      <w:r>
        <w:rPr>
          <w:rFonts w:ascii="Calibri" w:hAnsi="Calibri"/>
          <w:sz w:val="24"/>
          <w:szCs w:val="24"/>
        </w:rPr>
        <w:t>menor</w:t>
      </w:r>
      <w:r>
        <w:rPr>
          <w:rFonts w:ascii="Calibri" w:hAnsi="Calibri"/>
          <w:spacing w:val="1"/>
          <w:sz w:val="24"/>
          <w:szCs w:val="24"/>
        </w:rPr>
        <w:t xml:space="preserve"> </w:t>
      </w:r>
      <w:r>
        <w:rPr>
          <w:rFonts w:ascii="Calibri" w:hAnsi="Calibri"/>
          <w:sz w:val="24"/>
          <w:szCs w:val="24"/>
        </w:rPr>
        <w:t>preço,</w:t>
      </w:r>
      <w:r>
        <w:rPr>
          <w:rFonts w:ascii="Calibri" w:hAnsi="Calibri"/>
          <w:spacing w:val="1"/>
          <w:sz w:val="24"/>
          <w:szCs w:val="24"/>
        </w:rPr>
        <w:t xml:space="preserve"> </w:t>
      </w:r>
      <w:r>
        <w:rPr>
          <w:rFonts w:ascii="Calibri" w:hAnsi="Calibri"/>
          <w:sz w:val="24"/>
          <w:szCs w:val="24"/>
        </w:rPr>
        <w:t>na</w:t>
      </w:r>
      <w:r>
        <w:rPr>
          <w:rFonts w:ascii="Calibri" w:hAnsi="Calibri"/>
          <w:spacing w:val="1"/>
          <w:sz w:val="24"/>
          <w:szCs w:val="24"/>
        </w:rPr>
        <w:t xml:space="preserve"> </w:t>
      </w:r>
      <w:r>
        <w:rPr>
          <w:rFonts w:ascii="Calibri" w:hAnsi="Calibri"/>
          <w:sz w:val="24"/>
          <w:szCs w:val="24"/>
        </w:rPr>
        <w:t>forma</w:t>
      </w:r>
      <w:r>
        <w:rPr>
          <w:rFonts w:ascii="Calibri" w:hAnsi="Calibri"/>
          <w:spacing w:val="1"/>
          <w:sz w:val="24"/>
          <w:szCs w:val="24"/>
        </w:rPr>
        <w:t xml:space="preserve"> </w:t>
      </w:r>
      <w:r>
        <w:rPr>
          <w:rFonts w:ascii="Calibri" w:hAnsi="Calibri"/>
          <w:sz w:val="24"/>
          <w:szCs w:val="24"/>
        </w:rPr>
        <w:t>eletrônica,</w:t>
      </w:r>
      <w:r>
        <w:rPr>
          <w:rFonts w:ascii="Calibri" w:hAnsi="Calibri"/>
          <w:spacing w:val="1"/>
          <w:sz w:val="24"/>
          <w:szCs w:val="24"/>
        </w:rPr>
        <w:t xml:space="preserve"> </w:t>
      </w:r>
      <w:r>
        <w:rPr>
          <w:rFonts w:ascii="Calibri" w:hAnsi="Calibri"/>
          <w:sz w:val="24"/>
          <w:szCs w:val="24"/>
        </w:rPr>
        <w:t>modo</w:t>
      </w:r>
      <w:r>
        <w:rPr>
          <w:rFonts w:ascii="Calibri" w:hAnsi="Calibri"/>
          <w:spacing w:val="1"/>
          <w:sz w:val="24"/>
          <w:szCs w:val="24"/>
        </w:rPr>
        <w:t xml:space="preserve"> </w:t>
      </w:r>
      <w:r>
        <w:rPr>
          <w:rFonts w:ascii="Calibri" w:hAnsi="Calibri"/>
          <w:sz w:val="24"/>
          <w:szCs w:val="24"/>
        </w:rPr>
        <w:t>de</w:t>
      </w:r>
      <w:r>
        <w:rPr>
          <w:rFonts w:ascii="Calibri" w:hAnsi="Calibri"/>
          <w:spacing w:val="50"/>
          <w:sz w:val="24"/>
          <w:szCs w:val="24"/>
        </w:rPr>
        <w:t xml:space="preserve"> </w:t>
      </w:r>
      <w:r>
        <w:rPr>
          <w:rFonts w:ascii="Calibri" w:hAnsi="Calibri"/>
          <w:sz w:val="24"/>
          <w:szCs w:val="24"/>
        </w:rPr>
        <w:t>disputa</w:t>
      </w:r>
      <w:r>
        <w:rPr>
          <w:rFonts w:ascii="Calibri" w:hAnsi="Calibri"/>
          <w:spacing w:val="50"/>
          <w:sz w:val="24"/>
          <w:szCs w:val="24"/>
        </w:rPr>
        <w:t xml:space="preserve"> aberto </w:t>
      </w:r>
      <w:r>
        <w:rPr>
          <w:rFonts w:ascii="Calibri" w:hAnsi="Calibri"/>
          <w:sz w:val="24"/>
          <w:szCs w:val="24"/>
        </w:rPr>
        <w:t>para</w:t>
      </w:r>
      <w:r>
        <w:rPr>
          <w:rFonts w:ascii="Calibri" w:hAnsi="Calibri"/>
          <w:spacing w:val="37"/>
          <w:sz w:val="24"/>
          <w:szCs w:val="24"/>
        </w:rPr>
        <w:t xml:space="preserve"> </w:t>
      </w:r>
      <w:r>
        <w:rPr>
          <w:rFonts w:ascii="Calibri" w:hAnsi="Calibri"/>
          <w:sz w:val="24"/>
          <w:szCs w:val="24"/>
        </w:rPr>
        <w:t>selecionar</w:t>
      </w:r>
      <w:r>
        <w:rPr>
          <w:rFonts w:ascii="Calibri" w:hAnsi="Calibri"/>
          <w:spacing w:val="35"/>
          <w:sz w:val="24"/>
          <w:szCs w:val="24"/>
        </w:rPr>
        <w:t xml:space="preserve"> </w:t>
      </w:r>
      <w:r>
        <w:rPr>
          <w:rFonts w:ascii="Calibri" w:hAnsi="Calibri"/>
          <w:sz w:val="24"/>
          <w:szCs w:val="24"/>
        </w:rPr>
        <w:t>proposta</w:t>
      </w:r>
      <w:r>
        <w:rPr>
          <w:rFonts w:ascii="Calibri" w:hAnsi="Calibri"/>
          <w:spacing w:val="38"/>
          <w:sz w:val="24"/>
          <w:szCs w:val="24"/>
        </w:rPr>
        <w:t xml:space="preserve"> </w:t>
      </w:r>
      <w:r>
        <w:rPr>
          <w:rFonts w:ascii="Calibri" w:hAnsi="Calibri"/>
          <w:sz w:val="24"/>
          <w:szCs w:val="24"/>
        </w:rPr>
        <w:t>objetivando</w:t>
      </w:r>
      <w:r>
        <w:rPr>
          <w:rFonts w:ascii="Calibri" w:hAnsi="Calibri"/>
          <w:spacing w:val="39"/>
          <w:sz w:val="24"/>
          <w:szCs w:val="24"/>
        </w:rPr>
        <w:t xml:space="preserve"> o</w:t>
      </w:r>
      <w:r>
        <w:rPr>
          <w:rFonts w:ascii="Calibri" w:hAnsi="Calibri"/>
          <w:sz w:val="24"/>
          <w:szCs w:val="24"/>
        </w:rPr>
        <w:t xml:space="preserve"> </w:t>
      </w:r>
      <w:r>
        <w:rPr>
          <w:rFonts w:ascii="Calibri" w:hAnsi="Calibri"/>
          <w:b/>
          <w:bCs/>
          <w:sz w:val="24"/>
          <w:szCs w:val="24"/>
        </w:rPr>
        <w:t>REGISTRO DE PREÇOS</w:t>
      </w:r>
      <w:r>
        <w:rPr>
          <w:rFonts w:ascii="Calibri" w:hAnsi="Calibri" w:cs="Calibri"/>
          <w:b/>
          <w:bCs/>
          <w:color w:val="000000"/>
          <w:sz w:val="24"/>
          <w:szCs w:val="24"/>
          <w:lang w:val="pt-BR"/>
        </w:rPr>
        <w:t>,</w:t>
      </w:r>
      <w:r>
        <w:rPr>
          <w:rFonts w:ascii="Calibri" w:hAnsi="Calibri" w:cs="Calibri"/>
          <w:b/>
          <w:bCs/>
          <w:color w:val="4471C4"/>
          <w:sz w:val="24"/>
          <w:szCs w:val="24"/>
          <w:lang w:val="pt-BR"/>
        </w:rPr>
        <w:t xml:space="preserve"> </w:t>
      </w:r>
      <w:r>
        <w:rPr>
          <w:rFonts w:ascii="Calibri" w:hAnsi="Calibri" w:cs="Calibri"/>
          <w:b w:val="0"/>
          <w:bCs w:val="0"/>
          <w:sz w:val="24"/>
          <w:szCs w:val="24"/>
          <w:lang w:val="pt-BR"/>
        </w:rPr>
        <w:t>nos termos da Lei Federal nº 14.133, de 01 de abril de</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2021, Lei Complementar nº 123, de 14 de dezembro de 2006, e demais normas legais federais e estaduais</w:t>
      </w:r>
      <w:r>
        <w:rPr>
          <w:rFonts w:ascii="Calibri" w:hAnsi="Calibri" w:cs="Calibri"/>
          <w:b w:val="0"/>
          <w:bCs w:val="0"/>
          <w:spacing w:val="1"/>
          <w:sz w:val="24"/>
          <w:szCs w:val="24"/>
          <w:lang w:val="pt-BR"/>
        </w:rPr>
        <w:t xml:space="preserve"> </w:t>
      </w:r>
      <w:r>
        <w:rPr>
          <w:rFonts w:ascii="Calibri" w:hAnsi="Calibri" w:cs="Calibri"/>
          <w:b w:val="0"/>
          <w:bCs w:val="0"/>
          <w:sz w:val="24"/>
          <w:szCs w:val="24"/>
          <w:lang w:val="pt-BR"/>
        </w:rPr>
        <w:t>vigentes.</w:t>
      </w:r>
    </w:p>
    <w:p>
      <w:pPr>
        <w:pStyle w:val="652"/>
        <w:overflowPunct/>
        <w:bidi w:val="0"/>
        <w:spacing w:before="0" w:after="0"/>
        <w:ind w:left="0" w:right="0" w:firstLine="0"/>
        <w:jc w:val="both"/>
        <w:rPr>
          <w:rFonts w:ascii="Calibri" w:hAnsi="Calibri" w:cs="Calibri"/>
          <w:b/>
          <w:bCs/>
          <w:sz w:val="24"/>
          <w:szCs w:val="24"/>
          <w:lang w:val="pt-BR"/>
        </w:rPr>
      </w:pPr>
    </w:p>
    <w:p>
      <w:pPr>
        <w:pStyle w:val="652"/>
        <w:overflowPunct/>
        <w:bidi w:val="0"/>
        <w:spacing w:before="0" w:after="0"/>
        <w:ind w:left="0" w:right="0" w:firstLine="0"/>
        <w:jc w:val="both"/>
        <w:rPr>
          <w:rFonts w:ascii="Calibri" w:hAnsi="Calibri"/>
          <w:sz w:val="24"/>
          <w:szCs w:val="24"/>
        </w:rPr>
      </w:pPr>
      <w:r>
        <w:rPr>
          <w:rFonts w:ascii="Calibri" w:hAnsi="Calibri" w:cs="Calibri"/>
          <w:b/>
          <w:bCs/>
          <w:sz w:val="24"/>
          <w:szCs w:val="24"/>
          <w:lang w:val="pt-BR"/>
        </w:rPr>
        <w:t>OBJETO:</w:t>
      </w:r>
      <w:r>
        <w:rPr>
          <w:rFonts w:ascii="Calibri" w:hAnsi="Calibri" w:cs="Calibri"/>
          <w:b w:val="0"/>
          <w:bCs w:val="0"/>
          <w:sz w:val="24"/>
          <w:szCs w:val="24"/>
          <w:lang w:val="pt-BR"/>
        </w:rPr>
        <w:t xml:space="preserve"> Aquisição de </w:t>
      </w:r>
      <w:r>
        <w:rPr>
          <w:rFonts w:ascii="Calibri" w:hAnsi="Calibri" w:eastAsia="Arial Unicode MS;Arial" w:cs="Calibri"/>
          <w:b w:val="0"/>
          <w:bCs w:val="0"/>
          <w:color w:val="000000"/>
          <w:kern w:val="0"/>
          <w:sz w:val="24"/>
          <w:szCs w:val="24"/>
          <w:lang w:val="pt-BR" w:eastAsia="zh-CN" w:bidi="ar-SA"/>
        </w:rPr>
        <w:t>órteses, próteses e materiais especiais (na especialidade de Ortopedia - Quadril), com cedência de equipamentos em regime de comodato,</w:t>
      </w:r>
      <w:r>
        <w:rPr>
          <w:rFonts w:ascii="Calibri" w:hAnsi="Calibri" w:cs="Calibri"/>
          <w:b w:val="0"/>
          <w:bCs w:val="0"/>
          <w:sz w:val="24"/>
          <w:szCs w:val="24"/>
          <w:lang w:val="pt-BR"/>
        </w:rPr>
        <w:t xml:space="preserve"> para </w:t>
      </w:r>
      <w:r>
        <w:rPr>
          <w:rFonts w:ascii="Calibri" w:hAnsi="Calibri" w:eastAsia="Arial Unicode MS;Arial" w:cs="Calibri"/>
          <w:b w:val="0"/>
          <w:bCs w:val="0"/>
          <w:color w:val="000000"/>
          <w:kern w:val="0"/>
          <w:sz w:val="24"/>
          <w:szCs w:val="24"/>
          <w:lang w:val="pt-BR" w:eastAsia="zh-CN" w:bidi="ar-SA"/>
        </w:rPr>
        <w:t xml:space="preserve">as </w:t>
      </w:r>
      <w:r>
        <w:rPr>
          <w:rFonts w:ascii="Calibri" w:hAnsi="Calibri" w:eastAsia="Arial Unicode MS;Arial" w:cs="Calibri"/>
          <w:b w:val="0"/>
          <w:bCs w:val="0"/>
          <w:i w:val="0"/>
          <w:caps w:val="0"/>
          <w:smallCaps w:val="0"/>
          <w:color w:val="000000"/>
          <w:spacing w:val="0"/>
          <w:kern w:val="0"/>
          <w:sz w:val="24"/>
          <w:szCs w:val="24"/>
          <w:lang w:val="pt-BR" w:eastAsia="zh-CN" w:bidi="ar-SA"/>
        </w:rPr>
        <w:t>Unidades da Secretaria de Estado da Saúde (SES)</w:t>
      </w:r>
      <w:r>
        <w:rPr>
          <w:rFonts w:ascii="Calibri" w:hAnsi="Calibri" w:cs="Calibri"/>
          <w:b w:val="0"/>
          <w:bCs w:val="0"/>
          <w:sz w:val="24"/>
          <w:szCs w:val="24"/>
          <w:lang w:val="pt-BR"/>
        </w:rPr>
        <w:t xml:space="preserve">, conforme especificações constantes do </w:t>
      </w:r>
      <w:r>
        <w:rPr>
          <w:rFonts w:ascii="Calibri" w:hAnsi="Calibri" w:cs="Calibri"/>
          <w:b/>
          <w:bCs/>
          <w:sz w:val="24"/>
          <w:szCs w:val="24"/>
          <w:lang w:val="pt-BR"/>
        </w:rPr>
        <w:t>Anexo I</w:t>
      </w:r>
      <w:r>
        <w:rPr>
          <w:rFonts w:ascii="Calibri" w:hAnsi="Calibri" w:cs="Calibri"/>
          <w:b w:val="0"/>
          <w:bCs/>
          <w:sz w:val="24"/>
          <w:szCs w:val="24"/>
          <w:lang w:val="pt-BR"/>
        </w:rPr>
        <w:t>.</w:t>
      </w:r>
    </w:p>
    <w:p>
      <w:pPr>
        <w:pStyle w:val="652"/>
        <w:overflowPunct/>
        <w:bidi w:val="0"/>
        <w:spacing w:before="0"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w:t>
      </w:r>
      <w:r>
        <w:rPr>
          <w:rFonts w:ascii="Calibri" w:hAnsi="Calibri"/>
          <w:b/>
          <w:bCs/>
          <w:sz w:val="24"/>
          <w:szCs w:val="24"/>
          <w:lang w:val="pt-BR"/>
        </w:rPr>
        <w:t xml:space="preserve"> </w:t>
      </w:r>
      <w:r>
        <w:rPr>
          <w:rFonts w:ascii="Calibri" w:hAnsi="Calibri"/>
          <w:b/>
          <w:bCs/>
          <w:sz w:val="24"/>
          <w:szCs w:val="24"/>
        </w:rPr>
        <w:t>– DISPOSIÇÕES PRELIMINARES</w:t>
      </w:r>
    </w:p>
    <w:p>
      <w:pPr>
        <w:pStyle w:val="2"/>
        <w:overflowPunct/>
        <w:bidi w:val="0"/>
        <w:spacing w:before="1" w:after="0"/>
        <w:ind w:left="0" w:right="0" w:firstLine="0"/>
        <w:jc w:val="both"/>
        <w:rPr>
          <w:rFonts w:ascii="Calibri" w:hAnsi="Calibri"/>
          <w:b/>
          <w:bCs/>
          <w:sz w:val="24"/>
          <w:szCs w:val="24"/>
        </w:rPr>
      </w:pPr>
    </w:p>
    <w:p>
      <w:pPr>
        <w:pStyle w:val="2"/>
        <w:spacing w:before="1" w:after="0"/>
        <w:ind w:right="259"/>
        <w:jc w:val="both"/>
        <w:rPr>
          <w:b/>
          <w:bCs/>
        </w:rPr>
      </w:pPr>
      <w:r>
        <w:rPr>
          <w:rFonts w:ascii="Calibri" w:hAnsi="Calibri"/>
          <w:b/>
          <w:bCs/>
          <w:sz w:val="24"/>
          <w:szCs w:val="24"/>
        </w:rPr>
        <w:t xml:space="preserve">1.1 – Envio de proposta: a partir das </w:t>
      </w:r>
      <w:r>
        <w:rPr>
          <w:rFonts w:ascii="Calibri" w:hAnsi="Calibri"/>
          <w:b/>
          <w:bCs/>
          <w:sz w:val="24"/>
          <w:szCs w:val="24"/>
          <w:lang w:val="pt-BR"/>
        </w:rPr>
        <w:t xml:space="preserve">17h30min. </w:t>
      </w:r>
      <w:r>
        <w:rPr>
          <w:rFonts w:ascii="Calibri" w:hAnsi="Calibri"/>
          <w:b/>
          <w:bCs/>
          <w:sz w:val="24"/>
          <w:szCs w:val="24"/>
        </w:rPr>
        <w:t xml:space="preserve">horas do dia </w:t>
      </w:r>
      <w:r>
        <w:rPr>
          <w:rFonts w:ascii="Calibri" w:hAnsi="Calibri"/>
          <w:b/>
          <w:bCs/>
          <w:sz w:val="24"/>
          <w:szCs w:val="24"/>
          <w:lang w:val="pt-BR"/>
        </w:rPr>
        <w:t>1</w:t>
      </w:r>
      <w:r>
        <w:rPr>
          <w:rFonts w:hint="default" w:ascii="Calibri" w:hAnsi="Calibri"/>
          <w:b/>
          <w:bCs/>
          <w:sz w:val="24"/>
          <w:szCs w:val="24"/>
          <w:lang w:val="pt-BR"/>
        </w:rPr>
        <w:t>8</w:t>
      </w:r>
      <w:r>
        <w:rPr>
          <w:rFonts w:ascii="Calibri" w:hAnsi="Calibri"/>
          <w:b/>
          <w:bCs/>
          <w:sz w:val="24"/>
          <w:szCs w:val="24"/>
        </w:rPr>
        <w:t>/</w:t>
      </w:r>
      <w:r>
        <w:rPr>
          <w:rFonts w:ascii="Calibri" w:hAnsi="Calibri"/>
          <w:b/>
          <w:bCs/>
          <w:sz w:val="24"/>
          <w:szCs w:val="24"/>
          <w:lang w:val="pt-BR"/>
        </w:rPr>
        <w:t>08</w:t>
      </w:r>
      <w:r>
        <w:rPr>
          <w:rFonts w:ascii="Calibri" w:hAnsi="Calibri"/>
          <w:b/>
          <w:bCs/>
          <w:sz w:val="24"/>
          <w:szCs w:val="24"/>
        </w:rPr>
        <w:t>/2023.</w:t>
      </w:r>
    </w:p>
    <w:p>
      <w:pPr>
        <w:pStyle w:val="2"/>
        <w:spacing w:before="1" w:after="0"/>
        <w:ind w:right="259"/>
        <w:jc w:val="both"/>
        <w:rPr>
          <w:b/>
          <w:bCs/>
        </w:rPr>
      </w:pPr>
      <w:r>
        <w:rPr>
          <w:rFonts w:ascii="Calibri" w:hAnsi="Calibri"/>
          <w:b/>
          <w:bCs/>
          <w:sz w:val="24"/>
          <w:szCs w:val="24"/>
        </w:rPr>
        <w:t>1.2 – Abertura da sessão: a partir das</w:t>
      </w:r>
      <w:r>
        <w:rPr>
          <w:rFonts w:ascii="Calibri" w:hAnsi="Calibri"/>
          <w:b/>
          <w:bCs/>
          <w:sz w:val="24"/>
          <w:szCs w:val="24"/>
          <w:lang w:val="pt-BR"/>
        </w:rPr>
        <w:t xml:space="preserve"> </w:t>
      </w:r>
      <w:r>
        <w:rPr>
          <w:rFonts w:hint="default" w:ascii="Calibri" w:hAnsi="Calibri"/>
          <w:b/>
          <w:bCs/>
          <w:sz w:val="24"/>
          <w:szCs w:val="24"/>
          <w:lang w:val="pt-BR"/>
        </w:rPr>
        <w:t>8</w:t>
      </w:r>
      <w:r>
        <w:rPr>
          <w:rFonts w:ascii="Calibri" w:hAnsi="Calibri"/>
          <w:b/>
          <w:bCs/>
          <w:sz w:val="24"/>
          <w:szCs w:val="24"/>
          <w:lang w:val="pt-BR"/>
        </w:rPr>
        <w:t>h15min.</w:t>
      </w:r>
      <w:r>
        <w:rPr>
          <w:rFonts w:ascii="Calibri" w:hAnsi="Calibri"/>
          <w:b/>
          <w:bCs/>
          <w:sz w:val="24"/>
          <w:szCs w:val="24"/>
        </w:rPr>
        <w:t xml:space="preserve"> horas do dia </w:t>
      </w:r>
      <w:r>
        <w:rPr>
          <w:rFonts w:hint="default" w:ascii="Calibri" w:hAnsi="Calibri"/>
          <w:b/>
          <w:bCs/>
          <w:sz w:val="24"/>
          <w:szCs w:val="24"/>
          <w:lang w:val="pt-BR"/>
        </w:rPr>
        <w:t>01</w:t>
      </w:r>
      <w:r>
        <w:rPr>
          <w:rFonts w:ascii="Calibri" w:hAnsi="Calibri"/>
          <w:b/>
          <w:bCs/>
          <w:sz w:val="24"/>
          <w:szCs w:val="24"/>
        </w:rPr>
        <w:t>/</w:t>
      </w:r>
      <w:r>
        <w:rPr>
          <w:rFonts w:ascii="Calibri" w:hAnsi="Calibri"/>
          <w:b/>
          <w:bCs/>
          <w:sz w:val="24"/>
          <w:szCs w:val="24"/>
          <w:lang w:val="pt-BR"/>
        </w:rPr>
        <w:t>0</w:t>
      </w:r>
      <w:r>
        <w:rPr>
          <w:rFonts w:hint="default" w:ascii="Calibri" w:hAnsi="Calibri"/>
          <w:b/>
          <w:bCs/>
          <w:sz w:val="24"/>
          <w:szCs w:val="24"/>
          <w:lang w:val="pt-BR"/>
        </w:rPr>
        <w:t>9</w:t>
      </w:r>
      <w:r>
        <w:rPr>
          <w:rFonts w:ascii="Calibri" w:hAnsi="Calibri"/>
          <w:b/>
          <w:bCs/>
          <w:sz w:val="24"/>
          <w:szCs w:val="24"/>
        </w:rPr>
        <w:t>/2023.</w:t>
      </w:r>
    </w:p>
    <w:p>
      <w:pPr>
        <w:pStyle w:val="2"/>
        <w:spacing w:before="1" w:after="0"/>
        <w:ind w:right="259"/>
        <w:jc w:val="both"/>
        <w:rPr>
          <w:b/>
          <w:bCs/>
        </w:rPr>
      </w:pPr>
      <w:r>
        <w:rPr>
          <w:rFonts w:ascii="Calibri" w:hAnsi="Calibri"/>
          <w:b/>
          <w:bCs/>
          <w:sz w:val="24"/>
          <w:szCs w:val="24"/>
        </w:rPr>
        <w:t xml:space="preserve">1.3 – Início da disputa: a partir das </w:t>
      </w:r>
      <w:r>
        <w:rPr>
          <w:rFonts w:hint="default" w:ascii="Calibri" w:hAnsi="Calibri"/>
          <w:b/>
          <w:bCs/>
          <w:sz w:val="24"/>
          <w:szCs w:val="24"/>
          <w:lang w:val="pt-BR"/>
        </w:rPr>
        <w:t>8</w:t>
      </w:r>
      <w:r>
        <w:rPr>
          <w:rFonts w:ascii="Calibri" w:hAnsi="Calibri"/>
          <w:b/>
          <w:bCs/>
          <w:sz w:val="24"/>
          <w:szCs w:val="24"/>
          <w:lang w:val="pt-BR"/>
        </w:rPr>
        <w:t>h30min.</w:t>
      </w:r>
      <w:r>
        <w:rPr>
          <w:rFonts w:ascii="Calibri" w:hAnsi="Calibri"/>
          <w:b/>
          <w:bCs/>
          <w:sz w:val="24"/>
          <w:szCs w:val="24"/>
        </w:rPr>
        <w:t xml:space="preserve"> horas do dia </w:t>
      </w:r>
      <w:r>
        <w:rPr>
          <w:rFonts w:hint="default" w:ascii="Calibri" w:hAnsi="Calibri"/>
          <w:b/>
          <w:bCs/>
          <w:sz w:val="24"/>
          <w:szCs w:val="24"/>
          <w:lang w:val="pt-BR"/>
        </w:rPr>
        <w:t>01</w:t>
      </w:r>
      <w:r>
        <w:rPr>
          <w:rFonts w:ascii="Calibri" w:hAnsi="Calibri"/>
          <w:b/>
          <w:bCs/>
          <w:sz w:val="24"/>
          <w:szCs w:val="24"/>
        </w:rPr>
        <w:t>/</w:t>
      </w:r>
      <w:r>
        <w:rPr>
          <w:rFonts w:ascii="Calibri" w:hAnsi="Calibri"/>
          <w:b/>
          <w:bCs/>
          <w:sz w:val="24"/>
          <w:szCs w:val="24"/>
          <w:lang w:val="pt-BR"/>
        </w:rPr>
        <w:t>0</w:t>
      </w:r>
      <w:r>
        <w:rPr>
          <w:rFonts w:hint="default" w:ascii="Calibri" w:hAnsi="Calibri"/>
          <w:b/>
          <w:bCs/>
          <w:sz w:val="24"/>
          <w:szCs w:val="24"/>
          <w:lang w:val="pt-BR"/>
        </w:rPr>
        <w:t>9</w:t>
      </w:r>
      <w:r>
        <w:rPr>
          <w:rFonts w:ascii="Calibri" w:hAnsi="Calibri"/>
          <w:b/>
          <w:bCs/>
          <w:sz w:val="24"/>
          <w:szCs w:val="24"/>
        </w:rPr>
        <w:t>/2023.</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1.4 –</w:t>
      </w:r>
      <w:r>
        <w:rPr>
          <w:rFonts w:ascii="Calibri" w:hAnsi="Calibri"/>
          <w:sz w:val="24"/>
          <w:szCs w:val="24"/>
        </w:rPr>
        <w:t xml:space="preserve"> O pregão eletrônico será realizado por meio de disputa à distância em sessão pública, via Sistema Integrado de Licitações do Estado de Santa Catarina (LIC), módulo eletrônico (e-LIC).</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1.5 –</w:t>
      </w:r>
      <w:r>
        <w:rPr>
          <w:rFonts w:ascii="Calibri" w:hAnsi="Calibri"/>
          <w:sz w:val="24"/>
          <w:szCs w:val="24"/>
        </w:rPr>
        <w:t xml:space="preserve"> Todo e qualquer ato referente ao presente processo licitatório dar-se-á exclusivamente por  meio eletrônico via internet.</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1.6 –</w:t>
      </w:r>
      <w:r>
        <w:rPr>
          <w:rFonts w:ascii="Calibri" w:hAnsi="Calibri"/>
          <w:sz w:val="24"/>
          <w:szCs w:val="24"/>
        </w:rPr>
        <w:t xml:space="preserve"> A comunicação será realizada utilizando recursos de tecnologia da informação pela Internet, mediante condições de segurança –– criptografia e autenticação – em todas as etapas do certame.</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1.7 –</w:t>
      </w:r>
      <w:r>
        <w:rPr>
          <w:rFonts w:ascii="Calibri" w:hAnsi="Calibri"/>
          <w:sz w:val="24"/>
          <w:szCs w:val="24"/>
        </w:rPr>
        <w:t xml:space="preserve"> O pregão, na forma eletrônica, será conduzido com apoio técnico e operacional da Secretaria de Estado da Administração, por intermédio da Diretoria de Gestão de Licitações e Contratos - DGLC, que atuará como provedor do Sistema eletrônico para os órgãos integrantes do Sistema de Administração de Gestão de Materiais e Serviços – SAGMS.</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1.8 –</w:t>
      </w:r>
      <w:r>
        <w:rPr>
          <w:rFonts w:ascii="Calibri" w:hAnsi="Calibri"/>
          <w:sz w:val="24"/>
          <w:szCs w:val="24"/>
        </w:rPr>
        <w:t xml:space="preserve"> Os trabalhos serão conduzidos por servidores de órgão ou entidade vinculado ao Poder Executivo do Estado de Santa Catarina, denominados pregoeiro e equipe de apoio, mediante a inserção e monitoramento de dados gerados ou transferidos para o Sistema LIC, módulo e-LIC, por acesso restrito com login e senha no endereço eletrônico http://e-lic.sc.gov.br.</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1.9 –</w:t>
      </w:r>
      <w:r>
        <w:rPr>
          <w:rFonts w:ascii="Calibri" w:hAnsi="Calibri"/>
          <w:sz w:val="24"/>
          <w:szCs w:val="24"/>
        </w:rPr>
        <w:t xml:space="preserve"> Todas as referências de tempo no edital, no aviso e durante a sessão pública observarão obrigatoriamente o horário de Brasília – DF e, dessa forma, serão registradas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1.10 –</w:t>
      </w:r>
      <w:r>
        <w:rPr>
          <w:rFonts w:ascii="Calibri" w:hAnsi="Calibri"/>
          <w:sz w:val="24"/>
          <w:szCs w:val="24"/>
        </w:rPr>
        <w:t xml:space="preserve"> Os documentos relacionados a seguir fazem parte integrante desta licitação:</w:t>
      </w:r>
    </w:p>
    <w:p>
      <w:pPr>
        <w:pStyle w:val="2"/>
        <w:overflowPunct/>
        <w:bidi w:val="0"/>
        <w:spacing w:before="1" w:after="0"/>
        <w:ind w:left="0" w:right="0" w:firstLine="0"/>
        <w:jc w:val="both"/>
        <w:rPr>
          <w:rFonts w:ascii="Calibri" w:hAnsi="Calibri"/>
          <w:sz w:val="24"/>
          <w:szCs w:val="24"/>
        </w:rPr>
      </w:pPr>
      <w:r>
        <w:rPr>
          <w:rFonts w:ascii="Calibri" w:hAnsi="Calibri"/>
          <w:sz w:val="24"/>
          <w:szCs w:val="24"/>
        </w:rPr>
        <w:t>Anexo I – Quadro de quantitativos, especificações mínimas e condições gerais de prestação dos serviços</w:t>
      </w:r>
      <w:r>
        <w:rPr>
          <w:rFonts w:ascii="Calibri" w:hAnsi="Calibri"/>
          <w:sz w:val="24"/>
          <w:szCs w:val="24"/>
          <w:lang w:val="pt-BR"/>
        </w:rPr>
        <w:t>;</w:t>
      </w:r>
      <w:r>
        <w:rPr>
          <w:rFonts w:ascii="Calibri" w:hAnsi="Calibri"/>
          <w:sz w:val="24"/>
          <w:szCs w:val="24"/>
        </w:rPr>
        <w:t xml:space="preserve"> </w:t>
      </w:r>
    </w:p>
    <w:p>
      <w:pPr>
        <w:tabs>
          <w:tab w:val="left" w:pos="2552"/>
        </w:tabs>
        <w:jc w:val="both"/>
        <w:rPr>
          <w:rFonts w:ascii="Calibri" w:hAnsi="Calibri"/>
          <w:sz w:val="24"/>
          <w:szCs w:val="24"/>
        </w:rPr>
      </w:pPr>
      <w:r>
        <w:rPr>
          <w:rFonts w:ascii="Calibri" w:hAnsi="Calibri" w:cs="Calibri"/>
          <w:b w:val="0"/>
          <w:bCs w:val="0"/>
          <w:sz w:val="24"/>
          <w:szCs w:val="24"/>
        </w:rPr>
        <w:t>Anexo I-A –</w:t>
      </w:r>
      <w:r>
        <w:rPr>
          <w:rFonts w:ascii="Calibri" w:hAnsi="Calibri" w:cs="Calibri"/>
          <w:b/>
          <w:bCs/>
          <w:sz w:val="24"/>
          <w:szCs w:val="24"/>
        </w:rPr>
        <w:t xml:space="preserve"> </w:t>
      </w:r>
      <w:r>
        <w:rPr>
          <w:rFonts w:ascii="Calibri" w:hAnsi="Calibri" w:cs="Calibri"/>
          <w:bCs/>
          <w:sz w:val="24"/>
          <w:szCs w:val="24"/>
        </w:rPr>
        <w:t>Distribuição;</w:t>
      </w:r>
    </w:p>
    <w:p>
      <w:pPr>
        <w:tabs>
          <w:tab w:val="left" w:pos="2552"/>
        </w:tabs>
        <w:overflowPunct/>
        <w:bidi w:val="0"/>
        <w:spacing w:before="1" w:after="0"/>
        <w:ind w:left="0" w:right="0" w:firstLine="0"/>
        <w:jc w:val="both"/>
        <w:rPr>
          <w:rFonts w:ascii="Calibri" w:hAnsi="Calibri"/>
          <w:sz w:val="24"/>
          <w:szCs w:val="24"/>
        </w:rPr>
      </w:pPr>
      <w:r>
        <w:rPr>
          <w:rFonts w:ascii="Calibri" w:hAnsi="Calibri" w:cs="Calibri"/>
          <w:b w:val="0"/>
          <w:bCs w:val="0"/>
          <w:sz w:val="24"/>
          <w:szCs w:val="24"/>
        </w:rPr>
        <w:t xml:space="preserve">Anexo I-B – </w:t>
      </w:r>
      <w:r>
        <w:rPr>
          <w:rFonts w:ascii="Calibri" w:hAnsi="Calibri" w:cs="Calibri"/>
          <w:bCs/>
          <w:sz w:val="24"/>
          <w:szCs w:val="24"/>
        </w:rPr>
        <w:t>Endereços das Unidades da Secretaria de Estado da Saúde (SES);</w:t>
      </w:r>
    </w:p>
    <w:p>
      <w:pPr>
        <w:pStyle w:val="2"/>
        <w:overflowPunct/>
        <w:bidi w:val="0"/>
        <w:spacing w:before="1" w:after="0"/>
        <w:ind w:left="0" w:right="0" w:firstLine="0"/>
        <w:jc w:val="both"/>
        <w:rPr>
          <w:rFonts w:ascii="Calibri" w:hAnsi="Calibri"/>
          <w:sz w:val="24"/>
          <w:szCs w:val="24"/>
        </w:rPr>
      </w:pPr>
      <w:r>
        <w:rPr>
          <w:rFonts w:ascii="Calibri" w:hAnsi="Calibri"/>
          <w:sz w:val="24"/>
          <w:szCs w:val="24"/>
        </w:rPr>
        <w:t>Anexo II – Modelo de proposta de preços eletrônica</w:t>
      </w:r>
      <w:r>
        <w:rPr>
          <w:rFonts w:ascii="Calibri" w:hAnsi="Calibri"/>
          <w:sz w:val="24"/>
          <w:szCs w:val="24"/>
          <w:lang w:val="pt-BR"/>
        </w:rPr>
        <w:t>;</w:t>
      </w:r>
    </w:p>
    <w:p>
      <w:pPr>
        <w:pStyle w:val="2"/>
        <w:overflowPunct/>
        <w:bidi w:val="0"/>
        <w:spacing w:before="1" w:after="0"/>
        <w:ind w:left="0" w:right="0" w:firstLine="0"/>
        <w:jc w:val="both"/>
        <w:rPr>
          <w:rFonts w:ascii="Calibri" w:hAnsi="Calibri"/>
          <w:sz w:val="24"/>
          <w:szCs w:val="24"/>
        </w:rPr>
      </w:pPr>
      <w:r>
        <w:rPr>
          <w:rFonts w:ascii="Calibri" w:hAnsi="Calibri"/>
          <w:sz w:val="24"/>
          <w:szCs w:val="24"/>
        </w:rPr>
        <w:t xml:space="preserve">Anexo III – </w:t>
      </w:r>
      <w:r>
        <w:rPr>
          <w:rFonts w:ascii="Calibri" w:hAnsi="Calibri" w:eastAsia="NSimSun" w:cs="Lucida Sans"/>
          <w:color w:val="000000"/>
          <w:kern w:val="0"/>
          <w:sz w:val="24"/>
          <w:szCs w:val="24"/>
          <w:lang w:val="pt-BR" w:eastAsia="zh-CN" w:bidi="hi-IN"/>
        </w:rPr>
        <w:t>Modelo de formulário de análise de qualidade técnica</w:t>
      </w:r>
      <w:r>
        <w:rPr>
          <w:rFonts w:ascii="Calibri" w:hAnsi="Calibri"/>
          <w:sz w:val="24"/>
          <w:szCs w:val="24"/>
          <w:lang w:val="pt-BR"/>
        </w:rPr>
        <w:t>;</w:t>
      </w:r>
    </w:p>
    <w:p>
      <w:pPr>
        <w:pStyle w:val="2"/>
        <w:overflowPunct/>
        <w:bidi w:val="0"/>
        <w:spacing w:before="1" w:after="0"/>
        <w:ind w:left="0" w:right="0" w:firstLine="0"/>
        <w:jc w:val="both"/>
        <w:rPr>
          <w:rFonts w:ascii="Calibri" w:hAnsi="Calibri"/>
          <w:sz w:val="24"/>
          <w:szCs w:val="24"/>
        </w:rPr>
      </w:pPr>
      <w:r>
        <w:rPr>
          <w:rFonts w:ascii="Calibri" w:hAnsi="Calibri"/>
          <w:sz w:val="24"/>
          <w:szCs w:val="24"/>
        </w:rPr>
        <w:t xml:space="preserve">Anexo </w:t>
      </w:r>
      <w:r>
        <w:rPr>
          <w:rFonts w:ascii="Calibri" w:hAnsi="Calibri"/>
          <w:sz w:val="24"/>
          <w:szCs w:val="24"/>
          <w:lang w:val="pt-BR"/>
        </w:rPr>
        <w:t>IV</w:t>
      </w:r>
      <w:r>
        <w:rPr>
          <w:rFonts w:ascii="Calibri" w:hAnsi="Calibri"/>
          <w:sz w:val="24"/>
          <w:szCs w:val="24"/>
        </w:rPr>
        <w:t xml:space="preserve"> – Minuta da </w:t>
      </w:r>
      <w:r>
        <w:rPr>
          <w:rFonts w:ascii="Calibri" w:hAnsi="Calibri" w:eastAsia="NSimSun" w:cs="Lucida Sans"/>
          <w:color w:val="000000"/>
          <w:kern w:val="0"/>
          <w:sz w:val="24"/>
          <w:szCs w:val="24"/>
          <w:lang w:val="pt-BR" w:eastAsia="zh-CN" w:bidi="hi-IN"/>
        </w:rPr>
        <w:t>Ata de Registro de Preços</w:t>
      </w:r>
      <w:r>
        <w:rPr>
          <w:rFonts w:ascii="Calibri" w:hAnsi="Calibri"/>
          <w:sz w:val="24"/>
          <w:szCs w:val="24"/>
        </w:rPr>
        <w:t>.</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w:t>
      </w:r>
      <w:r>
        <w:rPr>
          <w:rFonts w:ascii="Calibri" w:hAnsi="Calibri"/>
          <w:b/>
          <w:bCs/>
          <w:sz w:val="24"/>
          <w:szCs w:val="24"/>
          <w:lang w:val="pt-BR"/>
        </w:rPr>
        <w:t xml:space="preserve"> </w:t>
      </w:r>
      <w:r>
        <w:rPr>
          <w:rFonts w:ascii="Calibri" w:hAnsi="Calibri"/>
          <w:b/>
          <w:bCs/>
          <w:sz w:val="24"/>
          <w:szCs w:val="24"/>
        </w:rPr>
        <w:t>– DA LICITAÇÃO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2.1 – Do Objeto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2.1.1 –</w:t>
      </w:r>
      <w:r>
        <w:rPr>
          <w:rFonts w:ascii="Calibri" w:hAnsi="Calibri"/>
          <w:sz w:val="24"/>
          <w:szCs w:val="24"/>
        </w:rPr>
        <w:t xml:space="preserve"> A presente licitação destina-se a selecionar proposta objetivando </w:t>
      </w:r>
      <w:r>
        <w:rPr>
          <w:rFonts w:ascii="Calibri" w:hAnsi="Calibri"/>
          <w:sz w:val="24"/>
          <w:szCs w:val="24"/>
          <w:lang w:val="pt-BR"/>
        </w:rPr>
        <w:t>a a</w:t>
      </w:r>
      <w:r>
        <w:rPr>
          <w:rFonts w:ascii="Calibri" w:hAnsi="Calibri" w:cs="Calibri"/>
          <w:b/>
          <w:bCs/>
          <w:sz w:val="24"/>
          <w:szCs w:val="24"/>
          <w:lang w:val="pt-BR"/>
        </w:rPr>
        <w:t>quisição</w:t>
      </w:r>
      <w:r>
        <w:rPr>
          <w:rFonts w:ascii="Calibri" w:hAnsi="Calibri"/>
          <w:b/>
          <w:bCs/>
          <w:sz w:val="24"/>
          <w:szCs w:val="24"/>
        </w:rPr>
        <w:t xml:space="preserve"> </w:t>
      </w:r>
      <w:r>
        <w:rPr>
          <w:rFonts w:ascii="Calibri" w:hAnsi="Calibri"/>
          <w:b/>
          <w:bCs/>
          <w:sz w:val="24"/>
          <w:szCs w:val="24"/>
          <w:lang w:val="pt-BR"/>
        </w:rPr>
        <w:t xml:space="preserve">de </w:t>
      </w:r>
      <w:r>
        <w:rPr>
          <w:rFonts w:ascii="Calibri" w:hAnsi="Calibri" w:eastAsia="SimSun" w:cs="Calibri"/>
          <w:b/>
          <w:bCs/>
          <w:color w:val="000000"/>
          <w:sz w:val="24"/>
          <w:szCs w:val="24"/>
          <w:lang w:val="pt-BR" w:eastAsia="zh-CN" w:bidi="ar-SA"/>
        </w:rPr>
        <w:t>órteses, próteses e materiais especiais (na especialidade de Ortopedia - Quadril), com cedência de equipamentos em regime de comodato</w:t>
      </w:r>
      <w:r>
        <w:rPr>
          <w:rFonts w:ascii="Calibri" w:hAnsi="Calibri"/>
          <w:sz w:val="24"/>
          <w:szCs w:val="24"/>
        </w:rPr>
        <w:t>, conforme especificações, quantitativos e condições estabelecidas e previstas neste edital e seus Anexos.</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2.2 –</w:t>
      </w:r>
      <w:r>
        <w:rPr>
          <w:rFonts w:ascii="Calibri" w:hAnsi="Calibri"/>
          <w:sz w:val="24"/>
          <w:szCs w:val="24"/>
        </w:rPr>
        <w:t xml:space="preserve"> Da Execução da Licitação</w:t>
      </w:r>
    </w:p>
    <w:p>
      <w:pPr>
        <w:pStyle w:val="2"/>
        <w:overflowPunct/>
        <w:bidi w:val="0"/>
        <w:spacing w:before="1" w:after="0"/>
        <w:ind w:left="0" w:right="0" w:firstLine="0"/>
        <w:jc w:val="both"/>
        <w:rPr>
          <w:rFonts w:ascii="Calibri" w:hAnsi="Calibri"/>
          <w:sz w:val="24"/>
          <w:szCs w:val="24"/>
        </w:rPr>
      </w:pPr>
      <w:r>
        <w:rPr>
          <w:rFonts w:ascii="Calibri" w:hAnsi="Calibri"/>
          <w:b/>
          <w:bCs/>
          <w:sz w:val="24"/>
          <w:szCs w:val="24"/>
        </w:rPr>
        <w:t xml:space="preserve">2.2.1 – </w:t>
      </w:r>
      <w:r>
        <w:rPr>
          <w:rFonts w:ascii="Calibri" w:hAnsi="Calibri"/>
          <w:sz w:val="24"/>
          <w:szCs w:val="24"/>
        </w:rPr>
        <w:t xml:space="preserve">O processamento da licitação pela Secretaria de Estado da Saúde/ Diretoria de </w:t>
      </w:r>
      <w:r>
        <w:rPr>
          <w:rFonts w:ascii="Calibri" w:hAnsi="Calibri" w:eastAsia="NSimSun" w:cs="Lucida Sans"/>
          <w:color w:val="000000"/>
          <w:kern w:val="0"/>
          <w:sz w:val="24"/>
          <w:szCs w:val="24"/>
          <w:lang w:val="pt-BR" w:eastAsia="zh-CN" w:bidi="hi-IN"/>
        </w:rPr>
        <w:t>Licitações e Contratos</w:t>
      </w:r>
      <w:r>
        <w:rPr>
          <w:rFonts w:ascii="Calibri" w:hAnsi="Calibri"/>
          <w:sz w:val="24"/>
          <w:szCs w:val="24"/>
        </w:rPr>
        <w:t xml:space="preserve"> – DLIC, será na qualidade de Interveniente Promotora, destinando-se o objeto licitado a atender às necessidades das unidades da Secretaria de Estado (SES)</w:t>
      </w:r>
      <w:r>
        <w:rPr>
          <w:rFonts w:ascii="Calibri" w:hAnsi="Calibri" w:eastAsia="NSimSun" w:cs="Lucida Sans"/>
          <w:b w:val="0"/>
          <w:bCs w:val="0"/>
          <w:color w:val="000000"/>
          <w:kern w:val="0"/>
          <w:sz w:val="24"/>
          <w:szCs w:val="24"/>
          <w:lang w:val="pt-BR" w:eastAsia="zh-CN" w:bidi="hi-IN"/>
        </w:rPr>
        <w:t>.</w:t>
      </w:r>
    </w:p>
    <w:p>
      <w:pPr>
        <w:pStyle w:val="2"/>
        <w:overflowPunct/>
        <w:bidi w:val="0"/>
        <w:spacing w:before="1" w:after="0"/>
        <w:ind w:left="0" w:right="0" w:firstLine="0"/>
        <w:jc w:val="both"/>
        <w:rPr>
          <w:rFonts w:ascii="Calibri" w:hAnsi="Calibri" w:eastAsia="NSimSun" w:cs="Lucida Sans"/>
          <w:b/>
          <w:bCs/>
          <w:color w:val="FF0000"/>
          <w:kern w:val="0"/>
          <w:sz w:val="24"/>
          <w:szCs w:val="24"/>
          <w:lang w:val="pt-BR" w:eastAsia="zh-CN" w:bidi="hi-IN"/>
        </w:rPr>
      </w:pP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DAS CONDIÇÕES DE PARTICIPAÇÃO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 –</w:t>
      </w:r>
      <w:r>
        <w:rPr>
          <w:rFonts w:ascii="Calibri" w:hAnsi="Calibri" w:eastAsia="NSimSun" w:cs="Lucida Sans"/>
          <w:b w:val="0"/>
          <w:bCs w:val="0"/>
          <w:color w:val="000000"/>
          <w:kern w:val="0"/>
          <w:sz w:val="24"/>
          <w:szCs w:val="24"/>
          <w:lang w:val="pt-BR" w:eastAsia="zh-CN" w:bidi="hi-IN"/>
        </w:rPr>
        <w:t xml:space="preserve"> Poderão participar desta licitação as empresas interessados que atenderem às exigências estabelecidas neste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 –</w:t>
      </w:r>
      <w:r>
        <w:rPr>
          <w:rFonts w:ascii="Calibri" w:hAnsi="Calibri" w:eastAsia="NSimSun" w:cs="Lucida Sans"/>
          <w:b w:val="0"/>
          <w:bCs w:val="0"/>
          <w:color w:val="000000"/>
          <w:kern w:val="0"/>
          <w:sz w:val="24"/>
          <w:szCs w:val="24"/>
          <w:lang w:val="pt-BR" w:eastAsia="zh-CN" w:bidi="hi-IN"/>
        </w:rPr>
        <w:t xml:space="preserve"> Não poderão disputar essa licitação: aquele que não atenda às condições deste Edital e seu(s) anexo(s);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autor do anteprojeto, do projeto básico ou do projeto executivo, pessoa física ou jurídica, quando a licitação versar sobre serviços ou fornecimento de bens a ele relacionados;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 física ou jurídica que se encontre, ao tempo da licitação, impossibilitada de participar da licitação em decorrência de sanção que lhe foi imposta;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4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 xml:space="preserve">5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empresas controladoras, controladas ou coligadas, nos termos da Lei nº 6.404, de 15 de dezembro de 1976, concorrendo entre si;</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7</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agente público do órgão ou entidade licitante;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8</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Organizações da Sociedade Civil de Interesse Público - OSCIP, atuando nessa condição;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3.2.</w:t>
      </w:r>
      <w:r>
        <w:rPr>
          <w:rFonts w:ascii="Calibri" w:hAnsi="Calibri" w:cs="Lucida Sans"/>
          <w:b/>
          <w:bCs/>
          <w:color w:val="000000"/>
          <w:kern w:val="0"/>
          <w:sz w:val="24"/>
          <w:szCs w:val="24"/>
          <w:lang w:val="pt-BR" w:eastAsia="zh-CN" w:bidi="hi-IN"/>
        </w:rPr>
        <w:t>9</w:t>
      </w:r>
      <w:r>
        <w:rPr>
          <w:rFonts w:ascii="Calibri" w:hAnsi="Calibri" w:eastAsia="NSimSun" w:cs="Lucida Sans"/>
          <w:b/>
          <w:bCs/>
          <w:color w:val="000000"/>
          <w:kern w:val="0"/>
          <w:sz w:val="24"/>
          <w:szCs w:val="24"/>
          <w:lang w:val="pt-BR" w:eastAsia="zh-CN" w:bidi="hi-IN"/>
        </w:rPr>
        <w:t xml:space="preserve">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pessoas jurídicas reunidas em consórcio;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3.3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3.4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impedimento de que trata o item 3.</w:t>
      </w:r>
      <w:r>
        <w:rPr>
          <w:rFonts w:ascii="Calibri" w:hAnsi="Calibri" w:cs="Lucida Sans"/>
          <w:b w:val="0"/>
          <w:bCs w:val="0"/>
          <w:color w:val="000000"/>
          <w:kern w:val="0"/>
          <w:sz w:val="24"/>
          <w:szCs w:val="24"/>
          <w:lang w:val="pt-BR" w:eastAsia="zh-CN" w:bidi="hi-IN"/>
        </w:rPr>
        <w:t>3</w:t>
      </w:r>
      <w:r>
        <w:rPr>
          <w:rFonts w:ascii="Calibri" w:hAnsi="Calibri" w:eastAsia="NSimSun" w:cs="Lucida Sans"/>
          <w:b w:val="0"/>
          <w:bCs w:val="0"/>
          <w:color w:val="000000"/>
          <w:kern w:val="0"/>
          <w:sz w:val="24"/>
          <w:szCs w:val="24"/>
          <w:lang w:val="pt-BR" w:eastAsia="zh-CN" w:bidi="hi-IN"/>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3.5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critério da Administração e exclusivamente a seu serviço, o autor dos projetos e a empresa a que se referem 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poderão participar no apoio das atividades de planejamento da contratação, de execução da licitação ou de gestão do contrato, desde que sob supervisão exclusiva de agentes públicos do órgão ou entidade.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3.6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Equiparam-se aos autores do projeto as empresas integrantes do mesmo grupo econômico.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3.7</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O disposto nos itens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1</w:t>
      </w:r>
      <w:r>
        <w:rPr>
          <w:rFonts w:ascii="Calibri" w:hAnsi="Calibri" w:eastAsia="NSimSun" w:cs="Lucida Sans"/>
          <w:b w:val="0"/>
          <w:bCs w:val="0"/>
          <w:color w:val="000000"/>
          <w:kern w:val="0"/>
          <w:sz w:val="24"/>
          <w:szCs w:val="24"/>
          <w:lang w:val="pt-BR" w:eastAsia="zh-CN" w:bidi="hi-IN"/>
        </w:rPr>
        <w:t xml:space="preserve"> e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 xml:space="preserve"> não impede a licitação ou a contratação de serviço que inclua como encargo do contratado a elaboração do projeto básico e do projeto executivo, nas contratações integradas, e do projeto executivo, nos demais regimes de execução.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3.8</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3.9 –</w:t>
      </w:r>
      <w:r>
        <w:rPr>
          <w:rFonts w:ascii="Calibri" w:hAnsi="Calibri" w:cs="Lucida Sans"/>
          <w:b w:val="0"/>
          <w:bCs w:val="0"/>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A vedação de que trata o item 3.</w:t>
      </w:r>
      <w:r>
        <w:rPr>
          <w:rFonts w:ascii="Calibri" w:hAnsi="Calibri" w:cs="Lucida Sans"/>
          <w:b w:val="0"/>
          <w:bCs w:val="0"/>
          <w:color w:val="000000"/>
          <w:kern w:val="0"/>
          <w:sz w:val="24"/>
          <w:szCs w:val="24"/>
          <w:lang w:val="pt-BR" w:eastAsia="zh-CN" w:bidi="hi-IN"/>
        </w:rPr>
        <w:t>2</w:t>
      </w:r>
      <w:r>
        <w:rPr>
          <w:rFonts w:ascii="Calibri" w:hAnsi="Calibri" w:eastAsia="NSimSun" w:cs="Lucida Sans"/>
          <w:b w:val="0"/>
          <w:bCs w:val="0"/>
          <w:color w:val="000000"/>
          <w:kern w:val="0"/>
          <w:sz w:val="24"/>
          <w:szCs w:val="24"/>
          <w:lang w:val="pt-BR" w:eastAsia="zh-CN" w:bidi="hi-IN"/>
        </w:rPr>
        <w:t>.7 estende-se a terceiro que auxilie a condução da contratação na qualidade de integrante de equipe de apoio, profissional especializado ou funcionário ou representante de empresa que preste assessoria técnica.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3.10</w:t>
      </w:r>
      <w:r>
        <w:rPr>
          <w:rFonts w:ascii="Calibri" w:hAnsi="Calibri" w:eastAsia="NSimSun" w:cs="Lucida Sans"/>
          <w:b w:val="0"/>
          <w:bCs w:val="0"/>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A participação na licitação implica, sem que tenha sido tempestivamente impugnado o Edital, automaticamente, na aceitação integral e irretratável dos termos e conteúdos deste edital e seus Anexos, a observância dos preceitos legais e regulamentos em vigor; e a responsabilidade pela fidelidade e legitimidade das informações e dos documentos enviados em qualquer fase da licitação, não cabendo, portanto, posterior reclamação.</w:t>
      </w:r>
    </w:p>
    <w:p>
      <w:pPr>
        <w:pStyle w:val="2"/>
        <w:overflowPunct/>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bidi w:val="0"/>
        <w:spacing w:before="1" w:after="0"/>
        <w:ind w:left="0" w:right="0" w:firstLine="0"/>
        <w:jc w:val="both"/>
        <w:rPr>
          <w:b/>
          <w:bCs/>
        </w:rPr>
      </w:pPr>
      <w:r>
        <w:rPr>
          <w:rFonts w:ascii="Calibri" w:hAnsi="Calibri" w:eastAsia="NSimSun" w:cs="Lucida Sans"/>
          <w:b/>
          <w:bCs/>
          <w:color w:val="000000"/>
          <w:kern w:val="0"/>
          <w:sz w:val="24"/>
          <w:szCs w:val="24"/>
          <w:lang w:val="pt-BR" w:eastAsia="zh-CN" w:bidi="hi-IN"/>
        </w:rPr>
        <w:t>4 – DAS ATRIBUIÇÕES DO PREGOEIRO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4.1 –</w:t>
      </w:r>
      <w:r>
        <w:rPr>
          <w:rFonts w:ascii="Calibri" w:hAnsi="Calibri" w:eastAsia="NSimSun" w:cs="Lucida Sans"/>
          <w:b w:val="0"/>
          <w:bCs w:val="0"/>
          <w:color w:val="000000"/>
          <w:kern w:val="0"/>
          <w:sz w:val="24"/>
          <w:szCs w:val="24"/>
          <w:lang w:val="pt-BR" w:eastAsia="zh-CN" w:bidi="hi-IN"/>
        </w:rPr>
        <w:t xml:space="preserve"> Coordenar o processo licitatório;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4.2 –</w:t>
      </w:r>
      <w:r>
        <w:rPr>
          <w:rFonts w:ascii="Calibri" w:hAnsi="Calibri" w:eastAsia="NSimSun" w:cs="Lucida Sans"/>
          <w:b w:val="0"/>
          <w:bCs w:val="0"/>
          <w:color w:val="000000"/>
          <w:kern w:val="0"/>
          <w:sz w:val="24"/>
          <w:szCs w:val="24"/>
          <w:lang w:val="pt-BR" w:eastAsia="zh-CN" w:bidi="hi-IN"/>
        </w:rPr>
        <w:t xml:space="preserve"> Receber, examinar e encaminhar as impugnações devidamente instruídas à autoridade superior;</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4.3 –</w:t>
      </w:r>
      <w:r>
        <w:rPr>
          <w:rFonts w:ascii="Calibri" w:hAnsi="Calibri" w:eastAsia="NSimSun" w:cs="Lucida Sans"/>
          <w:b w:val="0"/>
          <w:bCs w:val="0"/>
          <w:color w:val="000000"/>
          <w:kern w:val="0"/>
          <w:sz w:val="24"/>
          <w:szCs w:val="24"/>
          <w:lang w:val="pt-BR" w:eastAsia="zh-CN" w:bidi="hi-IN"/>
        </w:rPr>
        <w:t xml:space="preserve"> Receber, examinar e responder os questionamentos ao edital e seus anexos, apoiado pelo setor responsável pela sua elaboração;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4.4 –</w:t>
      </w:r>
      <w:r>
        <w:rPr>
          <w:rFonts w:ascii="Calibri" w:hAnsi="Calibri" w:eastAsia="NSimSun" w:cs="Lucida Sans"/>
          <w:b w:val="0"/>
          <w:bCs w:val="0"/>
          <w:color w:val="000000"/>
          <w:kern w:val="0"/>
          <w:sz w:val="24"/>
          <w:szCs w:val="24"/>
          <w:lang w:val="pt-BR" w:eastAsia="zh-CN" w:bidi="hi-IN"/>
        </w:rPr>
        <w:t xml:space="preserve"> Conduzir a sessão pública na internet e os trabalhos da equipe de apoio;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4.5 –</w:t>
      </w:r>
      <w:r>
        <w:rPr>
          <w:rFonts w:ascii="Calibri" w:hAnsi="Calibri" w:eastAsia="NSimSun" w:cs="Lucida Sans"/>
          <w:b w:val="0"/>
          <w:bCs w:val="0"/>
          <w:color w:val="000000"/>
          <w:kern w:val="0"/>
          <w:sz w:val="24"/>
          <w:szCs w:val="24"/>
          <w:lang w:val="pt-BR" w:eastAsia="zh-CN" w:bidi="hi-IN"/>
        </w:rPr>
        <w:t xml:space="preserve"> Verificar a conformidade da proposta com os requisitos estabelecidos no instrumento convocatório;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4.6 –</w:t>
      </w:r>
      <w:r>
        <w:rPr>
          <w:rFonts w:ascii="Calibri" w:hAnsi="Calibri" w:eastAsia="NSimSun" w:cs="Lucida Sans"/>
          <w:b w:val="0"/>
          <w:bCs w:val="0"/>
          <w:color w:val="000000"/>
          <w:kern w:val="0"/>
          <w:sz w:val="24"/>
          <w:szCs w:val="24"/>
          <w:lang w:val="pt-BR" w:eastAsia="zh-CN" w:bidi="hi-IN"/>
        </w:rPr>
        <w:t xml:space="preserve"> Dirigir a etapa de lances;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4.7 –</w:t>
      </w:r>
      <w:r>
        <w:rPr>
          <w:rFonts w:ascii="Calibri" w:hAnsi="Calibri" w:eastAsia="NSimSun" w:cs="Lucida Sans"/>
          <w:b w:val="0"/>
          <w:bCs w:val="0"/>
          <w:color w:val="000000"/>
          <w:kern w:val="0"/>
          <w:sz w:val="24"/>
          <w:szCs w:val="24"/>
          <w:lang w:val="pt-BR" w:eastAsia="zh-CN" w:bidi="hi-IN"/>
        </w:rPr>
        <w:t xml:space="preserve"> Verificar e julgar as condições de habilitação;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4.8 –</w:t>
      </w:r>
      <w:r>
        <w:rPr>
          <w:rFonts w:ascii="Calibri" w:hAnsi="Calibri" w:eastAsia="NSimSun" w:cs="Lucida Sans"/>
          <w:b w:val="0"/>
          <w:bCs w:val="0"/>
          <w:color w:val="000000"/>
          <w:kern w:val="0"/>
          <w:sz w:val="24"/>
          <w:szCs w:val="24"/>
          <w:lang w:val="pt-BR" w:eastAsia="zh-CN" w:bidi="hi-IN"/>
        </w:rPr>
        <w:t xml:space="preserve"> Receber a documentação adicional quando necessário;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4.9 –</w:t>
      </w:r>
      <w:r>
        <w:rPr>
          <w:rFonts w:ascii="Calibri" w:hAnsi="Calibri" w:eastAsia="NSimSun" w:cs="Lucida Sans"/>
          <w:b w:val="0"/>
          <w:bCs w:val="0"/>
          <w:color w:val="000000"/>
          <w:kern w:val="0"/>
          <w:sz w:val="24"/>
          <w:szCs w:val="24"/>
          <w:lang w:val="pt-BR" w:eastAsia="zh-CN" w:bidi="hi-IN"/>
        </w:rPr>
        <w:t xml:space="preserve"> Receber, examinar e encaminhar o recurso devidamente instruído à autoridade superior para deliberação;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4.10 –</w:t>
      </w:r>
      <w:r>
        <w:rPr>
          <w:rFonts w:ascii="Calibri" w:hAnsi="Calibri" w:eastAsia="NSimSun" w:cs="Lucida Sans"/>
          <w:b w:val="0"/>
          <w:bCs w:val="0"/>
          <w:color w:val="000000"/>
          <w:kern w:val="0"/>
          <w:sz w:val="24"/>
          <w:szCs w:val="24"/>
          <w:lang w:val="pt-BR" w:eastAsia="zh-CN" w:bidi="hi-IN"/>
        </w:rPr>
        <w:t xml:space="preserve"> Encaminhar o processo devidamente instruído à autoridade superior para adjudicação, homologação e contratação.</w:t>
      </w:r>
    </w:p>
    <w:p>
      <w:pPr>
        <w:pStyle w:val="2"/>
        <w:overflowPunct/>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DO CREDENCIAMENTO PARA PARTICIPAR DO CERTAME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As pessoas físicas ou jurídicas deverão dispor de chave identificação e de senha, pessoal e intransferível, para acesso ao Sistema eletrônico, emitida pelo sistema de Cadastro Geral de Fornecedores do Estado de Santa Catarina da Secretaria de Estado da Administração.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Atribuição de chave de identificação e de senha, obtidas a partir da homologação do Cadastro Geral de Fornecedores, credenciará o interessado em participar do pregão eletrônico e o qualificará para fornecimento e envio de proposta eletrônica para o objeto correspondente ao grupo-classe indicado no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Caso não consiga visualizar o processo para envio de proposta eletrônica, o credenciado precisa solicitar qualificação ao grupo-classe correspondente junto ao Cadastro Geral de Fornecedores.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procedimento para inscrição e alterações, no Cadastro Geral de Fornecedores, encontra-se disponível no site do Portal de Compras pelo endereço http://portaldecompras.sc.gov.br, clicando em seguida no link “Fornecedores”.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chave de identificação e a senha poderão ser utilizadas em qualquer pregão na forma eletrônica, correspondente ao seu grupo-classe registrado no Cadastro Geral de Fornecedores, para formular lances de preços e praticar os demais atos e operações no Sistema eletrônico, salvo quando canceladas por solicitação do credenciado ou por iniciativa da Secretaria de Estado da Administração, devidamente justificada.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É de exclusiva responsabilidade do usuário o sigilo da senha, bem como seu uso em qualquer transação efetuada diretamente ou por seu representante, não cabendo ao provedor do Sistema ou ao órgão promotor da licitação, a responsabilidade por eventuais danos decorrentes de uso indevido da senha, ainda que por terceiros.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A perda da senha ou a quebra de sigilo deverá ser comunicada imediatamente ao provedor do Sistema eletrônico, para imediato bloqueio de acesso.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credenciamento do licitante e de seu representante legal junto ao Sistema eletrônico implica na responsabilidade legal pelos atos praticados e a presunção de capacidade técnica para realização das transações inerentes ao pregão eletrônico.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w:t>
      </w:r>
      <w:r>
        <w:rPr>
          <w:rFonts w:ascii="Calibri" w:hAnsi="Calibri" w:eastAsia="NSimSun" w:cs="Lucida Sans"/>
          <w:b w:val="0"/>
          <w:bCs w:val="0"/>
          <w:color w:val="000000"/>
          <w:kern w:val="0"/>
          <w:sz w:val="24"/>
          <w:szCs w:val="24"/>
          <w:lang w:val="pt-BR" w:eastAsia="zh-CN" w:bidi="hi-IN"/>
        </w:rPr>
        <w:t xml:space="preserve"> Para o correto funcionamento do Sistema recomendam-se os seguintes requisitos mínimos: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a) Conexão de Internet com velocidade nominal de 2MB ou superior;</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b) Navegadores Internet Explorer 9 ou superior, Chrome ou Firefox;</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val="0"/>
          <w:bCs w:val="0"/>
          <w:color w:val="000000"/>
          <w:kern w:val="0"/>
          <w:sz w:val="24"/>
          <w:szCs w:val="24"/>
          <w:lang w:val="pt-BR" w:eastAsia="zh-CN" w:bidi="hi-IN"/>
        </w:rPr>
        <w:t>c) Javascript habilitado e pop-ups liberados (não bloqueados).</w:t>
      </w:r>
    </w:p>
    <w:p>
      <w:pPr>
        <w:pStyle w:val="2"/>
        <w:overflowPunct/>
        <w:bidi w:val="0"/>
        <w:spacing w:before="1" w:after="0"/>
        <w:ind w:left="0" w:right="0" w:firstLine="0"/>
        <w:jc w:val="both"/>
        <w:rPr>
          <w:rFonts w:ascii="Calibri" w:hAnsi="Calibri"/>
          <w:b/>
          <w:bCs/>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DA PARTICIPAÇÃO NO SISTEMA ELETRÔNICO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A participação no pregão eletrônico dar-se-á por meio de acesso restrito e digitação da senha pessoal e intransferível do representante credenciado e subsequente encaminhamento da proposta eletrônica de preços, por meio do Sistema eletrônico, observada data e horário limite estabelecidos.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O sistema de licitações estará disponível no endereço http://portaldecompras.sc.gov.br/ ou http://e-lic.sc.gov.br/, na área de acesso restrito.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Efetuado login no Sistema, o fornecedor somente visualizará os editais em que esteja cadastrado no grupo-classe.</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 </w:t>
      </w:r>
      <w:r>
        <w:rPr>
          <w:rFonts w:ascii="Calibri" w:hAnsi="Calibri" w:eastAsia="NSimSun" w:cs="Lucida Sans"/>
          <w:b w:val="0"/>
          <w:bCs w:val="0"/>
          <w:color w:val="000000"/>
          <w:kern w:val="0"/>
          <w:sz w:val="24"/>
          <w:szCs w:val="24"/>
          <w:lang w:val="pt-BR" w:eastAsia="zh-CN" w:bidi="hi-IN"/>
        </w:rPr>
        <w:t>Como requisito para a participação no pregão, o licitante deverá manifestar, em campo próprio do Sistema eletrônico, o pleno conhecimento e atendimento às exigências previstas no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.1 –</w:t>
      </w:r>
      <w:r>
        <w:rPr>
          <w:rFonts w:ascii="Calibri" w:hAnsi="Calibri" w:eastAsia="NSimSun" w:cs="Lucida Sans"/>
          <w:b w:val="0"/>
          <w:bCs w:val="0"/>
          <w:color w:val="000000"/>
          <w:kern w:val="0"/>
          <w:sz w:val="24"/>
          <w:szCs w:val="24"/>
          <w:lang w:val="pt-BR" w:eastAsia="zh-CN" w:bidi="hi-IN"/>
        </w:rPr>
        <w:t xml:space="preserve"> Quando o licitante for beneficiário da Lei Complementar nº 123/2006 e suas alterações, deverá manifestar em campo próprio do Sistema eletrônico, o pleno conhecimento e atendimento das exigências previstas na lei.</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.2 –</w:t>
      </w:r>
      <w:r>
        <w:rPr>
          <w:rFonts w:ascii="Calibri" w:hAnsi="Calibri" w:eastAsia="NSimSun" w:cs="Lucida Sans"/>
          <w:b w:val="0"/>
          <w:bCs w:val="0"/>
          <w:color w:val="000000"/>
          <w:kern w:val="0"/>
          <w:sz w:val="24"/>
          <w:szCs w:val="24"/>
          <w:lang w:val="pt-BR" w:eastAsia="zh-CN" w:bidi="hi-IN"/>
        </w:rPr>
        <w:t xml:space="preserve"> A declaração falsa relativa ao cumprimento dos requisitos de habilitação e proposta sujeitará o licitante às sanções previstas na legislação vigente aplicável à matéria.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.3 –</w:t>
      </w:r>
      <w:r>
        <w:rPr>
          <w:rFonts w:ascii="Calibri" w:hAnsi="Calibri" w:eastAsia="NSimSun" w:cs="Lucida Sans"/>
          <w:b w:val="0"/>
          <w:bCs w:val="0"/>
          <w:color w:val="000000"/>
          <w:kern w:val="0"/>
          <w:sz w:val="24"/>
          <w:szCs w:val="24"/>
          <w:lang w:val="pt-BR" w:eastAsia="zh-CN" w:bidi="hi-IN"/>
        </w:rPr>
        <w:t xml:space="preserve"> O licitante será responsável por todas as transações que forem efetuadas em seu nome no Sistema eletrônico, assumindo como firmes e verdadeiras suas propostas e lances.</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 –</w:t>
      </w:r>
      <w:r>
        <w:rPr>
          <w:rFonts w:ascii="Calibri" w:hAnsi="Calibri" w:eastAsia="NSimSun" w:cs="Lucida Sans"/>
          <w:b w:val="0"/>
          <w:bCs w:val="0"/>
          <w:color w:val="000000"/>
          <w:kern w:val="0"/>
          <w:sz w:val="24"/>
          <w:szCs w:val="24"/>
          <w:lang w:val="pt-BR" w:eastAsia="zh-CN" w:bidi="hi-IN"/>
        </w:rPr>
        <w:t xml:space="preserve"> O licitante não poderá identificar-se (nome, CNPJ, papel timbrado da empresa, telefone, e-mail, site da empresa, etc.) nesta proposta comercial, sob pena de desclassificação.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.4.1 –</w:t>
      </w:r>
      <w:r>
        <w:rPr>
          <w:rFonts w:ascii="Calibri" w:hAnsi="Calibri" w:eastAsia="NSimSun" w:cs="Lucida Sans"/>
          <w:b w:val="0"/>
          <w:bCs w:val="0"/>
          <w:color w:val="000000"/>
          <w:kern w:val="0"/>
          <w:sz w:val="24"/>
          <w:szCs w:val="24"/>
          <w:lang w:val="pt-BR" w:eastAsia="zh-CN" w:bidi="hi-IN"/>
        </w:rPr>
        <w:t xml:space="preserve"> Qualquer elemento que possa identificar o licitante, importa na desclassificação da proposta, sem prejuízo das sanções previstas no Edital.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Caberá ao licitante acompanhar as operações no Sistema eletrônico durante a sessão pública do pregão, ficando responsável pelo ônus decorrente da perda de negócios diante da inobservância de quaisquer mensagens emitidas pelo Sistema ou de sua desconexão.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comunicar imediatamente ao provedor do Sistema qualquer acontecimento que possa comprometer o sigilo ou a inviabilidade do uso da senha, para imediato bloqueio de acesso.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Os licitantes deverão solicitar o cancelamento da chave de identificação ou da senha de acesso por interesse próprio.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6.</w:t>
      </w:r>
      <w:r>
        <w:rPr>
          <w:rFonts w:ascii="Calibri" w:hAnsi="Calibri" w:cs="Lucida Sans"/>
          <w:b/>
          <w:bCs/>
          <w:color w:val="000000"/>
          <w:kern w:val="0"/>
          <w:sz w:val="24"/>
          <w:szCs w:val="24"/>
          <w:lang w:val="pt-BR" w:eastAsia="zh-CN" w:bidi="hi-IN"/>
        </w:rPr>
        <w:t>6</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O fornecedor descredenciado no Cadastro Geral de Fornecedores terá sua chave de identificação e senha suspensas automaticamente.</w:t>
      </w:r>
    </w:p>
    <w:p>
      <w:pPr>
        <w:pStyle w:val="2"/>
        <w:overflowPunct/>
        <w:bidi w:val="0"/>
        <w:spacing w:before="1" w:after="0"/>
        <w:ind w:left="0" w:right="0" w:firstLine="0"/>
        <w:jc w:val="both"/>
        <w:rPr>
          <w:rFonts w:ascii="Calibri" w:hAnsi="Calibri" w:eastAsia="NSimSun" w:cs="Lucida Sans"/>
          <w:kern w:val="0"/>
          <w:sz w:val="24"/>
          <w:szCs w:val="24"/>
          <w:lang w:val="pt-BR" w:eastAsia="zh-CN" w:bidi="hi-IN"/>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b/>
          <w:bCs/>
          <w:color w:val="000000"/>
          <w:sz w:val="24"/>
          <w:szCs w:val="24"/>
          <w:lang w:val="pt-BR"/>
        </w:rPr>
        <w:t xml:space="preserve"> </w:t>
      </w:r>
      <w:r>
        <w:rPr>
          <w:rFonts w:ascii="Calibri" w:hAnsi="Calibri"/>
          <w:b/>
          <w:bCs/>
          <w:color w:val="000000"/>
          <w:sz w:val="24"/>
          <w:szCs w:val="24"/>
        </w:rPr>
        <w:t>– DA PROPOSTA ELETRÔNICA DE PREÇOS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divulgação do edital no endereço eletrônico, aos licitantes interessados deverão encaminhar proposta e, se for o caso, o(s) respectivo(s) Anexo(s), até a data e hora marcadas para abertura da sessão, exclusivamente por meio do Sistema eletrônico, quando, então, encerrar-se-á, automaticamente, a fase de recebimento de propostas.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Até a abertura da sessão, os licitantes poderão retirar ou substituir a proposta anteriormente enviada.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Os licitantes receberão, por e-mail, comprovante de recebimento das suas propostas eletrônicas enviadas, com a indicação do dia e respectivo horário de registro.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7.4 –</w:t>
      </w:r>
      <w:r>
        <w:rPr>
          <w:rFonts w:ascii="Calibri" w:hAnsi="Calibri"/>
          <w:b w:val="0"/>
          <w:bCs w:val="0"/>
          <w:color w:val="000000"/>
          <w:sz w:val="24"/>
          <w:szCs w:val="24"/>
        </w:rPr>
        <w:t xml:space="preserve"> A proposta enviada não poderá ter prazo de validade inferior a 60 (sessenta) dias, contados da data limite para apresentação das propostas neste Pregão, sendo este o prazo considerado em caso de omissão.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7.5 –</w:t>
      </w:r>
      <w:r>
        <w:rPr>
          <w:rFonts w:ascii="Calibri" w:hAnsi="Calibri"/>
          <w:b w:val="0"/>
          <w:bCs w:val="0"/>
          <w:color w:val="000000"/>
          <w:sz w:val="24"/>
          <w:szCs w:val="24"/>
        </w:rPr>
        <w:t xml:space="preserve"> Sob pena de desclassificação, a proposta eletrônica deverá ser preenchida indicando o valor unitário e total dos serviços, expressos em reais, com no máximo 4 (quatro) casas decimais no campo “valor da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No valor da proposta devem estar inclusos todos os custos com a remuneração, encargos sociais, operacionais, previdenciários, trabalhistas, tributários, comerciais, bem como taxas, impostos, fretes, e quaisquer outros que incidam direta ou indiretamente na prestação dos serviços.</w:t>
      </w:r>
    </w:p>
    <w:p>
      <w:pPr>
        <w:overflowPunct/>
        <w:bidi w:val="0"/>
        <w:spacing w:before="1" w:after="0"/>
        <w:ind w:left="0" w:right="0" w:firstLine="0"/>
        <w:jc w:val="both"/>
        <w:rPr>
          <w:rFonts w:ascii="Calibri" w:hAnsi="Calibri"/>
          <w:sz w:val="24"/>
          <w:szCs w:val="24"/>
        </w:rPr>
      </w:pPr>
      <w:bookmarkStart w:id="0" w:name="docs-internal-guid-c2713284-7fff-903d-6b"/>
      <w:bookmarkEnd w:id="0"/>
      <w:r>
        <w:rPr>
          <w:rFonts w:ascii="Calibri" w:hAnsi="Calibri"/>
          <w:b/>
          <w:bCs/>
          <w:i w:val="0"/>
          <w:caps w:val="0"/>
          <w:smallCaps w:val="0"/>
          <w:strike w:val="0"/>
          <w:dstrike w:val="0"/>
          <w:color w:val="000000"/>
          <w:sz w:val="24"/>
          <w:szCs w:val="24"/>
          <w:u w:val="none"/>
          <w:shd w:val="clear" w:fill="auto"/>
        </w:rPr>
        <w:t xml:space="preserve">7.6.1 </w:t>
      </w:r>
      <w:r>
        <w:rPr>
          <w:rFonts w:ascii="Calibri" w:hAnsi="Calibri" w:eastAsia="NSimSun" w:cs="Lucida Sans"/>
          <w:b/>
          <w:bCs/>
          <w:i w:val="0"/>
          <w:caps w:val="0"/>
          <w:smallCaps w:val="0"/>
          <w:strike w:val="0"/>
          <w:dstrike w:val="0"/>
          <w:color w:val="000000"/>
          <w:kern w:val="0"/>
          <w:sz w:val="24"/>
          <w:szCs w:val="24"/>
          <w:u w:val="none"/>
          <w:shd w:val="clear" w:fill="auto"/>
          <w:lang w:val="pt-BR" w:eastAsia="zh-CN" w:bidi="hi-IN"/>
        </w:rPr>
        <w:t>–</w:t>
      </w:r>
      <w:r>
        <w:rPr>
          <w:rFonts w:ascii="Calibri" w:hAnsi="Calibri"/>
          <w:b w:val="0"/>
          <w:bCs w:val="0"/>
          <w:i w:val="0"/>
          <w:caps w:val="0"/>
          <w:smallCaps w:val="0"/>
          <w:strike w:val="0"/>
          <w:dstrike w:val="0"/>
          <w:color w:val="000000"/>
          <w:sz w:val="24"/>
          <w:szCs w:val="24"/>
          <w:u w:val="none"/>
          <w:shd w:val="clear" w:fill="auto"/>
        </w:rPr>
        <w:t xml:space="preserve"> A licitante deverá apresentar em sua proposta apenas um preço por item do edital, vetada diferenciação de preços em decorrência de local de entrega do item, forma ou local de acondicionamento do item ou quaisquer outras circunstâncias não previstas neste instrumento</w:t>
      </w:r>
      <w:r>
        <w:rPr>
          <w:rFonts w:ascii="Calibri" w:hAnsi="Calibri"/>
          <w:b w:val="0"/>
          <w:bCs w:val="0"/>
          <w:i w:val="0"/>
          <w:caps w:val="0"/>
          <w:smallCaps w:val="0"/>
          <w:strike w:val="0"/>
          <w:dstrike w:val="0"/>
          <w:color w:val="000000"/>
          <w:sz w:val="24"/>
          <w:szCs w:val="24"/>
          <w:u w:val="none"/>
          <w:shd w:val="clear" w:fill="auto"/>
          <w:lang w:val="pt-BR"/>
        </w:rPr>
        <w:t>.</w:t>
      </w:r>
      <w:r>
        <w:rPr>
          <w:rFonts w:ascii="Calibri" w:hAnsi="Calibri"/>
          <w:b w:val="0"/>
          <w:bCs w:val="0"/>
          <w:color w:val="000000"/>
          <w:sz w:val="24"/>
          <w:szCs w:val="24"/>
        </w:rPr>
        <w:t xml:space="preserve">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A proposta de preços com base nas especificações constantes deste neste edital e seus Anexos, estará condicionada às informações cadastradas no Sistema de Cadastro Geral de Fornecedores, que contém, obrigatoriamente, a razão social completa e CNPJ do licitante, endereço, telefone e endereço eletrônico (e- mail).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Os licitantes deverão manter suas informações cadastrais atualizadas, junto ao Cadastro Geral de Fornecedores, ficando responsável pelo ônus decorrente da perda de negócios diante da inobservância de quaisquer mensagens divulgadas via “chat” ou emitidas pelo Sistema junto ao seu endereço eletrônico (e- mail).</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7.</w:t>
      </w:r>
      <w:r>
        <w:rPr>
          <w:rFonts w:ascii="Calibri" w:hAnsi="Calibri" w:eastAsia="NSimSun" w:cs="Lucida Sans"/>
          <w:b/>
          <w:bCs/>
          <w:color w:val="111111"/>
          <w:kern w:val="0"/>
          <w:sz w:val="24"/>
          <w:szCs w:val="24"/>
          <w:lang w:val="pt-BR" w:eastAsia="zh-CN" w:bidi="hi-IN"/>
        </w:rPr>
        <w:t>9</w:t>
      </w:r>
      <w:r>
        <w:rPr>
          <w:rFonts w:ascii="Calibri" w:hAnsi="Calibri"/>
          <w:b/>
          <w:bCs/>
          <w:color w:val="111111"/>
          <w:sz w:val="24"/>
          <w:szCs w:val="24"/>
        </w:rPr>
        <w:t xml:space="preserve"> –</w:t>
      </w:r>
      <w:r>
        <w:rPr>
          <w:rFonts w:ascii="Calibri" w:hAnsi="Calibri"/>
          <w:b w:val="0"/>
          <w:bCs w:val="0"/>
          <w:color w:val="111111"/>
          <w:sz w:val="24"/>
          <w:szCs w:val="24"/>
        </w:rPr>
        <w:t xml:space="preserve"> A licitante vencedora do certame, quando houver cotação de proposta por lote, deverá detalhar sua proposta no sistema eletrônico, após encerramento da sessão, com os respectivos valores unitários readequados ao valor total representado pelo lance vencedor, no prazo de 1 (um) dia útil, contado a partir da data do encerramento da sessão;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9</w:t>
      </w:r>
      <w:r>
        <w:rPr>
          <w:rFonts w:ascii="Calibri" w:hAnsi="Calibri"/>
          <w:b/>
          <w:bCs/>
          <w:color w:val="000000"/>
          <w:sz w:val="24"/>
          <w:szCs w:val="24"/>
        </w:rPr>
        <w:t>.</w:t>
      </w:r>
      <w:r>
        <w:rPr>
          <w:rFonts w:ascii="Calibri" w:hAnsi="Calibri"/>
          <w:b/>
          <w:bCs/>
          <w:color w:val="000000"/>
          <w:sz w:val="24"/>
          <w:szCs w:val="24"/>
          <w:lang w:val="pt-BR"/>
        </w:rPr>
        <w:t xml:space="preserve">1 </w:t>
      </w:r>
      <w:r>
        <w:rPr>
          <w:rFonts w:ascii="Calibri" w:hAnsi="Calibri"/>
          <w:b/>
          <w:bCs/>
          <w:color w:val="000000"/>
          <w:sz w:val="24"/>
          <w:szCs w:val="24"/>
        </w:rPr>
        <w:t>–</w:t>
      </w:r>
      <w:r>
        <w:rPr>
          <w:rFonts w:ascii="Calibri" w:hAnsi="Calibri"/>
          <w:b w:val="0"/>
          <w:bCs w:val="0"/>
          <w:color w:val="000000"/>
          <w:sz w:val="24"/>
          <w:szCs w:val="24"/>
        </w:rPr>
        <w:t xml:space="preserve"> Quando por lote, o valor unitário readequado não poderá ser superior àquele oferecido na proposta escrita.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10</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serão irretratáveis e irrenunciáveis, na forma da lei.</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7.</w:t>
      </w:r>
      <w:r>
        <w:rPr>
          <w:rFonts w:ascii="Calibri" w:hAnsi="Calibri" w:eastAsia="NSimSun" w:cs="Lucida Sans"/>
          <w:b/>
          <w:bCs/>
          <w:color w:val="000000"/>
          <w:kern w:val="0"/>
          <w:sz w:val="24"/>
          <w:szCs w:val="24"/>
          <w:lang w:val="pt-BR" w:eastAsia="zh-CN" w:bidi="hi-IN"/>
        </w:rPr>
        <w:t>11</w:t>
      </w:r>
      <w:r>
        <w:rPr>
          <w:rFonts w:ascii="Calibri" w:hAnsi="Calibri"/>
          <w:b/>
          <w:bCs/>
          <w:color w:val="000000"/>
          <w:sz w:val="24"/>
          <w:szCs w:val="24"/>
        </w:rPr>
        <w:t xml:space="preserve"> –</w:t>
      </w:r>
      <w:r>
        <w:rPr>
          <w:rFonts w:ascii="Calibri" w:hAnsi="Calibri"/>
          <w:b w:val="0"/>
          <w:bCs w:val="0"/>
          <w:color w:val="000000"/>
          <w:sz w:val="24"/>
          <w:szCs w:val="24"/>
        </w:rPr>
        <w:t xml:space="preserve"> A apresentação da proposta implica na aceitação de todas as condições deste Edital.</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b/>
          <w:bCs/>
          <w:color w:val="000000"/>
          <w:sz w:val="24"/>
          <w:szCs w:val="24"/>
          <w:lang w:val="pt-BR"/>
        </w:rPr>
        <w:t xml:space="preserve"> </w:t>
      </w:r>
      <w:r>
        <w:rPr>
          <w:rFonts w:ascii="Calibri" w:hAnsi="Calibri"/>
          <w:b/>
          <w:bCs/>
          <w:color w:val="000000"/>
          <w:sz w:val="24"/>
          <w:szCs w:val="24"/>
        </w:rPr>
        <w:t>– DA SESSÃO PÚBLICA DO PREGÃO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Iniciada a sessão pública do pregão, esta não será suspensa ou transferida, salvo motivo excepcional assim caracterizado pelo pregoeiro.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Verificando-se o adiamento da sessão pública do pregão, o pregoeiro determinará nova data para continuação dos trabalhos, ficando intimadas os licitantes.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poderá interromper a sessão, temporariamente, para determinar alguma providência administrativa para o bom andamento dos trabalhos.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No caso de desconexão do pregoeiro, no decorrer da etapa de lances, se o Sistema eletrônico permanecer acessível aos licitantes, os lances continuarão sendo recebidos, sem prejuízo dos atos realizados.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8.</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Quando a desconexão do pregoeiro persistir por tempo superior a dez minutos, a sessão do pregão na forma eletrônica será suspensa e reiniciada somente após comunicação aos participantes, no endereço eletrônico utilizado para divulgação.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b/>
          <w:bCs/>
          <w:color w:val="000000"/>
          <w:sz w:val="24"/>
          <w:szCs w:val="24"/>
          <w:lang w:val="pt-BR"/>
        </w:rPr>
        <w:t xml:space="preserve"> </w:t>
      </w:r>
      <w:r>
        <w:rPr>
          <w:rFonts w:ascii="Calibri" w:hAnsi="Calibri"/>
          <w:b/>
          <w:bCs/>
          <w:color w:val="000000"/>
          <w:sz w:val="24"/>
          <w:szCs w:val="24"/>
        </w:rPr>
        <w:t>– DA ABERTURA DA SESSÃO E ETAPA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terá início a sessão pública do pregão eletrônico, momento em que o Sistema disponibilizará campo próprio (Chat) para troca de mensagens entre o pregoeiro e os licitantes.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pregoeiro verificará propostas eletrônicas enviadas, desclassificando aquelas que não estejam em conformidade com os requisitos estabelecidos no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desclassificação de proposta será sempre fundamentada e registrada no Sistema, com acompanhamento em tempo real por todos os participantes.</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9.</w:t>
      </w:r>
      <w:r>
        <w:rPr>
          <w:rFonts w:ascii="Calibri" w:hAnsi="Calibri" w:eastAsia="NSimSun" w:cs="Lucida Sans"/>
          <w:b/>
          <w:bCs/>
          <w:color w:val="111111"/>
          <w:kern w:val="0"/>
          <w:sz w:val="24"/>
          <w:szCs w:val="24"/>
          <w:lang w:val="pt-BR" w:eastAsia="zh-CN" w:bidi="hi-IN"/>
        </w:rPr>
        <w:t>2</w:t>
      </w:r>
      <w:r>
        <w:rPr>
          <w:rFonts w:ascii="Calibri" w:hAnsi="Calibri"/>
          <w:b/>
          <w:bCs/>
          <w:color w:val="111111"/>
          <w:sz w:val="24"/>
          <w:szCs w:val="24"/>
        </w:rPr>
        <w:t>.</w:t>
      </w:r>
      <w:r>
        <w:rPr>
          <w:rFonts w:ascii="Calibri" w:hAnsi="Calibri"/>
          <w:b/>
          <w:bCs/>
          <w:color w:val="111111"/>
          <w:sz w:val="24"/>
          <w:szCs w:val="24"/>
          <w:lang w:val="pt-BR"/>
        </w:rPr>
        <w:t>1</w:t>
      </w:r>
      <w:r>
        <w:rPr>
          <w:rFonts w:ascii="Calibri" w:hAnsi="Calibri"/>
          <w:b/>
          <w:bCs/>
          <w:color w:val="111111"/>
          <w:sz w:val="24"/>
          <w:szCs w:val="24"/>
        </w:rPr>
        <w:t>.1 –</w:t>
      </w:r>
      <w:r>
        <w:rPr>
          <w:rFonts w:ascii="Calibri" w:hAnsi="Calibri"/>
          <w:b w:val="0"/>
          <w:bCs w:val="0"/>
          <w:color w:val="111111"/>
          <w:sz w:val="24"/>
          <w:szCs w:val="24"/>
        </w:rPr>
        <w:t xml:space="preserve"> O fornecedor que tiver a sua proposta desclassificada, terá o tempo de 5 (cinco) minutos para solicitar reconsideração, findo o qual, o pregoeiro irá analisar a justificativa, fundamentando sua decisão.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.2 –</w:t>
      </w:r>
      <w:r>
        <w:rPr>
          <w:rFonts w:ascii="Calibri" w:hAnsi="Calibri"/>
          <w:b w:val="0"/>
          <w:bCs w:val="0"/>
          <w:color w:val="000000"/>
          <w:sz w:val="24"/>
          <w:szCs w:val="24"/>
        </w:rPr>
        <w:t xml:space="preserve"> A não desclassificação da proposta não impede o seu julgamento definitivo em sentido contrário, levado a efeito na fase de aceitação.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 Sistema ordenará, automaticamente, as propostas classificadas pelo pregoeiro, sendo que somente estas participarão da fase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As propostas apresentadas com o mesmo valor serão ordenadas automaticamente pelo sistema, por meio de sorteio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A partir do horário previsto no edital o pregoeiro dará início à etapa da disputa.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pregoeiro abrirá o item/lote quando então os licitantes poderão encaminhar lances, exclusivamente, por meio do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Será considerada como primeiro lance a proposta inicial apresentada.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 </w:t>
      </w:r>
      <w:r>
        <w:rPr>
          <w:rFonts w:ascii="Calibri" w:hAnsi="Calibri"/>
          <w:b w:val="0"/>
          <w:bCs w:val="0"/>
          <w:color w:val="000000"/>
          <w:sz w:val="24"/>
          <w:szCs w:val="24"/>
        </w:rPr>
        <w:t>Os licitantes poderão encaminhar lances exclusivamente por meio do Sistema eletrônico, sendo imediatamente informado do seu recebimento e do valor consignado no registro, visualizando seu horário e valor no link “histórico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 </w:t>
      </w:r>
      <w:r>
        <w:rPr>
          <w:rFonts w:ascii="Calibri" w:hAnsi="Calibri"/>
          <w:b w:val="0"/>
          <w:bCs w:val="0"/>
          <w:color w:val="000000"/>
          <w:sz w:val="24"/>
          <w:szCs w:val="24"/>
        </w:rPr>
        <w:t>Os licitantes poderão oferecer lances sucessivos somente inferiores ao último por ele ofertado e registrado pelo Sistema.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Não serão aceitos dois ou mais lances de mesmo valor, prevalecendo aquele que for recebido e registrado em primeiro.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Somente o licitante de menor lance dentre os ofertados, e enquanto mantiver esta situação, visualiza em tempo real o ícone “troféu”.</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Durante o transcurso da sessão pública, os licitantes serão informados, em tempo real, do valor do menor lance registrado, vedada a identificação do licitante.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O Sistema não identificará os autores dos lances podendo visualizar valores e horários registrados no link “histórico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 procedimento seguirá de acordo com o modo de disputa adotado.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Caso seja adotado para o envio de lances no pregão eletrônico o modo de disputa "aberto", os licitantes apresentarão lances públicos e sucessivos, com prorrogações.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0</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A etapa de lances da sessão pública terá duração de dez minutos e, após isso, será prorrogada automaticamente pelo sistema quando houver lance ofertado nos últimos dois minutos do período de duração da sessão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1</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Após o reinício previsto no item supra, os licitantes serão convocados para apresentar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Caso seja adotado para o envio de lances no pregão eletrônico o modo de disputa "aberto e fechado", os licitantes apresentarão lances públicos e sucessivos, com lance final e fechado.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No procedimento de que trata o subitem supra, o licitante poderá optar por manter o seu último lance da etapa aberta, ou por ofertar melhor lance.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1</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cs="Lucida Sans"/>
          <w:b/>
          <w:bCs/>
          <w:color w:val="000000"/>
          <w:kern w:val="0"/>
          <w:sz w:val="24"/>
          <w:szCs w:val="24"/>
          <w:lang w:val="pt-BR" w:eastAsia="zh-CN" w:bidi="hi-IN"/>
        </w:rPr>
        <w:t>19</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o término dos prazos estabelecidos nos itens anteriores, o sistema ordenará e divulgará os lances segundo a ordem crescente de valores.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0</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1</w:t>
      </w:r>
      <w:r>
        <w:rPr>
          <w:rFonts w:ascii="Calibri" w:hAnsi="Calibri"/>
          <w:b/>
          <w:bCs/>
          <w:color w:val="000000"/>
          <w:sz w:val="24"/>
          <w:szCs w:val="24"/>
        </w:rPr>
        <w:t xml:space="preserve"> – </w:t>
      </w:r>
      <w:r>
        <w:rPr>
          <w:rFonts w:ascii="Calibri" w:hAnsi="Calibri"/>
          <w:b w:val="0"/>
          <w:bCs w:val="0"/>
          <w:color w:val="000000"/>
          <w:sz w:val="24"/>
          <w:szCs w:val="24"/>
        </w:rPr>
        <w:t>Não havendo pelo menos 3 (três) propostas nas condições definidas no 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0</w:t>
      </w:r>
      <w:r>
        <w:rPr>
          <w:rFonts w:ascii="Calibri" w:hAnsi="Calibri"/>
          <w:b w:val="0"/>
          <w:bCs w:val="0"/>
          <w:color w:val="000000"/>
          <w:sz w:val="24"/>
          <w:szCs w:val="24"/>
        </w:rPr>
        <w:t>, poderão os licitantes que apresentaram as três melhores propostas, consideradas as empatadas, oferecer novos lances sucessivos.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2</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A etapa de lances da sessão pública terá duração de dez minutos e, após isso, será prorrogada automaticamente pelo sistema quando houver lance ofertado nos últimos dois minutos do período de duração da sessão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 </w:t>
      </w:r>
      <w:r>
        <w:rPr>
          <w:rFonts w:ascii="Calibri" w:hAnsi="Calibri"/>
          <w:b w:val="0"/>
          <w:bCs w:val="0"/>
          <w:color w:val="000000"/>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eastAsia="NSimSun" w:cs="Lucida Sans"/>
          <w:b w:val="0"/>
          <w:bCs w:val="0"/>
          <w:color w:val="000000"/>
          <w:kern w:val="0"/>
          <w:sz w:val="24"/>
          <w:szCs w:val="24"/>
          <w:lang w:val="pt-BR" w:eastAsia="zh-CN" w:bidi="hi-IN"/>
        </w:rPr>
        <w:t xml:space="preserve"> </w:t>
      </w:r>
      <w:r>
        <w:rPr>
          <w:rFonts w:ascii="Calibri" w:hAnsi="Calibri"/>
          <w:b w:val="0"/>
          <w:bCs w:val="0"/>
          <w:color w:val="000000"/>
          <w:sz w:val="24"/>
          <w:szCs w:val="24"/>
        </w:rPr>
        <w:t>Não havendo novos lances na forma estabelecida nos itens anteriores, a sessão pública encerrar-se-á automaticamente, e o sistema ordenará e divulgará os lances conforme a ordem final de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5</w:t>
      </w:r>
      <w:r>
        <w:rPr>
          <w:rFonts w:ascii="Calibri" w:hAnsi="Calibri" w:cs="Lucida Sans"/>
          <w:b/>
          <w:bCs/>
          <w:color w:val="000000"/>
          <w:kern w:val="0"/>
          <w:sz w:val="24"/>
          <w:szCs w:val="24"/>
          <w:lang w:val="pt-BR" w:eastAsia="zh-CN" w:bidi="hi-IN"/>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Depois de encerrados, automaticamente, os itens/lotes para a recepção de lances, por comando do pregoeiro, encerrar-se-á a fase competitiva (etapa da disputa) e o Sistema eletrônico emitirá aviso via chat iniciando as fases de negociação, aceitabilidade 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 xml:space="preserve"> –</w:t>
      </w:r>
      <w:r>
        <w:rPr>
          <w:rFonts w:ascii="Calibri" w:hAnsi="Calibri"/>
          <w:b w:val="0"/>
          <w:bCs w:val="0"/>
          <w:color w:val="000000"/>
          <w:sz w:val="24"/>
          <w:szCs w:val="24"/>
        </w:rPr>
        <w:t xml:space="preserve"> O Sistema, automaticamente, verificará os requisitos para a aplicação da Lei Complementar nº 123/2006. Na sequência o pregoeiro poderá negociar diretamente com o proponente para que seja obtido preço melhor.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Deverá o pregoeiro, antes de anunciar o vencedor, encaminhar, pelo Sistema eletrônico, contraproposta diretamente à proponente que tenha enviado o lance de menor preço, para que seja obtida melhor proposta, bem como decidir sobre sua aceitação, observado o critério de julgamento, não se admitindo negociar condições diferentes daquelas previstas no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6</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A negociação será realizada por intermédio do Sistema de troca de mensagens (chat), podendo ser acompanhada pelos demais licitantes.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 xml:space="preserve"> –</w:t>
      </w:r>
      <w:r>
        <w:rPr>
          <w:rFonts w:ascii="Calibri" w:hAnsi="Calibri"/>
          <w:b w:val="0"/>
          <w:bCs w:val="0"/>
          <w:color w:val="000000"/>
          <w:sz w:val="24"/>
          <w:szCs w:val="24"/>
        </w:rPr>
        <w:t xml:space="preserve"> Ocorrendo o empate será assegurada, como critério de desempate, preferência de contratação para as microempresas e empresas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Entende-se por empate aquelas situações em que as propostas/lances enviados pelas microempresas e empresas de pequeno porte sejam iguais ou até 5% (cinco por cento) superiores à proposta/lance mais bem classificado, conforme disposto na Lei Complementar nº 123/2006 e suas alterações.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7</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Ocorrendo o empate, proceder-se-á da seguinte forma:</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a) o Sistema aplicará automaticamente o benefício da Lei Complementar nº 123/2006 e suas alterações, quando houver empresas dentro das condições previstas na lei;</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b) o Sistema convocará automaticamente a microempresa ou empresa de pequeno porte mais bem classificado, momento que abrirá campo para recepção de lances, para enviar nova proposta inferior àquela considerada vencedora do certame no prazo máximo de 5 (cinco) minutos sob pena de preclusão, situação em que será adjudicado em seu favor o objeto licitado;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c) não ocorrendo a contratação da microempresa ou empresa de pequeno porte, na forma do inciso I, do caput do artigo 45, da Lei Complementar nº 123/2006 e suas alterações, serão convocados os remanescentes que porventura se enquadrem na hipótese dos §§ 1º e 2º, do art. 44, da Lei Complementar nº 123/2006, na ordem classificatória, para o exercício do mesmo direito;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d) no caso de equivalência dos valores apresentados pelas microempresas e empresas de pequeno porte que se encontrem nos intervalos estabelecidos nos §§ 1º e 2º, do art. 44, da Lei Complementar nº 123/2006 e suas alterações, será realizado sorteio automático entre elas para que se identifique aquela que primeiro poderá enviar melhor oferta.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cs="Lucida Sans"/>
          <w:b/>
          <w:bCs/>
          <w:color w:val="000000"/>
          <w:kern w:val="0"/>
          <w:sz w:val="24"/>
          <w:szCs w:val="24"/>
          <w:lang w:val="pt-BR" w:eastAsia="zh-CN" w:bidi="hi-IN"/>
        </w:rPr>
        <w:t>2</w:t>
      </w:r>
      <w:r>
        <w:rPr>
          <w:rFonts w:hint="default" w:ascii="Calibri" w:hAnsi="Calibri" w:cs="Lucida Sans"/>
          <w:b/>
          <w:bCs/>
          <w:color w:val="000000"/>
          <w:kern w:val="0"/>
          <w:sz w:val="24"/>
          <w:szCs w:val="24"/>
          <w:lang w:val="pt-BR" w:eastAsia="zh-CN" w:bidi="hi-IN"/>
        </w:rPr>
        <w:t>8</w:t>
      </w:r>
      <w:r>
        <w:rPr>
          <w:rFonts w:ascii="Calibri" w:hAnsi="Calibri"/>
          <w:b/>
          <w:bCs/>
          <w:color w:val="000000"/>
          <w:sz w:val="24"/>
          <w:szCs w:val="24"/>
        </w:rPr>
        <w:t xml:space="preserve"> –</w:t>
      </w:r>
      <w:r>
        <w:rPr>
          <w:rFonts w:ascii="Calibri" w:hAnsi="Calibri"/>
          <w:b w:val="0"/>
          <w:bCs w:val="0"/>
          <w:color w:val="000000"/>
          <w:sz w:val="24"/>
          <w:szCs w:val="24"/>
        </w:rPr>
        <w:t xml:space="preserve"> O disposto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xml:space="preserve"> somente se aplicará quando a melhor oferta inicial não tiver sido enviada por microempresa ou empresa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hint="default" w:ascii="Calibri" w:hAnsi="Calibri"/>
          <w:b/>
          <w:bCs/>
          <w:color w:val="000000"/>
          <w:sz w:val="24"/>
          <w:szCs w:val="24"/>
          <w:lang w:val="pt-BR"/>
        </w:rPr>
        <w:t>29</w:t>
      </w:r>
      <w:r>
        <w:rPr>
          <w:rFonts w:ascii="Calibri" w:hAnsi="Calibri"/>
          <w:b/>
          <w:bCs/>
          <w:color w:val="000000"/>
          <w:sz w:val="24"/>
          <w:szCs w:val="24"/>
        </w:rPr>
        <w:t xml:space="preserve"> –</w:t>
      </w:r>
      <w:r>
        <w:rPr>
          <w:rFonts w:ascii="Calibri" w:hAnsi="Calibri"/>
          <w:b w:val="0"/>
          <w:bCs w:val="0"/>
          <w:color w:val="000000"/>
          <w:sz w:val="24"/>
          <w:szCs w:val="24"/>
        </w:rPr>
        <w:t xml:space="preserve"> Na hipótese da não contratação nos termos previstos no subitem 9.</w:t>
      </w:r>
      <w:r>
        <w:rPr>
          <w:rFonts w:ascii="Calibri" w:hAnsi="Calibri" w:eastAsia="NSimSun" w:cs="Lucida Sans"/>
          <w:b w:val="0"/>
          <w:bCs w:val="0"/>
          <w:color w:val="000000"/>
          <w:kern w:val="0"/>
          <w:sz w:val="24"/>
          <w:szCs w:val="24"/>
          <w:lang w:val="pt-BR" w:eastAsia="zh-CN" w:bidi="hi-IN"/>
        </w:rPr>
        <w:t>2</w:t>
      </w:r>
      <w:r>
        <w:rPr>
          <w:rFonts w:hint="default" w:ascii="Calibri" w:hAnsi="Calibri" w:cs="Lucida Sans"/>
          <w:b w:val="0"/>
          <w:bCs w:val="0"/>
          <w:color w:val="000000"/>
          <w:kern w:val="0"/>
          <w:sz w:val="24"/>
          <w:szCs w:val="24"/>
          <w:lang w:val="pt-BR" w:eastAsia="zh-CN" w:bidi="hi-IN"/>
        </w:rPr>
        <w:t>7,</w:t>
      </w:r>
      <w:r>
        <w:rPr>
          <w:rFonts w:ascii="Calibri" w:hAnsi="Calibri"/>
          <w:b w:val="0"/>
          <w:bCs w:val="0"/>
          <w:color w:val="000000"/>
          <w:sz w:val="24"/>
          <w:szCs w:val="24"/>
        </w:rPr>
        <w:t xml:space="preserve"> o objeto licitado será adjudicado em favor da proposta originalmente vencedor do certame.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cs="Lucida Sans"/>
          <w:b/>
          <w:bCs/>
          <w:color w:val="000000"/>
          <w:kern w:val="0"/>
          <w:sz w:val="24"/>
          <w:szCs w:val="24"/>
          <w:lang w:val="pt-BR" w:eastAsia="zh-CN" w:bidi="hi-IN"/>
        </w:rPr>
        <w:t>0</w:t>
      </w:r>
      <w:r>
        <w:rPr>
          <w:rFonts w:ascii="Calibri" w:hAnsi="Calibri"/>
          <w:b/>
          <w:bCs/>
          <w:color w:val="000000"/>
          <w:sz w:val="24"/>
          <w:szCs w:val="24"/>
        </w:rPr>
        <w:t xml:space="preserve"> –</w:t>
      </w:r>
      <w:r>
        <w:rPr>
          <w:rFonts w:ascii="Calibri" w:hAnsi="Calibri"/>
          <w:b w:val="0"/>
          <w:bCs w:val="0"/>
          <w:color w:val="000000"/>
          <w:sz w:val="24"/>
          <w:szCs w:val="24"/>
        </w:rPr>
        <w:t xml:space="preserve"> Iniciada a etapa de habilitação da sessão pública, o licitante detentora da melhor oferta deverá atender as exigências de habilitação previstas no item 10 deste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O Sistema anunciará o licitante vencedor após adjudicação, ou, quando houver recursos, após a homologação.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Se a proposta ou o lance de menor valor não for aceitável, ou se o licitante desatender às exigências habilitatórias, o pregoeiro examinará a proposta ou o lance subsequente, verificando a sua compatibilidade e a habilitação do participante, na ordem de classificação, e assim sucessivamente, até a apuração de uma proposta ou lance que atenda 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solicitará ao licitante mais bem classificado que envie a proposta adequada ao último lance ofertado após a negociação realizada, constando:</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a) Valores unitários e totais readequados ao valor total representado pelo lance vencedor;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b) Razão Social da empresa;</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c) </w:t>
      </w:r>
      <w:r>
        <w:rPr>
          <w:rFonts w:ascii="Calibri" w:hAnsi="Calibri"/>
          <w:b/>
          <w:bCs/>
          <w:color w:val="000000"/>
          <w:sz w:val="24"/>
          <w:szCs w:val="24"/>
        </w:rPr>
        <w:t xml:space="preserve">Endereço completo e atualizado;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d) Telefone para contato;</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e) </w:t>
      </w:r>
      <w:r>
        <w:rPr>
          <w:rFonts w:ascii="Calibri" w:hAnsi="Calibri"/>
          <w:b/>
          <w:bCs/>
          <w:color w:val="000000"/>
          <w:sz w:val="24"/>
          <w:szCs w:val="24"/>
        </w:rPr>
        <w:t>Endereço de e-mail;</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f) </w:t>
      </w:r>
      <w:r>
        <w:rPr>
          <w:rFonts w:ascii="Calibri" w:hAnsi="Calibri"/>
          <w:b/>
          <w:bCs/>
          <w:color w:val="000000"/>
          <w:sz w:val="24"/>
          <w:szCs w:val="24"/>
        </w:rPr>
        <w:t xml:space="preserve">Representante legal da empresa (nome, cpf, rg, cargo/função na empresa, telefones de contato); </w:t>
      </w:r>
    </w:p>
    <w:p>
      <w:pPr>
        <w:pStyle w:val="2"/>
        <w:overflowPunct/>
        <w:bidi w:val="0"/>
        <w:spacing w:before="1" w:after="0"/>
        <w:ind w:left="0" w:right="0" w:firstLine="0"/>
        <w:jc w:val="both"/>
        <w:rPr>
          <w:rFonts w:ascii="Calibri" w:hAnsi="Calibri"/>
          <w:sz w:val="24"/>
          <w:szCs w:val="24"/>
        </w:rPr>
      </w:pPr>
      <w:r>
        <w:rPr>
          <w:rFonts w:ascii="Calibri" w:hAnsi="Calibri" w:eastAsia="NSimSun" w:cs="Lucida Sans"/>
          <w:b/>
          <w:bCs/>
          <w:color w:val="000000"/>
          <w:kern w:val="0"/>
          <w:sz w:val="24"/>
          <w:szCs w:val="24"/>
          <w:lang w:val="pt-BR" w:eastAsia="zh-CN" w:bidi="hi-IN"/>
        </w:rPr>
        <w:t xml:space="preserve">g) </w:t>
      </w:r>
      <w:r>
        <w:rPr>
          <w:rFonts w:ascii="Calibri" w:hAnsi="Calibri"/>
          <w:b/>
          <w:bCs/>
          <w:color w:val="000000"/>
          <w:sz w:val="24"/>
          <w:szCs w:val="24"/>
        </w:rPr>
        <w:t>Dados bancários (nº e nome do banco para pagamento, nº da agência bancária com dígito,  nº da conta bancária com dígito)</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h) Ato constitutivo, estatuto ou contrato social em vigor, devidamente registrado, em se tratando de sociedades comerciais, e, no caso de sociedades por ações, acompanhado de documentos de eleição de seus administradores, com a comprovação da publicação no Diário Oficial da ata arquivada, bem com o das respectivas alterações, caso existam.</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i) Marca;</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j) Procedência;</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k) Apresentação com detalhamento de cada item, necessariamente a forma de apresentação e quantidade;</w:t>
      </w:r>
    </w:p>
    <w:p>
      <w:pPr>
        <w:pStyle w:val="2"/>
        <w:overflowPunct/>
        <w:bidi w:val="0"/>
        <w:spacing w:before="1" w:after="0"/>
        <w:ind w:left="0" w:right="0" w:firstLine="0"/>
        <w:jc w:val="both"/>
        <w:rPr>
          <w:rFonts w:ascii="Calibri" w:hAnsi="Calibri"/>
          <w:sz w:val="24"/>
          <w:szCs w:val="24"/>
        </w:rPr>
      </w:pPr>
      <w:r>
        <w:rPr>
          <w:rFonts w:ascii="Calibri" w:hAnsi="Calibri"/>
          <w:b/>
          <w:bCs/>
          <w:color w:val="111111"/>
          <w:sz w:val="24"/>
          <w:szCs w:val="24"/>
        </w:rPr>
        <w:t>l) Nome comercial do produto cotado, laudos comprobatórios de eficiência (quando solicitados) e registro na ANVISA ou declaração de produto isento.</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w:t>
      </w:r>
      <w:r>
        <w:rPr>
          <w:rFonts w:ascii="Calibri" w:hAnsi="Calibri" w:eastAsia="NSimSun" w:cs="Lucida Sans"/>
          <w:b/>
          <w:bCs/>
          <w:color w:val="000000"/>
          <w:kern w:val="0"/>
          <w:sz w:val="24"/>
          <w:szCs w:val="24"/>
          <w:lang w:val="pt-BR" w:eastAsia="zh-CN" w:bidi="hi-IN"/>
        </w:rPr>
        <w:t>3</w:t>
      </w:r>
      <w:r>
        <w:rPr>
          <w:rFonts w:hint="default" w:ascii="Calibri" w:hAnsi="Calibri"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Os documentos solicitados nos subitens 9.</w:t>
      </w:r>
      <w:r>
        <w:rPr>
          <w:rFonts w:ascii="Calibri" w:hAnsi="Calibri" w:eastAsia="NSimSun" w:cs="Lucida Sans"/>
          <w:b w:val="0"/>
          <w:bCs w:val="0"/>
          <w:color w:val="000000"/>
          <w:kern w:val="0"/>
          <w:sz w:val="24"/>
          <w:szCs w:val="24"/>
          <w:lang w:val="pt-BR" w:eastAsia="zh-CN" w:bidi="hi-IN"/>
        </w:rPr>
        <w:t>3</w:t>
      </w:r>
      <w:r>
        <w:rPr>
          <w:rFonts w:hint="default" w:ascii="Calibri" w:hAnsi="Calibri" w:cs="Lucida Sans"/>
          <w:b w:val="0"/>
          <w:bCs w:val="0"/>
          <w:color w:val="000000"/>
          <w:kern w:val="0"/>
          <w:sz w:val="24"/>
          <w:szCs w:val="24"/>
          <w:lang w:val="pt-BR" w:eastAsia="zh-CN" w:bidi="hi-IN"/>
        </w:rPr>
        <w:t>3</w:t>
      </w:r>
      <w:r>
        <w:rPr>
          <w:rFonts w:ascii="Calibri" w:hAnsi="Calibri"/>
          <w:b w:val="0"/>
          <w:bCs w:val="0"/>
          <w:color w:val="000000"/>
          <w:sz w:val="24"/>
          <w:szCs w:val="24"/>
        </w:rPr>
        <w:t>, deverão ser inseridos como Anexos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 xml:space="preserve"> –</w:t>
      </w:r>
      <w:r>
        <w:rPr>
          <w:rFonts w:ascii="Calibri" w:hAnsi="Calibri"/>
          <w:color w:val="000000"/>
          <w:sz w:val="24"/>
          <w:szCs w:val="24"/>
        </w:rPr>
        <w:t xml:space="preserve"> A equipe técnica poderá solicitar a apresentação de amostras do produto, quando julgar necessário, para análise técnica do material ofertado conforme Formulário de Análise de Qualidade Técnica – FAT (Anexo III). </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.1 –</w:t>
      </w:r>
      <w:r>
        <w:rPr>
          <w:rFonts w:ascii="Calibri" w:hAnsi="Calibri"/>
          <w:color w:val="000000"/>
          <w:sz w:val="24"/>
          <w:szCs w:val="24"/>
        </w:rPr>
        <w:t xml:space="preserve"> A(s) amostra(s), quando solicitadas, deverá(ão) ser entregues diretamente no Protocolo da SES – Rua Esteves Júnior, nº 160 (térreo) - Centro, Florianópolis/SC – CEP 88015-130, endereçadas à DPGC (4º andar) – Florianópolis – SC, das 13 às 18:30 horas, dentro do prazo estabelecido, após o recebimento do comunicado;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.2 –</w:t>
      </w:r>
      <w:r>
        <w:rPr>
          <w:rFonts w:ascii="Calibri" w:hAnsi="Calibri"/>
          <w:color w:val="000000"/>
          <w:sz w:val="24"/>
          <w:szCs w:val="24"/>
        </w:rPr>
        <w:t xml:space="preserve"> As avaliações das amostras seguirão a Portaria 973, de 21 de setembro de 2022, desta Secretaria de Estado da Saúde e alterações posteriores;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5</w:t>
      </w:r>
      <w:r>
        <w:rPr>
          <w:rFonts w:ascii="Calibri" w:hAnsi="Calibri"/>
          <w:b/>
          <w:bCs/>
          <w:color w:val="000000"/>
          <w:sz w:val="24"/>
          <w:szCs w:val="24"/>
        </w:rPr>
        <w:t>.3 –</w:t>
      </w:r>
      <w:r>
        <w:rPr>
          <w:rFonts w:ascii="Calibri" w:hAnsi="Calibri"/>
          <w:color w:val="000000"/>
          <w:sz w:val="24"/>
          <w:szCs w:val="24"/>
        </w:rPr>
        <w:t xml:space="preserve"> O prazo para envio de amostras, caso solicitadas, é de 05 (cinco) dias. Em situações excepcionais, poderá a empresa realizar pedido de prorrogação deste prazo de entrega por igual período. A solicitação, devidamente justificada, deverá ser encaminhada para o e-mail </w:t>
      </w:r>
      <w:r>
        <w:rPr>
          <w:rFonts w:ascii="Calibri" w:hAnsi="Calibri"/>
          <w:b w:val="0"/>
          <w:bCs w:val="0"/>
          <w:color w:val="000000"/>
          <w:sz w:val="24"/>
          <w:szCs w:val="24"/>
        </w:rPr>
        <w:t>pregaoeletronico@saude.sc.gov.br</w:t>
      </w:r>
      <w:r>
        <w:rPr>
          <w:rFonts w:ascii="Calibri" w:hAnsi="Calibri"/>
          <w:color w:val="000000"/>
          <w:sz w:val="24"/>
          <w:szCs w:val="24"/>
        </w:rPr>
        <w:t>, bem como realizada dentro do prazo inicial para a entrega das amostras.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9.3</w:t>
      </w:r>
      <w:r>
        <w:rPr>
          <w:rFonts w:hint="default" w:ascii="Calibri" w:hAnsi="Calibri"/>
          <w:b/>
          <w:bCs/>
          <w:color w:val="000000"/>
          <w:sz w:val="24"/>
          <w:szCs w:val="24"/>
          <w:lang w:val="pt-BR"/>
        </w:rPr>
        <w:t>6</w:t>
      </w:r>
      <w:r>
        <w:rPr>
          <w:rFonts w:ascii="Calibri" w:hAnsi="Calibri"/>
          <w:b/>
          <w:bCs/>
          <w:color w:val="000000"/>
          <w:sz w:val="24"/>
          <w:szCs w:val="24"/>
        </w:rPr>
        <w:t xml:space="preserve"> –</w:t>
      </w:r>
      <w:r>
        <w:rPr>
          <w:rFonts w:ascii="Calibri" w:hAnsi="Calibri"/>
          <w:color w:val="000000"/>
          <w:sz w:val="24"/>
          <w:szCs w:val="24"/>
        </w:rPr>
        <w:t xml:space="preserve"> Será desclassificada no item, a proposta da licitante vencedora que desatender ao subitem 9.3</w:t>
      </w:r>
      <w:r>
        <w:rPr>
          <w:rFonts w:hint="default" w:ascii="Calibri" w:hAnsi="Calibri"/>
          <w:color w:val="000000"/>
          <w:sz w:val="24"/>
          <w:szCs w:val="24"/>
          <w:lang w:val="pt-BR"/>
        </w:rPr>
        <w:t>3</w:t>
      </w:r>
      <w:bookmarkStart w:id="1" w:name="_GoBack"/>
      <w:bookmarkEnd w:id="1"/>
      <w:r>
        <w:rPr>
          <w:rFonts w:ascii="Calibri" w:hAnsi="Calibri"/>
          <w:color w:val="000000"/>
          <w:sz w:val="24"/>
          <w:szCs w:val="24"/>
        </w:rPr>
        <w:t xml:space="preserve"> e/ou apresente amostra(s) fora das especificações técnicas previstas no Anexo I deste Edital, estando sujeita às penalidades previstas.</w:t>
      </w:r>
    </w:p>
    <w:p>
      <w:pPr>
        <w:pStyle w:val="2"/>
        <w:overflowPunct/>
        <w:bidi w:val="0"/>
        <w:spacing w:before="1" w:after="0"/>
        <w:ind w:left="0" w:right="0" w:firstLine="0"/>
        <w:jc w:val="both"/>
        <w:rPr>
          <w:b/>
          <w:bCs/>
          <w:color w:val="000000"/>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w:t>
      </w:r>
      <w:r>
        <w:rPr>
          <w:rFonts w:ascii="Calibri" w:hAnsi="Calibri"/>
          <w:b/>
          <w:bCs/>
          <w:color w:val="000000"/>
          <w:sz w:val="24"/>
          <w:szCs w:val="24"/>
          <w:lang w:val="pt-BR"/>
        </w:rPr>
        <w:t xml:space="preserve"> </w:t>
      </w:r>
      <w:r>
        <w:rPr>
          <w:rFonts w:ascii="Calibri" w:hAnsi="Calibri"/>
          <w:b/>
          <w:bCs/>
          <w:color w:val="000000"/>
          <w:sz w:val="24"/>
          <w:szCs w:val="24"/>
        </w:rPr>
        <w:t>– DA FASE DE JULGAMENTO DA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10.1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Será considerada primeira classificada, a proposta que, obedecendo às condições, especificações e procedimentos estabelecidos em conformidade com este edital, apresentar o </w:t>
      </w:r>
      <w:r>
        <w:rPr>
          <w:rFonts w:ascii="Calibri" w:hAnsi="Calibri"/>
          <w:b/>
          <w:bCs/>
          <w:color w:val="000000"/>
          <w:sz w:val="24"/>
          <w:szCs w:val="24"/>
        </w:rPr>
        <w:t xml:space="preserve">“MENOR PREÇO POR </w:t>
      </w:r>
      <w:r>
        <w:rPr>
          <w:rFonts w:ascii="Calibri" w:hAnsi="Calibri" w:eastAsia="NSimSun" w:cs="Lucida Sans"/>
          <w:b/>
          <w:bCs/>
          <w:color w:val="000000"/>
          <w:kern w:val="0"/>
          <w:sz w:val="24"/>
          <w:szCs w:val="24"/>
          <w:lang w:val="pt-BR" w:eastAsia="zh-CN" w:bidi="hi-IN"/>
        </w:rPr>
        <w:t>LOTE</w:t>
      </w:r>
      <w:r>
        <w:rPr>
          <w:rFonts w:ascii="Calibri" w:hAnsi="Calibri"/>
          <w:b/>
          <w:bCs/>
          <w:color w:val="000000"/>
          <w:sz w:val="24"/>
          <w:szCs w:val="24"/>
        </w:rPr>
        <w:t>”.</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10.2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Encerrada a etapa de negociação, o pregoeiro verificará se o licitante provisoriamente classificado em primeiro lugar atende às condições de participação no certame, conforme previsto no art. 14 da Lei nº 14.133/2021, legislação correlata e no item </w:t>
      </w:r>
      <w:r>
        <w:rPr>
          <w:rFonts w:ascii="Calibri" w:hAnsi="Calibri" w:eastAsia="NSimSun" w:cs="Lucida Sans"/>
          <w:b w:val="0"/>
          <w:bCs w:val="0"/>
          <w:color w:val="000000"/>
          <w:kern w:val="0"/>
          <w:sz w:val="24"/>
          <w:szCs w:val="24"/>
          <w:lang w:val="pt-BR" w:eastAsia="zh-CN" w:bidi="hi-IN"/>
        </w:rPr>
        <w:t>3</w:t>
      </w:r>
      <w:r>
        <w:rPr>
          <w:rFonts w:ascii="Calibri" w:hAnsi="Calibri"/>
          <w:b w:val="0"/>
          <w:bCs w:val="0"/>
          <w:color w:val="000000"/>
          <w:sz w:val="24"/>
          <w:szCs w:val="24"/>
        </w:rPr>
        <w:t>.</w:t>
      </w:r>
      <w:r>
        <w:rPr>
          <w:rFonts w:ascii="Calibri" w:hAnsi="Calibri" w:eastAsia="NSimSun" w:cs="Lucida Sans"/>
          <w:b w:val="0"/>
          <w:bCs w:val="0"/>
          <w:color w:val="000000"/>
          <w:kern w:val="0"/>
          <w:sz w:val="24"/>
          <w:szCs w:val="24"/>
          <w:lang w:val="pt-BR" w:eastAsia="zh-CN" w:bidi="hi-IN"/>
        </w:rPr>
        <w:t>2</w:t>
      </w:r>
      <w:r>
        <w:rPr>
          <w:rFonts w:ascii="Calibri" w:hAnsi="Calibri"/>
          <w:b w:val="0"/>
          <w:bCs w:val="0"/>
          <w:color w:val="000000"/>
          <w:sz w:val="24"/>
          <w:szCs w:val="24"/>
        </w:rPr>
        <w:t xml:space="preserve"> do edital, especialmente quanto à existência de sanção que impeça a participação no certame ou a futura contratação, mediante a consulta aos seguintes cadastros: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10.2.1 –</w:t>
      </w:r>
      <w:r>
        <w:rPr>
          <w:rFonts w:ascii="Calibri" w:hAnsi="Calibri"/>
          <w:b w:val="0"/>
          <w:bCs w:val="0"/>
          <w:color w:val="000000"/>
          <w:sz w:val="24"/>
          <w:szCs w:val="24"/>
        </w:rPr>
        <w:t xml:space="preserve"> Da existência de registros impeditivos da contratação no Cadastro Nacional de Empresas Inidôneas e Suspensas (CEIS) (http://www.portaltransparencia.gov.br/sancoes/ceis);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10.2.2 –</w:t>
      </w:r>
      <w:r>
        <w:rPr>
          <w:rFonts w:ascii="Calibri" w:hAnsi="Calibri"/>
          <w:b w:val="0"/>
          <w:bCs w:val="0"/>
          <w:color w:val="000000"/>
          <w:sz w:val="24"/>
          <w:szCs w:val="24"/>
        </w:rPr>
        <w:t xml:space="preserve"> Da existência de registros impeditivos da contratação no Cadastro Nacional de Condenações Cíveis por Ato de Improbidade Administrativa mantido pelo Conselho Nacional de Justiça (www.cnj.jus.br/improbidade_adm/consultar_requerido.php).</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10.2.3 –</w:t>
      </w:r>
      <w:r>
        <w:rPr>
          <w:rFonts w:ascii="Calibri" w:hAnsi="Calibri"/>
          <w:b w:val="0"/>
          <w:bCs w:val="0"/>
          <w:color w:val="000000"/>
          <w:sz w:val="24"/>
          <w:szCs w:val="24"/>
        </w:rPr>
        <w:t xml:space="preserve"> A consulta aos cadastros será realizada em nome da empresa do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10.2.4 –</w:t>
      </w:r>
      <w:r>
        <w:rPr>
          <w:rFonts w:ascii="Calibri" w:hAnsi="Calibri"/>
          <w:b w:val="0"/>
          <w:bCs w:val="0"/>
          <w:color w:val="000000"/>
          <w:sz w:val="24"/>
          <w:szCs w:val="24"/>
        </w:rPr>
        <w:t xml:space="preserve"> Caso conste na consulta de situação do licitante a existência de ocorrências, o licitante será convocado para manifestação previamente a uma eventual desclassificação.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10.3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Se o licitante primeiro classificado, após a fase de negociação, quando solicitado, não apresentar documento adicional e/ou amostra, e, quando enviado, os mesmos não atenderem ao exigido no edital o licitante terá sua proposta desclassificada.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10.4 –</w:t>
      </w:r>
      <w:r>
        <w:rPr>
          <w:rFonts w:ascii="Calibri" w:hAnsi="Calibri"/>
          <w:b w:val="0"/>
          <w:bCs w:val="0"/>
          <w:color w:val="000000"/>
          <w:sz w:val="24"/>
          <w:szCs w:val="24"/>
        </w:rPr>
        <w:t xml:space="preserve"> Serão desclassificados as propostas que:</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 xml:space="preserve">a) não obedecerem às especificações técnicas contidas no </w:t>
      </w:r>
      <w:r>
        <w:rPr>
          <w:rFonts w:ascii="Calibri" w:hAnsi="Calibri" w:eastAsia="NSimSun" w:cs="Lucida Sans"/>
          <w:b w:val="0"/>
          <w:bCs w:val="0"/>
          <w:color w:val="000000"/>
          <w:kern w:val="0"/>
          <w:sz w:val="24"/>
          <w:szCs w:val="24"/>
          <w:lang w:val="pt-BR" w:eastAsia="zh-CN" w:bidi="hi-IN"/>
        </w:rPr>
        <w:t>Edital</w:t>
      </w:r>
      <w:r>
        <w:rPr>
          <w:rFonts w:ascii="Calibri" w:hAnsi="Calibri"/>
          <w:b w:val="0"/>
          <w:bCs w:val="0"/>
          <w:color w:val="000000"/>
          <w:sz w:val="24"/>
          <w:szCs w:val="24"/>
        </w:rPr>
        <w:t>;</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b) contiverem vícios insanáveis;</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c) não tiverem sua exequibilidade demonstrada, quando exigido pela administração;</w:t>
      </w:r>
    </w:p>
    <w:p>
      <w:pPr>
        <w:pStyle w:val="2"/>
        <w:overflowPunct/>
        <w:bidi w:val="0"/>
        <w:spacing w:before="1" w:after="0"/>
        <w:ind w:left="0" w:right="0" w:firstLine="0"/>
        <w:jc w:val="both"/>
        <w:rPr>
          <w:rFonts w:ascii="Calibri" w:hAnsi="Calibri"/>
          <w:sz w:val="24"/>
          <w:szCs w:val="24"/>
        </w:rPr>
      </w:pPr>
      <w:r>
        <w:rPr>
          <w:rFonts w:ascii="Calibri" w:hAnsi="Calibri"/>
          <w:b w:val="0"/>
          <w:bCs w:val="0"/>
          <w:color w:val="000000"/>
          <w:sz w:val="24"/>
          <w:szCs w:val="24"/>
        </w:rPr>
        <w:t>d) apresentarem desconformidade com quaisquer outras exigências deste Edital ou seus anexos, desde que insanável.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10.5 –</w:t>
      </w:r>
      <w:r>
        <w:rPr>
          <w:rFonts w:ascii="Calibri" w:hAnsi="Calibri"/>
          <w:b w:val="0"/>
          <w:bCs w:val="0"/>
          <w:color w:val="000000"/>
          <w:sz w:val="24"/>
          <w:szCs w:val="24"/>
        </w:rPr>
        <w:t xml:space="preserve"> Não serão consideradas, para efeitos de julgamento, quaisquer vantagens não previstas no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10.6 –</w:t>
      </w:r>
      <w:r>
        <w:rPr>
          <w:rFonts w:ascii="Calibri" w:hAnsi="Calibri"/>
          <w:b w:val="0"/>
          <w:bCs w:val="0"/>
          <w:color w:val="000000"/>
          <w:sz w:val="24"/>
          <w:szCs w:val="24"/>
        </w:rPr>
        <w:t xml:space="preserve"> Se houver indícios de inexequibilidade da proposta de preço, ou em caso da necessidade de esclarecimentos complementares, poderão ser efetuadas diligências, para que a empresa comprove a exequibilidade da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10.7</w:t>
      </w:r>
      <w:r>
        <w:rPr>
          <w:rFonts w:ascii="Calibri" w:hAnsi="Calibri"/>
          <w:b/>
          <w:bCs/>
          <w:color w:val="000000"/>
          <w:sz w:val="24"/>
          <w:szCs w:val="24"/>
          <w:lang w:val="pt-BR"/>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Para fins de análise da proposta quanto ao cumprimento das especificações do objeto, poderá ser colhida a manifestação escrita do setor requisitante do serviço ou da área especializada no objeto.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b/>
          <w:bCs/>
          <w:color w:val="000000"/>
          <w:sz w:val="24"/>
          <w:szCs w:val="24"/>
          <w:lang w:val="pt-BR"/>
        </w:rPr>
        <w:t xml:space="preserve"> </w:t>
      </w:r>
      <w:r>
        <w:rPr>
          <w:rFonts w:ascii="Calibri" w:hAnsi="Calibri"/>
          <w:b/>
          <w:bCs/>
          <w:color w:val="000000"/>
          <w:sz w:val="24"/>
          <w:szCs w:val="24"/>
        </w:rPr>
        <w:t>– DOS DOCUMENTOS DE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Certificado de Cadastro de Fornecedores – CCF:</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habilitação dos licitantes será analisada por meio do Certificado de Cadastro de Fornecedores – CCF, emitido pela Diretoria de Gestão de Licitações e Contratos - DGLC, da Secretaria de Estado da Administração, pertinente ao grupo-classe objeto desta licitação, para verificação da regularidade nos documentos por ele abrangidos, devendo apresentar prazo de validade, no mínimo, até a data limite fixada para a abertura das propostas.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 xml:space="preserve">2 </w:t>
      </w:r>
      <w:r>
        <w:rPr>
          <w:rFonts w:ascii="Calibri" w:hAnsi="Calibri"/>
          <w:b/>
          <w:bCs/>
          <w:color w:val="000000"/>
          <w:sz w:val="24"/>
          <w:szCs w:val="24"/>
        </w:rPr>
        <w:t>–</w:t>
      </w:r>
      <w:r>
        <w:rPr>
          <w:rFonts w:ascii="Calibri" w:hAnsi="Calibri"/>
          <w:b w:val="0"/>
          <w:bCs w:val="0"/>
          <w:color w:val="000000"/>
          <w:sz w:val="24"/>
          <w:szCs w:val="24"/>
        </w:rPr>
        <w:t xml:space="preserve"> Os documentos exigidos para habilitação, que não estejam contemplados no CCF, deverão ser apresentados juntamente a proposta atualizada, por meio eletrônico, após convocação do pregoeiro no Sistema eletrônico via “Chat”, em </w:t>
      </w:r>
      <w:r>
        <w:rPr>
          <w:rFonts w:ascii="Calibri" w:hAnsi="Calibri" w:eastAsia="NSimSun" w:cs="Lucida Sans"/>
          <w:b w:val="0"/>
          <w:bCs w:val="0"/>
          <w:color w:val="000000"/>
          <w:kern w:val="0"/>
          <w:sz w:val="24"/>
          <w:szCs w:val="24"/>
          <w:lang w:val="pt-BR" w:eastAsia="zh-CN" w:bidi="hi-IN"/>
        </w:rPr>
        <w:t>prazo definido pelo mesmo</w:t>
      </w:r>
      <w:r>
        <w:rPr>
          <w:rFonts w:ascii="Calibri" w:hAnsi="Calibri"/>
          <w:b w:val="0"/>
          <w:bCs w:val="0"/>
          <w:color w:val="000000"/>
          <w:sz w:val="24"/>
          <w:szCs w:val="24"/>
        </w:rPr>
        <w:t>, inseridos como Anexos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O pregoeiro ou equipe de apoio, verificará, nos sítios oficiais de órgãos e entidades emissores de certidões, a autenticidade dos documentos solicitados e enviados, constituindo meio legal de prova.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11.2 – Da regularidade fiscal e trabalhista das microempresas e empresas de pequeno porte: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 xml:space="preserve"> –</w:t>
      </w:r>
      <w:r>
        <w:rPr>
          <w:rFonts w:ascii="Calibri" w:hAnsi="Calibri"/>
          <w:b w:val="0"/>
          <w:bCs w:val="0"/>
          <w:color w:val="000000"/>
          <w:sz w:val="24"/>
          <w:szCs w:val="24"/>
        </w:rPr>
        <w:t xml:space="preserve"> A regularidade fiscal e trabalhista das microempresas e empresas de pequeno porte que apresentem restrição (documento vencido) no Certificado de Cadastro de Fornecedores – CCF, deverá ser comprovada, com o encaminhamento de documento hábil no prazo de 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1</w:t>
      </w:r>
      <w:r>
        <w:rPr>
          <w:rFonts w:ascii="Calibri" w:hAnsi="Calibri"/>
          <w:b/>
          <w:bCs/>
          <w:color w:val="000000"/>
          <w:sz w:val="24"/>
          <w:szCs w:val="24"/>
        </w:rPr>
        <w:t>.1 –</w:t>
      </w:r>
      <w:r>
        <w:rPr>
          <w:rFonts w:ascii="Calibri" w:hAnsi="Calibri"/>
          <w:b w:val="0"/>
          <w:bCs w:val="0"/>
          <w:color w:val="000000"/>
          <w:sz w:val="24"/>
          <w:szCs w:val="24"/>
        </w:rPr>
        <w:t xml:space="preserve"> A não regularização da documentação, no prazo estabelecido, implicará na decadência do direito da microempresa ou empresa de pequeno porte à contratação, sem prejuízo das sanções administrativas cabíveis por descumprimento de obrigações contratuais previstas neste edital e na legislação vigente aplicável à matéria (advertência, multa, impedimento de licitar e contratar com a Administração), sendo facultada à Administração convocar aos licitantes remanescentes, na ordem de classificação, para a assinatura do contrato ou revogar 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2</w:t>
      </w:r>
      <w:r>
        <w:rPr>
          <w:rFonts w:ascii="Calibri" w:hAnsi="Calibri"/>
          <w:b/>
          <w:bCs/>
          <w:color w:val="000000"/>
          <w:sz w:val="24"/>
          <w:szCs w:val="24"/>
        </w:rPr>
        <w:t xml:space="preserve"> –</w:t>
      </w:r>
      <w:r>
        <w:rPr>
          <w:rFonts w:ascii="Calibri" w:hAnsi="Calibri"/>
          <w:b w:val="0"/>
          <w:bCs w:val="0"/>
          <w:color w:val="000000"/>
          <w:sz w:val="24"/>
          <w:szCs w:val="24"/>
        </w:rPr>
        <w:t xml:space="preserve"> Os comprovantes de regularidade fiscal e trabalhista exigidos deverão apresentar prazo de validade, no mínimo, até a data limite fixada para a abertura das propostas. Não constando a vigência, será considerado o prazo de 90 (noventa) dias da data da emissão.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3</w:t>
      </w:r>
      <w:r>
        <w:rPr>
          <w:rFonts w:ascii="Calibri" w:hAnsi="Calibri"/>
          <w:b/>
          <w:bCs/>
          <w:color w:val="000000"/>
          <w:sz w:val="24"/>
          <w:szCs w:val="24"/>
        </w:rPr>
        <w:t xml:space="preserve"> –</w:t>
      </w:r>
      <w:r>
        <w:rPr>
          <w:rFonts w:ascii="Calibri" w:hAnsi="Calibri"/>
          <w:b w:val="0"/>
          <w:bCs w:val="0"/>
          <w:color w:val="000000"/>
          <w:sz w:val="24"/>
          <w:szCs w:val="24"/>
        </w:rPr>
        <w:t xml:space="preserve"> A verificação posterior de que, nos termos da lei, o declarante não se enquadra como microempresa ou empresa de pequeno porte, caracterizará crime de fraude à licitação, sujeitando-se as sanções previstas no na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w:t>
      </w:r>
      <w:r>
        <w:rPr>
          <w:rFonts w:ascii="Calibri" w:hAnsi="Calibri"/>
          <w:b/>
          <w:bCs/>
          <w:color w:val="000000"/>
          <w:sz w:val="24"/>
          <w:szCs w:val="24"/>
          <w:lang w:val="pt-BR"/>
        </w:rPr>
        <w:t xml:space="preserve">4 </w:t>
      </w:r>
      <w:r>
        <w:rPr>
          <w:rFonts w:ascii="Calibri" w:hAnsi="Calibri"/>
          <w:b/>
          <w:bCs/>
          <w:color w:val="000000"/>
          <w:sz w:val="24"/>
          <w:szCs w:val="24"/>
        </w:rPr>
        <w:t>–</w:t>
      </w:r>
      <w:r>
        <w:rPr>
          <w:rFonts w:ascii="Calibri" w:hAnsi="Calibri"/>
          <w:b w:val="0"/>
          <w:bCs w:val="0"/>
          <w:color w:val="000000"/>
          <w:sz w:val="24"/>
          <w:szCs w:val="24"/>
        </w:rPr>
        <w:t xml:space="preserve"> Os documentos quando solicitados por meio eletrônico, poderão ser inseridos como Anexos no Sistema eletrônico ou pelo endereço informado pelo pregoeiro.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3</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Todos documentos deverão ser apresentados na língua nacional do Brasil, ou original traduzido por tradutor oficial, juntamente a proposta atualizada, por meio eletrônico, em </w:t>
      </w:r>
      <w:r>
        <w:rPr>
          <w:rFonts w:ascii="Calibri" w:hAnsi="Calibri" w:eastAsia="NSimSun" w:cs="Lucida Sans"/>
          <w:b w:val="0"/>
          <w:bCs w:val="0"/>
          <w:color w:val="000000"/>
          <w:kern w:val="0"/>
          <w:sz w:val="24"/>
          <w:szCs w:val="24"/>
          <w:lang w:val="pt-BR" w:eastAsia="zh-CN" w:bidi="hi-IN"/>
        </w:rPr>
        <w:t xml:space="preserve">prazo definido pelo pregoeiro </w:t>
      </w:r>
      <w:r>
        <w:rPr>
          <w:rFonts w:ascii="Calibri" w:hAnsi="Calibri"/>
          <w:b w:val="0"/>
          <w:bCs w:val="0"/>
          <w:color w:val="000000"/>
          <w:sz w:val="24"/>
          <w:szCs w:val="24"/>
        </w:rPr>
        <w:t xml:space="preserve">após convocação do </w:t>
      </w:r>
      <w:r>
        <w:rPr>
          <w:rFonts w:ascii="Calibri" w:hAnsi="Calibri" w:eastAsia="NSimSun" w:cs="Lucida Sans"/>
          <w:b w:val="0"/>
          <w:bCs w:val="0"/>
          <w:color w:val="000000"/>
          <w:kern w:val="0"/>
          <w:sz w:val="24"/>
          <w:szCs w:val="24"/>
          <w:lang w:val="pt-BR" w:eastAsia="zh-CN" w:bidi="hi-IN"/>
        </w:rPr>
        <w:t>mesmo</w:t>
      </w:r>
      <w:r>
        <w:rPr>
          <w:rFonts w:ascii="Calibri" w:hAnsi="Calibri"/>
          <w:b w:val="0"/>
          <w:bCs w:val="0"/>
          <w:color w:val="000000"/>
          <w:sz w:val="24"/>
          <w:szCs w:val="24"/>
        </w:rPr>
        <w:t xml:space="preserve"> via “Chat”, inseridos como Anexos no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4</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 xml:space="preserve"> </w:t>
      </w:r>
      <w:r>
        <w:rPr>
          <w:rFonts w:ascii="Calibri" w:hAnsi="Calibri"/>
          <w:b w:val="0"/>
          <w:bCs w:val="0"/>
          <w:color w:val="000000"/>
          <w:sz w:val="24"/>
          <w:szCs w:val="24"/>
        </w:rPr>
        <w:t>Após o envio dos documentos, o pregoeiro verificará nos sítios oficiais de órgãos e entidades emissores de certidões, os documentos correspondentes, constituindo meio legal de prova.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 xml:space="preserve">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5</w:t>
      </w:r>
      <w:r>
        <w:rPr>
          <w:rFonts w:ascii="Calibri" w:hAnsi="Calibri"/>
          <w:b/>
          <w:bCs/>
          <w:color w:val="000000"/>
          <w:sz w:val="24"/>
          <w:szCs w:val="24"/>
        </w:rPr>
        <w:t>.</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bCs/>
          <w:color w:val="000000"/>
          <w:sz w:val="24"/>
          <w:szCs w:val="24"/>
        </w:rPr>
        <w:t xml:space="preserve"> </w:t>
      </w:r>
      <w:r>
        <w:rPr>
          <w:rFonts w:ascii="Calibri" w:hAnsi="Calibri"/>
          <w:b w:val="0"/>
          <w:bCs w:val="0"/>
          <w:color w:val="000000"/>
          <w:sz w:val="24"/>
          <w:szCs w:val="24"/>
        </w:rPr>
        <w:t>Os documentos exigidos para fins de habilitação poderão ser substituídos por registro cadastral emitido por órgão ou entidade pública, desde que o registro tenha sido feito em obediência ao disposto na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6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Será verificado se o licitante apresentou declaração de que atende aos requisitos de habilitação, e o declarante responderá pela veracidade das informações prestadas, na forma da lei (art. 63, I, da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7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8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 verificação pelo pregoeiro, em sítios eletrônicos oficiais de órgãos e entidades emissores de certidões constitui meio legal de prova, para fins de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 xml:space="preserve">9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Após a entrega dos documentos para habilitação, não será permitida a substituição ou a apresentação de novos documentos, salvo em sede de diligência, para (Lei 14.133/21, art. 64, e IN 73/2022, art. 39, §4º):</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9</w:t>
      </w:r>
      <w:r>
        <w:rPr>
          <w:rFonts w:ascii="Calibri" w:hAnsi="Calibri"/>
          <w:b/>
          <w:bCs/>
          <w:color w:val="000000"/>
          <w:sz w:val="24"/>
          <w:szCs w:val="24"/>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complementação de informações acerca dos documentos já apresentados pelos licitantes e desde que necessária para apurar fatos existentes à época da abertura do certame; e atualização de documentos cuja validade tenha expirado após a data de recebimento das propostas;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cs="Lucida Sans"/>
          <w:b/>
          <w:bCs/>
          <w:color w:val="000000"/>
          <w:kern w:val="0"/>
          <w:sz w:val="24"/>
          <w:szCs w:val="24"/>
          <w:lang w:val="pt-BR" w:eastAsia="zh-CN" w:bidi="hi-IN"/>
        </w:rPr>
        <w:t>10</w:t>
      </w:r>
      <w:r>
        <w:rPr>
          <w:rFonts w:ascii="Calibri" w:hAnsi="Calibri" w:eastAsia="NSimSun" w:cs="Lucida Sans"/>
          <w:b/>
          <w:bCs/>
          <w:color w:val="000000"/>
          <w:kern w:val="0"/>
          <w:sz w:val="24"/>
          <w:szCs w:val="24"/>
          <w:lang w:val="pt-BR" w:eastAsia="zh-CN" w:bidi="hi-IN"/>
        </w:rPr>
        <w:t xml:space="preserve"> – </w:t>
      </w:r>
      <w:r>
        <w:rPr>
          <w:rFonts w:ascii="Calibri" w:hAnsi="Calibri"/>
          <w:b w:val="0"/>
          <w:bCs w:val="0"/>
          <w:color w:val="000000"/>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11.</w:t>
      </w:r>
      <w:r>
        <w:rPr>
          <w:rFonts w:ascii="Calibri" w:hAnsi="Calibri" w:eastAsia="NSimSun" w:cs="Lucida Sans"/>
          <w:b/>
          <w:bCs/>
          <w:color w:val="000000"/>
          <w:kern w:val="0"/>
          <w:sz w:val="24"/>
          <w:szCs w:val="24"/>
          <w:lang w:val="pt-BR" w:eastAsia="zh-CN" w:bidi="hi-IN"/>
        </w:rPr>
        <w:t>1</w:t>
      </w:r>
      <w:r>
        <w:rPr>
          <w:rFonts w:ascii="Calibri" w:hAnsi="Calibri" w:cs="Lucida Sans"/>
          <w:b/>
          <w:bCs/>
          <w:color w:val="000000"/>
          <w:kern w:val="0"/>
          <w:sz w:val="24"/>
          <w:szCs w:val="24"/>
          <w:lang w:val="pt-BR" w:eastAsia="zh-CN" w:bidi="hi-IN"/>
        </w:rPr>
        <w:t xml:space="preserve">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Na hipótese de o licitante não atender às exigências para habilitação, o pregoeiro examinará a proposta subsequente e assim sucessivamente, na ordem de classificação, até a apuração de uma proposta que atenda ao presente edital.</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b/>
          <w:bCs/>
          <w:color w:val="000000"/>
          <w:sz w:val="24"/>
          <w:szCs w:val="24"/>
          <w:lang w:val="pt-BR"/>
        </w:rPr>
        <w:t xml:space="preserve"> </w:t>
      </w:r>
      <w:r>
        <w:rPr>
          <w:rFonts w:ascii="Calibri" w:hAnsi="Calibri"/>
          <w:b/>
          <w:bCs/>
          <w:color w:val="000000"/>
          <w:sz w:val="24"/>
          <w:szCs w:val="24"/>
        </w:rPr>
        <w:t>– DOS RECURSOS ADMINISTRATIVOS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 xml:space="preserve"> –</w:t>
      </w:r>
      <w:r>
        <w:rPr>
          <w:rFonts w:ascii="Calibri" w:hAnsi="Calibri"/>
          <w:b w:val="0"/>
          <w:bCs w:val="0"/>
          <w:color w:val="000000"/>
          <w:sz w:val="24"/>
          <w:szCs w:val="24"/>
        </w:rPr>
        <w:t xml:space="preserve"> Após a fase de habilitação, encerrados os itens/lotes e declarado o vencedor, qualquer licitante poderá manifestar sua intenção de recorrer contra decisões do Pregoeiro, de forma imediata e motivada, em campo próprio do Sistema, sendo-lhe concedido o prazo de 03 (três) dias para a envio das razões do recurso, ficando os demais licitantes, desde logo, intimados a enviar contrarrazões em igual número de dias, que começarão a correr do término do prazo da recorrente, sendo-lhes assegurada vista dos autos.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12.1.1 –</w:t>
      </w:r>
      <w:r>
        <w:rPr>
          <w:rFonts w:ascii="Calibri" w:hAnsi="Calibri"/>
          <w:b w:val="0"/>
          <w:bCs w:val="0"/>
          <w:color w:val="000000"/>
          <w:sz w:val="24"/>
          <w:szCs w:val="24"/>
        </w:rPr>
        <w:t xml:space="preserve"> A  falta  de  manifestação  imediata  e  motivada  do  licitante  quanto  à  intenção  de recorrer,  nos  termos  do  subitem  12.1,  importará  na  decadência  desse  direito,  ficando  o pregoeiro autorizado encaminhar o processo devidamente instruído à autoridade superior para adjudicar o objeto ao licitante declarado vencedor.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1</w:t>
      </w:r>
      <w:r>
        <w:rPr>
          <w:rFonts w:ascii="Calibri" w:hAnsi="Calibri"/>
          <w:b/>
          <w:bCs/>
          <w:color w:val="000000"/>
          <w:sz w:val="24"/>
          <w:szCs w:val="24"/>
        </w:rPr>
        <w:t>.2 –</w:t>
      </w:r>
      <w:r>
        <w:rPr>
          <w:rFonts w:ascii="Calibri" w:hAnsi="Calibri"/>
          <w:b w:val="0"/>
          <w:bCs w:val="0"/>
          <w:color w:val="000000"/>
          <w:sz w:val="24"/>
          <w:szCs w:val="24"/>
        </w:rPr>
        <w:t xml:space="preserve"> Para fins deste edital considera-se “imediata”, a manifestação realizada no prazo de 30 (trinta) minutos, contado a partir do encerramento da fase de habilitação.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2</w:t>
      </w:r>
      <w:r>
        <w:rPr>
          <w:rFonts w:ascii="Calibri" w:hAnsi="Calibri"/>
          <w:b/>
          <w:bCs/>
          <w:color w:val="000000"/>
          <w:sz w:val="24"/>
          <w:szCs w:val="24"/>
        </w:rPr>
        <w:t xml:space="preserve"> –</w:t>
      </w:r>
      <w:r>
        <w:rPr>
          <w:rFonts w:ascii="Calibri" w:hAnsi="Calibri"/>
          <w:b w:val="0"/>
          <w:bCs w:val="0"/>
          <w:color w:val="000000"/>
          <w:sz w:val="24"/>
          <w:szCs w:val="24"/>
        </w:rPr>
        <w:t xml:space="preserve"> O acolhimento de recurso importará na invalidação apenas dos atos insuscetíveis de aproveitamento.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 xml:space="preserve"> –</w:t>
      </w:r>
      <w:r>
        <w:rPr>
          <w:rFonts w:ascii="Calibri" w:hAnsi="Calibri"/>
          <w:b w:val="0"/>
          <w:bCs w:val="0"/>
          <w:color w:val="000000"/>
          <w:sz w:val="24"/>
          <w:szCs w:val="24"/>
        </w:rPr>
        <w:t xml:space="preserve"> O Sistema permite, após salvar as informações iniciais e emitir o número de registro do recurso, inserir Anexos antes de fechar a janela.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3</w:t>
      </w:r>
      <w:r>
        <w:rPr>
          <w:rFonts w:ascii="Calibri" w:hAnsi="Calibri"/>
          <w:b/>
          <w:bCs/>
          <w:color w:val="000000"/>
          <w:sz w:val="24"/>
          <w:szCs w:val="24"/>
        </w:rPr>
        <w:t>.1 –</w:t>
      </w:r>
      <w:r>
        <w:rPr>
          <w:rFonts w:ascii="Calibri" w:hAnsi="Calibri"/>
          <w:b w:val="0"/>
          <w:bCs w:val="0"/>
          <w:color w:val="000000"/>
          <w:sz w:val="24"/>
          <w:szCs w:val="24"/>
        </w:rPr>
        <w:t xml:space="preserve"> Os recursos registrados no Sistema, constituem meio legal de prova, desde que devidamente assinados, não sendo obrigatório o encaminhamento do original.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4</w:t>
      </w:r>
      <w:r>
        <w:rPr>
          <w:rFonts w:ascii="Calibri" w:hAnsi="Calibri"/>
          <w:b/>
          <w:bCs/>
          <w:color w:val="000000"/>
          <w:sz w:val="24"/>
          <w:szCs w:val="24"/>
        </w:rPr>
        <w:t xml:space="preserve"> –</w:t>
      </w:r>
      <w:r>
        <w:rPr>
          <w:rFonts w:ascii="Calibri" w:hAnsi="Calibri"/>
          <w:b w:val="0"/>
          <w:bCs w:val="0"/>
          <w:color w:val="000000"/>
          <w:sz w:val="24"/>
          <w:szCs w:val="24"/>
        </w:rPr>
        <w:t xml:space="preserve"> Não serão conhecidos os recursos apresentados fora do prazo legal.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12.</w:t>
      </w:r>
      <w:r>
        <w:rPr>
          <w:rFonts w:ascii="Calibri" w:hAnsi="Calibri" w:eastAsia="NSimSun" w:cs="Lucida Sans"/>
          <w:b/>
          <w:bCs/>
          <w:color w:val="000000"/>
          <w:kern w:val="0"/>
          <w:sz w:val="24"/>
          <w:szCs w:val="24"/>
          <w:lang w:val="pt-BR" w:eastAsia="zh-CN" w:bidi="hi-IN"/>
        </w:rPr>
        <w:t>5</w:t>
      </w:r>
      <w:r>
        <w:rPr>
          <w:rFonts w:ascii="Calibri" w:hAnsi="Calibri"/>
          <w:b/>
          <w:bCs/>
          <w:color w:val="000000"/>
          <w:sz w:val="24"/>
          <w:szCs w:val="24"/>
        </w:rPr>
        <w:t xml:space="preserve"> –</w:t>
      </w:r>
      <w:r>
        <w:rPr>
          <w:rFonts w:ascii="Calibri" w:hAnsi="Calibri"/>
          <w:b w:val="0"/>
          <w:bCs w:val="0"/>
          <w:color w:val="000000"/>
          <w:sz w:val="24"/>
          <w:szCs w:val="24"/>
        </w:rPr>
        <w:t xml:space="preserve"> Decididos os recursos e constatada a regularidade dos atos praticados, a autoridade competente adjudicará o objeto e homologará o procedimento licitatório.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 xml:space="preserve"> </w:t>
      </w:r>
      <w:r>
        <w:rPr>
          <w:rFonts w:ascii="Calibri" w:hAnsi="Calibri"/>
          <w:b/>
          <w:bCs/>
          <w:color w:val="000000"/>
          <w:sz w:val="24"/>
          <w:szCs w:val="24"/>
        </w:rPr>
        <w:t>– DAS INFRAÇÕES ADMINISTRATIVAS E SANÇÕES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 –</w:t>
      </w:r>
      <w:r>
        <w:rPr>
          <w:rFonts w:ascii="Calibri" w:hAnsi="Calibri"/>
          <w:b w:val="0"/>
          <w:bCs w:val="0"/>
          <w:color w:val="000000"/>
          <w:sz w:val="24"/>
          <w:szCs w:val="24"/>
        </w:rPr>
        <w:t xml:space="preserve"> Comete infração administrativa, nos termos da lei, o licitante que, com dolo ou culpa: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deixar de entregar a documentação exigida para o certame ou não entregar qualquer documento que tenha sido solicitado pelo/a pregoeiro/a durante o certame;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Salvo em decorrência de fato superveniente devidamente justificado, não mantiver a proposta em especial quando: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13.1.2.1 –</w:t>
      </w:r>
      <w:r>
        <w:rPr>
          <w:rFonts w:ascii="Calibri" w:hAnsi="Calibri"/>
          <w:b w:val="0"/>
          <w:bCs w:val="0"/>
          <w:color w:val="000000"/>
          <w:sz w:val="24"/>
          <w:szCs w:val="24"/>
        </w:rPr>
        <w:t xml:space="preserve"> não enviar a proposta adequada ao último lance ofertado ou após a negociação;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13.1.2.2 –</w:t>
      </w:r>
      <w:r>
        <w:rPr>
          <w:rFonts w:ascii="Calibri" w:hAnsi="Calibri"/>
          <w:b w:val="0"/>
          <w:bCs w:val="0"/>
          <w:color w:val="000000"/>
          <w:sz w:val="24"/>
          <w:szCs w:val="24"/>
        </w:rPr>
        <w:t xml:space="preserve"> recusar-se a enviar o detalhamento da proposta quando exigível;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13.1.2.3 –</w:t>
      </w:r>
      <w:r>
        <w:rPr>
          <w:rFonts w:ascii="Calibri" w:hAnsi="Calibri"/>
          <w:b w:val="0"/>
          <w:bCs w:val="0"/>
          <w:color w:val="000000"/>
          <w:sz w:val="24"/>
          <w:szCs w:val="24"/>
        </w:rPr>
        <w:t xml:space="preserve"> pedir para ser desclassificado quando encerrada a etapa competitiva; ou</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13.1.2.4 –</w:t>
      </w:r>
      <w:r>
        <w:rPr>
          <w:rFonts w:ascii="Calibri" w:hAnsi="Calibri"/>
          <w:b w:val="0"/>
          <w:bCs w:val="0"/>
          <w:color w:val="000000"/>
          <w:sz w:val="24"/>
          <w:szCs w:val="24"/>
        </w:rPr>
        <w:t xml:space="preserve"> deixar de apresentar amostra;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13.1.2.5 – </w:t>
      </w:r>
      <w:r>
        <w:rPr>
          <w:rFonts w:ascii="Calibri" w:hAnsi="Calibri"/>
          <w:b w:val="0"/>
          <w:bCs w:val="0"/>
          <w:color w:val="000000"/>
          <w:sz w:val="24"/>
          <w:szCs w:val="24"/>
        </w:rPr>
        <w:t>apresentar proposta ou amostra em desacordo com as especificações do edital;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não celebrar o contrato ou não entregar a documentação exigida para a contratação, quando convocado dentro do prazo de validade de sua proposta;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13.1.3.1 – </w:t>
      </w:r>
      <w:r>
        <w:rPr>
          <w:rFonts w:ascii="Calibri" w:hAnsi="Calibri"/>
          <w:b w:val="0"/>
          <w:bCs w:val="0"/>
          <w:color w:val="000000"/>
          <w:sz w:val="24"/>
          <w:szCs w:val="24"/>
        </w:rPr>
        <w:t>recusar-se, sem justificativa, a assinar o contrato ou a ata de registro de preço, ou a aceitar ou retirar o instrumento equivalente no prazo estabelecido pela Administração;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13.1.4 – </w:t>
      </w:r>
      <w:r>
        <w:rPr>
          <w:rFonts w:ascii="Calibri" w:hAnsi="Calibri"/>
          <w:b w:val="0"/>
          <w:bCs w:val="0"/>
          <w:color w:val="000000"/>
          <w:sz w:val="24"/>
          <w:szCs w:val="24"/>
        </w:rPr>
        <w:t>apresentar declaração ou documentação falsa exigida para o certame ou prestar declaração falsa durante 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13.1.5 – </w:t>
      </w:r>
      <w:r>
        <w:rPr>
          <w:rFonts w:ascii="Calibri" w:hAnsi="Calibri"/>
          <w:b w:val="0"/>
          <w:bCs w:val="0"/>
          <w:color w:val="000000"/>
          <w:sz w:val="24"/>
          <w:szCs w:val="24"/>
        </w:rPr>
        <w:t>fraudar 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 – </w:t>
      </w:r>
      <w:r>
        <w:rPr>
          <w:rFonts w:ascii="Calibri" w:hAnsi="Calibri"/>
          <w:b w:val="0"/>
          <w:bCs w:val="0"/>
          <w:color w:val="000000"/>
          <w:sz w:val="24"/>
          <w:szCs w:val="24"/>
        </w:rPr>
        <w:t>comportar-se de modo inidôneo ou cometer fraude de qualquer natureza, em especial quando: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13.1.6.1 – </w:t>
      </w:r>
      <w:r>
        <w:rPr>
          <w:rFonts w:ascii="Calibri" w:hAnsi="Calibri"/>
          <w:b w:val="0"/>
          <w:bCs w:val="0"/>
          <w:color w:val="000000"/>
          <w:sz w:val="24"/>
          <w:szCs w:val="24"/>
        </w:rPr>
        <w:t>agir em conluio ou em desconformidade com a lei;</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13.1.6.2 – </w:t>
      </w:r>
      <w:r>
        <w:rPr>
          <w:rFonts w:ascii="Calibri" w:hAnsi="Calibri"/>
          <w:b w:val="0"/>
          <w:bCs w:val="0"/>
          <w:color w:val="000000"/>
          <w:sz w:val="24"/>
          <w:szCs w:val="24"/>
        </w:rPr>
        <w:t>induzir deliberadamente a erro no julgamento;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13.1.6.3 – </w:t>
      </w:r>
      <w:r>
        <w:rPr>
          <w:rFonts w:ascii="Calibri" w:hAnsi="Calibri"/>
          <w:b w:val="0"/>
          <w:bCs w:val="0"/>
          <w:color w:val="000000"/>
          <w:sz w:val="24"/>
          <w:szCs w:val="24"/>
        </w:rPr>
        <w:t>apresentar amostra falsificada ou deteriorada;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13.1.7 – </w:t>
      </w:r>
      <w:r>
        <w:rPr>
          <w:rFonts w:ascii="Calibri" w:hAnsi="Calibri"/>
          <w:b w:val="0"/>
          <w:bCs w:val="0"/>
          <w:color w:val="000000"/>
          <w:sz w:val="24"/>
          <w:szCs w:val="24"/>
        </w:rPr>
        <w:t>praticar atos ilícitos com vistas a frustrar os objetivos da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13.1.8 – </w:t>
      </w:r>
      <w:r>
        <w:rPr>
          <w:rFonts w:ascii="Calibri" w:hAnsi="Calibri"/>
          <w:b w:val="0"/>
          <w:bCs w:val="0"/>
          <w:color w:val="000000"/>
          <w:sz w:val="24"/>
          <w:szCs w:val="24"/>
        </w:rPr>
        <w:t>praticar ato lesivo previsto no art. 5º da Lei n.º 12.846, de 2013.</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lang w:val="pt-BR"/>
        </w:rPr>
        <w:t xml:space="preserve">13.2 – </w:t>
      </w:r>
      <w:r>
        <w:rPr>
          <w:rFonts w:ascii="Calibri" w:hAnsi="Calibri"/>
          <w:b w:val="0"/>
          <w:bCs w:val="0"/>
          <w:color w:val="000000"/>
          <w:sz w:val="24"/>
          <w:szCs w:val="24"/>
        </w:rPr>
        <w:t>Com fulcro na Lei nº 14.133, de 2021, a Administração poderá, garantida a prévia defesa, aplicar aos licitantes e/ou adjudicatários as seguintes sanções, sem prejuízo das responsabilidades civil e criminal: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13.2.1 – </w:t>
      </w:r>
      <w:r>
        <w:rPr>
          <w:rFonts w:ascii="Calibri" w:hAnsi="Calibri"/>
          <w:b w:val="0"/>
          <w:bCs w:val="0"/>
          <w:color w:val="000000"/>
          <w:sz w:val="24"/>
          <w:szCs w:val="24"/>
        </w:rPr>
        <w:t>advertência;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13.2.2 – </w:t>
      </w:r>
      <w:r>
        <w:rPr>
          <w:rFonts w:ascii="Calibri" w:hAnsi="Calibri"/>
          <w:b w:val="0"/>
          <w:bCs w:val="0"/>
          <w:color w:val="000000"/>
          <w:sz w:val="24"/>
          <w:szCs w:val="24"/>
        </w:rPr>
        <w:t>multa;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w:t>
      </w:r>
      <w:r>
        <w:rPr>
          <w:rFonts w:ascii="Calibri" w:hAnsi="Calibri"/>
          <w:b/>
          <w:bCs/>
          <w:color w:val="000000"/>
          <w:sz w:val="24"/>
          <w:szCs w:val="24"/>
          <w:lang w:val="pt-BR"/>
        </w:rPr>
        <w:t>2</w:t>
      </w:r>
      <w:r>
        <w:rPr>
          <w:rFonts w:ascii="Calibri" w:hAnsi="Calibri"/>
          <w:b/>
          <w:bCs/>
          <w:color w:val="000000"/>
          <w:sz w:val="24"/>
          <w:szCs w:val="24"/>
        </w:rPr>
        <w:t xml:space="preserve">.3 – </w:t>
      </w:r>
      <w:r>
        <w:rPr>
          <w:rFonts w:ascii="Calibri" w:hAnsi="Calibri"/>
          <w:b w:val="0"/>
          <w:bCs w:val="0"/>
          <w:color w:val="000000"/>
          <w:sz w:val="24"/>
          <w:szCs w:val="24"/>
        </w:rPr>
        <w:t>impedimento de licitar e contratar 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13.2.</w:t>
      </w:r>
      <w:r>
        <w:rPr>
          <w:rFonts w:ascii="Calibri" w:hAnsi="Calibri"/>
          <w:b/>
          <w:bCs/>
          <w:color w:val="000000"/>
          <w:sz w:val="24"/>
          <w:szCs w:val="24"/>
          <w:lang w:val="pt-BR"/>
        </w:rPr>
        <w:t xml:space="preserve">4 – </w:t>
      </w:r>
      <w:r>
        <w:rPr>
          <w:rFonts w:ascii="Calibri" w:hAnsi="Calibri"/>
          <w:b w:val="0"/>
          <w:bCs w:val="0"/>
          <w:color w:val="000000"/>
          <w:sz w:val="24"/>
          <w:szCs w:val="24"/>
        </w:rPr>
        <w:t>declaração de inidoneidade para licitar ou contratar, enquanto perdurarem os motivos determinantes da punição ou até que seja promovida sua reabilitação perante a própria autoridade que aplicou a penalidade.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 – </w:t>
      </w:r>
      <w:r>
        <w:rPr>
          <w:rFonts w:ascii="Calibri" w:hAnsi="Calibri"/>
          <w:b w:val="0"/>
          <w:bCs w:val="0"/>
          <w:color w:val="000000"/>
          <w:sz w:val="24"/>
          <w:szCs w:val="24"/>
        </w:rPr>
        <w:t>Na aplicação das sanções serão considerados: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13.3.1 –</w:t>
      </w:r>
      <w:r>
        <w:rPr>
          <w:rFonts w:ascii="Calibri" w:hAnsi="Calibri"/>
          <w:b w:val="0"/>
          <w:bCs w:val="0"/>
          <w:color w:val="000000"/>
          <w:sz w:val="24"/>
          <w:szCs w:val="24"/>
        </w:rPr>
        <w:t xml:space="preserve"> a natureza e a gravidade da infração cometida.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13.3.2 – </w:t>
      </w:r>
      <w:r>
        <w:rPr>
          <w:rFonts w:ascii="Calibri" w:hAnsi="Calibri"/>
          <w:b w:val="0"/>
          <w:bCs w:val="0"/>
          <w:color w:val="000000"/>
          <w:sz w:val="24"/>
          <w:szCs w:val="24"/>
        </w:rPr>
        <w:t>as peculiaridades do caso concreto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13.3.3 – </w:t>
      </w:r>
      <w:r>
        <w:rPr>
          <w:rFonts w:ascii="Calibri" w:hAnsi="Calibri"/>
          <w:b w:val="0"/>
          <w:bCs w:val="0"/>
          <w:color w:val="000000"/>
          <w:sz w:val="24"/>
          <w:szCs w:val="24"/>
        </w:rPr>
        <w:t>as circunstâncias agravantes ou atenuantes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13.3.4 – </w:t>
      </w:r>
      <w:r>
        <w:rPr>
          <w:rFonts w:ascii="Calibri" w:hAnsi="Calibri"/>
          <w:b w:val="0"/>
          <w:bCs w:val="0"/>
          <w:color w:val="000000"/>
          <w:sz w:val="24"/>
          <w:szCs w:val="24"/>
        </w:rPr>
        <w:t>os danos que dela provierem para a Administração Pública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13.3.5 – </w:t>
      </w:r>
      <w:r>
        <w:rPr>
          <w:rFonts w:ascii="Calibri" w:hAnsi="Calibri"/>
          <w:b w:val="0"/>
          <w:bCs w:val="0"/>
          <w:color w:val="000000"/>
          <w:sz w:val="24"/>
          <w:szCs w:val="24"/>
        </w:rPr>
        <w:t>a implantação ou o aperfeiçoamento de programa de integridade, conforme normas e orientações dos órgãos de controle.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 – </w:t>
      </w:r>
      <w:r>
        <w:rPr>
          <w:rFonts w:ascii="Calibri" w:hAnsi="Calibri"/>
          <w:b w:val="0"/>
          <w:bCs w:val="0"/>
          <w:color w:val="000000"/>
          <w:sz w:val="24"/>
          <w:szCs w:val="24"/>
        </w:rPr>
        <w:t xml:space="preserve">A multa será recolhida em percentual de 0,5% a 30% incidente sobre o valor do contrato licitado, recolhida no prazo máximo de </w:t>
      </w:r>
      <w:r>
        <w:rPr>
          <w:rFonts w:ascii="Calibri" w:hAnsi="Calibri" w:eastAsia="NSimSun" w:cs="Lucida Sans"/>
          <w:b w:val="0"/>
          <w:bCs w:val="0"/>
          <w:color w:val="000000"/>
          <w:kern w:val="0"/>
          <w:sz w:val="24"/>
          <w:szCs w:val="24"/>
          <w:lang w:val="pt-BR" w:eastAsia="zh-CN" w:bidi="hi-IN"/>
        </w:rPr>
        <w:t>30 (trinta) dias</w:t>
      </w:r>
      <w:r>
        <w:rPr>
          <w:rFonts w:ascii="Calibri" w:hAnsi="Calibri"/>
          <w:b w:val="0"/>
          <w:bCs w:val="0"/>
          <w:color w:val="000000"/>
          <w:sz w:val="24"/>
          <w:szCs w:val="24"/>
        </w:rPr>
        <w:t>, a contar da comunicação oficial.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13.4.1 – </w:t>
      </w:r>
      <w:r>
        <w:rPr>
          <w:rFonts w:ascii="Calibri" w:hAnsi="Calibri"/>
          <w:b w:val="0"/>
          <w:bCs w:val="0"/>
          <w:color w:val="000000"/>
          <w:sz w:val="24"/>
          <w:szCs w:val="24"/>
        </w:rPr>
        <w:t>Para as infrações previstas nos itens 13.1.1, 13.1.2 e 13.1.3, a multa será de 0,5% a 15% do valor do contrato licitado.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13.4.2 – </w:t>
      </w:r>
      <w:r>
        <w:rPr>
          <w:rFonts w:ascii="Calibri" w:hAnsi="Calibri"/>
          <w:b w:val="0"/>
          <w:bCs w:val="0"/>
          <w:color w:val="000000"/>
          <w:sz w:val="24"/>
          <w:szCs w:val="24"/>
        </w:rPr>
        <w:t>Para as infrações previstas nos itens 13.1.4, 13.1.5, 13.1.6, 13.1.7 e 13.1.8, a multa será de 15% a 30% do valor do contrato licitado.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13.5 – </w:t>
      </w:r>
      <w:r>
        <w:rPr>
          <w:rFonts w:ascii="Calibri" w:hAnsi="Calibri"/>
          <w:b w:val="0"/>
          <w:bCs w:val="0"/>
          <w:color w:val="000000"/>
          <w:sz w:val="24"/>
          <w:szCs w:val="24"/>
        </w:rPr>
        <w:t>As sanções de advertência, impedimento de licitar e contratar e declaração de inidoneidade para licitar ou contratar poderão ser aplicadas, cumulativamente ou não, à penalidade de multa.</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13.6 – </w:t>
      </w:r>
      <w:r>
        <w:rPr>
          <w:rFonts w:ascii="Calibri" w:hAnsi="Calibri"/>
          <w:b w:val="0"/>
          <w:bCs w:val="0"/>
          <w:color w:val="000000"/>
          <w:sz w:val="24"/>
          <w:szCs w:val="24"/>
        </w:rPr>
        <w:t>Na aplicação da sanção de multa será facultada a defesa do interessado no prazo de 15 (quinze) dias úteis, contado da data de sua intimação.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13.7 – </w:t>
      </w:r>
      <w:r>
        <w:rPr>
          <w:rFonts w:ascii="Calibri" w:hAnsi="Calibri"/>
          <w:b w:val="0"/>
          <w:bCs w:val="0"/>
          <w:color w:val="000000"/>
          <w:sz w:val="24"/>
          <w:szCs w:val="24"/>
        </w:rPr>
        <w:t>A sanção de impedimento de licitar e contratar será aplicada ao responsável em decorrência das infrações administrativas relacionadas nos itens 13.1.1, 13.1.2 e 13.1.3,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13.8 – </w:t>
      </w:r>
      <w:r>
        <w:rPr>
          <w:rFonts w:ascii="Calibri" w:hAnsi="Calibri"/>
          <w:b w:val="0"/>
          <w:bCs w:val="0"/>
          <w:color w:val="000000"/>
          <w:sz w:val="24"/>
          <w:szCs w:val="24"/>
        </w:rPr>
        <w:t>Poderá ser aplicada ao responsável a sanção de declaração de inidoneidade para licitar ou contratar, em decorrência da prática das infrações dispostas nos itens 13.1.4, 13.1.5, 13.1.6, 13.1.7 e 13.1.8, bem como pelas infrações administrativas previstas nos itens 13.1.1, 13.1.2 e 13.1.3 que justifiquem a imposição de penalidade mais grave que a sanção de impedimento de licitar e contratar, cuja duração observará o prazo previsto no art. 156, §5º, da Lei n.º 14.133/2021.</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13.9 – </w:t>
      </w:r>
      <w:r>
        <w:rPr>
          <w:rFonts w:ascii="Calibri" w:hAnsi="Calibri"/>
          <w:b w:val="0"/>
          <w:bCs w:val="0"/>
          <w:color w:val="000000"/>
          <w:sz w:val="24"/>
          <w:szCs w:val="24"/>
        </w:rPr>
        <w:t>A recusa injustificada do adjudicatário em assinar o contrato ou a ata de registro de preço, ou em aceitar ou retirar o instrumento equivalente no prazo estabelecido pela Administração, descrita no item 13.1.3, caracterizará o descumprimento total da obrigação assumida e o sujeitará às penalidades e à imediata perda da garantia de proposta em favor do órgão ou entidade promotora da licitação.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13.10 – </w:t>
      </w:r>
      <w:r>
        <w:rPr>
          <w:rFonts w:ascii="Calibri" w:hAnsi="Calibri"/>
          <w:b w:val="0"/>
          <w:bCs w:val="0"/>
          <w:color w:val="000000"/>
          <w:sz w:val="24"/>
          <w:szCs w:val="24"/>
        </w:rPr>
        <w:t>A apuração de responsabilidades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13.11 – </w:t>
      </w:r>
      <w:r>
        <w:rPr>
          <w:rFonts w:ascii="Calibri" w:hAnsi="Calibri"/>
          <w:b w:val="0"/>
          <w:bCs w:val="0"/>
          <w:color w:val="000000"/>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13.12 – </w:t>
      </w:r>
      <w:r>
        <w:rPr>
          <w:rFonts w:ascii="Calibri" w:hAnsi="Calibri"/>
          <w:b w:val="0"/>
          <w:bCs w:val="0"/>
          <w:color w:val="000000"/>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13.13 – </w:t>
      </w:r>
      <w:r>
        <w:rPr>
          <w:rFonts w:ascii="Calibri" w:hAnsi="Calibri"/>
          <w:b w:val="0"/>
          <w:bCs w:val="0"/>
          <w:color w:val="000000"/>
          <w:sz w:val="24"/>
          <w:szCs w:val="24"/>
        </w:rPr>
        <w:t>O recurso e o pedido de reconsideração terão efeito suspensivo do ato ou da decisão recorrida até que sobrevenha decisão final da autoridade competente. A aplicação das sanções previstas neste edital não exclui, em hipótese alguma, a obrigação de reparação integral dos danos causados.</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14 – DO REGISTRO DE PREÇOS</w:t>
      </w:r>
      <w:r>
        <w:rPr>
          <w:rFonts w:ascii="Calibri" w:hAnsi="Calibri"/>
          <w:b w:val="0"/>
          <w:bCs w:val="0"/>
          <w:color w:val="000000"/>
          <w:sz w:val="24"/>
          <w:szCs w:val="24"/>
        </w:rPr>
        <w:br w:type="textWrapping"/>
      </w:r>
      <w:r>
        <w:rPr>
          <w:rFonts w:ascii="Calibri" w:hAnsi="Calibri"/>
          <w:b/>
          <w:bCs/>
          <w:color w:val="000000"/>
          <w:sz w:val="24"/>
          <w:szCs w:val="24"/>
        </w:rPr>
        <w:t>14.1 –</w:t>
      </w:r>
      <w:r>
        <w:rPr>
          <w:rFonts w:ascii="Calibri" w:hAnsi="Calibri"/>
          <w:b w:val="0"/>
          <w:bCs w:val="0"/>
          <w:color w:val="000000"/>
          <w:sz w:val="24"/>
          <w:szCs w:val="24"/>
        </w:rPr>
        <w:t xml:space="preserve"> Os atos do presente processo serão publicados no Diário Oficial do Estado de Santa Catarina (DOE/SC), bem como no Portal de Compras e Licitações da SES (www.portaldecompras.sc.gov.br);</w:t>
      </w:r>
      <w:r>
        <w:rPr>
          <w:rFonts w:ascii="Calibri" w:hAnsi="Calibri"/>
          <w:b w:val="0"/>
          <w:bCs w:val="0"/>
          <w:color w:val="000000"/>
          <w:sz w:val="24"/>
          <w:szCs w:val="24"/>
        </w:rPr>
        <w:br w:type="textWrapping"/>
      </w:r>
      <w:r>
        <w:rPr>
          <w:rFonts w:ascii="Calibri" w:hAnsi="Calibri"/>
          <w:b/>
          <w:bCs/>
          <w:color w:val="000000"/>
          <w:sz w:val="24"/>
          <w:szCs w:val="24"/>
        </w:rPr>
        <w:t xml:space="preserve">14.2 – </w:t>
      </w:r>
      <w:r>
        <w:rPr>
          <w:rFonts w:ascii="Calibri" w:hAnsi="Calibri"/>
          <w:b w:val="0"/>
          <w:bCs w:val="0"/>
          <w:color w:val="000000"/>
          <w:sz w:val="24"/>
          <w:szCs w:val="24"/>
        </w:rPr>
        <w:t>Os atos de homologação desta licitação serão de competência do Exmo. Sr. Secretário de Estado da Saúde ou às autoridades delegadas;</w:t>
      </w:r>
      <w:r>
        <w:rPr>
          <w:rFonts w:ascii="Calibri" w:hAnsi="Calibri"/>
          <w:b w:val="0"/>
          <w:bCs w:val="0"/>
          <w:color w:val="000000"/>
          <w:sz w:val="24"/>
          <w:szCs w:val="24"/>
        </w:rPr>
        <w:br w:type="textWrapping"/>
      </w:r>
      <w:r>
        <w:rPr>
          <w:rFonts w:ascii="Calibri" w:hAnsi="Calibri"/>
          <w:b/>
          <w:bCs/>
          <w:color w:val="000000"/>
          <w:sz w:val="24"/>
          <w:szCs w:val="24"/>
        </w:rPr>
        <w:t xml:space="preserve">14.3 – </w:t>
      </w:r>
      <w:r>
        <w:rPr>
          <w:rFonts w:ascii="Calibri" w:hAnsi="Calibri"/>
          <w:b w:val="0"/>
          <w:bCs w:val="0"/>
          <w:color w:val="000000"/>
          <w:sz w:val="24"/>
          <w:szCs w:val="24"/>
        </w:rPr>
        <w:t xml:space="preserve">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b w:val="0"/>
          <w:bCs w:val="0"/>
          <w:color w:val="000000"/>
          <w:sz w:val="24"/>
          <w:szCs w:val="24"/>
        </w:rPr>
        <w:t xml:space="preserve"> por igual período, na forma do artigo 84 </w:t>
      </w:r>
      <w:r>
        <w:rPr>
          <w:rFonts w:ascii="Calibri" w:hAnsi="Calibri" w:cs="Calibri"/>
          <w:b w:val="0"/>
          <w:bCs w:val="0"/>
          <w:color w:val="000000"/>
          <w:sz w:val="24"/>
          <w:szCs w:val="24"/>
        </w:rPr>
        <w:t>da Lei n° 14.133, de 2021.</w:t>
      </w:r>
      <w:r>
        <w:rPr>
          <w:rFonts w:ascii="Calibri" w:hAnsi="Calibri"/>
          <w:b w:val="0"/>
          <w:bCs w:val="0"/>
          <w:color w:val="000000"/>
          <w:sz w:val="24"/>
          <w:szCs w:val="24"/>
        </w:rPr>
        <w:br w:type="textWrapping"/>
      </w:r>
      <w:r>
        <w:rPr>
          <w:rFonts w:ascii="Calibri" w:hAnsi="Calibri"/>
          <w:b/>
          <w:bCs/>
          <w:color w:val="000000"/>
          <w:sz w:val="24"/>
          <w:szCs w:val="24"/>
        </w:rPr>
        <w:t>14.3.1 –</w:t>
      </w:r>
      <w:r>
        <w:rPr>
          <w:rFonts w:ascii="Calibri" w:hAnsi="Calibri"/>
          <w:b w:val="0"/>
          <w:bCs w:val="0"/>
          <w:color w:val="000000"/>
          <w:sz w:val="24"/>
          <w:szCs w:val="24"/>
        </w:rPr>
        <w:t xml:space="preserve"> Dentro do prazo de vigência do Registro de Preços, as licitantes que tiverem seus preços registrados ficarão obrigadas ao fornecimento, desde que obedecidas às condições deste Edital e da respectiva Ata de Registro de Preços;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14.3.2 –</w:t>
      </w:r>
      <w:r>
        <w:rPr>
          <w:rFonts w:ascii="Calibri" w:hAnsi="Calibri"/>
          <w:b w:val="0"/>
          <w:bCs w:val="0"/>
          <w:color w:val="000000"/>
          <w:sz w:val="24"/>
          <w:szCs w:val="24"/>
        </w:rPr>
        <w:t xml:space="preserve"> Dentro do prazo da vigência da Ata de Registro de Preços, ou enquanto perdurar o saldo desta, A SES não participará de Ata de Registro de preços para os mesmos itens cujo os preços foram registrados neste instrumento, salvo na ocorrência de Ata que tenha registrado quantitativo inferior ao máximo previsto no edital, conforme art. 82, VIII, da Lei n.º 14.133/2021;</w:t>
      </w:r>
      <w:r>
        <w:rPr>
          <w:rFonts w:ascii="Calibri" w:hAnsi="Calibri"/>
          <w:b w:val="0"/>
          <w:bCs w:val="0"/>
          <w:color w:val="000000"/>
          <w:sz w:val="24"/>
          <w:szCs w:val="24"/>
        </w:rPr>
        <w:br w:type="textWrapping"/>
      </w:r>
      <w:r>
        <w:rPr>
          <w:rFonts w:ascii="Calibri" w:hAnsi="Calibri"/>
          <w:b/>
          <w:bCs/>
          <w:color w:val="000000"/>
          <w:sz w:val="24"/>
          <w:szCs w:val="24"/>
        </w:rPr>
        <w:t>14.4 –</w:t>
      </w:r>
      <w:r>
        <w:rPr>
          <w:rFonts w:ascii="Calibri" w:hAnsi="Calibri"/>
          <w:b w:val="0"/>
          <w:bCs w:val="0"/>
          <w:color w:val="000000"/>
          <w:sz w:val="24"/>
          <w:szCs w:val="24"/>
        </w:rPr>
        <w:t xml:space="preserve"> A SES convocará o licitante vencedor, por meio de notificação através de e-mail, para assinar a Ata de Registro de Preços no prazo de 05 (cinco) dias úteis, permitindo a prorrogação por igual período, desde que ocorra motivo justificado e aceito pela SES;</w:t>
      </w:r>
      <w:r>
        <w:rPr>
          <w:rFonts w:ascii="Calibri" w:hAnsi="Calibri"/>
          <w:b w:val="0"/>
          <w:bCs w:val="0"/>
          <w:color w:val="000000"/>
          <w:sz w:val="24"/>
          <w:szCs w:val="24"/>
        </w:rPr>
        <w:br w:type="textWrapping"/>
      </w:r>
      <w:r>
        <w:rPr>
          <w:rFonts w:ascii="Calibri" w:hAnsi="Calibri"/>
          <w:b/>
          <w:bCs/>
          <w:color w:val="000000"/>
          <w:sz w:val="24"/>
          <w:szCs w:val="24"/>
        </w:rPr>
        <w:t>14.4.1 –</w:t>
      </w:r>
      <w:r>
        <w:rPr>
          <w:rFonts w:ascii="Calibri" w:hAnsi="Calibri"/>
          <w:b w:val="0"/>
          <w:bCs w:val="0"/>
          <w:color w:val="000000"/>
          <w:sz w:val="24"/>
          <w:szCs w:val="24"/>
        </w:rPr>
        <w:t xml:space="preserve"> A Ata de Registro de Preços será assinada pelo órgão gerenciador e pelos fornecedores cujos preços forem registrados. E, depois de cumpridos os requisitos de publicidade, terão efeito de compromisso de fornecimento nas condições estabelecidas no presente instrumento licitatório;</w:t>
      </w:r>
      <w:r>
        <w:rPr>
          <w:rFonts w:ascii="Calibri" w:hAnsi="Calibri"/>
          <w:b w:val="0"/>
          <w:bCs w:val="0"/>
          <w:color w:val="000000"/>
          <w:sz w:val="24"/>
          <w:szCs w:val="24"/>
        </w:rPr>
        <w:br w:type="textWrapping"/>
      </w:r>
      <w:r>
        <w:rPr>
          <w:rFonts w:ascii="Calibri" w:hAnsi="Calibri"/>
          <w:b/>
          <w:bCs/>
          <w:color w:val="000000"/>
          <w:sz w:val="24"/>
          <w:szCs w:val="24"/>
        </w:rPr>
        <w:t>14.4.2 –</w:t>
      </w:r>
      <w:r>
        <w:rPr>
          <w:rFonts w:ascii="Calibri" w:hAnsi="Calibri"/>
          <w:b w:val="0"/>
          <w:bCs w:val="0"/>
          <w:color w:val="000000"/>
          <w:sz w:val="24"/>
          <w:szCs w:val="24"/>
        </w:rPr>
        <w:t xml:space="preserve"> A licitante que tiver seu preço registrado se obriga a manter, na assinatura da Ata de Registro de Preços e durante o prazo de vigência da mesma, todas as condições de habilitação exigidas no Capítulo VIII deste Edital;</w:t>
      </w:r>
      <w:r>
        <w:rPr>
          <w:rFonts w:ascii="Calibri" w:hAnsi="Calibri"/>
          <w:b w:val="0"/>
          <w:bCs w:val="0"/>
          <w:color w:val="000000"/>
          <w:sz w:val="24"/>
          <w:szCs w:val="24"/>
        </w:rPr>
        <w:br w:type="textWrapping"/>
      </w:r>
      <w:r>
        <w:rPr>
          <w:rFonts w:ascii="Calibri" w:hAnsi="Calibri"/>
          <w:b/>
          <w:bCs/>
          <w:color w:val="000000"/>
          <w:sz w:val="24"/>
          <w:szCs w:val="24"/>
        </w:rPr>
        <w:t>14.4.3 –</w:t>
      </w:r>
      <w:r>
        <w:rPr>
          <w:rFonts w:ascii="Calibri" w:hAnsi="Calibri"/>
          <w:b w:val="0"/>
          <w:bCs w:val="0"/>
          <w:color w:val="000000"/>
          <w:sz w:val="24"/>
          <w:szCs w:val="24"/>
        </w:rPr>
        <w:t xml:space="preserve"> No caso do fornecedor primeiro classificado, depois de convocado, não atender as condições de habilitação, não comparecer ou recusar-se a assinar a Ata de Registro de Preços, responderá na forma da legislação vigente, sem prejuízo das cominações a ele previstas neste Edital;</w:t>
      </w:r>
      <w:r>
        <w:rPr>
          <w:rFonts w:ascii="Calibri" w:hAnsi="Calibri"/>
          <w:b w:val="0"/>
          <w:bCs w:val="0"/>
          <w:color w:val="000000"/>
          <w:sz w:val="24"/>
          <w:szCs w:val="24"/>
        </w:rPr>
        <w:br w:type="textWrapping"/>
      </w:r>
      <w:r>
        <w:rPr>
          <w:rFonts w:ascii="Calibri" w:hAnsi="Calibri"/>
          <w:b/>
          <w:bCs/>
          <w:color w:val="000000"/>
          <w:sz w:val="24"/>
          <w:szCs w:val="24"/>
        </w:rPr>
        <w:t>14.5 –</w:t>
      </w:r>
      <w:r>
        <w:rPr>
          <w:rFonts w:ascii="Calibri" w:hAnsi="Calibri"/>
          <w:b w:val="0"/>
          <w:bCs w:val="0"/>
          <w:color w:val="000000"/>
          <w:sz w:val="24"/>
          <w:szCs w:val="24"/>
        </w:rPr>
        <w:t xml:space="preserve"> As aquisições obedecerão à conveniência e às necessidades da Secretaria de Estado da Saúde de Santa Catarina e será procedida pela emissão de Autorização de Fornecimento (AF) ou por documento equivalente;</w:t>
      </w:r>
      <w:r>
        <w:rPr>
          <w:rFonts w:ascii="Calibri" w:hAnsi="Calibri"/>
          <w:b w:val="0"/>
          <w:bCs w:val="0"/>
          <w:color w:val="000000"/>
          <w:sz w:val="24"/>
          <w:szCs w:val="24"/>
        </w:rPr>
        <w:br w:type="textWrapping"/>
      </w:r>
      <w:r>
        <w:rPr>
          <w:rFonts w:ascii="Calibri" w:hAnsi="Calibri"/>
          <w:b/>
          <w:bCs/>
          <w:color w:val="000000"/>
          <w:sz w:val="24"/>
          <w:szCs w:val="24"/>
        </w:rPr>
        <w:t>14.5.1 –</w:t>
      </w:r>
      <w:r>
        <w:rPr>
          <w:rFonts w:ascii="Calibri" w:hAnsi="Calibri"/>
          <w:b w:val="0"/>
          <w:bCs w:val="0"/>
          <w:color w:val="000000"/>
          <w:sz w:val="24"/>
          <w:szCs w:val="24"/>
        </w:rPr>
        <w:t xml:space="preserve"> A SES encaminhará ao detentor do preço registrado a Autorização de Fornecimento (AF), através de e-mail, devendo atender ao fornecimento no prazo e no local de entrega estabelecido;</w:t>
      </w:r>
      <w:r>
        <w:rPr>
          <w:rFonts w:ascii="Calibri" w:hAnsi="Calibri"/>
          <w:b w:val="0"/>
          <w:bCs w:val="0"/>
          <w:color w:val="000000"/>
          <w:sz w:val="24"/>
          <w:szCs w:val="24"/>
        </w:rPr>
        <w:br w:type="textWrapping"/>
      </w:r>
      <w:r>
        <w:rPr>
          <w:rFonts w:ascii="Calibri" w:hAnsi="Calibri"/>
          <w:b/>
          <w:bCs/>
          <w:color w:val="000000"/>
          <w:sz w:val="24"/>
          <w:szCs w:val="24"/>
        </w:rPr>
        <w:t>14.6 –</w:t>
      </w:r>
      <w:r>
        <w:rPr>
          <w:rFonts w:ascii="Calibri" w:hAnsi="Calibri"/>
          <w:b w:val="0"/>
          <w:bCs w:val="0"/>
          <w:color w:val="000000"/>
          <w:sz w:val="24"/>
          <w:szCs w:val="24"/>
        </w:rPr>
        <w:t xml:space="preserve"> A existência de preços registrados não obriga os órgãos: gerenciador e participantes deste Registro de Preços a efetivar as contratações que dele poderão advir, ficando-lhes facultada a adoção de outros meios para a contratação do fornecimento pretendido, respeitado a legislação relativa às licitações, sendo assegurado ao detentor do Preço Registrado a preferência em igualdade de condições;</w:t>
      </w:r>
      <w:r>
        <w:rPr>
          <w:rFonts w:ascii="Calibri" w:hAnsi="Calibri"/>
          <w:b w:val="0"/>
          <w:bCs w:val="0"/>
          <w:color w:val="000000"/>
          <w:sz w:val="24"/>
          <w:szCs w:val="24"/>
        </w:rPr>
        <w:br w:type="textWrapping"/>
      </w:r>
      <w:r>
        <w:rPr>
          <w:rFonts w:ascii="Calibri" w:hAnsi="Calibri"/>
          <w:b/>
          <w:bCs/>
          <w:color w:val="000000"/>
          <w:sz w:val="24"/>
          <w:szCs w:val="24"/>
        </w:rPr>
        <w:t>14.7 –</w:t>
      </w:r>
      <w:r>
        <w:rPr>
          <w:rFonts w:ascii="Calibri" w:hAnsi="Calibri"/>
          <w:b w:val="0"/>
          <w:bCs w:val="0"/>
          <w:color w:val="000000"/>
          <w:sz w:val="24"/>
          <w:szCs w:val="24"/>
        </w:rPr>
        <w:t xml:space="preserve"> O exercício de preferência previsto no item anterior dar-se-á caso os órgãos participantes deste Registro de Preços optem por contratar o fornecimento através de licitação específica e o preço encontrado for igual ou superior ao registrado.</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15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DA SUBCONTRATAÇÃO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15.1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Não será admitida a subcontratação do objeto contratual.</w:t>
      </w:r>
    </w:p>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16 </w:t>
      </w:r>
      <w:r>
        <w:rPr>
          <w:rFonts w:ascii="Calibri" w:hAnsi="Calibri" w:eastAsia="NSimSun" w:cs="Lucida Sans"/>
          <w:b/>
          <w:bCs/>
          <w:color w:val="000000"/>
          <w:kern w:val="0"/>
          <w:sz w:val="24"/>
          <w:szCs w:val="24"/>
          <w:lang w:val="pt-BR" w:eastAsia="zh-CN" w:bidi="hi-IN"/>
        </w:rPr>
        <w:t xml:space="preserve">– </w:t>
      </w:r>
      <w:r>
        <w:rPr>
          <w:rFonts w:ascii="Calibri" w:hAnsi="Calibri"/>
          <w:b/>
          <w:bCs/>
          <w:color w:val="000000"/>
          <w:sz w:val="24"/>
          <w:szCs w:val="24"/>
        </w:rPr>
        <w:t>DOS RECURSOS ORÇAMENTÁRIOS</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16.1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despesas referentes à execução do Contrato correrão a conta da seguinte dotação orçamentária:</w:t>
      </w:r>
    </w:p>
    <w:tbl>
      <w:tblPr>
        <w:tblStyle w:val="13"/>
        <w:tblW w:w="9645" w:type="dxa"/>
        <w:tblInd w:w="35" w:type="dxa"/>
        <w:tblLayout w:type="fixed"/>
        <w:tblCellMar>
          <w:top w:w="0" w:type="dxa"/>
          <w:left w:w="5" w:type="dxa"/>
          <w:bottom w:w="0" w:type="dxa"/>
          <w:right w:w="5" w:type="dxa"/>
        </w:tblCellMar>
      </w:tblPr>
      <w:tblGrid>
        <w:gridCol w:w="2955"/>
        <w:gridCol w:w="3614"/>
        <w:gridCol w:w="3076"/>
      </w:tblGrid>
      <w:tr>
        <w:tblPrEx>
          <w:tblCellMar>
            <w:top w:w="0" w:type="dxa"/>
            <w:left w:w="5" w:type="dxa"/>
            <w:bottom w:w="0" w:type="dxa"/>
            <w:right w:w="5" w:type="dxa"/>
          </w:tblCellMar>
        </w:tblPrEx>
        <w:trPr>
          <w:trHeight w:val="244" w:hRule="atLeast"/>
        </w:trPr>
        <w:tc>
          <w:tcPr>
            <w:tcW w:w="2955"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spacing w:before="1" w:after="0" w:line="223" w:lineRule="exact"/>
              <w:ind w:left="0" w:right="0" w:firstLine="0"/>
              <w:jc w:val="center"/>
              <w:rPr>
                <w:rFonts w:ascii="Calibri" w:hAnsi="Calibri"/>
                <w:sz w:val="24"/>
                <w:szCs w:val="24"/>
              </w:rPr>
            </w:pPr>
            <w:r>
              <w:rPr>
                <w:rFonts w:ascii="Calibri" w:hAnsi="Calibri"/>
                <w:b/>
                <w:sz w:val="24"/>
                <w:szCs w:val="24"/>
              </w:rPr>
              <w:t>Subação</w:t>
            </w:r>
          </w:p>
        </w:tc>
        <w:tc>
          <w:tcPr>
            <w:tcW w:w="3614"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spacing w:before="1" w:after="0" w:line="223" w:lineRule="exact"/>
              <w:ind w:left="0" w:right="0" w:firstLine="0"/>
              <w:jc w:val="center"/>
              <w:rPr>
                <w:rFonts w:ascii="Calibri" w:hAnsi="Calibri"/>
                <w:sz w:val="24"/>
                <w:szCs w:val="24"/>
              </w:rPr>
            </w:pPr>
            <w:r>
              <w:rPr>
                <w:rFonts w:ascii="Calibri" w:hAnsi="Calibri"/>
                <w:b/>
                <w:sz w:val="24"/>
                <w:szCs w:val="24"/>
              </w:rPr>
              <w:t>Natureza</w:t>
            </w:r>
            <w:r>
              <w:rPr>
                <w:rFonts w:ascii="Calibri" w:hAnsi="Calibri"/>
                <w:b/>
                <w:spacing w:val="-8"/>
                <w:sz w:val="24"/>
                <w:szCs w:val="24"/>
              </w:rPr>
              <w:t xml:space="preserve"> </w:t>
            </w:r>
            <w:r>
              <w:rPr>
                <w:rFonts w:ascii="Calibri" w:hAnsi="Calibri"/>
                <w:b/>
                <w:sz w:val="24"/>
                <w:szCs w:val="24"/>
              </w:rPr>
              <w:t>de</w:t>
            </w:r>
            <w:r>
              <w:rPr>
                <w:rFonts w:ascii="Calibri" w:hAnsi="Calibri"/>
                <w:b/>
                <w:spacing w:val="-2"/>
                <w:sz w:val="24"/>
                <w:szCs w:val="24"/>
              </w:rPr>
              <w:t xml:space="preserve"> </w:t>
            </w:r>
            <w:r>
              <w:rPr>
                <w:rFonts w:ascii="Calibri" w:hAnsi="Calibri"/>
                <w:b/>
                <w:sz w:val="24"/>
                <w:szCs w:val="24"/>
              </w:rPr>
              <w:t>Despesa</w:t>
            </w:r>
          </w:p>
        </w:tc>
        <w:tc>
          <w:tcPr>
            <w:tcW w:w="3076"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spacing w:before="1" w:after="0" w:line="223" w:lineRule="exact"/>
              <w:ind w:left="0" w:right="0" w:firstLine="0"/>
              <w:jc w:val="center"/>
              <w:rPr>
                <w:rFonts w:ascii="Calibri" w:hAnsi="Calibri"/>
                <w:sz w:val="24"/>
                <w:szCs w:val="24"/>
              </w:rPr>
            </w:pPr>
            <w:r>
              <w:rPr>
                <w:rFonts w:ascii="Calibri" w:hAnsi="Calibri"/>
                <w:b/>
                <w:sz w:val="24"/>
                <w:szCs w:val="24"/>
              </w:rPr>
              <w:t>Fonte</w:t>
            </w:r>
          </w:p>
        </w:tc>
      </w:tr>
      <w:tr>
        <w:trPr>
          <w:trHeight w:val="246" w:hRule="atLeast"/>
        </w:trPr>
        <w:tc>
          <w:tcPr>
            <w:tcW w:w="2955"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ind w:left="0" w:right="0" w:firstLine="0"/>
              <w:jc w:val="center"/>
              <w:rPr>
                <w:rFonts w:ascii="Calibri" w:hAnsi="Calibri"/>
                <w:sz w:val="24"/>
                <w:szCs w:val="24"/>
              </w:rPr>
            </w:pPr>
            <w:r>
              <w:rPr>
                <w:rFonts w:ascii="Calibri" w:hAnsi="Calibri" w:eastAsia="Arial" w:cs="Arial"/>
                <w:b/>
                <w:bCs/>
                <w:color w:val="000000"/>
                <w:kern w:val="0"/>
                <w:sz w:val="24"/>
                <w:szCs w:val="24"/>
                <w:lang w:val="en-US" w:eastAsia="zh-CN" w:bidi="ar-SA"/>
              </w:rPr>
              <w:t>5429</w:t>
            </w:r>
          </w:p>
        </w:tc>
        <w:tc>
          <w:tcPr>
            <w:tcW w:w="3614"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ind w:left="0" w:right="0" w:firstLine="0"/>
              <w:jc w:val="center"/>
              <w:rPr>
                <w:rFonts w:ascii="Calibri" w:hAnsi="Calibri"/>
                <w:sz w:val="24"/>
                <w:szCs w:val="24"/>
              </w:rPr>
            </w:pPr>
            <w:r>
              <w:rPr>
                <w:rFonts w:ascii="Calibri" w:hAnsi="Calibri"/>
                <w:b/>
                <w:bCs/>
                <w:sz w:val="24"/>
                <w:szCs w:val="24"/>
              </w:rPr>
              <w:t>33.90.</w:t>
            </w:r>
            <w:r>
              <w:rPr>
                <w:rFonts w:ascii="Calibri" w:hAnsi="Calibri" w:eastAsia="Arial" w:cs="Arial"/>
                <w:b/>
                <w:bCs/>
                <w:color w:val="000000"/>
                <w:kern w:val="0"/>
                <w:sz w:val="24"/>
                <w:szCs w:val="24"/>
                <w:lang w:val="en-US" w:eastAsia="zh-CN" w:bidi="ar-SA"/>
              </w:rPr>
              <w:t>30</w:t>
            </w:r>
            <w:r>
              <w:rPr>
                <w:rFonts w:ascii="Calibri" w:hAnsi="Calibri"/>
                <w:b/>
                <w:bCs/>
                <w:sz w:val="24"/>
                <w:szCs w:val="24"/>
              </w:rPr>
              <w:t>.</w:t>
            </w:r>
            <w:r>
              <w:rPr>
                <w:rFonts w:ascii="Calibri" w:hAnsi="Calibri" w:eastAsia="Arial" w:cs="Arial"/>
                <w:b/>
                <w:bCs/>
                <w:color w:val="000000"/>
                <w:kern w:val="0"/>
                <w:sz w:val="24"/>
                <w:szCs w:val="24"/>
                <w:lang w:val="en-US" w:eastAsia="zh-CN" w:bidi="ar-SA"/>
              </w:rPr>
              <w:t>43</w:t>
            </w:r>
          </w:p>
        </w:tc>
        <w:tc>
          <w:tcPr>
            <w:tcW w:w="3076" w:type="dxa"/>
            <w:tcBorders>
              <w:top w:val="single" w:color="000000" w:sz="4" w:space="0"/>
              <w:left w:val="single" w:color="000000" w:sz="4" w:space="0"/>
              <w:bottom w:val="single" w:color="000000" w:sz="4" w:space="0"/>
              <w:right w:val="single" w:color="000000" w:sz="4" w:space="0"/>
            </w:tcBorders>
          </w:tcPr>
          <w:p>
            <w:pPr>
              <w:pStyle w:val="674"/>
              <w:widowControl w:val="0"/>
              <w:overflowPunct/>
              <w:bidi w:val="0"/>
              <w:ind w:left="0" w:right="0" w:firstLine="0"/>
              <w:jc w:val="center"/>
              <w:rPr>
                <w:rFonts w:ascii="Calibri" w:hAnsi="Calibri"/>
                <w:sz w:val="24"/>
                <w:szCs w:val="24"/>
              </w:rPr>
            </w:pPr>
            <w:r>
              <w:rPr>
                <w:rFonts w:ascii="Calibri" w:hAnsi="Calibri"/>
                <w:b/>
                <w:bCs/>
                <w:sz w:val="24"/>
                <w:szCs w:val="24"/>
              </w:rPr>
              <w:t>1.500.100.000</w:t>
            </w:r>
          </w:p>
        </w:tc>
      </w:tr>
    </w:tbl>
    <w:p>
      <w:pPr>
        <w:pStyle w:val="2"/>
        <w:overflowPunct/>
        <w:bidi w:val="0"/>
        <w:spacing w:before="1" w:after="0"/>
        <w:ind w:left="0" w:right="0" w:firstLine="0"/>
        <w:jc w:val="both"/>
        <w:rPr>
          <w:rFonts w:ascii="Calibri" w:hAnsi="Calibri"/>
          <w:b w:val="0"/>
          <w:bCs w:val="0"/>
          <w:color w:val="000000"/>
          <w:sz w:val="24"/>
          <w:szCs w:val="24"/>
        </w:rPr>
      </w:pP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 – DAS IMPUGNAÇÕES E DOS PEDIDOS DE ESCLARECIMENTO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17.1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Qualquer pessoa, até 03 (três) dias úteis antes da abertura da sessão, poderá impugnar o ato convocatório solicitar esclarecimento sobre os seus termos, exclusivamente por meio eletrônico via internet, nos endereços eletrônicos www.portaldecompras.sc.gov.br, quando optar por efetuar o download do edital como interessado ou e-lic.sc.gov.br, quando acessar o link do processo, selecionando painel de controle botão “Fórum”.</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17.1.</w:t>
      </w:r>
      <w:r>
        <w:rPr>
          <w:rFonts w:ascii="Calibri" w:hAnsi="Calibri"/>
          <w:b/>
          <w:bCs/>
          <w:color w:val="000000"/>
          <w:sz w:val="24"/>
          <w:szCs w:val="24"/>
          <w:lang w:val="pt-BR"/>
        </w:rPr>
        <w:t>1</w:t>
      </w:r>
      <w:r>
        <w:rPr>
          <w:rFonts w:ascii="Calibri" w:hAnsi="Calibri"/>
          <w:b w:val="0"/>
          <w:bCs w:val="0"/>
          <w:color w:val="000000"/>
          <w:sz w:val="24"/>
          <w:szCs w:val="24"/>
          <w:lang w:val="pt-BR"/>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Fornecedores cadastrados podem optar ao efetuar o login, acessando o processo eletrônico, botão “Impugnação”.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17.2</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O Sistema permite, após salvar as informações iniciais e emitir o número de registro da impugnação, inserir Anexos na aba correspondente.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17.2.1</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 xml:space="preserve">– </w:t>
      </w:r>
      <w:r>
        <w:rPr>
          <w:rFonts w:ascii="Calibri" w:hAnsi="Calibri"/>
          <w:b w:val="0"/>
          <w:bCs w:val="0"/>
          <w:color w:val="000000"/>
          <w:sz w:val="24"/>
          <w:szCs w:val="24"/>
        </w:rPr>
        <w:t>As impugnações registradas no Sistema, com ou sem anexos, constituem meio legal de prova, não sendo obrigatório o encaminhamento do original.</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17.3 –</w:t>
      </w:r>
      <w:r>
        <w:rPr>
          <w:rFonts w:ascii="Calibri" w:hAnsi="Calibri"/>
          <w:b w:val="0"/>
          <w:bCs w:val="0"/>
          <w:color w:val="000000"/>
          <w:sz w:val="24"/>
          <w:szCs w:val="24"/>
        </w:rPr>
        <w:t xml:space="preserve"> Não serão aceitos quaisquer documentos senão pelo Sistema eletrônico.</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17.4</w:t>
      </w:r>
      <w:r>
        <w:rPr>
          <w:rFonts w:ascii="Calibri" w:hAnsi="Calibri"/>
          <w:b w:val="0"/>
          <w:bCs w:val="0"/>
          <w:color w:val="000000"/>
          <w:sz w:val="24"/>
          <w:szCs w:val="24"/>
        </w:rPr>
        <w:t xml:space="preserve">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 resposta à impugnação ou ao pedido de esclarecimento será divulgado em sítio eletrônico oficial no prazo de até 3 (três) dias úteis, limitado ao último dia útil anterior à data da abertura do certame.</w:t>
      </w:r>
    </w:p>
    <w:p>
      <w:pPr>
        <w:pStyle w:val="2"/>
        <w:overflowPunct/>
        <w:bidi w:val="0"/>
        <w:spacing w:before="1" w:after="0"/>
        <w:ind w:left="0" w:right="0" w:firstLine="0"/>
        <w:jc w:val="both"/>
        <w:rPr>
          <w:rFonts w:ascii="Calibri" w:hAnsi="Calibri"/>
          <w:sz w:val="24"/>
          <w:szCs w:val="24"/>
        </w:rPr>
      </w:pPr>
      <w:r>
        <w:rPr>
          <w:rFonts w:ascii="Calibri" w:hAnsi="Calibri"/>
          <w:b/>
          <w:bCs/>
          <w:color w:val="000000"/>
          <w:sz w:val="24"/>
          <w:szCs w:val="24"/>
        </w:rPr>
        <w:t xml:space="preserve">17.5 </w:t>
      </w:r>
      <w:r>
        <w:rPr>
          <w:rFonts w:ascii="Calibri" w:hAnsi="Calibri" w:eastAsia="NSimSun" w:cs="Lucida Sans"/>
          <w:b/>
          <w:bCs/>
          <w:color w:val="000000"/>
          <w:kern w:val="0"/>
          <w:sz w:val="24"/>
          <w:szCs w:val="24"/>
          <w:lang w:val="pt-BR" w:eastAsia="zh-CN" w:bidi="hi-IN"/>
        </w:rPr>
        <w:t>–</w:t>
      </w:r>
      <w:r>
        <w:rPr>
          <w:rFonts w:ascii="Calibri" w:hAnsi="Calibri"/>
          <w:b w:val="0"/>
          <w:bCs w:val="0"/>
          <w:color w:val="000000"/>
          <w:sz w:val="24"/>
          <w:szCs w:val="24"/>
        </w:rPr>
        <w:t xml:space="preserve"> As impugnações e pedidos de esclarecimentos não suspendem os prazos previstos no certame.</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b w:val="0"/>
          <w:bCs w:val="0"/>
          <w:color w:val="000000"/>
        </w:rPr>
      </w:pPr>
      <w:r>
        <w:rPr>
          <w:rFonts w:ascii="Calibri" w:hAnsi="Calibri"/>
          <w:b/>
          <w:bCs/>
          <w:color w:val="000000"/>
          <w:sz w:val="24"/>
          <w:szCs w:val="24"/>
        </w:rPr>
        <w:t>18  – DO ATENDIMENTO A LEI 17.983 DE 19 DE AGOSTO DE 2020</w:t>
      </w:r>
      <w:r>
        <w:rPr>
          <w:rFonts w:ascii="Calibri" w:hAnsi="Calibri"/>
          <w:b w:val="0"/>
          <w:bCs w:val="0"/>
          <w:color w:val="000000"/>
          <w:sz w:val="24"/>
          <w:szCs w:val="24"/>
        </w:rPr>
        <w:br w:type="textWrapping"/>
      </w:r>
      <w:r>
        <w:rPr>
          <w:rFonts w:ascii="Calibri" w:hAnsi="Calibri"/>
          <w:b/>
          <w:bCs/>
          <w:color w:val="000000"/>
          <w:sz w:val="24"/>
          <w:szCs w:val="24"/>
        </w:rPr>
        <w:t>18.1 -</w:t>
      </w:r>
      <w:r>
        <w:rPr>
          <w:rFonts w:ascii="Calibri" w:hAnsi="Calibri"/>
          <w:b w:val="0"/>
          <w:bCs w:val="0"/>
          <w:color w:val="000000"/>
          <w:sz w:val="24"/>
          <w:szCs w:val="24"/>
        </w:rPr>
        <w:t xml:space="preserve"> 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b w:val="0"/>
          <w:bCs w:val="0"/>
          <w:color w:val="000000"/>
          <w:sz w:val="24"/>
          <w:szCs w:val="24"/>
        </w:rPr>
        <w:br w:type="textWrapping"/>
      </w:r>
      <w:r>
        <w:rPr>
          <w:rFonts w:ascii="Calibri" w:hAnsi="Calibri"/>
          <w:b/>
          <w:bCs/>
          <w:color w:val="000000"/>
          <w:sz w:val="24"/>
          <w:szCs w:val="24"/>
        </w:rPr>
        <w:t>18.1.1 -</w:t>
      </w:r>
      <w:r>
        <w:rPr>
          <w:rFonts w:ascii="Calibri" w:hAnsi="Calibri"/>
          <w:b w:val="0"/>
          <w:bCs w:val="0"/>
          <w:color w:val="000000"/>
          <w:sz w:val="24"/>
          <w:szCs w:val="24"/>
        </w:rPr>
        <w:t xml:space="preserve"> A publicação deverá ser no Portal da Transparência do órgão contratante, em local de fácil acesso, devendo constar:</w:t>
      </w:r>
      <w:r>
        <w:rPr>
          <w:rFonts w:ascii="Calibri" w:hAnsi="Calibri"/>
          <w:b w:val="0"/>
          <w:bCs w:val="0"/>
          <w:color w:val="000000"/>
          <w:sz w:val="24"/>
          <w:szCs w:val="24"/>
        </w:rPr>
        <w:br w:type="textWrapping"/>
      </w:r>
      <w:r>
        <w:rPr>
          <w:rFonts w:ascii="Calibri" w:hAnsi="Calibri"/>
          <w:b w:val="0"/>
          <w:bCs w:val="0"/>
          <w:color w:val="000000"/>
          <w:sz w:val="24"/>
          <w:szCs w:val="24"/>
        </w:rPr>
        <w:t>I - relação dos sócios-proprietários com o número de Cadastro de Pessoa Física (CPF);</w:t>
      </w:r>
      <w:r>
        <w:rPr>
          <w:rFonts w:ascii="Calibri" w:hAnsi="Calibri"/>
          <w:b w:val="0"/>
          <w:bCs w:val="0"/>
          <w:color w:val="000000"/>
          <w:sz w:val="24"/>
          <w:szCs w:val="24"/>
        </w:rPr>
        <w:br w:type="textWrapping"/>
      </w:r>
      <w:r>
        <w:rPr>
          <w:rFonts w:ascii="Calibri" w:hAnsi="Calibri"/>
          <w:b w:val="0"/>
          <w:bCs w:val="0"/>
          <w:color w:val="000000"/>
          <w:sz w:val="24"/>
          <w:szCs w:val="24"/>
        </w:rPr>
        <w:t>II - endereço da sede da empresa contratada, em conformidade com contrato social;</w:t>
      </w:r>
      <w:r>
        <w:rPr>
          <w:rFonts w:ascii="Calibri" w:hAnsi="Calibri"/>
          <w:b w:val="0"/>
          <w:bCs w:val="0"/>
          <w:color w:val="000000"/>
          <w:sz w:val="24"/>
          <w:szCs w:val="24"/>
        </w:rPr>
        <w:br w:type="textWrapping"/>
      </w:r>
      <w:r>
        <w:rPr>
          <w:rFonts w:ascii="Calibri" w:hAnsi="Calibri"/>
          <w:b w:val="0"/>
          <w:bCs w:val="0"/>
          <w:color w:val="000000"/>
          <w:sz w:val="24"/>
          <w:szCs w:val="24"/>
        </w:rPr>
        <w:t>III - foto da fachada da sede da empresa; e</w:t>
      </w:r>
      <w:r>
        <w:rPr>
          <w:rFonts w:ascii="Calibri" w:hAnsi="Calibri"/>
          <w:b w:val="0"/>
          <w:bCs w:val="0"/>
          <w:color w:val="000000"/>
          <w:sz w:val="24"/>
          <w:szCs w:val="24"/>
        </w:rPr>
        <w:br w:type="textWrapping"/>
      </w:r>
      <w:r>
        <w:rPr>
          <w:rFonts w:ascii="Calibri" w:hAnsi="Calibri"/>
          <w:b w:val="0"/>
          <w:bCs w:val="0"/>
          <w:color w:val="000000"/>
          <w:sz w:val="24"/>
          <w:szCs w:val="24"/>
        </w:rPr>
        <w:t>IV - extrato da minuta do contrato firmado entre Administração Pública e a empresa contratada.</w:t>
      </w:r>
    </w:p>
    <w:p>
      <w:pPr>
        <w:pStyle w:val="2"/>
        <w:overflowPunct/>
        <w:bidi w:val="0"/>
        <w:spacing w:before="1" w:after="0"/>
        <w:ind w:left="0" w:right="0" w:firstLine="0"/>
        <w:jc w:val="both"/>
        <w:rPr>
          <w:b w:val="0"/>
          <w:bCs w:val="0"/>
          <w:color w:val="000000"/>
        </w:rPr>
      </w:pPr>
    </w:p>
    <w:p>
      <w:pPr>
        <w:pStyle w:val="2"/>
        <w:overflowPunct/>
        <w:bidi w:val="0"/>
        <w:spacing w:before="1" w:after="0"/>
        <w:ind w:left="0" w:right="0" w:firstLine="0"/>
        <w:jc w:val="both"/>
        <w:rPr>
          <w:b/>
          <w:bCs/>
        </w:rPr>
      </w:pPr>
      <w:r>
        <w:rPr>
          <w:rFonts w:ascii="Calibri" w:hAnsi="Calibri"/>
          <w:b/>
          <w:bCs/>
          <w:color w:val="000000"/>
          <w:sz w:val="24"/>
          <w:szCs w:val="24"/>
        </w:rPr>
        <w:t>19 – DAS PRÁTICAS FRAUDULENTAS E DE CORRUPÇÃO</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19.1 -</w:t>
      </w:r>
      <w:r>
        <w:rPr>
          <w:rFonts w:ascii="Calibri" w:hAnsi="Calibri"/>
          <w:b w:val="0"/>
          <w:bCs w:val="0"/>
          <w:color w:val="000000"/>
          <w:sz w:val="24"/>
          <w:szCs w:val="24"/>
        </w:rPr>
        <w:t xml:space="preserve"> As partes, por seus agentes públicos ou por seus sócios, acionistas, administradores e colaboradores:</w:t>
      </w:r>
    </w:p>
    <w:p>
      <w:pPr>
        <w:pStyle w:val="2"/>
        <w:overflowPunct/>
        <w:bidi w:val="0"/>
        <w:spacing w:before="1" w:after="0"/>
        <w:ind w:left="0" w:right="0" w:firstLine="0"/>
        <w:jc w:val="both"/>
        <w:rPr>
          <w:b w:val="0"/>
          <w:bCs w:val="0"/>
          <w:color w:val="000000"/>
        </w:rPr>
      </w:pPr>
      <w:r>
        <w:rPr>
          <w:rFonts w:ascii="Calibri" w:hAnsi="Calibri"/>
          <w:b w:val="0"/>
          <w:bCs w:val="0"/>
          <w:color w:val="000000"/>
          <w:sz w:val="24"/>
          <w:szCs w:val="24"/>
        </w:rPr>
        <w:t>I – Declaram que têm conhecimento das normas previstas na legislação, entre as quais nas Leis n° 8.429/1992 e nº 12.846/2013, seus regulamentos e eventuais outras aplicáveis;</w:t>
      </w:r>
    </w:p>
    <w:p>
      <w:pPr>
        <w:pStyle w:val="2"/>
        <w:overflowPunct/>
        <w:bidi w:val="0"/>
        <w:spacing w:before="1" w:after="0"/>
        <w:ind w:left="0" w:right="0" w:firstLine="0"/>
        <w:jc w:val="both"/>
        <w:rPr>
          <w:b w:val="0"/>
          <w:bCs w:val="0"/>
          <w:color w:val="000000"/>
        </w:rPr>
      </w:pPr>
      <w:r>
        <w:rPr>
          <w:rFonts w:ascii="Calibri" w:hAnsi="Calibri"/>
          <w:b w:val="0"/>
          <w:bCs w:val="0"/>
          <w:color w:val="000000"/>
          <w:sz w:val="24"/>
          <w:szCs w:val="24"/>
        </w:rPr>
        <w:t>II – Comprometem-se em não adotar práticas ou procedimentos que se enquadrem nas hipóteses previstas nas leis e regulamentos mencionados no inciso anterior e se comprometem em exigir o mesmo pelos terceiros por elas contratados;</w:t>
      </w:r>
    </w:p>
    <w:p>
      <w:pPr>
        <w:pStyle w:val="2"/>
        <w:overflowPunct/>
        <w:bidi w:val="0"/>
        <w:spacing w:before="1" w:after="0"/>
        <w:ind w:left="0" w:right="0" w:firstLine="0"/>
        <w:jc w:val="both"/>
        <w:rPr>
          <w:b w:val="0"/>
          <w:bCs w:val="0"/>
          <w:color w:val="000000"/>
        </w:rPr>
      </w:pPr>
      <w:r>
        <w:rPr>
          <w:rFonts w:ascii="Calibri" w:hAnsi="Calibri"/>
          <w:b w:val="0"/>
          <w:bCs w:val="0"/>
          <w:color w:val="000000"/>
          <w:sz w:val="24"/>
          <w:szCs w:val="24"/>
        </w:rPr>
        <w:t>III – Comprometem-se em notificar à Controladoria-Geral do Estado qualquer irregularidade que tiverem conhecimento acerca da execução do contrato;</w:t>
      </w:r>
    </w:p>
    <w:p>
      <w:pPr>
        <w:pStyle w:val="2"/>
        <w:overflowPunct/>
        <w:bidi w:val="0"/>
        <w:spacing w:before="1" w:after="0"/>
        <w:ind w:left="0" w:right="0" w:firstLine="0"/>
        <w:jc w:val="both"/>
        <w:rPr>
          <w:b w:val="0"/>
          <w:bCs w:val="0"/>
          <w:color w:val="000000"/>
        </w:rPr>
      </w:pPr>
      <w:r>
        <w:rPr>
          <w:rFonts w:ascii="Calibri" w:hAnsi="Calibri"/>
          <w:b w:val="0"/>
          <w:bCs w:val="0"/>
          <w:color w:val="000000"/>
          <w:sz w:val="24"/>
          <w:szCs w:val="24"/>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overflowPunct/>
        <w:bidi w:val="0"/>
        <w:spacing w:before="1" w:after="0"/>
        <w:ind w:left="0" w:right="0" w:firstLine="0"/>
        <w:jc w:val="both"/>
        <w:rPr>
          <w:b w:val="0"/>
          <w:bCs w:val="0"/>
          <w:color w:val="000000"/>
        </w:rPr>
      </w:pPr>
    </w:p>
    <w:p>
      <w:pPr>
        <w:pStyle w:val="2"/>
        <w:overflowPunct/>
        <w:bidi w:val="0"/>
        <w:spacing w:before="1" w:after="0"/>
        <w:ind w:left="0" w:right="0" w:firstLine="0"/>
        <w:jc w:val="both"/>
        <w:rPr>
          <w:b/>
          <w:bCs/>
        </w:rPr>
      </w:pPr>
      <w:r>
        <w:rPr>
          <w:rFonts w:ascii="Calibri" w:hAnsi="Calibri"/>
          <w:b/>
          <w:bCs/>
          <w:color w:val="000000"/>
          <w:sz w:val="24"/>
          <w:szCs w:val="24"/>
        </w:rPr>
        <w:t>20 – DO ATENDIMENTO A LEI FEDERAL DE PROTEÇÃO DE DADOS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20.1 –</w:t>
      </w:r>
      <w:r>
        <w:rPr>
          <w:rFonts w:ascii="Calibri" w:hAnsi="Calibri"/>
          <w:b w:val="0"/>
          <w:bCs w:val="0"/>
          <w:color w:val="000000"/>
          <w:sz w:val="24"/>
          <w:szCs w:val="24"/>
        </w:rPr>
        <w:t xml:space="preserve">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20.2 –</w:t>
      </w:r>
      <w:r>
        <w:rPr>
          <w:rFonts w:ascii="Calibri" w:hAnsi="Calibri"/>
          <w:b w:val="0"/>
          <w:bCs w:val="0"/>
          <w:color w:val="000000"/>
          <w:sz w:val="24"/>
          <w:szCs w:val="24"/>
        </w:rPr>
        <w:t xml:space="preserve">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20.3 –</w:t>
      </w:r>
      <w:r>
        <w:rPr>
          <w:rFonts w:ascii="Calibri" w:hAnsi="Calibri"/>
          <w:b w:val="0"/>
          <w:bCs w:val="0"/>
          <w:color w:val="000000"/>
          <w:sz w:val="24"/>
          <w:szCs w:val="24"/>
        </w:rPr>
        <w:t xml:space="preserve"> A CONTRATADA somente poderá tratar dados pessoais dos usuários dos serviços contratados, nos limites e finalidades exclusivas do cumprimento de suas obrigações com base no presente contrato e jamais para qualquer outra finalidade.</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20.4 –</w:t>
      </w:r>
      <w:r>
        <w:rPr>
          <w:rFonts w:ascii="Calibri" w:hAnsi="Calibri"/>
          <w:b w:val="0"/>
          <w:bCs w:val="0"/>
          <w:color w:val="000000"/>
          <w:sz w:val="24"/>
          <w:szCs w:val="24"/>
        </w:rPr>
        <w:t xml:space="preserve">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20.5 –</w:t>
      </w:r>
      <w:r>
        <w:rPr>
          <w:rFonts w:ascii="Calibri" w:hAnsi="Calibri"/>
          <w:b w:val="0"/>
          <w:bCs w:val="0"/>
          <w:color w:val="000000"/>
          <w:sz w:val="24"/>
          <w:szCs w:val="24"/>
        </w:rPr>
        <w:t xml:space="preserve">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20.6 –</w:t>
      </w:r>
      <w:r>
        <w:rPr>
          <w:rFonts w:ascii="Calibri" w:hAnsi="Calibri"/>
          <w:b w:val="0"/>
          <w:bCs w:val="0"/>
          <w:color w:val="000000"/>
          <w:sz w:val="24"/>
          <w:szCs w:val="24"/>
        </w:rPr>
        <w:t xml:space="preserve">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 xml:space="preserve">20.7 – </w:t>
      </w:r>
      <w:r>
        <w:rPr>
          <w:rFonts w:ascii="Calibri" w:hAnsi="Calibri"/>
          <w:b w:val="0"/>
          <w:bCs w:val="0"/>
          <w:color w:val="000000"/>
          <w:sz w:val="24"/>
          <w:szCs w:val="24"/>
        </w:rPr>
        <w:t xml:space="preserve">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20.8 –</w:t>
      </w:r>
      <w:r>
        <w:rPr>
          <w:rFonts w:ascii="Calibri" w:hAnsi="Calibri"/>
          <w:b w:val="0"/>
          <w:bCs w:val="0"/>
          <w:color w:val="000000"/>
          <w:sz w:val="24"/>
          <w:szCs w:val="24"/>
        </w:rPr>
        <w:t xml:space="preserve">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20.9 –</w:t>
      </w:r>
      <w:r>
        <w:rPr>
          <w:rFonts w:ascii="Calibri" w:hAnsi="Calibri"/>
          <w:b w:val="0"/>
          <w:bCs w:val="0"/>
          <w:color w:val="000000"/>
          <w:sz w:val="24"/>
          <w:szCs w:val="24"/>
        </w:rPr>
        <w:t xml:space="preserve">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overflowPunct/>
        <w:bidi w:val="0"/>
        <w:spacing w:before="1" w:after="0"/>
        <w:ind w:left="0" w:right="0" w:firstLine="0"/>
        <w:jc w:val="both"/>
        <w:rPr>
          <w:b w:val="0"/>
          <w:bCs w:val="0"/>
          <w:color w:val="000000"/>
        </w:rPr>
      </w:pPr>
      <w:r>
        <w:rPr>
          <w:rFonts w:ascii="Calibri" w:hAnsi="Calibri"/>
          <w:b w:val="0"/>
          <w:bCs w:val="0"/>
          <w:color w:val="000000"/>
          <w:sz w:val="24"/>
          <w:szCs w:val="24"/>
        </w:rPr>
        <w:t>20.10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overflowPunct/>
        <w:bidi w:val="0"/>
        <w:spacing w:before="1" w:after="0"/>
        <w:ind w:left="0" w:right="0" w:firstLine="0"/>
        <w:jc w:val="both"/>
        <w:rPr>
          <w:b w:val="0"/>
          <w:bCs w:val="0"/>
          <w:color w:val="000000"/>
        </w:rPr>
      </w:pPr>
    </w:p>
    <w:p>
      <w:pPr>
        <w:pStyle w:val="2"/>
        <w:overflowPunct/>
        <w:bidi w:val="0"/>
        <w:spacing w:before="1" w:after="0"/>
        <w:ind w:left="0" w:right="0" w:firstLine="0"/>
        <w:jc w:val="both"/>
        <w:rPr>
          <w:b/>
          <w:bCs/>
        </w:rPr>
      </w:pPr>
      <w:r>
        <w:rPr>
          <w:rFonts w:ascii="Calibri" w:hAnsi="Calibri"/>
          <w:b/>
          <w:bCs/>
          <w:color w:val="000000"/>
          <w:sz w:val="24"/>
          <w:szCs w:val="24"/>
        </w:rPr>
        <w:t>21. – DAS DISPOSIÇÕES FINAIS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21.1 –</w:t>
      </w:r>
      <w:r>
        <w:rPr>
          <w:rFonts w:ascii="Calibri" w:hAnsi="Calibri"/>
          <w:b w:val="0"/>
          <w:bCs w:val="0"/>
          <w:color w:val="000000"/>
          <w:sz w:val="24"/>
          <w:szCs w:val="24"/>
        </w:rPr>
        <w:t xml:space="preserve"> Cópias e vistas obedecerão aos seguintes procedimentos: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21.1.1 –</w:t>
      </w:r>
      <w:r>
        <w:rPr>
          <w:rFonts w:ascii="Calibri" w:hAnsi="Calibri"/>
          <w:b w:val="0"/>
          <w:bCs w:val="0"/>
          <w:color w:val="000000"/>
          <w:sz w:val="24"/>
          <w:szCs w:val="24"/>
        </w:rPr>
        <w:t xml:space="preserve"> Cópia deste edital e seus anexos poderá ser obtida pelos interessados, no endereço eletrônico http://portaldecompras.sc.gov.br/.</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21.1.2 –</w:t>
      </w:r>
      <w:r>
        <w:rPr>
          <w:rFonts w:ascii="Calibri" w:hAnsi="Calibri"/>
          <w:b w:val="0"/>
          <w:bCs w:val="0"/>
          <w:color w:val="000000"/>
          <w:sz w:val="24"/>
          <w:szCs w:val="24"/>
        </w:rPr>
        <w:t xml:space="preserve"> Vistas ao processo licitatório (inclusive aos orçamentos estimativos) poderão ser realizadas no endereço eletrônico http://www.sea.sc.gov.br/, por intermédio do link “SGP-e”, acessando o opção “Consulta de Processos” e informando o nº do processo SGPe xxxx xxx/202x.</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21.2 –</w:t>
      </w:r>
      <w:r>
        <w:rPr>
          <w:rFonts w:ascii="Calibri" w:hAnsi="Calibri"/>
          <w:b w:val="0"/>
          <w:bCs w:val="0"/>
          <w:color w:val="000000"/>
          <w:sz w:val="24"/>
          <w:szCs w:val="24"/>
        </w:rPr>
        <w:t xml:space="preserve"> É facultado ao pregoeiro ou à autoridade superior, em qualquer fase desta licitação, promover diligência destinada a esclarecer ou complementar a instrução do processo.</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21.3 –</w:t>
      </w:r>
      <w:r>
        <w:rPr>
          <w:rFonts w:ascii="Calibri" w:hAnsi="Calibri"/>
          <w:b w:val="0"/>
          <w:bCs w:val="0"/>
          <w:color w:val="000000"/>
          <w:sz w:val="24"/>
          <w:szCs w:val="24"/>
        </w:rPr>
        <w:t xml:space="preserve"> As normas disciplinadoras da licitação serão sempre interpretadas em favor da ampliação da disputa entre os participantes, desde que não comprometam o interesse da Administração, a finalidade e a segurança da contratação.</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21.4 –</w:t>
      </w:r>
      <w:r>
        <w:rPr>
          <w:rFonts w:ascii="Calibri" w:hAnsi="Calibri"/>
          <w:b w:val="0"/>
          <w:bCs w:val="0"/>
          <w:color w:val="000000"/>
          <w:sz w:val="24"/>
          <w:szCs w:val="24"/>
        </w:rPr>
        <w:t xml:space="preserve"> A Secretaria de Estado da Saúde – SES poderá revogar o presente pregão por razões de interesse público decorrente de fato superveniente devidamente comprovado, pertinente e suficiente para justificar o ato, ou anulá-lo por ilegalidade, de ofício ou por provocação de terceiros, mediante parecer escrito e devidamente fundamentado.</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21.5 –</w:t>
      </w:r>
      <w:r>
        <w:rPr>
          <w:rFonts w:ascii="Calibri" w:hAnsi="Calibri"/>
          <w:b w:val="0"/>
          <w:bCs w:val="0"/>
          <w:color w:val="000000"/>
          <w:sz w:val="24"/>
          <w:szCs w:val="24"/>
        </w:rPr>
        <w:t xml:space="preserve"> O presente edital e seus anexos poderão ser alterados, pela Secretaria de Estado da Saúde – SES, antes de aberta a licitação, no interesse público, por sua iniciativa ou decorrente de provocação de terceiros, atendido o que estabelece a Lei Federal nº 14.133/2021, bem como adiar ou prorrogar o prazo para recebimento e/ou a abertura das Propostas Eletrônicas e Documentos Adicionais.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21.5.1 –</w:t>
      </w:r>
      <w:r>
        <w:rPr>
          <w:rFonts w:ascii="Calibri" w:hAnsi="Calibri"/>
          <w:b w:val="0"/>
          <w:bCs w:val="0"/>
          <w:color w:val="000000"/>
          <w:sz w:val="24"/>
          <w:szCs w:val="24"/>
        </w:rPr>
        <w:t xml:space="preserve"> Caso ocorram alterações neste edital, as mesmas serão disponibilizadas no site http://portaldecompras.sc.gov.br/, e ainda, enviadas aos interessados registrados.</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21.6 –</w:t>
      </w:r>
      <w:r>
        <w:rPr>
          <w:rFonts w:ascii="Calibri" w:hAnsi="Calibri"/>
          <w:b w:val="0"/>
          <w:bCs w:val="0"/>
          <w:color w:val="000000"/>
          <w:sz w:val="24"/>
          <w:szCs w:val="24"/>
        </w:rPr>
        <w:t xml:space="preserve"> A participação na licitação implica automaticamente na aceitação integral e irretratável dos termos e conteúdos deste edital e seus anexos, a observância dos preceitos legais e regulamentos em vigor e a responsabilidade pela fidelidade e legitimidade das informações e dos documentos apresentados em qualquer fase da licitação.</w:t>
      </w:r>
    </w:p>
    <w:p>
      <w:pPr>
        <w:pStyle w:val="2"/>
        <w:overflowPunct/>
        <w:bidi w:val="0"/>
        <w:spacing w:before="1" w:after="0"/>
        <w:ind w:left="0" w:right="0" w:firstLine="0"/>
        <w:jc w:val="both"/>
        <w:rPr>
          <w:b w:val="0"/>
          <w:bCs w:val="0"/>
          <w:color w:val="000000"/>
        </w:rPr>
      </w:pPr>
      <w:r>
        <w:rPr>
          <w:rFonts w:ascii="Calibri" w:hAnsi="Calibri"/>
          <w:b/>
          <w:bCs/>
          <w:color w:val="000000"/>
          <w:sz w:val="24"/>
          <w:szCs w:val="24"/>
        </w:rPr>
        <w:t>21.7 –</w:t>
      </w:r>
      <w:r>
        <w:rPr>
          <w:rFonts w:ascii="Calibri" w:hAnsi="Calibri"/>
          <w:b w:val="0"/>
          <w:bCs w:val="0"/>
          <w:color w:val="000000"/>
          <w:sz w:val="24"/>
          <w:szCs w:val="24"/>
        </w:rPr>
        <w:t xml:space="preserve"> Fica eleito o Foro da Comarca da Capital do Estado de Santa Catarina, com prevalência sobre qualquer outro, por mais privilegiado que seja, para apreciação judicial de quaisquer questões resultantes deste edital.</w:t>
      </w: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p>
    <w:p>
      <w:pPr>
        <w:pStyle w:val="2"/>
        <w:overflowPunct/>
        <w:bidi w:val="0"/>
        <w:spacing w:before="1" w:after="0"/>
        <w:ind w:left="0" w:right="0" w:firstLine="0"/>
        <w:jc w:val="both"/>
        <w:rPr>
          <w:rFonts w:ascii="Calibri" w:hAnsi="Calibri"/>
          <w:sz w:val="24"/>
          <w:szCs w:val="24"/>
        </w:rPr>
      </w:pPr>
    </w:p>
    <w:p>
      <w:pPr>
        <w:pStyle w:val="2"/>
        <w:widowControl/>
        <w:overflowPunct/>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Carmen Emília Bonfá Zanotto</w:t>
      </w:r>
    </w:p>
    <w:p>
      <w:pPr>
        <w:pStyle w:val="2"/>
        <w:widowControl/>
        <w:overflowPunct/>
        <w:bidi w:val="0"/>
        <w:spacing w:before="0" w:beforeAutospacing="0" w:after="0" w:afterAutospacing="0" w:line="15" w:lineRule="atLeast"/>
        <w:ind w:left="0" w:right="0" w:firstLine="0"/>
        <w:jc w:val="center"/>
        <w:rPr>
          <w:rFonts w:ascii="Calibri" w:hAnsi="Calibri" w:eastAsia="NSimSun" w:cs="Lucida Sans"/>
          <w:b/>
          <w:bCs/>
          <w:color w:val="000000"/>
          <w:kern w:val="0"/>
          <w:sz w:val="24"/>
          <w:szCs w:val="24"/>
          <w:lang w:val="pt-BR" w:eastAsia="zh-CN" w:bidi="hi-IN"/>
        </w:rPr>
      </w:pPr>
      <w:r>
        <w:rPr>
          <w:rFonts w:ascii="Calibri" w:hAnsi="Calibri" w:eastAsia="NSimSun" w:cs="Lucida Sans"/>
          <w:b/>
          <w:bCs/>
          <w:i w:val="0"/>
          <w:iCs w:val="0"/>
          <w:caps w:val="0"/>
          <w:smallCaps w:val="0"/>
          <w:color w:val="000000"/>
          <w:spacing w:val="0"/>
          <w:kern w:val="0"/>
          <w:sz w:val="24"/>
          <w:szCs w:val="24"/>
          <w:lang w:val="pt-BR" w:eastAsia="zh-CN" w:bidi="hi-IN"/>
        </w:rPr>
        <w:t xml:space="preserve">Secretária de Estado da Saúde </w:t>
      </w:r>
    </w:p>
    <w:p>
      <w:pPr>
        <w:pStyle w:val="2"/>
        <w:overflowPunct/>
        <w:bidi w:val="0"/>
        <w:spacing w:before="1" w:after="0"/>
        <w:ind w:left="0" w:right="0" w:firstLine="0"/>
        <w:jc w:val="center"/>
        <w:rPr>
          <w:rFonts w:ascii="Calibri" w:hAnsi="Calibri"/>
          <w:sz w:val="24"/>
          <w:szCs w:val="24"/>
        </w:rPr>
      </w:pPr>
      <w:r>
        <w:rPr>
          <w:rFonts w:ascii="Calibri" w:hAnsi="Calibri"/>
          <w:b/>
          <w:bCs/>
          <w:color w:val="000000"/>
          <w:sz w:val="24"/>
          <w:szCs w:val="24"/>
        </w:rPr>
        <w:t>(Assinado Digitalmente)</w:t>
      </w:r>
    </w:p>
    <w:p>
      <w:pPr>
        <w:pStyle w:val="2"/>
        <w:overflowPunct/>
        <w:bidi w:val="0"/>
        <w:spacing w:before="1" w:after="0"/>
        <w:ind w:left="0" w:right="0" w:firstLine="0"/>
        <w:jc w:val="both"/>
        <w:rPr>
          <w:rFonts w:ascii="Calibri" w:hAnsi="Calibri"/>
          <w:b w:val="0"/>
          <w:bCs w:val="0"/>
          <w:color w:val="000000"/>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pStyle w:val="2"/>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p>
    <w:p>
      <w:pPr>
        <w:tabs>
          <w:tab w:val="left" w:pos="204"/>
          <w:tab w:val="left" w:pos="720"/>
        </w:tabs>
        <w:overflowPunct/>
        <w:bidi w:val="0"/>
        <w:ind w:left="0" w:right="0" w:firstLine="0"/>
        <w:jc w:val="center"/>
        <w:rPr>
          <w:rFonts w:ascii="Calibri" w:hAnsi="Calibri"/>
          <w:sz w:val="24"/>
          <w:szCs w:val="24"/>
        </w:rPr>
      </w:pPr>
      <w:r>
        <w:rPr>
          <w:rFonts w:ascii="Calibri" w:hAnsi="Calibri" w:cs="Calibri"/>
          <w:b/>
          <w:bCs/>
          <w:sz w:val="24"/>
          <w:szCs w:val="24"/>
        </w:rPr>
        <w:t>ANEXO I</w:t>
      </w:r>
    </w:p>
    <w:p>
      <w:pPr>
        <w:tabs>
          <w:tab w:val="left" w:pos="204"/>
          <w:tab w:val="left" w:pos="720"/>
        </w:tabs>
        <w:overflowPunct/>
        <w:bidi w:val="0"/>
        <w:ind w:left="0" w:right="0" w:firstLine="0"/>
        <w:jc w:val="center"/>
        <w:rPr>
          <w:rFonts w:ascii="Calibri" w:hAnsi="Calibri"/>
          <w:sz w:val="24"/>
          <w:szCs w:val="24"/>
        </w:rPr>
      </w:pPr>
      <w:r>
        <w:rPr>
          <w:rFonts w:ascii="Calibri" w:hAnsi="Calibri" w:cs="Calibri"/>
          <w:b/>
          <w:bCs/>
          <w:sz w:val="24"/>
          <w:szCs w:val="24"/>
        </w:rPr>
        <w:t xml:space="preserve">PREGÃO ELETRÔNICO Nº </w:t>
      </w:r>
      <w:r>
        <w:rPr>
          <w:rFonts w:ascii="Calibri" w:hAnsi="Calibri" w:cs="Calibri"/>
          <w:b/>
          <w:bCs/>
          <w:sz w:val="24"/>
          <w:szCs w:val="24"/>
          <w:lang w:val="pt-BR"/>
        </w:rPr>
        <w:t>1176/2023</w:t>
      </w:r>
    </w:p>
    <w:p>
      <w:pPr>
        <w:pStyle w:val="657"/>
        <w:tabs>
          <w:tab w:val="left" w:pos="142"/>
        </w:tabs>
        <w:suppressAutoHyphens/>
        <w:overflowPunct/>
        <w:bidi w:val="0"/>
        <w:spacing w:before="1" w:after="0"/>
        <w:ind w:left="0" w:right="0" w:firstLine="0"/>
        <w:jc w:val="center"/>
        <w:rPr>
          <w:rFonts w:ascii="Calibri" w:hAnsi="Calibri"/>
          <w:sz w:val="24"/>
          <w:szCs w:val="24"/>
        </w:rPr>
      </w:pPr>
      <w:r>
        <w:rPr>
          <w:rFonts w:ascii="Calibri" w:hAnsi="Calibri" w:cs="Calibri"/>
          <w:b/>
          <w:bCs/>
          <w:color w:val="000000"/>
          <w:sz w:val="24"/>
          <w:szCs w:val="24"/>
          <w:lang w:val="pt-PT"/>
        </w:rPr>
        <w:t>Quadro de Quantitativos e Especificações Mínimas do(s) Item(ns)</w:t>
      </w:r>
    </w:p>
    <w:p>
      <w:pPr>
        <w:tabs>
          <w:tab w:val="left" w:pos="142"/>
        </w:tabs>
        <w:suppressAutoHyphens/>
        <w:overflowPunct/>
        <w:bidi w:val="0"/>
        <w:spacing w:before="1" w:after="0"/>
        <w:ind w:left="0" w:right="0" w:firstLine="0"/>
        <w:jc w:val="center"/>
        <w:rPr>
          <w:rFonts w:ascii="Calibri" w:hAnsi="Calibri" w:cs="Calibri"/>
          <w:sz w:val="24"/>
          <w:szCs w:val="24"/>
          <w:lang w:val="pt-PT"/>
        </w:rPr>
      </w:pPr>
    </w:p>
    <w:tbl>
      <w:tblPr>
        <w:tblStyle w:val="13"/>
        <w:tblW w:w="9750" w:type="dxa"/>
        <w:jc w:val="center"/>
        <w:tblLayout w:type="fixed"/>
        <w:tblCellMar>
          <w:top w:w="15" w:type="dxa"/>
          <w:left w:w="15" w:type="dxa"/>
          <w:bottom w:w="15" w:type="dxa"/>
          <w:right w:w="15" w:type="dxa"/>
        </w:tblCellMar>
      </w:tblPr>
      <w:tblGrid>
        <w:gridCol w:w="585"/>
        <w:gridCol w:w="936"/>
        <w:gridCol w:w="1147"/>
        <w:gridCol w:w="4430"/>
        <w:gridCol w:w="1302"/>
        <w:gridCol w:w="1349"/>
      </w:tblGrid>
      <w:tr>
        <w:tblPrEx>
          <w:tblCellMar>
            <w:top w:w="15" w:type="dxa"/>
            <w:left w:w="15" w:type="dxa"/>
            <w:bottom w:w="15" w:type="dxa"/>
            <w:right w:w="15" w:type="dxa"/>
          </w:tblCellMar>
        </w:tblPrEx>
        <w:trPr>
          <w:jc w:val="center"/>
        </w:trPr>
        <w:tc>
          <w:tcPr>
            <w:tcW w:w="585"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2"/>
                <w:szCs w:val="22"/>
              </w:rPr>
              <w:t>Item</w:t>
            </w:r>
          </w:p>
        </w:tc>
        <w:tc>
          <w:tcPr>
            <w:tcW w:w="936"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2"/>
                <w:szCs w:val="22"/>
              </w:rPr>
              <w:t>Grupo/</w:t>
            </w:r>
          </w:p>
          <w:p>
            <w:pPr>
              <w:widowControl w:val="0"/>
              <w:overflowPunct/>
              <w:bidi w:val="0"/>
              <w:ind w:left="0" w:right="0" w:firstLine="0"/>
              <w:jc w:val="center"/>
            </w:pPr>
            <w:r>
              <w:rPr>
                <w:rStyle w:val="14"/>
                <w:rFonts w:ascii="Calibri" w:hAnsi="Calibri" w:cs="Calibri"/>
                <w:sz w:val="22"/>
                <w:szCs w:val="22"/>
              </w:rPr>
              <w:t>Classe</w:t>
            </w:r>
          </w:p>
        </w:tc>
        <w:tc>
          <w:tcPr>
            <w:tcW w:w="1147"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2"/>
                <w:szCs w:val="22"/>
              </w:rPr>
              <w:t>Código</w:t>
            </w:r>
          </w:p>
        </w:tc>
        <w:tc>
          <w:tcPr>
            <w:tcW w:w="4430" w:type="dxa"/>
            <w:tcBorders>
              <w:top w:val="single" w:color="000000" w:sz="4" w:space="0"/>
              <w:left w:val="single" w:color="000000" w:sz="4" w:space="0"/>
              <w:bottom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2"/>
                <w:szCs w:val="22"/>
              </w:rPr>
              <w:t>Descrição do Material</w:t>
            </w:r>
          </w:p>
        </w:tc>
        <w:tc>
          <w:tcPr>
            <w:tcW w:w="1302" w:type="dxa"/>
            <w:tcBorders>
              <w:top w:val="single" w:color="000000" w:sz="4" w:space="0"/>
              <w:left w:val="single" w:color="000000" w:sz="4" w:space="0"/>
              <w:bottom w:val="single" w:color="000000" w:sz="4" w:space="0"/>
            </w:tcBorders>
            <w:shd w:val="clear" w:color="auto" w:fill="BFBFBF"/>
            <w:vAlign w:val="center"/>
          </w:tcPr>
          <w:p>
            <w:pPr>
              <w:widowControl w:val="0"/>
              <w:overflowPunct/>
              <w:bidi w:val="0"/>
              <w:ind w:left="0" w:right="0" w:firstLine="0"/>
              <w:jc w:val="center"/>
            </w:pPr>
            <w:r>
              <w:rPr>
                <w:rStyle w:val="14"/>
                <w:rFonts w:ascii="Calibri" w:hAnsi="Calibri" w:eastAsia="SimSun" w:cs="Calibri"/>
                <w:color w:val="000000"/>
                <w:sz w:val="22"/>
                <w:szCs w:val="22"/>
                <w:lang w:val="pt-BR" w:eastAsia="zh-CN" w:bidi="ar-SA"/>
              </w:rPr>
              <w:t>Unidade</w:t>
            </w:r>
          </w:p>
        </w:tc>
        <w:tc>
          <w:tcPr>
            <w:tcW w:w="1349" w:type="dxa"/>
            <w:tcBorders>
              <w:top w:val="single" w:color="000000" w:sz="4" w:space="0"/>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pPr>
            <w:r>
              <w:rPr>
                <w:rStyle w:val="14"/>
                <w:rFonts w:ascii="Calibri" w:hAnsi="Calibri" w:cs="Calibri"/>
                <w:sz w:val="22"/>
                <w:szCs w:val="22"/>
              </w:rPr>
              <w:t>Quantidade</w:t>
            </w:r>
          </w:p>
        </w:tc>
      </w:tr>
      <w:tr>
        <w:tblPrEx>
          <w:tblCellMar>
            <w:top w:w="15" w:type="dxa"/>
            <w:left w:w="15" w:type="dxa"/>
            <w:bottom w:w="15" w:type="dxa"/>
            <w:right w:w="15" w:type="dxa"/>
          </w:tblCellMar>
        </w:tblPrEx>
        <w:trPr>
          <w:jc w:val="center"/>
        </w:trPr>
        <w:tc>
          <w:tcPr>
            <w:tcW w:w="9749" w:type="dxa"/>
            <w:gridSpan w:val="6"/>
            <w:tcBorders>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rPr>
                <w:rFonts w:ascii="Calibri" w:hAnsi="Calibri"/>
                <w:sz w:val="24"/>
                <w:szCs w:val="24"/>
              </w:rPr>
            </w:pPr>
            <w:r>
              <w:rPr>
                <w:rStyle w:val="14"/>
                <w:rFonts w:ascii="Calibri" w:hAnsi="Calibri" w:eastAsia="SimSun" w:cs="Calibri"/>
                <w:color w:val="000000"/>
                <w:kern w:val="0"/>
                <w:sz w:val="22"/>
                <w:szCs w:val="22"/>
                <w:lang w:val="pt-BR" w:eastAsia="zh-CN" w:bidi="ar-SA"/>
              </w:rPr>
              <w:t>LOTE I</w:t>
            </w:r>
          </w:p>
        </w:tc>
      </w:tr>
      <w:tr>
        <w:tblPrEx>
          <w:tblCellMar>
            <w:top w:w="15" w:type="dxa"/>
            <w:left w:w="15" w:type="dxa"/>
            <w:bottom w:w="15" w:type="dxa"/>
            <w:right w:w="15" w:type="dxa"/>
          </w:tblCellMar>
        </w:tblPrEx>
        <w:trPr>
          <w:trHeight w:val="255" w:hRule="atLeast"/>
          <w:jc w:val="center"/>
        </w:trPr>
        <w:tc>
          <w:tcPr>
            <w:tcW w:w="585"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w:t>
            </w:r>
          </w:p>
        </w:tc>
        <w:tc>
          <w:tcPr>
            <w:tcW w:w="936"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009822237</w:t>
            </w:r>
          </w:p>
        </w:tc>
        <w:tc>
          <w:tcPr>
            <w:tcW w:w="4430" w:type="dxa"/>
            <w:tcBorders>
              <w:top w:val="single" w:color="000000" w:sz="4" w:space="0"/>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femoral não cimentado modular primário, embalagem contendo lote e data de fabricação. Apresentar registro no MS. 0702030210. (L29)</w:t>
            </w:r>
          </w:p>
        </w:tc>
        <w:tc>
          <w:tcPr>
            <w:tcW w:w="1302"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top w:val="single" w:color="000000"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145</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009822261</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Centralizador para componente femoral cimentado modular 0702030074 (L29)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009822285</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Cimento radiopaco sem antibiótico. SUS 0702031380. (L29)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205</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4</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111040031</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femoral fabricada em aço inoxidável polida. Diversos tamanhos e off-set. Apresentação de registro no MS, embalagem estéril contendo lote, método de esterilização, data de fabricação e esterilização. SUS 0702030163. (L29)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180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111040047</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Restritor femoral para retenção de cimento, tamanhos de 10 a 20mm, apresentação de registro no MS, embalagem estéril contendo lote, método de esterilização, data de fabricação e esterilização. SUS 0702031259. (L29)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88</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111040052</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cefálico/polietileno/ metálico bipolar em vários tamanhos. Apresentação de registro no MS, embalagem estéril contendo lote, método de esterilização, data fabricação e esterilização. SUS 0702030120. (L29)</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135</w:t>
            </w:r>
          </w:p>
        </w:tc>
      </w:tr>
      <w:tr>
        <w:tblPrEx>
          <w:tblCellMar>
            <w:top w:w="15" w:type="dxa"/>
            <w:left w:w="15" w:type="dxa"/>
            <w:bottom w:w="15" w:type="dxa"/>
            <w:right w:w="15" w:type="dxa"/>
          </w:tblCellMar>
        </w:tblPrEx>
        <w:trPr>
          <w:trHeight w:val="255" w:hRule="atLeast"/>
          <w:jc w:val="center"/>
        </w:trPr>
        <w:tc>
          <w:tcPr>
            <w:tcW w:w="9749" w:type="dxa"/>
            <w:gridSpan w:val="6"/>
            <w:tcBorders>
              <w:left w:val="single" w:color="000000" w:sz="4" w:space="0"/>
              <w:bottom w:val="single" w:color="000000" w:sz="4" w:space="0"/>
              <w:right w:val="single" w:color="000000" w:sz="4" w:space="0"/>
            </w:tcBorders>
            <w:shd w:val="clear" w:color="auto" w:fill="BFBFBF"/>
            <w:vAlign w:val="center"/>
          </w:tcPr>
          <w:p>
            <w:pPr>
              <w:widowControl w:val="0"/>
              <w:overflowPunct/>
              <w:bidi w:val="0"/>
              <w:ind w:left="0" w:right="0" w:firstLine="0"/>
              <w:jc w:val="center"/>
              <w:rPr>
                <w:rFonts w:ascii="Calibri" w:hAnsi="Calibri"/>
                <w:sz w:val="24"/>
                <w:szCs w:val="24"/>
              </w:rPr>
            </w:pPr>
            <w:r>
              <w:rPr>
                <w:rStyle w:val="14"/>
                <w:rFonts w:ascii="Calibri" w:hAnsi="Calibri" w:eastAsia="SimSun" w:cs="Calibri"/>
                <w:color w:val="000000"/>
                <w:kern w:val="0"/>
                <w:sz w:val="24"/>
                <w:szCs w:val="24"/>
                <w:lang w:val="pt-BR" w:eastAsia="zh-CN" w:bidi="ar-SA"/>
              </w:rPr>
              <w:t>LOTE II</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7</w:t>
            </w:r>
          </w:p>
        </w:tc>
        <w:tc>
          <w:tcPr>
            <w:tcW w:w="936" w:type="dxa"/>
            <w:tcBorders>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111350001</w:t>
            </w:r>
          </w:p>
        </w:tc>
        <w:tc>
          <w:tcPr>
            <w:tcW w:w="4430" w:type="dxa"/>
            <w:tcBorders>
              <w:left w:val="single" w:color="000000" w:sz="4" w:space="0"/>
              <w:bottom w:val="single" w:color="auto"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Cabeça femoral modular fabricada em aço inox intercambiável com opção para tamanhos P / M / G e XG, com diâmetro 22, 28, 32 e 36 mm. Apresentação de registro no MS, embalagem estéril contendo lote, método de esterilização, data de fabricação e esterilização. 0702030139. (L30)</w:t>
            </w:r>
          </w:p>
        </w:tc>
        <w:tc>
          <w:tcPr>
            <w:tcW w:w="1302" w:type="dxa"/>
            <w:tcBorders>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125</w:t>
            </w:r>
          </w:p>
        </w:tc>
      </w:tr>
      <w:tr>
        <w:tblPrEx>
          <w:tblCellMar>
            <w:top w:w="15" w:type="dxa"/>
            <w:left w:w="15" w:type="dxa"/>
            <w:bottom w:w="15" w:type="dxa"/>
            <w:right w:w="15" w:type="dxa"/>
          </w:tblCellMar>
        </w:tblPrEx>
        <w:trPr>
          <w:trHeight w:val="255" w:hRule="atLeast"/>
          <w:jc w:val="center"/>
        </w:trPr>
        <w:tc>
          <w:tcPr>
            <w:tcW w:w="585" w:type="dxa"/>
            <w:tcBorders>
              <w:top w:val="single" w:color="auto" w:sz="4" w:space="0"/>
              <w:left w:val="single" w:color="auto"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w:t>
            </w:r>
          </w:p>
        </w:tc>
        <w:tc>
          <w:tcPr>
            <w:tcW w:w="936" w:type="dxa"/>
            <w:tcBorders>
              <w:top w:val="single" w:color="auto" w:sz="4" w:space="0"/>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top w:val="single" w:color="auto" w:sz="4" w:space="0"/>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111341003</w:t>
            </w:r>
          </w:p>
        </w:tc>
        <w:tc>
          <w:tcPr>
            <w:tcW w:w="4430" w:type="dxa"/>
            <w:tcBorders>
              <w:top w:val="single" w:color="auto" w:sz="4" w:space="0"/>
              <w:left w:val="single" w:color="000000" w:sz="4" w:space="0"/>
              <w:bottom w:val="single" w:color="auto"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acetabular metálico para insert de polietileno, em NO, em titânio superfície externa em plasma porous hemisférico, e fixação por impactação e parafusos, opção nos tamanhos 40 a 70. Apresentação de registro no MS, embalagem estéril contendo lote, método de esterilização, data de fabricação e esterilização. 0702030104. (L30)</w:t>
            </w:r>
          </w:p>
        </w:tc>
        <w:tc>
          <w:tcPr>
            <w:tcW w:w="1302" w:type="dxa"/>
            <w:tcBorders>
              <w:top w:val="single" w:color="auto" w:sz="4" w:space="0"/>
              <w:left w:val="single" w:color="000000" w:sz="4" w:space="0"/>
              <w:bottom w:val="single" w:color="auto"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top w:val="single" w:color="auto" w:sz="4" w:space="0"/>
              <w:left w:val="single" w:color="000000" w:sz="4" w:space="0"/>
              <w:bottom w:val="single" w:color="auto" w:sz="4" w:space="0"/>
              <w:right w:val="single" w:color="auto"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130</w:t>
            </w:r>
          </w:p>
        </w:tc>
      </w:tr>
      <w:tr>
        <w:tblPrEx>
          <w:tblCellMar>
            <w:top w:w="15" w:type="dxa"/>
            <w:left w:w="15" w:type="dxa"/>
            <w:bottom w:w="15" w:type="dxa"/>
            <w:right w:w="15" w:type="dxa"/>
          </w:tblCellMar>
        </w:tblPrEx>
        <w:trPr>
          <w:trHeight w:val="255" w:hRule="atLeast"/>
          <w:jc w:val="center"/>
        </w:trPr>
        <w:tc>
          <w:tcPr>
            <w:tcW w:w="585" w:type="dxa"/>
            <w:tcBorders>
              <w:top w:val="single" w:color="auto"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9</w:t>
            </w:r>
          </w:p>
        </w:tc>
        <w:tc>
          <w:tcPr>
            <w:tcW w:w="936" w:type="dxa"/>
            <w:tcBorders>
              <w:top w:val="single" w:color="auto"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top w:val="single" w:color="auto"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111341004</w:t>
            </w:r>
          </w:p>
        </w:tc>
        <w:tc>
          <w:tcPr>
            <w:tcW w:w="4430" w:type="dxa"/>
            <w:tcBorders>
              <w:top w:val="single" w:color="auto" w:sz="4" w:space="0"/>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acetabular de polietileno (metal back) para esferas diâmetros 22, 28 e 32, stander ou com rebordo de 10º de inclinação. Apresentação de registro no MS, embalagem estéril, contendo lote, método de esterilização, data de fabricação e esterilização. SUS 0702030597. (L30)</w:t>
            </w:r>
          </w:p>
        </w:tc>
        <w:tc>
          <w:tcPr>
            <w:tcW w:w="1302" w:type="dxa"/>
            <w:tcBorders>
              <w:top w:val="single" w:color="auto"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top w:val="single" w:color="auto" w:sz="4" w:space="0"/>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110990080</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Parafuso auto roscante acetabular em titânio com diâmetro de 4,5mm a 6,5mm, nos tamanhos 15 a 40mm apresentação de registro no MS, embalagem estéril contendo lote, método de esterilização, data fabricação e esterilização. 0702030767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235</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111040049</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acetabular de polietileno para esferas, diâmetros 22, 28 e 32, stander ou com rebordo de 10º de inclinação. Apresentação de registro no MS, embalagem estéril, contendo lote, método de esterilização, data fabricação e esterilização. SUS 0702030090.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12</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111040063</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acetabular de polietileno cimentado cross linked. Apresentação de registro no MS, embalagem estéril, contendo lote, método de esterilização, data fabricação e esterilização. SUS 0702030090.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13</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111341087</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acetabular polietileno não cimentado cross linked. Apresentação de registro no MS, embalagem estéril, contendo lote, método de esterilização, data fabricação e esterilização. SUS 0702030597.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14</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009822523</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femoral não cimentado modular primário, embalagem contendo lote e data de fabricação. Apresentar registro no MS. 0702030210.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009822524</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Centralizador para componente femoral cimentado modular 0702030074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55</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16</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009822525</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Cimento radiopaco sem antibiótico. SUS 0702031380.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300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17</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009822526</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Cimento com antibiótico 0702030082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230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18</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111040065</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femoral fabricada em aço inoxidável polida. Diversos tamanhos e off-set. Apresentação de registro no MS, embalagem estéril contendo lote, método de esterilização, data de fabricação e esterilização. SUS 0702030163.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19</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111040066</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Restritor femoral para retenção de cimento, tamanhos de 10 a 20mm, apresentação de registro no MS, embalagem estéril contendo lote, método de esterilização, data de fabricação e esterilização. SUS 0702031259. (L30)</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180</w:t>
            </w:r>
          </w:p>
        </w:tc>
      </w:tr>
      <w:tr>
        <w:tblPrEx>
          <w:tblCellMar>
            <w:top w:w="15" w:type="dxa"/>
            <w:left w:w="15" w:type="dxa"/>
            <w:bottom w:w="15" w:type="dxa"/>
            <w:right w:w="15" w:type="dxa"/>
          </w:tblCellMar>
        </w:tblPrEx>
        <w:trPr>
          <w:trHeight w:val="255" w:hRule="atLeast"/>
          <w:jc w:val="center"/>
        </w:trPr>
        <w:tc>
          <w:tcPr>
            <w:tcW w:w="9749" w:type="dxa"/>
            <w:gridSpan w:val="6"/>
            <w:tcBorders>
              <w:left w:val="single" w:color="000000" w:sz="4" w:space="0"/>
              <w:bottom w:val="single" w:color="000000" w:sz="4" w:space="0"/>
              <w:right w:val="single" w:color="000000" w:sz="4" w:space="0"/>
            </w:tcBorders>
            <w:shd w:val="clear" w:color="auto" w:fill="BFBFBF"/>
            <w:vAlign w:val="center"/>
          </w:tcPr>
          <w:p>
            <w:pPr>
              <w:pStyle w:val="644"/>
              <w:widowControl w:val="0"/>
              <w:suppressAutoHyphens/>
              <w:spacing w:before="0" w:after="0"/>
              <w:jc w:val="center"/>
              <w:rPr>
                <w:rFonts w:ascii="Calibri" w:hAnsi="Calibri"/>
                <w:b/>
                <w:bCs/>
                <w:sz w:val="24"/>
                <w:szCs w:val="24"/>
              </w:rPr>
            </w:pPr>
            <w:r>
              <w:rPr>
                <w:rFonts w:ascii="Calibri" w:hAnsi="Calibri" w:eastAsia="SimSun" w:cs="Times New Roman"/>
                <w:b/>
                <w:bCs/>
                <w:kern w:val="0"/>
                <w:sz w:val="24"/>
                <w:szCs w:val="24"/>
                <w:lang w:val="pt-BR" w:eastAsia="zh-CN" w:bidi="hi-IN"/>
              </w:rPr>
              <w:t>LOTE III</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20</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009822527</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Centralizador para componente femoral cimentado modular 0702030074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35</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21</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009822528</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Cimento radiopaco sem antibiótico. SUS 0702031380.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170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22</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6625</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009822529</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Cimento com antibiótico 0702030082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23</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111040067</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femoral fabricada em aço inoxidável polida. Diversos tamanhos e off-set. Apresentação de registro no MS, embalagem estéril contendo lote, método de esterilização, data de fabricação e esterilização. SUS 0702030163.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157</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24</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111350012</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Cabeça femoral modular fabricada em aço inox intercambiável com opção para tamanhos P / M / G e XG, com diâmetro 22, 28, 32 e 36 mm. Apresentação de registro no MS, embalagem estéril contendo lote, método de esterilização, data de fabricação e esterilização. 0702030139.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157</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25</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111040068</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Restritor femoral para retenção de cimento, tamanhos de 10 a 20mm, apresentação de registro no MS, embalagem estéril contendo lote, método de esterilização, data de fabricação e esterilização. SUS 0702031259.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87</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26</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111040069</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acetabular de polietileno para esferas, diâmetros 22, 28 e 32, stander ou com rebordo de 10º de inclinação. Apresentação de registro no MS, embalagem estéril, contendo lote, método de esterilização, data fabricação e esterilização. SUS 0702030090.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100</w:t>
            </w:r>
          </w:p>
        </w:tc>
      </w:tr>
      <w:tr>
        <w:tblPrEx>
          <w:tblCellMar>
            <w:top w:w="15" w:type="dxa"/>
            <w:left w:w="15" w:type="dxa"/>
            <w:bottom w:w="15" w:type="dxa"/>
            <w:right w:w="15" w:type="dxa"/>
          </w:tblCellMar>
        </w:tblPrEx>
        <w:trPr>
          <w:trHeight w:val="255" w:hRule="atLeast"/>
          <w:jc w:val="center"/>
        </w:trPr>
        <w:tc>
          <w:tcPr>
            <w:tcW w:w="585"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27</w:t>
            </w:r>
          </w:p>
        </w:tc>
        <w:tc>
          <w:tcPr>
            <w:tcW w:w="936"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6630</w:t>
            </w:r>
          </w:p>
        </w:tc>
        <w:tc>
          <w:tcPr>
            <w:tcW w:w="1147"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111040070</w:t>
            </w:r>
          </w:p>
        </w:tc>
        <w:tc>
          <w:tcPr>
            <w:tcW w:w="4430" w:type="dxa"/>
            <w:tcBorders>
              <w:left w:val="single" w:color="000000" w:sz="4" w:space="0"/>
              <w:bottom w:val="single" w:color="000000" w:sz="4" w:space="0"/>
            </w:tcBorders>
            <w:vAlign w:val="center"/>
          </w:tcPr>
          <w:p>
            <w:pPr>
              <w:pStyle w:val="644"/>
              <w:widowControl w:val="0"/>
              <w:suppressAutoHyphens/>
              <w:spacing w:before="0" w:after="0"/>
              <w:jc w:val="left"/>
              <w:rPr>
                <w:rFonts w:ascii="Calibri" w:hAnsi="Calibri"/>
                <w:sz w:val="24"/>
                <w:szCs w:val="24"/>
              </w:rPr>
            </w:pPr>
            <w:r>
              <w:rPr>
                <w:rFonts w:ascii="Calibri" w:hAnsi="Calibri" w:eastAsia="SimSun" w:cs="Times New Roman"/>
                <w:kern w:val="0"/>
                <w:sz w:val="24"/>
                <w:szCs w:val="24"/>
                <w:lang w:val="pt-BR" w:eastAsia="zh-CN" w:bidi="hi-IN"/>
              </w:rPr>
              <w:t>Componente acetabular de polietileno cimentado cross linked. Apresentação de registro no MS, embalagem estéril, contendo lote, método de esterilização, data fabricação e esterilização. SUS 0702030090. (L31)</w:t>
            </w:r>
          </w:p>
        </w:tc>
        <w:tc>
          <w:tcPr>
            <w:tcW w:w="1302"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peça</w:t>
            </w:r>
          </w:p>
        </w:tc>
        <w:tc>
          <w:tcPr>
            <w:tcW w:w="1349" w:type="dxa"/>
            <w:tcBorders>
              <w:left w:val="single" w:color="000000" w:sz="4" w:space="0"/>
              <w:bottom w:val="single" w:color="000000" w:sz="4" w:space="0"/>
              <w:right w:val="single" w:color="000000" w:sz="4" w:space="0"/>
            </w:tcBorders>
            <w:vAlign w:val="center"/>
          </w:tcPr>
          <w:p>
            <w:pPr>
              <w:pStyle w:val="644"/>
              <w:widowControl w:val="0"/>
              <w:suppressAutoHyphens/>
              <w:spacing w:before="0" w:after="0"/>
              <w:jc w:val="center"/>
              <w:rPr>
                <w:rFonts w:ascii="Calibri" w:hAnsi="Calibri"/>
                <w:sz w:val="24"/>
                <w:szCs w:val="24"/>
              </w:rPr>
            </w:pPr>
            <w:r>
              <w:rPr>
                <w:rFonts w:ascii="Calibri" w:hAnsi="Calibri" w:eastAsia="SimSun" w:cs="Times New Roman"/>
                <w:kern w:val="0"/>
                <w:sz w:val="24"/>
                <w:szCs w:val="24"/>
                <w:lang w:val="pt-BR" w:eastAsia="zh-CN" w:bidi="hi-IN"/>
              </w:rPr>
              <w:t>70</w:t>
            </w:r>
          </w:p>
        </w:tc>
      </w:tr>
    </w:tbl>
    <w:p>
      <w:pPr>
        <w:overflowPunct/>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(1) As quantidades licitadas são estimativas, podendo a contratante requisitar quantidades maiores ou menores conforme a efetiva necessidade, respeitando-se os limites estabelecidos pela legislação.</w:t>
      </w:r>
    </w:p>
    <w:p>
      <w:pPr>
        <w:overflowPunct/>
        <w:bidi w:val="0"/>
        <w:spacing w:before="1" w:after="0" w:line="0" w:lineRule="atLeast"/>
        <w:ind w:left="0" w:right="0" w:firstLine="0"/>
        <w:jc w:val="both"/>
        <w:rPr>
          <w:rFonts w:ascii="Calibri" w:hAnsi="Calibri"/>
          <w:sz w:val="24"/>
          <w:szCs w:val="24"/>
        </w:rPr>
      </w:pPr>
      <w:r>
        <w:rPr>
          <w:rFonts w:ascii="Calibri" w:hAnsi="Calibri" w:cs="Calibri"/>
          <w:b w:val="0"/>
          <w:bCs w:val="0"/>
          <w:color w:val="000000"/>
          <w:sz w:val="24"/>
          <w:szCs w:val="24"/>
          <w:lang w:val="pt-PT"/>
        </w:rPr>
        <w:t>(2) As proponentes devem oferecer propostas prevendo o quantitativo total solicitado para cada item, sendo vetado o oferecimento de quantidades menores que o consumo estimado neste instrumento</w:t>
      </w:r>
    </w:p>
    <w:p>
      <w:pPr>
        <w:pStyle w:val="2"/>
        <w:overflowPunct/>
        <w:bidi w:val="0"/>
        <w:spacing w:before="1" w:after="0" w:line="0" w:lineRule="atLeast"/>
        <w:ind w:left="0" w:right="0" w:firstLine="0"/>
        <w:jc w:val="both"/>
        <w:rPr>
          <w:rFonts w:ascii="Calibri" w:hAnsi="Calibri" w:cs="Calibri"/>
          <w:b w:val="0"/>
          <w:bCs w:val="0"/>
          <w:color w:val="000000"/>
          <w:sz w:val="24"/>
          <w:szCs w:val="24"/>
        </w:rPr>
      </w:pP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sz w:val="24"/>
          <w:szCs w:val="24"/>
          <w:lang w:val="pt-PT"/>
        </w:rPr>
        <w:t xml:space="preserve">2 – </w:t>
      </w:r>
      <w:r>
        <w:rPr>
          <w:rFonts w:ascii="Calibri" w:hAnsi="Calibri" w:cs="Calibri"/>
          <w:b/>
          <w:sz w:val="24"/>
          <w:szCs w:val="24"/>
        </w:rPr>
        <w:t>PRAZOS E CONDIÇÕES DE FORNECIMENTO</w:t>
      </w:r>
      <w:r>
        <w:rPr>
          <w:rFonts w:ascii="Calibri" w:hAnsi="Calibri" w:cs="Calibri"/>
          <w:b/>
          <w:sz w:val="24"/>
          <w:szCs w:val="24"/>
        </w:rPr>
        <w:br w:type="textWrapping"/>
      </w:r>
      <w:r>
        <w:rPr>
          <w:rFonts w:ascii="Calibri" w:hAnsi="Calibri" w:cs="Calibri"/>
          <w:b/>
          <w:sz w:val="24"/>
          <w:szCs w:val="24"/>
          <w:lang w:val="pt-BR"/>
        </w:rPr>
        <w:t xml:space="preserve">2.1 </w:t>
      </w:r>
      <w:r>
        <w:rPr>
          <w:rFonts w:ascii="Calibri" w:hAnsi="Calibri" w:cs="Calibri"/>
          <w:b/>
          <w:bCs w:val="0"/>
          <w:sz w:val="24"/>
          <w:szCs w:val="24"/>
          <w:lang w:val="pt-BR"/>
        </w:rPr>
        <w:t>–</w:t>
      </w:r>
      <w:r>
        <w:rPr>
          <w:rFonts w:ascii="Calibri" w:hAnsi="Calibri" w:cs="Calibri"/>
          <w:b w:val="0"/>
          <w:bCs/>
          <w:sz w:val="24"/>
          <w:szCs w:val="24"/>
        </w:rPr>
        <w:t xml:space="preserve"> O compromisso será firmado por meio de Ata de Registro de Preço com duração de 12  meses,  para  futura  e  eventual  aquisição,  conforme  especificações  e  quantitativos previstos no item 1 do presente termo;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.2</w:t>
      </w:r>
      <w:r>
        <w:rPr>
          <w:rFonts w:ascii="Calibri" w:hAnsi="Calibri" w:cs="Calibri"/>
          <w:b/>
          <w:bCs w:val="0"/>
          <w:sz w:val="24"/>
          <w:szCs w:val="24"/>
          <w:lang w:val="pt-BR"/>
        </w:rPr>
        <w:t xml:space="preserve"> – </w:t>
      </w:r>
      <w:r>
        <w:rPr>
          <w:rFonts w:ascii="Calibri" w:hAnsi="Calibri" w:cs="Calibri"/>
          <w:b w:val="0"/>
          <w:bCs/>
          <w:sz w:val="24"/>
          <w:szCs w:val="24"/>
        </w:rPr>
        <w:t>As quantidades licitadas e informadas são estimativas, podendo a contratante requisitar   quantidades maiores ou menores conforme a efetiva necessidade, respeitando-se os limites estabelecidos pela legislação;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.3</w:t>
      </w:r>
      <w:r>
        <w:rPr>
          <w:rFonts w:ascii="Calibri" w:hAnsi="Calibri" w:cs="Calibri"/>
          <w:b/>
          <w:bCs w:val="0"/>
          <w:sz w:val="24"/>
          <w:szCs w:val="24"/>
          <w:lang w:val="pt-BR"/>
        </w:rPr>
        <w:t xml:space="preserve"> – </w:t>
      </w:r>
      <w:r>
        <w:rPr>
          <w:rFonts w:ascii="Calibri" w:hAnsi="Calibri" w:cs="Calibri"/>
          <w:b w:val="0"/>
          <w:bCs/>
          <w:sz w:val="24"/>
          <w:szCs w:val="24"/>
        </w:rPr>
        <w:t>O prazo de entrega será de 10 dias após a emissão e empenho da autorização de fornecimento;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.4</w:t>
      </w:r>
      <w:r>
        <w:rPr>
          <w:rFonts w:ascii="Calibri" w:hAnsi="Calibri" w:cs="Calibri"/>
          <w:b/>
          <w:bCs w:val="0"/>
          <w:sz w:val="24"/>
          <w:szCs w:val="24"/>
          <w:lang w:val="pt-BR"/>
        </w:rPr>
        <w:t xml:space="preserve"> – </w:t>
      </w:r>
      <w:r>
        <w:rPr>
          <w:rFonts w:ascii="Calibri" w:hAnsi="Calibri" w:cs="Calibri"/>
          <w:b w:val="0"/>
          <w:bCs/>
          <w:sz w:val="24"/>
          <w:szCs w:val="24"/>
        </w:rPr>
        <w:t>O recebimento do objeto não exclui a responsabilidade da contratada pelos prejuízos resultantes da incorreta execução do contrato;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.5</w:t>
      </w:r>
      <w:r>
        <w:rPr>
          <w:rFonts w:ascii="Calibri" w:hAnsi="Calibri" w:cs="Calibri"/>
          <w:b/>
          <w:bCs w:val="0"/>
          <w:sz w:val="24"/>
          <w:szCs w:val="24"/>
          <w:lang w:val="pt-BR"/>
        </w:rPr>
        <w:t xml:space="preserve"> – </w:t>
      </w:r>
      <w:r>
        <w:rPr>
          <w:rFonts w:ascii="Calibri" w:hAnsi="Calibri" w:cs="Calibri"/>
          <w:b w:val="0"/>
          <w:bCs/>
          <w:sz w:val="24"/>
          <w:szCs w:val="24"/>
        </w:rPr>
        <w:t xml:space="preserve">A entrega deverá ser efetuada diretamente nas Unidades Solicitantes, </w:t>
      </w:r>
      <w:r>
        <w:rPr>
          <w:rFonts w:ascii="Calibri" w:hAnsi="Calibri" w:cs="Calibri"/>
          <w:sz w:val="24"/>
          <w:szCs w:val="24"/>
          <w:shd w:val="clear" w:fill="auto"/>
        </w:rPr>
        <w:t>conforme especificação do objeto e endereços das unidades solicitantes constantes no anexo I-B deste edital;</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.6</w:t>
      </w:r>
      <w:r>
        <w:rPr>
          <w:rFonts w:ascii="Calibri" w:hAnsi="Calibri" w:cs="Calibri"/>
          <w:b/>
          <w:bCs w:val="0"/>
          <w:sz w:val="24"/>
          <w:szCs w:val="24"/>
          <w:lang w:val="pt-BR"/>
        </w:rPr>
        <w:t xml:space="preserve"> – </w:t>
      </w:r>
      <w:r>
        <w:rPr>
          <w:rFonts w:ascii="Calibri" w:hAnsi="Calibri" w:cs="Calibri"/>
          <w:b w:val="0"/>
          <w:bCs/>
          <w:sz w:val="24"/>
          <w:szCs w:val="24"/>
        </w:rPr>
        <w:t>A contratada deixará os itens (materiais) os quais foram classificados em sua proposta de preços em consignação nas Unidades Solicitantes, nas quantidades constantes na Autorização de Fornecimento (AF);</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.7</w:t>
      </w:r>
      <w:r>
        <w:rPr>
          <w:rFonts w:ascii="Calibri" w:hAnsi="Calibri" w:cs="Calibri"/>
          <w:b/>
          <w:bCs w:val="0"/>
          <w:sz w:val="24"/>
          <w:szCs w:val="24"/>
          <w:lang w:val="pt-BR"/>
        </w:rPr>
        <w:t xml:space="preserve"> – </w:t>
      </w:r>
      <w:r>
        <w:rPr>
          <w:rFonts w:ascii="Calibri" w:hAnsi="Calibri" w:cs="Calibri"/>
          <w:b w:val="0"/>
          <w:bCs/>
          <w:sz w:val="24"/>
          <w:szCs w:val="24"/>
        </w:rPr>
        <w:t>Os equipamentos/materiais em comodato deverão ficar à disposição da Unidade Solicitante enquanto houver estoque dos insumos relacionados;</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.8</w:t>
      </w:r>
      <w:r>
        <w:rPr>
          <w:rFonts w:ascii="Calibri" w:hAnsi="Calibri" w:cs="Calibri"/>
          <w:b/>
          <w:bCs w:val="0"/>
          <w:sz w:val="24"/>
          <w:szCs w:val="24"/>
          <w:lang w:val="pt-BR"/>
        </w:rPr>
        <w:t xml:space="preserve"> – </w:t>
      </w:r>
      <w:r>
        <w:rPr>
          <w:rFonts w:ascii="Calibri" w:hAnsi="Calibri" w:cs="Calibri"/>
          <w:b w:val="0"/>
          <w:bCs/>
          <w:sz w:val="24"/>
          <w:szCs w:val="24"/>
        </w:rPr>
        <w:t>A contratada será responsável pela manutenção das condições de funcionamento dos   equipamentos/materiais em comodato, devendo substituí-los por similares durante o período de manutenção;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.9</w:t>
      </w:r>
      <w:r>
        <w:rPr>
          <w:rFonts w:ascii="Calibri" w:hAnsi="Calibri" w:cs="Calibri"/>
          <w:b/>
          <w:bCs w:val="0"/>
          <w:sz w:val="24"/>
          <w:szCs w:val="24"/>
          <w:lang w:val="pt-BR"/>
        </w:rPr>
        <w:t xml:space="preserve"> – </w:t>
      </w:r>
      <w:r>
        <w:rPr>
          <w:rFonts w:ascii="Calibri" w:hAnsi="Calibri" w:cs="Calibri"/>
          <w:b w:val="0"/>
          <w:bCs/>
          <w:sz w:val="24"/>
          <w:szCs w:val="24"/>
        </w:rPr>
        <w:t>Funcionários da</w:t>
      </w:r>
      <w:r>
        <w:rPr>
          <w:rFonts w:ascii="Calibri" w:hAnsi="Calibri" w:cs="Calibri"/>
          <w:b w:val="0"/>
          <w:bCs/>
          <w:sz w:val="24"/>
          <w:szCs w:val="24"/>
          <w:lang w:val="pt-BR"/>
        </w:rPr>
        <w:t xml:space="preserve"> </w:t>
      </w:r>
      <w:r>
        <w:rPr>
          <w:rFonts w:ascii="Calibri" w:hAnsi="Calibri" w:cs="Calibri"/>
          <w:b w:val="0"/>
          <w:bCs/>
          <w:sz w:val="24"/>
          <w:szCs w:val="24"/>
        </w:rPr>
        <w:t>contratada deverão apresentar-se sempre com identificação e/ou credencial na Unidade Solicitante respeitando as normas de cada instituição.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.10</w:t>
      </w:r>
      <w:r>
        <w:rPr>
          <w:rFonts w:ascii="Calibri" w:hAnsi="Calibri" w:cs="Calibri"/>
          <w:b/>
          <w:bCs w:val="0"/>
          <w:sz w:val="24"/>
          <w:szCs w:val="24"/>
          <w:lang w:val="pt-BR"/>
        </w:rPr>
        <w:t xml:space="preserve"> – </w:t>
      </w:r>
      <w:r>
        <w:rPr>
          <w:rFonts w:ascii="Calibri" w:hAnsi="Calibri" w:cs="Calibri"/>
          <w:b w:val="0"/>
          <w:bCs/>
          <w:sz w:val="24"/>
          <w:szCs w:val="24"/>
        </w:rPr>
        <w:t>A contratada deverá ofertar treinamentos relacionados ao objeto licitado, nas Unidades Solicitantes, mediante demanda da equipe técnica.</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.11</w:t>
      </w:r>
      <w:r>
        <w:rPr>
          <w:rFonts w:ascii="Calibri" w:hAnsi="Calibri" w:cs="Calibri"/>
          <w:b/>
          <w:bCs w:val="0"/>
          <w:sz w:val="24"/>
          <w:szCs w:val="24"/>
          <w:lang w:val="pt-BR"/>
        </w:rPr>
        <w:t xml:space="preserve"> – </w:t>
      </w:r>
      <w:r>
        <w:rPr>
          <w:rFonts w:ascii="Calibri" w:hAnsi="Calibri" w:cs="Calibri"/>
          <w:b w:val="0"/>
          <w:bCs/>
          <w:sz w:val="24"/>
          <w:szCs w:val="24"/>
        </w:rPr>
        <w:t>O objeto deverá estar de acordo com as especificações do edital;</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.12</w:t>
      </w:r>
      <w:r>
        <w:rPr>
          <w:rFonts w:ascii="Calibri" w:hAnsi="Calibri" w:cs="Calibri"/>
          <w:b/>
          <w:bCs w:val="0"/>
          <w:sz w:val="24"/>
          <w:szCs w:val="24"/>
          <w:lang w:val="pt-BR"/>
        </w:rPr>
        <w:t xml:space="preserve"> – </w:t>
      </w:r>
      <w:r>
        <w:rPr>
          <w:rFonts w:ascii="Calibri" w:hAnsi="Calibri" w:cs="Calibri"/>
          <w:b w:val="0"/>
          <w:bCs/>
          <w:sz w:val="24"/>
          <w:szCs w:val="24"/>
        </w:rPr>
        <w:t>O objeto deverá ser entregue com prazo de validade compatível com o período de vigência do registro de preço, ou a contratada ficará responsável pelo acompanhamento e substituição dos produtos próximos do vencimento;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.13</w:t>
      </w:r>
      <w:r>
        <w:rPr>
          <w:rFonts w:ascii="Calibri" w:hAnsi="Calibri" w:cs="Calibri"/>
          <w:b/>
          <w:bCs w:val="0"/>
          <w:sz w:val="24"/>
          <w:szCs w:val="24"/>
          <w:lang w:val="pt-BR"/>
        </w:rPr>
        <w:t xml:space="preserve"> – </w:t>
      </w:r>
      <w:r>
        <w:rPr>
          <w:rFonts w:ascii="Calibri" w:hAnsi="Calibri" w:cs="Calibri"/>
          <w:b w:val="0"/>
          <w:bCs/>
          <w:sz w:val="24"/>
          <w:szCs w:val="24"/>
        </w:rPr>
        <w:t>A embalagem deverá estar íntegra, livre de impurezas e em perfeitas condições de utilização;</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.14</w:t>
      </w:r>
      <w:r>
        <w:rPr>
          <w:rFonts w:ascii="Calibri" w:hAnsi="Calibri" w:cs="Calibri"/>
          <w:b/>
          <w:bCs w:val="0"/>
          <w:sz w:val="24"/>
          <w:szCs w:val="24"/>
          <w:lang w:val="pt-BR"/>
        </w:rPr>
        <w:t xml:space="preserve"> – </w:t>
      </w:r>
      <w:r>
        <w:rPr>
          <w:rFonts w:ascii="Calibri" w:hAnsi="Calibri" w:cs="Calibri"/>
          <w:b w:val="0"/>
          <w:bCs/>
          <w:sz w:val="24"/>
          <w:szCs w:val="24"/>
        </w:rPr>
        <w:t>O objeto não será aceito caso não seja transportado e entregue de maneira correta, respeitando as recomendações do fabricante e autoridades sanitárias.</w:t>
      </w:r>
    </w:p>
    <w:p>
      <w:pPr>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val="0"/>
          <w:sz w:val="24"/>
          <w:szCs w:val="24"/>
          <w:lang w:val="pt-BR"/>
        </w:rPr>
        <w:t>2</w:t>
      </w:r>
      <w:r>
        <w:rPr>
          <w:rFonts w:ascii="Calibri" w:hAnsi="Calibri" w:cs="Calibri"/>
          <w:b/>
          <w:bCs w:val="0"/>
          <w:sz w:val="24"/>
          <w:szCs w:val="24"/>
        </w:rPr>
        <w:t>.15</w:t>
      </w:r>
      <w:r>
        <w:rPr>
          <w:rFonts w:ascii="Calibri" w:hAnsi="Calibri" w:cs="Calibri"/>
          <w:b/>
          <w:bCs w:val="0"/>
          <w:sz w:val="24"/>
          <w:szCs w:val="24"/>
          <w:lang w:val="pt-BR"/>
        </w:rPr>
        <w:t xml:space="preserve"> – </w:t>
      </w:r>
      <w:r>
        <w:rPr>
          <w:rFonts w:ascii="Calibri" w:hAnsi="Calibri" w:cs="Calibri"/>
          <w:b w:val="0"/>
          <w:bCs/>
          <w:sz w:val="24"/>
          <w:szCs w:val="24"/>
        </w:rPr>
        <w:t>A contratada deverá emitir Nota Fiscal dos materiais utilizados no Procedimento Médico até 7 (sete) dias a contar da data de notificação do Hospital, para inclusão na conta médica do paciente e respectivo registro obrigatório no prontuário eletrônico do Sistema de Gestão Hospitalar da SES (SGS Hospitalar).</w:t>
      </w: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cs="Calibri"/>
          <w:sz w:val="24"/>
          <w:szCs w:val="24"/>
        </w:rPr>
      </w:pPr>
    </w:p>
    <w:p>
      <w:pPr>
        <w:pStyle w:val="2"/>
        <w:tabs>
          <w:tab w:val="left" w:pos="709"/>
          <w:tab w:val="left" w:pos="1418"/>
          <w:tab w:val="left" w:pos="2127"/>
          <w:tab w:val="left" w:pos="2836"/>
          <w:tab w:val="left" w:pos="3545"/>
          <w:tab w:val="left" w:pos="4254"/>
          <w:tab w:val="left" w:pos="4963"/>
          <w:tab w:val="left" w:pos="5672"/>
          <w:tab w:val="left" w:pos="6381"/>
          <w:tab w:val="left" w:pos="7090"/>
          <w:tab w:val="left" w:pos="7799"/>
        </w:tabs>
        <w:jc w:val="both"/>
        <w:rPr>
          <w:rFonts w:ascii="Calibri" w:hAnsi="Calibri"/>
          <w:sz w:val="24"/>
          <w:szCs w:val="24"/>
        </w:rPr>
      </w:pPr>
      <w:r>
        <w:rPr>
          <w:rFonts w:ascii="Calibri" w:hAnsi="Calibri" w:cs="Calibri"/>
          <w:b/>
          <w:bCs/>
          <w:sz w:val="24"/>
          <w:szCs w:val="24"/>
        </w:rPr>
        <w:t>3 – EQUIPAMENTOS/MATERIAIS EM COMODATO:</w:t>
      </w:r>
    </w:p>
    <w:tbl>
      <w:tblPr>
        <w:tblStyle w:val="13"/>
        <w:tblW w:w="9660" w:type="dxa"/>
        <w:tblInd w:w="-9" w:type="dxa"/>
        <w:tblLayout w:type="fixed"/>
        <w:tblCellMar>
          <w:top w:w="0" w:type="dxa"/>
          <w:left w:w="5" w:type="dxa"/>
          <w:bottom w:w="0" w:type="dxa"/>
          <w:right w:w="5" w:type="dxa"/>
        </w:tblCellMar>
      </w:tblPr>
      <w:tblGrid>
        <w:gridCol w:w="2040"/>
        <w:gridCol w:w="1530"/>
        <w:gridCol w:w="6090"/>
      </w:tblGrid>
      <w:tr>
        <w:tblPrEx>
          <w:tblCellMar>
            <w:top w:w="0" w:type="dxa"/>
            <w:left w:w="5" w:type="dxa"/>
            <w:bottom w:w="0" w:type="dxa"/>
            <w:right w:w="5" w:type="dxa"/>
          </w:tblCellMar>
        </w:tblPrEx>
        <w:trPr>
          <w:trHeight w:val="268" w:hRule="atLeast"/>
        </w:trPr>
        <w:tc>
          <w:tcPr>
            <w:tcW w:w="2040" w:type="dxa"/>
            <w:tcBorders>
              <w:top w:val="single" w:color="000000" w:sz="4" w:space="0"/>
              <w:left w:val="single" w:color="000000" w:sz="4" w:space="0"/>
              <w:bottom w:val="single" w:color="000000" w:sz="4" w:space="0"/>
              <w:right w:val="single" w:color="000000" w:sz="4" w:space="0"/>
            </w:tcBorders>
            <w:vAlign w:val="center"/>
          </w:tcPr>
          <w:p>
            <w:pPr>
              <w:pStyle w:val="674"/>
              <w:widowControl w:val="0"/>
              <w:ind w:right="86" w:firstLine="0"/>
              <w:jc w:val="center"/>
              <w:rPr>
                <w:rFonts w:ascii="Calibri" w:hAnsi="Calibri" w:eastAsia="Calibri" w:cs="Calibri"/>
                <w:b/>
                <w:color w:val="000000"/>
                <w:kern w:val="0"/>
                <w:sz w:val="24"/>
                <w:szCs w:val="24"/>
                <w:lang w:val="pt-PT" w:eastAsia="en-US" w:bidi="ar-SA"/>
              </w:rPr>
            </w:pPr>
            <w:r>
              <w:rPr>
                <w:rFonts w:ascii="Calibri" w:hAnsi="Calibri" w:eastAsia="Calibri" w:cs="Calibri"/>
                <w:b/>
                <w:color w:val="000000"/>
                <w:kern w:val="0"/>
                <w:sz w:val="24"/>
                <w:szCs w:val="24"/>
                <w:lang w:val="pt-PT" w:eastAsia="en-US" w:bidi="ar-SA"/>
              </w:rPr>
              <w:t>Lote</w:t>
            </w:r>
          </w:p>
        </w:tc>
        <w:tc>
          <w:tcPr>
            <w:tcW w:w="1530" w:type="dxa"/>
            <w:tcBorders>
              <w:top w:val="single" w:color="000000" w:sz="4" w:space="0"/>
              <w:left w:val="single" w:color="000000" w:sz="4" w:space="0"/>
              <w:bottom w:val="single" w:color="000000" w:sz="4" w:space="0"/>
              <w:right w:val="single" w:color="000000" w:sz="4" w:space="0"/>
            </w:tcBorders>
            <w:vAlign w:val="center"/>
          </w:tcPr>
          <w:p>
            <w:pPr>
              <w:pStyle w:val="674"/>
              <w:widowControl w:val="0"/>
              <w:spacing w:before="113" w:after="113"/>
              <w:ind w:left="73" w:right="81" w:firstLine="0"/>
              <w:jc w:val="center"/>
              <w:rPr>
                <w:rFonts w:ascii="Calibri" w:hAnsi="Calibri"/>
                <w:sz w:val="24"/>
                <w:szCs w:val="24"/>
              </w:rPr>
            </w:pPr>
            <w:r>
              <w:rPr>
                <w:rFonts w:ascii="Calibri" w:hAnsi="Calibri" w:cs="Calibri"/>
                <w:b/>
                <w:color w:val="000000"/>
                <w:sz w:val="24"/>
                <w:szCs w:val="24"/>
              </w:rPr>
              <w:t>Solicitante</w:t>
            </w:r>
          </w:p>
        </w:tc>
        <w:tc>
          <w:tcPr>
            <w:tcW w:w="6090" w:type="dxa"/>
            <w:tcBorders>
              <w:top w:val="single" w:color="000000" w:sz="4" w:space="0"/>
              <w:left w:val="single" w:color="000000" w:sz="4" w:space="0"/>
              <w:bottom w:val="single" w:color="000000" w:sz="4" w:space="0"/>
              <w:right w:val="single" w:color="000000" w:sz="4" w:space="0"/>
            </w:tcBorders>
            <w:vAlign w:val="center"/>
          </w:tcPr>
          <w:p>
            <w:pPr>
              <w:pStyle w:val="674"/>
              <w:widowControl w:val="0"/>
              <w:spacing w:before="113" w:after="113"/>
              <w:jc w:val="center"/>
              <w:rPr>
                <w:rFonts w:ascii="Calibri" w:hAnsi="Calibri"/>
              </w:rPr>
            </w:pPr>
            <w:r>
              <w:rPr>
                <w:rFonts w:ascii="Calibri" w:hAnsi="Calibri" w:cs="Calibri"/>
                <w:b/>
                <w:color w:val="000000"/>
                <w:sz w:val="24"/>
                <w:szCs w:val="24"/>
              </w:rPr>
              <w:t>Equipamentos/materiais</w:t>
            </w:r>
            <w:r>
              <w:rPr>
                <w:rFonts w:ascii="Calibri" w:hAnsi="Calibri" w:cs="Calibri"/>
                <w:b/>
                <w:color w:val="000000"/>
                <w:spacing w:val="-9"/>
                <w:sz w:val="24"/>
                <w:szCs w:val="24"/>
              </w:rPr>
              <w:t xml:space="preserve"> </w:t>
            </w:r>
            <w:r>
              <w:rPr>
                <w:rFonts w:ascii="Calibri" w:hAnsi="Calibri" w:cs="Calibri"/>
                <w:b/>
                <w:color w:val="000000"/>
                <w:sz w:val="24"/>
                <w:szCs w:val="24"/>
              </w:rPr>
              <w:t>em</w:t>
            </w:r>
            <w:r>
              <w:rPr>
                <w:rFonts w:ascii="Calibri" w:hAnsi="Calibri" w:cs="Calibri"/>
                <w:b/>
                <w:color w:val="000000"/>
                <w:spacing w:val="-8"/>
                <w:sz w:val="24"/>
                <w:szCs w:val="24"/>
              </w:rPr>
              <w:t xml:space="preserve"> </w:t>
            </w:r>
            <w:r>
              <w:rPr>
                <w:rFonts w:ascii="Calibri" w:hAnsi="Calibri" w:cs="Calibri"/>
                <w:b/>
                <w:color w:val="000000"/>
                <w:sz w:val="24"/>
                <w:szCs w:val="24"/>
              </w:rPr>
              <w:t>comodato</w:t>
            </w:r>
          </w:p>
        </w:tc>
      </w:tr>
      <w:tr>
        <w:tblPrEx>
          <w:tblCellMar>
            <w:top w:w="0" w:type="dxa"/>
            <w:left w:w="5" w:type="dxa"/>
            <w:bottom w:w="0" w:type="dxa"/>
            <w:right w:w="5" w:type="dxa"/>
          </w:tblCellMar>
        </w:tblPrEx>
        <w:trPr>
          <w:trHeight w:val="134" w:hRule="atLeast"/>
        </w:trPr>
        <w:tc>
          <w:tcPr>
            <w:tcW w:w="2040" w:type="dxa"/>
            <w:vMerge w:val="restart"/>
            <w:tcBorders>
              <w:top w:val="single" w:color="000000" w:sz="4" w:space="0"/>
              <w:left w:val="single" w:color="000000" w:sz="4" w:space="0"/>
              <w:bottom w:val="single" w:color="000000" w:sz="4" w:space="0"/>
              <w:right w:val="single" w:color="000000" w:sz="4" w:space="0"/>
            </w:tcBorders>
            <w:vAlign w:val="center"/>
          </w:tcPr>
          <w:p>
            <w:pPr>
              <w:pStyle w:val="674"/>
              <w:widowControl w:val="0"/>
              <w:spacing w:before="0" w:after="0" w:line="273" w:lineRule="exact"/>
              <w:ind w:left="0" w:right="8" w:firstLine="0"/>
              <w:jc w:val="center"/>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I</w:t>
            </w:r>
          </w:p>
          <w:p>
            <w:pPr>
              <w:pStyle w:val="674"/>
              <w:widowControl w:val="0"/>
              <w:spacing w:before="0" w:after="0" w:line="273" w:lineRule="exact"/>
              <w:ind w:left="0" w:right="8" w:firstLine="0"/>
              <w:jc w:val="center"/>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Quadril SUS Bipolar</w:t>
            </w:r>
          </w:p>
        </w:tc>
        <w:tc>
          <w:tcPr>
            <w:tcW w:w="1530" w:type="dxa"/>
            <w:tcBorders>
              <w:top w:val="single" w:color="000000" w:sz="4" w:space="0"/>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HRSJ</w:t>
            </w:r>
          </w:p>
        </w:tc>
        <w:tc>
          <w:tcPr>
            <w:tcW w:w="6090" w:type="dxa"/>
            <w:tcBorders>
              <w:top w:val="single" w:color="000000" w:sz="4" w:space="0"/>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02 (duas) caixas de instrumentais</w:t>
            </w:r>
          </w:p>
        </w:tc>
      </w:tr>
      <w:tr>
        <w:tblPrEx>
          <w:tblCellMar>
            <w:top w:w="0" w:type="dxa"/>
            <w:left w:w="5" w:type="dxa"/>
            <w:bottom w:w="0" w:type="dxa"/>
            <w:right w:w="5" w:type="dxa"/>
          </w:tblCellMar>
        </w:tblPrEx>
        <w:trPr>
          <w:trHeight w:val="134" w:hRule="atLeast"/>
        </w:trPr>
        <w:tc>
          <w:tcPr>
            <w:tcW w:w="2040" w:type="dxa"/>
            <w:vMerge w:val="continue"/>
            <w:tcBorders>
              <w:top w:val="single" w:color="000000" w:sz="4" w:space="0"/>
              <w:left w:val="single" w:color="000000" w:sz="4" w:space="0"/>
              <w:bottom w:val="single" w:color="000000" w:sz="4" w:space="0"/>
              <w:right w:val="single" w:color="000000" w:sz="4" w:space="0"/>
            </w:tcBorders>
            <w:vAlign w:val="center"/>
          </w:tcPr>
          <w:p>
            <w:pPr>
              <w:widowControl w:val="0"/>
              <w:jc w:val="center"/>
              <w:rPr>
                <w:rFonts w:ascii="Calibri" w:hAnsi="Calibri"/>
                <w:sz w:val="24"/>
                <w:szCs w:val="24"/>
              </w:rPr>
            </w:pPr>
          </w:p>
        </w:tc>
        <w:tc>
          <w:tcPr>
            <w:tcW w:w="1530" w:type="dxa"/>
            <w:tcBorders>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HGCR</w:t>
            </w:r>
          </w:p>
        </w:tc>
        <w:tc>
          <w:tcPr>
            <w:tcW w:w="6090" w:type="dxa"/>
            <w:tcBorders>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01 (uma) caixa de instrumentais</w:t>
            </w:r>
          </w:p>
        </w:tc>
      </w:tr>
      <w:tr>
        <w:tblPrEx>
          <w:tblCellMar>
            <w:top w:w="0" w:type="dxa"/>
            <w:left w:w="5" w:type="dxa"/>
            <w:bottom w:w="0" w:type="dxa"/>
            <w:right w:w="5" w:type="dxa"/>
          </w:tblCellMar>
        </w:tblPrEx>
        <w:trPr>
          <w:trHeight w:val="134" w:hRule="atLeast"/>
        </w:trPr>
        <w:tc>
          <w:tcPr>
            <w:tcW w:w="2040" w:type="dxa"/>
            <w:vMerge w:val="continue"/>
            <w:tcBorders>
              <w:top w:val="single" w:color="000000" w:sz="4" w:space="0"/>
              <w:left w:val="single" w:color="000000" w:sz="4" w:space="0"/>
              <w:bottom w:val="single" w:color="000000" w:sz="4" w:space="0"/>
              <w:right w:val="single" w:color="000000" w:sz="4" w:space="0"/>
            </w:tcBorders>
            <w:vAlign w:val="center"/>
          </w:tcPr>
          <w:p>
            <w:pPr>
              <w:pStyle w:val="2"/>
              <w:widowControl w:val="0"/>
              <w:jc w:val="center"/>
              <w:rPr>
                <w:rFonts w:ascii="Calibri" w:hAnsi="Calibri"/>
                <w:sz w:val="24"/>
                <w:szCs w:val="24"/>
              </w:rPr>
            </w:pPr>
          </w:p>
        </w:tc>
        <w:tc>
          <w:tcPr>
            <w:tcW w:w="1530" w:type="dxa"/>
            <w:tcBorders>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HDWC</w:t>
            </w:r>
          </w:p>
        </w:tc>
        <w:tc>
          <w:tcPr>
            <w:tcW w:w="6090" w:type="dxa"/>
            <w:tcBorders>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b w:val="0"/>
                <w:i w:val="0"/>
                <w:caps w:val="0"/>
                <w:smallCaps w:val="0"/>
                <w:spacing w:val="0"/>
                <w:sz w:val="24"/>
                <w:szCs w:val="24"/>
              </w:rPr>
              <w:t>Os materiais (implantes e instrumentais) deverão ser disponibilizados para a unidade conforme agendamento de cirurgias</w:t>
            </w:r>
          </w:p>
        </w:tc>
      </w:tr>
      <w:tr>
        <w:tblPrEx>
          <w:tblCellMar>
            <w:top w:w="0" w:type="dxa"/>
            <w:left w:w="5" w:type="dxa"/>
            <w:bottom w:w="0" w:type="dxa"/>
            <w:right w:w="5" w:type="dxa"/>
          </w:tblCellMar>
        </w:tblPrEx>
        <w:trPr>
          <w:trHeight w:val="134" w:hRule="atLeast"/>
        </w:trPr>
        <w:tc>
          <w:tcPr>
            <w:tcW w:w="2040" w:type="dxa"/>
            <w:vMerge w:val="restart"/>
            <w:tcBorders>
              <w:left w:val="single" w:color="000000" w:sz="4" w:space="0"/>
              <w:bottom w:val="single" w:color="000000" w:sz="4" w:space="0"/>
              <w:right w:val="single" w:color="000000" w:sz="4" w:space="0"/>
            </w:tcBorders>
            <w:vAlign w:val="center"/>
          </w:tcPr>
          <w:p>
            <w:pPr>
              <w:pStyle w:val="2"/>
              <w:widowControl w:val="0"/>
              <w:jc w:val="center"/>
              <w:rPr>
                <w:rFonts w:ascii="Calibri" w:hAnsi="Calibri"/>
                <w:sz w:val="24"/>
                <w:szCs w:val="24"/>
              </w:rPr>
            </w:pPr>
            <w:r>
              <w:rPr>
                <w:rFonts w:ascii="Calibri" w:hAnsi="Calibri"/>
                <w:b w:val="0"/>
                <w:i w:val="0"/>
                <w:caps w:val="0"/>
                <w:smallCaps w:val="0"/>
                <w:spacing w:val="0"/>
                <w:sz w:val="24"/>
                <w:szCs w:val="24"/>
              </w:rPr>
              <w:t>II</w:t>
            </w:r>
          </w:p>
          <w:p>
            <w:pPr>
              <w:pStyle w:val="2"/>
              <w:widowControl w:val="0"/>
              <w:jc w:val="center"/>
              <w:rPr>
                <w:rFonts w:ascii="Calibri" w:hAnsi="Calibri"/>
                <w:sz w:val="24"/>
                <w:szCs w:val="24"/>
              </w:rPr>
            </w:pPr>
            <w:r>
              <w:rPr>
                <w:rFonts w:ascii="Calibri" w:hAnsi="Calibri"/>
                <w:b w:val="0"/>
                <w:i w:val="0"/>
                <w:caps w:val="0"/>
                <w:smallCaps w:val="0"/>
                <w:spacing w:val="0"/>
                <w:sz w:val="24"/>
                <w:szCs w:val="24"/>
              </w:rPr>
              <w:t>Quadril SUS Híbrida</w:t>
            </w:r>
          </w:p>
        </w:tc>
        <w:tc>
          <w:tcPr>
            <w:tcW w:w="1530" w:type="dxa"/>
            <w:tcBorders>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eastAsia="Calibri" w:cs="Calibri"/>
                <w:b w:val="0"/>
                <w:i w:val="0"/>
                <w:caps w:val="0"/>
                <w:smallCaps w:val="0"/>
                <w:color w:val="000000"/>
                <w:spacing w:val="0"/>
                <w:sz w:val="24"/>
                <w:szCs w:val="24"/>
                <w:lang w:val="pt-PT" w:eastAsia="en-US" w:bidi="ar-SA"/>
              </w:rPr>
              <w:t>HRSJ</w:t>
            </w:r>
          </w:p>
        </w:tc>
        <w:tc>
          <w:tcPr>
            <w:tcW w:w="6090" w:type="dxa"/>
            <w:tcBorders>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b w:val="0"/>
                <w:i w:val="0"/>
                <w:caps w:val="0"/>
                <w:smallCaps w:val="0"/>
                <w:spacing w:val="0"/>
                <w:sz w:val="24"/>
                <w:szCs w:val="24"/>
              </w:rPr>
              <w:t>02 (duas) caixas de instrumentais</w:t>
            </w:r>
          </w:p>
        </w:tc>
      </w:tr>
      <w:tr>
        <w:tblPrEx>
          <w:tblCellMar>
            <w:top w:w="0" w:type="dxa"/>
            <w:left w:w="5" w:type="dxa"/>
            <w:bottom w:w="0" w:type="dxa"/>
            <w:right w:w="5" w:type="dxa"/>
          </w:tblCellMar>
        </w:tblPrEx>
        <w:trPr>
          <w:trHeight w:val="134" w:hRule="atLeast"/>
        </w:trPr>
        <w:tc>
          <w:tcPr>
            <w:tcW w:w="2040" w:type="dxa"/>
            <w:vMerge w:val="continue"/>
            <w:tcBorders>
              <w:left w:val="single" w:color="000000" w:sz="4" w:space="0"/>
              <w:bottom w:val="single" w:color="000000" w:sz="4" w:space="0"/>
              <w:right w:val="single" w:color="000000" w:sz="4" w:space="0"/>
            </w:tcBorders>
            <w:vAlign w:val="center"/>
          </w:tcPr>
          <w:p>
            <w:pPr>
              <w:pStyle w:val="2"/>
              <w:widowControl w:val="0"/>
              <w:jc w:val="center"/>
              <w:rPr>
                <w:rFonts w:ascii="Calibri" w:hAnsi="Calibri"/>
                <w:sz w:val="24"/>
                <w:szCs w:val="24"/>
              </w:rPr>
            </w:pPr>
          </w:p>
        </w:tc>
        <w:tc>
          <w:tcPr>
            <w:tcW w:w="1530" w:type="dxa"/>
            <w:tcBorders>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b w:val="0"/>
                <w:i w:val="0"/>
                <w:caps w:val="0"/>
                <w:smallCaps w:val="0"/>
                <w:spacing w:val="0"/>
                <w:sz w:val="24"/>
                <w:szCs w:val="24"/>
              </w:rPr>
              <w:t>HGCR</w:t>
            </w:r>
          </w:p>
        </w:tc>
        <w:tc>
          <w:tcPr>
            <w:tcW w:w="6090" w:type="dxa"/>
            <w:tcBorders>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b w:val="0"/>
                <w:i w:val="0"/>
                <w:caps w:val="0"/>
                <w:smallCaps w:val="0"/>
                <w:spacing w:val="0"/>
                <w:sz w:val="24"/>
                <w:szCs w:val="24"/>
              </w:rPr>
              <w:t>01 (uma) caixa de instrumentais</w:t>
            </w:r>
          </w:p>
        </w:tc>
      </w:tr>
      <w:tr>
        <w:tblPrEx>
          <w:tblCellMar>
            <w:top w:w="0" w:type="dxa"/>
            <w:left w:w="5" w:type="dxa"/>
            <w:bottom w:w="0" w:type="dxa"/>
            <w:right w:w="5" w:type="dxa"/>
          </w:tblCellMar>
        </w:tblPrEx>
        <w:trPr>
          <w:trHeight w:val="134" w:hRule="atLeast"/>
        </w:trPr>
        <w:tc>
          <w:tcPr>
            <w:tcW w:w="2040" w:type="dxa"/>
            <w:vMerge w:val="restart"/>
            <w:tcBorders>
              <w:left w:val="single" w:color="000000" w:sz="4" w:space="0"/>
              <w:bottom w:val="single" w:color="000000" w:sz="4" w:space="0"/>
              <w:right w:val="single" w:color="000000" w:sz="4" w:space="0"/>
            </w:tcBorders>
            <w:vAlign w:val="center"/>
          </w:tcPr>
          <w:p>
            <w:pPr>
              <w:pStyle w:val="2"/>
              <w:widowControl w:val="0"/>
              <w:jc w:val="center"/>
              <w:rPr>
                <w:rFonts w:ascii="Calibri" w:hAnsi="Calibri"/>
                <w:sz w:val="24"/>
                <w:szCs w:val="24"/>
              </w:rPr>
            </w:pPr>
            <w:r>
              <w:rPr>
                <w:rFonts w:ascii="Calibri" w:hAnsi="Calibri"/>
                <w:b w:val="0"/>
                <w:i w:val="0"/>
                <w:caps w:val="0"/>
                <w:smallCaps w:val="0"/>
                <w:spacing w:val="0"/>
                <w:sz w:val="24"/>
                <w:szCs w:val="24"/>
              </w:rPr>
              <w:t>III</w:t>
            </w:r>
          </w:p>
          <w:p>
            <w:pPr>
              <w:pStyle w:val="2"/>
              <w:widowControl w:val="0"/>
              <w:jc w:val="center"/>
              <w:rPr>
                <w:rFonts w:ascii="Calibri" w:hAnsi="Calibri"/>
                <w:sz w:val="24"/>
                <w:szCs w:val="24"/>
              </w:rPr>
            </w:pPr>
            <w:r>
              <w:rPr>
                <w:rFonts w:ascii="Calibri" w:hAnsi="Calibri"/>
                <w:b w:val="0"/>
                <w:i w:val="0"/>
                <w:caps w:val="0"/>
                <w:smallCaps w:val="0"/>
                <w:spacing w:val="0"/>
                <w:sz w:val="24"/>
                <w:szCs w:val="24"/>
              </w:rPr>
              <w:t>Quadril SUS Primária</w:t>
            </w:r>
          </w:p>
        </w:tc>
        <w:tc>
          <w:tcPr>
            <w:tcW w:w="1530" w:type="dxa"/>
            <w:tcBorders>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b w:val="0"/>
                <w:i w:val="0"/>
                <w:caps w:val="0"/>
                <w:smallCaps w:val="0"/>
                <w:spacing w:val="0"/>
                <w:sz w:val="24"/>
                <w:szCs w:val="24"/>
              </w:rPr>
              <w:t>HRSJ</w:t>
            </w:r>
          </w:p>
        </w:tc>
        <w:tc>
          <w:tcPr>
            <w:tcW w:w="6090" w:type="dxa"/>
            <w:tcBorders>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b w:val="0"/>
                <w:i w:val="0"/>
                <w:caps w:val="0"/>
                <w:smallCaps w:val="0"/>
                <w:spacing w:val="0"/>
                <w:sz w:val="24"/>
                <w:szCs w:val="24"/>
              </w:rPr>
              <w:t>01 (uma) caixa de instrumentais</w:t>
            </w:r>
          </w:p>
        </w:tc>
      </w:tr>
      <w:tr>
        <w:tblPrEx>
          <w:tblCellMar>
            <w:top w:w="0" w:type="dxa"/>
            <w:left w:w="5" w:type="dxa"/>
            <w:bottom w:w="0" w:type="dxa"/>
            <w:right w:w="5" w:type="dxa"/>
          </w:tblCellMar>
        </w:tblPrEx>
        <w:trPr>
          <w:trHeight w:val="134" w:hRule="atLeast"/>
        </w:trPr>
        <w:tc>
          <w:tcPr>
            <w:tcW w:w="2040" w:type="dxa"/>
            <w:vMerge w:val="continue"/>
            <w:tcBorders>
              <w:left w:val="single" w:color="000000" w:sz="4" w:space="0"/>
              <w:bottom w:val="single" w:color="000000" w:sz="4" w:space="0"/>
              <w:right w:val="single" w:color="000000" w:sz="4" w:space="0"/>
            </w:tcBorders>
            <w:vAlign w:val="center"/>
          </w:tcPr>
          <w:p>
            <w:pPr>
              <w:pStyle w:val="2"/>
              <w:widowControl w:val="0"/>
              <w:jc w:val="center"/>
              <w:rPr>
                <w:rFonts w:ascii="Calibri" w:hAnsi="Calibri"/>
                <w:sz w:val="24"/>
                <w:szCs w:val="24"/>
              </w:rPr>
            </w:pPr>
          </w:p>
        </w:tc>
        <w:tc>
          <w:tcPr>
            <w:tcW w:w="1530" w:type="dxa"/>
            <w:tcBorders>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b w:val="0"/>
                <w:i w:val="0"/>
                <w:caps w:val="0"/>
                <w:smallCaps w:val="0"/>
                <w:spacing w:val="0"/>
                <w:sz w:val="24"/>
                <w:szCs w:val="24"/>
              </w:rPr>
              <w:t>HGCR</w:t>
            </w:r>
          </w:p>
        </w:tc>
        <w:tc>
          <w:tcPr>
            <w:tcW w:w="6090" w:type="dxa"/>
            <w:tcBorders>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b w:val="0"/>
                <w:i w:val="0"/>
                <w:caps w:val="0"/>
                <w:smallCaps w:val="0"/>
                <w:spacing w:val="0"/>
                <w:sz w:val="24"/>
                <w:szCs w:val="24"/>
              </w:rPr>
              <w:t>01 (uma) caixa de instrumentais</w:t>
            </w:r>
          </w:p>
        </w:tc>
      </w:tr>
      <w:tr>
        <w:tblPrEx>
          <w:tblCellMar>
            <w:top w:w="0" w:type="dxa"/>
            <w:left w:w="5" w:type="dxa"/>
            <w:bottom w:w="0" w:type="dxa"/>
            <w:right w:w="5" w:type="dxa"/>
          </w:tblCellMar>
        </w:tblPrEx>
        <w:trPr>
          <w:trHeight w:val="134" w:hRule="atLeast"/>
        </w:trPr>
        <w:tc>
          <w:tcPr>
            <w:tcW w:w="2040" w:type="dxa"/>
            <w:vMerge w:val="continue"/>
            <w:tcBorders>
              <w:left w:val="single" w:color="000000" w:sz="4" w:space="0"/>
              <w:bottom w:val="single" w:color="000000" w:sz="4" w:space="0"/>
              <w:right w:val="single" w:color="000000" w:sz="4" w:space="0"/>
            </w:tcBorders>
            <w:vAlign w:val="center"/>
          </w:tcPr>
          <w:p>
            <w:pPr>
              <w:pStyle w:val="2"/>
              <w:widowControl w:val="0"/>
              <w:jc w:val="center"/>
              <w:rPr>
                <w:rFonts w:ascii="Calibri" w:hAnsi="Calibri"/>
                <w:sz w:val="24"/>
                <w:szCs w:val="24"/>
              </w:rPr>
            </w:pPr>
          </w:p>
        </w:tc>
        <w:tc>
          <w:tcPr>
            <w:tcW w:w="1530" w:type="dxa"/>
            <w:tcBorders>
              <w:left w:val="single" w:color="000000" w:sz="4" w:space="0"/>
              <w:bottom w:val="single" w:color="000000" w:sz="4" w:space="0"/>
              <w:right w:val="single" w:color="000000" w:sz="4" w:space="0"/>
            </w:tcBorders>
            <w:vAlign w:val="center"/>
          </w:tcPr>
          <w:p>
            <w:pPr>
              <w:pStyle w:val="674"/>
              <w:widowControl w:val="0"/>
              <w:suppressAutoHyphens/>
              <w:bidi w:val="0"/>
              <w:ind w:left="0" w:right="0" w:firstLine="0"/>
              <w:jc w:val="center"/>
              <w:rPr>
                <w:rFonts w:ascii="Calibri" w:hAnsi="Calibri"/>
                <w:sz w:val="24"/>
                <w:szCs w:val="24"/>
              </w:rPr>
            </w:pPr>
            <w:r>
              <w:rPr>
                <w:rFonts w:ascii="Calibri" w:hAnsi="Calibri"/>
                <w:b w:val="0"/>
                <w:i w:val="0"/>
                <w:caps w:val="0"/>
                <w:smallCaps w:val="0"/>
                <w:spacing w:val="0"/>
                <w:sz w:val="24"/>
                <w:szCs w:val="24"/>
              </w:rPr>
              <w:t>HDWC</w:t>
            </w:r>
          </w:p>
        </w:tc>
        <w:tc>
          <w:tcPr>
            <w:tcW w:w="6090" w:type="dxa"/>
            <w:tcBorders>
              <w:left w:val="single" w:color="000000" w:sz="4" w:space="0"/>
              <w:bottom w:val="single" w:color="000000" w:sz="4" w:space="0"/>
              <w:right w:val="single" w:color="000000" w:sz="4" w:space="0"/>
            </w:tcBorders>
            <w:vAlign w:val="center"/>
          </w:tcPr>
          <w:p>
            <w:pPr>
              <w:pStyle w:val="674"/>
              <w:widowControl w:val="0"/>
              <w:suppressAutoHyphens/>
              <w:bidi w:val="0"/>
              <w:spacing w:before="57" w:after="57"/>
              <w:ind w:left="57" w:right="0" w:firstLine="0"/>
              <w:rPr>
                <w:rFonts w:ascii="Calibri" w:hAnsi="Calibri"/>
                <w:sz w:val="24"/>
                <w:szCs w:val="24"/>
              </w:rPr>
            </w:pPr>
            <w:r>
              <w:rPr>
                <w:rFonts w:ascii="Calibri" w:hAnsi="Calibri"/>
                <w:b w:val="0"/>
                <w:i w:val="0"/>
                <w:caps w:val="0"/>
                <w:smallCaps w:val="0"/>
                <w:spacing w:val="0"/>
                <w:sz w:val="24"/>
                <w:szCs w:val="24"/>
              </w:rPr>
              <w:t>Os materiais (implantes e instrumentais) deverão ser disponibilizados para a unidade conforme agendamento de cirurgias</w:t>
            </w:r>
          </w:p>
        </w:tc>
      </w:tr>
    </w:tbl>
    <w:p>
      <w:pPr>
        <w:tabs>
          <w:tab w:val="left" w:pos="709"/>
          <w:tab w:val="left" w:pos="1418"/>
          <w:tab w:val="left" w:pos="2127"/>
          <w:tab w:val="left" w:pos="2836"/>
          <w:tab w:val="left" w:pos="3545"/>
          <w:tab w:val="left" w:pos="4254"/>
          <w:tab w:val="left" w:pos="4963"/>
          <w:tab w:val="left" w:pos="5672"/>
          <w:tab w:val="left" w:pos="6381"/>
          <w:tab w:val="left" w:pos="7090"/>
          <w:tab w:val="left" w:pos="7799"/>
        </w:tabs>
        <w:overflowPunct/>
        <w:bidi w:val="0"/>
        <w:ind w:left="0" w:right="0" w:firstLine="0"/>
        <w:jc w:val="both"/>
        <w:rPr>
          <w:rFonts w:ascii="Calibri" w:hAnsi="Calibri"/>
          <w:sz w:val="24"/>
          <w:szCs w:val="24"/>
        </w:rPr>
      </w:pPr>
      <w:r>
        <w:rPr>
          <w:rFonts w:ascii="Calibri" w:hAnsi="Calibri" w:cs="Calibri"/>
          <w:b/>
          <w:sz w:val="24"/>
          <w:szCs w:val="24"/>
        </w:rPr>
        <w:br w:type="textWrapping"/>
      </w:r>
    </w:p>
    <w:p>
      <w:pPr>
        <w:pStyle w:val="2"/>
        <w:shd w:val="clear" w:fill="FFFFFF"/>
        <w:suppressAutoHyphens w:val="0"/>
        <w:overflowPunct/>
        <w:bidi w:val="0"/>
        <w:ind w:left="0" w:right="0" w:firstLine="0"/>
        <w:jc w:val="both"/>
        <w:rPr>
          <w:rFonts w:cs="Calibri"/>
          <w:b w:val="0"/>
          <w:bCs w:val="0"/>
          <w:lang w:eastAsia="pt-BR"/>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pStyle w:val="2"/>
        <w:shd w:val="clear" w:fill="FFFFFF"/>
        <w:suppressAutoHyphens w:val="0"/>
        <w:overflowPunct/>
        <w:bidi w:val="0"/>
        <w:ind w:left="0" w:right="0" w:firstLine="0"/>
        <w:jc w:val="both"/>
        <w:rPr>
          <w:rFonts w:ascii="Calibri" w:hAnsi="Calibri" w:eastAsia="NSimSun" w:cs="Calibri"/>
          <w:b w:val="0"/>
          <w:bCs w:val="0"/>
          <w:color w:val="000000"/>
          <w:kern w:val="0"/>
          <w:sz w:val="24"/>
          <w:szCs w:val="24"/>
          <w:lang w:val="pt-PT" w:eastAsia="pt-BR" w:bidi="hi-IN"/>
        </w:rPr>
      </w:pPr>
    </w:p>
    <w:p>
      <w:pPr>
        <w:tabs>
          <w:tab w:val="left" w:pos="204"/>
          <w:tab w:val="left" w:pos="720"/>
        </w:tabs>
        <w:jc w:val="center"/>
        <w:rPr>
          <w:b/>
          <w:bCs/>
        </w:rPr>
      </w:pPr>
      <w:r>
        <w:rPr>
          <w:rFonts w:ascii="Calibri" w:hAnsi="Calibri" w:cs="Calibri"/>
          <w:b/>
          <w:bCs/>
          <w:sz w:val="24"/>
          <w:szCs w:val="24"/>
        </w:rPr>
        <w:t>ANEXO I-A</w:t>
      </w:r>
    </w:p>
    <w:p>
      <w:pPr>
        <w:tabs>
          <w:tab w:val="left" w:pos="204"/>
          <w:tab w:val="left" w:pos="720"/>
        </w:tabs>
        <w:jc w:val="center"/>
        <w:rPr>
          <w:b/>
          <w:bCs/>
        </w:rPr>
      </w:pPr>
      <w:r>
        <w:rPr>
          <w:rFonts w:ascii="Calibri" w:hAnsi="Calibri" w:cs="Calibri"/>
          <w:b/>
          <w:bCs/>
          <w:sz w:val="24"/>
          <w:szCs w:val="24"/>
        </w:rPr>
        <w:t xml:space="preserve">PREGÃO ELETRÔNICO Nº </w:t>
      </w:r>
      <w:r>
        <w:rPr>
          <w:rFonts w:ascii="Calibri" w:hAnsi="Calibri" w:eastAsia="SimSun" w:cs="Calibri"/>
          <w:b/>
          <w:bCs/>
          <w:color w:val="000000"/>
          <w:kern w:val="0"/>
          <w:sz w:val="24"/>
          <w:szCs w:val="24"/>
          <w:lang w:val="pt-BR" w:eastAsia="zh-CN" w:bidi="ar-SA"/>
        </w:rPr>
        <w:t>1176/2023</w:t>
      </w:r>
    </w:p>
    <w:p>
      <w:pPr>
        <w:pStyle w:val="657"/>
        <w:shd w:val="clear" w:fill="FFFFFF"/>
        <w:suppressAutoHyphens/>
        <w:overflowPunct/>
        <w:bidi w:val="0"/>
        <w:ind w:left="0" w:right="0" w:firstLine="0"/>
        <w:jc w:val="center"/>
        <w:rPr>
          <w:rFonts w:ascii="Calibri" w:hAnsi="Calibri" w:eastAsia="NSimSun" w:cs="Calibri"/>
          <w:b/>
          <w:bCs/>
          <w:color w:val="000000"/>
          <w:kern w:val="0"/>
          <w:sz w:val="24"/>
          <w:szCs w:val="24"/>
          <w:lang w:val="pt-PT" w:eastAsia="pt-BR" w:bidi="hi-IN"/>
        </w:rPr>
      </w:pPr>
      <w:r>
        <w:rPr>
          <w:rFonts w:ascii="Calibri" w:hAnsi="Calibri" w:eastAsia="NSimSun" w:cs="Calibri"/>
          <w:b/>
          <w:bCs/>
          <w:color w:val="000000"/>
          <w:kern w:val="0"/>
          <w:sz w:val="24"/>
          <w:szCs w:val="24"/>
          <w:lang w:val="pt-PT" w:eastAsia="pt-BR" w:bidi="hi-IN"/>
        </w:rPr>
        <w:t>DISTRIBUIÇÃO</w:t>
      </w:r>
    </w:p>
    <w:p>
      <w:pPr>
        <w:pStyle w:val="2"/>
        <w:suppressAutoHyphens/>
        <w:rPr>
          <w:rFonts w:ascii="Calibri" w:hAnsi="Calibri" w:cs="Calibri"/>
          <w:sz w:val="24"/>
          <w:szCs w:val="24"/>
        </w:rPr>
      </w:pPr>
    </w:p>
    <w:p>
      <w:pPr>
        <w:pStyle w:val="16"/>
        <w:suppressAutoHyphens/>
      </w:pPr>
      <w:r>
        <w:rPr>
          <w:rStyle w:val="14"/>
          <w:rFonts w:ascii="Calibri" w:hAnsi="Calibri" w:cs="Calibri"/>
          <w:sz w:val="24"/>
          <w:szCs w:val="24"/>
          <w:lang w:val="pt-BR"/>
        </w:rPr>
        <w:t xml:space="preserve">Solicitante: </w:t>
      </w:r>
      <w:r>
        <w:rPr>
          <w:rStyle w:val="592"/>
          <w:rFonts w:ascii="Calibri" w:hAnsi="Calibri" w:eastAsia="SimSun" w:cs="Calibri"/>
          <w:color w:val="000000"/>
          <w:kern w:val="0"/>
          <w:sz w:val="24"/>
          <w:szCs w:val="24"/>
          <w:lang w:val="pt-BR" w:eastAsia="zh-CN" w:bidi="ar-SA"/>
        </w:rPr>
        <w:t>HDWC – HOSPITAL DOUTOR WALDOMIRO COLAUTTI</w:t>
      </w:r>
    </w:p>
    <w:tbl>
      <w:tblPr>
        <w:tblStyle w:val="13"/>
        <w:tblW w:w="9660" w:type="dxa"/>
        <w:tblInd w:w="11" w:type="dxa"/>
        <w:tblLayout w:type="fixed"/>
        <w:tblCellMar>
          <w:top w:w="15" w:type="dxa"/>
          <w:left w:w="15" w:type="dxa"/>
          <w:bottom w:w="15" w:type="dxa"/>
          <w:right w:w="15" w:type="dxa"/>
        </w:tblCellMar>
      </w:tblPr>
      <w:tblGrid>
        <w:gridCol w:w="734"/>
        <w:gridCol w:w="1020"/>
        <w:gridCol w:w="1425"/>
        <w:gridCol w:w="3900"/>
        <w:gridCol w:w="1200"/>
        <w:gridCol w:w="1380"/>
      </w:tblGrid>
      <w:tr>
        <w:tblPrEx>
          <w:tblCellMar>
            <w:top w:w="15" w:type="dxa"/>
            <w:left w:w="15" w:type="dxa"/>
            <w:bottom w:w="15" w:type="dxa"/>
            <w:right w:w="15" w:type="dxa"/>
          </w:tblCellMar>
        </w:tblPrEx>
        <w:tc>
          <w:tcPr>
            <w:tcW w:w="734"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Item</w:t>
            </w:r>
          </w:p>
        </w:tc>
        <w:tc>
          <w:tcPr>
            <w:tcW w:w="102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rPr>
                <w:rStyle w:val="14"/>
                <w:rFonts w:ascii="Calibri" w:hAnsi="Calibri"/>
                <w:sz w:val="22"/>
                <w:szCs w:val="22"/>
              </w:rPr>
            </w:pPr>
            <w:r>
              <w:rPr>
                <w:rStyle w:val="14"/>
                <w:rFonts w:ascii="Calibri" w:hAnsi="Calibri"/>
                <w:sz w:val="22"/>
                <w:szCs w:val="22"/>
              </w:rPr>
              <w:t>Grupo/</w:t>
            </w:r>
          </w:p>
          <w:p>
            <w:pPr>
              <w:pStyle w:val="644"/>
              <w:widowControl w:val="0"/>
              <w:jc w:val="center"/>
            </w:pPr>
            <w:r>
              <w:rPr>
                <w:rStyle w:val="14"/>
                <w:rFonts w:ascii="Calibri" w:hAnsi="Calibri"/>
                <w:sz w:val="22"/>
                <w:szCs w:val="22"/>
              </w:rPr>
              <w:t>Classe</w:t>
            </w:r>
          </w:p>
        </w:tc>
        <w:tc>
          <w:tcPr>
            <w:tcW w:w="1425"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Código</w:t>
            </w:r>
          </w:p>
        </w:tc>
        <w:tc>
          <w:tcPr>
            <w:tcW w:w="390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Descrição do Material</w:t>
            </w:r>
          </w:p>
        </w:tc>
        <w:tc>
          <w:tcPr>
            <w:tcW w:w="1200" w:type="dxa"/>
            <w:tcBorders>
              <w:top w:val="single" w:color="000000" w:sz="4" w:space="0"/>
              <w:left w:val="single" w:color="000000" w:sz="4" w:space="0"/>
              <w:bottom w:val="single" w:color="000000" w:sz="4" w:space="0"/>
            </w:tcBorders>
            <w:shd w:val="clear" w:color="auto" w:fill="BFBFBF"/>
            <w:vAlign w:val="center"/>
          </w:tcPr>
          <w:p>
            <w:pPr>
              <w:pStyle w:val="644"/>
              <w:widowControl w:val="0"/>
              <w:jc w:val="center"/>
            </w:pPr>
            <w:r>
              <w:rPr>
                <w:rStyle w:val="14"/>
                <w:rFonts w:ascii="Calibri" w:hAnsi="Calibri"/>
                <w:sz w:val="22"/>
                <w:szCs w:val="22"/>
              </w:rPr>
              <w:t>Unidade</w:t>
            </w:r>
          </w:p>
        </w:tc>
        <w:tc>
          <w:tcPr>
            <w:tcW w:w="138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Quantidade</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009822237</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não cimentado modular primário, embalagem contendo lote e data de fabricação. Apresentar registro no MS. 0702030210.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009822261</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Centralizador para componente femoral cimentado modular 0702030074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009822285</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111040031</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90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111040047</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111040052</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cefálico/polietileno/ metálico bipolar em vários tamanhos. Apresentação de registro no MS, embalagem estéril contendo lote, método de esterilização, data fabricação e esterilização. SUS 0702030120.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009822528</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111040067</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80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111350012</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Cabeça femoral modular fabricada em aço inox intercambiável com opção para tamanhos P / M / G e XG, com diâmetro 22, 28, 32 e 36 mm. Apresentação de registro no MS, embalagem estéril contendo lote, método de esterilização, data de fabricação e esterilização. 0702030139.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80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25</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111040068</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111040069</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para esferas, diâmetros 22, 28 e 32, stander ou com rebordo de 10º de inclinação. Apresentação de registro no MS, embalagem estéril, contendo lote, método de esterilização, data fabricação e esterilização. SUS 0702030090.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50</w:t>
            </w:r>
          </w:p>
        </w:tc>
      </w:tr>
    </w:tbl>
    <w:p>
      <w:pPr>
        <w:pStyle w:val="16"/>
        <w:suppressAutoHyphens/>
        <w:overflowPunct/>
        <w:bidi w:val="0"/>
        <w:spacing w:before="1" w:after="0"/>
        <w:ind w:left="0" w:right="0" w:firstLine="0"/>
        <w:jc w:val="both"/>
        <w:rPr>
          <w:rFonts w:ascii="Calibri" w:hAnsi="Calibri"/>
          <w:sz w:val="24"/>
          <w:szCs w:val="24"/>
        </w:rPr>
      </w:pPr>
    </w:p>
    <w:p>
      <w:pPr>
        <w:pStyle w:val="16"/>
        <w:suppressAutoHyphens/>
      </w:pPr>
      <w:r>
        <w:rPr>
          <w:rStyle w:val="14"/>
          <w:rFonts w:ascii="Calibri" w:hAnsi="Calibri" w:cs="Calibri"/>
          <w:sz w:val="24"/>
          <w:szCs w:val="24"/>
          <w:lang w:val="pt-BR"/>
        </w:rPr>
        <w:t xml:space="preserve">Solicitante: </w:t>
      </w:r>
      <w:r>
        <w:rPr>
          <w:rStyle w:val="592"/>
          <w:rFonts w:ascii="Calibri" w:hAnsi="Calibri" w:eastAsia="SimSun" w:cs="Calibri"/>
          <w:color w:val="000000"/>
          <w:kern w:val="0"/>
          <w:sz w:val="24"/>
          <w:szCs w:val="24"/>
          <w:lang w:val="pt-BR" w:eastAsia="zh-CN" w:bidi="ar-SA"/>
        </w:rPr>
        <w:t>HGCR – HOSPITAL GOVERNADOR CELSO RAMOS</w:t>
      </w:r>
    </w:p>
    <w:tbl>
      <w:tblPr>
        <w:tblStyle w:val="13"/>
        <w:tblW w:w="9660" w:type="dxa"/>
        <w:tblInd w:w="11" w:type="dxa"/>
        <w:tblLayout w:type="fixed"/>
        <w:tblCellMar>
          <w:top w:w="15" w:type="dxa"/>
          <w:left w:w="15" w:type="dxa"/>
          <w:bottom w:w="15" w:type="dxa"/>
          <w:right w:w="15" w:type="dxa"/>
        </w:tblCellMar>
      </w:tblPr>
      <w:tblGrid>
        <w:gridCol w:w="734"/>
        <w:gridCol w:w="1020"/>
        <w:gridCol w:w="1425"/>
        <w:gridCol w:w="3900"/>
        <w:gridCol w:w="1200"/>
        <w:gridCol w:w="1380"/>
      </w:tblGrid>
      <w:tr>
        <w:tblPrEx>
          <w:tblCellMar>
            <w:top w:w="15" w:type="dxa"/>
            <w:left w:w="15" w:type="dxa"/>
            <w:bottom w:w="15" w:type="dxa"/>
            <w:right w:w="15" w:type="dxa"/>
          </w:tblCellMar>
        </w:tblPrEx>
        <w:tc>
          <w:tcPr>
            <w:tcW w:w="734"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Item</w:t>
            </w:r>
          </w:p>
        </w:tc>
        <w:tc>
          <w:tcPr>
            <w:tcW w:w="102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rPr>
                <w:rStyle w:val="14"/>
                <w:rFonts w:ascii="Calibri" w:hAnsi="Calibri"/>
                <w:sz w:val="22"/>
                <w:szCs w:val="22"/>
              </w:rPr>
            </w:pPr>
            <w:r>
              <w:rPr>
                <w:rStyle w:val="14"/>
                <w:rFonts w:ascii="Calibri" w:hAnsi="Calibri"/>
                <w:sz w:val="22"/>
                <w:szCs w:val="22"/>
              </w:rPr>
              <w:t>Grupo/</w:t>
            </w:r>
          </w:p>
          <w:p>
            <w:pPr>
              <w:pStyle w:val="644"/>
              <w:widowControl w:val="0"/>
              <w:jc w:val="center"/>
            </w:pPr>
            <w:r>
              <w:rPr>
                <w:rStyle w:val="14"/>
                <w:rFonts w:ascii="Calibri" w:hAnsi="Calibri"/>
                <w:sz w:val="22"/>
                <w:szCs w:val="22"/>
              </w:rPr>
              <w:t>Classe</w:t>
            </w:r>
          </w:p>
        </w:tc>
        <w:tc>
          <w:tcPr>
            <w:tcW w:w="1425"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Código</w:t>
            </w:r>
          </w:p>
        </w:tc>
        <w:tc>
          <w:tcPr>
            <w:tcW w:w="390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Descrição do Material</w:t>
            </w:r>
          </w:p>
        </w:tc>
        <w:tc>
          <w:tcPr>
            <w:tcW w:w="1200" w:type="dxa"/>
            <w:tcBorders>
              <w:top w:val="single" w:color="000000" w:sz="4" w:space="0"/>
              <w:left w:val="single" w:color="000000" w:sz="4" w:space="0"/>
              <w:bottom w:val="single" w:color="000000" w:sz="4" w:space="0"/>
            </w:tcBorders>
            <w:shd w:val="clear" w:color="auto" w:fill="BFBFBF"/>
            <w:vAlign w:val="center"/>
          </w:tcPr>
          <w:p>
            <w:pPr>
              <w:pStyle w:val="644"/>
              <w:widowControl w:val="0"/>
              <w:jc w:val="center"/>
            </w:pPr>
            <w:r>
              <w:rPr>
                <w:rStyle w:val="14"/>
                <w:rFonts w:ascii="Calibri" w:hAnsi="Calibri"/>
                <w:sz w:val="22"/>
                <w:szCs w:val="22"/>
              </w:rPr>
              <w:t>Unidade</w:t>
            </w:r>
          </w:p>
        </w:tc>
        <w:tc>
          <w:tcPr>
            <w:tcW w:w="138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Quantidade</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009822237</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não cimentado modular primário, embalagem contendo lote e data de fabricação. Apresentar registro no MS. 0702030210.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009822285</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111040031</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111040047</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111040052</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cefálico/polietileno/ metálico bipolar em vários tamanhos. Apresentação de registro no MS, embalagem estéril contendo lote, método de esterilização, data fabricação e esterilização. SUS 0702030120.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111350001</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Cabeça femoral modular fabricada em aço inox intercambiável com opção para tamanhos P / M / G e XG, com diâmetro 22, 28, 32 e 36 mm. Apresentação de registro no MS, embalagem estéril contendo lote, método de esterilização, data de fabricação e esterilização. 0702030139.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8</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111341003</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metálico para insert de polietileno, em NO, em titânio superfície externa em plasma porous hemisférico, e fixação por impactação e parafusos, opção nos tamanhos 40 a 70. Apresentação de registro no MS, embalagem estéril contendo lote, método de esterilização, data de fabricação e esterilização. 0702030104.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9</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111341004</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(metal back) para esferas diâmetros 22, 28 e 32, stander ou com rebordo de 10º de inclinação. Apresentação de registro no MS, embalagem estéril, contendo lote, método de esterilização, data de fabricação e esterilização. SUS 0702030597.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10</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110990080</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Parafuso auto roscante acetabular em titânio com diâmetro de 4,5mm a 6,5mm, nos tamanhos 15 a 40mm apresentação de registro no MS, embalagem estéril contendo lote, método de esterilização, data fabricação e esterilização. 0702030767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111040049</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para esferas, diâmetros 22, 28 e 32, stander ou com rebordo de 10º de inclinação. Apresentação de registro no MS, embalagem estéril, contendo lote, método de esterilização, data fabricação e esterilização. SUS 0702030090.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12</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111040063</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cimentado cross linked. Apresentação de registro no MS, embalagem estéril, contendo lote, método de esterilização, data fabricação e esterilização. SUS 0702030090.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111341087</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polietileno não cimentado cross linked. Apresentação de registro no MS, embalagem estéril, contendo lote, método de esterilização, data fabricação e esterilização. SUS 0702030597.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009822523</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não cimentado modular primário, embalagem contendo lote e data de fabricação. Apresentar registro no MS. 0702030210.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009822525</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80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17</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009822526</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com antibiótico 0702030082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18</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111040065</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19</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111040066</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009822528</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22</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009822529</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com antibiótico 0702030082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111040067</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111350012</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Cabeça femoral modular fabricada em aço inox intercambiável com opção para tamanhos P / M / G e XG, com diâmetro 22, 28, 32 e 36 mm. Apresentação de registro no MS, embalagem estéril contendo lote, método de esterilização, data de fabricação e esterilização. 0702030139.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25</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111040068</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111040069</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para esferas, diâmetros 22, 28 e 32, stander ou com rebordo de 10º de inclinação. Apresentação de registro no MS, embalagem estéril, contendo lote, método de esterilização, data fabricação e esterilização. SUS 0702030090.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27</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111040070</w:t>
            </w:r>
          </w:p>
        </w:tc>
        <w:tc>
          <w:tcPr>
            <w:tcW w:w="3900"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cimentado cross linked. Apresentação de registro no MS, embalagem estéril, contendo lote, método de esterilização, data fabricação e esterilização. SUS 0702030090.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bl>
    <w:p>
      <w:pPr>
        <w:pStyle w:val="16"/>
        <w:suppressAutoHyphens/>
        <w:overflowPunct/>
        <w:bidi w:val="0"/>
        <w:spacing w:before="1" w:after="0"/>
        <w:ind w:left="0" w:right="0" w:firstLine="0"/>
        <w:jc w:val="both"/>
        <w:rPr>
          <w:rFonts w:ascii="Calibri" w:hAnsi="Calibri"/>
          <w:sz w:val="24"/>
          <w:szCs w:val="24"/>
        </w:rPr>
      </w:pPr>
    </w:p>
    <w:p>
      <w:pPr>
        <w:pStyle w:val="16"/>
        <w:numPr>
          <w:ilvl w:val="0"/>
          <w:numId w:val="3"/>
        </w:numPr>
        <w:suppressAutoHyphens/>
        <w:overflowPunct/>
        <w:bidi w:val="0"/>
        <w:ind w:left="0" w:right="0" w:firstLine="0"/>
        <w:jc w:val="left"/>
        <w:rPr>
          <w:rFonts w:ascii="Calibri" w:hAnsi="Calibri"/>
          <w:sz w:val="24"/>
          <w:szCs w:val="24"/>
        </w:rPr>
      </w:pPr>
      <w:r>
        <w:rPr>
          <w:rStyle w:val="14"/>
          <w:rFonts w:ascii="Calibri" w:hAnsi="Calibri" w:cs="Calibri"/>
          <w:sz w:val="24"/>
          <w:szCs w:val="24"/>
          <w:lang w:val="pt-BR"/>
        </w:rPr>
        <w:t>Solicitante:</w:t>
      </w:r>
      <w:r>
        <w:rPr>
          <w:rStyle w:val="592"/>
          <w:rFonts w:ascii="Calibri" w:hAnsi="Calibri" w:eastAsia="SimSun" w:cs="Calibri"/>
          <w:color w:val="000000"/>
          <w:kern w:val="0"/>
          <w:sz w:val="24"/>
          <w:szCs w:val="24"/>
          <w:lang w:val="pt-BR" w:eastAsia="zh-CN" w:bidi="ar-SA"/>
        </w:rPr>
        <w:t xml:space="preserve"> HRSJ – HOSPITAL REGIONAL DE SÃO JOSÉ</w:t>
      </w:r>
    </w:p>
    <w:tbl>
      <w:tblPr>
        <w:tblStyle w:val="13"/>
        <w:tblW w:w="9660" w:type="dxa"/>
        <w:tblInd w:w="11" w:type="dxa"/>
        <w:tblLayout w:type="fixed"/>
        <w:tblCellMar>
          <w:top w:w="15" w:type="dxa"/>
          <w:left w:w="15" w:type="dxa"/>
          <w:bottom w:w="15" w:type="dxa"/>
          <w:right w:w="15" w:type="dxa"/>
        </w:tblCellMar>
      </w:tblPr>
      <w:tblGrid>
        <w:gridCol w:w="734"/>
        <w:gridCol w:w="1020"/>
        <w:gridCol w:w="1425"/>
        <w:gridCol w:w="3899"/>
        <w:gridCol w:w="1200"/>
        <w:gridCol w:w="1381"/>
      </w:tblGrid>
      <w:tr>
        <w:tblPrEx>
          <w:tblCellMar>
            <w:top w:w="15" w:type="dxa"/>
            <w:left w:w="15" w:type="dxa"/>
            <w:bottom w:w="15" w:type="dxa"/>
            <w:right w:w="15" w:type="dxa"/>
          </w:tblCellMar>
        </w:tblPrEx>
        <w:tc>
          <w:tcPr>
            <w:tcW w:w="734"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Item</w:t>
            </w:r>
          </w:p>
        </w:tc>
        <w:tc>
          <w:tcPr>
            <w:tcW w:w="1020"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rPr>
                <w:rStyle w:val="14"/>
                <w:rFonts w:ascii="Calibri" w:hAnsi="Calibri"/>
                <w:sz w:val="22"/>
                <w:szCs w:val="22"/>
              </w:rPr>
            </w:pPr>
            <w:r>
              <w:rPr>
                <w:rStyle w:val="14"/>
                <w:rFonts w:ascii="Calibri" w:hAnsi="Calibri"/>
                <w:sz w:val="22"/>
                <w:szCs w:val="22"/>
              </w:rPr>
              <w:t>Grupo/</w:t>
            </w:r>
          </w:p>
          <w:p>
            <w:pPr>
              <w:pStyle w:val="644"/>
              <w:widowControl w:val="0"/>
              <w:jc w:val="center"/>
            </w:pPr>
            <w:r>
              <w:rPr>
                <w:rStyle w:val="14"/>
                <w:rFonts w:ascii="Calibri" w:hAnsi="Calibri"/>
                <w:sz w:val="22"/>
                <w:szCs w:val="22"/>
              </w:rPr>
              <w:t>Classe</w:t>
            </w:r>
          </w:p>
        </w:tc>
        <w:tc>
          <w:tcPr>
            <w:tcW w:w="1425"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Código</w:t>
            </w:r>
          </w:p>
        </w:tc>
        <w:tc>
          <w:tcPr>
            <w:tcW w:w="3899"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Descrição do Material</w:t>
            </w:r>
          </w:p>
        </w:tc>
        <w:tc>
          <w:tcPr>
            <w:tcW w:w="1200" w:type="dxa"/>
            <w:tcBorders>
              <w:top w:val="single" w:color="000000" w:sz="4" w:space="0"/>
              <w:left w:val="single" w:color="000000" w:sz="4" w:space="0"/>
              <w:bottom w:val="single" w:color="000000" w:sz="4" w:space="0"/>
            </w:tcBorders>
            <w:shd w:val="clear" w:color="auto" w:fill="BFBFBF"/>
            <w:vAlign w:val="center"/>
          </w:tcPr>
          <w:p>
            <w:pPr>
              <w:pStyle w:val="644"/>
              <w:widowControl w:val="0"/>
              <w:jc w:val="center"/>
            </w:pPr>
            <w:r>
              <w:rPr>
                <w:rStyle w:val="14"/>
                <w:rFonts w:ascii="Calibri" w:hAnsi="Calibri"/>
                <w:sz w:val="22"/>
                <w:szCs w:val="22"/>
              </w:rPr>
              <w:t>Unidade</w:t>
            </w:r>
          </w:p>
        </w:tc>
        <w:tc>
          <w:tcPr>
            <w:tcW w:w="1381" w:type="dxa"/>
            <w:tcBorders>
              <w:top w:val="single" w:color="000000" w:sz="4" w:space="0"/>
              <w:left w:val="single" w:color="000000" w:sz="4" w:space="0"/>
              <w:bottom w:val="single" w:color="000000" w:sz="4" w:space="0"/>
              <w:right w:val="single" w:color="000000" w:sz="4" w:space="0"/>
            </w:tcBorders>
            <w:shd w:val="clear" w:color="auto" w:fill="BFBFBF"/>
            <w:vAlign w:val="center"/>
          </w:tcPr>
          <w:p>
            <w:pPr>
              <w:pStyle w:val="644"/>
              <w:widowControl w:val="0"/>
              <w:jc w:val="center"/>
            </w:pPr>
            <w:r>
              <w:rPr>
                <w:rStyle w:val="14"/>
                <w:rFonts w:ascii="Calibri" w:hAnsi="Calibri"/>
                <w:sz w:val="22"/>
                <w:szCs w:val="22"/>
              </w:rPr>
              <w:t>Quantidade</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009822237</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não cimentado modular primário, embalagem contendo lote e data de fabricação. Apresentar registro no MS. 0702030210.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009822261</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Centralizador para componente femoral cimentado modular 0702030074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009822285</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111040031</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111040047</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111040052</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cefálico/polietileno/ metálico bipolar em vários tamanhos. Apresentação de registro no MS, embalagem estéril contendo lote, método de esterilização, data fabricação e esterilização. SUS 0702030120. (L29)</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111350001</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Cabeça femoral modular fabricada em aço inox intercambiável com opção para tamanhos P / M / G e XG, com diâmetro 22, 28, 32 e 36 mm. Apresentação de registro no MS, embalagem estéril contendo lote, método de esterilização, data de fabricação e esterilização. 0702030139.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8</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111341003</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metálico para insert de polietileno, em NO, em titânio superfície externa em plasma porous hemisférico, e fixação por impactação e parafusos, opção nos tamanhos 40 a 70. Apresentação de registro no MS, embalagem estéril contendo lote, método de esterilização, data de fabricação e esterilização. 0702030104.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9</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111341004</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(metal back) para esferas diâmetros 22, 28 e 32, stander ou com rebordo de 10º de inclinação. Apresentação de registro no MS, embalagem estéril, contendo lote, método de esterilização, data de fabricação e esterilização. SUS 0702030597.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10</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110990080</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Parafuso auto roscante acetabular em titânio com diâmetro de 4,5mm a 6,5mm, nos tamanhos 15 a 40mm apresentação de registro no MS, embalagem estéril contendo lote, método de esterilização, data fabricação e esterilização. 0702030767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111040049</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para esferas, diâmetros 22, 28 e 32, stander ou com rebordo de 10º de inclinação. Apresentação de registro no MS, embalagem estéril, contendo lote, método de esterilização, data fabricação e esterilização. SUS 0702030090.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40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12</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111040063</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cimentado cross linked. Apresentação de registro no MS, embalagem estéril, contendo lote, método de esterilização, data fabricação e esterilização. SUS 0702030090.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80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111341087</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polietileno não cimentado cross linked. Apresentação de registro no MS, embalagem estéril, contendo lote, método de esterilização, data fabricação e esterilização. SUS 0702030597.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80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009822523</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não cimentado modular primário, embalagem contendo lote e data de fabricação. Apresentar registro no MS. 0702030210.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15</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009822524</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Centralizador para componente femoral cimentado modular 0702030074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55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009822525</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17</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009822526</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com antibiótico 0702030082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220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18</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111040065</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19</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111040066</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(L30)</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20</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009822527</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Centralizador para componente femoral cimentado modular 0702030074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35</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21</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009822528</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radiopaco sem antibiótico. SUS 0702031380.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22</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6625</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009822529</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Cimento com antibiótico 0702030082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70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23</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111040067</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femoral fabricada em aço inoxidável polida. Diversos tamanhos e off-set. Apresentação de registro no MS, embalagem estéril contendo lote, método de esterilização, data de fabricação e esterilização. SUS 0702030163.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37</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24</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111350012</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Cabeça femoral modular fabricada em aço inox intercambiável com opção para tamanhos P / M / G e XG, com diâmetro 22, 28, 32 e 36 mm. Apresentação de registro no MS, embalagem estéril contendo lote, método de esterilização, data de fabricação e esterilização. 0702030139.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37</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25</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111040068</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Restritor femoral para retenção de cimento, tamanhos de 10 a 20mm, apresentação de registro no MS, embalagem estéril contendo lote, método de esterilização, data de fabricação e esterilização. SUS 0702031259.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37</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26</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111040069</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para esferas, diâmetros 22, 28 e 32, stander ou com rebordo de 10º de inclinação. Apresentação de registro no MS, embalagem estéril, contendo lote, método de esterilização, data fabricação e esterilização. SUS 0702030090.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10</w:t>
            </w:r>
          </w:p>
        </w:tc>
      </w:tr>
      <w:tr>
        <w:tblPrEx>
          <w:tblCellMar>
            <w:top w:w="15" w:type="dxa"/>
            <w:left w:w="15" w:type="dxa"/>
            <w:bottom w:w="15" w:type="dxa"/>
            <w:right w:w="15" w:type="dxa"/>
          </w:tblCellMar>
        </w:tblPrEx>
        <w:trPr>
          <w:trHeight w:val="255" w:hRule="atLeast"/>
        </w:trPr>
        <w:tc>
          <w:tcPr>
            <w:tcW w:w="734"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27</w:t>
            </w:r>
          </w:p>
        </w:tc>
        <w:tc>
          <w:tcPr>
            <w:tcW w:w="102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6630</w:t>
            </w:r>
          </w:p>
        </w:tc>
        <w:tc>
          <w:tcPr>
            <w:tcW w:w="1425"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111040070</w:t>
            </w:r>
          </w:p>
        </w:tc>
        <w:tc>
          <w:tcPr>
            <w:tcW w:w="3899" w:type="dxa"/>
            <w:tcBorders>
              <w:left w:val="single" w:color="000000" w:sz="4" w:space="0"/>
              <w:bottom w:val="single" w:color="000000" w:sz="4" w:space="0"/>
              <w:right w:val="single" w:color="000000" w:sz="4" w:space="0"/>
            </w:tcBorders>
            <w:vAlign w:val="center"/>
          </w:tcPr>
          <w:p>
            <w:pPr>
              <w:pStyle w:val="644"/>
              <w:widowControl w:val="0"/>
              <w:rPr>
                <w:rFonts w:ascii="Calibri" w:hAnsi="Calibri"/>
                <w:sz w:val="24"/>
                <w:szCs w:val="24"/>
              </w:rPr>
            </w:pPr>
            <w:r>
              <w:rPr>
                <w:rFonts w:ascii="Calibri" w:hAnsi="Calibri"/>
                <w:sz w:val="24"/>
                <w:szCs w:val="24"/>
              </w:rPr>
              <w:t>Componente acetabular de polietileno cimentado cross linked. Apresentação de registro no MS, embalagem estéril, contendo lote, método de esterilização, data fabricação e esterilização. SUS 0702030090. (L31)</w:t>
            </w:r>
          </w:p>
        </w:tc>
        <w:tc>
          <w:tcPr>
            <w:tcW w:w="1200"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peça</w:t>
            </w:r>
          </w:p>
        </w:tc>
        <w:tc>
          <w:tcPr>
            <w:tcW w:w="1381" w:type="dxa"/>
            <w:tcBorders>
              <w:left w:val="single" w:color="000000" w:sz="4" w:space="0"/>
              <w:bottom w:val="single" w:color="000000" w:sz="4" w:space="0"/>
              <w:right w:val="single" w:color="000000" w:sz="4" w:space="0"/>
            </w:tcBorders>
            <w:vAlign w:val="center"/>
          </w:tcPr>
          <w:p>
            <w:pPr>
              <w:pStyle w:val="644"/>
              <w:widowControl w:val="0"/>
              <w:jc w:val="center"/>
              <w:rPr>
                <w:rFonts w:ascii="Calibri" w:hAnsi="Calibri"/>
                <w:sz w:val="24"/>
                <w:szCs w:val="24"/>
              </w:rPr>
            </w:pPr>
            <w:r>
              <w:rPr>
                <w:rFonts w:ascii="Calibri" w:hAnsi="Calibri"/>
                <w:sz w:val="24"/>
                <w:szCs w:val="24"/>
              </w:rPr>
              <w:t>30</w:t>
            </w:r>
          </w:p>
        </w:tc>
      </w:tr>
    </w:tbl>
    <w:p>
      <w:pPr>
        <w:tabs>
          <w:tab w:val="left" w:pos="204"/>
          <w:tab w:val="left" w:pos="720"/>
        </w:tabs>
        <w:spacing w:line="360" w:lineRule="auto"/>
        <w:jc w:val="center"/>
        <w:rPr>
          <w:rFonts w:ascii="Calibri" w:hAnsi="Calibri"/>
          <w:sz w:val="24"/>
          <w:szCs w:val="24"/>
        </w:rPr>
      </w:pPr>
    </w:p>
    <w:p>
      <w:pPr>
        <w:tabs>
          <w:tab w:val="left" w:pos="204"/>
          <w:tab w:val="left" w:pos="720"/>
        </w:tabs>
        <w:spacing w:line="360" w:lineRule="auto"/>
        <w:jc w:val="center"/>
        <w:rPr>
          <w:rFonts w:ascii="Calibri" w:hAnsi="Calibri"/>
          <w:sz w:val="24"/>
          <w:szCs w:val="24"/>
        </w:rPr>
      </w:pPr>
    </w:p>
    <w:p>
      <w:pPr>
        <w:tabs>
          <w:tab w:val="left" w:pos="204"/>
          <w:tab w:val="left" w:pos="720"/>
        </w:tabs>
        <w:spacing w:line="360" w:lineRule="auto"/>
        <w:jc w:val="center"/>
        <w:rPr>
          <w:rFonts w:ascii="Calibri" w:hAnsi="Calibri"/>
          <w:sz w:val="24"/>
          <w:szCs w:val="24"/>
        </w:rPr>
      </w:pPr>
    </w:p>
    <w:p>
      <w:pPr>
        <w:tabs>
          <w:tab w:val="left" w:pos="204"/>
          <w:tab w:val="left" w:pos="720"/>
        </w:tabs>
        <w:spacing w:line="360" w:lineRule="auto"/>
        <w:jc w:val="center"/>
        <w:rPr>
          <w:rFonts w:ascii="Calibri" w:hAnsi="Calibri"/>
          <w:sz w:val="24"/>
          <w:szCs w:val="24"/>
        </w:rPr>
      </w:pPr>
    </w:p>
    <w:p>
      <w:pPr>
        <w:tabs>
          <w:tab w:val="left" w:pos="204"/>
          <w:tab w:val="left" w:pos="720"/>
        </w:tabs>
        <w:spacing w:line="360" w:lineRule="auto"/>
        <w:jc w:val="center"/>
        <w:rPr>
          <w:rFonts w:ascii="Calibri" w:hAnsi="Calibri"/>
          <w:sz w:val="24"/>
          <w:szCs w:val="24"/>
        </w:rPr>
      </w:pPr>
    </w:p>
    <w:p>
      <w:pPr>
        <w:tabs>
          <w:tab w:val="left" w:pos="204"/>
          <w:tab w:val="left" w:pos="720"/>
        </w:tabs>
        <w:spacing w:line="360" w:lineRule="auto"/>
        <w:jc w:val="center"/>
        <w:rPr>
          <w:rFonts w:ascii="Calibri" w:hAnsi="Calibri"/>
          <w:sz w:val="24"/>
          <w:szCs w:val="24"/>
        </w:rPr>
      </w:pPr>
    </w:p>
    <w:p>
      <w:pPr>
        <w:tabs>
          <w:tab w:val="left" w:pos="204"/>
          <w:tab w:val="left" w:pos="720"/>
        </w:tabs>
        <w:spacing w:line="360" w:lineRule="auto"/>
        <w:jc w:val="center"/>
        <w:rPr>
          <w:rFonts w:ascii="Calibri" w:hAnsi="Calibri"/>
          <w:sz w:val="24"/>
          <w:szCs w:val="24"/>
        </w:rPr>
      </w:pPr>
      <w:r>
        <w:rPr>
          <w:rFonts w:ascii="Calibri" w:hAnsi="Calibri" w:cs="Calibri"/>
          <w:b/>
          <w:sz w:val="24"/>
          <w:szCs w:val="24"/>
        </w:rPr>
        <w:t>ANEXO I-B</w:t>
      </w:r>
    </w:p>
    <w:p>
      <w:pPr>
        <w:tabs>
          <w:tab w:val="left" w:pos="204"/>
          <w:tab w:val="left" w:pos="720"/>
        </w:tabs>
        <w:spacing w:line="360" w:lineRule="auto"/>
        <w:jc w:val="center"/>
        <w:rPr>
          <w:rFonts w:ascii="Calibri" w:hAnsi="Calibri"/>
          <w:sz w:val="24"/>
          <w:szCs w:val="24"/>
        </w:rPr>
      </w:pPr>
      <w:r>
        <w:rPr>
          <w:rFonts w:ascii="Calibri" w:hAnsi="Calibri" w:cs="Calibri"/>
          <w:b/>
          <w:sz w:val="24"/>
          <w:szCs w:val="24"/>
        </w:rPr>
        <w:t xml:space="preserve">PREGÃO ELETRÔNICO Nº </w:t>
      </w:r>
      <w:r>
        <w:rPr>
          <w:rFonts w:ascii="Calibri" w:hAnsi="Calibri" w:eastAsia="SimSun" w:cs="Calibri"/>
          <w:b/>
          <w:color w:val="000000"/>
          <w:kern w:val="0"/>
          <w:sz w:val="24"/>
          <w:szCs w:val="24"/>
          <w:lang w:val="pt-BR" w:eastAsia="zh-CN" w:bidi="ar-SA"/>
        </w:rPr>
        <w:t>1176/2023</w:t>
      </w:r>
    </w:p>
    <w:p>
      <w:pPr>
        <w:tabs>
          <w:tab w:val="left" w:pos="204"/>
          <w:tab w:val="left" w:pos="720"/>
        </w:tabs>
        <w:spacing w:line="360" w:lineRule="auto"/>
        <w:jc w:val="center"/>
        <w:rPr>
          <w:rFonts w:ascii="Calibri" w:hAnsi="Calibri"/>
          <w:sz w:val="24"/>
          <w:szCs w:val="24"/>
        </w:rPr>
      </w:pPr>
      <w:r>
        <w:rPr>
          <w:rFonts w:ascii="Calibri" w:hAnsi="Calibri" w:cs="Calibri"/>
          <w:b/>
          <w:bCs/>
          <w:sz w:val="24"/>
          <w:szCs w:val="24"/>
        </w:rPr>
        <w:t>ENDEREÇO DAS UNIDADES DA SES</w:t>
      </w:r>
    </w:p>
    <w:p>
      <w:pPr>
        <w:tabs>
          <w:tab w:val="left" w:pos="204"/>
          <w:tab w:val="left" w:pos="720"/>
        </w:tabs>
        <w:spacing w:line="360" w:lineRule="auto"/>
        <w:jc w:val="center"/>
        <w:rPr>
          <w:rFonts w:ascii="Calibri" w:hAnsi="Calibri" w:cs="Calibri"/>
          <w:b/>
          <w:bCs/>
          <w:sz w:val="24"/>
          <w:szCs w:val="24"/>
        </w:rPr>
      </w:pPr>
    </w:p>
    <w:tbl>
      <w:tblPr>
        <w:tblStyle w:val="13"/>
        <w:tblW w:w="9690" w:type="dxa"/>
        <w:jc w:val="center"/>
        <w:tblLayout w:type="fixed"/>
        <w:tblCellMar>
          <w:top w:w="0" w:type="dxa"/>
          <w:left w:w="108" w:type="dxa"/>
          <w:bottom w:w="0" w:type="dxa"/>
          <w:right w:w="108" w:type="dxa"/>
        </w:tblCellMar>
      </w:tblPr>
      <w:tblGrid>
        <w:gridCol w:w="954"/>
        <w:gridCol w:w="3109"/>
        <w:gridCol w:w="3407"/>
        <w:gridCol w:w="2219"/>
      </w:tblGrid>
      <w:tr>
        <w:tblPrEx>
          <w:tblCellMar>
            <w:top w:w="0" w:type="dxa"/>
            <w:left w:w="108" w:type="dxa"/>
            <w:bottom w:w="0" w:type="dxa"/>
            <w:right w:w="108" w:type="dxa"/>
          </w:tblCellMar>
        </w:tblPrEx>
        <w:trPr>
          <w:jc w:val="center"/>
        </w:trPr>
        <w:tc>
          <w:tcPr>
            <w:tcW w:w="954" w:type="dxa"/>
            <w:tcBorders>
              <w:top w:val="single" w:color="000000" w:sz="4" w:space="0"/>
              <w:left w:val="single" w:color="000000" w:sz="4" w:space="0"/>
              <w:bottom w:val="single" w:color="000000" w:sz="4" w:space="0"/>
            </w:tcBorders>
            <w:shd w:val="clear" w:color="auto" w:fill="A6A6A6"/>
          </w:tcPr>
          <w:p>
            <w:pPr>
              <w:widowControl w:val="0"/>
              <w:tabs>
                <w:tab w:val="left" w:pos="7230"/>
              </w:tabs>
              <w:spacing w:before="57" w:after="57"/>
              <w:jc w:val="center"/>
              <w:rPr>
                <w:rFonts w:ascii="Calibri" w:hAnsi="Calibri"/>
                <w:sz w:val="24"/>
                <w:szCs w:val="24"/>
              </w:rPr>
            </w:pPr>
            <w:r>
              <w:rPr>
                <w:rFonts w:ascii="Calibri" w:hAnsi="Calibri" w:cs="Calibri"/>
                <w:b/>
                <w:sz w:val="24"/>
                <w:szCs w:val="24"/>
              </w:rPr>
              <w:t>SIGLA</w:t>
            </w:r>
          </w:p>
        </w:tc>
        <w:tc>
          <w:tcPr>
            <w:tcW w:w="3109" w:type="dxa"/>
            <w:tcBorders>
              <w:top w:val="single" w:color="000000" w:sz="4" w:space="0"/>
              <w:left w:val="single" w:color="000000" w:sz="4" w:space="0"/>
              <w:bottom w:val="single" w:color="000000" w:sz="4" w:space="0"/>
            </w:tcBorders>
            <w:shd w:val="clear" w:color="auto" w:fill="A6A6A6"/>
          </w:tcPr>
          <w:p>
            <w:pPr>
              <w:widowControl w:val="0"/>
              <w:tabs>
                <w:tab w:val="left" w:pos="7230"/>
              </w:tabs>
              <w:spacing w:before="57" w:after="57"/>
              <w:jc w:val="center"/>
              <w:rPr>
                <w:rFonts w:ascii="Calibri" w:hAnsi="Calibri"/>
                <w:sz w:val="24"/>
                <w:szCs w:val="24"/>
              </w:rPr>
            </w:pPr>
            <w:r>
              <w:rPr>
                <w:rFonts w:ascii="Calibri" w:hAnsi="Calibri" w:cs="Calibri"/>
                <w:b/>
                <w:sz w:val="24"/>
                <w:szCs w:val="24"/>
              </w:rPr>
              <w:t>UNIDADE</w:t>
            </w:r>
          </w:p>
        </w:tc>
        <w:tc>
          <w:tcPr>
            <w:tcW w:w="3407" w:type="dxa"/>
            <w:tcBorders>
              <w:top w:val="single" w:color="000000" w:sz="4" w:space="0"/>
              <w:left w:val="single" w:color="000000" w:sz="4" w:space="0"/>
              <w:bottom w:val="single" w:color="000000" w:sz="4" w:space="0"/>
            </w:tcBorders>
            <w:shd w:val="clear" w:color="auto" w:fill="A6A6A6"/>
          </w:tcPr>
          <w:p>
            <w:pPr>
              <w:widowControl w:val="0"/>
              <w:tabs>
                <w:tab w:val="left" w:pos="7230"/>
              </w:tabs>
              <w:spacing w:before="57" w:after="57"/>
              <w:jc w:val="center"/>
              <w:rPr>
                <w:rFonts w:ascii="Calibri" w:hAnsi="Calibri"/>
                <w:sz w:val="24"/>
                <w:szCs w:val="24"/>
              </w:rPr>
            </w:pPr>
            <w:r>
              <w:rPr>
                <w:rFonts w:ascii="Calibri" w:hAnsi="Calibri" w:cs="Calibri"/>
                <w:b/>
                <w:sz w:val="24"/>
                <w:szCs w:val="24"/>
              </w:rPr>
              <w:t>ENDEREÇO</w:t>
            </w:r>
          </w:p>
        </w:tc>
        <w:tc>
          <w:tcPr>
            <w:tcW w:w="2219" w:type="dxa"/>
            <w:tcBorders>
              <w:top w:val="single" w:color="000000" w:sz="4" w:space="0"/>
              <w:left w:val="single" w:color="000000" w:sz="4" w:space="0"/>
              <w:bottom w:val="single" w:color="000000" w:sz="4" w:space="0"/>
              <w:right w:val="single" w:color="000000" w:sz="4" w:space="0"/>
            </w:tcBorders>
            <w:shd w:val="clear" w:color="auto" w:fill="A6A6A6"/>
          </w:tcPr>
          <w:p>
            <w:pPr>
              <w:widowControl w:val="0"/>
              <w:tabs>
                <w:tab w:val="left" w:pos="7230"/>
              </w:tabs>
              <w:spacing w:before="57" w:after="57"/>
              <w:jc w:val="center"/>
              <w:rPr>
                <w:rFonts w:ascii="Calibri" w:hAnsi="Calibri"/>
                <w:sz w:val="24"/>
                <w:szCs w:val="24"/>
              </w:rPr>
            </w:pPr>
            <w:r>
              <w:rPr>
                <w:rFonts w:ascii="Calibri" w:hAnsi="Calibri" w:cs="Calibri"/>
                <w:b/>
                <w:sz w:val="24"/>
                <w:szCs w:val="24"/>
              </w:rPr>
              <w:t>FONE</w:t>
            </w:r>
          </w:p>
        </w:tc>
      </w:tr>
      <w:tr>
        <w:tblPrEx>
          <w:tblCellMar>
            <w:top w:w="0" w:type="dxa"/>
            <w:left w:w="108" w:type="dxa"/>
            <w:bottom w:w="0" w:type="dxa"/>
            <w:right w:w="108" w:type="dxa"/>
          </w:tblCellMar>
        </w:tblPrEx>
        <w:trPr>
          <w:trHeight w:val="510" w:hRule="atLeast"/>
          <w:jc w:val="center"/>
        </w:trPr>
        <w:tc>
          <w:tcPr>
            <w:tcW w:w="954" w:type="dxa"/>
            <w:tcBorders>
              <w:left w:val="single" w:color="000000" w:sz="4" w:space="0"/>
              <w:bottom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HDWC</w:t>
            </w:r>
          </w:p>
        </w:tc>
        <w:tc>
          <w:tcPr>
            <w:tcW w:w="3109" w:type="dxa"/>
            <w:tcBorders>
              <w:left w:val="single" w:color="000000" w:sz="4" w:space="0"/>
              <w:bottom w:val="single" w:color="000000" w:sz="4" w:space="0"/>
            </w:tcBorders>
            <w:vAlign w:val="center"/>
          </w:tcPr>
          <w:p>
            <w:pPr>
              <w:widowControl w:val="0"/>
              <w:tabs>
                <w:tab w:val="left" w:pos="7230"/>
              </w:tabs>
              <w:jc w:val="center"/>
            </w:pPr>
            <w:r>
              <w:rPr>
                <w:rFonts w:ascii="Calibri" w:hAnsi="Calibri" w:cs="Calibri"/>
                <w:sz w:val="22"/>
                <w:szCs w:val="22"/>
              </w:rPr>
              <w:t>Hospital Dr. Waldomiro Colautti</w:t>
            </w:r>
          </w:p>
        </w:tc>
        <w:tc>
          <w:tcPr>
            <w:tcW w:w="3407" w:type="dxa"/>
            <w:tcBorders>
              <w:left w:val="single" w:color="000000" w:sz="4" w:space="0"/>
              <w:bottom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Rua Três de Maio, s/nº</w:t>
            </w:r>
          </w:p>
          <w:p>
            <w:pPr>
              <w:widowControl w:val="0"/>
              <w:tabs>
                <w:tab w:val="left" w:pos="7230"/>
              </w:tabs>
              <w:jc w:val="center"/>
              <w:rPr>
                <w:rFonts w:ascii="Calibri" w:hAnsi="Calibri" w:cs="Calibri"/>
                <w:sz w:val="22"/>
                <w:szCs w:val="22"/>
              </w:rPr>
            </w:pPr>
            <w:r>
              <w:rPr>
                <w:rFonts w:ascii="Calibri" w:hAnsi="Calibri" w:eastAsia="Calibri" w:cs="Calibri"/>
                <w:sz w:val="22"/>
                <w:szCs w:val="22"/>
              </w:rPr>
              <w:t xml:space="preserve"> </w:t>
            </w:r>
            <w:r>
              <w:rPr>
                <w:rFonts w:ascii="Calibri" w:hAnsi="Calibri" w:cs="Calibri"/>
                <w:sz w:val="22"/>
                <w:szCs w:val="22"/>
              </w:rPr>
              <w:t>Centro – Ibirama – SC</w:t>
            </w:r>
          </w:p>
        </w:tc>
        <w:tc>
          <w:tcPr>
            <w:tcW w:w="2219" w:type="dxa"/>
            <w:tcBorders>
              <w:left w:val="single" w:color="000000" w:sz="4" w:space="0"/>
              <w:bottom w:val="single" w:color="000000" w:sz="4" w:space="0"/>
              <w:right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(47) 3357-2555</w:t>
            </w:r>
          </w:p>
        </w:tc>
      </w:tr>
      <w:tr>
        <w:tblPrEx>
          <w:tblCellMar>
            <w:top w:w="0" w:type="dxa"/>
            <w:left w:w="108" w:type="dxa"/>
            <w:bottom w:w="0" w:type="dxa"/>
            <w:right w:w="108" w:type="dxa"/>
          </w:tblCellMar>
        </w:tblPrEx>
        <w:trPr>
          <w:trHeight w:val="510" w:hRule="atLeast"/>
          <w:jc w:val="center"/>
        </w:trPr>
        <w:tc>
          <w:tcPr>
            <w:tcW w:w="954" w:type="dxa"/>
            <w:tcBorders>
              <w:left w:val="single" w:color="000000" w:sz="4" w:space="0"/>
              <w:bottom w:val="single" w:color="000000" w:sz="4" w:space="0"/>
            </w:tcBorders>
            <w:vAlign w:val="center"/>
          </w:tcPr>
          <w:p>
            <w:pPr>
              <w:widowControl w:val="0"/>
              <w:tabs>
                <w:tab w:val="left" w:pos="7230"/>
              </w:tabs>
              <w:jc w:val="center"/>
            </w:pPr>
            <w:r>
              <w:rPr>
                <w:rFonts w:ascii="Calibri" w:hAnsi="Calibri" w:cs="Calibri"/>
                <w:sz w:val="22"/>
                <w:szCs w:val="22"/>
              </w:rPr>
              <w:t>HGCR</w:t>
            </w:r>
          </w:p>
        </w:tc>
        <w:tc>
          <w:tcPr>
            <w:tcW w:w="3109" w:type="dxa"/>
            <w:tcBorders>
              <w:left w:val="single" w:color="000000" w:sz="4" w:space="0"/>
              <w:bottom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Hospital Governador Celso Ramos</w:t>
            </w:r>
          </w:p>
        </w:tc>
        <w:tc>
          <w:tcPr>
            <w:tcW w:w="3407" w:type="dxa"/>
            <w:tcBorders>
              <w:left w:val="single" w:color="000000" w:sz="4" w:space="0"/>
              <w:bottom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Rua Irmã Benwarda, 297</w:t>
            </w:r>
          </w:p>
          <w:p>
            <w:pPr>
              <w:widowControl w:val="0"/>
              <w:tabs>
                <w:tab w:val="left" w:pos="7230"/>
              </w:tabs>
              <w:jc w:val="center"/>
              <w:rPr>
                <w:rFonts w:ascii="Calibri" w:hAnsi="Calibri" w:cs="Calibri"/>
                <w:sz w:val="22"/>
                <w:szCs w:val="22"/>
              </w:rPr>
            </w:pPr>
            <w:r>
              <w:rPr>
                <w:rFonts w:ascii="Calibri" w:hAnsi="Calibri" w:eastAsia="Calibri" w:cs="Calibri"/>
                <w:sz w:val="22"/>
                <w:szCs w:val="22"/>
              </w:rPr>
              <w:t xml:space="preserve"> </w:t>
            </w:r>
            <w:r>
              <w:rPr>
                <w:rFonts w:ascii="Calibri" w:hAnsi="Calibri" w:cs="Calibri"/>
                <w:sz w:val="22"/>
                <w:szCs w:val="22"/>
              </w:rPr>
              <w:t>Centro – Florianópolis – SC</w:t>
            </w:r>
          </w:p>
        </w:tc>
        <w:tc>
          <w:tcPr>
            <w:tcW w:w="2219" w:type="dxa"/>
            <w:tcBorders>
              <w:left w:val="single" w:color="000000" w:sz="4" w:space="0"/>
              <w:bottom w:val="single" w:color="000000" w:sz="4" w:space="0"/>
              <w:right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(48) 3251-7000</w:t>
            </w:r>
          </w:p>
        </w:tc>
      </w:tr>
      <w:tr>
        <w:tblPrEx>
          <w:tblCellMar>
            <w:top w:w="0" w:type="dxa"/>
            <w:left w:w="108" w:type="dxa"/>
            <w:bottom w:w="0" w:type="dxa"/>
            <w:right w:w="108" w:type="dxa"/>
          </w:tblCellMar>
        </w:tblPrEx>
        <w:trPr>
          <w:trHeight w:val="510" w:hRule="atLeast"/>
          <w:jc w:val="center"/>
        </w:trPr>
        <w:tc>
          <w:tcPr>
            <w:tcW w:w="954" w:type="dxa"/>
            <w:tcBorders>
              <w:left w:val="single" w:color="000000" w:sz="4" w:space="0"/>
              <w:bottom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HRSJ</w:t>
            </w:r>
          </w:p>
        </w:tc>
        <w:tc>
          <w:tcPr>
            <w:tcW w:w="3109" w:type="dxa"/>
            <w:tcBorders>
              <w:left w:val="single" w:color="000000" w:sz="4" w:space="0"/>
              <w:bottom w:val="single" w:color="000000" w:sz="4" w:space="0"/>
            </w:tcBorders>
            <w:vAlign w:val="center"/>
          </w:tcPr>
          <w:p>
            <w:pPr>
              <w:widowControl w:val="0"/>
              <w:tabs>
                <w:tab w:val="left" w:pos="7230"/>
              </w:tabs>
              <w:jc w:val="center"/>
            </w:pPr>
            <w:r>
              <w:rPr>
                <w:rFonts w:ascii="Calibri" w:hAnsi="Calibri" w:cs="Calibri"/>
                <w:sz w:val="22"/>
                <w:szCs w:val="22"/>
              </w:rPr>
              <w:t>Hospital Regional de São José Dr. Homero de Miranda Gomes</w:t>
            </w:r>
          </w:p>
        </w:tc>
        <w:tc>
          <w:tcPr>
            <w:tcW w:w="3407" w:type="dxa"/>
            <w:tcBorders>
              <w:left w:val="single" w:color="000000" w:sz="4" w:space="0"/>
              <w:bottom w:val="single" w:color="000000" w:sz="4" w:space="0"/>
            </w:tcBorders>
            <w:vAlign w:val="center"/>
          </w:tcPr>
          <w:p>
            <w:pPr>
              <w:widowControl w:val="0"/>
              <w:tabs>
                <w:tab w:val="left" w:pos="7230"/>
              </w:tabs>
              <w:jc w:val="center"/>
            </w:pPr>
            <w:r>
              <w:rPr>
                <w:rFonts w:ascii="Calibri" w:hAnsi="Calibri" w:cs="Calibri"/>
                <w:sz w:val="22"/>
                <w:szCs w:val="22"/>
              </w:rPr>
              <w:t>Rua Adolfo Donato da Silva, s/nº</w:t>
            </w:r>
          </w:p>
          <w:p>
            <w:pPr>
              <w:widowControl w:val="0"/>
              <w:tabs>
                <w:tab w:val="left" w:pos="7230"/>
              </w:tabs>
              <w:jc w:val="center"/>
            </w:pPr>
            <w:r>
              <w:rPr>
                <w:rFonts w:ascii="Calibri" w:hAnsi="Calibri" w:cs="Calibri"/>
                <w:sz w:val="22"/>
                <w:szCs w:val="22"/>
              </w:rPr>
              <w:t>Praia Comprida – São José – SC</w:t>
            </w:r>
          </w:p>
        </w:tc>
        <w:tc>
          <w:tcPr>
            <w:tcW w:w="2219" w:type="dxa"/>
            <w:tcBorders>
              <w:left w:val="single" w:color="000000" w:sz="4" w:space="0"/>
              <w:bottom w:val="single" w:color="000000" w:sz="4" w:space="0"/>
              <w:right w:val="single" w:color="000000" w:sz="4" w:space="0"/>
            </w:tcBorders>
            <w:vAlign w:val="center"/>
          </w:tcPr>
          <w:p>
            <w:pPr>
              <w:widowControl w:val="0"/>
              <w:tabs>
                <w:tab w:val="left" w:pos="7230"/>
              </w:tabs>
              <w:jc w:val="center"/>
              <w:rPr>
                <w:rFonts w:ascii="Calibri" w:hAnsi="Calibri" w:cs="Calibri"/>
                <w:sz w:val="22"/>
                <w:szCs w:val="22"/>
              </w:rPr>
            </w:pPr>
            <w:r>
              <w:rPr>
                <w:rFonts w:ascii="Calibri" w:hAnsi="Calibri" w:cs="Calibri"/>
                <w:sz w:val="22"/>
                <w:szCs w:val="22"/>
              </w:rPr>
              <w:t>(48) 3271-9000</w:t>
            </w:r>
          </w:p>
        </w:tc>
      </w:tr>
    </w:tbl>
    <w:p>
      <w:pPr>
        <w:overflowPunct/>
        <w:bidi w:val="0"/>
        <w:ind w:left="0" w:right="0" w:firstLine="0"/>
        <w:jc w:val="center"/>
        <w:rPr>
          <w:rFonts w:ascii="Calibri" w:hAnsi="Calibri" w:cs="Calibri"/>
          <w:bCs/>
          <w:sz w:val="24"/>
          <w:szCs w:val="24"/>
          <w:lang w:val="pt-PT"/>
        </w:rPr>
      </w:pPr>
    </w:p>
    <w:p>
      <w:pPr>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2"/>
        <w:overflowPunct/>
        <w:bidi w:val="0"/>
        <w:ind w:left="0" w:right="0" w:firstLine="0"/>
        <w:jc w:val="center"/>
        <w:rPr>
          <w:rFonts w:ascii="Calibri" w:hAnsi="Calibri"/>
          <w:sz w:val="24"/>
          <w:szCs w:val="24"/>
        </w:rPr>
      </w:pPr>
    </w:p>
    <w:p>
      <w:pPr>
        <w:pStyle w:val="3"/>
        <w:numPr>
          <w:ilvl w:val="0"/>
          <w:numId w:val="0"/>
        </w:numPr>
        <w:overflowPunct/>
        <w:bidi w:val="0"/>
        <w:ind w:left="0" w:right="0" w:firstLine="0"/>
        <w:jc w:val="center"/>
        <w:rPr>
          <w:rFonts w:ascii="Calibri" w:hAnsi="Calibri"/>
          <w:sz w:val="24"/>
          <w:szCs w:val="24"/>
        </w:rPr>
      </w:pPr>
    </w:p>
    <w:p>
      <w:pPr>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2"/>
        <w:numPr>
          <w:ilvl w:val="0"/>
          <w:numId w:val="0"/>
        </w:numPr>
        <w:overflowPunct/>
        <w:bidi w:val="0"/>
        <w:ind w:left="0" w:right="0" w:firstLine="0"/>
        <w:jc w:val="center"/>
        <w:rPr>
          <w:rFonts w:ascii="Calibri" w:hAnsi="Calibri"/>
          <w:sz w:val="24"/>
          <w:szCs w:val="24"/>
        </w:rPr>
      </w:pPr>
    </w:p>
    <w:p>
      <w:pPr>
        <w:pStyle w:val="3"/>
        <w:numPr>
          <w:ilvl w:val="0"/>
          <w:numId w:val="3"/>
        </w:numPr>
        <w:overflowPunct/>
        <w:bidi w:val="0"/>
        <w:ind w:left="0" w:right="0" w:firstLine="0"/>
        <w:jc w:val="center"/>
        <w:rPr>
          <w:rFonts w:ascii="Calibri" w:hAnsi="Calibri"/>
          <w:sz w:val="24"/>
          <w:szCs w:val="24"/>
        </w:rPr>
      </w:pPr>
      <w:r>
        <w:rPr>
          <w:rFonts w:ascii="Calibri" w:hAnsi="Calibri"/>
          <w:sz w:val="24"/>
          <w:szCs w:val="24"/>
        </w:rPr>
        <w:t>ANEXO</w:t>
      </w:r>
      <w:r>
        <w:rPr>
          <w:rFonts w:ascii="Calibri" w:hAnsi="Calibri"/>
          <w:spacing w:val="-9"/>
          <w:sz w:val="24"/>
          <w:szCs w:val="24"/>
        </w:rPr>
        <w:t xml:space="preserve"> </w:t>
      </w:r>
      <w:r>
        <w:rPr>
          <w:rFonts w:ascii="Calibri" w:hAnsi="Calibri"/>
          <w:sz w:val="24"/>
          <w:szCs w:val="24"/>
        </w:rPr>
        <w:t>II</w:t>
      </w:r>
    </w:p>
    <w:p>
      <w:pPr>
        <w:overflowPunct/>
        <w:bidi w:val="0"/>
        <w:spacing w:before="0" w:after="0"/>
        <w:ind w:left="0" w:right="0" w:firstLine="0"/>
        <w:jc w:val="center"/>
        <w:rPr>
          <w:rFonts w:ascii="Calibri" w:hAnsi="Calibri"/>
          <w:sz w:val="24"/>
          <w:szCs w:val="24"/>
        </w:rPr>
      </w:pPr>
      <w:r>
        <w:rPr>
          <w:rFonts w:ascii="Calibri" w:hAnsi="Calibri" w:eastAsia="NSimSun" w:cs="Lucida Sans"/>
          <w:b/>
          <w:bCs w:val="0"/>
          <w:color w:val="000000"/>
          <w:spacing w:val="-1"/>
          <w:kern w:val="0"/>
          <w:sz w:val="24"/>
          <w:szCs w:val="24"/>
          <w:lang w:val="pt-BR" w:eastAsia="zh-CN" w:bidi="hi-IN"/>
        </w:rPr>
        <w:t>PREGÃO ELETRÔNICO</w:t>
      </w:r>
      <w:r>
        <w:rPr>
          <w:rFonts w:ascii="Calibri" w:hAnsi="Calibri" w:eastAsia="NSimSun" w:cs="Lucida Sans"/>
          <w:b/>
          <w:bCs w:val="0"/>
          <w:color w:val="000000"/>
          <w:spacing w:val="-3"/>
          <w:kern w:val="0"/>
          <w:sz w:val="24"/>
          <w:szCs w:val="24"/>
          <w:lang w:val="pt-BR" w:eastAsia="zh-CN" w:bidi="hi-IN"/>
        </w:rPr>
        <w:t xml:space="preserve"> </w:t>
      </w:r>
      <w:r>
        <w:rPr>
          <w:rFonts w:ascii="Calibri" w:hAnsi="Calibri" w:eastAsia="NSimSun" w:cs="Lucida Sans"/>
          <w:b/>
          <w:bCs w:val="0"/>
          <w:color w:val="000000"/>
          <w:spacing w:val="-1"/>
          <w:kern w:val="0"/>
          <w:sz w:val="24"/>
          <w:szCs w:val="24"/>
          <w:lang w:val="pt-BR" w:eastAsia="zh-CN" w:bidi="hi-IN"/>
        </w:rPr>
        <w:t>Nº</w:t>
      </w:r>
      <w:r>
        <w:rPr>
          <w:rFonts w:ascii="Calibri" w:hAnsi="Calibri" w:eastAsia="NSimSun" w:cs="Lucida Sans"/>
          <w:b/>
          <w:bCs w:val="0"/>
          <w:color w:val="000000"/>
          <w:spacing w:val="2"/>
          <w:kern w:val="0"/>
          <w:sz w:val="24"/>
          <w:szCs w:val="24"/>
          <w:lang w:val="pt-BR" w:eastAsia="zh-CN" w:bidi="hi-IN"/>
        </w:rPr>
        <w:t xml:space="preserve"> </w:t>
      </w:r>
      <w:r>
        <w:rPr>
          <w:rFonts w:ascii="Calibri" w:hAnsi="Calibri" w:eastAsia="NSimSun" w:cs="Calibri"/>
          <w:b/>
          <w:bCs/>
          <w:color w:val="000000"/>
          <w:spacing w:val="2"/>
          <w:kern w:val="0"/>
          <w:sz w:val="24"/>
          <w:szCs w:val="24"/>
          <w:lang w:val="pt-BR" w:eastAsia="zh-CN" w:bidi="hi-IN"/>
        </w:rPr>
        <w:t>1176/2023</w:t>
      </w:r>
      <w:r>
        <w:rPr>
          <w:rFonts w:ascii="Calibri" w:hAnsi="Calibri" w:eastAsia="NSimSun" w:cs="Lucida Sans"/>
          <w:b/>
          <w:bCs w:val="0"/>
          <w:color w:val="000000"/>
          <w:spacing w:val="-1"/>
          <w:kern w:val="0"/>
          <w:sz w:val="24"/>
          <w:szCs w:val="24"/>
          <w:lang w:val="pt-BR" w:eastAsia="zh-CN" w:bidi="hi-IN"/>
        </w:rPr>
        <w:t xml:space="preserve"> </w:t>
      </w:r>
    </w:p>
    <w:p>
      <w:pPr>
        <w:overflowPunct/>
        <w:bidi w:val="0"/>
        <w:spacing w:before="0" w:after="0"/>
        <w:ind w:left="0" w:right="0" w:firstLine="0"/>
        <w:jc w:val="center"/>
        <w:rPr>
          <w:rFonts w:ascii="Calibri" w:hAnsi="Calibri"/>
          <w:sz w:val="24"/>
          <w:szCs w:val="24"/>
        </w:rPr>
      </w:pPr>
      <w:r>
        <w:rPr>
          <w:rFonts w:ascii="Calibri" w:hAnsi="Calibri" w:eastAsia="NSimSun" w:cs="Lucida Sans"/>
          <w:b/>
          <w:bCs w:val="0"/>
          <w:color w:val="000000"/>
          <w:kern w:val="0"/>
          <w:sz w:val="24"/>
          <w:szCs w:val="24"/>
          <w:lang w:val="pt-BR" w:eastAsia="zh-CN" w:bidi="hi-IN"/>
        </w:rPr>
        <w:t>MODELO</w:t>
      </w:r>
      <w:r>
        <w:rPr>
          <w:rFonts w:ascii="Calibri" w:hAnsi="Calibri" w:eastAsia="NSimSun" w:cs="Lucida Sans"/>
          <w:b/>
          <w:bCs w:val="0"/>
          <w:color w:val="000000"/>
          <w:spacing w:val="-12"/>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9"/>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PROPOSTA</w:t>
      </w:r>
      <w:r>
        <w:rPr>
          <w:rFonts w:ascii="Calibri" w:hAnsi="Calibri" w:eastAsia="NSimSun" w:cs="Lucida Sans"/>
          <w:b/>
          <w:bCs w:val="0"/>
          <w:color w:val="000000"/>
          <w:spacing w:val="-11"/>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DE</w:t>
      </w:r>
      <w:r>
        <w:rPr>
          <w:rFonts w:ascii="Calibri" w:hAnsi="Calibri" w:eastAsia="NSimSun" w:cs="Lucida Sans"/>
          <w:b/>
          <w:bCs w:val="0"/>
          <w:color w:val="000000"/>
          <w:spacing w:val="-13"/>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PREÇOS</w:t>
      </w:r>
      <w:r>
        <w:rPr>
          <w:rFonts w:ascii="Calibri" w:hAnsi="Calibri" w:eastAsia="NSimSun" w:cs="Lucida Sans"/>
          <w:b/>
          <w:bCs w:val="0"/>
          <w:color w:val="000000"/>
          <w:spacing w:val="-10"/>
          <w:kern w:val="0"/>
          <w:sz w:val="24"/>
          <w:szCs w:val="24"/>
          <w:lang w:val="pt-BR" w:eastAsia="zh-CN" w:bidi="hi-IN"/>
        </w:rPr>
        <w:t xml:space="preserve"> </w:t>
      </w:r>
      <w:r>
        <w:rPr>
          <w:rFonts w:ascii="Calibri" w:hAnsi="Calibri" w:eastAsia="NSimSun" w:cs="Lucida Sans"/>
          <w:b/>
          <w:bCs w:val="0"/>
          <w:color w:val="000000"/>
          <w:kern w:val="0"/>
          <w:sz w:val="24"/>
          <w:szCs w:val="24"/>
          <w:lang w:val="pt-BR" w:eastAsia="zh-CN" w:bidi="hi-IN"/>
        </w:rPr>
        <w:t>ELETRÔNICA</w:t>
      </w:r>
    </w:p>
    <w:p>
      <w:pPr>
        <w:pStyle w:val="2"/>
        <w:overflowPunct/>
        <w:bidi w:val="0"/>
        <w:spacing w:before="0" w:after="0"/>
        <w:ind w:left="0" w:right="0" w:firstLine="0"/>
        <w:jc w:val="center"/>
        <w:rPr>
          <w:rFonts w:ascii="Calibri" w:hAnsi="Calibri" w:eastAsia="NSimSun" w:cs="Lucida Sans"/>
          <w:b/>
          <w:kern w:val="0"/>
          <w:sz w:val="24"/>
          <w:szCs w:val="24"/>
          <w:lang w:val="pt-BR" w:eastAsia="zh-CN" w:bidi="hi-IN"/>
        </w:rPr>
      </w:pPr>
    </w:p>
    <w:p>
      <w:pPr>
        <w:pStyle w:val="2"/>
        <w:overflowPunct/>
        <w:bidi w:val="0"/>
        <w:spacing w:before="0" w:after="0"/>
        <w:ind w:left="0" w:right="0" w:firstLine="0"/>
        <w:jc w:val="center"/>
        <w:rPr>
          <w:rFonts w:ascii="Calibri" w:hAnsi="Calibri" w:eastAsia="NSimSun" w:cs="Lucida Sans"/>
          <w:b/>
          <w:kern w:val="0"/>
          <w:sz w:val="24"/>
          <w:szCs w:val="24"/>
          <w:lang w:val="pt-BR" w:eastAsia="zh-CN" w:bidi="hi-IN"/>
        </w:rPr>
      </w:pPr>
      <w:r>
        <w:rPr>
          <w:rFonts w:ascii="Calibri" w:hAnsi="Calibri" w:eastAsia="NSimSun" w:cs="Lucida Sans"/>
          <w:b/>
          <w:kern w:val="0"/>
          <w:sz w:val="24"/>
          <w:szCs w:val="24"/>
          <w:lang w:val="pt-BR" w:eastAsia="zh-CN" w:bidi="hi-IN"/>
        </w:rPr>
        <w:drawing>
          <wp:anchor distT="0" distB="0" distL="0" distR="0" simplePos="0" relativeHeight="251659264" behindDoc="0" locked="0" layoutInCell="0" allowOverlap="1">
            <wp:simplePos x="0" y="0"/>
            <wp:positionH relativeFrom="column">
              <wp:posOffset>-4445</wp:posOffset>
            </wp:positionH>
            <wp:positionV relativeFrom="paragraph">
              <wp:posOffset>102235</wp:posOffset>
            </wp:positionV>
            <wp:extent cx="6196330" cy="4794885"/>
            <wp:effectExtent l="0" t="0" r="0" b="0"/>
            <wp:wrapTopAndBottom/>
            <wp:docPr id="2"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jpeg"/>
                    <pic:cNvPicPr>
                      <a:picLocks noChangeAspect="1" noChangeArrowheads="1"/>
                    </pic:cNvPicPr>
                  </pic:nvPicPr>
                  <pic:blipFill>
                    <a:blip r:embed="rId8"/>
                    <a:stretch>
                      <a:fillRect/>
                    </a:stretch>
                  </pic:blipFill>
                  <pic:spPr>
                    <a:xfrm>
                      <a:off x="0" y="0"/>
                      <a:ext cx="6196330" cy="4794885"/>
                    </a:xfrm>
                    <a:prstGeom prst="rect">
                      <a:avLst/>
                    </a:prstGeom>
                  </pic:spPr>
                </pic:pic>
              </a:graphicData>
            </a:graphic>
          </wp:anchor>
        </w:drawing>
      </w:r>
    </w:p>
    <w:p>
      <w:pPr>
        <w:pStyle w:val="2"/>
        <w:overflowPunct/>
        <w:bidi w:val="0"/>
        <w:spacing w:before="0" w:after="0"/>
        <w:ind w:left="0" w:right="0" w:firstLine="0"/>
        <w:jc w:val="center"/>
        <w:rPr>
          <w:rFonts w:ascii="Calibri" w:hAnsi="Calibri" w:eastAsia="NSimSun" w:cs="Lucida Sans"/>
          <w:kern w:val="0"/>
          <w:sz w:val="24"/>
          <w:szCs w:val="24"/>
          <w:lang w:val="pt-BR" w:eastAsia="zh-CN" w:bidi="hi-IN"/>
        </w:rPr>
      </w:pPr>
    </w:p>
    <w:p>
      <w:pPr>
        <w:tabs>
          <w:tab w:val="left" w:pos="2552"/>
        </w:tabs>
        <w:overflowPunct/>
        <w:bidi w:val="0"/>
        <w:ind w:left="0" w:right="0" w:firstLine="0"/>
        <w:jc w:val="both"/>
        <w:rPr>
          <w:rFonts w:ascii="Calibri" w:hAnsi="Calibri"/>
          <w:sz w:val="24"/>
          <w:szCs w:val="24"/>
        </w:rPr>
      </w:pPr>
      <w:r>
        <w:rPr>
          <w:rFonts w:ascii="Calibri" w:hAnsi="Calibri" w:cs="Calibri"/>
          <w:b w:val="0"/>
          <w:bCs w:val="0"/>
          <w:sz w:val="24"/>
          <w:szCs w:val="24"/>
        </w:rPr>
        <w:t>1 – Sob pena de desclassificação, deverá ser preenchido para cada item do objeto cotado, no campo correspondente:</w:t>
      </w:r>
    </w:p>
    <w:p>
      <w:pPr>
        <w:pStyle w:val="2"/>
        <w:tabs>
          <w:tab w:val="left" w:pos="2552"/>
        </w:tabs>
        <w:overflowPunct/>
        <w:bidi w:val="0"/>
        <w:ind w:left="0" w:right="0" w:firstLine="0"/>
        <w:jc w:val="both"/>
        <w:rPr>
          <w:rFonts w:ascii="Calibri" w:hAnsi="Calibri" w:cs="Calibri"/>
          <w:b w:val="0"/>
          <w:bCs w:val="0"/>
          <w:sz w:val="24"/>
          <w:szCs w:val="24"/>
        </w:rPr>
      </w:pPr>
    </w:p>
    <w:p>
      <w:pPr>
        <w:pStyle w:val="2"/>
        <w:tabs>
          <w:tab w:val="left" w:pos="2552"/>
        </w:tabs>
        <w:overflowPunct/>
        <w:bidi w:val="0"/>
        <w:ind w:left="0" w:right="0" w:firstLine="0"/>
        <w:jc w:val="both"/>
        <w:rPr>
          <w:rFonts w:ascii="Calibri" w:hAnsi="Calibri"/>
          <w:sz w:val="24"/>
          <w:szCs w:val="24"/>
        </w:rPr>
      </w:pPr>
      <w:r>
        <w:rPr>
          <w:rFonts w:ascii="Calibri" w:hAnsi="Calibri" w:cs="Calibri"/>
          <w:b w:val="0"/>
          <w:bCs w:val="0"/>
          <w:sz w:val="24"/>
          <w:szCs w:val="24"/>
        </w:rPr>
        <w:t>a) Preço unitário do item, expresso em reais;</w:t>
      </w:r>
    </w:p>
    <w:p>
      <w:pPr>
        <w:pStyle w:val="2"/>
        <w:tabs>
          <w:tab w:val="left" w:pos="2552"/>
        </w:tabs>
        <w:overflowPunct/>
        <w:bidi w:val="0"/>
        <w:ind w:left="0" w:right="0" w:firstLine="0"/>
        <w:jc w:val="both"/>
        <w:rPr>
          <w:rFonts w:ascii="Calibri" w:hAnsi="Calibri" w:cs="Calibri"/>
          <w:b w:val="0"/>
          <w:bCs w:val="0"/>
          <w:sz w:val="24"/>
          <w:szCs w:val="24"/>
        </w:rPr>
      </w:pPr>
    </w:p>
    <w:p>
      <w:pPr>
        <w:pStyle w:val="2"/>
        <w:tabs>
          <w:tab w:val="left" w:pos="2552"/>
        </w:tabs>
        <w:overflowPunct/>
        <w:bidi w:val="0"/>
        <w:ind w:left="0" w:right="0" w:firstLine="0"/>
        <w:jc w:val="both"/>
        <w:rPr>
          <w:rFonts w:ascii="Calibri" w:hAnsi="Calibri"/>
          <w:sz w:val="24"/>
          <w:szCs w:val="24"/>
        </w:rPr>
      </w:pPr>
      <w:r>
        <w:rPr>
          <w:rFonts w:ascii="Calibri" w:hAnsi="Calibri" w:cs="Calibri"/>
          <w:b w:val="0"/>
          <w:bCs w:val="0"/>
          <w:sz w:val="24"/>
          <w:szCs w:val="24"/>
        </w:rPr>
        <w:t>*Esta imagem (.jpeg) é meramente ilustrativa e poderá não contemplar todas as atualizações que possam ser implementadas no Sistema (updates), como layouts e campos informativos.</w:t>
      </w:r>
      <w:r>
        <w:br w:type="page"/>
      </w:r>
    </w:p>
    <w:p>
      <w:pPr>
        <w:overflowPunct/>
        <w:bidi w:val="0"/>
        <w:ind w:left="0" w:right="0" w:firstLine="0"/>
        <w:jc w:val="center"/>
        <w:rPr>
          <w:rFonts w:ascii="Calibri" w:hAnsi="Calibri"/>
          <w:sz w:val="18"/>
          <w:szCs w:val="18"/>
        </w:rPr>
      </w:pPr>
      <w:r>
        <w:rPr>
          <w:rFonts w:ascii="Calibri" w:hAnsi="Calibri" w:cs="Calibri"/>
          <w:b/>
          <w:color w:val="000000"/>
          <w:sz w:val="18"/>
          <w:szCs w:val="18"/>
        </w:rPr>
        <w:t>ANEXO III</w:t>
      </w:r>
    </w:p>
    <w:p>
      <w:pPr>
        <w:pStyle w:val="621"/>
        <w:overflowPunct/>
        <w:bidi w:val="0"/>
        <w:ind w:left="0" w:right="0" w:firstLine="0"/>
        <w:jc w:val="center"/>
        <w:rPr>
          <w:rFonts w:ascii="Calibri" w:hAnsi="Calibri"/>
          <w:sz w:val="18"/>
          <w:szCs w:val="18"/>
        </w:rPr>
      </w:pPr>
      <w:r>
        <w:rPr>
          <w:rFonts w:ascii="Calibri" w:hAnsi="Calibri" w:cs="Calibri"/>
          <w:b/>
          <w:bCs/>
          <w:color w:val="000000"/>
          <w:sz w:val="18"/>
          <w:szCs w:val="18"/>
        </w:rPr>
        <w:t xml:space="preserve">PREGÃO ELETRÔNICO Nº </w:t>
      </w:r>
      <w:r>
        <w:rPr>
          <w:rFonts w:ascii="Calibri" w:hAnsi="Calibri" w:eastAsia="SimSun" w:cs="Calibri"/>
          <w:b/>
          <w:bCs/>
          <w:shadow/>
          <w:color w:val="000000"/>
          <w:kern w:val="0"/>
          <w:sz w:val="18"/>
          <w:szCs w:val="18"/>
          <w:lang w:val="pt-BR" w:eastAsia="zh-CN" w:bidi="ar-SA"/>
        </w:rPr>
        <w:t>1176/2023</w:t>
      </w:r>
    </w:p>
    <w:p>
      <w:pPr>
        <w:tabs>
          <w:tab w:val="left" w:pos="2552"/>
        </w:tabs>
        <w:overflowPunct/>
        <w:bidi w:val="0"/>
        <w:ind w:left="0" w:right="0" w:firstLine="0"/>
        <w:jc w:val="center"/>
        <w:rPr>
          <w:rFonts w:ascii="Calibri" w:hAnsi="Calibri" w:cs="Calibri"/>
          <w:b/>
          <w:color w:val="000000"/>
          <w:sz w:val="22"/>
          <w:szCs w:val="22"/>
        </w:rPr>
      </w:pPr>
      <w:r>
        <w:rPr>
          <w:rFonts w:ascii="Calibri" w:hAnsi="Calibri" w:cs="Calibri"/>
          <w:b/>
          <w:bCs/>
          <w:color w:val="000000"/>
          <w:sz w:val="18"/>
          <w:szCs w:val="18"/>
        </w:rPr>
        <w:t>MODELO DE FORMULÁRIO DE ANÁLISE DE QUALIDADE TÉCNICA</w:t>
      </w:r>
    </w:p>
    <w:p>
      <w:pPr>
        <w:pStyle w:val="2"/>
        <w:overflowPunct/>
        <w:bidi w:val="0"/>
        <w:ind w:left="0" w:right="0" w:firstLine="0"/>
        <w:jc w:val="center"/>
        <w:rPr>
          <w:rFonts w:ascii="Calibri" w:hAnsi="Calibri" w:cs="Calibri"/>
          <w:b/>
          <w:color w:val="000000"/>
          <w:sz w:val="22"/>
          <w:szCs w:val="22"/>
        </w:rPr>
      </w:pPr>
      <w:r>
        <w:drawing>
          <wp:inline distT="0" distB="0" distL="0" distR="0">
            <wp:extent cx="5481320" cy="7960360"/>
            <wp:effectExtent l="0" t="0" r="0" b="0"/>
            <wp:docPr id="3" name="Figur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a3"/>
                    <pic:cNvPicPr>
                      <a:picLocks noChangeAspect="1" noChangeArrowheads="1"/>
                    </pic:cNvPicPr>
                  </pic:nvPicPr>
                  <pic:blipFill>
                    <a:blip r:embed="rId9"/>
                    <a:srcRect l="-285" t="-253" r="-285" b="-253"/>
                    <a:stretch>
                      <a:fillRect/>
                    </a:stretch>
                  </pic:blipFill>
                  <pic:spPr>
                    <a:xfrm>
                      <a:off x="0" y="0"/>
                      <a:ext cx="5481320" cy="7960360"/>
                    </a:xfrm>
                    <a:prstGeom prst="rect">
                      <a:avLst/>
                    </a:prstGeom>
                  </pic:spPr>
                </pic:pic>
              </a:graphicData>
            </a:graphic>
          </wp:inline>
        </w:drawing>
      </w:r>
    </w:p>
    <w:p>
      <w:pPr>
        <w:tabs>
          <w:tab w:val="left" w:pos="2552"/>
        </w:tabs>
        <w:overflowPunct/>
        <w:bidi w:val="0"/>
        <w:ind w:left="0" w:right="0" w:firstLine="0"/>
        <w:jc w:val="center"/>
        <w:rPr>
          <w:rFonts w:ascii="Calibri" w:hAnsi="Calibri" w:cs="Calibri"/>
          <w:b/>
          <w:sz w:val="24"/>
          <w:szCs w:val="24"/>
        </w:rPr>
      </w:pPr>
    </w:p>
    <w:p>
      <w:pPr>
        <w:tabs>
          <w:tab w:val="left" w:pos="2552"/>
        </w:tabs>
        <w:overflowPunct/>
        <w:bidi w:val="0"/>
        <w:ind w:left="0" w:right="0" w:firstLine="0"/>
        <w:jc w:val="center"/>
        <w:rPr>
          <w:rFonts w:ascii="Calibri" w:hAnsi="Calibri" w:cs="Calibri"/>
          <w:b/>
          <w:sz w:val="24"/>
          <w:szCs w:val="24"/>
        </w:rPr>
      </w:pPr>
    </w:p>
    <w:p>
      <w:pPr>
        <w:tabs>
          <w:tab w:val="left" w:pos="2552"/>
        </w:tabs>
        <w:overflowPunct/>
        <w:bidi w:val="0"/>
        <w:ind w:left="0" w:right="0" w:firstLine="0"/>
        <w:jc w:val="center"/>
        <w:rPr>
          <w:rFonts w:ascii="Calibri" w:hAnsi="Calibri" w:cs="Calibri"/>
          <w:b/>
          <w:sz w:val="24"/>
          <w:szCs w:val="24"/>
        </w:rPr>
      </w:pPr>
    </w:p>
    <w:p>
      <w:pPr>
        <w:tabs>
          <w:tab w:val="left" w:pos="2552"/>
        </w:tabs>
        <w:overflowPunct/>
        <w:bidi w:val="0"/>
        <w:ind w:left="0" w:right="0" w:firstLine="0"/>
        <w:jc w:val="center"/>
        <w:rPr>
          <w:rFonts w:ascii="Calibri" w:hAnsi="Calibri"/>
          <w:sz w:val="22"/>
          <w:szCs w:val="22"/>
        </w:rPr>
      </w:pPr>
      <w:r>
        <w:rPr>
          <w:rFonts w:ascii="Calibri" w:hAnsi="Calibri" w:cs="Calibri"/>
          <w:b/>
          <w:sz w:val="24"/>
          <w:szCs w:val="24"/>
        </w:rPr>
        <w:t xml:space="preserve">ANEXO </w:t>
      </w:r>
      <w:r>
        <w:rPr>
          <w:rFonts w:ascii="Calibri" w:hAnsi="Calibri" w:cs="Calibri"/>
          <w:b/>
          <w:sz w:val="24"/>
          <w:szCs w:val="24"/>
          <w:lang w:val="pt-BR"/>
        </w:rPr>
        <w:t>IV</w:t>
      </w:r>
    </w:p>
    <w:p>
      <w:pPr>
        <w:pStyle w:val="2"/>
        <w:tabs>
          <w:tab w:val="left" w:pos="2552"/>
        </w:tabs>
        <w:overflowPunct/>
        <w:bidi w:val="0"/>
        <w:ind w:left="0" w:right="0" w:firstLine="0"/>
        <w:jc w:val="center"/>
        <w:rPr>
          <w:rFonts w:ascii="Calibri" w:hAnsi="Calibri"/>
          <w:sz w:val="22"/>
          <w:szCs w:val="22"/>
        </w:rPr>
      </w:pPr>
      <w:r>
        <w:rPr>
          <w:rFonts w:ascii="Calibri" w:hAnsi="Calibri" w:cs="Calibri"/>
          <w:b/>
          <w:sz w:val="24"/>
          <w:szCs w:val="24"/>
          <w:lang w:val="pt-BR"/>
        </w:rPr>
        <w:t>PREGÃO ELETRÔNICO Nº 1176/2023</w:t>
      </w:r>
    </w:p>
    <w:p>
      <w:pPr>
        <w:pStyle w:val="2"/>
        <w:tabs>
          <w:tab w:val="left" w:pos="2552"/>
        </w:tabs>
        <w:overflowPunct/>
        <w:bidi w:val="0"/>
        <w:ind w:left="0" w:right="0" w:firstLine="0"/>
        <w:jc w:val="center"/>
        <w:rPr>
          <w:rFonts w:ascii="Calibri" w:hAnsi="Calibri"/>
          <w:sz w:val="22"/>
          <w:szCs w:val="22"/>
        </w:rPr>
      </w:pPr>
      <w:r>
        <w:rPr>
          <w:rFonts w:ascii="Calibri" w:hAnsi="Calibri" w:cs="Calibri"/>
          <w:b/>
          <w:sz w:val="24"/>
          <w:szCs w:val="24"/>
          <w:lang w:val="pt-BR"/>
        </w:rPr>
        <w:t>MINUTA DA ATA DE REGISTRO DE PREÇOS</w:t>
      </w:r>
    </w:p>
    <w:p>
      <w:pPr>
        <w:pStyle w:val="2"/>
        <w:tabs>
          <w:tab w:val="left" w:pos="2552"/>
        </w:tabs>
        <w:overflowPunct/>
        <w:bidi w:val="0"/>
        <w:ind w:left="0" w:right="0" w:firstLine="0"/>
        <w:jc w:val="center"/>
        <w:rPr>
          <w:rFonts w:ascii="Calibri" w:hAnsi="Calibri" w:cs="Calibri"/>
          <w:bCs/>
          <w:sz w:val="24"/>
          <w:szCs w:val="24"/>
        </w:rPr>
      </w:pPr>
    </w:p>
    <w:p>
      <w:pPr>
        <w:overflowPunct/>
        <w:bidi w:val="0"/>
        <w:ind w:left="0" w:right="0" w:firstLine="0"/>
        <w:jc w:val="both"/>
        <w:rPr>
          <w:rFonts w:ascii="Calibri" w:hAnsi="Calibri"/>
          <w:sz w:val="24"/>
          <w:szCs w:val="24"/>
        </w:rPr>
      </w:pPr>
      <w:r>
        <w:rPr>
          <w:rFonts w:ascii="Calibri" w:hAnsi="Calibri" w:cs="Calibri"/>
          <w:sz w:val="24"/>
          <w:szCs w:val="24"/>
        </w:rPr>
        <w:t xml:space="preserve">No Estado de Santa Catarina, através da Secretaria de Estado da Saúde/Fundo Estadual de Saúde, Órgão Gerenciador deste Registro de Preços, situada na Rua Esteves Júnior, nº 160, nesta Capital, inscrita no CNPJ sob o nº 80.673.411/0001-87, representado neste ato pelo (cargo) ____________, senhor(a) (nome) _______, pelo Gestor desta Ata, senhor(a) ___________, são registrados os preços da(s) empresa(s) ________(fornecedor) ______, estabelecida na Rua ______________________, inscrita no Cadastro de Pessoas Jurídicas sob o n° ______________, neste ato representado pelo(a) ______ (nome do representante) ____________, inscrito(a) no Cadastro de Pessoas Físicas sob o nº ____________, portador(a) do RG n° _________________, para eventual fornecimento de </w:t>
      </w:r>
      <w:r>
        <w:rPr>
          <w:rFonts w:ascii="Calibri" w:hAnsi="Calibri" w:eastAsia="SimSun" w:cs="Calibri"/>
          <w:b/>
          <w:bCs/>
          <w:color w:val="000000"/>
          <w:kern w:val="0"/>
          <w:sz w:val="24"/>
          <w:szCs w:val="24"/>
          <w:lang w:val="pt-BR" w:eastAsia="zh-CN" w:bidi="ar-SA"/>
        </w:rPr>
        <w:t>órteses, próteses e materiais especiais (na especialidade de Ortopedia - Quadril), com cedência de equipamentos em regime de comodato,</w:t>
      </w:r>
      <w:r>
        <w:rPr>
          <w:rFonts w:ascii="Calibri" w:hAnsi="Calibri" w:cs="Calibri"/>
          <w:b/>
          <w:bCs/>
          <w:sz w:val="24"/>
          <w:szCs w:val="24"/>
        </w:rPr>
        <w:t xml:space="preserve"> </w:t>
      </w:r>
      <w:r>
        <w:rPr>
          <w:rFonts w:ascii="Calibri" w:hAnsi="Calibri" w:cs="Calibri"/>
          <w:b/>
          <w:sz w:val="24"/>
          <w:szCs w:val="24"/>
        </w:rPr>
        <w:t>para as unidades da Secretaria de Estado (SES)</w:t>
      </w:r>
      <w:r>
        <w:rPr>
          <w:rFonts w:ascii="Calibri" w:hAnsi="Calibri" w:cs="Calibri"/>
          <w:sz w:val="24"/>
          <w:szCs w:val="24"/>
        </w:rPr>
        <w:t xml:space="preserve">, conforme especificado no quadro abaixo, resultante do </w:t>
      </w:r>
      <w:r>
        <w:rPr>
          <w:rFonts w:ascii="Calibri" w:hAnsi="Calibri" w:cs="Calibri"/>
          <w:b/>
          <w:sz w:val="24"/>
          <w:szCs w:val="24"/>
        </w:rPr>
        <w:t xml:space="preserve">Pregão Eletrônico nº </w:t>
      </w:r>
      <w:r>
        <w:rPr>
          <w:rFonts w:ascii="Calibri" w:hAnsi="Calibri" w:eastAsia="SimSun" w:cs="Calibri"/>
          <w:b/>
          <w:color w:val="000000"/>
          <w:kern w:val="0"/>
          <w:sz w:val="24"/>
          <w:szCs w:val="24"/>
          <w:lang w:val="pt-BR" w:eastAsia="zh-CN" w:bidi="ar-SA"/>
        </w:rPr>
        <w:t>1176/2023</w:t>
      </w:r>
      <w:r>
        <w:rPr>
          <w:rFonts w:ascii="Calibri" w:hAnsi="Calibri" w:cs="Calibri"/>
          <w:sz w:val="24"/>
          <w:szCs w:val="24"/>
        </w:rPr>
        <w:t xml:space="preserve">, objeto do processo </w:t>
      </w:r>
      <w:r>
        <w:rPr>
          <w:rFonts w:ascii="Calibri" w:hAnsi="Calibri" w:cs="Calibri"/>
          <w:b/>
          <w:sz w:val="24"/>
          <w:szCs w:val="24"/>
        </w:rPr>
        <w:t xml:space="preserve">SES </w:t>
      </w:r>
      <w:r>
        <w:rPr>
          <w:rFonts w:ascii="Calibri" w:hAnsi="Calibri" w:eastAsia="SimSun" w:cs="Calibri"/>
          <w:b/>
          <w:color w:val="000000"/>
          <w:kern w:val="0"/>
          <w:sz w:val="24"/>
          <w:szCs w:val="24"/>
          <w:lang w:val="pt-BR" w:eastAsia="zh-CN" w:bidi="ar-SA"/>
        </w:rPr>
        <w:t>58793/2023</w:t>
      </w:r>
      <w:r>
        <w:rPr>
          <w:rFonts w:ascii="Calibri" w:hAnsi="Calibri" w:cs="Calibri"/>
          <w:sz w:val="24"/>
          <w:szCs w:val="24"/>
        </w:rPr>
        <w:t>. As condições a serem praticadas neste registro de preços são as constantes do instrumento convocatório respectivo e seus anexos, da proposta apresentada pelo(s) fornecedor(es), os quais integram esta ata, independentemente de transcrição. O presente registro de preços terá vigência de 01 (um) ano, contado a partir da data de assinatura desta Ata.</w:t>
      </w:r>
    </w:p>
    <w:p>
      <w:pPr>
        <w:pStyle w:val="2"/>
        <w:overflowPunct/>
        <w:bidi w:val="0"/>
        <w:ind w:left="0" w:right="0" w:firstLine="0"/>
        <w:jc w:val="both"/>
        <w:rPr>
          <w:rFonts w:ascii="Calibri" w:hAnsi="Calibri" w:cs="Calibri"/>
          <w:sz w:val="24"/>
          <w:szCs w:val="24"/>
        </w:rPr>
      </w:pPr>
    </w:p>
    <w:p>
      <w:pPr>
        <w:jc w:val="both"/>
        <w:rPr>
          <w:rFonts w:ascii="Calibri" w:hAnsi="Calibri"/>
          <w:sz w:val="24"/>
          <w:szCs w:val="24"/>
        </w:rPr>
      </w:pPr>
      <w:r>
        <w:rPr>
          <w:rFonts w:ascii="Calibri" w:hAnsi="Calibri" w:cs="Calibri"/>
          <w:b/>
          <w:sz w:val="24"/>
          <w:szCs w:val="24"/>
        </w:rPr>
        <w:t>CLÁUSULA PRIMEIRA – DA CONSIGNAÇÃO</w:t>
      </w:r>
    </w:p>
    <w:p>
      <w:pPr>
        <w:pStyle w:val="24"/>
        <w:spacing w:before="0" w:after="0"/>
        <w:ind w:left="0" w:right="0" w:firstLine="0"/>
        <w:jc w:val="both"/>
        <w:rPr>
          <w:rFonts w:ascii="Calibri" w:hAnsi="Calibri"/>
          <w:sz w:val="24"/>
          <w:szCs w:val="24"/>
        </w:rPr>
      </w:pPr>
      <w:r>
        <w:rPr>
          <w:rFonts w:ascii="Calibri" w:hAnsi="Calibri" w:cs="Calibri"/>
          <w:sz w:val="24"/>
          <w:szCs w:val="24"/>
        </w:rPr>
        <w:t xml:space="preserve">1.1. </w:t>
      </w:r>
      <w:r>
        <w:rPr>
          <w:rFonts w:ascii="Calibri" w:hAnsi="Calibri" w:cs="Calibri"/>
          <w:sz w:val="24"/>
          <w:szCs w:val="24"/>
          <w:lang w:eastAsia="pt-BR"/>
        </w:rPr>
        <w:t>Os materiais serão deixados em consignação nas Unidades da SES, conforme distribuição descrita no Anexo I-A do edital e nos endereços constantes no Anexo I-B;</w:t>
      </w:r>
    </w:p>
    <w:p>
      <w:pPr>
        <w:pStyle w:val="24"/>
        <w:spacing w:before="0" w:after="0"/>
        <w:ind w:left="0" w:right="0" w:firstLine="0"/>
        <w:jc w:val="both"/>
        <w:rPr>
          <w:rFonts w:ascii="Calibri" w:hAnsi="Calibri"/>
          <w:sz w:val="24"/>
          <w:szCs w:val="24"/>
        </w:rPr>
      </w:pPr>
      <w:r>
        <w:rPr>
          <w:rFonts w:ascii="Calibri" w:hAnsi="Calibri" w:cs="Calibri"/>
          <w:sz w:val="24"/>
          <w:szCs w:val="24"/>
        </w:rPr>
        <w:t>1.2. A Contratada deverá fornecer os materiais solicitados pelo setor responsável em até 10 (dez) dias após a solicitação;</w:t>
      </w:r>
    </w:p>
    <w:p>
      <w:pPr>
        <w:pStyle w:val="24"/>
        <w:overflowPunct/>
        <w:bidi w:val="0"/>
        <w:spacing w:before="0" w:after="0"/>
        <w:ind w:left="0" w:right="0" w:firstLine="0"/>
        <w:jc w:val="both"/>
        <w:rPr>
          <w:b w:val="0"/>
          <w:bCs w:val="0"/>
        </w:rPr>
      </w:pPr>
      <w:r>
        <w:rPr>
          <w:rFonts w:ascii="Calibri" w:hAnsi="Calibri" w:cs="Calibri"/>
          <w:b w:val="0"/>
          <w:bCs w:val="0"/>
          <w:sz w:val="24"/>
          <w:szCs w:val="24"/>
        </w:rPr>
        <w:t>1.3. A Contratada deverá faturar após confirmado o uso do material pelo setor responsável na unidade hospitalar, devendo apresentar fatura/nota fiscal no valor total do material utilizado.</w:t>
      </w:r>
    </w:p>
    <w:p>
      <w:pPr>
        <w:overflowPunct/>
        <w:bidi w:val="0"/>
        <w:ind w:left="0" w:right="0" w:firstLine="0"/>
        <w:jc w:val="both"/>
        <w:rPr>
          <w:rFonts w:ascii="Calibri" w:hAnsi="Calibri"/>
          <w:sz w:val="24"/>
          <w:szCs w:val="24"/>
        </w:rPr>
      </w:pPr>
    </w:p>
    <w:p>
      <w:pPr>
        <w:overflowPunct/>
        <w:bidi w:val="0"/>
        <w:ind w:left="0" w:right="0" w:firstLine="0"/>
        <w:jc w:val="both"/>
        <w:rPr>
          <w:rFonts w:ascii="Calibri" w:hAnsi="Calibri"/>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SEGUNDA</w:t>
      </w:r>
      <w:r>
        <w:rPr>
          <w:rFonts w:ascii="Calibri" w:hAnsi="Calibri" w:cs="Calibri"/>
          <w:b/>
          <w:sz w:val="24"/>
          <w:szCs w:val="24"/>
        </w:rPr>
        <w:t xml:space="preserve"> – DA</w:t>
      </w:r>
      <w:r>
        <w:rPr>
          <w:rFonts w:ascii="Calibri" w:hAnsi="Calibri" w:eastAsia="SimSun" w:cs="Calibri"/>
          <w:b/>
          <w:color w:val="000000"/>
          <w:kern w:val="0"/>
          <w:sz w:val="24"/>
          <w:szCs w:val="24"/>
          <w:lang w:val="pt-BR" w:eastAsia="zh-CN" w:bidi="ar-SA"/>
        </w:rPr>
        <w:t>S CONDIÇÕES DE PAGAMENTO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2.1 – A Secretaria de Estado da Saúde efetuará o pagamento por intermédio do Banco do Brasil em 30 (trinta) dias após o recebimento e aceite dos serviços com a respectiva Nota Fiscal/Fatura ou documento legalmente equivalente, observado o cumprimento integral das disposições contidas neste edital;</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2.2 – Quando couber, a contratada deverá emitir Nota Fiscal, para cada unidade hospitalar, por tipo, mensalmente ou de acordo com a frequência dos serviços/fornecimento;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2.2.1 – Caso o vencimento do prazo de pagamento da Nota Fiscal/Fatura ocorra fora do calendário semanal ou de expediente bancário, o pagamento será efetuado na próxima data do calendário, imediatamente posterior ao vencimento, não incidindo qualquer compensação financeira neste período.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2.2.2 – O credor que não possuir conta corrente no Banco do Brasil poderá receber o pagamento em outras instituições, mediante crédito em conta corrente do favorecido, ficando, contudo, responsável pelo pagamento das tarifas bancárias derivadas da operação, conforme art. 9º, §4º do Decreto Estadual nº 1073/2017;</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2.3 – A Contratada deverá apresentar juntamente com cada Nota Fiscal, Certidão de Débito para com a Fazenda Estadual demonstrando sua regularidade;</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2.3.1 – A não apresentação destes documentos, implicará na suspensão do pagamento da fatura, até a apresentação, não incidindo neste caso, em hipótese alguma, qualquer acréscimo de valores;</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2.4 – A empresa deverá mencionar na respectiva Nota Fiscal/Fatura informações pertinentes sobre o produto/serviço, tais como: a MARCA sob o qual o mesmo é comercializado, Fabricante, Apresentação, País de Origem, o número Certificado de Registro do Produto junto ao Ministério da Saúde, o número do lote e o prazo de validade do produto. Além de mencionar o número do Contrato, o número da Licitação, do Processo SES e da Autorização de Fornecimento;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 xml:space="preserve">2.5 – </w:t>
      </w:r>
      <w:r>
        <w:rPr>
          <w:rFonts w:ascii="Calibri" w:hAnsi="Calibri" w:eastAsia="Calibri" w:cs="Arial"/>
          <w:b w:val="0"/>
          <w:bCs w:val="0"/>
          <w:color w:val="000000"/>
          <w:kern w:val="0"/>
          <w:sz w:val="24"/>
          <w:szCs w:val="24"/>
          <w:lang w:val="pt-BR" w:eastAsia="zh-CN" w:bidi="ar-SA"/>
        </w:rPr>
        <w:t>Vencido o prazo estabelecido e não efetuado o pagamento pela CONTRATANTE, sem que haja culpa da CONTRATADA, os valores serão corrigidos com base nos mesmos critérios adotados para a atualização das obrigações tributárias, em observância ao que dispõe o artigo</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117, da Constituição Estadual e artigo 92, inciso V, da Lei Federal nº 14.133, de 1 de abril de 2021.</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 – Da aplicação do Decreto n.º 129/SC/2023:</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 – De acordo com o Decreto n.º 129, de 10 de maio de 2023, os órgãos da Administração Pública Estadual Direta, os fundos, as autarquias e as fundações públicas do Estado de Santa Catarina, ao efetuarem pagamento à pessoa jurídica pelo fornecimento de bens ou pela prestação de serviços em geral, inclusive obras, ficam obrigados a proceder à retenção do imposto de renda (IR) com base na Instrução Normativa RFB nº 1.234, de 11 de janeiro de 2012;</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2.6.1.1 – As retenções serão efetuadas sobre qualquer forma de pagamento, inclusive os que forem antecipados por conta de fornecimento de bens ou de prestação de serviços, para entrega futura;</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2.6.1.2 – Não se sujeitam à retenção do IR na fonte os pagamentos realizados nas hipóteses estabelecidas no art. 4º da Instrução Normativa RFB nº 1.234, de 2012;</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2.6.1.3 – Os prestadores de serviço e fornecedores de bens deverão, a partir da data estabelecida no caput do art. 1º deste Decreto, emitir as notas fiscais, as faturas ou os recibos em observância às regras de retenção dispostas na Instrução Normativa RFB nº 1.234, de 2012;</w:t>
      </w:r>
    </w:p>
    <w:p>
      <w:pPr>
        <w:pStyle w:val="2"/>
        <w:overflowPunct/>
        <w:bidi w:val="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2.6.1.4 – Os documentos de cobrança em desacordo com o previsto não serão aceitos para fins de liquidação de despesa.</w:t>
      </w:r>
    </w:p>
    <w:p>
      <w:pPr>
        <w:pStyle w:val="2"/>
        <w:overflowPunct/>
        <w:bidi w:val="0"/>
        <w:ind w:left="0" w:right="0" w:firstLine="0"/>
        <w:jc w:val="both"/>
        <w:rPr>
          <w:rFonts w:ascii="Calibri" w:hAnsi="Calibri" w:cs="Calibri"/>
          <w:b/>
          <w:sz w:val="24"/>
          <w:szCs w:val="24"/>
        </w:rPr>
      </w:pPr>
    </w:p>
    <w:p>
      <w:pPr>
        <w:overflowPunct/>
        <w:bidi w:val="0"/>
        <w:ind w:left="0" w:right="0" w:firstLine="0"/>
        <w:jc w:val="both"/>
        <w:rPr>
          <w:rFonts w:ascii="Calibri" w:hAnsi="Calibri"/>
          <w:sz w:val="24"/>
          <w:szCs w:val="24"/>
        </w:rPr>
      </w:pPr>
      <w:r>
        <w:rPr>
          <w:rFonts w:ascii="Calibri" w:hAnsi="Calibri" w:eastAsia="SimSun" w:cs="Calibri"/>
          <w:b/>
          <w:color w:val="000000"/>
          <w:kern w:val="0"/>
          <w:sz w:val="24"/>
          <w:szCs w:val="24"/>
          <w:lang w:val="pt-BR" w:eastAsia="zh-CN" w:bidi="ar-SA"/>
        </w:rPr>
        <w:t>CLÁUSULA TERCEIRA – DA VIGÊNCIA</w:t>
      </w:r>
    </w:p>
    <w:p>
      <w:pPr>
        <w:pStyle w:val="2"/>
        <w:overflowPunct/>
        <w:bidi w:val="0"/>
        <w:spacing w:before="1" w:after="0"/>
        <w:ind w:left="0" w:right="0" w:firstLine="0"/>
        <w:jc w:val="both"/>
        <w:rPr>
          <w:rFonts w:ascii="Calibri" w:hAnsi="Calibri"/>
          <w:sz w:val="24"/>
          <w:szCs w:val="24"/>
        </w:rPr>
      </w:pPr>
      <w:r>
        <w:rPr>
          <w:rFonts w:ascii="Calibri" w:hAnsi="Calibri" w:eastAsia="SimSun" w:cs="Calibri"/>
          <w:b w:val="0"/>
          <w:bCs w:val="0"/>
          <w:color w:val="000000"/>
          <w:kern w:val="0"/>
          <w:sz w:val="24"/>
          <w:szCs w:val="24"/>
          <w:lang w:val="pt-BR" w:eastAsia="zh-CN" w:bidi="ar-SA"/>
        </w:rPr>
        <w:t xml:space="preserve">3.1 – O prazo de validade da Ata de Registro de Preços será de 12 meses, </w:t>
      </w:r>
      <w:r>
        <w:rPr>
          <w:rFonts w:ascii="Calibri" w:hAnsi="Calibri" w:eastAsia="NSimSun" w:cs="Lucida Sans"/>
          <w:b w:val="0"/>
          <w:bCs w:val="0"/>
          <w:color w:val="000000"/>
          <w:kern w:val="0"/>
          <w:sz w:val="24"/>
          <w:szCs w:val="24"/>
          <w:lang w:val="pt-BR" w:eastAsia="zh-CN" w:bidi="hi-IN"/>
        </w:rPr>
        <w:t>prorrogável</w:t>
      </w:r>
      <w:r>
        <w:rPr>
          <w:rFonts w:ascii="Calibri" w:hAnsi="Calibri" w:eastAsia="SimSun" w:cs="Calibri"/>
          <w:b w:val="0"/>
          <w:bCs w:val="0"/>
          <w:color w:val="000000"/>
          <w:kern w:val="0"/>
          <w:sz w:val="24"/>
          <w:szCs w:val="24"/>
          <w:lang w:val="pt-BR" w:eastAsia="zh-CN" w:bidi="ar-SA"/>
        </w:rPr>
        <w:t xml:space="preserve"> por igual período, na forma do artigo 84 da Lei n° 14.133, de 2021.</w:t>
      </w:r>
    </w:p>
    <w:p>
      <w:pPr>
        <w:pStyle w:val="2"/>
        <w:overflowPunct/>
        <w:bidi w:val="0"/>
        <w:ind w:left="0" w:right="0" w:firstLine="0"/>
        <w:jc w:val="both"/>
        <w:rPr>
          <w:rFonts w:ascii="Calibri" w:hAnsi="Calibri" w:cs="Calibri"/>
          <w:b/>
          <w:sz w:val="24"/>
          <w:szCs w:val="24"/>
        </w:rPr>
      </w:pPr>
    </w:p>
    <w:p>
      <w:pPr>
        <w:overflowPunct/>
        <w:bidi w:val="0"/>
        <w:ind w:left="0" w:right="0" w:firstLine="0"/>
        <w:jc w:val="both"/>
        <w:rPr>
          <w:rFonts w:ascii="Calibri" w:hAnsi="Calibri"/>
          <w:sz w:val="24"/>
          <w:szCs w:val="24"/>
        </w:rPr>
      </w:pPr>
      <w:r>
        <w:rPr>
          <w:rFonts w:ascii="Calibri" w:hAnsi="Calibri" w:cs="Calibri"/>
          <w:b/>
          <w:color w:val="000000"/>
          <w:sz w:val="24"/>
          <w:szCs w:val="24"/>
        </w:rPr>
        <w:t xml:space="preserve">CLÁUSULA </w:t>
      </w:r>
      <w:r>
        <w:rPr>
          <w:rFonts w:ascii="Calibri" w:hAnsi="Calibri" w:eastAsia="SimSun" w:cs="Calibri"/>
          <w:b/>
          <w:color w:val="000000"/>
          <w:kern w:val="0"/>
          <w:sz w:val="24"/>
          <w:szCs w:val="24"/>
          <w:lang w:val="pt-BR" w:eastAsia="zh-CN" w:bidi="ar-SA"/>
        </w:rPr>
        <w:t>QUARTA</w:t>
      </w:r>
      <w:r>
        <w:rPr>
          <w:rFonts w:ascii="Calibri" w:hAnsi="Calibri" w:cs="Calibri"/>
          <w:b/>
          <w:color w:val="000000"/>
          <w:sz w:val="24"/>
          <w:szCs w:val="24"/>
        </w:rPr>
        <w:t xml:space="preserve"> – DA GESTÃO E FISCALIZAÇÃO DA ATA DE REGISTRO DE PREÇOS</w:t>
      </w:r>
    </w:p>
    <w:p>
      <w:pPr>
        <w:overflowPunct/>
        <w:bidi w:val="0"/>
        <w:ind w:left="0" w:right="0" w:firstLine="0"/>
        <w:jc w:val="both"/>
        <w:rPr>
          <w:rFonts w:ascii="Calibri" w:hAnsi="Calibri"/>
          <w:sz w:val="24"/>
          <w:szCs w:val="24"/>
        </w:rPr>
      </w:pPr>
      <w:r>
        <w:rPr>
          <w:rFonts w:ascii="Calibri" w:hAnsi="Calibri" w:eastAsia="SimSun" w:cs="Calibri"/>
          <w:color w:val="000000"/>
          <w:kern w:val="0"/>
          <w:sz w:val="24"/>
          <w:szCs w:val="24"/>
          <w:lang w:val="pt-BR" w:eastAsia="zh-CN" w:bidi="ar-SA"/>
        </w:rPr>
        <w:t>4</w:t>
      </w:r>
      <w:r>
        <w:rPr>
          <w:rFonts w:ascii="Calibri" w:hAnsi="Calibri" w:cs="Calibri"/>
          <w:color w:val="000000"/>
          <w:sz w:val="24"/>
          <w:szCs w:val="24"/>
        </w:rPr>
        <w:t>.1</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lang w:val="pt-BR"/>
        </w:rPr>
        <w:t xml:space="preserve"> </w:t>
      </w:r>
      <w:r>
        <w:rPr>
          <w:rFonts w:ascii="Calibri" w:hAnsi="Calibri" w:cs="Calibri"/>
          <w:color w:val="000000"/>
          <w:sz w:val="24"/>
          <w:szCs w:val="24"/>
        </w:rPr>
        <w:t>O objeto deverá ser executado fielmente pelas partes, de acordo com as cláusulas avençadas e as normas da Lei nº 14.133, de 2021, e cada parte responderá pelas consequências de sua inexecução total ou parcial.</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.2</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Em caso de impedimento, ordem de paralisação ou suspensão do contrato, o cronograma de</w:t>
      </w:r>
    </w:p>
    <w:p>
      <w:pPr>
        <w:pStyle w:val="2"/>
        <w:overflowPunct/>
        <w:bidi w:val="0"/>
        <w:ind w:left="0" w:right="0" w:firstLine="0"/>
        <w:jc w:val="both"/>
        <w:rPr>
          <w:rFonts w:ascii="Calibri" w:hAnsi="Calibri"/>
          <w:sz w:val="24"/>
          <w:szCs w:val="24"/>
        </w:rPr>
      </w:pPr>
      <w:r>
        <w:rPr>
          <w:rFonts w:ascii="Calibri" w:hAnsi="Calibri" w:cs="Calibri"/>
          <w:color w:val="000000"/>
          <w:sz w:val="24"/>
          <w:szCs w:val="24"/>
        </w:rPr>
        <w:t>execução será prorrogado automaticamente pelo tempo correspondente, anotadas tais circunstâncias mediante simples apostila.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.3</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As comunicações entre o órgão ou entidade e a contratada devem ser realizadas por escrito sempre que o ato exigir tal formalidade, admitindo-se o uso de mensagem eletrônica para esse fim.</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.4</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órgão ou entidade poderá convocar representante da empresa para adoção de providências que devam ser cumpridas de imediato.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.5</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Após a assinatura da Ata de Registro de Preços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.6</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A execução do objeto deverá ser acompanhada e fiscalizada pelo(s) fiscal(is) da Ata de Registro de Preços, ou pelos respectivos substitutos (Lei nº 14.133, de 2021, art. 117, caput).</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fiscal da Ata de Registro de Preços acompanhará a execução do contrato, para que sejam cumpridas todas as condições estabelecidas, de modo a assegurar os melhores resultados para a Administração;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.7.1</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fiscal da Ata de Registro de Preços anotará no histórico de gerenciamento do contrato todas as ocorrências relacionadas à execução do objeto, com a descrição do que for necessário para a regularização das faltas ou dos defeitos observados. (Lei nº 14.133, de 2021, art. 117, §1º);</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.7.2</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Identificada qualquer inexatidão ou irregularidade, o fiscal da Ata de Registro de Preços emitirá notificações para a correção da execução do objeto, determinando prazo para a correção;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.7.3</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O fiscal da Ata de Registro de Preços informará ao gestor da mesma, em tempo hábil, a situação que demandar decisão ou adoção de medidas que ultrapassem sua competência, para que adote as medidas necessárias e saneadoras, se for o caso;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.7.4</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w:t>
      </w:r>
      <w:r>
        <w:rPr>
          <w:rFonts w:ascii="Calibri" w:hAnsi="Calibri" w:cs="Calibri"/>
          <w:color w:val="000000"/>
          <w:sz w:val="24"/>
          <w:szCs w:val="24"/>
        </w:rPr>
        <w:t xml:space="preserve"> No caso de ocorrências que possam inviabilizar a execução do objeto nas datas aprazadas, o fiscal da Ata de Registro de Preços comunicará o fato imediatamente ao gestor da mesma;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.7.</w:t>
      </w:r>
      <w:r>
        <w:rPr>
          <w:rFonts w:ascii="Calibri" w:hAnsi="Calibri" w:cs="Calibri"/>
          <w:color w:val="000000"/>
          <w:sz w:val="24"/>
          <w:szCs w:val="24"/>
          <w:lang w:val="pt-BR"/>
        </w:rPr>
        <w:t xml:space="preserve">5 </w:t>
      </w:r>
      <w:r>
        <w:rPr>
          <w:rFonts w:ascii="Calibri" w:hAnsi="Calibri" w:cs="Calibri"/>
          <w:b w:val="0"/>
          <w:bCs w:val="0"/>
          <w:color w:val="000000"/>
          <w:sz w:val="24"/>
          <w:szCs w:val="24"/>
          <w:lang w:val="pt-BR"/>
        </w:rPr>
        <w:t>–</w:t>
      </w:r>
      <w:r>
        <w:rPr>
          <w:rFonts w:ascii="Calibri" w:hAnsi="Calibri" w:cs="Calibri"/>
          <w:color w:val="000000"/>
          <w:sz w:val="24"/>
          <w:szCs w:val="24"/>
        </w:rPr>
        <w:t xml:space="preserve"> O gestor da Ata de registro de Preços acompanhará os registros realizados pelos fiscais da mesma, de todas as ocorrências relacionadas à execução do objeto e as medidas adotadas, informando, se for o caso, à autoridade superior àquelas que ultrapassarem a sua competência.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.8</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fiscal da Ata de Registro de Preços verificará a manutenção das condições de habilitação da empresa detentora da mesma,</w:t>
      </w:r>
    </w:p>
    <w:p>
      <w:pPr>
        <w:pStyle w:val="2"/>
        <w:overflowPunct/>
        <w:bidi w:val="0"/>
        <w:ind w:left="0" w:right="0" w:firstLine="0"/>
        <w:jc w:val="both"/>
        <w:rPr>
          <w:rFonts w:ascii="Calibri" w:hAnsi="Calibri"/>
          <w:sz w:val="24"/>
          <w:szCs w:val="24"/>
        </w:rPr>
      </w:pPr>
      <w:r>
        <w:rPr>
          <w:rFonts w:ascii="Calibri" w:hAnsi="Calibri" w:cs="Calibri"/>
          <w:color w:val="000000"/>
          <w:sz w:val="24"/>
          <w:szCs w:val="24"/>
        </w:rPr>
        <w:t>acompanhará o empenho, o pagamento, as garantias, as glosas e a formalização de apostilamento e termos aditivos, solicitando quaisquer documentos comprobatórios pertinentes, caso necessário.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.8.1 </w:t>
      </w:r>
      <w:r>
        <w:rPr>
          <w:rFonts w:ascii="Calibri" w:hAnsi="Calibri" w:cs="Calibri"/>
          <w:b w:val="0"/>
          <w:bCs w:val="0"/>
          <w:color w:val="000000"/>
          <w:sz w:val="24"/>
          <w:szCs w:val="24"/>
          <w:lang w:val="pt-BR"/>
        </w:rPr>
        <w:t xml:space="preserve">– </w:t>
      </w:r>
      <w:r>
        <w:rPr>
          <w:rFonts w:ascii="Calibri" w:hAnsi="Calibri" w:cs="Calibri"/>
          <w:color w:val="000000"/>
          <w:sz w:val="24"/>
          <w:szCs w:val="24"/>
        </w:rPr>
        <w:t>Caso ocorram descumprimento das obrigações definidas  em edital, o fiscal da Ata de Registro de Preços atuará tempestivamente na solução do problema, reportando ao gestor da mesma para que tome as providências cabíveis, quando ultrapassar a sua competência.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.9 </w:t>
      </w:r>
      <w:r>
        <w:rPr>
          <w:rFonts w:ascii="Calibri" w:hAnsi="Calibri" w:cs="Calibri"/>
          <w:b w:val="0"/>
          <w:bCs w:val="0"/>
          <w:color w:val="000000"/>
          <w:sz w:val="24"/>
          <w:szCs w:val="24"/>
        </w:rPr>
        <w:t xml:space="preserve">– </w:t>
      </w:r>
      <w:r>
        <w:rPr>
          <w:rFonts w:ascii="Calibri" w:hAnsi="Calibri" w:cs="Calibri"/>
          <w:color w:val="000000"/>
          <w:sz w:val="24"/>
          <w:szCs w:val="24"/>
        </w:rPr>
        <w:t>O gestor da Ata de Registro de Preços coordenará a atualização do processo de acompanhamento e fiscalização, contendo todos os registros formais da execução no histórico de gerenciamento do objeto, a exemplo da ordem de serviço, do registro de ocorrências, das alterações e das prorrogações da Ata, elaborando relatório com vistas à verificação da necessidade de adequações do Ata de Registro de Preços para fins de atendimento da finalidade da administração.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.9.1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acompanhará a manutenção das condições de habilitação da empresa detentora da Ata, para fins de empenho de despesa e pagamento, e anotará os problemas que obstem o fluxo normal da liquidação e do pagamento da despesa no relatório de riscos eventuais.</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 xml:space="preserve">.9.2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emitirá documento comprobatório da avaliação realizada pelos fiscais quanto ao cumprimento de obrigações assumidas pela empresa detentora da Ata, com menção ao seu desempenho na execução do objeto, baseado nos indicadores objetivamente definidos e aferidos, e a eventuais penalidades aplicadas, devendo constar do cadastro de atesto de cumprimento de obrigações.</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.9.3</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.10</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fiscal da Ata de Registro de Preços comunicará ao gestor da mesma, em tempo hábil, o término do da vigência da Ata sob sua responsabilidade, com vistas à tempestiva renovação ou prorrogação desta.</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.11</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deverá elaborar relatório final com informações sobre a consecução dos objetivos que tenham justificado a contratação e eventuais condutas a serem adotadas para o aprimoramento das atividades da Administração.</w:t>
      </w:r>
    </w:p>
    <w:p>
      <w:pPr>
        <w:pStyle w:val="2"/>
        <w:overflowPunct/>
        <w:bidi w:val="0"/>
        <w:ind w:left="0" w:right="0" w:firstLine="0"/>
        <w:jc w:val="both"/>
        <w:rPr>
          <w:rFonts w:ascii="Calibri" w:hAnsi="Calibri"/>
          <w:sz w:val="24"/>
          <w:szCs w:val="24"/>
        </w:rPr>
      </w:pPr>
      <w:r>
        <w:rPr>
          <w:rFonts w:ascii="Calibri" w:hAnsi="Calibri" w:eastAsia="NSimSun" w:cs="Calibri"/>
          <w:color w:val="000000"/>
          <w:kern w:val="0"/>
          <w:sz w:val="24"/>
          <w:szCs w:val="24"/>
          <w:lang w:val="pt-BR" w:eastAsia="zh-CN" w:bidi="hi-IN"/>
        </w:rPr>
        <w:t>4</w:t>
      </w:r>
      <w:r>
        <w:rPr>
          <w:rFonts w:ascii="Calibri" w:hAnsi="Calibri" w:cs="Calibri"/>
          <w:color w:val="000000"/>
          <w:sz w:val="24"/>
          <w:szCs w:val="24"/>
        </w:rPr>
        <w:t>.12</w:t>
      </w:r>
      <w:r>
        <w:rPr>
          <w:rFonts w:ascii="Calibri" w:hAnsi="Calibri" w:cs="Calibri"/>
          <w:color w:val="000000"/>
          <w:sz w:val="24"/>
          <w:szCs w:val="24"/>
          <w:lang w:val="pt-BR"/>
        </w:rPr>
        <w:t xml:space="preserve"> </w:t>
      </w:r>
      <w:r>
        <w:rPr>
          <w:rFonts w:ascii="Calibri" w:hAnsi="Calibri" w:cs="Calibri"/>
          <w:b w:val="0"/>
          <w:bCs w:val="0"/>
          <w:color w:val="000000"/>
          <w:sz w:val="24"/>
          <w:szCs w:val="24"/>
          <w:lang w:val="pt-BR"/>
        </w:rPr>
        <w:t xml:space="preserve">– </w:t>
      </w:r>
      <w:r>
        <w:rPr>
          <w:rFonts w:ascii="Calibri" w:hAnsi="Calibri" w:cs="Calibri"/>
          <w:color w:val="000000"/>
          <w:sz w:val="24"/>
          <w:szCs w:val="24"/>
        </w:rPr>
        <w:t>O gestor da Ata de registro de Preços deverá enviar a documentação pertinente para a formalização dos procedimentos de liquidação e pagamento, no valor dimensionado pela fiscalização e gestão nos termos deste documento.</w:t>
      </w:r>
    </w:p>
    <w:p>
      <w:pPr>
        <w:pStyle w:val="2"/>
        <w:overflowPunct/>
        <w:bidi w:val="0"/>
        <w:ind w:left="0" w:right="0" w:firstLine="0"/>
        <w:jc w:val="both"/>
        <w:rPr>
          <w:rFonts w:ascii="Calibri" w:hAnsi="Calibri" w:cs="Calibri"/>
          <w:sz w:val="24"/>
          <w:szCs w:val="24"/>
        </w:rPr>
      </w:pPr>
    </w:p>
    <w:p>
      <w:pPr>
        <w:pStyle w:val="2"/>
        <w:overflowPunct/>
        <w:bidi w:val="0"/>
        <w:ind w:left="0" w:right="0" w:firstLine="0"/>
        <w:jc w:val="both"/>
        <w:rPr>
          <w:rFonts w:ascii="Calibri" w:hAnsi="Calibri"/>
          <w:sz w:val="24"/>
          <w:szCs w:val="24"/>
        </w:rPr>
      </w:pPr>
      <w:r>
        <w:rPr>
          <w:rFonts w:ascii="Calibri" w:hAnsi="Calibri" w:eastAsia="Calibri" w:cs="Calibri"/>
          <w:b/>
          <w:bCs/>
          <w:color w:val="000000"/>
          <w:sz w:val="24"/>
          <w:szCs w:val="24"/>
        </w:rPr>
        <w:t>CL</w:t>
      </w:r>
      <w:r>
        <w:rPr>
          <w:rFonts w:ascii="Calibri" w:hAnsi="Calibri" w:eastAsia="Calibri" w:cs="Calibri"/>
          <w:b/>
          <w:bCs/>
          <w:sz w:val="24"/>
          <w:szCs w:val="24"/>
        </w:rPr>
        <w:t xml:space="preserve">ÁUSULA </w:t>
      </w:r>
      <w:r>
        <w:rPr>
          <w:rFonts w:ascii="Calibri" w:hAnsi="Calibri" w:eastAsia="Calibri" w:cs="Calibri"/>
          <w:b/>
          <w:bCs/>
          <w:color w:val="000000"/>
          <w:kern w:val="0"/>
          <w:sz w:val="24"/>
          <w:szCs w:val="24"/>
          <w:lang w:val="pt-BR" w:eastAsia="zh-CN" w:bidi="hi-IN"/>
        </w:rPr>
        <w:t>QUINTA</w:t>
      </w:r>
      <w:r>
        <w:rPr>
          <w:rFonts w:ascii="Calibri" w:hAnsi="Calibri" w:eastAsia="Calibri" w:cs="Calibri"/>
          <w:b/>
          <w:bCs/>
          <w:sz w:val="24"/>
          <w:szCs w:val="24"/>
        </w:rPr>
        <w:t xml:space="preserve"> – ALTERAÇÃO OU ATUALIZAÇÃO DOS PREÇOS REGISTRADOS</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.1</w:t>
      </w:r>
      <w:r>
        <w:rPr>
          <w:rFonts w:ascii="Calibri" w:hAnsi="Calibri" w:eastAsia="Calibri" w:cs="Calibri"/>
          <w:b w:val="0"/>
          <w:bCs w:val="0"/>
          <w:sz w:val="24"/>
          <w:szCs w:val="24"/>
          <w:lang w:val="pt-BR"/>
        </w:rPr>
        <w:t xml:space="preserve"> –</w:t>
      </w:r>
      <w:r>
        <w:rPr>
          <w:rFonts w:ascii="Calibri" w:hAnsi="Calibri" w:eastAsia="Calibri" w:cs="Calibri"/>
          <w:b w:val="0"/>
          <w:bCs w:val="0"/>
          <w:sz w:val="24"/>
          <w:szCs w:val="24"/>
        </w:rPr>
        <w:t xml:space="preserve"> Os preços inicialmente registrados são fixos e irreajustáveis no prazo de um ano contado da data da entrega das propostas.</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.2 – Após o interregno de um ano, os preços registrados poderão ser reajustados de acordo com o IPCA/IBGE ou outro índice que vier a substituí-lo.</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.3 – Caso o(s) índice(s) estabelecido(s) para reajustamento venha(m) a ser extinto(s) ou de qualquer forma não possa(m) mais ser utilizado(s), será(ão) adotado(s), em substituição, o(s) que vier(em) a ser determinado(s) pela legislação então em vigor.</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.4 – Na ausência de previsão legal quanto ao índice substituto, as partes elegerão novo índice oficial, para reajustamento do preço do valor remanescente, por meio de termo aditivo.</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.5 – O reajuste será realizado por apostilamento.</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.6 – Em exceção a possibilidade prevista de reajuste prevista ao item 4.2, os preços registrados poderão ser alterados ou atualizados em decorrência de eventual redução dos preços praticados no mercado ou de fato que eleve o custo dos bens, das obras ou dos serviços registrados, nas seguintes situações:</w:t>
      </w:r>
    </w:p>
    <w:p>
      <w:pPr>
        <w:pStyle w:val="2"/>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hi-IN"/>
        </w:rPr>
        <w:t>5</w:t>
      </w:r>
      <w:r>
        <w:rPr>
          <w:rFonts w:ascii="Calibri" w:hAnsi="Calibri" w:eastAsia="Calibri" w:cs="Calibri"/>
          <w:b w:val="0"/>
          <w:bCs w:val="0"/>
          <w:sz w:val="24"/>
          <w:szCs w:val="24"/>
        </w:rPr>
        <w:t>.6.1 –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pPr>
        <w:overflowPunct/>
        <w:bidi w:val="0"/>
        <w:ind w:left="0" w:right="0" w:firstLine="0"/>
        <w:jc w:val="both"/>
        <w:rPr>
          <w:rFonts w:ascii="Calibri" w:hAnsi="Calibri"/>
          <w:sz w:val="24"/>
          <w:szCs w:val="24"/>
        </w:rPr>
      </w:pPr>
      <w:r>
        <w:rPr>
          <w:rFonts w:ascii="Calibri" w:hAnsi="Calibri" w:eastAsia="Calibri" w:cs="Calibri"/>
          <w:b w:val="0"/>
          <w:bCs w:val="0"/>
          <w:color w:val="000000"/>
          <w:kern w:val="0"/>
          <w:sz w:val="24"/>
          <w:szCs w:val="24"/>
          <w:lang w:val="pt-BR" w:eastAsia="zh-CN" w:bidi="ar-SA"/>
        </w:rPr>
        <w:t>5</w:t>
      </w:r>
      <w:r>
        <w:rPr>
          <w:rFonts w:ascii="Calibri" w:hAnsi="Calibri" w:eastAsia="Calibri" w:cs="Calibri"/>
          <w:b w:val="0"/>
          <w:bCs w:val="0"/>
          <w:sz w:val="24"/>
          <w:szCs w:val="24"/>
        </w:rPr>
        <w:t>.6.2 – Em caso de criação, alteração ou extinção de quaisquer tributos ou encargos legais ou a superveniência de disposições legais, com comprovada repercussão sobre os preços registrados</w:t>
      </w:r>
      <w:r>
        <w:rPr>
          <w:rFonts w:ascii="Calibri" w:hAnsi="Calibri" w:eastAsia="Calibri" w:cs="Calibri"/>
          <w:b w:val="0"/>
          <w:bCs w:val="0"/>
          <w:sz w:val="24"/>
          <w:szCs w:val="24"/>
          <w:lang w:val="pt-BR"/>
        </w:rPr>
        <w:t>.</w:t>
      </w:r>
      <w:r>
        <w:rPr>
          <w:rFonts w:ascii="Calibri" w:hAnsi="Calibri" w:eastAsia="Calibri" w:cs="Calibri"/>
          <w:b w:val="0"/>
          <w:bCs w:val="0"/>
          <w:sz w:val="24"/>
          <w:szCs w:val="24"/>
        </w:rPr>
        <w:t xml:space="preserve"> </w:t>
      </w:r>
    </w:p>
    <w:p>
      <w:pPr>
        <w:pStyle w:val="2"/>
        <w:overflowPunct/>
        <w:bidi w:val="0"/>
        <w:ind w:left="0" w:right="0" w:firstLine="0"/>
        <w:jc w:val="both"/>
        <w:rPr>
          <w:rFonts w:ascii="Calibri" w:hAnsi="Calibri"/>
          <w:color w:val="000000"/>
          <w:sz w:val="24"/>
          <w:szCs w:val="24"/>
        </w:rPr>
      </w:pPr>
    </w:p>
    <w:p>
      <w:pPr>
        <w:pStyle w:val="2"/>
        <w:overflowPunct/>
        <w:bidi w:val="0"/>
        <w:ind w:left="0" w:right="0" w:firstLine="0"/>
        <w:jc w:val="both"/>
        <w:rPr>
          <w:rFonts w:ascii="Calibri" w:hAnsi="Calibri"/>
          <w:sz w:val="24"/>
          <w:szCs w:val="24"/>
        </w:rPr>
      </w:pPr>
      <w:r>
        <w:rPr>
          <w:rFonts w:ascii="Calibri" w:hAnsi="Calibri" w:eastAsia="Calibri" w:cs="Calibri"/>
          <w:b/>
          <w:bCs/>
          <w:color w:val="000000"/>
          <w:sz w:val="24"/>
          <w:szCs w:val="24"/>
        </w:rPr>
        <w:t>CL</w:t>
      </w:r>
      <w:r>
        <w:rPr>
          <w:rFonts w:ascii="Calibri" w:hAnsi="Calibri" w:eastAsia="Calibri" w:cs="Calibri"/>
          <w:b/>
          <w:bCs/>
          <w:sz w:val="24"/>
          <w:szCs w:val="24"/>
        </w:rPr>
        <w:t>ÁUSULA</w:t>
      </w:r>
      <w:r>
        <w:rPr>
          <w:rFonts w:ascii="Calibri" w:hAnsi="Calibri" w:cs="Calibri"/>
          <w:b/>
          <w:bCs/>
          <w:color w:val="000000"/>
          <w:sz w:val="24"/>
          <w:szCs w:val="24"/>
        </w:rPr>
        <w:t xml:space="preserve"> </w:t>
      </w:r>
      <w:r>
        <w:rPr>
          <w:rFonts w:ascii="Calibri" w:hAnsi="Calibri" w:eastAsia="NSimSun" w:cs="Calibri"/>
          <w:b/>
          <w:bCs/>
          <w:color w:val="000000"/>
          <w:kern w:val="0"/>
          <w:sz w:val="24"/>
          <w:szCs w:val="24"/>
          <w:lang w:val="pt-BR" w:eastAsia="zh-CN" w:bidi="hi-IN"/>
        </w:rPr>
        <w:t>SEXTA</w:t>
      </w:r>
      <w:r>
        <w:rPr>
          <w:rFonts w:ascii="Calibri" w:hAnsi="Calibri" w:cs="Calibri"/>
          <w:b/>
          <w:bCs/>
          <w:color w:val="000000"/>
          <w:sz w:val="24"/>
          <w:szCs w:val="24"/>
        </w:rPr>
        <w:t xml:space="preserve"> –</w:t>
      </w:r>
      <w:r>
        <w:rPr>
          <w:rFonts w:ascii="Calibri" w:hAnsi="Calibri" w:cs="Calibri"/>
          <w:b w:val="0"/>
          <w:bCs w:val="0"/>
          <w:color w:val="000000"/>
          <w:sz w:val="24"/>
          <w:szCs w:val="24"/>
        </w:rPr>
        <w:t xml:space="preserve"> </w:t>
      </w:r>
      <w:r>
        <w:rPr>
          <w:rFonts w:ascii="Calibri" w:hAnsi="Calibri" w:cs="Calibri"/>
          <w:b/>
          <w:bCs/>
          <w:color w:val="000000"/>
          <w:sz w:val="24"/>
          <w:szCs w:val="24"/>
        </w:rPr>
        <w:t>DO CANCELAMENTO DO REGISTRO DO LICITANTE VENCEDOR E DOS PREÇOS REGISTRADOS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 – O registro do fornecedor será cancelado pelo gerenciador, quando o fornecedor:</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.1.1 – Descumprir as condições da ata de registro de preços, sem motivo justificado;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.1.2 – Não retirar a nota de empenho, ou instrumento equivalente, no prazo estabelecido pela Administração sem justificativa razoável;</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.1.3 – Não aceitar manter seu preço registrado, na hipótese prevista no artigo 27, § 2º, do Decreto nº 11.462, de 2023; ou</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.1.4 – Sofrer sanção prevista nos incisos III ou IV do caput do art. 156 da Lei nº 14.133, de 2021.</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.1.4.1 – Na hipótese de aplicação de sanção prevista nos incisos III ou IV do caput do art. 156 da Lei nº 14.133, de 2021, caso a penalidade aplicada ao fornecedor não ultrapasse o prazo de vigência da ata de registro de preços, poderá o órgão ou a entidade gerenciadora,                  mediante decisão fundamentada, decidir pela manutenção do registro de preços, vedadas contratações derivadas da ata enquanto perdurarem os efeitos da sanção.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.2 – O cancelamento de registros nas hipóteses previstas no item 5.1 será formalizado por despacho do órgão ou da entidade gerenciadora, garantidos os princípios do contraditório e da ampla defesa.</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.3 – Na hipótese de cancelamento do registro do fornecedor, o órgão ou a entidade gerenciadora poderá convocar os licitantes que compõem o cadastro de reserva, observada a ordem de classificação.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 xml:space="preserve">.4 – O cancelamento dos preços registrados poderá ser realizado pelo gerenciador, em determinada ata de registro de preços, total ou parcialmente, nas seguintes hipóteses, desde que devidamente comprovadas e justificadas: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.4.1 – Por razão de interesse público;</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.4.2 – A pedido do fornecedor, decorrente de caso fortuito ou força maior; ou</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6</w:t>
      </w:r>
      <w:r>
        <w:rPr>
          <w:rFonts w:ascii="Calibri" w:hAnsi="Calibri" w:cs="Calibri"/>
          <w:b w:val="0"/>
          <w:bCs w:val="0"/>
          <w:color w:val="000000"/>
          <w:sz w:val="24"/>
          <w:szCs w:val="24"/>
        </w:rPr>
        <w:t xml:space="preserve">.4.3 – Se não houver êxito nas negociações, nas hipóteses em que o preço de mercado tornar-se superior ou inferior ao preço registrado, nos termos do artigos 26, § 3º e  27, § 4º, ambos do Decreto nº 11.462, de 2023. </w:t>
      </w:r>
    </w:p>
    <w:p>
      <w:pPr>
        <w:pStyle w:val="2"/>
        <w:overflowPunct/>
        <w:bidi w:val="0"/>
        <w:ind w:left="0" w:right="0" w:firstLine="0"/>
        <w:jc w:val="both"/>
        <w:rPr>
          <w:rFonts w:ascii="Calibri" w:hAnsi="Calibri" w:cs="Calibri"/>
          <w:color w:val="000000"/>
          <w:sz w:val="24"/>
          <w:szCs w:val="24"/>
        </w:rPr>
      </w:pPr>
    </w:p>
    <w:p>
      <w:pPr>
        <w:overflowPunct/>
        <w:bidi w:val="0"/>
        <w:ind w:left="0" w:right="0" w:firstLine="0"/>
        <w:jc w:val="both"/>
        <w:rPr>
          <w:rFonts w:ascii="Calibri" w:hAnsi="Calibri"/>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SÉTIMA</w:t>
      </w:r>
      <w:r>
        <w:rPr>
          <w:rFonts w:ascii="Calibri" w:hAnsi="Calibri" w:cs="Calibri"/>
          <w:b/>
          <w:sz w:val="24"/>
          <w:szCs w:val="24"/>
        </w:rPr>
        <w:t xml:space="preserve"> – DAS PRÁTICAS FRAUDULENTAS E DE CORRUPÇÃO</w:t>
      </w:r>
    </w:p>
    <w:p>
      <w:pPr>
        <w:overflowPunct/>
        <w:bidi w:val="0"/>
        <w:ind w:left="0" w:right="0" w:firstLine="0"/>
        <w:jc w:val="both"/>
        <w:rPr>
          <w:rFonts w:ascii="Calibri" w:hAnsi="Calibri"/>
          <w:sz w:val="24"/>
          <w:szCs w:val="24"/>
        </w:rPr>
      </w:pPr>
      <w:r>
        <w:rPr>
          <w:rFonts w:ascii="Calibri" w:hAnsi="Calibri" w:eastAsia="SimSun" w:cs="Calibri"/>
          <w:color w:val="000000"/>
          <w:kern w:val="0"/>
          <w:sz w:val="24"/>
          <w:szCs w:val="24"/>
          <w:lang w:val="pt-BR" w:eastAsia="zh-CN" w:bidi="ar-SA"/>
        </w:rPr>
        <w:t>7</w:t>
      </w:r>
      <w:r>
        <w:rPr>
          <w:rFonts w:ascii="Calibri" w:hAnsi="Calibri" w:cs="Calibri"/>
          <w:sz w:val="24"/>
          <w:szCs w:val="24"/>
        </w:rPr>
        <w:t xml:space="preserve">.1 </w:t>
      </w:r>
      <w:r>
        <w:rPr>
          <w:rFonts w:ascii="Calibri" w:hAnsi="Calibri" w:cs="Calibri"/>
          <w:b w:val="0"/>
          <w:bCs w:val="0"/>
          <w:sz w:val="24"/>
          <w:szCs w:val="24"/>
          <w:lang w:val="pt-BR"/>
        </w:rPr>
        <w:t xml:space="preserve">– </w:t>
      </w:r>
      <w:r>
        <w:rPr>
          <w:rFonts w:ascii="Calibri" w:hAnsi="Calibri" w:cs="Calibri"/>
          <w:sz w:val="24"/>
          <w:szCs w:val="24"/>
        </w:rPr>
        <w:t>As partes, por seus agentes públicos ou por seus sócios, acionistas, administradores e colaboradores:</w:t>
      </w:r>
    </w:p>
    <w:p>
      <w:pPr>
        <w:overflowPunct/>
        <w:bidi w:val="0"/>
        <w:ind w:left="0" w:right="0" w:firstLine="0"/>
        <w:jc w:val="both"/>
        <w:rPr>
          <w:rFonts w:ascii="Calibri" w:hAnsi="Calibri"/>
          <w:sz w:val="24"/>
          <w:szCs w:val="24"/>
        </w:rPr>
      </w:pPr>
      <w:r>
        <w:rPr>
          <w:rFonts w:ascii="Calibri" w:hAnsi="Calibri" w:cs="Calibri"/>
          <w:sz w:val="24"/>
          <w:szCs w:val="24"/>
        </w:rPr>
        <w:t>I – Declaram que têm conhecimento das normas previstas na legislação, entre as quais nas Leis n° 8.429/1992 e nº 12.846/2013, seus regulamentos e eventuais outras aplicáveis;</w:t>
      </w:r>
    </w:p>
    <w:p>
      <w:pPr>
        <w:overflowPunct/>
        <w:bidi w:val="0"/>
        <w:ind w:left="0" w:right="0" w:firstLine="0"/>
        <w:jc w:val="both"/>
        <w:rPr>
          <w:rFonts w:ascii="Calibri" w:hAnsi="Calibri"/>
          <w:sz w:val="24"/>
          <w:szCs w:val="24"/>
        </w:rPr>
      </w:pPr>
      <w:r>
        <w:rPr>
          <w:rFonts w:ascii="Calibri" w:hAnsi="Calibri" w:cs="Calibri"/>
          <w:sz w:val="24"/>
          <w:szCs w:val="24"/>
        </w:rPr>
        <w:t>II – Comprometem-se em não adotar práticas ou procedimentos que se enquadrem nas hipóteses previstas nas leis e regulamentos mencionados no inciso anterior e se comprometem em exigir o mesmo pelos terceiros por elas contratados;</w:t>
      </w:r>
    </w:p>
    <w:p>
      <w:pPr>
        <w:overflowPunct/>
        <w:bidi w:val="0"/>
        <w:ind w:left="0" w:right="0" w:firstLine="0"/>
        <w:jc w:val="both"/>
        <w:rPr>
          <w:rFonts w:ascii="Calibri" w:hAnsi="Calibri"/>
          <w:sz w:val="24"/>
          <w:szCs w:val="24"/>
        </w:rPr>
      </w:pPr>
      <w:r>
        <w:rPr>
          <w:rFonts w:ascii="Calibri" w:hAnsi="Calibri" w:cs="Calibri"/>
          <w:sz w:val="24"/>
          <w:szCs w:val="24"/>
        </w:rPr>
        <w:t>III – Comprometem-se em notificar à Controladoria-Geral do Estado qualquer irregularidade que tiverem conhecimento acerca da execução do contrato;</w:t>
      </w:r>
    </w:p>
    <w:p>
      <w:pPr>
        <w:overflowPunct/>
        <w:bidi w:val="0"/>
        <w:ind w:left="0" w:right="0" w:firstLine="0"/>
        <w:jc w:val="both"/>
        <w:rPr>
          <w:rFonts w:ascii="Calibri" w:hAnsi="Calibri"/>
          <w:sz w:val="24"/>
          <w:szCs w:val="24"/>
        </w:rPr>
      </w:pPr>
      <w:r>
        <w:rPr>
          <w:rFonts w:ascii="Calibri" w:hAnsi="Calibri" w:cs="Calibri"/>
          <w:sz w:val="24"/>
          <w:szCs w:val="24"/>
        </w:rPr>
        <w:t>IV – 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pPr>
        <w:pStyle w:val="2"/>
        <w:overflowPunct/>
        <w:bidi w:val="0"/>
        <w:ind w:left="0" w:right="0" w:firstLine="0"/>
        <w:jc w:val="both"/>
        <w:rPr>
          <w:rFonts w:ascii="Calibri" w:hAnsi="Calibri" w:cs="Calibri"/>
          <w:sz w:val="24"/>
          <w:szCs w:val="24"/>
        </w:rPr>
      </w:pPr>
    </w:p>
    <w:p>
      <w:pPr>
        <w:overflowPunct/>
        <w:bidi w:val="0"/>
        <w:ind w:left="0" w:right="0" w:firstLine="0"/>
        <w:jc w:val="both"/>
        <w:rPr>
          <w:rFonts w:ascii="Calibri" w:hAnsi="Calibri"/>
          <w:sz w:val="24"/>
          <w:szCs w:val="24"/>
        </w:rPr>
      </w:pPr>
      <w:r>
        <w:rPr>
          <w:rFonts w:ascii="Calibri" w:hAnsi="Calibri" w:cs="Calibri"/>
          <w:b/>
          <w:sz w:val="24"/>
          <w:szCs w:val="24"/>
        </w:rPr>
        <w:t xml:space="preserve">CLÁUSULA </w:t>
      </w:r>
      <w:r>
        <w:rPr>
          <w:rFonts w:ascii="Calibri" w:hAnsi="Calibri" w:eastAsia="SimSun" w:cs="Calibri"/>
          <w:b/>
          <w:color w:val="000000"/>
          <w:kern w:val="0"/>
          <w:sz w:val="24"/>
          <w:szCs w:val="24"/>
          <w:lang w:val="pt-BR" w:eastAsia="zh-CN" w:bidi="ar-SA"/>
        </w:rPr>
        <w:t>OITAVA</w:t>
      </w:r>
      <w:r>
        <w:rPr>
          <w:rFonts w:ascii="Calibri" w:hAnsi="Calibri" w:cs="Calibri"/>
          <w:b/>
          <w:sz w:val="24"/>
          <w:szCs w:val="24"/>
        </w:rPr>
        <w:t xml:space="preserve"> – DO ATENDIMENTO A LEI FEDERAL DE PROTEÇÃO DE DADOS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 – A CONTRATADA declara que tem ciência da existência da Lei nº 13.709/2018 (Lei Geral de Proteção de Dados – LGPD) e se compromete a adequar todos os procedimentos internos ao disposto na legislação, com o intuito de proteger os dados pessoais que lhe forem repassados, cumprindo, a todo momento, as normas de proteção de dados pessoais, jamais colocando, por seus atos ou por sua omissão, a CONTRATANTE em situação de violação de tais regras.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 xml:space="preserve">.2 – A CONTRATADA declara que designou Encarregado de Tratamento de Dados Pessoais, nos termos do § 1º. do art. 41 da Lei nº 13.709/2018 (Lei Geral de Proteção de Dados – LGPD), e se compromete a informar os dados de identidade e informações de contato deste encarregado na ocasião da assinatura deste contrato. A CONTRATADA também se compromete a manter o CONTRATANTE informado sobre os dados atualizados de contato de seu Encarregado de Tratamento de Dados Pessoais, sempre que for substituído;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.3 – A CONTRATADA somente poderá tratar dados pessoais dos usuários dos serviços contratados, nos limites e finalidades exclusivas do cumprimento de suas obrigações com base no presente contrato e jamais para qualquer outra finalidade.</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.4 – A CONTRATADA se certificará de que seus empregados, representantes, e prepostos agirão de acordo com o presente contrato e com as leis de proteção de dados e eventuais instruções transmitidas pela CONTRATANTE sobre a presente cláusula, comprometendo-se a manter o sigilo e a confidencialidade dos dados pessoais e dos dados pessoais sensíveis repassados em decorrência da execução do objeto contratual, em consonância com o disposto na Lei nº 13.709/2018 (Lei Geral de Proteção de Dados Pessoais – LGPD), certificando-se a CONTRATADA de que seus empregados, representantes, e prepostos assumam compromisso de confidencialidade ou estejam sujeitos a obrigações legais de confidencialidade.</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.5 – Se o titular dos dados ou terceiros solicitarem informações à CONTRATADA relativas ao tratamento de dados pessoais que detiver em decorrência do presente contrato, a CONTRATADA submeterá esse pedido à apreciação da CONTRATANTE, não podendo, sem instruções prévias da CONTRATANTE, transferir, compartilhar e/ou garantir acesso aos dados pessoais que detenha por força do presente contrato, sendo, em regra, vedada a transferência das informações a outras pessoas físicas ou jurídicas, salvo aquelas decorrentes de obrigações legais ou para viabilizar o cumprimento do próprio contrato; se a solicitação for realizada por autoridade de proteção de dados, a CONTRATADA informará imediatamente à CONTRATANTE sobre tal pedido e suas decorrências.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.6 – A CONTRATADA prestará assistência à CONTRATANTE no cumprimento das obrigações previstas nas leis de proteção de dados, quando relacionadas ao objeto contratual, especialmente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 incluindo pedidos de acesso, retificação, bloqueio, restrição, apagamento, portabilidade de dados, ou o exercício de quaisquer outros direitos dos titulares de dados com base nas Leis Aplicáveis à Proteção de Dados.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 xml:space="preserve">.7 – Quando solicitada, a CONTRATADA fornecerá à CONTRATANTE, no prazo de 2 (dois) dias úteis, todas as informações necessárias para comprovar a conformidade das obrigações da CONTRATADA previstas neste contrato com as leis de proteção de dados, inclusive para fins de elaboração de relatórios de impacto de proteção e riscos de uso de dados pessoais.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.8 – A CONTRATADA prestará assistência à CONTRATANTE no cumprimento de suas outras obrigações de acordo com as leis de proteção de dados nos casos em que estiver implícita a assistência da CONTRATADA e/ou nos casos em que for necessária a assistência da CONTRATADA para que a CONTRATANTE cumpra suas obrigações, incluindo aquelas relativas à segurança do tratamento, violações de dados pessoais, avaliação de impacto de proteção de dados, e consulta prévia a autoridades de proteção de dados.</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 xml:space="preserve">.9 – A CONTRATADA fica obrigada a comunicar à CONTRATANTE, por escrito, em até 2 (dois) dias úteis a contar do momento em que tomou ciência da violação, ou em menor prazo, se assim vier a recomendar ou determinar a Autoridade Nacional de Proteção de Dados – ANPD,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 Pessoais. </w:t>
      </w:r>
    </w:p>
    <w:p>
      <w:pPr>
        <w:pStyle w:val="2"/>
        <w:overflowPunct/>
        <w:bidi w:val="0"/>
        <w:ind w:left="0" w:right="0" w:firstLine="0"/>
        <w:jc w:val="both"/>
        <w:rPr>
          <w:rFonts w:ascii="Calibri" w:hAnsi="Calibri"/>
          <w:sz w:val="24"/>
          <w:szCs w:val="24"/>
        </w:rPr>
      </w:pPr>
      <w:r>
        <w:rPr>
          <w:rFonts w:ascii="Calibri" w:hAnsi="Calibri" w:eastAsia="NSimSun" w:cs="Calibri"/>
          <w:b w:val="0"/>
          <w:bCs w:val="0"/>
          <w:color w:val="000000"/>
          <w:kern w:val="0"/>
          <w:sz w:val="24"/>
          <w:szCs w:val="24"/>
          <w:lang w:val="pt-BR" w:eastAsia="zh-CN" w:bidi="hi-IN"/>
        </w:rPr>
        <w:t>8</w:t>
      </w:r>
      <w:r>
        <w:rPr>
          <w:rFonts w:ascii="Calibri" w:hAnsi="Calibri" w:cs="Calibri"/>
          <w:b w:val="0"/>
          <w:bCs w:val="0"/>
          <w:sz w:val="24"/>
          <w:szCs w:val="24"/>
        </w:rPr>
        <w:t>.10 – A CONTRATADA indenizará a CONTRATANTE, em razão do não cumprimento por parte da CONTRATADA das obrigações previstas nas leis, normas, regulamentos e recomendações das autoridades de proteção de dados com relação ao presente contrato, de quaisquer danos, prejuízos, custos e despesas, incluindo-se honorários advocatícios, multas, penalidades e eventuais dispêndios investigativos relativos a demandas administrativas ou judiciais propostas em face da CONTRATANTE a esse título.</w:t>
      </w:r>
    </w:p>
    <w:p>
      <w:pPr>
        <w:pStyle w:val="2"/>
        <w:overflowPunct/>
        <w:bidi w:val="0"/>
        <w:ind w:left="0" w:right="0" w:firstLine="0"/>
        <w:jc w:val="both"/>
        <w:rPr>
          <w:rFonts w:cs="Calibri"/>
          <w:b/>
          <w:bCs/>
        </w:rPr>
      </w:pPr>
    </w:p>
    <w:p>
      <w:pPr>
        <w:pStyle w:val="2"/>
        <w:overflowPunct/>
        <w:bidi w:val="0"/>
        <w:ind w:left="0" w:right="0" w:firstLine="0"/>
        <w:jc w:val="both"/>
        <w:rPr>
          <w:rFonts w:ascii="Calibri" w:hAnsi="Calibri"/>
          <w:sz w:val="24"/>
          <w:szCs w:val="24"/>
        </w:rPr>
      </w:pPr>
      <w:r>
        <w:rPr>
          <w:rFonts w:ascii="Calibri" w:hAnsi="Calibri" w:cs="Calibri"/>
          <w:b/>
          <w:bCs/>
          <w:sz w:val="24"/>
          <w:szCs w:val="24"/>
        </w:rPr>
        <w:t xml:space="preserve">CLÁUSULA </w:t>
      </w:r>
      <w:r>
        <w:rPr>
          <w:rFonts w:ascii="Calibri" w:hAnsi="Calibri" w:eastAsia="NSimSun" w:cs="Calibri"/>
          <w:b/>
          <w:bCs/>
          <w:color w:val="000000"/>
          <w:kern w:val="0"/>
          <w:sz w:val="24"/>
          <w:szCs w:val="24"/>
          <w:lang w:val="pt-BR" w:eastAsia="zh-CN" w:bidi="hi-IN"/>
        </w:rPr>
        <w:t xml:space="preserve">NONA </w:t>
      </w:r>
      <w:r>
        <w:rPr>
          <w:rFonts w:ascii="Calibri" w:hAnsi="Calibri" w:cs="Calibri"/>
          <w:b/>
          <w:bCs/>
          <w:sz w:val="24"/>
          <w:szCs w:val="24"/>
        </w:rPr>
        <w:t xml:space="preserve"> – DO ATENDIMENTO A LEI 17.983 DE 19 DE AGOSTO DE 2020</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9</w:t>
      </w:r>
      <w:r>
        <w:rPr>
          <w:rFonts w:ascii="Calibri" w:hAnsi="Calibri" w:cs="Calibri"/>
          <w:b w:val="0"/>
          <w:bCs w:val="0"/>
          <w:sz w:val="24"/>
          <w:szCs w:val="24"/>
        </w:rPr>
        <w:t>.1 –</w:t>
      </w:r>
      <w:r>
        <w:rPr>
          <w:rFonts w:ascii="Calibri" w:hAnsi="Calibri" w:cs="Calibri"/>
          <w:b/>
          <w:bCs/>
          <w:sz w:val="24"/>
          <w:szCs w:val="24"/>
        </w:rPr>
        <w:t xml:space="preserve"> </w:t>
      </w:r>
      <w:r>
        <w:rPr>
          <w:rFonts w:ascii="Calibri" w:hAnsi="Calibri" w:cs="Calibri"/>
          <w:b w:val="0"/>
          <w:bCs w:val="0"/>
          <w:sz w:val="24"/>
          <w:szCs w:val="24"/>
        </w:rPr>
        <w:t>Fica obrigada a publicação do nome do proprietário ou de todos os sócios-proprietários integrantes de pessoas jurídicas contratadas para fornecer serviços e produtos, aos Poderes Executivo, Legislativo e Judiciário, bem como aos demais órgãos da Administração Direta e Indireta, independente da forma de contratação.</w:t>
      </w:r>
      <w:r>
        <w:rPr>
          <w:rFonts w:ascii="Calibri" w:hAnsi="Calibri" w:cs="Calibri"/>
          <w:b w:val="0"/>
          <w:bCs w:val="0"/>
          <w:sz w:val="24"/>
          <w:szCs w:val="24"/>
        </w:rPr>
        <w:br w:type="textWrapping"/>
      </w:r>
      <w:r>
        <w:rPr>
          <w:rFonts w:ascii="Calibri" w:hAnsi="Calibri" w:eastAsia="NSimSun" w:cs="Calibri"/>
          <w:b w:val="0"/>
          <w:bCs w:val="0"/>
          <w:color w:val="000000"/>
          <w:kern w:val="0"/>
          <w:sz w:val="24"/>
          <w:szCs w:val="24"/>
          <w:lang w:val="pt-BR" w:eastAsia="zh-CN" w:bidi="hi-IN"/>
        </w:rPr>
        <w:t>9</w:t>
      </w:r>
      <w:r>
        <w:rPr>
          <w:rFonts w:ascii="Calibri" w:hAnsi="Calibri" w:cs="Calibri"/>
          <w:b w:val="0"/>
          <w:bCs w:val="0"/>
          <w:sz w:val="24"/>
          <w:szCs w:val="24"/>
        </w:rPr>
        <w:t>.1.1 –</w:t>
      </w:r>
      <w:r>
        <w:rPr>
          <w:rFonts w:ascii="Calibri" w:hAnsi="Calibri" w:cs="Calibri"/>
          <w:b/>
          <w:bCs/>
          <w:sz w:val="24"/>
          <w:szCs w:val="24"/>
        </w:rPr>
        <w:t xml:space="preserve"> </w:t>
      </w:r>
      <w:r>
        <w:rPr>
          <w:rFonts w:ascii="Calibri" w:hAnsi="Calibri" w:cs="Calibri"/>
          <w:b w:val="0"/>
          <w:bCs w:val="0"/>
          <w:sz w:val="24"/>
          <w:szCs w:val="24"/>
        </w:rPr>
        <w:t>A publicação deverá ser no Portal da Transparência do órgão contratante, em local de fácil acesso, devendo constar:</w:t>
      </w:r>
      <w:r>
        <w:rPr>
          <w:rFonts w:ascii="Calibri" w:hAnsi="Calibri" w:cs="Calibri"/>
          <w:b w:val="0"/>
          <w:bCs w:val="0"/>
          <w:sz w:val="24"/>
          <w:szCs w:val="24"/>
        </w:rPr>
        <w:br w:type="textWrapping"/>
      </w:r>
      <w:r>
        <w:rPr>
          <w:rFonts w:ascii="Calibri" w:hAnsi="Calibri" w:cs="Calibri"/>
          <w:b w:val="0"/>
          <w:bCs w:val="0"/>
          <w:sz w:val="24"/>
          <w:szCs w:val="24"/>
        </w:rPr>
        <w:t>I – relação dos sócios-proprietários com o número de Cadastro de Pessoa Física (CPF);</w:t>
      </w:r>
      <w:r>
        <w:rPr>
          <w:rFonts w:ascii="Calibri" w:hAnsi="Calibri" w:cs="Calibri"/>
          <w:b w:val="0"/>
          <w:bCs w:val="0"/>
          <w:sz w:val="24"/>
          <w:szCs w:val="24"/>
        </w:rPr>
        <w:br w:type="textWrapping"/>
      </w:r>
      <w:r>
        <w:rPr>
          <w:rFonts w:ascii="Calibri" w:hAnsi="Calibri" w:cs="Calibri"/>
          <w:b w:val="0"/>
          <w:bCs w:val="0"/>
          <w:sz w:val="24"/>
          <w:szCs w:val="24"/>
        </w:rPr>
        <w:t>II – endereço da sede da empresa contratada, em conformidade com contrato social;</w:t>
      </w:r>
      <w:r>
        <w:rPr>
          <w:rFonts w:ascii="Calibri" w:hAnsi="Calibri" w:cs="Calibri"/>
          <w:b w:val="0"/>
          <w:bCs w:val="0"/>
          <w:sz w:val="24"/>
          <w:szCs w:val="24"/>
        </w:rPr>
        <w:br w:type="textWrapping"/>
      </w:r>
      <w:r>
        <w:rPr>
          <w:rFonts w:ascii="Calibri" w:hAnsi="Calibri" w:cs="Calibri"/>
          <w:b w:val="0"/>
          <w:bCs w:val="0"/>
          <w:sz w:val="24"/>
          <w:szCs w:val="24"/>
        </w:rPr>
        <w:t>III – foto da fachada da sede da empresa; e</w:t>
      </w:r>
      <w:r>
        <w:rPr>
          <w:rFonts w:ascii="Calibri" w:hAnsi="Calibri" w:cs="Calibri"/>
          <w:b w:val="0"/>
          <w:bCs w:val="0"/>
          <w:sz w:val="24"/>
          <w:szCs w:val="24"/>
        </w:rPr>
        <w:br w:type="textWrapping"/>
      </w:r>
      <w:r>
        <w:rPr>
          <w:rFonts w:ascii="Calibri" w:hAnsi="Calibri" w:cs="Calibri"/>
          <w:b w:val="0"/>
          <w:bCs w:val="0"/>
          <w:sz w:val="24"/>
          <w:szCs w:val="24"/>
        </w:rPr>
        <w:t>IV – extrato da minuta do contrato firmado entre Administração Pública e a empresa contratada.</w:t>
      </w:r>
    </w:p>
    <w:p>
      <w:pPr>
        <w:pStyle w:val="2"/>
        <w:overflowPunct/>
        <w:bidi w:val="0"/>
        <w:ind w:left="0" w:right="0" w:firstLine="0"/>
        <w:jc w:val="both"/>
        <w:rPr>
          <w:rFonts w:ascii="Calibri" w:hAnsi="Calibri" w:cs="Calibri"/>
          <w:sz w:val="24"/>
          <w:szCs w:val="24"/>
        </w:rPr>
      </w:pPr>
    </w:p>
    <w:p>
      <w:pPr>
        <w:pStyle w:val="16"/>
        <w:overflowPunct/>
        <w:bidi w:val="0"/>
        <w:ind w:left="0" w:right="0" w:firstLine="0"/>
        <w:jc w:val="left"/>
        <w:rPr>
          <w:rFonts w:ascii="Calibri" w:hAnsi="Calibri"/>
          <w:sz w:val="24"/>
          <w:szCs w:val="24"/>
        </w:rPr>
      </w:pPr>
      <w:r>
        <w:rPr>
          <w:rFonts w:ascii="Calibri" w:hAnsi="Calibri" w:cs="Calibri"/>
          <w:sz w:val="24"/>
          <w:szCs w:val="24"/>
        </w:rPr>
        <w:t>Itens constantes da Ata:</w:t>
      </w:r>
    </w:p>
    <w:tbl>
      <w:tblPr>
        <w:tblStyle w:val="13"/>
        <w:tblW w:w="5000" w:type="pct"/>
        <w:tblInd w:w="108" w:type="dxa"/>
        <w:tblLayout w:type="fixed"/>
        <w:tblCellMar>
          <w:top w:w="0" w:type="dxa"/>
          <w:left w:w="108" w:type="dxa"/>
          <w:bottom w:w="0" w:type="dxa"/>
          <w:right w:w="108" w:type="dxa"/>
        </w:tblCellMar>
      </w:tblPr>
      <w:tblGrid>
        <w:gridCol w:w="838"/>
        <w:gridCol w:w="1472"/>
        <w:gridCol w:w="4876"/>
        <w:gridCol w:w="2780"/>
      </w:tblGrid>
      <w:tr>
        <w:tblPrEx>
          <w:tblCellMar>
            <w:top w:w="0" w:type="dxa"/>
            <w:left w:w="108" w:type="dxa"/>
            <w:bottom w:w="0" w:type="dxa"/>
            <w:right w:w="108" w:type="dxa"/>
          </w:tblCellMar>
        </w:tblPrEx>
        <w:trPr>
          <w:cantSplit/>
          <w:trHeight w:val="158" w:hRule="atLeast"/>
        </w:trPr>
        <w:tc>
          <w:tcPr>
            <w:tcW w:w="820"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ITEM</w:t>
            </w:r>
          </w:p>
        </w:tc>
        <w:tc>
          <w:tcPr>
            <w:tcW w:w="1440"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CÓDIGO</w:t>
            </w:r>
          </w:p>
        </w:tc>
        <w:tc>
          <w:tcPr>
            <w:tcW w:w="4770"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DESCRIÇÃO/MARCA(S)/PAÍS DE ORIGEM</w:t>
            </w: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VALOR UNITÁRIO</w:t>
            </w:r>
          </w:p>
        </w:tc>
      </w:tr>
      <w:tr>
        <w:tblPrEx>
          <w:tblCellMar>
            <w:top w:w="0" w:type="dxa"/>
            <w:left w:w="108" w:type="dxa"/>
            <w:bottom w:w="0" w:type="dxa"/>
            <w:right w:w="108" w:type="dxa"/>
          </w:tblCellMar>
        </w:tblPrEx>
        <w:tc>
          <w:tcPr>
            <w:tcW w:w="820"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01</w:t>
            </w:r>
          </w:p>
        </w:tc>
        <w:tc>
          <w:tcPr>
            <w:tcW w:w="1440" w:type="dxa"/>
            <w:tcBorders>
              <w:top w:val="single" w:color="000000" w:sz="4" w:space="0"/>
              <w:left w:val="single" w:color="000000" w:sz="4" w:space="0"/>
              <w:bottom w:val="single" w:color="000000" w:sz="4" w:space="0"/>
            </w:tcBorders>
            <w:vAlign w:val="center"/>
          </w:tcPr>
          <w:p>
            <w:pPr>
              <w:widowControl w:val="0"/>
              <w:overflowPunct/>
              <w:bidi w:val="0"/>
              <w:snapToGrid w:val="0"/>
              <w:spacing w:before="57" w:after="57"/>
              <w:ind w:left="0" w:right="0" w:firstLine="0"/>
              <w:jc w:val="center"/>
              <w:rPr>
                <w:rFonts w:ascii="Calibri" w:hAnsi="Calibri" w:cs="Calibri"/>
                <w:sz w:val="24"/>
                <w:szCs w:val="24"/>
              </w:rPr>
            </w:pPr>
          </w:p>
        </w:tc>
        <w:tc>
          <w:tcPr>
            <w:tcW w:w="4770" w:type="dxa"/>
            <w:tcBorders>
              <w:top w:val="single" w:color="000000" w:sz="4" w:space="0"/>
              <w:left w:val="single" w:color="000000" w:sz="4" w:space="0"/>
              <w:bottom w:val="single" w:color="000000" w:sz="4" w:space="0"/>
            </w:tcBorders>
            <w:vAlign w:val="center"/>
          </w:tcPr>
          <w:p>
            <w:pPr>
              <w:widowControl w:val="0"/>
              <w:overflowPunct/>
              <w:bidi w:val="0"/>
              <w:snapToGrid w:val="0"/>
              <w:spacing w:before="57" w:after="57"/>
              <w:ind w:left="0" w:right="0" w:firstLine="0"/>
              <w:jc w:val="center"/>
              <w:rPr>
                <w:rFonts w:ascii="Calibri" w:hAnsi="Calibri" w:cs="Calibri"/>
                <w:sz w:val="24"/>
                <w:szCs w:val="24"/>
              </w:rPr>
            </w:pPr>
          </w:p>
        </w:tc>
        <w:tc>
          <w:tcPr>
            <w:tcW w:w="2719"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napToGrid w:val="0"/>
              <w:spacing w:before="57" w:after="57"/>
              <w:ind w:left="0" w:right="0" w:firstLine="0"/>
              <w:jc w:val="center"/>
              <w:rPr>
                <w:rFonts w:ascii="Calibri" w:hAnsi="Calibri" w:cs="Calibri"/>
                <w:sz w:val="24"/>
                <w:szCs w:val="24"/>
              </w:rPr>
            </w:pPr>
          </w:p>
        </w:tc>
      </w:tr>
    </w:tbl>
    <w:p>
      <w:pPr>
        <w:pStyle w:val="669"/>
        <w:overflowPunct/>
        <w:bidi w:val="0"/>
        <w:ind w:left="0" w:right="0" w:firstLine="0"/>
        <w:rPr>
          <w:rFonts w:ascii="Calibri" w:hAnsi="Calibri" w:cs="Calibri"/>
          <w:sz w:val="24"/>
          <w:szCs w:val="24"/>
        </w:rPr>
      </w:pPr>
    </w:p>
    <w:p>
      <w:pPr>
        <w:pStyle w:val="669"/>
        <w:overflowPunct/>
        <w:bidi w:val="0"/>
        <w:ind w:left="0" w:right="0" w:firstLine="0"/>
        <w:rPr>
          <w:rFonts w:ascii="Calibri" w:hAnsi="Calibri"/>
          <w:sz w:val="24"/>
          <w:szCs w:val="24"/>
        </w:rPr>
      </w:pPr>
      <w:r>
        <w:rPr>
          <w:rFonts w:ascii="Calibri" w:hAnsi="Calibri" w:cs="Calibri"/>
          <w:sz w:val="24"/>
          <w:szCs w:val="24"/>
        </w:rPr>
        <w:t>Fiscal da ATA de Registro de Preços:</w:t>
      </w:r>
    </w:p>
    <w:p>
      <w:pPr>
        <w:pStyle w:val="669"/>
        <w:overflowPunct/>
        <w:bidi w:val="0"/>
        <w:ind w:left="0" w:right="0" w:firstLine="0"/>
        <w:rPr>
          <w:rFonts w:ascii="Calibri" w:hAnsi="Calibri"/>
          <w:sz w:val="24"/>
          <w:szCs w:val="24"/>
        </w:rPr>
      </w:pPr>
    </w:p>
    <w:p>
      <w:pPr>
        <w:pStyle w:val="669"/>
        <w:overflowPunct/>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HDWC: - Nome: - Matrícula:</w:t>
      </w:r>
    </w:p>
    <w:p>
      <w:pPr>
        <w:pStyle w:val="669"/>
        <w:overflowPunct/>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HGCR</w:t>
      </w:r>
      <w:r>
        <w:rPr>
          <w:rFonts w:ascii="Calibri" w:hAnsi="Calibri" w:cs="Calibri"/>
          <w:sz w:val="24"/>
          <w:szCs w:val="24"/>
        </w:rPr>
        <w:t>: - Nome: - Matrícula:</w:t>
      </w:r>
    </w:p>
    <w:p>
      <w:pPr>
        <w:pStyle w:val="669"/>
        <w:overflowPunct/>
        <w:bidi w:val="0"/>
        <w:ind w:left="0" w:right="0" w:firstLine="0"/>
        <w:rPr>
          <w:rFonts w:ascii="Calibri" w:hAnsi="Calibri"/>
          <w:sz w:val="24"/>
          <w:szCs w:val="24"/>
        </w:rPr>
      </w:pPr>
      <w:r>
        <w:rPr>
          <w:rFonts w:ascii="Calibri" w:hAnsi="Calibri" w:eastAsia="SimSun" w:cs="Calibri"/>
          <w:color w:val="000000"/>
          <w:kern w:val="0"/>
          <w:sz w:val="24"/>
          <w:szCs w:val="24"/>
          <w:lang w:val="pt-BR" w:eastAsia="zh-CN" w:bidi="ar-SA"/>
        </w:rPr>
        <w:t>HRSJ</w:t>
      </w:r>
      <w:r>
        <w:rPr>
          <w:rFonts w:ascii="Calibri" w:hAnsi="Calibri" w:cs="Calibri"/>
          <w:sz w:val="24"/>
          <w:szCs w:val="24"/>
        </w:rPr>
        <w:t>: - Nome: - Matrícula:</w:t>
      </w:r>
    </w:p>
    <w:p>
      <w:pPr>
        <w:pStyle w:val="669"/>
        <w:overflowPunct/>
        <w:bidi w:val="0"/>
        <w:ind w:left="0" w:right="0" w:firstLine="0"/>
        <w:rPr>
          <w:rFonts w:ascii="Calibri" w:hAnsi="Calibri"/>
          <w:sz w:val="24"/>
          <w:szCs w:val="24"/>
        </w:rPr>
      </w:pPr>
    </w:p>
    <w:p>
      <w:pPr>
        <w:overflowPunct/>
        <w:bidi w:val="0"/>
        <w:ind w:left="0" w:right="0" w:firstLine="0"/>
        <w:jc w:val="both"/>
        <w:rPr>
          <w:rFonts w:ascii="Calibri" w:hAnsi="Calibri"/>
          <w:sz w:val="24"/>
          <w:szCs w:val="24"/>
        </w:rPr>
      </w:pPr>
      <w:r>
        <w:rPr>
          <w:rFonts w:ascii="Calibri" w:hAnsi="Calibri" w:cs="Calibri"/>
          <w:sz w:val="24"/>
          <w:szCs w:val="24"/>
        </w:rPr>
        <w:t xml:space="preserve">Florianópolis, </w:t>
      </w:r>
    </w:p>
    <w:p>
      <w:pPr>
        <w:overflowPunct/>
        <w:bidi w:val="0"/>
        <w:ind w:left="0" w:right="0" w:firstLine="0"/>
        <w:jc w:val="both"/>
        <w:rPr>
          <w:rFonts w:ascii="Calibri" w:hAnsi="Calibri" w:cs="Calibri"/>
          <w:sz w:val="24"/>
          <w:szCs w:val="24"/>
        </w:rPr>
      </w:pPr>
    </w:p>
    <w:tbl>
      <w:tblPr>
        <w:tblStyle w:val="13"/>
        <w:tblW w:w="5000" w:type="pct"/>
        <w:tblInd w:w="108" w:type="dxa"/>
        <w:tblLayout w:type="fixed"/>
        <w:tblCellMar>
          <w:top w:w="0" w:type="dxa"/>
          <w:left w:w="108" w:type="dxa"/>
          <w:bottom w:w="0" w:type="dxa"/>
          <w:right w:w="108" w:type="dxa"/>
        </w:tblCellMar>
      </w:tblPr>
      <w:tblGrid>
        <w:gridCol w:w="5010"/>
        <w:gridCol w:w="4956"/>
      </w:tblGrid>
      <w:tr>
        <w:tblPrEx>
          <w:tblCellMar>
            <w:top w:w="0" w:type="dxa"/>
            <w:left w:w="108" w:type="dxa"/>
            <w:bottom w:w="0" w:type="dxa"/>
            <w:right w:w="108" w:type="dxa"/>
          </w:tblCellMar>
        </w:tblPrEx>
        <w:tc>
          <w:tcPr>
            <w:tcW w:w="4901" w:type="dxa"/>
            <w:tcBorders>
              <w:top w:val="single" w:color="000000" w:sz="4" w:space="0"/>
              <w:left w:val="single" w:color="000000" w:sz="4" w:space="0"/>
              <w:bottom w:val="single" w:color="000000" w:sz="4" w:space="0"/>
            </w:tcBorders>
            <w:vAlign w:val="center"/>
          </w:tcPr>
          <w:p>
            <w:pPr>
              <w:widowControl w:val="0"/>
              <w:overflowPunct/>
              <w:bidi w:val="0"/>
              <w:snapToGrid w:val="0"/>
              <w:spacing w:before="57" w:after="57"/>
              <w:ind w:left="0" w:right="0" w:firstLine="0"/>
              <w:jc w:val="both"/>
              <w:rPr>
                <w:rFonts w:ascii="Calibri" w:hAnsi="Calibri" w:cs="Calibri"/>
                <w:sz w:val="24"/>
                <w:szCs w:val="24"/>
              </w:rPr>
            </w:pP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napToGrid w:val="0"/>
              <w:spacing w:before="57" w:after="57"/>
              <w:ind w:left="0" w:right="0" w:firstLine="0"/>
              <w:jc w:val="both"/>
              <w:rPr>
                <w:rFonts w:ascii="Calibri" w:hAnsi="Calibri" w:cs="Calibri"/>
                <w:sz w:val="24"/>
                <w:szCs w:val="24"/>
              </w:rPr>
            </w:pPr>
          </w:p>
        </w:tc>
      </w:tr>
      <w:tr>
        <w:tc>
          <w:tcPr>
            <w:tcW w:w="4901" w:type="dxa"/>
            <w:tcBorders>
              <w:top w:val="single" w:color="000000" w:sz="4" w:space="0"/>
              <w:left w:val="single" w:color="000000" w:sz="4" w:space="0"/>
              <w:bottom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Órgão Gerenciador</w:t>
            </w:r>
          </w:p>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Fundo Estadual de Saúde/FES-SES</w:t>
            </w:r>
          </w:p>
        </w:tc>
        <w:tc>
          <w:tcPr>
            <w:tcW w:w="4848" w:type="dxa"/>
            <w:tcBorders>
              <w:top w:val="single" w:color="000000" w:sz="4" w:space="0"/>
              <w:left w:val="single" w:color="000000" w:sz="4" w:space="0"/>
              <w:bottom w:val="single" w:color="000000" w:sz="4" w:space="0"/>
              <w:right w:val="single" w:color="000000" w:sz="4" w:space="0"/>
            </w:tcBorders>
            <w:vAlign w:val="center"/>
          </w:tcPr>
          <w:p>
            <w:pPr>
              <w:widowControl w:val="0"/>
              <w:overflowPunct/>
              <w:bidi w:val="0"/>
              <w:spacing w:before="57" w:after="57"/>
              <w:ind w:left="0" w:right="0" w:firstLine="0"/>
              <w:jc w:val="center"/>
              <w:rPr>
                <w:rFonts w:ascii="Calibri" w:hAnsi="Calibri"/>
                <w:sz w:val="24"/>
                <w:szCs w:val="24"/>
              </w:rPr>
            </w:pPr>
            <w:r>
              <w:rPr>
                <w:rFonts w:ascii="Calibri" w:hAnsi="Calibri" w:cs="Calibri"/>
                <w:sz w:val="24"/>
                <w:szCs w:val="24"/>
              </w:rPr>
              <w:t>Empresa</w:t>
            </w:r>
          </w:p>
        </w:tc>
      </w:tr>
    </w:tbl>
    <w:p>
      <w:pPr>
        <w:tabs>
          <w:tab w:val="left" w:pos="2552"/>
        </w:tabs>
        <w:overflowPunct/>
        <w:bidi w:val="0"/>
        <w:spacing w:before="1" w:after="0"/>
        <w:ind w:left="0" w:right="0" w:firstLine="0"/>
        <w:jc w:val="both"/>
        <w:rPr>
          <w:rFonts w:ascii="Calibri" w:hAnsi="Calibri"/>
          <w:sz w:val="24"/>
          <w:szCs w:val="24"/>
        </w:rPr>
      </w:pPr>
    </w:p>
    <w:sectPr>
      <w:headerReference r:id="rId4" w:type="default"/>
      <w:footerReference r:id="rId5" w:type="default"/>
      <w:pgSz w:w="11906" w:h="16838"/>
      <w:pgMar w:top="1480" w:right="1016" w:bottom="640" w:left="1140" w:header="209" w:footer="446" w:gutter="0"/>
      <w:pgNumType w:fmt="decimal"/>
      <w:cols w:space="720" w:num="1"/>
      <w:formProt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roman"/>
    <w:pitch w:val="default"/>
    <w:sig w:usb0="00000000" w:usb1="00000000" w:usb2="00000000" w:usb3="00000000" w:csb0="80000000" w:csb1="00000000"/>
  </w:font>
  <w:font w:name="Arial Rounded MT Bold">
    <w:panose1 w:val="020F0704030504030204"/>
    <w:charset w:val="00"/>
    <w:family w:val="roman"/>
    <w:pitch w:val="default"/>
    <w:sig w:usb0="00000003" w:usb1="00000000" w:usb2="00000000" w:usb3="00000000" w:csb0="20000001" w:csb1="00000000"/>
  </w:font>
  <w:font w:name="Garamond">
    <w:panose1 w:val="02020404030301010803"/>
    <w:charset w:val="00"/>
    <w:family w:val="roman"/>
    <w:pitch w:val="default"/>
    <w:sig w:usb0="00000287" w:usb1="00000000" w:usb2="00000000" w:usb3="00000000" w:csb0="0000009F" w:csb1="DFD70000"/>
  </w:font>
  <w:font w:name="Times New (W1);Times New Roman">
    <w:altName w:val="Liberation Mono"/>
    <w:panose1 w:val="00000000000000000000"/>
    <w:charset w:val="00"/>
    <w:family w:val="auto"/>
    <w:pitch w:val="default"/>
    <w:sig w:usb0="00000000" w:usb1="00000000" w:usb2="00000000" w:usb3="00000000" w:csb0="00000000" w:csb1="00000000"/>
  </w:font>
  <w:font w:name="Liberation Mono">
    <w:panose1 w:val="02070409020205020404"/>
    <w:charset w:val="00"/>
    <w:family w:val="auto"/>
    <w:pitch w:val="default"/>
    <w:sig w:usb0="E0000AFF" w:usb1="400078FF" w:usb2="00000001" w:usb3="00000000" w:csb0="600001BF" w:csb1="DFF70000"/>
  </w:font>
  <w:font w:name="ArialMT;Times New Roman">
    <w:altName w:val="Liberation Mono"/>
    <w:panose1 w:val="00000000000000000000"/>
    <w:charset w:val="00"/>
    <w:family w:val="auto"/>
    <w:pitch w:val="default"/>
    <w:sig w:usb0="00000000" w:usb1="00000000" w:usb2="00000000" w:usb3="00000000" w:csb0="00000000" w:csb1="00000000"/>
  </w:font>
  <w:font w:name="Liberation Sans">
    <w:panose1 w:val="020B0604020202020204"/>
    <w:charset w:val="00"/>
    <w:family w:val="roman"/>
    <w:pitch w:val="default"/>
    <w:sig w:usb0="E0000AFF" w:usb1="500078FF" w:usb2="00000021" w:usb3="00000000" w:csb0="600001BF" w:csb1="DFF70000"/>
  </w:font>
  <w:font w:name="Microsoft YaHei">
    <w:panose1 w:val="020B0503020204020204"/>
    <w:charset w:val="86"/>
    <w:family w:val="auto"/>
    <w:pitch w:val="default"/>
    <w:sig w:usb0="80000287" w:usb1="2ACF3C50" w:usb2="00000016" w:usb3="00000000" w:csb0="0004001F" w:csb1="00000000"/>
  </w:font>
  <w:font w:name="Lucida Sans">
    <w:panose1 w:val="020B0602030504020204"/>
    <w:charset w:val="00"/>
    <w:family w:val="auto"/>
    <w:pitch w:val="default"/>
    <w:sig w:usb0="00000003" w:usb1="00000000" w:usb2="00000000" w:usb3="00000000" w:csb0="20000001" w:csb1="00000000"/>
  </w:font>
  <w:font w:name="Tahoma">
    <w:panose1 w:val="020B0604030504040204"/>
    <w:charset w:val="00"/>
    <w:family w:val="roman"/>
    <w:pitch w:val="default"/>
    <w:sig w:usb0="E1002EFF" w:usb1="C000605B" w:usb2="00000029" w:usb3="00000000" w:csb0="200101FF" w:csb1="20280000"/>
  </w:font>
  <w:font w:name="NSimSun">
    <w:panose1 w:val="02010609030101010101"/>
    <w:charset w:val="86"/>
    <w:family w:val="auto"/>
    <w:pitch w:val="default"/>
    <w:sig w:usb0="00000283" w:usb1="288F0000" w:usb2="00000006" w:usb3="00000000" w:csb0="00040001" w:csb1="00000000"/>
  </w:font>
  <w:font w:name="Mangal;Linux Libertine G">
    <w:altName w:val="Liberation Mono"/>
    <w:panose1 w:val="00000000000000000000"/>
    <w:charset w:val="00"/>
    <w:family w:val="auto"/>
    <w:pitch w:val="default"/>
    <w:sig w:usb0="00000000" w:usb1="00000000" w:usb2="00000000" w:usb3="00000000" w:csb0="00000000" w:csb1="00000000"/>
  </w:font>
  <w:font w:name="Liberation Sans;Arial">
    <w:altName w:val="Liberation Mono"/>
    <w:panose1 w:val="00000000000000000000"/>
    <w:charset w:val="00"/>
    <w:family w:val="auto"/>
    <w:pitch w:val="default"/>
    <w:sig w:usb0="00000000" w:usb1="00000000" w:usb2="00000000" w:usb3="00000000" w:csb0="00000000" w:csb1="00000000"/>
  </w:font>
  <w:font w:name="Lucida Sans Unicode">
    <w:panose1 w:val="020B0602030504020204"/>
    <w:charset w:val="00"/>
    <w:family w:val="auto"/>
    <w:pitch w:val="default"/>
    <w:sig w:usb0="80001AFF" w:usb1="0000396B" w:usb2="00000000" w:usb3="00000000" w:csb0="200000BF" w:csb1="D7F70000"/>
  </w:font>
  <w:font w:name="MS Mincho;Yu Gothic UI">
    <w:altName w:val="Liberation Mono"/>
    <w:panose1 w:val="00000000000000000000"/>
    <w:charset w:val="00"/>
    <w:family w:val="auto"/>
    <w:pitch w:val="default"/>
    <w:sig w:usb0="00000000" w:usb1="00000000" w:usb2="00000000" w:usb3="00000000" w:csb0="00000000" w:csb1="00000000"/>
  </w:font>
  <w:font w:name="Arial Unicode MS;Arial">
    <w:altName w:val="Arial"/>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9"/>
      <w:jc w:val="center"/>
    </w:pPr>
    <w:r>
      <w:rPr>
        <w:rStyle w:val="41"/>
        <w:rFonts w:ascii="Calibri" w:hAnsi="Calibri" w:eastAsia="SimSun" w:cs="Times New Roman"/>
        <w:color w:val="000000"/>
        <w:kern w:val="0"/>
        <w:sz w:val="18"/>
        <w:szCs w:val="18"/>
        <w:u w:val="none"/>
        <w:lang w:val="pt-BR" w:eastAsia="zh-CN" w:bidi="ar-SA"/>
      </w:rPr>
      <w:t>EDITAL</w:t>
    </w:r>
    <w:r>
      <w:rPr>
        <w:rStyle w:val="41"/>
        <w:rFonts w:ascii="Calibri" w:hAnsi="Calibri"/>
        <w:color w:val="000000"/>
        <w:sz w:val="18"/>
        <w:szCs w:val="18"/>
        <w:u w:val="none"/>
      </w:rPr>
      <w:t xml:space="preserve"> nº </w:t>
    </w:r>
    <w:r>
      <w:rPr>
        <w:rStyle w:val="41"/>
        <w:rFonts w:ascii="Calibri" w:hAnsi="Calibri" w:eastAsia="SimSun" w:cs="Times New Roman"/>
        <w:color w:val="000000"/>
        <w:kern w:val="0"/>
        <w:sz w:val="18"/>
        <w:szCs w:val="18"/>
        <w:u w:val="none"/>
        <w:lang w:val="pt-BR" w:eastAsia="zh-CN" w:bidi="ar-SA"/>
      </w:rPr>
      <w:t>1176/2023</w:t>
    </w:r>
    <w:r>
      <w:rPr>
        <w:rStyle w:val="41"/>
        <w:rFonts w:ascii="Calibri" w:hAnsi="Calibri"/>
        <w:color w:val="000000"/>
        <w:sz w:val="18"/>
        <w:szCs w:val="18"/>
        <w:u w:val="none"/>
      </w:rPr>
      <w:t xml:space="preserve"> – SES </w:t>
    </w:r>
    <w:r>
      <w:rPr>
        <w:rStyle w:val="41"/>
        <w:rFonts w:ascii="Calibri" w:hAnsi="Calibri" w:eastAsia="SimSun" w:cs="Times New Roman"/>
        <w:color w:val="000000"/>
        <w:kern w:val="0"/>
        <w:sz w:val="18"/>
        <w:szCs w:val="18"/>
        <w:u w:val="none"/>
        <w:lang w:val="pt-BR" w:eastAsia="zh-CN" w:bidi="ar-SA"/>
      </w:rPr>
      <w:t>58793/2023</w:t>
    </w:r>
    <w:r>
      <w:rPr>
        <w:rStyle w:val="41"/>
        <w:rFonts w:ascii="Calibri" w:hAnsi="Calibri"/>
        <w:color w:val="000000"/>
        <w:sz w:val="18"/>
        <w:szCs w:val="18"/>
        <w:u w:val="none"/>
      </w:rPr>
      <w:t xml:space="preserve"> </w:t>
    </w:r>
  </w:p>
  <w:p>
    <w:pPr>
      <w:pStyle w:val="19"/>
      <w:jc w:val="center"/>
      <w:rPr>
        <w:rFonts w:ascii="Calibri" w:hAnsi="Calibri"/>
      </w:rPr>
    </w:pPr>
    <w:r>
      <w:rPr>
        <w:rFonts w:ascii="Calibri" w:hAnsi="Calibri"/>
        <w:sz w:val="18"/>
        <w:szCs w:val="18"/>
      </w:rPr>
      <w:t>Rua Esteves Júnior, 160 – 2º andar. Centro – Florianópolis/SC – 88.015-130</w:t>
    </w:r>
  </w:p>
  <w:p>
    <w:pPr>
      <w:pStyle w:val="19"/>
      <w:jc w:val="center"/>
    </w:pPr>
    <w:r>
      <w:rPr>
        <w:rFonts w:ascii="Calibri" w:hAnsi="Calibri"/>
        <w:sz w:val="18"/>
        <w:szCs w:val="18"/>
      </w:rPr>
      <w:t>Telefone: (48) 3664-</w:t>
    </w:r>
    <w:r>
      <w:rPr>
        <w:rFonts w:ascii="Calibri" w:hAnsi="Calibri" w:eastAsia="SimSun" w:cs="Times New Roman"/>
        <w:color w:val="000000"/>
        <w:kern w:val="0"/>
        <w:sz w:val="18"/>
        <w:szCs w:val="18"/>
        <w:lang w:val="pt-BR" w:eastAsia="zh-CN" w:bidi="ar-SA"/>
      </w:rPr>
      <w:t>8753</w:t>
    </w:r>
    <w:r>
      <w:rPr>
        <w:rFonts w:ascii="Calibri" w:hAnsi="Calibri"/>
        <w:sz w:val="18"/>
        <w:szCs w:val="18"/>
      </w:rPr>
      <w:t xml:space="preserve"> – E-mail: </w:t>
    </w:r>
    <w:r>
      <w:rPr>
        <w:rStyle w:val="41"/>
        <w:rFonts w:ascii="Calibri" w:hAnsi="Calibri" w:eastAsia="SimSun" w:cs="Times New Roman"/>
        <w:color w:val="000000"/>
        <w:kern w:val="0"/>
        <w:sz w:val="18"/>
        <w:szCs w:val="18"/>
        <w:u w:val="none"/>
        <w:lang w:val="pt-BR" w:eastAsia="zh-CN" w:bidi="ar-SA"/>
      </w:rPr>
      <w:t>dlic</w:t>
    </w:r>
    <w:r>
      <w:fldChar w:fldCharType="begin"/>
    </w:r>
    <w:r>
      <w:instrText xml:space="preserve"> HYPERLINK "mailto:editais@saude.sc.gov.br" \h </w:instrText>
    </w:r>
    <w:r>
      <w:fldChar w:fldCharType="separate"/>
    </w:r>
    <w:r>
      <w:rPr>
        <w:rStyle w:val="41"/>
        <w:rFonts w:ascii="Calibri" w:hAnsi="Calibri"/>
        <w:color w:val="000000"/>
        <w:sz w:val="18"/>
        <w:szCs w:val="18"/>
        <w:u w:val="none"/>
      </w:rPr>
      <w:t>@saude.sc.gov.br</w:t>
    </w:r>
    <w:r>
      <w:rPr>
        <w:rStyle w:val="41"/>
        <w:rFonts w:ascii="Calibri" w:hAnsi="Calibri"/>
        <w:color w:val="000000"/>
        <w:sz w:val="18"/>
        <w:szCs w:val="18"/>
        <w:u w:val="none"/>
      </w:rPr>
      <w:fldChar w:fldCharType="end"/>
    </w:r>
  </w:p>
  <w:p>
    <w:pPr>
      <w:pStyle w:val="19"/>
      <w:jc w:val="center"/>
    </w:pPr>
    <w:r>
      <w:rPr>
        <w:rStyle w:val="41"/>
        <w:rFonts w:ascii="Calibri" w:hAnsi="Calibri"/>
        <w:color w:val="000000"/>
        <w:sz w:val="18"/>
        <w:szCs w:val="18"/>
        <w:u w:val="none"/>
      </w:rPr>
      <w:t>JRB</w:t>
    </w:r>
  </w:p>
  <w:p>
    <w:pPr>
      <w:pStyle w:val="19"/>
      <w:jc w:val="center"/>
      <w:rPr>
        <w:rFonts w:ascii="Calibri" w:hAnsi="Calibri"/>
      </w:rPr>
    </w:pPr>
    <w:r>
      <w:rPr>
        <w:rFonts w:ascii="Calibri" w:hAnsi="Calibri"/>
        <w:sz w:val="18"/>
        <w:szCs w:val="18"/>
      </w:rPr>
      <w:t xml:space="preserve">Página </w:t>
    </w:r>
    <w:r>
      <w:rPr>
        <w:rFonts w:ascii="Calibri" w:hAnsi="Calibri"/>
        <w:sz w:val="18"/>
        <w:szCs w:val="18"/>
      </w:rPr>
      <w:fldChar w:fldCharType="begin"/>
    </w:r>
    <w:r>
      <w:rPr>
        <w:rFonts w:ascii="Calibri" w:hAnsi="Calibri"/>
        <w:sz w:val="18"/>
        <w:szCs w:val="18"/>
      </w:rPr>
      <w:instrText xml:space="preserve">PAGE</w:instrText>
    </w:r>
    <w:r>
      <w:rPr>
        <w:rFonts w:ascii="Calibri" w:hAnsi="Calibri"/>
        <w:sz w:val="18"/>
        <w:szCs w:val="18"/>
      </w:rPr>
      <w:fldChar w:fldCharType="separate"/>
    </w:r>
    <w:r>
      <w:rPr>
        <w:rFonts w:ascii="Calibri" w:hAnsi="Calibri"/>
        <w:sz w:val="18"/>
        <w:szCs w:val="18"/>
      </w:rPr>
      <w:t>37</w:t>
    </w:r>
    <w:r>
      <w:rPr>
        <w:rFonts w:ascii="Calibri" w:hAnsi="Calibri"/>
        <w:sz w:val="18"/>
        <w:szCs w:val="18"/>
      </w:rPr>
      <w:fldChar w:fldCharType="end"/>
    </w:r>
    <w:r>
      <w:rPr>
        <w:rFonts w:ascii="Calibri" w:hAnsi="Calibri"/>
        <w:sz w:val="18"/>
        <w:szCs w:val="18"/>
      </w:rPr>
      <w:t xml:space="preserve"> de </w:t>
    </w:r>
    <w:r>
      <w:rPr>
        <w:rFonts w:ascii="Calibri" w:hAnsi="Calibri"/>
        <w:sz w:val="18"/>
        <w:szCs w:val="18"/>
      </w:rPr>
      <w:fldChar w:fldCharType="begin"/>
    </w:r>
    <w:r>
      <w:rPr>
        <w:rFonts w:ascii="Calibri" w:hAnsi="Calibri"/>
        <w:sz w:val="18"/>
        <w:szCs w:val="18"/>
      </w:rPr>
      <w:instrText xml:space="preserve">NUMPAGES</w:instrText>
    </w:r>
    <w:r>
      <w:rPr>
        <w:rFonts w:ascii="Calibri" w:hAnsi="Calibri"/>
        <w:sz w:val="18"/>
        <w:szCs w:val="18"/>
      </w:rPr>
      <w:fldChar w:fldCharType="separate"/>
    </w:r>
    <w:r>
      <w:rPr>
        <w:rFonts w:ascii="Calibri" w:hAnsi="Calibri"/>
        <w:sz w:val="18"/>
        <w:szCs w:val="18"/>
      </w:rPr>
      <w:t>37</w:t>
    </w:r>
    <w:r>
      <w:rPr>
        <w:rFonts w:ascii="Calibri" w:hAnsi="Calibri"/>
        <w:sz w:val="18"/>
        <w:szCs w:val="18"/>
      </w:rPr>
      <w:fldChar w:fldCharType="end"/>
    </w:r>
  </w:p>
  <w:p>
    <w:pPr>
      <w:pStyle w:val="19"/>
      <w:jc w:val="center"/>
    </w:pPr>
  </w:p>
  <w:p>
    <w:pPr>
      <w:pStyle w:val="19"/>
      <w:spacing w:line="0" w:lineRule="atLeast"/>
      <w:jc w:val="cen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p>
    <w:pPr>
      <w:pStyle w:val="16"/>
      <w:spacing w:line="0" w:lineRule="atLeast"/>
      <w:rPr>
        <w:rFonts w:ascii="Calibri" w:hAnsi="Calibri" w:cs="Calibri"/>
        <w:sz w:val="24"/>
        <w:szCs w:val="24"/>
        <w:lang w:val="pt-BR" w:eastAsia="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88B902"/>
    <w:multiLevelType w:val="multilevel"/>
    <w:tmpl w:val="9288B902"/>
    <w:lvl w:ilvl="0" w:tentative="0">
      <w:start w:val="1"/>
      <w:numFmt w:val="bullet"/>
      <w:pStyle w:val="668"/>
      <w:lvlText w:val=""/>
      <w:lvlJc w:val="left"/>
      <w:pPr>
        <w:tabs>
          <w:tab w:val="left" w:pos="0"/>
        </w:tabs>
        <w:ind w:left="360" w:hanging="360"/>
      </w:pPr>
      <w:rPr>
        <w:rFonts w:hint="default" w:ascii="Wingdings" w:hAnsi="Wingdings" w:cs="Wingdings"/>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abstractNum w:abstractNumId="1">
    <w:nsid w:val="39A0D9AC"/>
    <w:multiLevelType w:val="multilevel"/>
    <w:tmpl w:val="39A0D9AC"/>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2">
    <w:nsid w:val="629F7852"/>
    <w:multiLevelType w:val="multilevel"/>
    <w:tmpl w:val="629F7852"/>
    <w:lvl w:ilvl="0" w:tentative="0">
      <w:start w:val="1"/>
      <w:numFmt w:val="decimal"/>
      <w:pStyle w:val="656"/>
      <w:lvlText w:val="%1."/>
      <w:lvlJc w:val="left"/>
      <w:pPr>
        <w:tabs>
          <w:tab w:val="left" w:pos="0"/>
        </w:tabs>
        <w:ind w:left="720" w:hanging="360"/>
      </w:pPr>
      <w:rPr>
        <w:color w:val="000000"/>
        <w:sz w:val="24"/>
      </w:rPr>
    </w:lvl>
    <w:lvl w:ilvl="1" w:tentative="0">
      <w:start w:val="1"/>
      <w:numFmt w:val="decimal"/>
      <w:lvlText w:val="%2."/>
      <w:lvlJc w:val="left"/>
      <w:pPr>
        <w:tabs>
          <w:tab w:val="left" w:pos="1080"/>
        </w:tabs>
        <w:ind w:left="1080" w:hanging="360"/>
      </w:pPr>
    </w:lvl>
    <w:lvl w:ilvl="2" w:tentative="0">
      <w:start w:val="1"/>
      <w:numFmt w:val="decimal"/>
      <w:lvlText w:val="%3."/>
      <w:lvlJc w:val="left"/>
      <w:pPr>
        <w:tabs>
          <w:tab w:val="left" w:pos="1440"/>
        </w:tabs>
        <w:ind w:left="1440" w:hanging="360"/>
      </w:pPr>
    </w:lvl>
    <w:lvl w:ilvl="3" w:tentative="0">
      <w:start w:val="1"/>
      <w:numFmt w:val="decimal"/>
      <w:lvlText w:val="%4."/>
      <w:lvlJc w:val="left"/>
      <w:pPr>
        <w:tabs>
          <w:tab w:val="left" w:pos="1800"/>
        </w:tabs>
        <w:ind w:left="1800" w:hanging="360"/>
      </w:pPr>
    </w:lvl>
    <w:lvl w:ilvl="4" w:tentative="0">
      <w:start w:val="1"/>
      <w:numFmt w:val="decimal"/>
      <w:lvlText w:val="%5."/>
      <w:lvlJc w:val="left"/>
      <w:pPr>
        <w:tabs>
          <w:tab w:val="left" w:pos="2160"/>
        </w:tabs>
        <w:ind w:left="2160" w:hanging="360"/>
      </w:pPr>
    </w:lvl>
    <w:lvl w:ilvl="5" w:tentative="0">
      <w:start w:val="1"/>
      <w:numFmt w:val="decimal"/>
      <w:lvlText w:val="%6."/>
      <w:lvlJc w:val="left"/>
      <w:pPr>
        <w:tabs>
          <w:tab w:val="left" w:pos="2520"/>
        </w:tabs>
        <w:ind w:left="2520" w:hanging="360"/>
      </w:pPr>
    </w:lvl>
    <w:lvl w:ilvl="6" w:tentative="0">
      <w:start w:val="1"/>
      <w:numFmt w:val="decimal"/>
      <w:lvlText w:val="%7."/>
      <w:lvlJc w:val="left"/>
      <w:pPr>
        <w:tabs>
          <w:tab w:val="left" w:pos="2880"/>
        </w:tabs>
        <w:ind w:left="2880" w:hanging="360"/>
      </w:pPr>
    </w:lvl>
    <w:lvl w:ilvl="7" w:tentative="0">
      <w:start w:val="1"/>
      <w:numFmt w:val="decimal"/>
      <w:lvlText w:val="%8."/>
      <w:lvlJc w:val="left"/>
      <w:pPr>
        <w:tabs>
          <w:tab w:val="left" w:pos="3240"/>
        </w:tabs>
        <w:ind w:left="3240" w:hanging="360"/>
      </w:pPr>
    </w:lvl>
    <w:lvl w:ilvl="8" w:tentative="0">
      <w:start w:val="1"/>
      <w:numFmt w:val="decimal"/>
      <w:lvlText w:val="%9."/>
      <w:lvlJc w:val="left"/>
      <w:pPr>
        <w:tabs>
          <w:tab w:val="left" w:pos="3600"/>
        </w:tabs>
        <w:ind w:left="360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2"/>
  <w:documentProtection w:enforcement="0"/>
  <w:defaultTabStop w:val="709"/>
  <w:autoHyphenation/>
  <w:footnotePr>
    <w:footnote w:id="0"/>
    <w:footnote w:id="1"/>
  </w:footnotePr>
  <w:compat>
    <w:noLeading/>
    <w:doNotExpandShiftReturn/>
    <w:compatSetting w:name="compatibilityMode" w:uri="http://schemas.microsoft.com/office/word" w:val="12"/>
  </w:compat>
  <w:rsids>
    <w:rsidRoot w:val="00000000"/>
    <w:rsid w:val="047537C7"/>
    <w:rsid w:val="202C1418"/>
    <w:rsid w:val="67855E47"/>
    <w:rsid w:val="7D4251FC"/>
  </w:rsids>
  <m:mathPr>
    <m:brkBin m:val="before"/>
    <m:brkBinSub m:val="--"/>
    <m:smallFrac m:val="0"/>
    <m:dispDef/>
    <m:lMargin m:val="0"/>
    <m:rMargin m:val="0"/>
    <m:defJc m:val="centerGroup"/>
    <m:wrapIndent m:val="1440"/>
    <m:intLim m:val="subSup"/>
    <m:naryLim m:val="undOvr"/>
  </m:mathPr>
  <w:themeFontLang w:val="zh-CN" w:eastAsia="zh-CN" w:bidi="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atentStyles>
  <w:style w:type="paragraph" w:default="1" w:styleId="1">
    <w:name w:val="Normal"/>
    <w:next w:val="2"/>
    <w:qFormat/>
    <w:uiPriority w:val="0"/>
    <w:pPr>
      <w:widowControl/>
      <w:suppressAutoHyphens/>
      <w:overflowPunct/>
      <w:bidi w:val="0"/>
      <w:spacing w:before="0" w:after="0"/>
      <w:jc w:val="left"/>
    </w:pPr>
    <w:rPr>
      <w:rFonts w:ascii="Times New Roman" w:hAnsi="Times New Roman" w:eastAsia="SimSun" w:cs="Times New Roman"/>
      <w:color w:val="000000"/>
      <w:kern w:val="0"/>
      <w:sz w:val="24"/>
      <w:szCs w:val="24"/>
      <w:lang w:val="pt-BR" w:eastAsia="zh-CN" w:bidi="ar-SA"/>
    </w:rPr>
  </w:style>
  <w:style w:type="paragraph" w:styleId="3">
    <w:name w:val="heading 1"/>
    <w:basedOn w:val="1"/>
    <w:next w:val="1"/>
    <w:qFormat/>
    <w:uiPriority w:val="0"/>
    <w:pPr>
      <w:widowControl w:val="0"/>
      <w:suppressAutoHyphens w:val="0"/>
      <w:spacing w:before="115" w:after="0"/>
      <w:ind w:left="1703" w:right="0" w:hanging="348"/>
      <w:outlineLvl w:val="0"/>
    </w:pPr>
    <w:rPr>
      <w:rFonts w:ascii="Arial" w:hAnsi="Arial" w:eastAsia="Arial" w:cs="Arial"/>
      <w:b/>
      <w:bCs/>
      <w:sz w:val="20"/>
      <w:szCs w:val="20"/>
      <w:lang w:val="en-US"/>
    </w:rPr>
  </w:style>
  <w:style w:type="paragraph" w:styleId="4">
    <w:name w:val="heading 2"/>
    <w:basedOn w:val="1"/>
    <w:next w:val="1"/>
    <w:qFormat/>
    <w:uiPriority w:val="0"/>
    <w:pPr>
      <w:widowControl w:val="0"/>
      <w:suppressAutoHyphens w:val="0"/>
      <w:ind w:left="168" w:right="0" w:firstLine="0"/>
      <w:outlineLvl w:val="1"/>
    </w:pPr>
    <w:rPr>
      <w:rFonts w:ascii="Arial" w:hAnsi="Arial" w:eastAsia="Arial" w:cs="Arial"/>
      <w:b/>
      <w:bCs/>
      <w:sz w:val="12"/>
      <w:szCs w:val="12"/>
      <w:lang w:val="pt-PT"/>
    </w:rPr>
  </w:style>
  <w:style w:type="paragraph" w:styleId="5">
    <w:name w:val="heading 3"/>
    <w:basedOn w:val="1"/>
    <w:next w:val="1"/>
    <w:qFormat/>
    <w:uiPriority w:val="0"/>
    <w:pPr>
      <w:keepNext/>
      <w:tabs>
        <w:tab w:val="left" w:pos="0"/>
      </w:tabs>
      <w:jc w:val="center"/>
      <w:outlineLvl w:val="2"/>
    </w:pPr>
    <w:rPr>
      <w:b/>
      <w:sz w:val="20"/>
      <w:szCs w:val="20"/>
    </w:rPr>
  </w:style>
  <w:style w:type="paragraph" w:styleId="6">
    <w:name w:val="heading 4"/>
    <w:basedOn w:val="1"/>
    <w:next w:val="1"/>
    <w:qFormat/>
    <w:uiPriority w:val="0"/>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outlineLvl w:val="3"/>
    </w:pPr>
    <w:rPr>
      <w:b/>
      <w:sz w:val="28"/>
      <w:szCs w:val="20"/>
    </w:rPr>
  </w:style>
  <w:style w:type="paragraph" w:styleId="7">
    <w:name w:val="heading 5"/>
    <w:basedOn w:val="1"/>
    <w:next w:val="1"/>
    <w:qFormat/>
    <w:uiPriority w:val="0"/>
    <w:pPr>
      <w:keepNext/>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outlineLvl w:val="4"/>
    </w:pPr>
    <w:rPr>
      <w:b/>
      <w:szCs w:val="20"/>
    </w:rPr>
  </w:style>
  <w:style w:type="paragraph" w:styleId="8">
    <w:name w:val="heading 6"/>
    <w:basedOn w:val="1"/>
    <w:next w:val="1"/>
    <w:qFormat/>
    <w:uiPriority w:val="0"/>
    <w:pPr>
      <w:keepNext/>
      <w:tabs>
        <w:tab w:val="left" w:pos="0"/>
      </w:tabs>
      <w:outlineLvl w:val="5"/>
    </w:pPr>
    <w:rPr>
      <w:b/>
      <w:bCs/>
      <w:sz w:val="20"/>
    </w:rPr>
  </w:style>
  <w:style w:type="paragraph" w:styleId="9">
    <w:name w:val="heading 7"/>
    <w:basedOn w:val="1"/>
    <w:next w:val="1"/>
    <w:qFormat/>
    <w:uiPriority w:val="0"/>
    <w:pPr>
      <w:keepNext/>
      <w:tabs>
        <w:tab w:val="left" w:pos="0"/>
      </w:tabs>
      <w:jc w:val="center"/>
      <w:outlineLvl w:val="6"/>
    </w:pPr>
    <w:rPr>
      <w:b/>
      <w:szCs w:val="20"/>
      <w:lang w:val="en-US"/>
    </w:rPr>
  </w:style>
  <w:style w:type="paragraph" w:styleId="10">
    <w:name w:val="heading 8"/>
    <w:basedOn w:val="1"/>
    <w:next w:val="1"/>
    <w:qFormat/>
    <w:uiPriority w:val="0"/>
    <w:pPr>
      <w:keepNext/>
      <w:tabs>
        <w:tab w:val="left" w:pos="0"/>
      </w:tabs>
      <w:jc w:val="center"/>
      <w:outlineLvl w:val="7"/>
    </w:pPr>
    <w:rPr>
      <w:b/>
      <w:bCs/>
      <w:sz w:val="22"/>
    </w:rPr>
  </w:style>
  <w:style w:type="paragraph" w:styleId="11">
    <w:name w:val="heading 9"/>
    <w:basedOn w:val="1"/>
    <w:next w:val="1"/>
    <w:qFormat/>
    <w:uiPriority w:val="0"/>
    <w:pPr>
      <w:keepNext/>
      <w:tabs>
        <w:tab w:val="left" w:pos="0"/>
      </w:tabs>
      <w:jc w:val="center"/>
      <w:outlineLvl w:val="8"/>
    </w:pPr>
    <w:rPr>
      <w:b/>
      <w:bCs/>
      <w:sz w:val="22"/>
      <w:szCs w:val="20"/>
    </w:rPr>
  </w:style>
  <w:style w:type="character" w:default="1" w:styleId="12">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customStyle="1" w:styleId="2">
    <w:name w:val="LO-normal"/>
    <w:qFormat/>
    <w:uiPriority w:val="0"/>
    <w:pPr>
      <w:widowControl/>
      <w:suppressAutoHyphens/>
      <w:overflowPunct/>
      <w:bidi w:val="0"/>
      <w:spacing w:before="0" w:after="0"/>
      <w:jc w:val="left"/>
    </w:pPr>
    <w:rPr>
      <w:rFonts w:ascii="Times New Roman" w:hAnsi="Times New Roman" w:eastAsia="NSimSun" w:cs="Lucida Sans"/>
      <w:color w:val="000000"/>
      <w:kern w:val="0"/>
      <w:sz w:val="24"/>
      <w:szCs w:val="24"/>
      <w:lang w:val="pt-BR" w:eastAsia="zh-CN" w:bidi="hi-IN"/>
    </w:rPr>
  </w:style>
  <w:style w:type="character" w:styleId="14">
    <w:name w:val="Strong"/>
    <w:qFormat/>
    <w:uiPriority w:val="0"/>
    <w:rPr>
      <w:b/>
      <w:bCs/>
    </w:rPr>
  </w:style>
  <w:style w:type="paragraph" w:styleId="15">
    <w:name w:val="List"/>
    <w:basedOn w:val="1"/>
    <w:qFormat/>
    <w:uiPriority w:val="0"/>
    <w:pPr>
      <w:ind w:left="283" w:right="0" w:hanging="283"/>
    </w:pPr>
    <w:rPr>
      <w:szCs w:val="20"/>
    </w:rPr>
  </w:style>
  <w:style w:type="paragraph" w:styleId="16">
    <w:name w:val="Body Text"/>
    <w:basedOn w:val="1"/>
    <w:qFormat/>
    <w:uiPriority w:val="0"/>
    <w:pPr>
      <w:tabs>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both"/>
    </w:pPr>
    <w:rPr>
      <w:szCs w:val="20"/>
    </w:rPr>
  </w:style>
  <w:style w:type="paragraph" w:styleId="17">
    <w:name w:val="Body Text 2"/>
    <w:basedOn w:val="1"/>
    <w:qFormat/>
    <w:uiPriority w:val="0"/>
    <w:pPr>
      <w:suppressAutoHyphens w:val="0"/>
      <w:ind w:left="0" w:right="0" w:firstLine="2835"/>
      <w:jc w:val="both"/>
    </w:pPr>
    <w:rPr>
      <w:szCs w:val="20"/>
    </w:rPr>
  </w:style>
  <w:style w:type="paragraph" w:styleId="18">
    <w:name w:val="header"/>
    <w:basedOn w:val="1"/>
    <w:qFormat/>
    <w:uiPriority w:val="0"/>
    <w:pPr>
      <w:tabs>
        <w:tab w:val="center" w:pos="4320"/>
        <w:tab w:val="right" w:pos="8640"/>
      </w:tabs>
    </w:pPr>
    <w:rPr>
      <w:rFonts w:ascii="Times New (W1);Times New Roman" w:hAnsi="Times New (W1);Times New Roman" w:cs="Times New (W1);Times New Roman"/>
      <w:sz w:val="20"/>
      <w:szCs w:val="20"/>
      <w:lang w:val="en-US"/>
    </w:rPr>
  </w:style>
  <w:style w:type="paragraph" w:styleId="19">
    <w:name w:val="footer"/>
    <w:basedOn w:val="1"/>
    <w:qFormat/>
    <w:uiPriority w:val="0"/>
    <w:pPr>
      <w:tabs>
        <w:tab w:val="center" w:pos="4419"/>
        <w:tab w:val="right" w:pos="8838"/>
      </w:tabs>
    </w:pPr>
  </w:style>
  <w:style w:type="paragraph" w:styleId="20">
    <w:name w:val="caption"/>
    <w:basedOn w:val="1"/>
    <w:next w:val="1"/>
    <w:qFormat/>
    <w:uiPriority w:val="0"/>
    <w:pPr>
      <w:suppressLineNumbers/>
      <w:spacing w:before="120" w:after="120"/>
    </w:pPr>
    <w:rPr>
      <w:rFonts w:cs="Mangal;Linux Libertine G"/>
      <w:i/>
      <w:iCs/>
      <w:sz w:val="24"/>
      <w:szCs w:val="24"/>
    </w:rPr>
  </w:style>
  <w:style w:type="paragraph" w:styleId="21">
    <w:name w:val="Body Text Indent 3"/>
    <w:basedOn w:val="1"/>
    <w:qFormat/>
    <w:uiPriority w:val="0"/>
    <w:pPr>
      <w:tabs>
        <w:tab w:val="left" w:pos="1247"/>
        <w:tab w:val="left" w:pos="1418"/>
      </w:tabs>
      <w:suppressAutoHyphens w:val="0"/>
      <w:overflowPunct w:val="0"/>
      <w:ind w:left="0" w:right="0" w:firstLine="567"/>
      <w:jc w:val="both"/>
    </w:pPr>
    <w:rPr>
      <w:szCs w:val="20"/>
    </w:rPr>
  </w:style>
  <w:style w:type="paragraph" w:styleId="22">
    <w:name w:val="Subtitle"/>
    <w:basedOn w:val="1"/>
    <w:next w:val="16"/>
    <w:qFormat/>
    <w:uiPriority w:val="0"/>
    <w:pPr>
      <w:shd w:val="clear" w:fill="E5E5E5"/>
      <w:jc w:val="center"/>
    </w:pPr>
    <w:rPr>
      <w:rFonts w:ascii="Garamond" w:hAnsi="Garamond" w:cs="Garamond"/>
      <w:b/>
      <w:shadow/>
    </w:rPr>
  </w:style>
  <w:style w:type="paragraph" w:styleId="23">
    <w:name w:val="footnote text"/>
    <w:basedOn w:val="1"/>
    <w:qFormat/>
    <w:uiPriority w:val="0"/>
    <w:rPr>
      <w:sz w:val="20"/>
      <w:szCs w:val="20"/>
      <w:lang w:val="en-US"/>
    </w:rPr>
  </w:style>
  <w:style w:type="paragraph" w:styleId="24">
    <w:name w:val="Body Text Indent"/>
    <w:basedOn w:val="1"/>
    <w:qFormat/>
    <w:uiPriority w:val="0"/>
    <w:pPr>
      <w:spacing w:before="0" w:after="120"/>
      <w:ind w:left="283" w:right="0" w:firstLine="0"/>
    </w:pPr>
    <w:rPr>
      <w:szCs w:val="20"/>
    </w:rPr>
  </w:style>
  <w:style w:type="character" w:customStyle="1" w:styleId="25">
    <w:name w:val="WW8Num1z0"/>
    <w:qFormat/>
    <w:uiPriority w:val="0"/>
  </w:style>
  <w:style w:type="character" w:customStyle="1" w:styleId="26">
    <w:name w:val="WW8Num1z1"/>
    <w:qFormat/>
    <w:uiPriority w:val="0"/>
  </w:style>
  <w:style w:type="character" w:customStyle="1" w:styleId="27">
    <w:name w:val="WW8Num1z2"/>
    <w:qFormat/>
    <w:uiPriority w:val="0"/>
  </w:style>
  <w:style w:type="character" w:customStyle="1" w:styleId="28">
    <w:name w:val="WW8Num1z3"/>
    <w:qFormat/>
    <w:uiPriority w:val="0"/>
  </w:style>
  <w:style w:type="character" w:customStyle="1" w:styleId="29">
    <w:name w:val="WW8Num1z4"/>
    <w:qFormat/>
    <w:uiPriority w:val="0"/>
  </w:style>
  <w:style w:type="character" w:customStyle="1" w:styleId="30">
    <w:name w:val="WW8Num1z5"/>
    <w:qFormat/>
    <w:uiPriority w:val="0"/>
  </w:style>
  <w:style w:type="character" w:customStyle="1" w:styleId="31">
    <w:name w:val="WW8Num1z6"/>
    <w:qFormat/>
    <w:uiPriority w:val="0"/>
  </w:style>
  <w:style w:type="character" w:customStyle="1" w:styleId="32">
    <w:name w:val="WW8Num1z7"/>
    <w:qFormat/>
    <w:uiPriority w:val="0"/>
  </w:style>
  <w:style w:type="character" w:customStyle="1" w:styleId="33">
    <w:name w:val="WW8Num1z8"/>
    <w:qFormat/>
    <w:uiPriority w:val="0"/>
  </w:style>
  <w:style w:type="character" w:customStyle="1" w:styleId="34">
    <w:name w:val="WW8Num2z0"/>
    <w:qFormat/>
    <w:uiPriority w:val="0"/>
    <w:rPr>
      <w:color w:val="000000"/>
      <w:sz w:val="24"/>
    </w:rPr>
  </w:style>
  <w:style w:type="character" w:customStyle="1" w:styleId="35">
    <w:name w:val="WW8Num3z0"/>
    <w:qFormat/>
    <w:uiPriority w:val="0"/>
    <w:rPr>
      <w:rFonts w:ascii="Wingdings" w:hAnsi="Wingdings" w:cs="Wingdings"/>
    </w:rPr>
  </w:style>
  <w:style w:type="character" w:customStyle="1" w:styleId="36">
    <w:name w:val="WW8Num4z0"/>
    <w:qFormat/>
    <w:uiPriority w:val="0"/>
    <w:rPr>
      <w:rFonts w:ascii="Arial" w:hAnsi="Arial" w:eastAsia="Arial" w:cs="Arial"/>
      <w:b/>
      <w:bCs/>
      <w:spacing w:val="-1"/>
      <w:w w:val="99"/>
      <w:sz w:val="20"/>
      <w:szCs w:val="20"/>
      <w:lang w:val="pt-PT" w:bidi="ar-SA"/>
    </w:rPr>
  </w:style>
  <w:style w:type="character" w:customStyle="1" w:styleId="37">
    <w:name w:val="WW8Num5z0"/>
    <w:qFormat/>
    <w:uiPriority w:val="0"/>
    <w:rPr>
      <w:rFonts w:ascii="Arial" w:hAnsi="Arial" w:eastAsia="Arial" w:cs="Arial"/>
      <w:b/>
      <w:bCs/>
      <w:spacing w:val="-1"/>
      <w:w w:val="99"/>
      <w:sz w:val="20"/>
      <w:szCs w:val="20"/>
      <w:lang w:val="pt-PT" w:bidi="ar-SA"/>
    </w:rPr>
  </w:style>
  <w:style w:type="character" w:customStyle="1" w:styleId="38">
    <w:name w:val="WW8Num6z0"/>
    <w:qFormat/>
    <w:uiPriority w:val="0"/>
    <w:rPr>
      <w:rFonts w:ascii="Arial" w:hAnsi="Arial" w:eastAsia="Arial" w:cs="Arial"/>
      <w:b/>
      <w:bCs/>
      <w:spacing w:val="-1"/>
      <w:w w:val="99"/>
      <w:sz w:val="20"/>
      <w:szCs w:val="20"/>
      <w:lang w:val="pt-PT" w:bidi="ar-SA"/>
    </w:rPr>
  </w:style>
  <w:style w:type="character" w:customStyle="1" w:styleId="39">
    <w:name w:val="Fonte parág. padrão122"/>
    <w:qFormat/>
    <w:uiPriority w:val="0"/>
  </w:style>
  <w:style w:type="character" w:customStyle="1" w:styleId="40">
    <w:name w:val="Link da internet visitado"/>
    <w:qFormat/>
    <w:uiPriority w:val="0"/>
    <w:rPr>
      <w:color w:val="800080"/>
      <w:u w:val="single"/>
    </w:rPr>
  </w:style>
  <w:style w:type="character" w:customStyle="1" w:styleId="41">
    <w:name w:val="Link da Internet"/>
    <w:qFormat/>
    <w:uiPriority w:val="0"/>
    <w:rPr>
      <w:color w:val="0000FF"/>
      <w:u w:val="single"/>
    </w:rPr>
  </w:style>
  <w:style w:type="character" w:customStyle="1" w:styleId="42">
    <w:name w:val="Número de página1"/>
    <w:qFormat/>
    <w:uiPriority w:val="0"/>
  </w:style>
  <w:style w:type="character" w:customStyle="1" w:styleId="43">
    <w:name w:val="Fonte parág. padrão121"/>
    <w:qFormat/>
    <w:uiPriority w:val="0"/>
  </w:style>
  <w:style w:type="character" w:customStyle="1" w:styleId="44">
    <w:name w:val="Fonte parág. padrão120"/>
    <w:qFormat/>
    <w:uiPriority w:val="0"/>
  </w:style>
  <w:style w:type="character" w:customStyle="1" w:styleId="45">
    <w:name w:val="Fonte parág. padrão119"/>
    <w:qFormat/>
    <w:uiPriority w:val="0"/>
  </w:style>
  <w:style w:type="character" w:customStyle="1" w:styleId="46">
    <w:name w:val="Fonte parág. padrão118"/>
    <w:qFormat/>
    <w:uiPriority w:val="0"/>
  </w:style>
  <w:style w:type="character" w:customStyle="1" w:styleId="47">
    <w:name w:val="Fonte parág. padrão117"/>
    <w:qFormat/>
    <w:uiPriority w:val="0"/>
  </w:style>
  <w:style w:type="character" w:customStyle="1" w:styleId="48">
    <w:name w:val="Fonte parág. padrão116"/>
    <w:qFormat/>
    <w:uiPriority w:val="0"/>
  </w:style>
  <w:style w:type="character" w:customStyle="1" w:styleId="49">
    <w:name w:val="Fonte parág. padrão115"/>
    <w:qFormat/>
    <w:uiPriority w:val="0"/>
  </w:style>
  <w:style w:type="character" w:customStyle="1" w:styleId="50">
    <w:name w:val="Fonte parág. padrão114"/>
    <w:qFormat/>
    <w:uiPriority w:val="0"/>
  </w:style>
  <w:style w:type="character" w:customStyle="1" w:styleId="51">
    <w:name w:val="Fonte parág. padrão113"/>
    <w:qFormat/>
    <w:uiPriority w:val="0"/>
  </w:style>
  <w:style w:type="character" w:customStyle="1" w:styleId="52">
    <w:name w:val="Fonte parág. padrão112"/>
    <w:qFormat/>
    <w:uiPriority w:val="0"/>
  </w:style>
  <w:style w:type="character" w:customStyle="1" w:styleId="53">
    <w:name w:val="Fonte parág. padrão111"/>
    <w:qFormat/>
    <w:uiPriority w:val="0"/>
  </w:style>
  <w:style w:type="character" w:customStyle="1" w:styleId="54">
    <w:name w:val="Fonte parág. padrão110"/>
    <w:qFormat/>
    <w:uiPriority w:val="0"/>
  </w:style>
  <w:style w:type="character" w:customStyle="1" w:styleId="55">
    <w:name w:val="Fonte parág. padrão19"/>
    <w:qFormat/>
    <w:uiPriority w:val="0"/>
  </w:style>
  <w:style w:type="character" w:customStyle="1" w:styleId="56">
    <w:name w:val="Fonte parág. padrão18"/>
    <w:qFormat/>
    <w:uiPriority w:val="0"/>
  </w:style>
  <w:style w:type="character" w:customStyle="1" w:styleId="57">
    <w:name w:val="Fonte parág. padrão17"/>
    <w:qFormat/>
    <w:uiPriority w:val="0"/>
  </w:style>
  <w:style w:type="character" w:customStyle="1" w:styleId="58">
    <w:name w:val="Fonte parág. padrão16"/>
    <w:qFormat/>
    <w:uiPriority w:val="0"/>
  </w:style>
  <w:style w:type="character" w:customStyle="1" w:styleId="59">
    <w:name w:val="Fonte parág. padrão15"/>
    <w:qFormat/>
    <w:uiPriority w:val="0"/>
  </w:style>
  <w:style w:type="character" w:customStyle="1" w:styleId="60">
    <w:name w:val="Fonte parág. padrão14"/>
    <w:qFormat/>
    <w:uiPriority w:val="0"/>
  </w:style>
  <w:style w:type="character" w:customStyle="1" w:styleId="61">
    <w:name w:val="Fonte parág. padrão13"/>
    <w:qFormat/>
    <w:uiPriority w:val="0"/>
  </w:style>
  <w:style w:type="character" w:customStyle="1" w:styleId="62">
    <w:name w:val="Fonte parág. padrão12"/>
    <w:qFormat/>
    <w:uiPriority w:val="0"/>
  </w:style>
  <w:style w:type="character" w:customStyle="1" w:styleId="63">
    <w:name w:val="Fonte parág. padrão4"/>
    <w:qFormat/>
    <w:uiPriority w:val="0"/>
  </w:style>
  <w:style w:type="character" w:customStyle="1" w:styleId="64">
    <w:name w:val="WW-Fonte parág. padrão111111111111111111"/>
    <w:qFormat/>
    <w:uiPriority w:val="0"/>
  </w:style>
  <w:style w:type="character" w:customStyle="1" w:styleId="65">
    <w:name w:val="Fonte parág. padrão11"/>
    <w:qFormat/>
    <w:uiPriority w:val="0"/>
  </w:style>
  <w:style w:type="character" w:customStyle="1" w:styleId="66">
    <w:name w:val="WW8Num2z1"/>
    <w:qFormat/>
    <w:uiPriority w:val="0"/>
  </w:style>
  <w:style w:type="character" w:customStyle="1" w:styleId="67">
    <w:name w:val="WW8Num2z2"/>
    <w:qFormat/>
    <w:uiPriority w:val="0"/>
  </w:style>
  <w:style w:type="character" w:customStyle="1" w:styleId="68">
    <w:name w:val="WW8Num2z3"/>
    <w:qFormat/>
    <w:uiPriority w:val="0"/>
  </w:style>
  <w:style w:type="character" w:customStyle="1" w:styleId="69">
    <w:name w:val="WW8Num2z4"/>
    <w:qFormat/>
    <w:uiPriority w:val="0"/>
  </w:style>
  <w:style w:type="character" w:customStyle="1" w:styleId="70">
    <w:name w:val="WW8Num2z5"/>
    <w:qFormat/>
    <w:uiPriority w:val="0"/>
  </w:style>
  <w:style w:type="character" w:customStyle="1" w:styleId="71">
    <w:name w:val="WW8Num2z6"/>
    <w:qFormat/>
    <w:uiPriority w:val="0"/>
  </w:style>
  <w:style w:type="character" w:customStyle="1" w:styleId="72">
    <w:name w:val="WW8Num2z7"/>
    <w:qFormat/>
    <w:uiPriority w:val="0"/>
  </w:style>
  <w:style w:type="character" w:customStyle="1" w:styleId="73">
    <w:name w:val="WW8Num2z8"/>
    <w:qFormat/>
    <w:uiPriority w:val="0"/>
  </w:style>
  <w:style w:type="character" w:customStyle="1" w:styleId="74">
    <w:name w:val="WW8Num7z0"/>
    <w:qFormat/>
    <w:uiPriority w:val="0"/>
    <w:rPr>
      <w:rFonts w:ascii="Arial" w:hAnsi="Arial" w:eastAsia="Arial" w:cs="Arial"/>
      <w:b/>
      <w:bCs/>
      <w:spacing w:val="-1"/>
      <w:w w:val="99"/>
      <w:sz w:val="20"/>
      <w:szCs w:val="20"/>
      <w:lang w:val="pt-PT" w:bidi="ar-SA"/>
    </w:rPr>
  </w:style>
  <w:style w:type="character" w:customStyle="1" w:styleId="75">
    <w:name w:val="WW8Num7z1"/>
    <w:qFormat/>
    <w:uiPriority w:val="0"/>
    <w:rPr>
      <w:lang w:val="pt-PT" w:bidi="ar-SA"/>
    </w:rPr>
  </w:style>
  <w:style w:type="character" w:customStyle="1" w:styleId="76">
    <w:name w:val="WW8Num8z0"/>
    <w:qFormat/>
    <w:uiPriority w:val="0"/>
    <w:rPr>
      <w:rFonts w:ascii="Arial" w:hAnsi="Arial" w:eastAsia="Arial" w:cs="Arial"/>
      <w:b/>
      <w:bCs/>
      <w:spacing w:val="-1"/>
      <w:w w:val="99"/>
      <w:sz w:val="20"/>
      <w:szCs w:val="20"/>
      <w:lang w:val="pt-PT" w:bidi="ar-SA"/>
    </w:rPr>
  </w:style>
  <w:style w:type="character" w:customStyle="1" w:styleId="77">
    <w:name w:val="WW8Num8z1"/>
    <w:qFormat/>
    <w:uiPriority w:val="0"/>
    <w:rPr>
      <w:lang w:val="pt-PT" w:bidi="ar-SA"/>
    </w:rPr>
  </w:style>
  <w:style w:type="character" w:customStyle="1" w:styleId="78">
    <w:name w:val="WW8Num9z0"/>
    <w:qFormat/>
    <w:uiPriority w:val="0"/>
    <w:rPr>
      <w:b/>
      <w:bCs/>
      <w:spacing w:val="-1"/>
      <w:w w:val="100"/>
    </w:rPr>
  </w:style>
  <w:style w:type="character" w:customStyle="1" w:styleId="79">
    <w:name w:val="WW8Num9z1"/>
    <w:qFormat/>
    <w:uiPriority w:val="0"/>
  </w:style>
  <w:style w:type="character" w:customStyle="1" w:styleId="80">
    <w:name w:val="WW8Num10z0"/>
    <w:qFormat/>
    <w:uiPriority w:val="0"/>
    <w:rPr>
      <w:rFonts w:ascii="Arial" w:hAnsi="Arial" w:eastAsia="Arial" w:cs="Arial"/>
      <w:b/>
      <w:bCs/>
      <w:spacing w:val="-1"/>
      <w:w w:val="99"/>
      <w:sz w:val="20"/>
      <w:szCs w:val="20"/>
      <w:lang w:val="pt-PT" w:bidi="ar-SA"/>
    </w:rPr>
  </w:style>
  <w:style w:type="character" w:customStyle="1" w:styleId="81">
    <w:name w:val="WW8Num10z1"/>
    <w:qFormat/>
    <w:uiPriority w:val="0"/>
    <w:rPr>
      <w:lang w:val="pt-PT" w:bidi="ar-SA"/>
    </w:rPr>
  </w:style>
  <w:style w:type="character" w:customStyle="1" w:styleId="82">
    <w:name w:val="WW8Num11z0"/>
    <w:qFormat/>
    <w:uiPriority w:val="0"/>
    <w:rPr>
      <w:rFonts w:ascii="Arial" w:hAnsi="Arial" w:eastAsia="Arial" w:cs="Arial"/>
      <w:b/>
      <w:bCs/>
      <w:spacing w:val="-1"/>
      <w:w w:val="100"/>
      <w:sz w:val="20"/>
      <w:szCs w:val="20"/>
    </w:rPr>
  </w:style>
  <w:style w:type="character" w:customStyle="1" w:styleId="83">
    <w:name w:val="WW8Num11z1"/>
    <w:qFormat/>
    <w:uiPriority w:val="0"/>
  </w:style>
  <w:style w:type="character" w:customStyle="1" w:styleId="84">
    <w:name w:val="WW8Num12z0"/>
    <w:qFormat/>
    <w:uiPriority w:val="0"/>
    <w:rPr>
      <w:rFonts w:ascii="Arial" w:hAnsi="Arial" w:eastAsia="Arial" w:cs="Arial"/>
      <w:b/>
      <w:bCs/>
      <w:spacing w:val="-1"/>
      <w:w w:val="100"/>
      <w:sz w:val="20"/>
      <w:szCs w:val="20"/>
    </w:rPr>
  </w:style>
  <w:style w:type="character" w:customStyle="1" w:styleId="85">
    <w:name w:val="WW8Num12z1"/>
    <w:qFormat/>
    <w:uiPriority w:val="0"/>
  </w:style>
  <w:style w:type="character" w:customStyle="1" w:styleId="86">
    <w:name w:val="Fonte parág. padrão3"/>
    <w:qFormat/>
    <w:uiPriority w:val="0"/>
  </w:style>
  <w:style w:type="character" w:customStyle="1" w:styleId="87">
    <w:name w:val="WW8Num4z1"/>
    <w:qFormat/>
    <w:uiPriority w:val="0"/>
  </w:style>
  <w:style w:type="character" w:customStyle="1" w:styleId="88">
    <w:name w:val="WW8Num4z2"/>
    <w:qFormat/>
    <w:uiPriority w:val="0"/>
  </w:style>
  <w:style w:type="character" w:customStyle="1" w:styleId="89">
    <w:name w:val="WW8Num4z3"/>
    <w:qFormat/>
    <w:uiPriority w:val="0"/>
  </w:style>
  <w:style w:type="character" w:customStyle="1" w:styleId="90">
    <w:name w:val="WW8Num4z4"/>
    <w:qFormat/>
    <w:uiPriority w:val="0"/>
  </w:style>
  <w:style w:type="character" w:customStyle="1" w:styleId="91">
    <w:name w:val="WW8Num4z5"/>
    <w:qFormat/>
    <w:uiPriority w:val="0"/>
  </w:style>
  <w:style w:type="character" w:customStyle="1" w:styleId="92">
    <w:name w:val="WW8Num4z6"/>
    <w:qFormat/>
    <w:uiPriority w:val="0"/>
  </w:style>
  <w:style w:type="character" w:customStyle="1" w:styleId="93">
    <w:name w:val="WW8Num4z7"/>
    <w:qFormat/>
    <w:uiPriority w:val="0"/>
  </w:style>
  <w:style w:type="character" w:customStyle="1" w:styleId="94">
    <w:name w:val="WW8Num4z8"/>
    <w:qFormat/>
    <w:uiPriority w:val="0"/>
  </w:style>
  <w:style w:type="character" w:customStyle="1" w:styleId="95">
    <w:name w:val="WW8Num5z1"/>
    <w:qFormat/>
    <w:uiPriority w:val="0"/>
  </w:style>
  <w:style w:type="character" w:customStyle="1" w:styleId="96">
    <w:name w:val="WW8Num5z2"/>
    <w:qFormat/>
    <w:uiPriority w:val="0"/>
  </w:style>
  <w:style w:type="character" w:customStyle="1" w:styleId="97">
    <w:name w:val="WW8Num5z3"/>
    <w:qFormat/>
    <w:uiPriority w:val="0"/>
  </w:style>
  <w:style w:type="character" w:customStyle="1" w:styleId="98">
    <w:name w:val="WW8Num5z4"/>
    <w:qFormat/>
    <w:uiPriority w:val="0"/>
  </w:style>
  <w:style w:type="character" w:customStyle="1" w:styleId="99">
    <w:name w:val="WW8Num5z5"/>
    <w:qFormat/>
    <w:uiPriority w:val="0"/>
  </w:style>
  <w:style w:type="character" w:customStyle="1" w:styleId="100">
    <w:name w:val="WW8Num5z6"/>
    <w:qFormat/>
    <w:uiPriority w:val="0"/>
  </w:style>
  <w:style w:type="character" w:customStyle="1" w:styleId="101">
    <w:name w:val="WW8Num5z7"/>
    <w:qFormat/>
    <w:uiPriority w:val="0"/>
  </w:style>
  <w:style w:type="character" w:customStyle="1" w:styleId="102">
    <w:name w:val="WW8Num5z8"/>
    <w:qFormat/>
    <w:uiPriority w:val="0"/>
  </w:style>
  <w:style w:type="character" w:customStyle="1" w:styleId="103">
    <w:name w:val="WW8Num8z2"/>
    <w:qFormat/>
    <w:uiPriority w:val="0"/>
  </w:style>
  <w:style w:type="character" w:customStyle="1" w:styleId="104">
    <w:name w:val="WW8Num8z3"/>
    <w:qFormat/>
    <w:uiPriority w:val="0"/>
  </w:style>
  <w:style w:type="character" w:customStyle="1" w:styleId="105">
    <w:name w:val="WW8Num8z4"/>
    <w:qFormat/>
    <w:uiPriority w:val="0"/>
  </w:style>
  <w:style w:type="character" w:customStyle="1" w:styleId="106">
    <w:name w:val="WW8Num8z5"/>
    <w:qFormat/>
    <w:uiPriority w:val="0"/>
  </w:style>
  <w:style w:type="character" w:customStyle="1" w:styleId="107">
    <w:name w:val="WW8Num8z6"/>
    <w:qFormat/>
    <w:uiPriority w:val="0"/>
  </w:style>
  <w:style w:type="character" w:customStyle="1" w:styleId="108">
    <w:name w:val="WW8Num8z7"/>
    <w:qFormat/>
    <w:uiPriority w:val="0"/>
  </w:style>
  <w:style w:type="character" w:customStyle="1" w:styleId="109">
    <w:name w:val="WW8Num8z8"/>
    <w:qFormat/>
    <w:uiPriority w:val="0"/>
  </w:style>
  <w:style w:type="character" w:customStyle="1" w:styleId="110">
    <w:name w:val="WW8Num9z2"/>
    <w:qFormat/>
    <w:uiPriority w:val="0"/>
  </w:style>
  <w:style w:type="character" w:customStyle="1" w:styleId="111">
    <w:name w:val="WW8Num9z3"/>
    <w:qFormat/>
    <w:uiPriority w:val="0"/>
  </w:style>
  <w:style w:type="character" w:customStyle="1" w:styleId="112">
    <w:name w:val="WW8Num9z4"/>
    <w:qFormat/>
    <w:uiPriority w:val="0"/>
  </w:style>
  <w:style w:type="character" w:customStyle="1" w:styleId="113">
    <w:name w:val="WW8Num9z5"/>
    <w:qFormat/>
    <w:uiPriority w:val="0"/>
  </w:style>
  <w:style w:type="character" w:customStyle="1" w:styleId="114">
    <w:name w:val="WW8Num9z6"/>
    <w:qFormat/>
    <w:uiPriority w:val="0"/>
  </w:style>
  <w:style w:type="character" w:customStyle="1" w:styleId="115">
    <w:name w:val="WW8Num9z7"/>
    <w:qFormat/>
    <w:uiPriority w:val="0"/>
  </w:style>
  <w:style w:type="character" w:customStyle="1" w:styleId="116">
    <w:name w:val="WW8Num9z8"/>
    <w:qFormat/>
    <w:uiPriority w:val="0"/>
  </w:style>
  <w:style w:type="character" w:customStyle="1" w:styleId="117">
    <w:name w:val="Fonte parág. padrão2"/>
    <w:qFormat/>
    <w:uiPriority w:val="0"/>
  </w:style>
  <w:style w:type="character" w:customStyle="1" w:styleId="118">
    <w:name w:val="WW8Num13z0"/>
    <w:qFormat/>
    <w:uiPriority w:val="0"/>
    <w:rPr>
      <w:rFonts w:ascii="Symbol" w:hAnsi="Symbol" w:cs="Symbol"/>
    </w:rPr>
  </w:style>
  <w:style w:type="character" w:customStyle="1" w:styleId="119">
    <w:name w:val="WW8Num13z1"/>
    <w:qFormat/>
    <w:uiPriority w:val="0"/>
    <w:rPr>
      <w:rFonts w:ascii="Courier New" w:hAnsi="Courier New" w:cs="Courier New"/>
    </w:rPr>
  </w:style>
  <w:style w:type="character" w:customStyle="1" w:styleId="120">
    <w:name w:val="WW8Num13z3"/>
    <w:qFormat/>
    <w:uiPriority w:val="0"/>
    <w:rPr>
      <w:rFonts w:ascii="Symbol" w:hAnsi="Symbol" w:cs="Times New Roman"/>
    </w:rPr>
  </w:style>
  <w:style w:type="character" w:customStyle="1" w:styleId="121">
    <w:name w:val="WW8Num14z0"/>
    <w:qFormat/>
    <w:uiPriority w:val="0"/>
    <w:rPr>
      <w:color w:val="000000"/>
      <w:sz w:val="24"/>
    </w:rPr>
  </w:style>
  <w:style w:type="character" w:customStyle="1" w:styleId="122">
    <w:name w:val="Fonte parág. padrão1"/>
    <w:qFormat/>
    <w:uiPriority w:val="0"/>
  </w:style>
  <w:style w:type="character" w:customStyle="1" w:styleId="123">
    <w:name w:val="Absatz-Standardschriftart"/>
    <w:qFormat/>
    <w:uiPriority w:val="0"/>
  </w:style>
  <w:style w:type="character" w:customStyle="1" w:styleId="124">
    <w:name w:val="WW-Fonte parág. padrão"/>
    <w:qFormat/>
    <w:uiPriority w:val="0"/>
  </w:style>
  <w:style w:type="character" w:customStyle="1" w:styleId="125">
    <w:name w:val="WW-Absatz-Standardschriftart"/>
    <w:qFormat/>
    <w:uiPriority w:val="0"/>
  </w:style>
  <w:style w:type="character" w:customStyle="1" w:styleId="126">
    <w:name w:val="WW-Absatz-Standardschriftart1"/>
    <w:qFormat/>
    <w:uiPriority w:val="0"/>
  </w:style>
  <w:style w:type="character" w:customStyle="1" w:styleId="127">
    <w:name w:val="WW-Fonte parág. padrão1"/>
    <w:qFormat/>
    <w:uiPriority w:val="0"/>
  </w:style>
  <w:style w:type="character" w:customStyle="1" w:styleId="128">
    <w:name w:val="WW-Absatz-Standardschriftart11"/>
    <w:qFormat/>
    <w:uiPriority w:val="0"/>
  </w:style>
  <w:style w:type="character" w:customStyle="1" w:styleId="129">
    <w:name w:val="WW-Absatz-Standardschriftart111"/>
    <w:qFormat/>
    <w:uiPriority w:val="0"/>
  </w:style>
  <w:style w:type="character" w:customStyle="1" w:styleId="130">
    <w:name w:val="WW-Fonte parág. padrão11"/>
    <w:qFormat/>
    <w:uiPriority w:val="0"/>
  </w:style>
  <w:style w:type="character" w:customStyle="1" w:styleId="131">
    <w:name w:val="WW-Fonte parág. padrão111"/>
    <w:qFormat/>
    <w:uiPriority w:val="0"/>
  </w:style>
  <w:style w:type="character" w:customStyle="1" w:styleId="132">
    <w:name w:val="WW-Fonte parág. padrão1111"/>
    <w:qFormat/>
    <w:uiPriority w:val="0"/>
  </w:style>
  <w:style w:type="character" w:customStyle="1" w:styleId="133">
    <w:name w:val="WW-Absatz-Standardschriftart1111"/>
    <w:qFormat/>
    <w:uiPriority w:val="0"/>
  </w:style>
  <w:style w:type="character" w:customStyle="1" w:styleId="134">
    <w:name w:val="WW-Absatz-Standardschriftart11111"/>
    <w:qFormat/>
    <w:uiPriority w:val="0"/>
  </w:style>
  <w:style w:type="character" w:customStyle="1" w:styleId="135">
    <w:name w:val="WW-Fonte parág. padrão11111"/>
    <w:qFormat/>
    <w:uiPriority w:val="0"/>
  </w:style>
  <w:style w:type="character" w:customStyle="1" w:styleId="136">
    <w:name w:val="WW-Absatz-Standardschriftart111111"/>
    <w:qFormat/>
    <w:uiPriority w:val="0"/>
  </w:style>
  <w:style w:type="character" w:customStyle="1" w:styleId="137">
    <w:name w:val="WW-Fonte parág. padrão111111"/>
    <w:qFormat/>
    <w:uiPriority w:val="0"/>
  </w:style>
  <w:style w:type="character" w:customStyle="1" w:styleId="138">
    <w:name w:val="WW-Absatz-Standardschriftart1111111"/>
    <w:qFormat/>
    <w:uiPriority w:val="0"/>
  </w:style>
  <w:style w:type="character" w:customStyle="1" w:styleId="139">
    <w:name w:val="WW-Fonte parág. padrão1111111"/>
    <w:qFormat/>
    <w:uiPriority w:val="0"/>
  </w:style>
  <w:style w:type="character" w:customStyle="1" w:styleId="140">
    <w:name w:val="WW-Absatz-Standardschriftart11111111"/>
    <w:qFormat/>
    <w:uiPriority w:val="0"/>
  </w:style>
  <w:style w:type="character" w:customStyle="1" w:styleId="141">
    <w:name w:val="WW-Absatz-Standardschriftart111111111"/>
    <w:qFormat/>
    <w:uiPriority w:val="0"/>
  </w:style>
  <w:style w:type="character" w:customStyle="1" w:styleId="142">
    <w:name w:val="WW-Absatz-Standardschriftart1111111111"/>
    <w:qFormat/>
    <w:uiPriority w:val="0"/>
  </w:style>
  <w:style w:type="character" w:customStyle="1" w:styleId="143">
    <w:name w:val="WW-Fonte parág. padrão11111111"/>
    <w:qFormat/>
    <w:uiPriority w:val="0"/>
  </w:style>
  <w:style w:type="character" w:customStyle="1" w:styleId="144">
    <w:name w:val="WW-Fonte parág. padrão111111111"/>
    <w:qFormat/>
    <w:uiPriority w:val="0"/>
  </w:style>
  <w:style w:type="character" w:customStyle="1" w:styleId="145">
    <w:name w:val="WW-Absatz-Standardschriftart11111111111"/>
    <w:qFormat/>
    <w:uiPriority w:val="0"/>
  </w:style>
  <w:style w:type="character" w:customStyle="1" w:styleId="146">
    <w:name w:val="WW-Fonte parág. padrão1111111111"/>
    <w:qFormat/>
    <w:uiPriority w:val="0"/>
  </w:style>
  <w:style w:type="character" w:customStyle="1" w:styleId="147">
    <w:name w:val="WW-Absatz-Standardschriftart111111111111"/>
    <w:qFormat/>
    <w:uiPriority w:val="0"/>
  </w:style>
  <w:style w:type="character" w:customStyle="1" w:styleId="148">
    <w:name w:val="WW-Absatz-Standardschriftart1111111111111"/>
    <w:qFormat/>
    <w:uiPriority w:val="0"/>
  </w:style>
  <w:style w:type="character" w:customStyle="1" w:styleId="149">
    <w:name w:val="WW-Absatz-Standardschriftart11111111111111"/>
    <w:qFormat/>
    <w:uiPriority w:val="0"/>
  </w:style>
  <w:style w:type="character" w:customStyle="1" w:styleId="150">
    <w:name w:val="WW-Absatz-Standardschriftart111111111111111"/>
    <w:qFormat/>
    <w:uiPriority w:val="0"/>
  </w:style>
  <w:style w:type="character" w:customStyle="1" w:styleId="151">
    <w:name w:val="WW-Absatz-Standardschriftart1111111111111111"/>
    <w:qFormat/>
    <w:uiPriority w:val="0"/>
  </w:style>
  <w:style w:type="character" w:customStyle="1" w:styleId="152">
    <w:name w:val="WW-Absatz-Standardschriftart11111111111111111"/>
    <w:qFormat/>
    <w:uiPriority w:val="0"/>
  </w:style>
  <w:style w:type="character" w:customStyle="1" w:styleId="153">
    <w:name w:val="WW-Absatz-Standardschriftart111111111111111111"/>
    <w:qFormat/>
    <w:uiPriority w:val="0"/>
  </w:style>
  <w:style w:type="character" w:customStyle="1" w:styleId="154">
    <w:name w:val="WW-Absatz-Standardschriftart1111111111111111111"/>
    <w:qFormat/>
    <w:uiPriority w:val="0"/>
  </w:style>
  <w:style w:type="character" w:customStyle="1" w:styleId="155">
    <w:name w:val="WW-Absatz-Standardschriftart11111111111111111111"/>
    <w:qFormat/>
    <w:uiPriority w:val="0"/>
  </w:style>
  <w:style w:type="character" w:customStyle="1" w:styleId="156">
    <w:name w:val="WW-Absatz-Standardschriftart111111111111111111111"/>
    <w:qFormat/>
    <w:uiPriority w:val="0"/>
  </w:style>
  <w:style w:type="character" w:customStyle="1" w:styleId="157">
    <w:name w:val="WW-Absatz-Standardschriftart1111111111111111111111"/>
    <w:qFormat/>
    <w:uiPriority w:val="0"/>
  </w:style>
  <w:style w:type="character" w:customStyle="1" w:styleId="158">
    <w:name w:val="WW-Absatz-Standardschriftart11111111111111111111111"/>
    <w:qFormat/>
    <w:uiPriority w:val="0"/>
  </w:style>
  <w:style w:type="character" w:customStyle="1" w:styleId="159">
    <w:name w:val="WW-Absatz-Standardschriftart111111111111111111111111"/>
    <w:qFormat/>
    <w:uiPriority w:val="0"/>
  </w:style>
  <w:style w:type="character" w:customStyle="1" w:styleId="160">
    <w:name w:val="WW8Num3z1"/>
    <w:qFormat/>
    <w:uiPriority w:val="0"/>
    <w:rPr>
      <w:rFonts w:ascii="Courier New" w:hAnsi="Courier New" w:cs="Courier New"/>
    </w:rPr>
  </w:style>
  <w:style w:type="character" w:customStyle="1" w:styleId="161">
    <w:name w:val="WW8Num3z2"/>
    <w:qFormat/>
    <w:uiPriority w:val="0"/>
    <w:rPr>
      <w:rFonts w:ascii="Wingdings" w:hAnsi="Wingdings" w:cs="Wingdings"/>
    </w:rPr>
  </w:style>
  <w:style w:type="character" w:customStyle="1" w:styleId="162">
    <w:name w:val="WW-Fonte parág. padrão11111111111"/>
    <w:qFormat/>
    <w:uiPriority w:val="0"/>
  </w:style>
  <w:style w:type="character" w:customStyle="1" w:styleId="163">
    <w:name w:val="WW-Fonte parág. padrão111111111111"/>
    <w:qFormat/>
    <w:uiPriority w:val="0"/>
  </w:style>
  <w:style w:type="character" w:customStyle="1" w:styleId="164">
    <w:name w:val="WW-Absatz-Standardschriftart1111111111111111111111111"/>
    <w:qFormat/>
    <w:uiPriority w:val="0"/>
  </w:style>
  <w:style w:type="character" w:customStyle="1" w:styleId="165">
    <w:name w:val="WW-Absatz-Standardschriftart11111111111111111111111111"/>
    <w:qFormat/>
    <w:uiPriority w:val="0"/>
  </w:style>
  <w:style w:type="character" w:customStyle="1" w:styleId="166">
    <w:name w:val="WW-Absatz-Standardschriftart111111111111111111111111111"/>
    <w:qFormat/>
    <w:uiPriority w:val="0"/>
  </w:style>
  <w:style w:type="character" w:customStyle="1" w:styleId="167">
    <w:name w:val="WW-Fonte parág. padrão1111111111111"/>
    <w:qFormat/>
    <w:uiPriority w:val="0"/>
  </w:style>
  <w:style w:type="character" w:customStyle="1" w:styleId="168">
    <w:name w:val="WW-Fonte parág. padrão11111111111111"/>
    <w:qFormat/>
    <w:uiPriority w:val="0"/>
  </w:style>
  <w:style w:type="character" w:customStyle="1" w:styleId="169">
    <w:name w:val="WW-Fonte parág. padrão111111111111111"/>
    <w:qFormat/>
    <w:uiPriority w:val="0"/>
  </w:style>
  <w:style w:type="character" w:customStyle="1" w:styleId="170">
    <w:name w:val="WW-Absatz-Standardschriftart1111111111111111111111111111"/>
    <w:qFormat/>
    <w:uiPriority w:val="0"/>
  </w:style>
  <w:style w:type="character" w:customStyle="1" w:styleId="171">
    <w:name w:val="WW-Absatz-Standardschriftart11111111111111111111111111111"/>
    <w:qFormat/>
    <w:uiPriority w:val="0"/>
  </w:style>
  <w:style w:type="character" w:customStyle="1" w:styleId="172">
    <w:name w:val="WW-Fonte parág. padrão1111111111111111"/>
    <w:qFormat/>
    <w:uiPriority w:val="0"/>
  </w:style>
  <w:style w:type="character" w:customStyle="1" w:styleId="173">
    <w:name w:val="WW-Absatz-Standardschriftart111111111111111111111111111111"/>
    <w:qFormat/>
    <w:uiPriority w:val="0"/>
  </w:style>
  <w:style w:type="character" w:customStyle="1" w:styleId="174">
    <w:name w:val="WW-Absatz-Standardschriftart1111111111111111111111111111111"/>
    <w:qFormat/>
    <w:uiPriority w:val="0"/>
  </w:style>
  <w:style w:type="character" w:customStyle="1" w:styleId="175">
    <w:name w:val="WW-Absatz-Standardschriftart11111111111111111111111111111111"/>
    <w:qFormat/>
    <w:uiPriority w:val="0"/>
  </w:style>
  <w:style w:type="character" w:customStyle="1" w:styleId="176">
    <w:name w:val="WW8Num13z2"/>
    <w:qFormat/>
    <w:uiPriority w:val="0"/>
    <w:rPr>
      <w:rFonts w:ascii="Wingdings" w:hAnsi="Wingdings" w:cs="Wingdings"/>
    </w:rPr>
  </w:style>
  <w:style w:type="character" w:customStyle="1" w:styleId="177">
    <w:name w:val="WW-Fonte parág. padrão11111111111111111"/>
    <w:qFormat/>
    <w:uiPriority w:val="0"/>
  </w:style>
  <w:style w:type="character" w:customStyle="1" w:styleId="178">
    <w:name w:val="WW-Absatz-Standardschriftart111111111111111111111111111111111"/>
    <w:qFormat/>
    <w:uiPriority w:val="0"/>
  </w:style>
  <w:style w:type="character" w:customStyle="1" w:styleId="179">
    <w:name w:val="WW-Absatz-Standardschriftart1111111111111111111111111111111111"/>
    <w:qFormat/>
    <w:uiPriority w:val="0"/>
  </w:style>
  <w:style w:type="character" w:customStyle="1" w:styleId="180">
    <w:name w:val="WW8Num15z0"/>
    <w:qFormat/>
    <w:uiPriority w:val="0"/>
    <w:rPr>
      <w:b/>
    </w:rPr>
  </w:style>
  <w:style w:type="character" w:customStyle="1" w:styleId="181">
    <w:name w:val="WW8Num16z0"/>
    <w:qFormat/>
    <w:uiPriority w:val="0"/>
    <w:rPr>
      <w:b/>
    </w:rPr>
  </w:style>
  <w:style w:type="character" w:customStyle="1" w:styleId="182">
    <w:name w:val="WW8Num17z0"/>
    <w:qFormat/>
    <w:uiPriority w:val="0"/>
    <w:rPr>
      <w:b/>
    </w:rPr>
  </w:style>
  <w:style w:type="character" w:customStyle="1" w:styleId="183">
    <w:name w:val="WW8Num21z0"/>
    <w:qFormat/>
    <w:uiPriority w:val="0"/>
    <w:rPr>
      <w:b/>
    </w:rPr>
  </w:style>
  <w:style w:type="character" w:customStyle="1" w:styleId="184">
    <w:name w:val="WW8Num23z0"/>
    <w:qFormat/>
    <w:uiPriority w:val="0"/>
    <w:rPr>
      <w:b/>
    </w:rPr>
  </w:style>
  <w:style w:type="character" w:customStyle="1" w:styleId="185">
    <w:name w:val="WW8Num28z0"/>
    <w:qFormat/>
    <w:uiPriority w:val="0"/>
    <w:rPr>
      <w:rFonts w:ascii="Times New Roman" w:hAnsi="Times New Roman" w:cs="Times New Roman"/>
    </w:rPr>
  </w:style>
  <w:style w:type="character" w:customStyle="1" w:styleId="186">
    <w:name w:val="WW8Num32z0"/>
    <w:qFormat/>
    <w:uiPriority w:val="0"/>
    <w:rPr>
      <w:rFonts w:ascii="Times New Roman" w:hAnsi="Times New Roman" w:cs="Times New Roman"/>
      <w:b/>
      <w:sz w:val="22"/>
    </w:rPr>
  </w:style>
  <w:style w:type="character" w:customStyle="1" w:styleId="187">
    <w:name w:val="WW8Num36z0"/>
    <w:qFormat/>
    <w:uiPriority w:val="0"/>
    <w:rPr>
      <w:b/>
    </w:rPr>
  </w:style>
  <w:style w:type="character" w:customStyle="1" w:styleId="188">
    <w:name w:val="WW8Num38z0"/>
    <w:qFormat/>
    <w:uiPriority w:val="0"/>
    <w:rPr>
      <w:b/>
    </w:rPr>
  </w:style>
  <w:style w:type="character" w:customStyle="1" w:styleId="189">
    <w:name w:val="WW8Num39z0"/>
    <w:qFormat/>
    <w:uiPriority w:val="0"/>
    <w:rPr>
      <w:b/>
    </w:rPr>
  </w:style>
  <w:style w:type="character" w:customStyle="1" w:styleId="190">
    <w:name w:val="WW8Num42z0"/>
    <w:qFormat/>
    <w:uiPriority w:val="0"/>
    <w:rPr>
      <w:b/>
    </w:rPr>
  </w:style>
  <w:style w:type="character" w:customStyle="1" w:styleId="191">
    <w:name w:val="WW8Num43z0"/>
    <w:qFormat/>
    <w:uiPriority w:val="0"/>
    <w:rPr>
      <w:rFonts w:ascii="Times New Roman" w:hAnsi="Times New Roman" w:cs="Times New Roman"/>
    </w:rPr>
  </w:style>
  <w:style w:type="character" w:customStyle="1" w:styleId="192">
    <w:name w:val="WW8Num48z0"/>
    <w:qFormat/>
    <w:uiPriority w:val="0"/>
    <w:rPr>
      <w:rFonts w:ascii="Arial Rounded MT Bold" w:hAnsi="Arial Rounded MT Bold" w:cs="Arial Rounded MT Bold"/>
    </w:rPr>
  </w:style>
  <w:style w:type="character" w:customStyle="1" w:styleId="193">
    <w:name w:val="WW8Num49z0"/>
    <w:qFormat/>
    <w:uiPriority w:val="0"/>
    <w:rPr>
      <w:rFonts w:ascii="Times New Roman" w:hAnsi="Times New Roman" w:cs="Times New Roman"/>
      <w:b/>
      <w:sz w:val="22"/>
    </w:rPr>
  </w:style>
  <w:style w:type="character" w:customStyle="1" w:styleId="194">
    <w:name w:val="WW8Num50z0"/>
    <w:qFormat/>
    <w:uiPriority w:val="0"/>
    <w:rPr>
      <w:b/>
    </w:rPr>
  </w:style>
  <w:style w:type="character" w:customStyle="1" w:styleId="195">
    <w:name w:val="WW8Num52z0"/>
    <w:qFormat/>
    <w:uiPriority w:val="0"/>
    <w:rPr>
      <w:b/>
    </w:rPr>
  </w:style>
  <w:style w:type="character" w:customStyle="1" w:styleId="196">
    <w:name w:val="WW8Num58z0"/>
    <w:qFormat/>
    <w:uiPriority w:val="0"/>
    <w:rPr>
      <w:b/>
    </w:rPr>
  </w:style>
  <w:style w:type="character" w:customStyle="1" w:styleId="197">
    <w:name w:val="WW8Num61z0"/>
    <w:qFormat/>
    <w:uiPriority w:val="0"/>
    <w:rPr>
      <w:rFonts w:ascii="Times New Roman" w:hAnsi="Times New Roman" w:cs="Times New Roman"/>
      <w:sz w:val="24"/>
      <w:u w:val="none"/>
    </w:rPr>
  </w:style>
  <w:style w:type="character" w:customStyle="1" w:styleId="198">
    <w:name w:val="WW8Num63z0"/>
    <w:qFormat/>
    <w:uiPriority w:val="0"/>
    <w:rPr>
      <w:rFonts w:ascii="Symbol" w:hAnsi="Symbol" w:cs="Symbol"/>
    </w:rPr>
  </w:style>
  <w:style w:type="character" w:customStyle="1" w:styleId="199">
    <w:name w:val="WW8Num70z0"/>
    <w:qFormat/>
    <w:uiPriority w:val="0"/>
    <w:rPr>
      <w:rFonts w:ascii="Times New Roman" w:hAnsi="Times New Roman" w:cs="Times New Roman"/>
      <w:b/>
      <w:sz w:val="24"/>
      <w:u w:val="none"/>
    </w:rPr>
  </w:style>
  <w:style w:type="character" w:customStyle="1" w:styleId="200">
    <w:name w:val="WW8Num74z0"/>
    <w:qFormat/>
    <w:uiPriority w:val="0"/>
    <w:rPr>
      <w:rFonts w:ascii="Times New Roman" w:hAnsi="Times New Roman" w:eastAsia="Times New Roman" w:cs="Times New Roman"/>
    </w:rPr>
  </w:style>
  <w:style w:type="character" w:customStyle="1" w:styleId="201">
    <w:name w:val="WW8Num74z1"/>
    <w:qFormat/>
    <w:uiPriority w:val="0"/>
    <w:rPr>
      <w:rFonts w:ascii="Courier New" w:hAnsi="Courier New" w:cs="Courier New"/>
    </w:rPr>
  </w:style>
  <w:style w:type="character" w:customStyle="1" w:styleId="202">
    <w:name w:val="WW8Num74z2"/>
    <w:qFormat/>
    <w:uiPriority w:val="0"/>
    <w:rPr>
      <w:rFonts w:ascii="Wingdings" w:hAnsi="Wingdings" w:cs="Wingdings"/>
    </w:rPr>
  </w:style>
  <w:style w:type="character" w:customStyle="1" w:styleId="203">
    <w:name w:val="WW8Num74z3"/>
    <w:qFormat/>
    <w:uiPriority w:val="0"/>
    <w:rPr>
      <w:rFonts w:ascii="Symbol" w:hAnsi="Symbol" w:cs="Symbol"/>
    </w:rPr>
  </w:style>
  <w:style w:type="character" w:customStyle="1" w:styleId="204">
    <w:name w:val="WW8Num75z1"/>
    <w:qFormat/>
    <w:uiPriority w:val="0"/>
    <w:rPr>
      <w:b/>
    </w:rPr>
  </w:style>
  <w:style w:type="character" w:customStyle="1" w:styleId="205">
    <w:name w:val="WW8Num77z0"/>
    <w:qFormat/>
    <w:uiPriority w:val="0"/>
    <w:rPr>
      <w:rFonts w:ascii="Times New Roman" w:hAnsi="Times New Roman" w:cs="Times New Roman"/>
      <w:b/>
      <w:sz w:val="22"/>
    </w:rPr>
  </w:style>
  <w:style w:type="character" w:customStyle="1" w:styleId="206">
    <w:name w:val="WW8Num79z0"/>
    <w:qFormat/>
    <w:uiPriority w:val="0"/>
    <w:rPr>
      <w:b/>
    </w:rPr>
  </w:style>
  <w:style w:type="character" w:customStyle="1" w:styleId="207">
    <w:name w:val="WW8Num81z0"/>
    <w:qFormat/>
    <w:uiPriority w:val="0"/>
    <w:rPr>
      <w:b/>
    </w:rPr>
  </w:style>
  <w:style w:type="character" w:customStyle="1" w:styleId="208">
    <w:name w:val="WW8Num82z0"/>
    <w:qFormat/>
    <w:uiPriority w:val="0"/>
    <w:rPr>
      <w:b/>
    </w:rPr>
  </w:style>
  <w:style w:type="character" w:customStyle="1" w:styleId="209">
    <w:name w:val="WW8Num83z0"/>
    <w:qFormat/>
    <w:uiPriority w:val="0"/>
    <w:rPr>
      <w:u w:val="single"/>
    </w:rPr>
  </w:style>
  <w:style w:type="character" w:customStyle="1" w:styleId="210">
    <w:name w:val="WW8Num83z1"/>
    <w:qFormat/>
    <w:uiPriority w:val="0"/>
    <w:rPr>
      <w:rFonts w:ascii="Times New Roman" w:hAnsi="Times New Roman" w:eastAsia="Times New Roman" w:cs="Times New Roman"/>
    </w:rPr>
  </w:style>
  <w:style w:type="character" w:customStyle="1" w:styleId="211">
    <w:name w:val="WW8Num84z0"/>
    <w:qFormat/>
    <w:uiPriority w:val="0"/>
    <w:rPr>
      <w:b/>
    </w:rPr>
  </w:style>
  <w:style w:type="character" w:customStyle="1" w:styleId="212">
    <w:name w:val="WW8Num85z0"/>
    <w:qFormat/>
    <w:uiPriority w:val="0"/>
    <w:rPr>
      <w:rFonts w:ascii="Times New Roman" w:hAnsi="Times New Roman" w:cs="Times New Roman"/>
      <w:b/>
      <w:sz w:val="22"/>
      <w:u w:val="none"/>
    </w:rPr>
  </w:style>
  <w:style w:type="character" w:customStyle="1" w:styleId="213">
    <w:name w:val="WW8Num86z0"/>
    <w:qFormat/>
    <w:uiPriority w:val="0"/>
    <w:rPr>
      <w:b/>
    </w:rPr>
  </w:style>
  <w:style w:type="character" w:customStyle="1" w:styleId="214">
    <w:name w:val="WW8Num88z0"/>
    <w:qFormat/>
    <w:uiPriority w:val="0"/>
    <w:rPr>
      <w:rFonts w:ascii="Symbol" w:hAnsi="Symbol" w:cs="Symbol"/>
    </w:rPr>
  </w:style>
  <w:style w:type="character" w:customStyle="1" w:styleId="215">
    <w:name w:val="WW8Num88z1"/>
    <w:qFormat/>
    <w:uiPriority w:val="0"/>
    <w:rPr>
      <w:rFonts w:ascii="Courier New" w:hAnsi="Courier New" w:cs="Courier New"/>
    </w:rPr>
  </w:style>
  <w:style w:type="character" w:customStyle="1" w:styleId="216">
    <w:name w:val="WW8Num88z2"/>
    <w:qFormat/>
    <w:uiPriority w:val="0"/>
    <w:rPr>
      <w:rFonts w:ascii="Wingdings" w:hAnsi="Wingdings" w:cs="Wingdings"/>
    </w:rPr>
  </w:style>
  <w:style w:type="character" w:customStyle="1" w:styleId="217">
    <w:name w:val="WW8Num89z0"/>
    <w:qFormat/>
    <w:uiPriority w:val="0"/>
    <w:rPr>
      <w:b/>
    </w:rPr>
  </w:style>
  <w:style w:type="character" w:customStyle="1" w:styleId="218">
    <w:name w:val="WW8Num92z0"/>
    <w:qFormat/>
    <w:uiPriority w:val="0"/>
    <w:rPr>
      <w:rFonts w:ascii="Times New Roman" w:hAnsi="Times New Roman" w:cs="Times New Roman"/>
      <w:b/>
      <w:sz w:val="18"/>
    </w:rPr>
  </w:style>
  <w:style w:type="character" w:customStyle="1" w:styleId="219">
    <w:name w:val="WW8Num93z0"/>
    <w:qFormat/>
    <w:uiPriority w:val="0"/>
    <w:rPr>
      <w:rFonts w:ascii="Symbol" w:hAnsi="Symbol" w:cs="Symbol"/>
    </w:rPr>
  </w:style>
  <w:style w:type="character" w:customStyle="1" w:styleId="220">
    <w:name w:val="WW8Num94z0"/>
    <w:qFormat/>
    <w:uiPriority w:val="0"/>
    <w:rPr>
      <w:rFonts w:ascii="Times New Roman" w:hAnsi="Times New Roman" w:cs="Times New Roman"/>
      <w:sz w:val="24"/>
      <w:u w:val="none"/>
    </w:rPr>
  </w:style>
  <w:style w:type="character" w:customStyle="1" w:styleId="221">
    <w:name w:val="WW8Num95z0"/>
    <w:qFormat/>
    <w:uiPriority w:val="0"/>
    <w:rPr>
      <w:b/>
    </w:rPr>
  </w:style>
  <w:style w:type="character" w:customStyle="1" w:styleId="222">
    <w:name w:val="WW8Num96z0"/>
    <w:qFormat/>
    <w:uiPriority w:val="0"/>
    <w:rPr>
      <w:b/>
    </w:rPr>
  </w:style>
  <w:style w:type="character" w:customStyle="1" w:styleId="223">
    <w:name w:val="WW8Num100z0"/>
    <w:qFormat/>
    <w:uiPriority w:val="0"/>
    <w:rPr>
      <w:rFonts w:ascii="Times New Roman" w:hAnsi="Times New Roman" w:eastAsia="Times New Roman" w:cs="Times New Roman"/>
    </w:rPr>
  </w:style>
  <w:style w:type="character" w:customStyle="1" w:styleId="224">
    <w:name w:val="WW8Num100z1"/>
    <w:qFormat/>
    <w:uiPriority w:val="0"/>
    <w:rPr>
      <w:rFonts w:ascii="Courier New" w:hAnsi="Courier New" w:cs="Courier New"/>
    </w:rPr>
  </w:style>
  <w:style w:type="character" w:customStyle="1" w:styleId="225">
    <w:name w:val="WW8Num100z2"/>
    <w:qFormat/>
    <w:uiPriority w:val="0"/>
    <w:rPr>
      <w:rFonts w:ascii="Wingdings" w:hAnsi="Wingdings" w:cs="Wingdings"/>
    </w:rPr>
  </w:style>
  <w:style w:type="character" w:customStyle="1" w:styleId="226">
    <w:name w:val="WW8Num100z3"/>
    <w:qFormat/>
    <w:uiPriority w:val="0"/>
    <w:rPr>
      <w:rFonts w:ascii="Symbol" w:hAnsi="Symbol" w:cs="Symbol"/>
    </w:rPr>
  </w:style>
  <w:style w:type="character" w:customStyle="1" w:styleId="227">
    <w:name w:val="WW8Num102z0"/>
    <w:qFormat/>
    <w:uiPriority w:val="0"/>
    <w:rPr>
      <w:b/>
    </w:rPr>
  </w:style>
  <w:style w:type="character" w:customStyle="1" w:styleId="228">
    <w:name w:val="WW8Num103z0"/>
    <w:qFormat/>
    <w:uiPriority w:val="0"/>
    <w:rPr>
      <w:rFonts w:ascii="Times New Roman" w:hAnsi="Times New Roman" w:cs="Times New Roman"/>
      <w:b/>
      <w:sz w:val="18"/>
    </w:rPr>
  </w:style>
  <w:style w:type="character" w:customStyle="1" w:styleId="229">
    <w:name w:val="WW8Num106z0"/>
    <w:qFormat/>
    <w:uiPriority w:val="0"/>
    <w:rPr>
      <w:rFonts w:ascii="Times New Roman" w:hAnsi="Times New Roman" w:cs="Times New Roman"/>
      <w:sz w:val="24"/>
    </w:rPr>
  </w:style>
  <w:style w:type="character" w:customStyle="1" w:styleId="230">
    <w:name w:val="WW8Num107z0"/>
    <w:qFormat/>
    <w:uiPriority w:val="0"/>
  </w:style>
  <w:style w:type="character" w:customStyle="1" w:styleId="231">
    <w:name w:val="WW8Num108z0"/>
    <w:qFormat/>
    <w:uiPriority w:val="0"/>
    <w:rPr>
      <w:b/>
    </w:rPr>
  </w:style>
  <w:style w:type="character" w:customStyle="1" w:styleId="232">
    <w:name w:val="WW8Num109z0"/>
    <w:qFormat/>
    <w:uiPriority w:val="0"/>
    <w:rPr>
      <w:b/>
    </w:rPr>
  </w:style>
  <w:style w:type="character" w:customStyle="1" w:styleId="233">
    <w:name w:val="WW8Num112z0"/>
    <w:qFormat/>
    <w:uiPriority w:val="0"/>
    <w:rPr>
      <w:b/>
    </w:rPr>
  </w:style>
  <w:style w:type="character" w:customStyle="1" w:styleId="234">
    <w:name w:val="WW8Num118z0"/>
    <w:qFormat/>
    <w:uiPriority w:val="0"/>
    <w:rPr>
      <w:b/>
    </w:rPr>
  </w:style>
  <w:style w:type="character" w:customStyle="1" w:styleId="235">
    <w:name w:val="WW8Num118z1"/>
    <w:qFormat/>
    <w:uiPriority w:val="0"/>
    <w:rPr>
      <w:rFonts w:ascii="Times New Roman" w:hAnsi="Times New Roman" w:cs="Times New Roman"/>
      <w:b/>
      <w:sz w:val="22"/>
    </w:rPr>
  </w:style>
  <w:style w:type="character" w:customStyle="1" w:styleId="236">
    <w:name w:val="WW8Num120z0"/>
    <w:qFormat/>
    <w:uiPriority w:val="0"/>
    <w:rPr>
      <w:rFonts w:ascii="Times New Roman" w:hAnsi="Times New Roman" w:cs="Times New Roman"/>
      <w:b/>
      <w:sz w:val="18"/>
    </w:rPr>
  </w:style>
  <w:style w:type="character" w:customStyle="1" w:styleId="237">
    <w:name w:val="WW8Num121z0"/>
    <w:qFormat/>
    <w:uiPriority w:val="0"/>
    <w:rPr>
      <w:b/>
    </w:rPr>
  </w:style>
  <w:style w:type="character" w:customStyle="1" w:styleId="238">
    <w:name w:val="WW8Num122z0"/>
    <w:qFormat/>
    <w:uiPriority w:val="0"/>
    <w:rPr>
      <w:rFonts w:ascii="Symbol" w:hAnsi="Symbol" w:cs="Symbol"/>
    </w:rPr>
  </w:style>
  <w:style w:type="character" w:customStyle="1" w:styleId="239">
    <w:name w:val="WW8Num128z0"/>
    <w:qFormat/>
    <w:uiPriority w:val="0"/>
    <w:rPr>
      <w:rFonts w:ascii="Symbol" w:hAnsi="Symbol" w:cs="Symbol"/>
    </w:rPr>
  </w:style>
  <w:style w:type="character" w:customStyle="1" w:styleId="240">
    <w:name w:val="WW8Num134z0"/>
    <w:qFormat/>
    <w:uiPriority w:val="0"/>
    <w:rPr>
      <w:rFonts w:ascii="Times New Roman" w:hAnsi="Times New Roman" w:cs="Times New Roman"/>
      <w:b/>
      <w:sz w:val="22"/>
    </w:rPr>
  </w:style>
  <w:style w:type="character" w:customStyle="1" w:styleId="241">
    <w:name w:val="WW8Num135z0"/>
    <w:qFormat/>
    <w:uiPriority w:val="0"/>
  </w:style>
  <w:style w:type="character" w:customStyle="1" w:styleId="242">
    <w:name w:val="WW8Num136z0"/>
    <w:qFormat/>
    <w:uiPriority w:val="0"/>
    <w:rPr>
      <w:b/>
    </w:rPr>
  </w:style>
  <w:style w:type="character" w:customStyle="1" w:styleId="243">
    <w:name w:val="WW8Num137z0"/>
    <w:qFormat/>
    <w:uiPriority w:val="0"/>
    <w:rPr>
      <w:rFonts w:ascii="Symbol" w:hAnsi="Symbol" w:cs="Symbol"/>
    </w:rPr>
  </w:style>
  <w:style w:type="character" w:customStyle="1" w:styleId="244">
    <w:name w:val="WW8Num140z0"/>
    <w:qFormat/>
    <w:uiPriority w:val="0"/>
    <w:rPr>
      <w:rFonts w:ascii="Symbol" w:hAnsi="Symbol" w:cs="Symbol"/>
    </w:rPr>
  </w:style>
  <w:style w:type="character" w:customStyle="1" w:styleId="245">
    <w:name w:val="WW8Num140z1"/>
    <w:qFormat/>
    <w:uiPriority w:val="0"/>
    <w:rPr>
      <w:rFonts w:ascii="Courier New" w:hAnsi="Courier New" w:cs="Courier New"/>
    </w:rPr>
  </w:style>
  <w:style w:type="character" w:customStyle="1" w:styleId="246">
    <w:name w:val="WW8Num140z2"/>
    <w:qFormat/>
    <w:uiPriority w:val="0"/>
    <w:rPr>
      <w:rFonts w:ascii="Wingdings" w:hAnsi="Wingdings" w:cs="Wingdings"/>
    </w:rPr>
  </w:style>
  <w:style w:type="character" w:customStyle="1" w:styleId="247">
    <w:name w:val="WW8Num142z0"/>
    <w:qFormat/>
    <w:uiPriority w:val="0"/>
    <w:rPr>
      <w:b/>
    </w:rPr>
  </w:style>
  <w:style w:type="character" w:customStyle="1" w:styleId="248">
    <w:name w:val="WW8Num145z1"/>
    <w:qFormat/>
    <w:uiPriority w:val="0"/>
    <w:rPr>
      <w:rFonts w:ascii="Courier New" w:hAnsi="Courier New" w:cs="Courier New"/>
    </w:rPr>
  </w:style>
  <w:style w:type="character" w:customStyle="1" w:styleId="249">
    <w:name w:val="WW8Num145z2"/>
    <w:qFormat/>
    <w:uiPriority w:val="0"/>
    <w:rPr>
      <w:rFonts w:ascii="Wingdings" w:hAnsi="Wingdings" w:cs="Wingdings"/>
    </w:rPr>
  </w:style>
  <w:style w:type="character" w:customStyle="1" w:styleId="250">
    <w:name w:val="WW8Num145z3"/>
    <w:qFormat/>
    <w:uiPriority w:val="0"/>
    <w:rPr>
      <w:rFonts w:ascii="Symbol" w:hAnsi="Symbol" w:cs="Symbol"/>
    </w:rPr>
  </w:style>
  <w:style w:type="character" w:customStyle="1" w:styleId="251">
    <w:name w:val="WW8Num149z0"/>
    <w:qFormat/>
    <w:uiPriority w:val="0"/>
    <w:rPr>
      <w:rFonts w:ascii="Times New Roman" w:hAnsi="Times New Roman" w:cs="Times New Roman"/>
      <w:b/>
      <w:sz w:val="18"/>
    </w:rPr>
  </w:style>
  <w:style w:type="character" w:customStyle="1" w:styleId="252">
    <w:name w:val="WW8Num151z0"/>
    <w:qFormat/>
    <w:uiPriority w:val="0"/>
    <w:rPr>
      <w:b/>
    </w:rPr>
  </w:style>
  <w:style w:type="character" w:customStyle="1" w:styleId="253">
    <w:name w:val="WW8Num160z0"/>
    <w:qFormat/>
    <w:uiPriority w:val="0"/>
    <w:rPr>
      <w:b/>
      <w:sz w:val="24"/>
    </w:rPr>
  </w:style>
  <w:style w:type="character" w:customStyle="1" w:styleId="254">
    <w:name w:val="WW8Num164z0"/>
    <w:qFormat/>
    <w:uiPriority w:val="0"/>
    <w:rPr>
      <w:b/>
    </w:rPr>
  </w:style>
  <w:style w:type="character" w:customStyle="1" w:styleId="255">
    <w:name w:val="WW8Num165z1"/>
    <w:qFormat/>
    <w:uiPriority w:val="0"/>
    <w:rPr>
      <w:b/>
    </w:rPr>
  </w:style>
  <w:style w:type="character" w:customStyle="1" w:styleId="256">
    <w:name w:val="WW8Num167z0"/>
    <w:qFormat/>
    <w:uiPriority w:val="0"/>
    <w:rPr>
      <w:b/>
    </w:rPr>
  </w:style>
  <w:style w:type="character" w:customStyle="1" w:styleId="257">
    <w:name w:val="WW8Num168z1"/>
    <w:qFormat/>
    <w:uiPriority w:val="0"/>
    <w:rPr>
      <w:rFonts w:ascii="Times New Roman" w:hAnsi="Times New Roman" w:cs="Times New Roman"/>
    </w:rPr>
  </w:style>
  <w:style w:type="character" w:customStyle="1" w:styleId="258">
    <w:name w:val="WW8Num169z0"/>
    <w:qFormat/>
    <w:uiPriority w:val="0"/>
    <w:rPr>
      <w:rFonts w:ascii="Times New Roman" w:hAnsi="Times New Roman" w:cs="Times New Roman"/>
      <w:b/>
      <w:sz w:val="22"/>
    </w:rPr>
  </w:style>
  <w:style w:type="character" w:customStyle="1" w:styleId="259">
    <w:name w:val="WW8Num173z0"/>
    <w:qFormat/>
    <w:uiPriority w:val="0"/>
    <w:rPr>
      <w:b/>
    </w:rPr>
  </w:style>
  <w:style w:type="character" w:customStyle="1" w:styleId="260">
    <w:name w:val="WW8Num176z0"/>
    <w:qFormat/>
    <w:uiPriority w:val="0"/>
    <w:rPr>
      <w:b/>
    </w:rPr>
  </w:style>
  <w:style w:type="character" w:customStyle="1" w:styleId="261">
    <w:name w:val="WW8Num177z0"/>
    <w:qFormat/>
    <w:uiPriority w:val="0"/>
    <w:rPr>
      <w:b/>
    </w:rPr>
  </w:style>
  <w:style w:type="character" w:customStyle="1" w:styleId="262">
    <w:name w:val="WW8Num177z1"/>
    <w:qFormat/>
    <w:uiPriority w:val="0"/>
    <w:rPr>
      <w:rFonts w:ascii="Times New Roman" w:hAnsi="Times New Roman" w:cs="Times New Roman"/>
      <w:b/>
      <w:sz w:val="22"/>
    </w:rPr>
  </w:style>
  <w:style w:type="character" w:customStyle="1" w:styleId="263">
    <w:name w:val="WW8Num178z0"/>
    <w:qFormat/>
    <w:uiPriority w:val="0"/>
    <w:rPr>
      <w:b/>
    </w:rPr>
  </w:style>
  <w:style w:type="character" w:customStyle="1" w:styleId="264">
    <w:name w:val="WW8Num181z0"/>
    <w:qFormat/>
    <w:uiPriority w:val="0"/>
    <w:rPr>
      <w:b/>
    </w:rPr>
  </w:style>
  <w:style w:type="character" w:customStyle="1" w:styleId="265">
    <w:name w:val="WW8Num183z0"/>
    <w:qFormat/>
    <w:uiPriority w:val="0"/>
    <w:rPr>
      <w:b/>
    </w:rPr>
  </w:style>
  <w:style w:type="character" w:customStyle="1" w:styleId="266">
    <w:name w:val="WW8Num187z0"/>
    <w:qFormat/>
    <w:uiPriority w:val="0"/>
    <w:rPr>
      <w:b/>
    </w:rPr>
  </w:style>
  <w:style w:type="character" w:customStyle="1" w:styleId="267">
    <w:name w:val="WW8Num188z0"/>
    <w:qFormat/>
    <w:uiPriority w:val="0"/>
    <w:rPr>
      <w:b/>
    </w:rPr>
  </w:style>
  <w:style w:type="character" w:customStyle="1" w:styleId="268">
    <w:name w:val="WW8Num193z0"/>
    <w:qFormat/>
    <w:uiPriority w:val="0"/>
    <w:rPr>
      <w:rFonts w:ascii="Wingdings" w:hAnsi="Wingdings" w:cs="Wingdings"/>
    </w:rPr>
  </w:style>
  <w:style w:type="character" w:customStyle="1" w:styleId="269">
    <w:name w:val="WW8Num202z0"/>
    <w:qFormat/>
    <w:uiPriority w:val="0"/>
    <w:rPr>
      <w:rFonts w:ascii="Wingdings" w:hAnsi="Wingdings" w:cs="Wingdings"/>
    </w:rPr>
  </w:style>
  <w:style w:type="character" w:customStyle="1" w:styleId="270">
    <w:name w:val="WW8Num203z0"/>
    <w:qFormat/>
    <w:uiPriority w:val="0"/>
    <w:rPr>
      <w:b/>
    </w:rPr>
  </w:style>
  <w:style w:type="character" w:customStyle="1" w:styleId="271">
    <w:name w:val="WW8Num203z1"/>
    <w:qFormat/>
    <w:uiPriority w:val="0"/>
    <w:rPr>
      <w:rFonts w:ascii="Times New Roman" w:hAnsi="Times New Roman" w:cs="Times New Roman"/>
      <w:b/>
      <w:sz w:val="22"/>
    </w:rPr>
  </w:style>
  <w:style w:type="character" w:customStyle="1" w:styleId="272">
    <w:name w:val="WW8Num204z0"/>
    <w:qFormat/>
    <w:uiPriority w:val="0"/>
    <w:rPr>
      <w:rFonts w:ascii="Wingdings" w:hAnsi="Wingdings" w:cs="Wingdings"/>
    </w:rPr>
  </w:style>
  <w:style w:type="character" w:customStyle="1" w:styleId="273">
    <w:name w:val="WW8Num204z1"/>
    <w:qFormat/>
    <w:uiPriority w:val="0"/>
    <w:rPr>
      <w:rFonts w:ascii="Courier New" w:hAnsi="Courier New" w:cs="Courier New"/>
    </w:rPr>
  </w:style>
  <w:style w:type="character" w:customStyle="1" w:styleId="274">
    <w:name w:val="WW8Num204z3"/>
    <w:qFormat/>
    <w:uiPriority w:val="0"/>
    <w:rPr>
      <w:rFonts w:ascii="Symbol" w:hAnsi="Symbol" w:cs="Symbol"/>
    </w:rPr>
  </w:style>
  <w:style w:type="character" w:customStyle="1" w:styleId="275">
    <w:name w:val="WW8Num207z0"/>
    <w:qFormat/>
    <w:uiPriority w:val="0"/>
    <w:rPr>
      <w:rFonts w:ascii="Symbol" w:hAnsi="Symbol" w:cs="Symbol"/>
    </w:rPr>
  </w:style>
  <w:style w:type="character" w:customStyle="1" w:styleId="276">
    <w:name w:val="WW8Num207z1"/>
    <w:qFormat/>
    <w:uiPriority w:val="0"/>
    <w:rPr>
      <w:rFonts w:ascii="Courier New" w:hAnsi="Courier New" w:cs="Courier New"/>
    </w:rPr>
  </w:style>
  <w:style w:type="character" w:customStyle="1" w:styleId="277">
    <w:name w:val="WW8Num207z2"/>
    <w:qFormat/>
    <w:uiPriority w:val="0"/>
    <w:rPr>
      <w:rFonts w:ascii="Wingdings" w:hAnsi="Wingdings" w:cs="Wingdings"/>
    </w:rPr>
  </w:style>
  <w:style w:type="character" w:customStyle="1" w:styleId="278">
    <w:name w:val="WW8Num209z0"/>
    <w:qFormat/>
    <w:uiPriority w:val="0"/>
    <w:rPr>
      <w:rFonts w:ascii="Times New Roman" w:hAnsi="Times New Roman" w:cs="Times New Roman"/>
      <w:b/>
      <w:sz w:val="22"/>
    </w:rPr>
  </w:style>
  <w:style w:type="character" w:customStyle="1" w:styleId="279">
    <w:name w:val="WW8Num210z0"/>
    <w:qFormat/>
    <w:uiPriority w:val="0"/>
    <w:rPr>
      <w:b/>
    </w:rPr>
  </w:style>
  <w:style w:type="character" w:customStyle="1" w:styleId="280">
    <w:name w:val="WW8Num213z0"/>
    <w:qFormat/>
    <w:uiPriority w:val="0"/>
    <w:rPr>
      <w:rFonts w:ascii="Courier New" w:hAnsi="Courier New" w:cs="Courier New"/>
    </w:rPr>
  </w:style>
  <w:style w:type="character" w:customStyle="1" w:styleId="281">
    <w:name w:val="WW8Num213z2"/>
    <w:qFormat/>
    <w:uiPriority w:val="0"/>
    <w:rPr>
      <w:rFonts w:ascii="Wingdings" w:hAnsi="Wingdings" w:cs="Wingdings"/>
    </w:rPr>
  </w:style>
  <w:style w:type="character" w:customStyle="1" w:styleId="282">
    <w:name w:val="WW8Num213z3"/>
    <w:qFormat/>
    <w:uiPriority w:val="0"/>
    <w:rPr>
      <w:rFonts w:ascii="Symbol" w:hAnsi="Symbol" w:cs="Symbol"/>
    </w:rPr>
  </w:style>
  <w:style w:type="character" w:customStyle="1" w:styleId="283">
    <w:name w:val="WW8Num221z1"/>
    <w:qFormat/>
    <w:uiPriority w:val="0"/>
    <w:rPr>
      <w:b/>
    </w:rPr>
  </w:style>
  <w:style w:type="character" w:customStyle="1" w:styleId="284">
    <w:name w:val="WW8Num223z0"/>
    <w:qFormat/>
    <w:uiPriority w:val="0"/>
    <w:rPr>
      <w:b/>
    </w:rPr>
  </w:style>
  <w:style w:type="character" w:customStyle="1" w:styleId="285">
    <w:name w:val="WW8Num225z0"/>
    <w:qFormat/>
    <w:uiPriority w:val="0"/>
    <w:rPr>
      <w:rFonts w:ascii="Symbol" w:hAnsi="Symbol" w:cs="Symbol"/>
    </w:rPr>
  </w:style>
  <w:style w:type="character" w:customStyle="1" w:styleId="286">
    <w:name w:val="WW8Num225z1"/>
    <w:qFormat/>
    <w:uiPriority w:val="0"/>
    <w:rPr>
      <w:rFonts w:ascii="Courier New" w:hAnsi="Courier New" w:cs="Courier New"/>
    </w:rPr>
  </w:style>
  <w:style w:type="character" w:customStyle="1" w:styleId="287">
    <w:name w:val="WW8Num225z2"/>
    <w:qFormat/>
    <w:uiPriority w:val="0"/>
    <w:rPr>
      <w:rFonts w:ascii="Wingdings" w:hAnsi="Wingdings" w:cs="Wingdings"/>
    </w:rPr>
  </w:style>
  <w:style w:type="character" w:customStyle="1" w:styleId="288">
    <w:name w:val="WW8Num227z0"/>
    <w:qFormat/>
    <w:uiPriority w:val="0"/>
    <w:rPr>
      <w:b/>
    </w:rPr>
  </w:style>
  <w:style w:type="character" w:customStyle="1" w:styleId="289">
    <w:name w:val="WW8Num229z0"/>
    <w:qFormat/>
    <w:uiPriority w:val="0"/>
    <w:rPr>
      <w:b/>
    </w:rPr>
  </w:style>
  <w:style w:type="character" w:customStyle="1" w:styleId="290">
    <w:name w:val="WW8Num230z1"/>
    <w:qFormat/>
    <w:uiPriority w:val="0"/>
    <w:rPr>
      <w:u w:val="none"/>
    </w:rPr>
  </w:style>
  <w:style w:type="character" w:customStyle="1" w:styleId="291">
    <w:name w:val="WW8Num233z0"/>
    <w:qFormat/>
    <w:uiPriority w:val="0"/>
    <w:rPr>
      <w:rFonts w:ascii="Times New Roman" w:hAnsi="Times New Roman" w:cs="Times New Roman"/>
      <w:b/>
      <w:sz w:val="24"/>
      <w:u w:val="none"/>
    </w:rPr>
  </w:style>
  <w:style w:type="character" w:customStyle="1" w:styleId="292">
    <w:name w:val="WW8Num238z0"/>
    <w:qFormat/>
    <w:uiPriority w:val="0"/>
    <w:rPr>
      <w:rFonts w:ascii="Times New Roman" w:hAnsi="Times New Roman" w:eastAsia="Times New Roman" w:cs="Times New Roman"/>
    </w:rPr>
  </w:style>
  <w:style w:type="character" w:customStyle="1" w:styleId="293">
    <w:name w:val="WW8Num238z1"/>
    <w:qFormat/>
    <w:uiPriority w:val="0"/>
    <w:rPr>
      <w:rFonts w:ascii="Courier New" w:hAnsi="Courier New" w:cs="Courier New"/>
    </w:rPr>
  </w:style>
  <w:style w:type="character" w:customStyle="1" w:styleId="294">
    <w:name w:val="WW8Num238z2"/>
    <w:qFormat/>
    <w:uiPriority w:val="0"/>
    <w:rPr>
      <w:rFonts w:ascii="Wingdings" w:hAnsi="Wingdings" w:cs="Wingdings"/>
    </w:rPr>
  </w:style>
  <w:style w:type="character" w:customStyle="1" w:styleId="295">
    <w:name w:val="WW8Num238z3"/>
    <w:qFormat/>
    <w:uiPriority w:val="0"/>
    <w:rPr>
      <w:rFonts w:ascii="Symbol" w:hAnsi="Symbol" w:cs="Symbol"/>
    </w:rPr>
  </w:style>
  <w:style w:type="character" w:customStyle="1" w:styleId="296">
    <w:name w:val="WW8Num240z0"/>
    <w:qFormat/>
    <w:uiPriority w:val="0"/>
    <w:rPr>
      <w:rFonts w:ascii="Symbol" w:hAnsi="Symbol" w:eastAsia="Times New Roman" w:cs="Times New Roman"/>
    </w:rPr>
  </w:style>
  <w:style w:type="character" w:customStyle="1" w:styleId="297">
    <w:name w:val="WW8Num240z1"/>
    <w:qFormat/>
    <w:uiPriority w:val="0"/>
    <w:rPr>
      <w:rFonts w:ascii="Courier New" w:hAnsi="Courier New" w:cs="Courier New"/>
    </w:rPr>
  </w:style>
  <w:style w:type="character" w:customStyle="1" w:styleId="298">
    <w:name w:val="WW8Num240z2"/>
    <w:qFormat/>
    <w:uiPriority w:val="0"/>
    <w:rPr>
      <w:rFonts w:ascii="Wingdings" w:hAnsi="Wingdings" w:cs="Wingdings"/>
    </w:rPr>
  </w:style>
  <w:style w:type="character" w:customStyle="1" w:styleId="299">
    <w:name w:val="WW8Num240z3"/>
    <w:qFormat/>
    <w:uiPriority w:val="0"/>
    <w:rPr>
      <w:rFonts w:ascii="Symbol" w:hAnsi="Symbol" w:cs="Symbol"/>
    </w:rPr>
  </w:style>
  <w:style w:type="character" w:customStyle="1" w:styleId="300">
    <w:name w:val="WW8Num241z0"/>
    <w:qFormat/>
    <w:uiPriority w:val="0"/>
    <w:rPr>
      <w:b/>
    </w:rPr>
  </w:style>
  <w:style w:type="character" w:customStyle="1" w:styleId="301">
    <w:name w:val="WW8Num242z0"/>
    <w:qFormat/>
    <w:uiPriority w:val="0"/>
    <w:rPr>
      <w:b/>
    </w:rPr>
  </w:style>
  <w:style w:type="character" w:customStyle="1" w:styleId="302">
    <w:name w:val="WW8Num243z0"/>
    <w:qFormat/>
    <w:uiPriority w:val="0"/>
    <w:rPr>
      <w:b/>
    </w:rPr>
  </w:style>
  <w:style w:type="character" w:customStyle="1" w:styleId="303">
    <w:name w:val="WW8Num244z0"/>
    <w:qFormat/>
    <w:uiPriority w:val="0"/>
    <w:rPr>
      <w:b/>
    </w:rPr>
  </w:style>
  <w:style w:type="character" w:customStyle="1" w:styleId="304">
    <w:name w:val="WW8Num246z0"/>
    <w:qFormat/>
    <w:uiPriority w:val="0"/>
    <w:rPr>
      <w:rFonts w:ascii="Symbol" w:hAnsi="Symbol" w:cs="Symbol"/>
    </w:rPr>
  </w:style>
  <w:style w:type="character" w:customStyle="1" w:styleId="305">
    <w:name w:val="WW8Num247z0"/>
    <w:qFormat/>
    <w:uiPriority w:val="0"/>
    <w:rPr>
      <w:b/>
    </w:rPr>
  </w:style>
  <w:style w:type="character" w:customStyle="1" w:styleId="306">
    <w:name w:val="WW8Num248z0"/>
    <w:qFormat/>
    <w:uiPriority w:val="0"/>
    <w:rPr>
      <w:b/>
    </w:rPr>
  </w:style>
  <w:style w:type="character" w:customStyle="1" w:styleId="307">
    <w:name w:val="WW8Num252z0"/>
    <w:qFormat/>
    <w:uiPriority w:val="0"/>
    <w:rPr>
      <w:b/>
    </w:rPr>
  </w:style>
  <w:style w:type="character" w:customStyle="1" w:styleId="308">
    <w:name w:val="WW8Num255z0"/>
    <w:qFormat/>
    <w:uiPriority w:val="0"/>
    <w:rPr>
      <w:b/>
    </w:rPr>
  </w:style>
  <w:style w:type="character" w:customStyle="1" w:styleId="309">
    <w:name w:val="WW8Num256z0"/>
    <w:qFormat/>
    <w:uiPriority w:val="0"/>
    <w:rPr>
      <w:b/>
    </w:rPr>
  </w:style>
  <w:style w:type="character" w:customStyle="1" w:styleId="310">
    <w:name w:val="WW8Num258z0"/>
    <w:qFormat/>
    <w:uiPriority w:val="0"/>
    <w:rPr>
      <w:b/>
    </w:rPr>
  </w:style>
  <w:style w:type="character" w:customStyle="1" w:styleId="311">
    <w:name w:val="WW8Num259z0"/>
    <w:qFormat/>
    <w:uiPriority w:val="0"/>
    <w:rPr>
      <w:b/>
    </w:rPr>
  </w:style>
  <w:style w:type="character" w:customStyle="1" w:styleId="312">
    <w:name w:val="WW8Num260z0"/>
    <w:qFormat/>
    <w:uiPriority w:val="0"/>
    <w:rPr>
      <w:rFonts w:ascii="Symbol" w:hAnsi="Symbol" w:cs="Symbol"/>
      <w:sz w:val="16"/>
    </w:rPr>
  </w:style>
  <w:style w:type="character" w:customStyle="1" w:styleId="313">
    <w:name w:val="WW8Num261z0"/>
    <w:qFormat/>
    <w:uiPriority w:val="0"/>
    <w:rPr>
      <w:b/>
    </w:rPr>
  </w:style>
  <w:style w:type="character" w:customStyle="1" w:styleId="314">
    <w:name w:val="WW8Num263z0"/>
    <w:qFormat/>
    <w:uiPriority w:val="0"/>
    <w:rPr>
      <w:b/>
    </w:rPr>
  </w:style>
  <w:style w:type="character" w:customStyle="1" w:styleId="315">
    <w:name w:val="WW8Num269z1"/>
    <w:qFormat/>
    <w:uiPriority w:val="0"/>
    <w:rPr>
      <w:b/>
    </w:rPr>
  </w:style>
  <w:style w:type="character" w:customStyle="1" w:styleId="316">
    <w:name w:val="WW8Num280z0"/>
    <w:qFormat/>
    <w:uiPriority w:val="0"/>
    <w:rPr>
      <w:rFonts w:ascii="Times New Roman" w:hAnsi="Times New Roman" w:cs="Times New Roman"/>
      <w:b/>
      <w:sz w:val="18"/>
    </w:rPr>
  </w:style>
  <w:style w:type="character" w:customStyle="1" w:styleId="317">
    <w:name w:val="WW8Num281z0"/>
    <w:qFormat/>
    <w:uiPriority w:val="0"/>
    <w:rPr>
      <w:b/>
    </w:rPr>
  </w:style>
  <w:style w:type="character" w:customStyle="1" w:styleId="318">
    <w:name w:val="WW8Num282z0"/>
    <w:qFormat/>
    <w:uiPriority w:val="0"/>
    <w:rPr>
      <w:b/>
    </w:rPr>
  </w:style>
  <w:style w:type="character" w:customStyle="1" w:styleId="319">
    <w:name w:val="WW8Num283z0"/>
    <w:qFormat/>
    <w:uiPriority w:val="0"/>
    <w:rPr>
      <w:b/>
    </w:rPr>
  </w:style>
  <w:style w:type="character" w:customStyle="1" w:styleId="320">
    <w:name w:val="WW8Num284z0"/>
    <w:qFormat/>
    <w:uiPriority w:val="0"/>
    <w:rPr>
      <w:rFonts w:ascii="Times New Roman" w:hAnsi="Times New Roman" w:cs="Times New Roman"/>
      <w:sz w:val="24"/>
    </w:rPr>
  </w:style>
  <w:style w:type="character" w:customStyle="1" w:styleId="321">
    <w:name w:val="WW8Num285z0"/>
    <w:qFormat/>
    <w:uiPriority w:val="0"/>
    <w:rPr>
      <w:b/>
    </w:rPr>
  </w:style>
  <w:style w:type="character" w:customStyle="1" w:styleId="322">
    <w:name w:val="WW8Num286z0"/>
    <w:qFormat/>
    <w:uiPriority w:val="0"/>
    <w:rPr>
      <w:b/>
    </w:rPr>
  </w:style>
  <w:style w:type="character" w:customStyle="1" w:styleId="323">
    <w:name w:val="WW8Num301z0"/>
    <w:qFormat/>
    <w:uiPriority w:val="0"/>
    <w:rPr>
      <w:b/>
    </w:rPr>
  </w:style>
  <w:style w:type="character" w:customStyle="1" w:styleId="324">
    <w:name w:val="WW8Num303z0"/>
    <w:qFormat/>
    <w:uiPriority w:val="0"/>
    <w:rPr>
      <w:rFonts w:ascii="Symbol" w:hAnsi="Symbol" w:cs="Symbol"/>
    </w:rPr>
  </w:style>
  <w:style w:type="character" w:customStyle="1" w:styleId="325">
    <w:name w:val="WW8Num309z0"/>
    <w:qFormat/>
    <w:uiPriority w:val="0"/>
    <w:rPr>
      <w:b/>
    </w:rPr>
  </w:style>
  <w:style w:type="character" w:customStyle="1" w:styleId="326">
    <w:name w:val="WW8Num309z1"/>
    <w:qFormat/>
    <w:uiPriority w:val="0"/>
    <w:rPr>
      <w:rFonts w:ascii="Courier New" w:hAnsi="Courier New" w:cs="Courier New"/>
    </w:rPr>
  </w:style>
  <w:style w:type="character" w:customStyle="1" w:styleId="327">
    <w:name w:val="WW8Num309z2"/>
    <w:qFormat/>
    <w:uiPriority w:val="0"/>
    <w:rPr>
      <w:rFonts w:ascii="Wingdings" w:hAnsi="Wingdings" w:cs="Wingdings"/>
    </w:rPr>
  </w:style>
  <w:style w:type="character" w:customStyle="1" w:styleId="328">
    <w:name w:val="WW8Num309z3"/>
    <w:qFormat/>
    <w:uiPriority w:val="0"/>
    <w:rPr>
      <w:rFonts w:ascii="Symbol" w:hAnsi="Symbol" w:cs="Symbol"/>
    </w:rPr>
  </w:style>
  <w:style w:type="character" w:customStyle="1" w:styleId="329">
    <w:name w:val="WW8Num313z0"/>
    <w:qFormat/>
    <w:uiPriority w:val="0"/>
    <w:rPr>
      <w:b/>
    </w:rPr>
  </w:style>
  <w:style w:type="character" w:customStyle="1" w:styleId="330">
    <w:name w:val="WW8Num317z0"/>
    <w:qFormat/>
    <w:uiPriority w:val="0"/>
    <w:rPr>
      <w:b/>
    </w:rPr>
  </w:style>
  <w:style w:type="character" w:customStyle="1" w:styleId="331">
    <w:name w:val="WW8Num320z0"/>
    <w:qFormat/>
    <w:uiPriority w:val="0"/>
    <w:rPr>
      <w:b/>
    </w:rPr>
  </w:style>
  <w:style w:type="character" w:customStyle="1" w:styleId="332">
    <w:name w:val="WW8Num320z1"/>
    <w:qFormat/>
    <w:uiPriority w:val="0"/>
    <w:rPr>
      <w:rFonts w:ascii="Times New Roman" w:hAnsi="Times New Roman" w:cs="Times New Roman"/>
      <w:b/>
      <w:sz w:val="22"/>
    </w:rPr>
  </w:style>
  <w:style w:type="character" w:customStyle="1" w:styleId="333">
    <w:name w:val="WW8Num321z0"/>
    <w:qFormat/>
    <w:uiPriority w:val="0"/>
    <w:rPr>
      <w:b/>
    </w:rPr>
  </w:style>
  <w:style w:type="character" w:customStyle="1" w:styleId="334">
    <w:name w:val="WW8Num321z1"/>
    <w:qFormat/>
    <w:uiPriority w:val="0"/>
    <w:rPr>
      <w:rFonts w:ascii="Times New Roman" w:hAnsi="Times New Roman" w:cs="Times New Roman"/>
      <w:b/>
      <w:sz w:val="22"/>
    </w:rPr>
  </w:style>
  <w:style w:type="character" w:customStyle="1" w:styleId="335">
    <w:name w:val="WW8Num324z0"/>
    <w:qFormat/>
    <w:uiPriority w:val="0"/>
    <w:rPr>
      <w:rFonts w:ascii="Times New Roman" w:hAnsi="Times New Roman" w:cs="Times New Roman"/>
      <w:b/>
      <w:sz w:val="18"/>
    </w:rPr>
  </w:style>
  <w:style w:type="character" w:customStyle="1" w:styleId="336">
    <w:name w:val="WW8Num325z0"/>
    <w:qFormat/>
    <w:uiPriority w:val="0"/>
    <w:rPr>
      <w:rFonts w:ascii="Symbol" w:hAnsi="Symbol" w:cs="Symbol"/>
    </w:rPr>
  </w:style>
  <w:style w:type="character" w:customStyle="1" w:styleId="337">
    <w:name w:val="WW8Num325z1"/>
    <w:qFormat/>
    <w:uiPriority w:val="0"/>
    <w:rPr>
      <w:rFonts w:ascii="Courier New" w:hAnsi="Courier New" w:cs="Courier New"/>
    </w:rPr>
  </w:style>
  <w:style w:type="character" w:customStyle="1" w:styleId="338">
    <w:name w:val="WW8Num325z2"/>
    <w:qFormat/>
    <w:uiPriority w:val="0"/>
    <w:rPr>
      <w:rFonts w:ascii="Wingdings" w:hAnsi="Wingdings" w:cs="Wingdings"/>
    </w:rPr>
  </w:style>
  <w:style w:type="character" w:customStyle="1" w:styleId="339">
    <w:name w:val="WW8Num326z0"/>
    <w:qFormat/>
    <w:uiPriority w:val="0"/>
    <w:rPr>
      <w:rFonts w:ascii="Times New Roman" w:hAnsi="Times New Roman" w:cs="Times New Roman"/>
      <w:b/>
      <w:sz w:val="24"/>
      <w:u w:val="none"/>
    </w:rPr>
  </w:style>
  <w:style w:type="character" w:customStyle="1" w:styleId="340">
    <w:name w:val="WW8Num327z2"/>
    <w:qFormat/>
    <w:uiPriority w:val="0"/>
    <w:rPr>
      <w:rFonts w:ascii="Times New Roman" w:hAnsi="Times New Roman" w:eastAsia="Times New Roman" w:cs="Times New Roman"/>
    </w:rPr>
  </w:style>
  <w:style w:type="character" w:customStyle="1" w:styleId="341">
    <w:name w:val="WW8Num328z0"/>
    <w:qFormat/>
    <w:uiPriority w:val="0"/>
    <w:rPr>
      <w:b/>
    </w:rPr>
  </w:style>
  <w:style w:type="character" w:customStyle="1" w:styleId="342">
    <w:name w:val="WW8Num334z0"/>
    <w:qFormat/>
    <w:uiPriority w:val="0"/>
    <w:rPr>
      <w:b/>
    </w:rPr>
  </w:style>
  <w:style w:type="character" w:customStyle="1" w:styleId="343">
    <w:name w:val="WW8Num336z0"/>
    <w:qFormat/>
    <w:uiPriority w:val="0"/>
    <w:rPr>
      <w:b/>
    </w:rPr>
  </w:style>
  <w:style w:type="character" w:customStyle="1" w:styleId="344">
    <w:name w:val="WW8Num337z0"/>
    <w:qFormat/>
    <w:uiPriority w:val="0"/>
    <w:rPr>
      <w:b/>
    </w:rPr>
  </w:style>
  <w:style w:type="character" w:customStyle="1" w:styleId="345">
    <w:name w:val="WW8Num339z0"/>
    <w:qFormat/>
    <w:uiPriority w:val="0"/>
    <w:rPr>
      <w:rFonts w:ascii="Symbol" w:hAnsi="Symbol" w:cs="Symbol"/>
    </w:rPr>
  </w:style>
  <w:style w:type="character" w:customStyle="1" w:styleId="346">
    <w:name w:val="WW8Num344z0"/>
    <w:qFormat/>
    <w:uiPriority w:val="0"/>
    <w:rPr>
      <w:rFonts w:ascii="Wingdings" w:hAnsi="Wingdings" w:cs="Wingdings"/>
    </w:rPr>
  </w:style>
  <w:style w:type="character" w:customStyle="1" w:styleId="347">
    <w:name w:val="WW8Num344z1"/>
    <w:qFormat/>
    <w:uiPriority w:val="0"/>
    <w:rPr>
      <w:rFonts w:ascii="Courier New" w:hAnsi="Courier New" w:cs="Courier New"/>
    </w:rPr>
  </w:style>
  <w:style w:type="character" w:customStyle="1" w:styleId="348">
    <w:name w:val="WW8Num344z3"/>
    <w:qFormat/>
    <w:uiPriority w:val="0"/>
    <w:rPr>
      <w:rFonts w:ascii="Symbol" w:hAnsi="Symbol" w:cs="Symbol"/>
    </w:rPr>
  </w:style>
  <w:style w:type="character" w:customStyle="1" w:styleId="349">
    <w:name w:val="WW8Num346z6"/>
    <w:qFormat/>
    <w:uiPriority w:val="0"/>
    <w:rPr>
      <w:rFonts w:ascii="Arial" w:hAnsi="Arial" w:cs="Arial"/>
      <w:b/>
      <w:caps/>
      <w:sz w:val="24"/>
    </w:rPr>
  </w:style>
  <w:style w:type="character" w:customStyle="1" w:styleId="350">
    <w:name w:val="WW8Num350z0"/>
    <w:qFormat/>
    <w:uiPriority w:val="0"/>
    <w:rPr>
      <w:rFonts w:ascii="Times New Roman" w:hAnsi="Times New Roman" w:cs="Times New Roman"/>
      <w:b/>
      <w:sz w:val="18"/>
    </w:rPr>
  </w:style>
  <w:style w:type="character" w:customStyle="1" w:styleId="351">
    <w:name w:val="WW8Num350z1"/>
    <w:qFormat/>
    <w:uiPriority w:val="0"/>
    <w:rPr>
      <w:b/>
    </w:rPr>
  </w:style>
  <w:style w:type="character" w:customStyle="1" w:styleId="352">
    <w:name w:val="WW8Num352z0"/>
    <w:qFormat/>
    <w:uiPriority w:val="0"/>
    <w:rPr>
      <w:rFonts w:ascii="Symbol" w:hAnsi="Symbol" w:cs="Symbol"/>
    </w:rPr>
  </w:style>
  <w:style w:type="character" w:customStyle="1" w:styleId="353">
    <w:name w:val="WW8Num354z0"/>
    <w:qFormat/>
    <w:uiPriority w:val="0"/>
    <w:rPr>
      <w:b/>
    </w:rPr>
  </w:style>
  <w:style w:type="character" w:customStyle="1" w:styleId="354">
    <w:name w:val="WW8Num356z0"/>
    <w:qFormat/>
    <w:uiPriority w:val="0"/>
    <w:rPr>
      <w:b/>
    </w:rPr>
  </w:style>
  <w:style w:type="character" w:customStyle="1" w:styleId="355">
    <w:name w:val="WW8Num356z1"/>
    <w:qFormat/>
    <w:uiPriority w:val="0"/>
    <w:rPr>
      <w:rFonts w:ascii="Times New Roman" w:hAnsi="Times New Roman" w:cs="Times New Roman"/>
      <w:b/>
      <w:sz w:val="22"/>
    </w:rPr>
  </w:style>
  <w:style w:type="character" w:customStyle="1" w:styleId="356">
    <w:name w:val="WW8Num358z0"/>
    <w:qFormat/>
    <w:uiPriority w:val="0"/>
  </w:style>
  <w:style w:type="character" w:customStyle="1" w:styleId="357">
    <w:name w:val="WW8Num362z0"/>
    <w:qFormat/>
    <w:uiPriority w:val="0"/>
    <w:rPr>
      <w:rFonts w:ascii="Times New Roman" w:hAnsi="Times New Roman" w:cs="Times New Roman"/>
      <w:b/>
      <w:sz w:val="22"/>
    </w:rPr>
  </w:style>
  <w:style w:type="character" w:customStyle="1" w:styleId="358">
    <w:name w:val="WW8Num363z0"/>
    <w:qFormat/>
    <w:uiPriority w:val="0"/>
    <w:rPr>
      <w:b/>
    </w:rPr>
  </w:style>
  <w:style w:type="character" w:customStyle="1" w:styleId="359">
    <w:name w:val="WW8Num365z0"/>
    <w:qFormat/>
    <w:uiPriority w:val="0"/>
    <w:rPr>
      <w:rFonts w:ascii="Symbol" w:hAnsi="Symbol" w:cs="Symbol"/>
    </w:rPr>
  </w:style>
  <w:style w:type="character" w:customStyle="1" w:styleId="360">
    <w:name w:val="WW8Num366z0"/>
    <w:qFormat/>
    <w:uiPriority w:val="0"/>
    <w:rPr>
      <w:b/>
    </w:rPr>
  </w:style>
  <w:style w:type="character" w:customStyle="1" w:styleId="361">
    <w:name w:val="WW8Num368z0"/>
    <w:qFormat/>
    <w:uiPriority w:val="0"/>
    <w:rPr>
      <w:b/>
    </w:rPr>
  </w:style>
  <w:style w:type="character" w:customStyle="1" w:styleId="362">
    <w:name w:val="WW8Num370z0"/>
    <w:qFormat/>
    <w:uiPriority w:val="0"/>
    <w:rPr>
      <w:b/>
    </w:rPr>
  </w:style>
  <w:style w:type="character" w:customStyle="1" w:styleId="363">
    <w:name w:val="WW8Num375z0"/>
    <w:qFormat/>
    <w:uiPriority w:val="0"/>
    <w:rPr>
      <w:rFonts w:ascii="Times New Roman" w:hAnsi="Times New Roman" w:cs="Times New Roman"/>
      <w:sz w:val="24"/>
      <w:u w:val="none"/>
    </w:rPr>
  </w:style>
  <w:style w:type="character" w:customStyle="1" w:styleId="364">
    <w:name w:val="WW8Num376z0"/>
    <w:qFormat/>
    <w:uiPriority w:val="0"/>
    <w:rPr>
      <w:rFonts w:ascii="Symbol" w:hAnsi="Symbol" w:cs="Symbol"/>
    </w:rPr>
  </w:style>
  <w:style w:type="character" w:customStyle="1" w:styleId="365">
    <w:name w:val="WW8Num378z0"/>
    <w:qFormat/>
    <w:uiPriority w:val="0"/>
    <w:rPr>
      <w:b/>
    </w:rPr>
  </w:style>
  <w:style w:type="character" w:customStyle="1" w:styleId="366">
    <w:name w:val="WW8Num380z0"/>
    <w:qFormat/>
    <w:uiPriority w:val="0"/>
    <w:rPr>
      <w:rFonts w:ascii="Times New Roman" w:hAnsi="Times New Roman" w:cs="Times New Roman"/>
    </w:rPr>
  </w:style>
  <w:style w:type="character" w:customStyle="1" w:styleId="367">
    <w:name w:val="WW8Num381z0"/>
    <w:qFormat/>
    <w:uiPriority w:val="0"/>
    <w:rPr>
      <w:rFonts w:ascii="Symbol" w:hAnsi="Symbol" w:cs="Symbol"/>
    </w:rPr>
  </w:style>
  <w:style w:type="character" w:customStyle="1" w:styleId="368">
    <w:name w:val="WW8Num383z0"/>
    <w:qFormat/>
    <w:uiPriority w:val="0"/>
    <w:rPr>
      <w:b/>
    </w:rPr>
  </w:style>
  <w:style w:type="character" w:customStyle="1" w:styleId="369">
    <w:name w:val="WW8Num387z0"/>
    <w:qFormat/>
    <w:uiPriority w:val="0"/>
    <w:rPr>
      <w:b/>
    </w:rPr>
  </w:style>
  <w:style w:type="character" w:customStyle="1" w:styleId="370">
    <w:name w:val="WW8Num388z0"/>
    <w:qFormat/>
    <w:uiPriority w:val="0"/>
    <w:rPr>
      <w:rFonts w:ascii="Times New Roman" w:hAnsi="Times New Roman" w:cs="Times New Roman"/>
      <w:b/>
      <w:sz w:val="18"/>
    </w:rPr>
  </w:style>
  <w:style w:type="character" w:customStyle="1" w:styleId="371">
    <w:name w:val="WW8Num389z0"/>
    <w:qFormat/>
    <w:uiPriority w:val="0"/>
    <w:rPr>
      <w:rFonts w:ascii="Times New Roman" w:hAnsi="Times New Roman" w:cs="Times New Roman"/>
    </w:rPr>
  </w:style>
  <w:style w:type="character" w:customStyle="1" w:styleId="372">
    <w:name w:val="WW8Num396z0"/>
    <w:qFormat/>
    <w:uiPriority w:val="0"/>
    <w:rPr>
      <w:rFonts w:ascii="Wingdings" w:hAnsi="Wingdings" w:cs="Wingdings"/>
    </w:rPr>
  </w:style>
  <w:style w:type="character" w:customStyle="1" w:styleId="373">
    <w:name w:val="WW8Num397z0"/>
    <w:qFormat/>
    <w:uiPriority w:val="0"/>
    <w:rPr>
      <w:rFonts w:ascii="Times New Roman" w:hAnsi="Times New Roman" w:cs="Times New Roman"/>
      <w:b/>
      <w:sz w:val="22"/>
    </w:rPr>
  </w:style>
  <w:style w:type="character" w:customStyle="1" w:styleId="374">
    <w:name w:val="WW8Num398z0"/>
    <w:qFormat/>
    <w:uiPriority w:val="0"/>
    <w:rPr>
      <w:b/>
    </w:rPr>
  </w:style>
  <w:style w:type="character" w:customStyle="1" w:styleId="375">
    <w:name w:val="WW8Num399z0"/>
    <w:qFormat/>
    <w:uiPriority w:val="0"/>
  </w:style>
  <w:style w:type="character" w:customStyle="1" w:styleId="376">
    <w:name w:val="WW8Num400z0"/>
    <w:qFormat/>
    <w:uiPriority w:val="0"/>
    <w:rPr>
      <w:b/>
    </w:rPr>
  </w:style>
  <w:style w:type="character" w:customStyle="1" w:styleId="377">
    <w:name w:val="WW8Num403z0"/>
    <w:qFormat/>
    <w:uiPriority w:val="0"/>
    <w:rPr>
      <w:sz w:val="24"/>
    </w:rPr>
  </w:style>
  <w:style w:type="character" w:customStyle="1" w:styleId="378">
    <w:name w:val="WW8Num404z0"/>
    <w:qFormat/>
    <w:uiPriority w:val="0"/>
    <w:rPr>
      <w:rFonts w:ascii="Symbol" w:hAnsi="Symbol" w:cs="Symbol"/>
    </w:rPr>
  </w:style>
  <w:style w:type="character" w:customStyle="1" w:styleId="379">
    <w:name w:val="WW8Num407z0"/>
    <w:qFormat/>
    <w:uiPriority w:val="0"/>
    <w:rPr>
      <w:rFonts w:ascii="Times New Roman" w:hAnsi="Times New Roman" w:cs="Times New Roman"/>
    </w:rPr>
  </w:style>
  <w:style w:type="character" w:customStyle="1" w:styleId="380">
    <w:name w:val="WW8Num411z0"/>
    <w:qFormat/>
    <w:uiPriority w:val="0"/>
    <w:rPr>
      <w:rFonts w:ascii="Wingdings" w:hAnsi="Wingdings" w:cs="Wingdings"/>
    </w:rPr>
  </w:style>
  <w:style w:type="character" w:customStyle="1" w:styleId="381">
    <w:name w:val="WW8Num411z1"/>
    <w:qFormat/>
    <w:uiPriority w:val="0"/>
    <w:rPr>
      <w:rFonts w:ascii="Courier New" w:hAnsi="Courier New" w:cs="Courier New"/>
    </w:rPr>
  </w:style>
  <w:style w:type="character" w:customStyle="1" w:styleId="382">
    <w:name w:val="WW8Num411z3"/>
    <w:qFormat/>
    <w:uiPriority w:val="0"/>
    <w:rPr>
      <w:rFonts w:ascii="Symbol" w:hAnsi="Symbol" w:cs="Symbol"/>
    </w:rPr>
  </w:style>
  <w:style w:type="character" w:customStyle="1" w:styleId="383">
    <w:name w:val="WW8Num412z0"/>
    <w:qFormat/>
    <w:uiPriority w:val="0"/>
    <w:rPr>
      <w:rFonts w:ascii="Times New Roman" w:hAnsi="Times New Roman" w:eastAsia="Times New Roman" w:cs="Times New Roman"/>
    </w:rPr>
  </w:style>
  <w:style w:type="character" w:customStyle="1" w:styleId="384">
    <w:name w:val="WW8Num412z1"/>
    <w:qFormat/>
    <w:uiPriority w:val="0"/>
    <w:rPr>
      <w:rFonts w:ascii="Courier New" w:hAnsi="Courier New" w:cs="Courier New"/>
    </w:rPr>
  </w:style>
  <w:style w:type="character" w:customStyle="1" w:styleId="385">
    <w:name w:val="WW8Num412z2"/>
    <w:qFormat/>
    <w:uiPriority w:val="0"/>
    <w:rPr>
      <w:rFonts w:ascii="Wingdings" w:hAnsi="Wingdings" w:cs="Wingdings"/>
    </w:rPr>
  </w:style>
  <w:style w:type="character" w:customStyle="1" w:styleId="386">
    <w:name w:val="WW8Num412z3"/>
    <w:qFormat/>
    <w:uiPriority w:val="0"/>
    <w:rPr>
      <w:rFonts w:ascii="Symbol" w:hAnsi="Symbol" w:cs="Symbol"/>
    </w:rPr>
  </w:style>
  <w:style w:type="character" w:customStyle="1" w:styleId="387">
    <w:name w:val="WW8Num415z1"/>
    <w:qFormat/>
    <w:uiPriority w:val="0"/>
    <w:rPr>
      <w:b/>
    </w:rPr>
  </w:style>
  <w:style w:type="character" w:customStyle="1" w:styleId="388">
    <w:name w:val="WW8Num418z0"/>
    <w:qFormat/>
    <w:uiPriority w:val="0"/>
    <w:rPr>
      <w:b/>
    </w:rPr>
  </w:style>
  <w:style w:type="character" w:customStyle="1" w:styleId="389">
    <w:name w:val="WW8Num420z0"/>
    <w:qFormat/>
    <w:uiPriority w:val="0"/>
    <w:rPr>
      <w:rFonts w:ascii="Times New Roman" w:hAnsi="Times New Roman" w:cs="Times New Roman"/>
    </w:rPr>
  </w:style>
  <w:style w:type="character" w:customStyle="1" w:styleId="390">
    <w:name w:val="WW8Num422z0"/>
    <w:qFormat/>
    <w:uiPriority w:val="0"/>
    <w:rPr>
      <w:b/>
    </w:rPr>
  </w:style>
  <w:style w:type="character" w:customStyle="1" w:styleId="391">
    <w:name w:val="WW8Num423z0"/>
    <w:qFormat/>
    <w:uiPriority w:val="0"/>
    <w:rPr>
      <w:b/>
    </w:rPr>
  </w:style>
  <w:style w:type="character" w:customStyle="1" w:styleId="392">
    <w:name w:val="WW8Num424z0"/>
    <w:qFormat/>
    <w:uiPriority w:val="0"/>
    <w:rPr>
      <w:rFonts w:ascii="Wingdings" w:hAnsi="Wingdings" w:cs="Wingdings"/>
    </w:rPr>
  </w:style>
  <w:style w:type="character" w:customStyle="1" w:styleId="393">
    <w:name w:val="WW8Num425z0"/>
    <w:qFormat/>
    <w:uiPriority w:val="0"/>
    <w:rPr>
      <w:rFonts w:ascii="Times New Roman" w:hAnsi="Times New Roman" w:cs="Times New Roman"/>
      <w:b/>
      <w:sz w:val="18"/>
    </w:rPr>
  </w:style>
  <w:style w:type="character" w:customStyle="1" w:styleId="394">
    <w:name w:val="WW8Num430z0"/>
    <w:qFormat/>
    <w:uiPriority w:val="0"/>
    <w:rPr>
      <w:rFonts w:ascii="Times New Roman" w:hAnsi="Times New Roman" w:cs="Times New Roman"/>
      <w:b/>
      <w:sz w:val="18"/>
    </w:rPr>
  </w:style>
  <w:style w:type="character" w:customStyle="1" w:styleId="395">
    <w:name w:val="WW8Num431z0"/>
    <w:qFormat/>
    <w:uiPriority w:val="0"/>
    <w:rPr>
      <w:rFonts w:ascii="Times New Roman" w:hAnsi="Times New Roman" w:cs="Times New Roman"/>
      <w:b/>
      <w:sz w:val="18"/>
    </w:rPr>
  </w:style>
  <w:style w:type="character" w:customStyle="1" w:styleId="396">
    <w:name w:val="WW8Num432z0"/>
    <w:qFormat/>
    <w:uiPriority w:val="0"/>
    <w:rPr>
      <w:rFonts w:ascii="Wingdings" w:hAnsi="Wingdings" w:cs="Wingdings"/>
    </w:rPr>
  </w:style>
  <w:style w:type="character" w:customStyle="1" w:styleId="397">
    <w:name w:val="WW8Num434z0"/>
    <w:qFormat/>
    <w:uiPriority w:val="0"/>
    <w:rPr>
      <w:b/>
    </w:rPr>
  </w:style>
  <w:style w:type="character" w:customStyle="1" w:styleId="398">
    <w:name w:val="WW8Num435z0"/>
    <w:qFormat/>
    <w:uiPriority w:val="0"/>
    <w:rPr>
      <w:b/>
    </w:rPr>
  </w:style>
  <w:style w:type="character" w:customStyle="1" w:styleId="399">
    <w:name w:val="WW8Num438z0"/>
    <w:qFormat/>
    <w:uiPriority w:val="0"/>
    <w:rPr>
      <w:rFonts w:ascii="Times New Roman" w:hAnsi="Times New Roman" w:eastAsia="Times New Roman" w:cs="Times New Roman"/>
    </w:rPr>
  </w:style>
  <w:style w:type="character" w:customStyle="1" w:styleId="400">
    <w:name w:val="WW8Num438z1"/>
    <w:qFormat/>
    <w:uiPriority w:val="0"/>
    <w:rPr>
      <w:rFonts w:ascii="Courier New" w:hAnsi="Courier New" w:cs="Courier New"/>
    </w:rPr>
  </w:style>
  <w:style w:type="character" w:customStyle="1" w:styleId="401">
    <w:name w:val="WW8Num438z2"/>
    <w:qFormat/>
    <w:uiPriority w:val="0"/>
    <w:rPr>
      <w:rFonts w:ascii="Wingdings" w:hAnsi="Wingdings" w:cs="Wingdings"/>
    </w:rPr>
  </w:style>
  <w:style w:type="character" w:customStyle="1" w:styleId="402">
    <w:name w:val="WW8Num438z3"/>
    <w:qFormat/>
    <w:uiPriority w:val="0"/>
    <w:rPr>
      <w:rFonts w:ascii="Symbol" w:hAnsi="Symbol" w:cs="Symbol"/>
    </w:rPr>
  </w:style>
  <w:style w:type="character" w:customStyle="1" w:styleId="403">
    <w:name w:val="WW8Num440z0"/>
    <w:qFormat/>
    <w:uiPriority w:val="0"/>
    <w:rPr>
      <w:rFonts w:ascii="Times New Roman" w:hAnsi="Times New Roman" w:cs="Times New Roman"/>
      <w:b/>
      <w:sz w:val="22"/>
    </w:rPr>
  </w:style>
  <w:style w:type="character" w:customStyle="1" w:styleId="404">
    <w:name w:val="WW8Num446z0"/>
    <w:qFormat/>
    <w:uiPriority w:val="0"/>
    <w:rPr>
      <w:b/>
    </w:rPr>
  </w:style>
  <w:style w:type="character" w:customStyle="1" w:styleId="405">
    <w:name w:val="WW8Num447z0"/>
    <w:qFormat/>
    <w:uiPriority w:val="0"/>
    <w:rPr>
      <w:b/>
    </w:rPr>
  </w:style>
  <w:style w:type="character" w:customStyle="1" w:styleId="406">
    <w:name w:val="WW8Num448z0"/>
    <w:qFormat/>
    <w:uiPriority w:val="0"/>
    <w:rPr>
      <w:b/>
    </w:rPr>
  </w:style>
  <w:style w:type="character" w:customStyle="1" w:styleId="407">
    <w:name w:val="WW8Num449z0"/>
    <w:qFormat/>
    <w:uiPriority w:val="0"/>
    <w:rPr>
      <w:b/>
    </w:rPr>
  </w:style>
  <w:style w:type="character" w:customStyle="1" w:styleId="408">
    <w:name w:val="WW8Num451z0"/>
    <w:qFormat/>
    <w:uiPriority w:val="0"/>
    <w:rPr>
      <w:rFonts w:ascii="Times New Roman" w:hAnsi="Times New Roman" w:cs="Times New Roman"/>
    </w:rPr>
  </w:style>
  <w:style w:type="character" w:customStyle="1" w:styleId="409">
    <w:name w:val="WW8Num455z0"/>
    <w:qFormat/>
    <w:uiPriority w:val="0"/>
    <w:rPr>
      <w:rFonts w:ascii="Times New Roman" w:hAnsi="Times New Roman" w:cs="Times New Roman"/>
      <w:b/>
      <w:sz w:val="22"/>
    </w:rPr>
  </w:style>
  <w:style w:type="character" w:customStyle="1" w:styleId="410">
    <w:name w:val="WW8Num456z0"/>
    <w:qFormat/>
    <w:uiPriority w:val="0"/>
    <w:rPr>
      <w:b/>
    </w:rPr>
  </w:style>
  <w:style w:type="character" w:customStyle="1" w:styleId="411">
    <w:name w:val="WW8Num460z0"/>
    <w:qFormat/>
    <w:uiPriority w:val="0"/>
    <w:rPr>
      <w:b/>
    </w:rPr>
  </w:style>
  <w:style w:type="character" w:customStyle="1" w:styleId="412">
    <w:name w:val="WW8Num463z0"/>
    <w:qFormat/>
    <w:uiPriority w:val="0"/>
    <w:rPr>
      <w:b/>
    </w:rPr>
  </w:style>
  <w:style w:type="character" w:customStyle="1" w:styleId="413">
    <w:name w:val="WW8Num464z0"/>
    <w:qFormat/>
    <w:uiPriority w:val="0"/>
    <w:rPr>
      <w:rFonts w:ascii="Times New Roman" w:hAnsi="Times New Roman" w:cs="Times New Roman"/>
      <w:b/>
      <w:sz w:val="18"/>
    </w:rPr>
  </w:style>
  <w:style w:type="character" w:customStyle="1" w:styleId="414">
    <w:name w:val="WW8Num466z0"/>
    <w:qFormat/>
    <w:uiPriority w:val="0"/>
    <w:rPr>
      <w:rFonts w:ascii="Times New Roman" w:hAnsi="Times New Roman" w:eastAsia="Times New Roman" w:cs="Times New Roman"/>
    </w:rPr>
  </w:style>
  <w:style w:type="character" w:customStyle="1" w:styleId="415">
    <w:name w:val="WW8Num466z1"/>
    <w:qFormat/>
    <w:uiPriority w:val="0"/>
    <w:rPr>
      <w:rFonts w:ascii="Courier New" w:hAnsi="Courier New" w:cs="Courier New"/>
    </w:rPr>
  </w:style>
  <w:style w:type="character" w:customStyle="1" w:styleId="416">
    <w:name w:val="WW8Num466z2"/>
    <w:qFormat/>
    <w:uiPriority w:val="0"/>
    <w:rPr>
      <w:rFonts w:ascii="Wingdings" w:hAnsi="Wingdings" w:cs="Wingdings"/>
    </w:rPr>
  </w:style>
  <w:style w:type="character" w:customStyle="1" w:styleId="417">
    <w:name w:val="WW8Num466z3"/>
    <w:qFormat/>
    <w:uiPriority w:val="0"/>
    <w:rPr>
      <w:rFonts w:ascii="Symbol" w:hAnsi="Symbol" w:cs="Symbol"/>
    </w:rPr>
  </w:style>
  <w:style w:type="character" w:customStyle="1" w:styleId="418">
    <w:name w:val="WW8Num471z0"/>
    <w:qFormat/>
    <w:uiPriority w:val="0"/>
    <w:rPr>
      <w:rFonts w:ascii="Wingdings" w:hAnsi="Wingdings" w:cs="Wingdings"/>
    </w:rPr>
  </w:style>
  <w:style w:type="character" w:customStyle="1" w:styleId="419">
    <w:name w:val="WW8Num471z1"/>
    <w:qFormat/>
    <w:uiPriority w:val="0"/>
    <w:rPr>
      <w:rFonts w:ascii="Courier New" w:hAnsi="Courier New" w:cs="Courier New"/>
    </w:rPr>
  </w:style>
  <w:style w:type="character" w:customStyle="1" w:styleId="420">
    <w:name w:val="WW8Num471z3"/>
    <w:qFormat/>
    <w:uiPriority w:val="0"/>
    <w:rPr>
      <w:rFonts w:ascii="Symbol" w:hAnsi="Symbol" w:cs="Symbol"/>
    </w:rPr>
  </w:style>
  <w:style w:type="character" w:customStyle="1" w:styleId="421">
    <w:name w:val="WW8Num475z1"/>
    <w:qFormat/>
    <w:uiPriority w:val="0"/>
    <w:rPr>
      <w:b/>
    </w:rPr>
  </w:style>
  <w:style w:type="character" w:customStyle="1" w:styleId="422">
    <w:name w:val="WW8Num476z0"/>
    <w:qFormat/>
    <w:uiPriority w:val="0"/>
    <w:rPr>
      <w:rFonts w:ascii="Times New Roman" w:hAnsi="Times New Roman" w:cs="Times New Roman"/>
      <w:b/>
      <w:sz w:val="18"/>
    </w:rPr>
  </w:style>
  <w:style w:type="character" w:customStyle="1" w:styleId="423">
    <w:name w:val="WW8Num479z0"/>
    <w:qFormat/>
    <w:uiPriority w:val="0"/>
    <w:rPr>
      <w:b/>
    </w:rPr>
  </w:style>
  <w:style w:type="character" w:customStyle="1" w:styleId="424">
    <w:name w:val="WW8Num483z0"/>
    <w:qFormat/>
    <w:uiPriority w:val="0"/>
    <w:rPr>
      <w:rFonts w:ascii="Symbol" w:hAnsi="Symbol" w:cs="Symbol"/>
    </w:rPr>
  </w:style>
  <w:style w:type="character" w:customStyle="1" w:styleId="425">
    <w:name w:val="WW8Num483z1"/>
    <w:qFormat/>
    <w:uiPriority w:val="0"/>
    <w:rPr>
      <w:rFonts w:ascii="Courier New" w:hAnsi="Courier New" w:cs="Courier New"/>
    </w:rPr>
  </w:style>
  <w:style w:type="character" w:customStyle="1" w:styleId="426">
    <w:name w:val="WW8Num483z2"/>
    <w:qFormat/>
    <w:uiPriority w:val="0"/>
    <w:rPr>
      <w:rFonts w:ascii="Wingdings" w:hAnsi="Wingdings" w:cs="Wingdings"/>
    </w:rPr>
  </w:style>
  <w:style w:type="character" w:customStyle="1" w:styleId="427">
    <w:name w:val="WW8Num484z0"/>
    <w:qFormat/>
    <w:uiPriority w:val="0"/>
    <w:rPr>
      <w:b/>
    </w:rPr>
  </w:style>
  <w:style w:type="character" w:customStyle="1" w:styleId="428">
    <w:name w:val="WW8Num485z0"/>
    <w:qFormat/>
    <w:uiPriority w:val="0"/>
    <w:rPr>
      <w:b/>
    </w:rPr>
  </w:style>
  <w:style w:type="character" w:customStyle="1" w:styleId="429">
    <w:name w:val="WW8Num488z0"/>
    <w:qFormat/>
    <w:uiPriority w:val="0"/>
    <w:rPr>
      <w:b/>
    </w:rPr>
  </w:style>
  <w:style w:type="character" w:customStyle="1" w:styleId="430">
    <w:name w:val="WW8Num492z0"/>
    <w:qFormat/>
    <w:uiPriority w:val="0"/>
    <w:rPr>
      <w:rFonts w:ascii="Symbol" w:hAnsi="Symbol" w:cs="Symbol"/>
    </w:rPr>
  </w:style>
  <w:style w:type="character" w:customStyle="1" w:styleId="431">
    <w:name w:val="WW8Num493z0"/>
    <w:qFormat/>
    <w:uiPriority w:val="0"/>
    <w:rPr>
      <w:b/>
    </w:rPr>
  </w:style>
  <w:style w:type="character" w:customStyle="1" w:styleId="432">
    <w:name w:val="WW8Num494z0"/>
    <w:qFormat/>
    <w:uiPriority w:val="0"/>
    <w:rPr>
      <w:rFonts w:ascii="Symbol" w:hAnsi="Symbol" w:cs="Symbol"/>
    </w:rPr>
  </w:style>
  <w:style w:type="character" w:customStyle="1" w:styleId="433">
    <w:name w:val="WW8Num499z0"/>
    <w:qFormat/>
    <w:uiPriority w:val="0"/>
    <w:rPr>
      <w:b/>
    </w:rPr>
  </w:style>
  <w:style w:type="character" w:customStyle="1" w:styleId="434">
    <w:name w:val="WW8Num500z0"/>
    <w:qFormat/>
    <w:uiPriority w:val="0"/>
    <w:rPr>
      <w:b/>
    </w:rPr>
  </w:style>
  <w:style w:type="character" w:customStyle="1" w:styleId="435">
    <w:name w:val="WW8Num508z0"/>
    <w:qFormat/>
    <w:uiPriority w:val="0"/>
    <w:rPr>
      <w:rFonts w:ascii="Symbol" w:hAnsi="Symbol" w:cs="Symbol"/>
    </w:rPr>
  </w:style>
  <w:style w:type="character" w:customStyle="1" w:styleId="436">
    <w:name w:val="WW8Num510z0"/>
    <w:qFormat/>
    <w:uiPriority w:val="0"/>
    <w:rPr>
      <w:rFonts w:ascii="Symbol" w:hAnsi="Symbol" w:cs="Symbol"/>
    </w:rPr>
  </w:style>
  <w:style w:type="character" w:customStyle="1" w:styleId="437">
    <w:name w:val="WW8Num510z1"/>
    <w:qFormat/>
    <w:uiPriority w:val="0"/>
    <w:rPr>
      <w:rFonts w:ascii="Courier New" w:hAnsi="Courier New" w:cs="Courier New"/>
    </w:rPr>
  </w:style>
  <w:style w:type="character" w:customStyle="1" w:styleId="438">
    <w:name w:val="WW8Num510z2"/>
    <w:qFormat/>
    <w:uiPriority w:val="0"/>
    <w:rPr>
      <w:rFonts w:ascii="Wingdings" w:hAnsi="Wingdings" w:cs="Wingdings"/>
    </w:rPr>
  </w:style>
  <w:style w:type="character" w:customStyle="1" w:styleId="439">
    <w:name w:val="WW8Num511z0"/>
    <w:qFormat/>
    <w:uiPriority w:val="0"/>
    <w:rPr>
      <w:b/>
    </w:rPr>
  </w:style>
  <w:style w:type="character" w:customStyle="1" w:styleId="440">
    <w:name w:val="WW8Num512z0"/>
    <w:qFormat/>
    <w:uiPriority w:val="0"/>
    <w:rPr>
      <w:b/>
    </w:rPr>
  </w:style>
  <w:style w:type="character" w:customStyle="1" w:styleId="441">
    <w:name w:val="WW8Num516z0"/>
    <w:qFormat/>
    <w:uiPriority w:val="0"/>
    <w:rPr>
      <w:b/>
    </w:rPr>
  </w:style>
  <w:style w:type="character" w:customStyle="1" w:styleId="442">
    <w:name w:val="WW8Num517z0"/>
    <w:qFormat/>
    <w:uiPriority w:val="0"/>
    <w:rPr>
      <w:b/>
    </w:rPr>
  </w:style>
  <w:style w:type="character" w:customStyle="1" w:styleId="443">
    <w:name w:val="WW8Num527z0"/>
    <w:qFormat/>
    <w:uiPriority w:val="0"/>
    <w:rPr>
      <w:b/>
    </w:rPr>
  </w:style>
  <w:style w:type="character" w:customStyle="1" w:styleId="444">
    <w:name w:val="WW8Num532z0"/>
    <w:qFormat/>
    <w:uiPriority w:val="0"/>
    <w:rPr>
      <w:b/>
    </w:rPr>
  </w:style>
  <w:style w:type="character" w:customStyle="1" w:styleId="445">
    <w:name w:val="WW8Num538z1"/>
    <w:qFormat/>
    <w:uiPriority w:val="0"/>
    <w:rPr>
      <w:b/>
    </w:rPr>
  </w:style>
  <w:style w:type="character" w:customStyle="1" w:styleId="446">
    <w:name w:val="WW8Num541z0"/>
    <w:qFormat/>
    <w:uiPriority w:val="0"/>
    <w:rPr>
      <w:rFonts w:ascii="Times New Roman" w:hAnsi="Times New Roman" w:cs="Times New Roman"/>
      <w:b/>
      <w:sz w:val="18"/>
    </w:rPr>
  </w:style>
  <w:style w:type="character" w:customStyle="1" w:styleId="447">
    <w:name w:val="WW8Num543z0"/>
    <w:qFormat/>
    <w:uiPriority w:val="0"/>
    <w:rPr>
      <w:rFonts w:ascii="Symbol" w:hAnsi="Symbol" w:cs="Symbol"/>
    </w:rPr>
  </w:style>
  <w:style w:type="character" w:customStyle="1" w:styleId="448">
    <w:name w:val="WW8Num546z0"/>
    <w:qFormat/>
    <w:uiPriority w:val="0"/>
    <w:rPr>
      <w:b/>
    </w:rPr>
  </w:style>
  <w:style w:type="character" w:customStyle="1" w:styleId="449">
    <w:name w:val="WW8Num548z0"/>
    <w:qFormat/>
    <w:uiPriority w:val="0"/>
    <w:rPr>
      <w:b/>
    </w:rPr>
  </w:style>
  <w:style w:type="character" w:customStyle="1" w:styleId="450">
    <w:name w:val="WW8Num549z0"/>
    <w:qFormat/>
    <w:uiPriority w:val="0"/>
    <w:rPr>
      <w:b/>
    </w:rPr>
  </w:style>
  <w:style w:type="character" w:customStyle="1" w:styleId="451">
    <w:name w:val="WW8Num550z0"/>
    <w:qFormat/>
    <w:uiPriority w:val="0"/>
    <w:rPr>
      <w:b/>
    </w:rPr>
  </w:style>
  <w:style w:type="character" w:customStyle="1" w:styleId="452">
    <w:name w:val="WW8Num551z0"/>
    <w:qFormat/>
    <w:uiPriority w:val="0"/>
    <w:rPr>
      <w:b/>
    </w:rPr>
  </w:style>
  <w:style w:type="character" w:customStyle="1" w:styleId="453">
    <w:name w:val="WW8Num552z0"/>
    <w:qFormat/>
    <w:uiPriority w:val="0"/>
    <w:rPr>
      <w:rFonts w:ascii="Wingdings" w:hAnsi="Wingdings" w:cs="Wingdings"/>
    </w:rPr>
  </w:style>
  <w:style w:type="character" w:customStyle="1" w:styleId="454">
    <w:name w:val="WW8Num552z1"/>
    <w:qFormat/>
    <w:uiPriority w:val="0"/>
    <w:rPr>
      <w:rFonts w:ascii="Courier New" w:hAnsi="Courier New" w:cs="Courier New"/>
    </w:rPr>
  </w:style>
  <w:style w:type="character" w:customStyle="1" w:styleId="455">
    <w:name w:val="WW8Num552z3"/>
    <w:qFormat/>
    <w:uiPriority w:val="0"/>
    <w:rPr>
      <w:rFonts w:ascii="Symbol" w:hAnsi="Symbol" w:cs="Symbol"/>
    </w:rPr>
  </w:style>
  <w:style w:type="character" w:customStyle="1" w:styleId="456">
    <w:name w:val="WW8Num555z0"/>
    <w:qFormat/>
    <w:uiPriority w:val="0"/>
    <w:rPr>
      <w:b/>
    </w:rPr>
  </w:style>
  <w:style w:type="character" w:customStyle="1" w:styleId="457">
    <w:name w:val="WW8Num556z0"/>
    <w:qFormat/>
    <w:uiPriority w:val="0"/>
    <w:rPr>
      <w:b/>
    </w:rPr>
  </w:style>
  <w:style w:type="character" w:customStyle="1" w:styleId="458">
    <w:name w:val="WW8Num560z0"/>
    <w:qFormat/>
    <w:uiPriority w:val="0"/>
    <w:rPr>
      <w:b/>
    </w:rPr>
  </w:style>
  <w:style w:type="character" w:customStyle="1" w:styleId="459">
    <w:name w:val="WW8Num561z0"/>
    <w:qFormat/>
    <w:uiPriority w:val="0"/>
    <w:rPr>
      <w:b/>
    </w:rPr>
  </w:style>
  <w:style w:type="character" w:customStyle="1" w:styleId="460">
    <w:name w:val="WW8Num564z0"/>
    <w:qFormat/>
    <w:uiPriority w:val="0"/>
    <w:rPr>
      <w:b/>
    </w:rPr>
  </w:style>
  <w:style w:type="character" w:customStyle="1" w:styleId="461">
    <w:name w:val="WW8Num574z0"/>
    <w:qFormat/>
    <w:uiPriority w:val="0"/>
    <w:rPr>
      <w:b/>
    </w:rPr>
  </w:style>
  <w:style w:type="character" w:customStyle="1" w:styleId="462">
    <w:name w:val="WW8Num575z0"/>
    <w:qFormat/>
    <w:uiPriority w:val="0"/>
    <w:rPr>
      <w:rFonts w:ascii="Wingdings" w:hAnsi="Wingdings" w:cs="Wingdings"/>
    </w:rPr>
  </w:style>
  <w:style w:type="character" w:customStyle="1" w:styleId="463">
    <w:name w:val="WW8Num575z1"/>
    <w:qFormat/>
    <w:uiPriority w:val="0"/>
    <w:rPr>
      <w:rFonts w:ascii="Courier New" w:hAnsi="Courier New" w:cs="Courier New"/>
    </w:rPr>
  </w:style>
  <w:style w:type="character" w:customStyle="1" w:styleId="464">
    <w:name w:val="WW8Num575z3"/>
    <w:qFormat/>
    <w:uiPriority w:val="0"/>
    <w:rPr>
      <w:rFonts w:ascii="Symbol" w:hAnsi="Symbol" w:cs="Symbol"/>
    </w:rPr>
  </w:style>
  <w:style w:type="character" w:customStyle="1" w:styleId="465">
    <w:name w:val="WW8Num577z0"/>
    <w:qFormat/>
    <w:uiPriority w:val="0"/>
    <w:rPr>
      <w:b/>
    </w:rPr>
  </w:style>
  <w:style w:type="character" w:customStyle="1" w:styleId="466">
    <w:name w:val="WW8Num583z0"/>
    <w:qFormat/>
    <w:uiPriority w:val="0"/>
    <w:rPr>
      <w:b/>
    </w:rPr>
  </w:style>
  <w:style w:type="character" w:customStyle="1" w:styleId="467">
    <w:name w:val="WW8Num591z0"/>
    <w:qFormat/>
    <w:uiPriority w:val="0"/>
    <w:rPr>
      <w:rFonts w:ascii="Times New Roman" w:hAnsi="Times New Roman" w:cs="Times New Roman"/>
      <w:b/>
      <w:sz w:val="22"/>
    </w:rPr>
  </w:style>
  <w:style w:type="character" w:customStyle="1" w:styleId="468">
    <w:name w:val="WW8Num594z0"/>
    <w:qFormat/>
    <w:uiPriority w:val="0"/>
    <w:rPr>
      <w:b/>
    </w:rPr>
  </w:style>
  <w:style w:type="character" w:customStyle="1" w:styleId="469">
    <w:name w:val="WW8Num595z0"/>
    <w:qFormat/>
    <w:uiPriority w:val="0"/>
    <w:rPr>
      <w:rFonts w:ascii="Symbol" w:hAnsi="Symbol" w:cs="Symbol"/>
    </w:rPr>
  </w:style>
  <w:style w:type="character" w:customStyle="1" w:styleId="470">
    <w:name w:val="WW8Num595z1"/>
    <w:qFormat/>
    <w:uiPriority w:val="0"/>
    <w:rPr>
      <w:rFonts w:ascii="Courier New" w:hAnsi="Courier New" w:cs="Courier New"/>
    </w:rPr>
  </w:style>
  <w:style w:type="character" w:customStyle="1" w:styleId="471">
    <w:name w:val="WW8Num595z2"/>
    <w:qFormat/>
    <w:uiPriority w:val="0"/>
    <w:rPr>
      <w:rFonts w:ascii="Wingdings" w:hAnsi="Wingdings" w:cs="Wingdings"/>
    </w:rPr>
  </w:style>
  <w:style w:type="character" w:customStyle="1" w:styleId="472">
    <w:name w:val="WW8Num596z0"/>
    <w:qFormat/>
    <w:uiPriority w:val="0"/>
    <w:rPr>
      <w:rFonts w:ascii="Times New Roman" w:hAnsi="Times New Roman" w:eastAsia="Times New Roman" w:cs="Times New Roman"/>
    </w:rPr>
  </w:style>
  <w:style w:type="character" w:customStyle="1" w:styleId="473">
    <w:name w:val="WW8Num596z1"/>
    <w:qFormat/>
    <w:uiPriority w:val="0"/>
    <w:rPr>
      <w:rFonts w:ascii="Courier New" w:hAnsi="Courier New" w:cs="Courier New"/>
    </w:rPr>
  </w:style>
  <w:style w:type="character" w:customStyle="1" w:styleId="474">
    <w:name w:val="WW8Num596z2"/>
    <w:qFormat/>
    <w:uiPriority w:val="0"/>
    <w:rPr>
      <w:rFonts w:ascii="Wingdings" w:hAnsi="Wingdings" w:cs="Wingdings"/>
    </w:rPr>
  </w:style>
  <w:style w:type="character" w:customStyle="1" w:styleId="475">
    <w:name w:val="WW8Num596z3"/>
    <w:qFormat/>
    <w:uiPriority w:val="0"/>
    <w:rPr>
      <w:rFonts w:ascii="Symbol" w:hAnsi="Symbol" w:cs="Symbol"/>
    </w:rPr>
  </w:style>
  <w:style w:type="character" w:customStyle="1" w:styleId="476">
    <w:name w:val="WW8Num600z0"/>
    <w:qFormat/>
    <w:uiPriority w:val="0"/>
    <w:rPr>
      <w:b/>
    </w:rPr>
  </w:style>
  <w:style w:type="character" w:customStyle="1" w:styleId="477">
    <w:name w:val="WW8Num607z0"/>
    <w:qFormat/>
    <w:uiPriority w:val="0"/>
    <w:rPr>
      <w:rFonts w:ascii="Times New Roman" w:hAnsi="Times New Roman" w:cs="Times New Roman"/>
      <w:b/>
      <w:sz w:val="18"/>
    </w:rPr>
  </w:style>
  <w:style w:type="character" w:customStyle="1" w:styleId="478">
    <w:name w:val="WW8Num610z0"/>
    <w:qFormat/>
    <w:uiPriority w:val="0"/>
    <w:rPr>
      <w:rFonts w:ascii="Times New Roman" w:hAnsi="Times New Roman" w:cs="Times New Roman"/>
      <w:b/>
      <w:sz w:val="18"/>
    </w:rPr>
  </w:style>
  <w:style w:type="character" w:customStyle="1" w:styleId="479">
    <w:name w:val="WW8Num611z0"/>
    <w:qFormat/>
    <w:uiPriority w:val="0"/>
    <w:rPr>
      <w:b/>
    </w:rPr>
  </w:style>
  <w:style w:type="character" w:customStyle="1" w:styleId="480">
    <w:name w:val="WW8Num615z0"/>
    <w:qFormat/>
    <w:uiPriority w:val="0"/>
  </w:style>
  <w:style w:type="character" w:customStyle="1" w:styleId="481">
    <w:name w:val="WW8Num621z0"/>
    <w:qFormat/>
    <w:uiPriority w:val="0"/>
    <w:rPr>
      <w:b/>
    </w:rPr>
  </w:style>
  <w:style w:type="character" w:customStyle="1" w:styleId="482">
    <w:name w:val="WW8Num622z0"/>
    <w:qFormat/>
    <w:uiPriority w:val="0"/>
    <w:rPr>
      <w:b/>
    </w:rPr>
  </w:style>
  <w:style w:type="character" w:customStyle="1" w:styleId="483">
    <w:name w:val="WW8Num625z0"/>
    <w:qFormat/>
    <w:uiPriority w:val="0"/>
    <w:rPr>
      <w:rFonts w:ascii="Times New Roman" w:hAnsi="Times New Roman" w:cs="Times New Roman"/>
      <w:b/>
      <w:sz w:val="18"/>
    </w:rPr>
  </w:style>
  <w:style w:type="character" w:customStyle="1" w:styleId="484">
    <w:name w:val="WW8Num627z0"/>
    <w:qFormat/>
    <w:uiPriority w:val="0"/>
    <w:rPr>
      <w:rFonts w:ascii="Symbol" w:hAnsi="Symbol" w:cs="Symbol"/>
    </w:rPr>
  </w:style>
  <w:style w:type="character" w:customStyle="1" w:styleId="485">
    <w:name w:val="WW8Num628z0"/>
    <w:qFormat/>
    <w:uiPriority w:val="0"/>
    <w:rPr>
      <w:rFonts w:ascii="Wingdings" w:hAnsi="Wingdings" w:cs="Wingdings"/>
    </w:rPr>
  </w:style>
  <w:style w:type="character" w:customStyle="1" w:styleId="486">
    <w:name w:val="WW8Num631z0"/>
    <w:qFormat/>
    <w:uiPriority w:val="0"/>
    <w:rPr>
      <w:b/>
    </w:rPr>
  </w:style>
  <w:style w:type="character" w:customStyle="1" w:styleId="487">
    <w:name w:val="WW8Num632z0"/>
    <w:qFormat/>
    <w:uiPriority w:val="0"/>
    <w:rPr>
      <w:b/>
    </w:rPr>
  </w:style>
  <w:style w:type="character" w:customStyle="1" w:styleId="488">
    <w:name w:val="WW8Num634z0"/>
    <w:qFormat/>
    <w:uiPriority w:val="0"/>
    <w:rPr>
      <w:b/>
    </w:rPr>
  </w:style>
  <w:style w:type="character" w:customStyle="1" w:styleId="489">
    <w:name w:val="WW8Num636z0"/>
    <w:qFormat/>
    <w:uiPriority w:val="0"/>
  </w:style>
  <w:style w:type="character" w:customStyle="1" w:styleId="490">
    <w:name w:val="WW8Num638z0"/>
    <w:qFormat/>
    <w:uiPriority w:val="0"/>
    <w:rPr>
      <w:b/>
    </w:rPr>
  </w:style>
  <w:style w:type="character" w:customStyle="1" w:styleId="491">
    <w:name w:val="WW8Num641z0"/>
    <w:qFormat/>
    <w:uiPriority w:val="0"/>
    <w:rPr>
      <w:b/>
    </w:rPr>
  </w:style>
  <w:style w:type="character" w:customStyle="1" w:styleId="492">
    <w:name w:val="WW8Num642z0"/>
    <w:qFormat/>
    <w:uiPriority w:val="0"/>
    <w:rPr>
      <w:b/>
    </w:rPr>
  </w:style>
  <w:style w:type="character" w:customStyle="1" w:styleId="493">
    <w:name w:val="WW8Num643z0"/>
    <w:qFormat/>
    <w:uiPriority w:val="0"/>
    <w:rPr>
      <w:rFonts w:ascii="Times New Roman" w:hAnsi="Times New Roman" w:cs="Times New Roman"/>
      <w:b/>
      <w:sz w:val="22"/>
    </w:rPr>
  </w:style>
  <w:style w:type="character" w:customStyle="1" w:styleId="494">
    <w:name w:val="WW8Num644z0"/>
    <w:qFormat/>
    <w:uiPriority w:val="0"/>
    <w:rPr>
      <w:rFonts w:ascii="Symbol" w:hAnsi="Symbol" w:cs="Symbol"/>
    </w:rPr>
  </w:style>
  <w:style w:type="character" w:customStyle="1" w:styleId="495">
    <w:name w:val="WW8Num645z0"/>
    <w:qFormat/>
    <w:uiPriority w:val="0"/>
    <w:rPr>
      <w:b/>
    </w:rPr>
  </w:style>
  <w:style w:type="character" w:customStyle="1" w:styleId="496">
    <w:name w:val="WW8Num647z0"/>
    <w:qFormat/>
    <w:uiPriority w:val="0"/>
    <w:rPr>
      <w:b/>
    </w:rPr>
  </w:style>
  <w:style w:type="character" w:customStyle="1" w:styleId="497">
    <w:name w:val="WW8Num649z0"/>
    <w:qFormat/>
    <w:uiPriority w:val="0"/>
    <w:rPr>
      <w:b/>
      <w:sz w:val="20"/>
    </w:rPr>
  </w:style>
  <w:style w:type="character" w:customStyle="1" w:styleId="498">
    <w:name w:val="WW8Num650z0"/>
    <w:qFormat/>
    <w:uiPriority w:val="0"/>
    <w:rPr>
      <w:b/>
    </w:rPr>
  </w:style>
  <w:style w:type="character" w:customStyle="1" w:styleId="499">
    <w:name w:val="WW8Num652z0"/>
    <w:qFormat/>
    <w:uiPriority w:val="0"/>
    <w:rPr>
      <w:rFonts w:ascii="Times New Roman" w:hAnsi="Times New Roman" w:cs="Times New Roman"/>
      <w:b/>
      <w:sz w:val="18"/>
    </w:rPr>
  </w:style>
  <w:style w:type="character" w:customStyle="1" w:styleId="500">
    <w:name w:val="WW8Num653z0"/>
    <w:qFormat/>
    <w:uiPriority w:val="0"/>
    <w:rPr>
      <w:rFonts w:ascii="Times New Roman" w:hAnsi="Times New Roman" w:cs="Times New Roman"/>
      <w:b/>
      <w:sz w:val="24"/>
      <w:u w:val="none"/>
    </w:rPr>
  </w:style>
  <w:style w:type="character" w:customStyle="1" w:styleId="501">
    <w:name w:val="WW8Num655z0"/>
    <w:qFormat/>
    <w:uiPriority w:val="0"/>
    <w:rPr>
      <w:b/>
    </w:rPr>
  </w:style>
  <w:style w:type="character" w:customStyle="1" w:styleId="502">
    <w:name w:val="WW8Num657z0"/>
    <w:qFormat/>
    <w:uiPriority w:val="0"/>
    <w:rPr>
      <w:rFonts w:ascii="Times New Roman" w:hAnsi="Times New Roman" w:cs="Times New Roman"/>
      <w:b/>
      <w:sz w:val="24"/>
      <w:u w:val="none"/>
    </w:rPr>
  </w:style>
  <w:style w:type="character" w:customStyle="1" w:styleId="503">
    <w:name w:val="WW8Num658z0"/>
    <w:qFormat/>
    <w:uiPriority w:val="0"/>
    <w:rPr>
      <w:rFonts w:ascii="Symbol" w:hAnsi="Symbol" w:cs="Symbol"/>
    </w:rPr>
  </w:style>
  <w:style w:type="character" w:customStyle="1" w:styleId="504">
    <w:name w:val="WW8Num659z0"/>
    <w:qFormat/>
    <w:uiPriority w:val="0"/>
    <w:rPr>
      <w:b/>
    </w:rPr>
  </w:style>
  <w:style w:type="character" w:customStyle="1" w:styleId="505">
    <w:name w:val="WW8Num660z0"/>
    <w:qFormat/>
    <w:uiPriority w:val="0"/>
    <w:rPr>
      <w:rFonts w:ascii="Wingdings" w:hAnsi="Wingdings" w:cs="Wingdings"/>
    </w:rPr>
  </w:style>
  <w:style w:type="character" w:customStyle="1" w:styleId="506">
    <w:name w:val="WW8Num660z1"/>
    <w:qFormat/>
    <w:uiPriority w:val="0"/>
    <w:rPr>
      <w:rFonts w:ascii="Courier New" w:hAnsi="Courier New" w:cs="Courier New"/>
    </w:rPr>
  </w:style>
  <w:style w:type="character" w:customStyle="1" w:styleId="507">
    <w:name w:val="WW8Num660z3"/>
    <w:qFormat/>
    <w:uiPriority w:val="0"/>
    <w:rPr>
      <w:rFonts w:ascii="Symbol" w:hAnsi="Symbol" w:cs="Symbol"/>
    </w:rPr>
  </w:style>
  <w:style w:type="character" w:customStyle="1" w:styleId="508">
    <w:name w:val="WW8Num663z0"/>
    <w:qFormat/>
    <w:uiPriority w:val="0"/>
    <w:rPr>
      <w:rFonts w:ascii="Symbol" w:hAnsi="Symbol" w:cs="Symbol"/>
    </w:rPr>
  </w:style>
  <w:style w:type="character" w:customStyle="1" w:styleId="509">
    <w:name w:val="WW8Num663z1"/>
    <w:qFormat/>
    <w:uiPriority w:val="0"/>
    <w:rPr>
      <w:rFonts w:ascii="Courier New" w:hAnsi="Courier New" w:cs="Courier New"/>
    </w:rPr>
  </w:style>
  <w:style w:type="character" w:customStyle="1" w:styleId="510">
    <w:name w:val="WW8Num663z2"/>
    <w:qFormat/>
    <w:uiPriority w:val="0"/>
    <w:rPr>
      <w:rFonts w:ascii="Wingdings" w:hAnsi="Wingdings" w:cs="Wingdings"/>
    </w:rPr>
  </w:style>
  <w:style w:type="character" w:customStyle="1" w:styleId="511">
    <w:name w:val="WW8Num667z0"/>
    <w:qFormat/>
    <w:uiPriority w:val="0"/>
    <w:rPr>
      <w:b/>
    </w:rPr>
  </w:style>
  <w:style w:type="character" w:customStyle="1" w:styleId="512">
    <w:name w:val="WW8Num669z0"/>
    <w:qFormat/>
    <w:uiPriority w:val="0"/>
    <w:rPr>
      <w:rFonts w:ascii="Symbol" w:hAnsi="Symbol" w:cs="Symbol"/>
    </w:rPr>
  </w:style>
  <w:style w:type="character" w:customStyle="1" w:styleId="513">
    <w:name w:val="WW8Num670z0"/>
    <w:qFormat/>
    <w:uiPriority w:val="0"/>
    <w:rPr>
      <w:b/>
    </w:rPr>
  </w:style>
  <w:style w:type="character" w:customStyle="1" w:styleId="514">
    <w:name w:val="WW8Num671z0"/>
    <w:qFormat/>
    <w:uiPriority w:val="0"/>
  </w:style>
  <w:style w:type="character" w:customStyle="1" w:styleId="515">
    <w:name w:val="WW8Num672z0"/>
    <w:qFormat/>
    <w:uiPriority w:val="0"/>
    <w:rPr>
      <w:rFonts w:ascii="Wingdings" w:hAnsi="Wingdings" w:cs="Wingdings"/>
    </w:rPr>
  </w:style>
  <w:style w:type="character" w:customStyle="1" w:styleId="516">
    <w:name w:val="WW8Num674z0"/>
    <w:qFormat/>
    <w:uiPriority w:val="0"/>
    <w:rPr>
      <w:rFonts w:ascii="Times New Roman" w:hAnsi="Times New Roman" w:cs="Times New Roman"/>
      <w:b/>
      <w:sz w:val="18"/>
    </w:rPr>
  </w:style>
  <w:style w:type="character" w:customStyle="1" w:styleId="517">
    <w:name w:val="WW8Num675z0"/>
    <w:qFormat/>
    <w:uiPriority w:val="0"/>
    <w:rPr>
      <w:rFonts w:ascii="Times New Roman" w:hAnsi="Times New Roman" w:cs="Times New Roman"/>
      <w:b/>
      <w:sz w:val="22"/>
    </w:rPr>
  </w:style>
  <w:style w:type="character" w:customStyle="1" w:styleId="518">
    <w:name w:val="WW8Num677z0"/>
    <w:qFormat/>
    <w:uiPriority w:val="0"/>
    <w:rPr>
      <w:b/>
    </w:rPr>
  </w:style>
  <w:style w:type="character" w:customStyle="1" w:styleId="519">
    <w:name w:val="WW8Num679z0"/>
    <w:qFormat/>
    <w:uiPriority w:val="0"/>
    <w:rPr>
      <w:rFonts w:ascii="Symbol" w:hAnsi="Symbol" w:cs="Symbol"/>
    </w:rPr>
  </w:style>
  <w:style w:type="character" w:customStyle="1" w:styleId="520">
    <w:name w:val="WW8Num681z0"/>
    <w:qFormat/>
    <w:uiPriority w:val="0"/>
    <w:rPr>
      <w:b/>
      <w:sz w:val="22"/>
    </w:rPr>
  </w:style>
  <w:style w:type="character" w:customStyle="1" w:styleId="521">
    <w:name w:val="WW8Num683z0"/>
    <w:qFormat/>
    <w:uiPriority w:val="0"/>
    <w:rPr>
      <w:rFonts w:ascii="Wingdings" w:hAnsi="Wingdings" w:cs="Wingdings"/>
    </w:rPr>
  </w:style>
  <w:style w:type="character" w:customStyle="1" w:styleId="522">
    <w:name w:val="WW8Num687z0"/>
    <w:qFormat/>
    <w:uiPriority w:val="0"/>
    <w:rPr>
      <w:b/>
    </w:rPr>
  </w:style>
  <w:style w:type="character" w:customStyle="1" w:styleId="523">
    <w:name w:val="WW8Num689z0"/>
    <w:qFormat/>
    <w:uiPriority w:val="0"/>
    <w:rPr>
      <w:b/>
    </w:rPr>
  </w:style>
  <w:style w:type="character" w:customStyle="1" w:styleId="524">
    <w:name w:val="WW8Num690z0"/>
    <w:qFormat/>
    <w:uiPriority w:val="0"/>
    <w:rPr>
      <w:b/>
      <w:u w:val="none"/>
    </w:rPr>
  </w:style>
  <w:style w:type="character" w:customStyle="1" w:styleId="525">
    <w:name w:val="WW8Num691z0"/>
    <w:qFormat/>
    <w:uiPriority w:val="0"/>
    <w:rPr>
      <w:b/>
    </w:rPr>
  </w:style>
  <w:style w:type="character" w:customStyle="1" w:styleId="526">
    <w:name w:val="WW8Num693z0"/>
    <w:qFormat/>
    <w:uiPriority w:val="0"/>
    <w:rPr>
      <w:b/>
    </w:rPr>
  </w:style>
  <w:style w:type="character" w:customStyle="1" w:styleId="527">
    <w:name w:val="WW8Num695z0"/>
    <w:qFormat/>
    <w:uiPriority w:val="0"/>
    <w:rPr>
      <w:b/>
    </w:rPr>
  </w:style>
  <w:style w:type="character" w:customStyle="1" w:styleId="528">
    <w:name w:val="WW8Num699z0"/>
    <w:qFormat/>
    <w:uiPriority w:val="0"/>
    <w:rPr>
      <w:rFonts w:ascii="Symbol" w:hAnsi="Symbol" w:cs="Symbol"/>
    </w:rPr>
  </w:style>
  <w:style w:type="character" w:customStyle="1" w:styleId="529">
    <w:name w:val="WW8Num701z0"/>
    <w:qFormat/>
    <w:uiPriority w:val="0"/>
    <w:rPr>
      <w:b/>
    </w:rPr>
  </w:style>
  <w:style w:type="character" w:customStyle="1" w:styleId="530">
    <w:name w:val="WW8Num702z0"/>
    <w:qFormat/>
    <w:uiPriority w:val="0"/>
    <w:rPr>
      <w:rFonts w:ascii="Symbol" w:hAnsi="Symbol" w:cs="Symbol"/>
    </w:rPr>
  </w:style>
  <w:style w:type="character" w:customStyle="1" w:styleId="531">
    <w:name w:val="WW8Num703z0"/>
    <w:qFormat/>
    <w:uiPriority w:val="0"/>
    <w:rPr>
      <w:b/>
    </w:rPr>
  </w:style>
  <w:style w:type="character" w:customStyle="1" w:styleId="532">
    <w:name w:val="WW8Num704z0"/>
    <w:qFormat/>
    <w:uiPriority w:val="0"/>
    <w:rPr>
      <w:rFonts w:ascii="Symbol" w:hAnsi="Symbol" w:cs="Symbol"/>
    </w:rPr>
  </w:style>
  <w:style w:type="character" w:customStyle="1" w:styleId="533">
    <w:name w:val="WW8Num705z0"/>
    <w:qFormat/>
    <w:uiPriority w:val="0"/>
    <w:rPr>
      <w:rFonts w:ascii="Symbol" w:hAnsi="Symbol" w:cs="Symbol"/>
    </w:rPr>
  </w:style>
  <w:style w:type="character" w:customStyle="1" w:styleId="534">
    <w:name w:val="WW8Num705z2"/>
    <w:qFormat/>
    <w:uiPriority w:val="0"/>
    <w:rPr>
      <w:rFonts w:ascii="Times New Roman" w:hAnsi="Times New Roman" w:eastAsia="Times New Roman" w:cs="Times New Roman"/>
    </w:rPr>
  </w:style>
  <w:style w:type="character" w:customStyle="1" w:styleId="535">
    <w:name w:val="WW8Num705z4"/>
    <w:qFormat/>
    <w:uiPriority w:val="0"/>
    <w:rPr>
      <w:rFonts w:ascii="Courier New" w:hAnsi="Courier New" w:cs="Courier New"/>
    </w:rPr>
  </w:style>
  <w:style w:type="character" w:customStyle="1" w:styleId="536">
    <w:name w:val="WW8Num705z5"/>
    <w:qFormat/>
    <w:uiPriority w:val="0"/>
    <w:rPr>
      <w:rFonts w:ascii="Wingdings" w:hAnsi="Wingdings" w:cs="Wingdings"/>
    </w:rPr>
  </w:style>
  <w:style w:type="character" w:customStyle="1" w:styleId="537">
    <w:name w:val="WW8Num707z0"/>
    <w:qFormat/>
    <w:uiPriority w:val="0"/>
    <w:rPr>
      <w:b/>
    </w:rPr>
  </w:style>
  <w:style w:type="character" w:customStyle="1" w:styleId="538">
    <w:name w:val="WW8Num709z0"/>
    <w:qFormat/>
    <w:uiPriority w:val="0"/>
    <w:rPr>
      <w:b/>
    </w:rPr>
  </w:style>
  <w:style w:type="character" w:customStyle="1" w:styleId="539">
    <w:name w:val="WW8Num711z0"/>
    <w:qFormat/>
    <w:uiPriority w:val="0"/>
    <w:rPr>
      <w:rFonts w:ascii="Times New Roman" w:hAnsi="Times New Roman" w:cs="Times New Roman"/>
      <w:b/>
      <w:sz w:val="22"/>
    </w:rPr>
  </w:style>
  <w:style w:type="character" w:customStyle="1" w:styleId="540">
    <w:name w:val="WW8Num717z0"/>
    <w:qFormat/>
    <w:uiPriority w:val="0"/>
    <w:rPr>
      <w:b/>
    </w:rPr>
  </w:style>
  <w:style w:type="character" w:customStyle="1" w:styleId="541">
    <w:name w:val="WW8Num725z0"/>
    <w:qFormat/>
    <w:uiPriority w:val="0"/>
    <w:rPr>
      <w:b/>
    </w:rPr>
  </w:style>
  <w:style w:type="character" w:customStyle="1" w:styleId="542">
    <w:name w:val="WW8Num729z0"/>
    <w:qFormat/>
    <w:uiPriority w:val="0"/>
    <w:rPr>
      <w:rFonts w:ascii="Times New Roman" w:hAnsi="Times New Roman" w:cs="Times New Roman"/>
      <w:b/>
      <w:sz w:val="18"/>
    </w:rPr>
  </w:style>
  <w:style w:type="character" w:customStyle="1" w:styleId="543">
    <w:name w:val="WW8Num730z0"/>
    <w:qFormat/>
    <w:uiPriority w:val="0"/>
    <w:rPr>
      <w:b/>
    </w:rPr>
  </w:style>
  <w:style w:type="character" w:customStyle="1" w:styleId="544">
    <w:name w:val="WW8Num734z0"/>
    <w:qFormat/>
    <w:uiPriority w:val="0"/>
    <w:rPr>
      <w:rFonts w:ascii="Symbol" w:hAnsi="Symbol" w:cs="Symbol"/>
    </w:rPr>
  </w:style>
  <w:style w:type="character" w:customStyle="1" w:styleId="545">
    <w:name w:val="WW8Num735z0"/>
    <w:qFormat/>
    <w:uiPriority w:val="0"/>
    <w:rPr>
      <w:b/>
    </w:rPr>
  </w:style>
  <w:style w:type="character" w:customStyle="1" w:styleId="546">
    <w:name w:val="WW8Num736z0"/>
    <w:qFormat/>
    <w:uiPriority w:val="0"/>
    <w:rPr>
      <w:rFonts w:ascii="Symbol" w:hAnsi="Symbol" w:cs="Symbol"/>
    </w:rPr>
  </w:style>
  <w:style w:type="character" w:customStyle="1" w:styleId="547">
    <w:name w:val="WW8Num739z0"/>
    <w:qFormat/>
    <w:uiPriority w:val="0"/>
    <w:rPr>
      <w:b/>
    </w:rPr>
  </w:style>
  <w:style w:type="character" w:customStyle="1" w:styleId="548">
    <w:name w:val="WW8Num740z1"/>
    <w:qFormat/>
    <w:uiPriority w:val="0"/>
    <w:rPr>
      <w:rFonts w:ascii="Times New Roman" w:hAnsi="Times New Roman" w:cs="Times New Roman"/>
      <w:b/>
      <w:sz w:val="22"/>
    </w:rPr>
  </w:style>
  <w:style w:type="character" w:customStyle="1" w:styleId="549">
    <w:name w:val="WW8Num742z0"/>
    <w:qFormat/>
    <w:uiPriority w:val="0"/>
    <w:rPr>
      <w:rFonts w:ascii="Times New Roman" w:hAnsi="Times New Roman" w:cs="Times New Roman"/>
      <w:b/>
      <w:sz w:val="22"/>
    </w:rPr>
  </w:style>
  <w:style w:type="character" w:customStyle="1" w:styleId="550">
    <w:name w:val="WW8Num743z0"/>
    <w:qFormat/>
    <w:uiPriority w:val="0"/>
    <w:rPr>
      <w:b/>
    </w:rPr>
  </w:style>
  <w:style w:type="character" w:customStyle="1" w:styleId="551">
    <w:name w:val="WW8Num744z0"/>
    <w:qFormat/>
    <w:uiPriority w:val="0"/>
    <w:rPr>
      <w:b/>
    </w:rPr>
  </w:style>
  <w:style w:type="character" w:customStyle="1" w:styleId="552">
    <w:name w:val="WW8Num746z0"/>
    <w:qFormat/>
    <w:uiPriority w:val="0"/>
    <w:rPr>
      <w:b/>
    </w:rPr>
  </w:style>
  <w:style w:type="character" w:customStyle="1" w:styleId="553">
    <w:name w:val="WW8Num748z0"/>
    <w:qFormat/>
    <w:uiPriority w:val="0"/>
    <w:rPr>
      <w:rFonts w:ascii="Wingdings" w:hAnsi="Wingdings" w:cs="Wingdings"/>
    </w:rPr>
  </w:style>
  <w:style w:type="character" w:customStyle="1" w:styleId="554">
    <w:name w:val="WW8Num750z0"/>
    <w:qFormat/>
    <w:uiPriority w:val="0"/>
    <w:rPr>
      <w:b/>
    </w:rPr>
  </w:style>
  <w:style w:type="character" w:customStyle="1" w:styleId="555">
    <w:name w:val="WW8Num752z1"/>
    <w:qFormat/>
    <w:uiPriority w:val="0"/>
    <w:rPr>
      <w:b/>
    </w:rPr>
  </w:style>
  <w:style w:type="character" w:customStyle="1" w:styleId="556">
    <w:name w:val="WW8Num754z0"/>
    <w:qFormat/>
    <w:uiPriority w:val="0"/>
    <w:rPr>
      <w:b/>
    </w:rPr>
  </w:style>
  <w:style w:type="character" w:customStyle="1" w:styleId="557">
    <w:name w:val="WW8Num756z0"/>
    <w:qFormat/>
    <w:uiPriority w:val="0"/>
    <w:rPr>
      <w:rFonts w:ascii="Symbol" w:hAnsi="Symbol" w:cs="Symbol"/>
    </w:rPr>
  </w:style>
  <w:style w:type="character" w:customStyle="1" w:styleId="558">
    <w:name w:val="WW8Num757z0"/>
    <w:qFormat/>
    <w:uiPriority w:val="0"/>
    <w:rPr>
      <w:b/>
    </w:rPr>
  </w:style>
  <w:style w:type="character" w:customStyle="1" w:styleId="559">
    <w:name w:val="WW8Num760z0"/>
    <w:qFormat/>
    <w:uiPriority w:val="0"/>
    <w:rPr>
      <w:b/>
    </w:rPr>
  </w:style>
  <w:style w:type="character" w:customStyle="1" w:styleId="560">
    <w:name w:val="WW8Num761z0"/>
    <w:qFormat/>
    <w:uiPriority w:val="0"/>
    <w:rPr>
      <w:b/>
    </w:rPr>
  </w:style>
  <w:style w:type="character" w:customStyle="1" w:styleId="561">
    <w:name w:val="WW8Num762z0"/>
    <w:qFormat/>
    <w:uiPriority w:val="0"/>
    <w:rPr>
      <w:b/>
    </w:rPr>
  </w:style>
  <w:style w:type="character" w:customStyle="1" w:styleId="562">
    <w:name w:val="WW8Num764z0"/>
    <w:qFormat/>
    <w:uiPriority w:val="0"/>
    <w:rPr>
      <w:b/>
    </w:rPr>
  </w:style>
  <w:style w:type="character" w:customStyle="1" w:styleId="563">
    <w:name w:val="WW8Num764z1"/>
    <w:qFormat/>
    <w:uiPriority w:val="0"/>
    <w:rPr>
      <w:rFonts w:ascii="Times New Roman" w:hAnsi="Times New Roman" w:cs="Times New Roman"/>
      <w:b/>
      <w:sz w:val="22"/>
    </w:rPr>
  </w:style>
  <w:style w:type="character" w:customStyle="1" w:styleId="564">
    <w:name w:val="WW8Num768z0"/>
    <w:qFormat/>
    <w:uiPriority w:val="0"/>
    <w:rPr>
      <w:sz w:val="24"/>
    </w:rPr>
  </w:style>
  <w:style w:type="character" w:customStyle="1" w:styleId="565">
    <w:name w:val="WW8Num771z0"/>
    <w:qFormat/>
    <w:uiPriority w:val="0"/>
    <w:rPr>
      <w:b/>
    </w:rPr>
  </w:style>
  <w:style w:type="character" w:customStyle="1" w:styleId="566">
    <w:name w:val="WW8Num772z0"/>
    <w:qFormat/>
    <w:uiPriority w:val="0"/>
    <w:rPr>
      <w:b/>
    </w:rPr>
  </w:style>
  <w:style w:type="character" w:customStyle="1" w:styleId="567">
    <w:name w:val="WW8Num777z1"/>
    <w:qFormat/>
    <w:uiPriority w:val="0"/>
    <w:rPr>
      <w:b/>
    </w:rPr>
  </w:style>
  <w:style w:type="character" w:customStyle="1" w:styleId="568">
    <w:name w:val="WW8Num778z0"/>
    <w:qFormat/>
    <w:uiPriority w:val="0"/>
    <w:rPr>
      <w:b/>
    </w:rPr>
  </w:style>
  <w:style w:type="character" w:customStyle="1" w:styleId="569">
    <w:name w:val="WW8Num780z0"/>
    <w:qFormat/>
    <w:uiPriority w:val="0"/>
    <w:rPr>
      <w:rFonts w:ascii="Symbol" w:hAnsi="Symbol" w:cs="Symbol"/>
    </w:rPr>
  </w:style>
  <w:style w:type="character" w:customStyle="1" w:styleId="570">
    <w:name w:val="WW8Num780z1"/>
    <w:qFormat/>
    <w:uiPriority w:val="0"/>
    <w:rPr>
      <w:rFonts w:ascii="Courier New" w:hAnsi="Courier New" w:cs="Courier New"/>
    </w:rPr>
  </w:style>
  <w:style w:type="character" w:customStyle="1" w:styleId="571">
    <w:name w:val="WW8Num780z2"/>
    <w:qFormat/>
    <w:uiPriority w:val="0"/>
    <w:rPr>
      <w:rFonts w:ascii="Wingdings" w:hAnsi="Wingdings" w:cs="Wingdings"/>
    </w:rPr>
  </w:style>
  <w:style w:type="character" w:customStyle="1" w:styleId="572">
    <w:name w:val="WW8Num783z0"/>
    <w:qFormat/>
    <w:uiPriority w:val="0"/>
    <w:rPr>
      <w:b/>
    </w:rPr>
  </w:style>
  <w:style w:type="character" w:customStyle="1" w:styleId="573">
    <w:name w:val="WW8Num784z0"/>
    <w:qFormat/>
    <w:uiPriority w:val="0"/>
    <w:rPr>
      <w:rFonts w:ascii="Times New Roman" w:hAnsi="Times New Roman" w:cs="Times New Roman"/>
      <w:b/>
      <w:sz w:val="24"/>
      <w:u w:val="none"/>
    </w:rPr>
  </w:style>
  <w:style w:type="character" w:customStyle="1" w:styleId="574">
    <w:name w:val="WW8Num785z0"/>
    <w:qFormat/>
    <w:uiPriority w:val="0"/>
    <w:rPr>
      <w:rFonts w:ascii="Symbol" w:hAnsi="Symbol" w:cs="Symbol"/>
    </w:rPr>
  </w:style>
  <w:style w:type="character" w:customStyle="1" w:styleId="575">
    <w:name w:val="WW8Num786z0"/>
    <w:qFormat/>
    <w:uiPriority w:val="0"/>
    <w:rPr>
      <w:b/>
    </w:rPr>
  </w:style>
  <w:style w:type="character" w:customStyle="1" w:styleId="576">
    <w:name w:val="WW8Num788z0"/>
    <w:qFormat/>
    <w:uiPriority w:val="0"/>
    <w:rPr>
      <w:rFonts w:ascii="Times New Roman" w:hAnsi="Times New Roman" w:cs="Times New Roman"/>
      <w:b/>
      <w:sz w:val="18"/>
    </w:rPr>
  </w:style>
  <w:style w:type="character" w:customStyle="1" w:styleId="577">
    <w:name w:val="WW8Num791z0"/>
    <w:qFormat/>
    <w:uiPriority w:val="0"/>
    <w:rPr>
      <w:b/>
    </w:rPr>
  </w:style>
  <w:style w:type="character" w:customStyle="1" w:styleId="578">
    <w:name w:val="WW8Num792z0"/>
    <w:qFormat/>
    <w:uiPriority w:val="0"/>
    <w:rPr>
      <w:rFonts w:ascii="Wingdings" w:hAnsi="Wingdings" w:cs="Wingdings"/>
    </w:rPr>
  </w:style>
  <w:style w:type="character" w:customStyle="1" w:styleId="579">
    <w:name w:val="WW8Num795z0"/>
    <w:qFormat/>
    <w:uiPriority w:val="0"/>
    <w:rPr>
      <w:b/>
    </w:rPr>
  </w:style>
  <w:style w:type="character" w:customStyle="1" w:styleId="580">
    <w:name w:val="WW8Num799z0"/>
    <w:qFormat/>
    <w:uiPriority w:val="0"/>
    <w:rPr>
      <w:b/>
    </w:rPr>
  </w:style>
  <w:style w:type="character" w:customStyle="1" w:styleId="581">
    <w:name w:val="Símbolos de numeração"/>
    <w:qFormat/>
    <w:uiPriority w:val="0"/>
  </w:style>
  <w:style w:type="character" w:customStyle="1" w:styleId="582">
    <w:name w:val="style111"/>
    <w:qFormat/>
    <w:uiPriority w:val="0"/>
    <w:rPr>
      <w:color w:val="FFFFFF"/>
    </w:rPr>
  </w:style>
  <w:style w:type="character" w:customStyle="1" w:styleId="583">
    <w:name w:val="apple-style-span"/>
    <w:qFormat/>
    <w:uiPriority w:val="0"/>
  </w:style>
  <w:style w:type="character" w:customStyle="1" w:styleId="584">
    <w:name w:val="Título 3 Char"/>
    <w:qFormat/>
    <w:uiPriority w:val="0"/>
    <w:rPr>
      <w:b/>
    </w:rPr>
  </w:style>
  <w:style w:type="character" w:customStyle="1" w:styleId="585">
    <w:name w:val="Título 4 Char"/>
    <w:qFormat/>
    <w:uiPriority w:val="0"/>
    <w:rPr>
      <w:b/>
      <w:sz w:val="28"/>
    </w:rPr>
  </w:style>
  <w:style w:type="character" w:customStyle="1" w:styleId="586">
    <w:name w:val="Título 1 Char"/>
    <w:qFormat/>
    <w:uiPriority w:val="0"/>
    <w:rPr>
      <w:b/>
      <w:sz w:val="24"/>
    </w:rPr>
  </w:style>
  <w:style w:type="character" w:customStyle="1" w:styleId="587">
    <w:name w:val="Título Char"/>
    <w:qFormat/>
    <w:uiPriority w:val="0"/>
    <w:rPr>
      <w:rFonts w:ascii="Garamond" w:hAnsi="Garamond" w:cs="Garamond"/>
      <w:b/>
      <w:shadow/>
      <w:sz w:val="28"/>
      <w:szCs w:val="24"/>
    </w:rPr>
  </w:style>
  <w:style w:type="character" w:customStyle="1" w:styleId="588">
    <w:name w:val="Cabeçalho Char"/>
    <w:qFormat/>
    <w:uiPriority w:val="0"/>
    <w:rPr>
      <w:rFonts w:ascii="Times New (W1);Times New Roman" w:hAnsi="Times New (W1);Times New Roman" w:cs="Times New (W1);Times New Roman"/>
      <w:lang w:val="en-US" w:eastAsia="zh-CN"/>
    </w:rPr>
  </w:style>
  <w:style w:type="character" w:customStyle="1" w:styleId="589">
    <w:name w:val="Corpo de texto 2 Char"/>
    <w:qFormat/>
    <w:uiPriority w:val="0"/>
    <w:rPr>
      <w:sz w:val="24"/>
      <w:szCs w:val="24"/>
      <w:lang w:eastAsia="zh-CN"/>
    </w:rPr>
  </w:style>
  <w:style w:type="character" w:customStyle="1" w:styleId="590">
    <w:name w:val="Corpo de texto Char"/>
    <w:qFormat/>
    <w:uiPriority w:val="0"/>
    <w:rPr>
      <w:sz w:val="24"/>
      <w:lang w:eastAsia="zh-CN"/>
    </w:rPr>
  </w:style>
  <w:style w:type="character" w:customStyle="1" w:styleId="591">
    <w:name w:val="fontstyle01"/>
    <w:basedOn w:val="56"/>
    <w:qFormat/>
    <w:uiPriority w:val="0"/>
    <w:rPr>
      <w:rFonts w:ascii="ArialMT;Times New Roman" w:hAnsi="ArialMT;Times New Roman" w:cs="ArialMT;Times New Roman"/>
      <w:color w:val="231F20"/>
      <w:sz w:val="16"/>
      <w:szCs w:val="16"/>
    </w:rPr>
  </w:style>
  <w:style w:type="character" w:customStyle="1" w:styleId="592">
    <w:name w:val="Ênfase forte"/>
    <w:qFormat/>
    <w:uiPriority w:val="0"/>
    <w:rPr>
      <w:b/>
      <w:bCs/>
    </w:rPr>
  </w:style>
  <w:style w:type="paragraph" w:customStyle="1" w:styleId="593">
    <w:name w:val="Título124"/>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4">
    <w:name w:val="Índice"/>
    <w:basedOn w:val="1"/>
    <w:qFormat/>
    <w:uiPriority w:val="0"/>
    <w:pPr>
      <w:suppressLineNumbers/>
    </w:pPr>
    <w:rPr>
      <w:rFonts w:cs="Tahoma"/>
    </w:rPr>
  </w:style>
  <w:style w:type="paragraph" w:customStyle="1" w:styleId="595">
    <w:name w:val="Cabeçalho e Rodapé"/>
    <w:basedOn w:val="1"/>
    <w:qFormat/>
    <w:uiPriority w:val="0"/>
    <w:pPr>
      <w:suppressLineNumbers/>
      <w:tabs>
        <w:tab w:val="center" w:pos="4819"/>
        <w:tab w:val="right" w:pos="9638"/>
      </w:tabs>
    </w:pPr>
  </w:style>
  <w:style w:type="paragraph" w:customStyle="1" w:styleId="596">
    <w:name w:val="Título123"/>
    <w:basedOn w:val="1"/>
    <w:next w:val="16"/>
    <w:qFormat/>
    <w:uiPriority w:val="0"/>
    <w:pPr>
      <w:keepNext/>
      <w:spacing w:before="240" w:after="120"/>
    </w:pPr>
    <w:rPr>
      <w:rFonts w:ascii="Liberation Sans" w:hAnsi="Liberation Sans" w:eastAsia="Microsoft YaHei" w:cs="Lucida Sans"/>
      <w:sz w:val="28"/>
      <w:szCs w:val="28"/>
    </w:rPr>
  </w:style>
  <w:style w:type="paragraph" w:customStyle="1" w:styleId="597">
    <w:name w:val="Título12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8">
    <w:name w:val="Título12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599">
    <w:name w:val="Título12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0">
    <w:name w:val="Título1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1">
    <w:name w:val="Título118"/>
    <w:basedOn w:val="1"/>
    <w:next w:val="16"/>
    <w:qFormat/>
    <w:uiPriority w:val="0"/>
    <w:pPr>
      <w:keepNext/>
      <w:spacing w:before="240" w:after="120"/>
    </w:pPr>
    <w:rPr>
      <w:rFonts w:ascii="Liberation Sans;Arial" w:hAnsi="Liberation Sans;Arial" w:eastAsia="Microsoft YaHei" w:cs="Arial"/>
      <w:sz w:val="28"/>
      <w:szCs w:val="28"/>
    </w:rPr>
  </w:style>
  <w:style w:type="paragraph" w:customStyle="1" w:styleId="602">
    <w:name w:val="Título1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3">
    <w:name w:val="Título1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4">
    <w:name w:val="Título1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5">
    <w:name w:val="Título1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6">
    <w:name w:val="Título1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7">
    <w:name w:val="Título1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8">
    <w:name w:val="Título1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09">
    <w:name w:val="Título110"/>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0">
    <w:name w:val="Título19"/>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1">
    <w:name w:val="Título18"/>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2">
    <w:name w:val="Título17"/>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3">
    <w:name w:val="Título16"/>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4">
    <w:name w:val="Título15"/>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5">
    <w:name w:val="Título1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6">
    <w:name w:val="Título13"/>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7">
    <w:name w:val="Título12"/>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8">
    <w:name w:val="Título4"/>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19">
    <w:name w:val="Título11"/>
    <w:basedOn w:val="1"/>
    <w:next w:val="16"/>
    <w:qFormat/>
    <w:uiPriority w:val="0"/>
    <w:pPr>
      <w:keepNext/>
      <w:spacing w:before="240" w:after="120"/>
    </w:pPr>
    <w:rPr>
      <w:rFonts w:ascii="Liberation Sans;Arial" w:hAnsi="Liberation Sans;Arial" w:eastAsia="Microsoft YaHei" w:cs="Lucida Sans"/>
      <w:sz w:val="28"/>
      <w:szCs w:val="28"/>
    </w:rPr>
  </w:style>
  <w:style w:type="paragraph" w:customStyle="1" w:styleId="620">
    <w:name w:val="Título3"/>
    <w:basedOn w:val="1"/>
    <w:next w:val="16"/>
    <w:qFormat/>
    <w:uiPriority w:val="0"/>
    <w:pPr>
      <w:keepNext/>
      <w:spacing w:before="240" w:after="120"/>
    </w:pPr>
    <w:rPr>
      <w:rFonts w:ascii="Liberation Sans;Arial" w:hAnsi="Liberation Sans;Arial" w:eastAsia="Microsoft YaHei" w:cs="Mangal;Linux Libertine G"/>
      <w:sz w:val="28"/>
      <w:szCs w:val="28"/>
    </w:rPr>
  </w:style>
  <w:style w:type="paragraph" w:customStyle="1" w:styleId="621">
    <w:name w:val="Título2"/>
    <w:basedOn w:val="1"/>
    <w:next w:val="22"/>
    <w:qFormat/>
    <w:uiPriority w:val="0"/>
    <w:pPr>
      <w:jc w:val="center"/>
    </w:pPr>
    <w:rPr>
      <w:rFonts w:ascii="Garamond" w:hAnsi="Garamond" w:cs="Garamond"/>
      <w:b/>
      <w:shadow/>
      <w:sz w:val="28"/>
    </w:rPr>
  </w:style>
  <w:style w:type="paragraph" w:customStyle="1" w:styleId="622">
    <w:name w:val="Título1"/>
    <w:basedOn w:val="1"/>
    <w:next w:val="16"/>
    <w:qFormat/>
    <w:uiPriority w:val="0"/>
    <w:pPr>
      <w:keepNext/>
      <w:spacing w:before="240" w:after="120"/>
    </w:pPr>
    <w:rPr>
      <w:rFonts w:ascii="Arial" w:hAnsi="Arial" w:eastAsia="Lucida Sans Unicode" w:cs="Mangal;Linux Libertine G"/>
      <w:sz w:val="28"/>
      <w:szCs w:val="28"/>
    </w:rPr>
  </w:style>
  <w:style w:type="paragraph" w:customStyle="1" w:styleId="623">
    <w:name w:val="Legenda2"/>
    <w:basedOn w:val="1"/>
    <w:qFormat/>
    <w:uiPriority w:val="0"/>
    <w:pPr>
      <w:suppressLineNumbers/>
      <w:spacing w:before="120" w:after="120"/>
    </w:pPr>
    <w:rPr>
      <w:rFonts w:cs="Tahoma"/>
      <w:i/>
      <w:iCs/>
      <w:sz w:val="20"/>
      <w:szCs w:val="20"/>
    </w:rPr>
  </w:style>
  <w:style w:type="paragraph" w:customStyle="1" w:styleId="624">
    <w:name w:val="Capítulo"/>
    <w:basedOn w:val="1"/>
    <w:next w:val="16"/>
    <w:qFormat/>
    <w:uiPriority w:val="0"/>
    <w:pPr>
      <w:keepNext/>
      <w:spacing w:before="240" w:after="120"/>
    </w:pPr>
    <w:rPr>
      <w:rFonts w:ascii="Arial" w:hAnsi="Arial" w:eastAsia="MS Mincho;Yu Gothic UI" w:cs="Tahoma"/>
      <w:sz w:val="28"/>
      <w:szCs w:val="28"/>
    </w:rPr>
  </w:style>
  <w:style w:type="paragraph" w:customStyle="1" w:styleId="625">
    <w:name w:val="WW-Título"/>
    <w:basedOn w:val="1"/>
    <w:next w:val="16"/>
    <w:qFormat/>
    <w:uiPriority w:val="0"/>
    <w:pPr>
      <w:keepNext/>
      <w:spacing w:before="240" w:after="120"/>
    </w:pPr>
    <w:rPr>
      <w:rFonts w:ascii="Arial" w:hAnsi="Arial" w:eastAsia="Lucida Sans Unicode" w:cs="Tahoma"/>
      <w:sz w:val="28"/>
      <w:szCs w:val="28"/>
    </w:rPr>
  </w:style>
  <w:style w:type="paragraph" w:customStyle="1" w:styleId="626">
    <w:name w:val="Título Principal"/>
    <w:basedOn w:val="1"/>
    <w:next w:val="16"/>
    <w:qFormat/>
    <w:uiPriority w:val="0"/>
    <w:pPr>
      <w:keepNext/>
      <w:spacing w:before="240" w:after="120"/>
    </w:pPr>
    <w:rPr>
      <w:rFonts w:ascii="Arial" w:hAnsi="Arial" w:eastAsia="MS Mincho;Yu Gothic UI" w:cs="Tahoma"/>
      <w:sz w:val="28"/>
      <w:szCs w:val="28"/>
    </w:rPr>
  </w:style>
  <w:style w:type="paragraph" w:customStyle="1" w:styleId="627">
    <w:name w:val="WW-Com marcadores 5"/>
    <w:basedOn w:val="1"/>
    <w:qFormat/>
    <w:uiPriority w:val="0"/>
    <w:pPr>
      <w:ind w:left="2694" w:right="0" w:hanging="219"/>
    </w:pPr>
    <w:rPr>
      <w:b/>
      <w:sz w:val="20"/>
      <w:szCs w:val="20"/>
      <w:lang w:val="en-US"/>
    </w:rPr>
  </w:style>
  <w:style w:type="paragraph" w:customStyle="1" w:styleId="628">
    <w:name w:val="WW-Lista 2"/>
    <w:basedOn w:val="1"/>
    <w:qFormat/>
    <w:uiPriority w:val="0"/>
    <w:pPr>
      <w:ind w:left="566" w:right="0" w:hanging="283"/>
    </w:pPr>
    <w:rPr>
      <w:szCs w:val="20"/>
    </w:rPr>
  </w:style>
  <w:style w:type="paragraph" w:customStyle="1" w:styleId="629">
    <w:name w:val="WW-Lista 3"/>
    <w:basedOn w:val="1"/>
    <w:qFormat/>
    <w:uiPriority w:val="0"/>
    <w:pPr>
      <w:ind w:left="849" w:right="0" w:hanging="283"/>
    </w:pPr>
    <w:rPr>
      <w:szCs w:val="20"/>
    </w:rPr>
  </w:style>
  <w:style w:type="paragraph" w:customStyle="1" w:styleId="630">
    <w:name w:val="WW-Lista 4"/>
    <w:basedOn w:val="1"/>
    <w:qFormat/>
    <w:uiPriority w:val="0"/>
    <w:pPr>
      <w:ind w:left="1132" w:right="0" w:hanging="283"/>
    </w:pPr>
    <w:rPr>
      <w:szCs w:val="20"/>
    </w:rPr>
  </w:style>
  <w:style w:type="paragraph" w:customStyle="1" w:styleId="631">
    <w:name w:val="WW-Lista 5"/>
    <w:basedOn w:val="1"/>
    <w:qFormat/>
    <w:uiPriority w:val="0"/>
    <w:pPr>
      <w:ind w:left="1415" w:right="0" w:hanging="283"/>
    </w:pPr>
    <w:rPr>
      <w:szCs w:val="20"/>
    </w:rPr>
  </w:style>
  <w:style w:type="paragraph" w:customStyle="1" w:styleId="632">
    <w:name w:val="WW-Lista de continuação 4"/>
    <w:basedOn w:val="1"/>
    <w:qFormat/>
    <w:uiPriority w:val="0"/>
    <w:pPr>
      <w:spacing w:before="0" w:after="120"/>
      <w:ind w:left="1132" w:right="0" w:firstLine="0"/>
    </w:pPr>
    <w:rPr>
      <w:szCs w:val="20"/>
    </w:rPr>
  </w:style>
  <w:style w:type="paragraph" w:customStyle="1" w:styleId="633">
    <w:name w:val="WW-Recuo de corpo de texto 3"/>
    <w:basedOn w:val="1"/>
    <w:qFormat/>
    <w:uiPriority w:val="0"/>
    <w:pPr>
      <w:ind w:left="0" w:right="1185" w:firstLine="284"/>
      <w:jc w:val="both"/>
    </w:pPr>
    <w:rPr>
      <w:szCs w:val="20"/>
    </w:rPr>
  </w:style>
  <w:style w:type="paragraph" w:customStyle="1" w:styleId="634">
    <w:name w:val="WW-Recuo de corpo de texto 2"/>
    <w:basedOn w:val="1"/>
    <w:qFormat/>
    <w:uiPriority w:val="0"/>
    <w:pPr>
      <w:ind w:left="0" w:right="0" w:hanging="2"/>
      <w:jc w:val="both"/>
    </w:pPr>
  </w:style>
  <w:style w:type="paragraph" w:customStyle="1" w:styleId="635">
    <w:name w:val="WW-Corpo de texto 2"/>
    <w:basedOn w:val="1"/>
    <w:qFormat/>
    <w:uiPriority w:val="0"/>
    <w:pPr>
      <w:jc w:val="both"/>
    </w:pPr>
    <w:rPr>
      <w:sz w:val="20"/>
    </w:rPr>
  </w:style>
  <w:style w:type="paragraph" w:customStyle="1" w:styleId="636">
    <w:name w:val="WW-Corpo de texto 3"/>
    <w:basedOn w:val="1"/>
    <w:qFormat/>
    <w:uiPriority w:val="0"/>
    <w:rPr>
      <w:sz w:val="20"/>
    </w:rPr>
  </w:style>
  <w:style w:type="paragraph" w:customStyle="1" w:styleId="637">
    <w:name w:val="WW-Normal (Web)"/>
    <w:basedOn w:val="1"/>
    <w:qFormat/>
    <w:uiPriority w:val="0"/>
    <w:pPr>
      <w:spacing w:before="280" w:after="280"/>
    </w:pPr>
    <w:rPr>
      <w:rFonts w:ascii="Arial Unicode MS;Arial" w:hAnsi="Arial Unicode MS;Arial" w:eastAsia="Arial Unicode MS;Arial" w:cs="Arial Unicode MS;Arial"/>
    </w:rPr>
  </w:style>
  <w:style w:type="paragraph" w:customStyle="1" w:styleId="638">
    <w:name w:val="_A303070"/>
    <w:qFormat/>
    <w:uiPriority w:val="0"/>
    <w:pPr>
      <w:widowControl w:val="0"/>
      <w:suppressAutoHyphens/>
      <w:overflowPunct/>
      <w:bidi w:val="0"/>
      <w:spacing w:before="0" w:after="0"/>
      <w:ind w:left="4176" w:right="576" w:firstLine="0"/>
      <w:jc w:val="both"/>
    </w:pPr>
    <w:rPr>
      <w:rFonts w:ascii="Times New Roman" w:hAnsi="Times New Roman" w:eastAsia="Arial" w:cs="Times New Roman"/>
      <w:color w:val="000000"/>
      <w:kern w:val="0"/>
      <w:sz w:val="24"/>
      <w:szCs w:val="24"/>
      <w:lang w:val="pt-BR" w:eastAsia="zh-CN" w:bidi="ar-SA"/>
    </w:rPr>
  </w:style>
  <w:style w:type="paragraph" w:customStyle="1" w:styleId="639">
    <w:name w:val="_A171070"/>
    <w:qFormat/>
    <w:uiPriority w:val="0"/>
    <w:pPr>
      <w:widowControl w:val="0"/>
      <w:suppressAutoHyphens/>
      <w:overflowPunct/>
      <w:bidi w:val="0"/>
      <w:spacing w:before="0" w:after="0"/>
      <w:ind w:left="1296" w:right="0" w:firstLine="1008"/>
      <w:jc w:val="both"/>
    </w:pPr>
    <w:rPr>
      <w:rFonts w:ascii="Times New Roman" w:hAnsi="Times New Roman" w:eastAsia="Arial" w:cs="Times New Roman"/>
      <w:color w:val="000000"/>
      <w:kern w:val="0"/>
      <w:sz w:val="24"/>
      <w:szCs w:val="24"/>
      <w:lang w:val="pt-BR" w:eastAsia="zh-CN" w:bidi="ar-SA"/>
    </w:rPr>
  </w:style>
  <w:style w:type="paragraph" w:customStyle="1" w:styleId="640">
    <w:name w:val="_A121070"/>
    <w:qFormat/>
    <w:uiPriority w:val="0"/>
    <w:pPr>
      <w:widowControl w:val="0"/>
      <w:suppressAutoHyphens/>
      <w:overflowPunct/>
      <w:bidi w:val="0"/>
      <w:spacing w:before="0" w:after="0"/>
      <w:ind w:left="1296" w:right="0" w:firstLine="288"/>
      <w:jc w:val="both"/>
    </w:pPr>
    <w:rPr>
      <w:rFonts w:ascii="Times New Roman" w:hAnsi="Times New Roman" w:eastAsia="Arial" w:cs="Times New Roman"/>
      <w:color w:val="000000"/>
      <w:kern w:val="0"/>
      <w:sz w:val="24"/>
      <w:szCs w:val="24"/>
      <w:lang w:val="pt-BR" w:eastAsia="zh-CN" w:bidi="ar-SA"/>
    </w:rPr>
  </w:style>
  <w:style w:type="paragraph" w:customStyle="1" w:styleId="641">
    <w:name w:val="Conteúdo da Tabela"/>
    <w:basedOn w:val="16"/>
    <w:qFormat/>
    <w:uiPriority w:val="0"/>
    <w:pPr>
      <w:suppressLineNumbers/>
    </w:pPr>
  </w:style>
  <w:style w:type="paragraph" w:customStyle="1" w:styleId="642">
    <w:name w:val="Título da Tabela"/>
    <w:basedOn w:val="641"/>
    <w:qFormat/>
    <w:uiPriority w:val="0"/>
    <w:pPr>
      <w:suppressLineNumbers/>
      <w:jc w:val="center"/>
    </w:pPr>
    <w:rPr>
      <w:b/>
      <w:bCs/>
      <w:i/>
      <w:iCs/>
    </w:rPr>
  </w:style>
  <w:style w:type="paragraph" w:customStyle="1" w:styleId="643">
    <w:name w:val="Conteúdo do quadro"/>
    <w:basedOn w:val="16"/>
    <w:qFormat/>
    <w:uiPriority w:val="0"/>
  </w:style>
  <w:style w:type="paragraph" w:customStyle="1" w:styleId="644">
    <w:name w:val="Conteúdo da tabela"/>
    <w:basedOn w:val="1"/>
    <w:qFormat/>
    <w:uiPriority w:val="0"/>
    <w:pPr>
      <w:suppressLineNumbers/>
    </w:pPr>
  </w:style>
  <w:style w:type="paragraph" w:customStyle="1" w:styleId="645">
    <w:name w:val="Título da tabela"/>
    <w:basedOn w:val="644"/>
    <w:qFormat/>
    <w:uiPriority w:val="0"/>
    <w:pPr>
      <w:suppressLineNumbers/>
      <w:jc w:val="center"/>
    </w:pPr>
    <w:rPr>
      <w:b/>
      <w:bCs/>
      <w:i/>
      <w:iCs/>
    </w:rPr>
  </w:style>
  <w:style w:type="paragraph" w:customStyle="1" w:styleId="646">
    <w:name w:val="Recuo de corpo de texto 21"/>
    <w:basedOn w:val="1"/>
    <w:qFormat/>
    <w:uiPriority w:val="0"/>
    <w:pPr>
      <w:ind w:left="0" w:right="0" w:firstLine="284"/>
    </w:pPr>
    <w:rPr>
      <w:sz w:val="22"/>
    </w:rPr>
  </w:style>
  <w:style w:type="paragraph" w:customStyle="1" w:styleId="647">
    <w:name w:val="Corpo de texto 22"/>
    <w:basedOn w:val="1"/>
    <w:qFormat/>
    <w:uiPriority w:val="0"/>
    <w:pPr>
      <w:jc w:val="both"/>
    </w:pPr>
    <w:rPr>
      <w:sz w:val="20"/>
    </w:rPr>
  </w:style>
  <w:style w:type="paragraph" w:customStyle="1" w:styleId="648">
    <w:name w:val="Recuo de corpo de texto 31"/>
    <w:basedOn w:val="1"/>
    <w:qFormat/>
    <w:uiPriority w:val="0"/>
    <w:pPr>
      <w:ind w:left="540" w:right="0" w:firstLine="0"/>
      <w:jc w:val="both"/>
    </w:pPr>
    <w:rPr>
      <w:sz w:val="40"/>
    </w:rPr>
  </w:style>
  <w:style w:type="paragraph" w:customStyle="1" w:styleId="649">
    <w:name w:val="Texto sem Formatação1"/>
    <w:basedOn w:val="1"/>
    <w:qFormat/>
    <w:uiPriority w:val="0"/>
    <w:pPr>
      <w:suppressAutoHyphens w:val="0"/>
    </w:pPr>
    <w:rPr>
      <w:rFonts w:ascii="Courier New" w:hAnsi="Courier New" w:cs="Courier New"/>
      <w:sz w:val="20"/>
      <w:szCs w:val="20"/>
    </w:rPr>
  </w:style>
  <w:style w:type="paragraph" w:customStyle="1" w:styleId="650">
    <w:name w:val="Mapa do Documento1"/>
    <w:basedOn w:val="1"/>
    <w:qFormat/>
    <w:uiPriority w:val="0"/>
    <w:pPr>
      <w:shd w:val="clear" w:fill="000080"/>
    </w:pPr>
    <w:rPr>
      <w:rFonts w:ascii="Tahoma" w:hAnsi="Tahoma" w:cs="Tahoma"/>
    </w:rPr>
  </w:style>
  <w:style w:type="paragraph" w:customStyle="1" w:styleId="651">
    <w:name w:val="Texto de balão1"/>
    <w:basedOn w:val="1"/>
    <w:qFormat/>
    <w:uiPriority w:val="0"/>
    <w:rPr>
      <w:rFonts w:ascii="Tahoma" w:hAnsi="Tahoma" w:cs="Tahoma"/>
      <w:sz w:val="16"/>
      <w:szCs w:val="16"/>
    </w:rPr>
  </w:style>
  <w:style w:type="paragraph" w:customStyle="1" w:styleId="652">
    <w:name w:val="Normal (Web)1"/>
    <w:basedOn w:val="1"/>
    <w:qFormat/>
    <w:uiPriority w:val="0"/>
    <w:pPr>
      <w:suppressAutoHyphens w:val="0"/>
      <w:spacing w:before="100" w:after="100"/>
    </w:pPr>
    <w:rPr>
      <w:rFonts w:ascii="Arial Unicode MS;Arial" w:hAnsi="Arial Unicode MS;Arial" w:eastAsia="Arial Unicode MS;Arial" w:cs="Arial Unicode MS;Arial"/>
      <w:color w:val="000000"/>
    </w:rPr>
  </w:style>
  <w:style w:type="paragraph" w:customStyle="1" w:styleId="653">
    <w:name w:val="Corpo de texto 32"/>
    <w:basedOn w:val="1"/>
    <w:qFormat/>
    <w:uiPriority w:val="0"/>
    <w:pPr>
      <w:jc w:val="both"/>
    </w:pPr>
    <w:rPr>
      <w:color w:val="0000FF"/>
      <w:szCs w:val="20"/>
    </w:rPr>
  </w:style>
  <w:style w:type="paragraph" w:customStyle="1" w:styleId="654">
    <w:name w:val="Esp SubTitulo 1 Char"/>
    <w:basedOn w:val="1"/>
    <w:qFormat/>
    <w:uiPriority w:val="0"/>
    <w:pPr>
      <w:suppressAutoHyphens w:val="0"/>
      <w:spacing w:before="360" w:after="200"/>
      <w:jc w:val="both"/>
    </w:pPr>
    <w:rPr>
      <w:rFonts w:ascii="Palatino Linotype" w:hAnsi="Palatino Linotype" w:cs="Palatino Linotype"/>
      <w:sz w:val="22"/>
      <w:szCs w:val="20"/>
    </w:rPr>
  </w:style>
  <w:style w:type="paragraph" w:customStyle="1" w:styleId="655">
    <w:name w:val="Corpo de texto 31"/>
    <w:basedOn w:val="1"/>
    <w:qFormat/>
    <w:uiPriority w:val="0"/>
    <w:pPr>
      <w:jc w:val="both"/>
    </w:pPr>
    <w:rPr>
      <w:color w:val="0000FF"/>
      <w:szCs w:val="20"/>
    </w:rPr>
  </w:style>
  <w:style w:type="paragraph" w:customStyle="1" w:styleId="656">
    <w:name w:val="TABELA"/>
    <w:basedOn w:val="1"/>
    <w:next w:val="1"/>
    <w:qFormat/>
    <w:uiPriority w:val="0"/>
    <w:pPr>
      <w:numPr>
        <w:ilvl w:val="0"/>
        <w:numId w:val="1"/>
      </w:numPr>
      <w:tabs>
        <w:tab w:val="left" w:pos="720"/>
      </w:tabs>
      <w:suppressAutoHyphens w:val="0"/>
      <w:ind w:left="0" w:right="0" w:firstLine="0"/>
      <w:jc w:val="center"/>
    </w:pPr>
    <w:rPr>
      <w:rFonts w:ascii="Arial" w:hAnsi="Arial" w:cs="Arial"/>
      <w:b/>
      <w:sz w:val="20"/>
      <w:szCs w:val="20"/>
    </w:rPr>
  </w:style>
  <w:style w:type="paragraph" w:customStyle="1" w:styleId="657">
    <w:name w:val="Legenda1"/>
    <w:basedOn w:val="1"/>
    <w:next w:val="1"/>
    <w:qFormat/>
    <w:uiPriority w:val="0"/>
    <w:pPr>
      <w:suppressAutoHyphens w:val="0"/>
      <w:jc w:val="center"/>
    </w:pPr>
    <w:rPr>
      <w:b/>
      <w:szCs w:val="20"/>
    </w:rPr>
  </w:style>
  <w:style w:type="paragraph" w:customStyle="1" w:styleId="658">
    <w:name w:val="WW-Corpo de texto 21"/>
    <w:basedOn w:val="1"/>
    <w:qFormat/>
    <w:uiPriority w:val="0"/>
    <w:pPr>
      <w:suppressAutoHyphens w:val="0"/>
      <w:jc w:val="center"/>
    </w:pPr>
    <w:rPr>
      <w:sz w:val="20"/>
      <w:szCs w:val="20"/>
    </w:rPr>
  </w:style>
  <w:style w:type="paragraph" w:customStyle="1" w:styleId="659">
    <w:name w:val="font5"/>
    <w:basedOn w:val="1"/>
    <w:qFormat/>
    <w:uiPriority w:val="0"/>
    <w:pPr>
      <w:suppressAutoHyphens w:val="0"/>
      <w:spacing w:before="100" w:after="100"/>
    </w:pPr>
    <w:rPr>
      <w:rFonts w:ascii="Arial" w:hAnsi="Arial" w:eastAsia="Arial Unicode MS;Arial" w:cs="Arial"/>
      <w:sz w:val="22"/>
      <w:szCs w:val="22"/>
    </w:rPr>
  </w:style>
  <w:style w:type="paragraph" w:customStyle="1" w:styleId="660">
    <w:name w:val="xl28"/>
    <w:basedOn w:val="1"/>
    <w:qFormat/>
    <w:uiPriority w:val="0"/>
    <w:pPr>
      <w:suppressAutoHyphens w:val="0"/>
      <w:spacing w:before="100" w:after="100"/>
      <w:jc w:val="center"/>
    </w:pPr>
    <w:rPr>
      <w:rFonts w:ascii="Arial Unicode MS;Arial" w:hAnsi="Arial Unicode MS;Arial" w:eastAsia="Arial Unicode MS;Arial" w:cs="Arial Unicode MS;Arial"/>
    </w:rPr>
  </w:style>
  <w:style w:type="paragraph" w:customStyle="1" w:styleId="661">
    <w:name w:val="_A200560"/>
    <w:qFormat/>
    <w:uiPriority w:val="0"/>
    <w:pPr>
      <w:widowControl w:val="0"/>
      <w:suppressAutoHyphens/>
      <w:overflowPunct/>
      <w:bidi w:val="0"/>
      <w:spacing w:before="0" w:after="0"/>
      <w:ind w:left="576" w:right="1440" w:firstLine="2160"/>
      <w:jc w:val="both"/>
    </w:pPr>
    <w:rPr>
      <w:rFonts w:ascii="Times New Roman" w:hAnsi="Times New Roman" w:eastAsia="Arial" w:cs="Times New Roman"/>
      <w:color w:val="000000"/>
      <w:kern w:val="2"/>
      <w:sz w:val="24"/>
      <w:szCs w:val="20"/>
      <w:lang w:val="pt-BR" w:eastAsia="zh-CN" w:bidi="ar-SA"/>
    </w:rPr>
  </w:style>
  <w:style w:type="paragraph" w:customStyle="1" w:styleId="662">
    <w:name w:val="Esp - Texto Char"/>
    <w:basedOn w:val="1"/>
    <w:qFormat/>
    <w:uiPriority w:val="0"/>
    <w:pPr>
      <w:suppressAutoHyphens w:val="0"/>
      <w:spacing w:before="200" w:after="200"/>
      <w:jc w:val="both"/>
    </w:pPr>
    <w:rPr>
      <w:rFonts w:ascii="Palatino Linotype" w:hAnsi="Palatino Linotype" w:cs="Palatino Linotype"/>
      <w:sz w:val="20"/>
      <w:szCs w:val="20"/>
    </w:rPr>
  </w:style>
  <w:style w:type="paragraph" w:customStyle="1" w:styleId="663">
    <w:name w:val="Corpo de texto 21"/>
    <w:basedOn w:val="1"/>
    <w:qFormat/>
    <w:uiPriority w:val="0"/>
    <w:pPr>
      <w:suppressAutoHyphens w:val="0"/>
    </w:pPr>
  </w:style>
  <w:style w:type="paragraph" w:customStyle="1" w:styleId="664">
    <w:name w:val="Conteúdo de tabela"/>
    <w:basedOn w:val="1"/>
    <w:qFormat/>
    <w:uiPriority w:val="0"/>
    <w:pPr>
      <w:suppressLineNumbers/>
    </w:pPr>
  </w:style>
  <w:style w:type="paragraph" w:customStyle="1" w:styleId="665">
    <w:name w:val="Título de tabela"/>
    <w:basedOn w:val="664"/>
    <w:qFormat/>
    <w:uiPriority w:val="0"/>
    <w:pPr>
      <w:suppressLineNumbers/>
      <w:jc w:val="center"/>
    </w:pPr>
    <w:rPr>
      <w:b/>
      <w:bCs/>
    </w:rPr>
  </w:style>
  <w:style w:type="paragraph" w:customStyle="1" w:styleId="666">
    <w:name w:val="Conteúdo de quadro"/>
    <w:basedOn w:val="16"/>
    <w:qFormat/>
    <w:uiPriority w:val="0"/>
  </w:style>
  <w:style w:type="paragraph" w:customStyle="1" w:styleId="667">
    <w:name w:val="Com marcadores 41"/>
    <w:basedOn w:val="1"/>
    <w:qFormat/>
    <w:uiPriority w:val="0"/>
    <w:pPr>
      <w:spacing w:before="0" w:after="0"/>
      <w:ind w:left="1132" w:right="0" w:hanging="283"/>
      <w:contextualSpacing/>
    </w:pPr>
  </w:style>
  <w:style w:type="paragraph" w:customStyle="1" w:styleId="668">
    <w:name w:val="Com marcadores 51"/>
    <w:basedOn w:val="1"/>
    <w:qFormat/>
    <w:uiPriority w:val="0"/>
    <w:pPr>
      <w:numPr>
        <w:ilvl w:val="0"/>
        <w:numId w:val="2"/>
      </w:numPr>
      <w:tabs>
        <w:tab w:val="left" w:pos="360"/>
        <w:tab w:val="left" w:pos="1560"/>
      </w:tabs>
      <w:suppressAutoHyphens w:val="0"/>
      <w:ind w:left="2694" w:right="0" w:hanging="219"/>
    </w:pPr>
    <w:rPr>
      <w:b/>
      <w:sz w:val="20"/>
      <w:szCs w:val="20"/>
      <w:lang w:val="en-US"/>
    </w:rPr>
  </w:style>
  <w:style w:type="paragraph" w:customStyle="1" w:styleId="669">
    <w:name w:val="Texto em bloco1"/>
    <w:basedOn w:val="1"/>
    <w:qFormat/>
    <w:uiPriority w:val="0"/>
    <w:pPr>
      <w:suppressAutoHyphens w:val="0"/>
      <w:ind w:left="426" w:right="27" w:hanging="426"/>
      <w:jc w:val="both"/>
    </w:pPr>
    <w:rPr>
      <w:rFonts w:ascii="Garamond" w:hAnsi="Garamond" w:cs="Garamond"/>
      <w:szCs w:val="20"/>
    </w:rPr>
  </w:style>
  <w:style w:type="paragraph" w:customStyle="1" w:styleId="670">
    <w:name w:val="Body Text 22"/>
    <w:basedOn w:val="1"/>
    <w:qFormat/>
    <w:uiPriority w:val="0"/>
    <w:pPr>
      <w:suppressAutoHyphens w:val="0"/>
      <w:ind w:left="0" w:right="0" w:firstLine="2835"/>
      <w:jc w:val="both"/>
    </w:pPr>
    <w:rPr>
      <w:szCs w:val="20"/>
      <w:lang w:eastAsia="zh-CN"/>
    </w:rPr>
  </w:style>
  <w:style w:type="paragraph" w:customStyle="1" w:styleId="671">
    <w:name w:val="Corpo de texto 23"/>
    <w:basedOn w:val="1"/>
    <w:qFormat/>
    <w:uiPriority w:val="0"/>
    <w:pPr>
      <w:spacing w:before="0" w:after="120" w:line="480" w:lineRule="auto"/>
    </w:pPr>
  </w:style>
  <w:style w:type="paragraph" w:customStyle="1" w:styleId="672">
    <w:name w:val="Texto em bloco2"/>
    <w:basedOn w:val="1"/>
    <w:qFormat/>
    <w:uiPriority w:val="0"/>
    <w:pPr>
      <w:suppressAutoHyphens w:val="0"/>
      <w:ind w:left="426" w:right="27" w:hanging="426"/>
      <w:jc w:val="both"/>
    </w:pPr>
    <w:rPr>
      <w:rFonts w:ascii="Garamond" w:hAnsi="Garamond" w:cs="Garamond"/>
      <w:szCs w:val="20"/>
    </w:rPr>
  </w:style>
  <w:style w:type="paragraph" w:customStyle="1" w:styleId="673">
    <w:name w:val="Parágrafo da Lista1"/>
    <w:basedOn w:val="1"/>
    <w:qFormat/>
    <w:uiPriority w:val="0"/>
    <w:pPr>
      <w:widowControl w:val="0"/>
      <w:suppressAutoHyphens w:val="0"/>
      <w:spacing w:before="115" w:after="0"/>
      <w:ind w:left="1703" w:right="0" w:hanging="348"/>
    </w:pPr>
    <w:rPr>
      <w:rFonts w:ascii="Arial" w:hAnsi="Arial" w:eastAsia="Arial" w:cs="Arial"/>
      <w:sz w:val="22"/>
      <w:szCs w:val="22"/>
      <w:lang w:val="en-US"/>
    </w:rPr>
  </w:style>
  <w:style w:type="paragraph" w:customStyle="1" w:styleId="674">
    <w:name w:val="Table Paragraph"/>
    <w:basedOn w:val="1"/>
    <w:qFormat/>
    <w:uiPriority w:val="0"/>
    <w:pPr>
      <w:widowControl w:val="0"/>
      <w:suppressAutoHyphens w:val="0"/>
    </w:pPr>
    <w:rPr>
      <w:rFonts w:ascii="Arial" w:hAnsi="Arial" w:eastAsia="Arial" w:cs="Arial"/>
      <w:sz w:val="22"/>
      <w:szCs w:val="22"/>
      <w:lang w:val="en-US"/>
    </w:rPr>
  </w:style>
  <w:style w:type="paragraph" w:customStyle="1" w:styleId="675">
    <w:name w:val="Normal1"/>
    <w:basedOn w:val="1"/>
    <w:qFormat/>
    <w:uiPriority w:val="0"/>
    <w:pPr>
      <w:widowControl w:val="0"/>
    </w:pPr>
    <w:rPr>
      <w:rFonts w:eastAsia="Lucida Sans Unicode"/>
      <w:kern w:val="2"/>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jpe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Serviços de reabilitação - CCR - PE</Template>
  <Pages>37</Pages>
  <Words>16053</Words>
  <Characters>91891</Characters>
  <Paragraphs>1079</Paragraphs>
  <TotalTime>8</TotalTime>
  <ScaleCrop>false</ScaleCrop>
  <LinksUpToDate>false</LinksUpToDate>
  <CharactersWithSpaces>107392</CharactersWithSpaces>
  <Application>WPS Office_11.2.0.11537_F1E327BC-269C-435d-A152-05C5408002CA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2023-07-26T15:27:00Z</dcterms:created>
  <dc:creator>vieirafdh</dc:creator>
  <dc:description>06/07 - Primeiro edital na nova Lei</dc:description>
  <cp:lastModifiedBy>vieirafdh</cp:lastModifiedBy>
  <cp:lastPrinted>2023-08-02T14:01:00Z</cp:lastPrinted>
  <dcterms:modified xsi:type="dcterms:W3CDTF">2023-08-14T15:54:30Z</dcterms:modified>
  <dc:title>xxx-23 - Medicamentos - GEJUD - PE-RP</dc:title>
  <cp:revision>182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5ED1F4CCA25C42619B254DB8A42BB807</vt:lpwstr>
  </property>
  <property fmtid="{D5CDD505-2E9C-101B-9397-08002B2CF9AE}" pid="3" name="KSOProductBuildVer">
    <vt:lpwstr>1046-11.2.0.11537</vt:lpwstr>
  </property>
</Properties>
</file>